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5A5D" w14:textId="77777777" w:rsidR="003D4B4B" w:rsidRDefault="003D4B4B" w:rsidP="00A4778B">
      <w:pPr>
        <w:rPr>
          <w:sz w:val="22"/>
        </w:rPr>
      </w:pPr>
    </w:p>
    <w:p w14:paraId="7C487E2B" w14:textId="0C54CF79" w:rsidR="00A4778B" w:rsidRPr="0087789B" w:rsidRDefault="00BF31AC" w:rsidP="003D4B4B">
      <w:pPr>
        <w:spacing w:line="276" w:lineRule="auto"/>
        <w:rPr>
          <w:szCs w:val="24"/>
        </w:rPr>
      </w:pPr>
      <w:sdt>
        <w:sdtPr>
          <w:rPr>
            <w:szCs w:val="24"/>
          </w:rPr>
          <w:alias w:val="Fecha"/>
          <w:tag w:val="Fecha"/>
          <w:id w:val="-306548534"/>
          <w:lock w:val="sdtLocked"/>
          <w:placeholder>
            <w:docPart w:val="05513C2684DA40A3A1687261C68C5CD5"/>
          </w:placeholder>
          <w:date w:fullDate="2024-03-12T00:00:00Z">
            <w:dateFormat w:val="d' de 'MMMM' de 'yyyy"/>
            <w:lid w:val="es-ES"/>
            <w:storeMappedDataAs w:val="date"/>
            <w:calendar w:val="gregorian"/>
          </w:date>
        </w:sdtPr>
        <w:sdtEndPr/>
        <w:sdtContent>
          <w:r w:rsidR="00A4694B">
            <w:rPr>
              <w:szCs w:val="24"/>
            </w:rPr>
            <w:t>12 de marzo de 2024</w:t>
          </w:r>
        </w:sdtContent>
      </w:sdt>
    </w:p>
    <w:p w14:paraId="041D3667" w14:textId="5EA6D79A" w:rsidR="00A4778B" w:rsidRPr="0087789B" w:rsidRDefault="00BF31AC" w:rsidP="003D4B4B">
      <w:pPr>
        <w:pStyle w:val="SupenEncabezado"/>
        <w:spacing w:line="276" w:lineRule="auto"/>
        <w:rPr>
          <w:rStyle w:val="SupenEncabezadoCar"/>
          <w:szCs w:val="24"/>
        </w:rPr>
      </w:pPr>
      <w:sdt>
        <w:sdtPr>
          <w:rPr>
            <w:rStyle w:val="SupenEncabezadoCar"/>
            <w:b/>
            <w:bCs/>
            <w:szCs w:val="24"/>
          </w:rPr>
          <w:alias w:val="Código"/>
          <w:tag w:val="A"/>
          <w:id w:val="1991359848"/>
          <w:lock w:val="sdtLocked"/>
          <w:placeholder>
            <w:docPart w:val="D27BF04048C44C16BEA9CE30CEBEE1C0"/>
          </w:placeholder>
          <w:text/>
        </w:sdtPr>
        <w:sdtEndPr>
          <w:rPr>
            <w:rStyle w:val="SupenEncabezadoCar"/>
          </w:rPr>
        </w:sdtEndPr>
        <w:sdtContent>
          <w:r w:rsidR="00A4694B" w:rsidRPr="00A4694B">
            <w:rPr>
              <w:rStyle w:val="SupenEncabezadoCar"/>
              <w:b/>
              <w:bCs/>
              <w:szCs w:val="24"/>
            </w:rPr>
            <w:t>SP-271-2024</w:t>
          </w:r>
        </w:sdtContent>
      </w:sdt>
    </w:p>
    <w:p w14:paraId="6FBCCDC7" w14:textId="77777777" w:rsidR="003262D5" w:rsidRDefault="003262D5" w:rsidP="006B26D1">
      <w:pPr>
        <w:spacing w:line="276" w:lineRule="auto"/>
        <w:rPr>
          <w:szCs w:val="24"/>
        </w:rPr>
      </w:pPr>
    </w:p>
    <w:p w14:paraId="392F4C9F" w14:textId="77777777" w:rsidR="00DE615E" w:rsidRDefault="00DE615E" w:rsidP="00DE615E">
      <w:pPr>
        <w:spacing w:line="276" w:lineRule="auto"/>
        <w:rPr>
          <w:szCs w:val="24"/>
        </w:rPr>
      </w:pPr>
    </w:p>
    <w:p w14:paraId="0E48ED12" w14:textId="06F0E94B" w:rsidR="0092478B" w:rsidRDefault="005F5F82" w:rsidP="0092478B">
      <w:pPr>
        <w:spacing w:line="276" w:lineRule="auto"/>
      </w:pPr>
      <w:r>
        <w:t>Señora</w:t>
      </w:r>
    </w:p>
    <w:p w14:paraId="6332A3F5" w14:textId="13D1A8D5" w:rsidR="005F5F82" w:rsidRDefault="005F5F82" w:rsidP="0092478B">
      <w:pPr>
        <w:spacing w:line="276" w:lineRule="auto"/>
      </w:pPr>
      <w:r>
        <w:t>Rocío Aguilar Montoya</w:t>
      </w:r>
    </w:p>
    <w:p w14:paraId="6D46B2C4" w14:textId="29FD53EC" w:rsidR="005F5F82" w:rsidRDefault="005F5F82" w:rsidP="0092478B">
      <w:pPr>
        <w:spacing w:line="276" w:lineRule="auto"/>
      </w:pPr>
      <w:r>
        <w:t>Superintendente</w:t>
      </w:r>
    </w:p>
    <w:p w14:paraId="7689550E" w14:textId="3A5720DB" w:rsidR="005F5F82" w:rsidRDefault="005F5F82" w:rsidP="0092478B">
      <w:pPr>
        <w:spacing w:line="276" w:lineRule="auto"/>
      </w:pPr>
      <w:r>
        <w:t>Superintendencia de Pensiones</w:t>
      </w:r>
    </w:p>
    <w:p w14:paraId="1EBB95A5" w14:textId="77777777" w:rsidR="0092478B" w:rsidRDefault="0092478B" w:rsidP="0092478B">
      <w:pPr>
        <w:spacing w:line="276" w:lineRule="auto"/>
      </w:pPr>
    </w:p>
    <w:p w14:paraId="7098680A" w14:textId="77777777" w:rsidR="00F76F9E" w:rsidRDefault="00F76F9E" w:rsidP="0092478B">
      <w:pPr>
        <w:spacing w:line="276" w:lineRule="auto"/>
      </w:pPr>
    </w:p>
    <w:p w14:paraId="1D68A712" w14:textId="2AB5161A" w:rsidR="0092478B" w:rsidRPr="00677905" w:rsidRDefault="0092478B" w:rsidP="005F5F82">
      <w:pPr>
        <w:spacing w:line="276" w:lineRule="auto"/>
        <w:jc w:val="both"/>
      </w:pPr>
      <w:r w:rsidRPr="00677905">
        <w:t>Estimad</w:t>
      </w:r>
      <w:r w:rsidR="005F5F82">
        <w:t>a</w:t>
      </w:r>
      <w:r w:rsidRPr="00677905">
        <w:t xml:space="preserve"> señor</w:t>
      </w:r>
      <w:r w:rsidR="005F5F82">
        <w:t>a</w:t>
      </w:r>
      <w:r w:rsidRPr="00677905">
        <w:t>:</w:t>
      </w:r>
    </w:p>
    <w:p w14:paraId="52DE25FE" w14:textId="77777777" w:rsidR="0092478B" w:rsidRDefault="0092478B" w:rsidP="005F5F82">
      <w:pPr>
        <w:spacing w:line="276" w:lineRule="auto"/>
        <w:jc w:val="both"/>
      </w:pPr>
    </w:p>
    <w:p w14:paraId="4D21A3A3" w14:textId="454AD4F9" w:rsidR="00DE615E" w:rsidRDefault="005F5F82" w:rsidP="005F5F82">
      <w:pPr>
        <w:spacing w:line="276" w:lineRule="auto"/>
        <w:jc w:val="both"/>
        <w:rPr>
          <w:iCs/>
        </w:rPr>
      </w:pPr>
      <w:r>
        <w:rPr>
          <w:iCs/>
        </w:rPr>
        <w:t xml:space="preserve">Como es de su estimado conocimiento, presenté mi renuncia al cargo de </w:t>
      </w:r>
      <w:r w:rsidRPr="008F724F">
        <w:rPr>
          <w:i/>
        </w:rPr>
        <w:t>Líder de Normativa y Autorizaciones</w:t>
      </w:r>
      <w:r>
        <w:rPr>
          <w:iCs/>
        </w:rPr>
        <w:t xml:space="preserve">, proceso adscrito a la </w:t>
      </w:r>
      <w:r w:rsidRPr="008F724F">
        <w:rPr>
          <w:i/>
        </w:rPr>
        <w:t>División de Planificación y Normativa</w:t>
      </w:r>
      <w:r>
        <w:rPr>
          <w:iCs/>
        </w:rPr>
        <w:t xml:space="preserve"> de la Superintendencia, mediante oficio de fecha 1° de marzo de los corrientes, para acogerme a mi jubilación, el siguiente 11 de abril.</w:t>
      </w:r>
    </w:p>
    <w:p w14:paraId="236F7287" w14:textId="77777777" w:rsidR="005F5F82" w:rsidRDefault="005F5F82" w:rsidP="005F5F82">
      <w:pPr>
        <w:spacing w:line="276" w:lineRule="auto"/>
        <w:jc w:val="both"/>
        <w:rPr>
          <w:iCs/>
        </w:rPr>
      </w:pPr>
    </w:p>
    <w:p w14:paraId="1144C3F3" w14:textId="4CAF18C1" w:rsidR="005F5F82" w:rsidRDefault="005F5F82" w:rsidP="005F5F82">
      <w:pPr>
        <w:spacing w:line="276" w:lineRule="auto"/>
        <w:jc w:val="both"/>
        <w:rPr>
          <w:iCs/>
        </w:rPr>
      </w:pPr>
      <w:r>
        <w:rPr>
          <w:iCs/>
        </w:rPr>
        <w:t xml:space="preserve">Dicha renuncia fue aceptada por usted, en su condición ya dicha, mediante oficio SP-238-2024, de fecha </w:t>
      </w:r>
      <w:r w:rsidRPr="005F5F82">
        <w:rPr>
          <w:iCs/>
        </w:rPr>
        <w:t>4 de marzo de 202</w:t>
      </w:r>
      <w:r>
        <w:rPr>
          <w:iCs/>
        </w:rPr>
        <w:t>4, adjunto a este oficio.</w:t>
      </w:r>
    </w:p>
    <w:p w14:paraId="745587FD" w14:textId="104EF9FC" w:rsidR="005F5F82" w:rsidRDefault="005F5F82" w:rsidP="005F5F82">
      <w:pPr>
        <w:spacing w:line="276" w:lineRule="auto"/>
        <w:jc w:val="both"/>
        <w:rPr>
          <w:iCs/>
        </w:rPr>
      </w:pPr>
    </w:p>
    <w:p w14:paraId="604A0BE1" w14:textId="61776744" w:rsidR="00E629C7" w:rsidRDefault="005F5F82" w:rsidP="00E629C7">
      <w:pPr>
        <w:spacing w:line="276" w:lineRule="auto"/>
        <w:jc w:val="both"/>
        <w:rPr>
          <w:iCs/>
        </w:rPr>
      </w:pPr>
      <w:r>
        <w:rPr>
          <w:iCs/>
        </w:rPr>
        <w:t>En vista de lo anterior, procedo a realizar</w:t>
      </w:r>
      <w:r w:rsidR="00E629C7">
        <w:rPr>
          <w:iCs/>
        </w:rPr>
        <w:t>,</w:t>
      </w:r>
      <w:r>
        <w:rPr>
          <w:iCs/>
        </w:rPr>
        <w:t xml:space="preserve"> por este medio</w:t>
      </w:r>
      <w:r w:rsidR="00E629C7">
        <w:rPr>
          <w:iCs/>
        </w:rPr>
        <w:t>,</w:t>
      </w:r>
      <w:r>
        <w:rPr>
          <w:iCs/>
        </w:rPr>
        <w:t xml:space="preserve"> el correspondiente informe de labores, siguiendo lo señalado </w:t>
      </w:r>
      <w:r w:rsidR="00E629C7">
        <w:rPr>
          <w:iCs/>
        </w:rPr>
        <w:t xml:space="preserve">en el oficio </w:t>
      </w:r>
      <w:r w:rsidR="00E629C7" w:rsidRPr="00E629C7">
        <w:rPr>
          <w:iCs/>
        </w:rPr>
        <w:t>DSC-PYC-PAR-0076-2024</w:t>
      </w:r>
      <w:r w:rsidR="00E629C7">
        <w:rPr>
          <w:iCs/>
        </w:rPr>
        <w:t xml:space="preserve">, de fecha 05 de marzo de 2024, remitido a mi persona por el </w:t>
      </w:r>
      <w:r w:rsidR="00E629C7" w:rsidRPr="008F724F">
        <w:rPr>
          <w:i/>
        </w:rPr>
        <w:t>Proceso Pago de Remuneraciones, Departamento Pagos y Cobros,</w:t>
      </w:r>
      <w:r w:rsidR="00E629C7">
        <w:rPr>
          <w:iCs/>
        </w:rPr>
        <w:t xml:space="preserve"> del </w:t>
      </w:r>
      <w:r w:rsidR="00E629C7" w:rsidRPr="008F724F">
        <w:rPr>
          <w:i/>
        </w:rPr>
        <w:t>Banco Central de Costa Rica</w:t>
      </w:r>
      <w:r w:rsidR="00E629C7">
        <w:rPr>
          <w:iCs/>
        </w:rPr>
        <w:t xml:space="preserve">, el cual señala los apartados que deben incluirse en el mismo, según el </w:t>
      </w:r>
      <w:r w:rsidR="00E629C7" w:rsidRPr="00E629C7">
        <w:rPr>
          <w:iCs/>
        </w:rPr>
        <w:t xml:space="preserve">artículo 4 de las </w:t>
      </w:r>
      <w:r w:rsidR="00E629C7" w:rsidRPr="00E629C7">
        <w:rPr>
          <w:i/>
        </w:rPr>
        <w:t>“Directrices que deben observar los funcionarios obligados a presentar el informe final de su gestión, según lo dispuesto en el inciso e) del artículo 12 de la Ley General de Control Interno, D-1-2005-CO-DFOE”</w:t>
      </w:r>
      <w:r w:rsidR="00E629C7" w:rsidRPr="00E629C7">
        <w:rPr>
          <w:iCs/>
        </w:rPr>
        <w:t xml:space="preserve">, emitidas por la </w:t>
      </w:r>
      <w:r w:rsidR="00E629C7" w:rsidRPr="008F724F">
        <w:rPr>
          <w:i/>
        </w:rPr>
        <w:t>Contraloría General de la República</w:t>
      </w:r>
      <w:r w:rsidR="00E629C7">
        <w:rPr>
          <w:iCs/>
        </w:rPr>
        <w:t>.</w:t>
      </w:r>
    </w:p>
    <w:p w14:paraId="673B8565" w14:textId="77777777" w:rsidR="00E40BB9" w:rsidRPr="00E629C7" w:rsidRDefault="00E40BB9" w:rsidP="00E629C7">
      <w:pPr>
        <w:spacing w:line="276" w:lineRule="auto"/>
        <w:jc w:val="both"/>
        <w:rPr>
          <w:rFonts w:asciiTheme="minorHAnsi" w:hAnsiTheme="minorHAnsi" w:cstheme="minorHAnsi"/>
          <w:iCs/>
        </w:rPr>
      </w:pPr>
    </w:p>
    <w:p w14:paraId="3CC1874D" w14:textId="6AFECF17" w:rsidR="00E629C7" w:rsidRPr="00E629C7" w:rsidRDefault="00E629C7" w:rsidP="00E629C7">
      <w:pPr>
        <w:spacing w:line="276" w:lineRule="auto"/>
        <w:jc w:val="both"/>
        <w:rPr>
          <w:rFonts w:asciiTheme="minorHAnsi" w:hAnsiTheme="minorHAnsi" w:cstheme="minorHAnsi"/>
          <w:iCs/>
        </w:rPr>
      </w:pPr>
    </w:p>
    <w:p w14:paraId="4C5B8650" w14:textId="070EDAE7" w:rsidR="00E629C7" w:rsidRPr="00C3753D" w:rsidRDefault="00E629C7" w:rsidP="00F76F9E">
      <w:pPr>
        <w:tabs>
          <w:tab w:val="left" w:pos="5727"/>
        </w:tabs>
        <w:spacing w:line="276" w:lineRule="auto"/>
        <w:jc w:val="center"/>
        <w:rPr>
          <w:rFonts w:asciiTheme="minorHAnsi" w:hAnsiTheme="minorHAnsi" w:cstheme="minorHAnsi"/>
          <w:b/>
          <w:bCs/>
          <w:iCs/>
        </w:rPr>
      </w:pPr>
      <w:r w:rsidRPr="00C3753D">
        <w:rPr>
          <w:rFonts w:asciiTheme="minorHAnsi" w:hAnsiTheme="minorHAnsi" w:cstheme="minorHAnsi"/>
          <w:b/>
          <w:bCs/>
          <w:iCs/>
        </w:rPr>
        <w:t>Resumen Ejecutivo</w:t>
      </w:r>
    </w:p>
    <w:p w14:paraId="0512AF94" w14:textId="0C1AF380" w:rsidR="00E629C7" w:rsidRPr="00E629C7" w:rsidRDefault="00E629C7" w:rsidP="00E629C7">
      <w:pPr>
        <w:spacing w:line="276" w:lineRule="auto"/>
        <w:jc w:val="both"/>
        <w:rPr>
          <w:iCs/>
        </w:rPr>
      </w:pPr>
    </w:p>
    <w:p w14:paraId="00FC1BDE" w14:textId="79A062E0" w:rsidR="00E629C7" w:rsidRDefault="00E629C7" w:rsidP="00E629C7">
      <w:pPr>
        <w:spacing w:line="276" w:lineRule="auto"/>
        <w:jc w:val="both"/>
        <w:rPr>
          <w:iCs/>
        </w:rPr>
      </w:pPr>
      <w:r w:rsidRPr="00E629C7">
        <w:rPr>
          <w:iCs/>
        </w:rPr>
        <w:t>El informe</w:t>
      </w:r>
      <w:r>
        <w:rPr>
          <w:iCs/>
        </w:rPr>
        <w:t xml:space="preserve"> de labores comprende, </w:t>
      </w:r>
      <w:r w:rsidR="00DE4410">
        <w:rPr>
          <w:iCs/>
        </w:rPr>
        <w:t>de</w:t>
      </w:r>
      <w:r>
        <w:rPr>
          <w:iCs/>
        </w:rPr>
        <w:t xml:space="preserve"> forma </w:t>
      </w:r>
      <w:r w:rsidR="00DE4410">
        <w:rPr>
          <w:iCs/>
        </w:rPr>
        <w:t xml:space="preserve">muy </w:t>
      </w:r>
      <w:r>
        <w:rPr>
          <w:iCs/>
        </w:rPr>
        <w:t>general</w:t>
      </w:r>
      <w:r w:rsidR="00281D84">
        <w:rPr>
          <w:iCs/>
        </w:rPr>
        <w:t xml:space="preserve">, </w:t>
      </w:r>
      <w:r w:rsidR="00093BD4">
        <w:rPr>
          <w:iCs/>
        </w:rPr>
        <w:t>dado lo extenso del período de servicio (25 años continuos)</w:t>
      </w:r>
      <w:r w:rsidR="00DE4410">
        <w:rPr>
          <w:iCs/>
        </w:rPr>
        <w:t xml:space="preserve">, </w:t>
      </w:r>
      <w:r>
        <w:rPr>
          <w:iCs/>
        </w:rPr>
        <w:t xml:space="preserve">los aspectos más relevantes de las labores realizadas, a partir del mes de setiembre de 1999, cuando </w:t>
      </w:r>
      <w:r w:rsidR="003B799D">
        <w:rPr>
          <w:iCs/>
        </w:rPr>
        <w:t xml:space="preserve">inicié mis funciones </w:t>
      </w:r>
      <w:r w:rsidR="00A5200C">
        <w:rPr>
          <w:iCs/>
        </w:rPr>
        <w:t xml:space="preserve">en el </w:t>
      </w:r>
      <w:r w:rsidR="00A5200C" w:rsidRPr="00B33212">
        <w:rPr>
          <w:i/>
        </w:rPr>
        <w:t>Banco Central de Costa Rica</w:t>
      </w:r>
      <w:r w:rsidR="00B33212">
        <w:rPr>
          <w:iCs/>
        </w:rPr>
        <w:t xml:space="preserve"> </w:t>
      </w:r>
      <w:r w:rsidR="003B799D">
        <w:rPr>
          <w:iCs/>
        </w:rPr>
        <w:t xml:space="preserve">como Director del </w:t>
      </w:r>
      <w:r w:rsidR="003B799D" w:rsidRPr="00281D84">
        <w:rPr>
          <w:i/>
        </w:rPr>
        <w:t>Departamento de Cumplimiento</w:t>
      </w:r>
      <w:r w:rsidR="003B799D">
        <w:rPr>
          <w:iCs/>
        </w:rPr>
        <w:t xml:space="preserve"> de la </w:t>
      </w:r>
      <w:r w:rsidR="003B799D" w:rsidRPr="00281D84">
        <w:rPr>
          <w:i/>
        </w:rPr>
        <w:t>Superintendencia General de Valores</w:t>
      </w:r>
      <w:r w:rsidR="003B799D">
        <w:rPr>
          <w:iCs/>
        </w:rPr>
        <w:t xml:space="preserve">, posteriormente, en </w:t>
      </w:r>
      <w:r w:rsidR="00281D84">
        <w:rPr>
          <w:iCs/>
        </w:rPr>
        <w:t xml:space="preserve">calidad de </w:t>
      </w:r>
      <w:r w:rsidR="003B799D">
        <w:rPr>
          <w:iCs/>
        </w:rPr>
        <w:t xml:space="preserve">préstamo </w:t>
      </w:r>
      <w:r w:rsidR="00E9337F">
        <w:rPr>
          <w:iCs/>
        </w:rPr>
        <w:t>en</w:t>
      </w:r>
      <w:r w:rsidR="003B799D">
        <w:rPr>
          <w:iCs/>
        </w:rPr>
        <w:t xml:space="preserve"> la Superintendencia de Pensiones, para apoyar la atención y conclusión de los procedimientos administrativos e investigaciones preliminares abiertas con ocasión de la entrada en vigencia de la </w:t>
      </w:r>
      <w:r w:rsidR="003B799D" w:rsidRPr="003B799D">
        <w:rPr>
          <w:i/>
        </w:rPr>
        <w:t xml:space="preserve">Ley de Protección al </w:t>
      </w:r>
      <w:r w:rsidR="003B799D" w:rsidRPr="003B799D">
        <w:rPr>
          <w:i/>
        </w:rPr>
        <w:lastRenderedPageBreak/>
        <w:t>Trabajador</w:t>
      </w:r>
      <w:r w:rsidR="003B799D">
        <w:rPr>
          <w:iCs/>
        </w:rPr>
        <w:t xml:space="preserve">, en febrero del año 2000; para asumir, posteriormente, la Dirección del </w:t>
      </w:r>
      <w:r w:rsidR="003B799D" w:rsidRPr="00281D84">
        <w:rPr>
          <w:i/>
        </w:rPr>
        <w:t>Departamento de Control de Beneficios</w:t>
      </w:r>
      <w:r w:rsidR="003B799D">
        <w:rPr>
          <w:iCs/>
        </w:rPr>
        <w:t xml:space="preserve"> de la entonces denominada </w:t>
      </w:r>
      <w:r w:rsidR="003B799D" w:rsidRPr="00281D84">
        <w:rPr>
          <w:i/>
        </w:rPr>
        <w:t>División de Control de Instituciones</w:t>
      </w:r>
      <w:r w:rsidR="003B799D">
        <w:rPr>
          <w:iCs/>
        </w:rPr>
        <w:t xml:space="preserve">; y, finalmente, asumir el cargo de </w:t>
      </w:r>
      <w:r w:rsidR="003B799D" w:rsidRPr="00281D84">
        <w:rPr>
          <w:i/>
        </w:rPr>
        <w:t xml:space="preserve">Director del Proceso de Normativa y Autorizaciones </w:t>
      </w:r>
      <w:r w:rsidR="003B799D">
        <w:rPr>
          <w:iCs/>
        </w:rPr>
        <w:t>en el año 200</w:t>
      </w:r>
      <w:r w:rsidR="00C33B3F">
        <w:rPr>
          <w:iCs/>
        </w:rPr>
        <w:t>6</w:t>
      </w:r>
      <w:r w:rsidR="003B799D">
        <w:rPr>
          <w:iCs/>
        </w:rPr>
        <w:t xml:space="preserve">, producto de la reorganización </w:t>
      </w:r>
      <w:r w:rsidR="00281D84">
        <w:rPr>
          <w:iCs/>
        </w:rPr>
        <w:t xml:space="preserve">administrativa </w:t>
      </w:r>
      <w:r w:rsidR="003B799D">
        <w:rPr>
          <w:iCs/>
        </w:rPr>
        <w:t>llevada a cabo en esa oportunidad</w:t>
      </w:r>
      <w:r w:rsidR="00281D84">
        <w:rPr>
          <w:iCs/>
        </w:rPr>
        <w:t xml:space="preserve"> en la Superintendencia de Pensiones</w:t>
      </w:r>
      <w:r w:rsidR="003B799D">
        <w:rPr>
          <w:iCs/>
        </w:rPr>
        <w:t>, cargo que ejercí de forma ininterrumpida</w:t>
      </w:r>
      <w:r w:rsidR="0002129A">
        <w:rPr>
          <w:iCs/>
        </w:rPr>
        <w:t>,</w:t>
      </w:r>
      <w:r w:rsidR="0002129A" w:rsidRPr="0002129A">
        <w:t xml:space="preserve"> </w:t>
      </w:r>
      <w:r w:rsidR="0002129A" w:rsidRPr="0002129A">
        <w:rPr>
          <w:iCs/>
        </w:rPr>
        <w:t>hasta la fecha de mi renuncia</w:t>
      </w:r>
      <w:r w:rsidR="007310BB">
        <w:rPr>
          <w:iCs/>
        </w:rPr>
        <w:t xml:space="preserve"> para acogerme a mi jubilación.</w:t>
      </w:r>
    </w:p>
    <w:p w14:paraId="77FD2ED7" w14:textId="77777777" w:rsidR="00FA16E0" w:rsidRDefault="00FA16E0" w:rsidP="00E629C7">
      <w:pPr>
        <w:spacing w:line="276" w:lineRule="auto"/>
        <w:jc w:val="both"/>
        <w:rPr>
          <w:iCs/>
        </w:rPr>
      </w:pPr>
    </w:p>
    <w:p w14:paraId="26A18027" w14:textId="640EA57A" w:rsidR="00281D84" w:rsidRDefault="007310BB" w:rsidP="00281D84">
      <w:pPr>
        <w:spacing w:line="276" w:lineRule="auto"/>
        <w:jc w:val="both"/>
        <w:rPr>
          <w:iCs/>
        </w:rPr>
      </w:pPr>
      <w:r>
        <w:rPr>
          <w:iCs/>
        </w:rPr>
        <w:t xml:space="preserve">Este </w:t>
      </w:r>
      <w:r w:rsidR="00954318">
        <w:rPr>
          <w:iCs/>
        </w:rPr>
        <w:t>informe se rinde c</w:t>
      </w:r>
      <w:r w:rsidR="001B529A">
        <w:rPr>
          <w:iCs/>
        </w:rPr>
        <w:t xml:space="preserve">on </w:t>
      </w:r>
      <w:r w:rsidR="00D33262">
        <w:rPr>
          <w:iCs/>
        </w:rPr>
        <w:t xml:space="preserve">especial </w:t>
      </w:r>
      <w:r w:rsidR="001B529A">
        <w:rPr>
          <w:iCs/>
        </w:rPr>
        <w:t>énfasis en los últimos seis años</w:t>
      </w:r>
      <w:r w:rsidR="00D33262">
        <w:rPr>
          <w:iCs/>
        </w:rPr>
        <w:t xml:space="preserve"> de labores, </w:t>
      </w:r>
      <w:r w:rsidR="00FF4595">
        <w:rPr>
          <w:iCs/>
        </w:rPr>
        <w:t xml:space="preserve">para destacar los ciclos de la revisión y actualización </w:t>
      </w:r>
      <w:r w:rsidR="00F401ED">
        <w:rPr>
          <w:iCs/>
        </w:rPr>
        <w:t>tri</w:t>
      </w:r>
      <w:r w:rsidR="00342C31">
        <w:rPr>
          <w:iCs/>
        </w:rPr>
        <w:t>enal</w:t>
      </w:r>
      <w:r w:rsidR="00F401ED">
        <w:rPr>
          <w:iCs/>
        </w:rPr>
        <w:t xml:space="preserve"> </w:t>
      </w:r>
      <w:r w:rsidR="00FF4595">
        <w:rPr>
          <w:iCs/>
        </w:rPr>
        <w:t>de la normativa</w:t>
      </w:r>
      <w:r w:rsidR="00A471D4">
        <w:rPr>
          <w:iCs/>
        </w:rPr>
        <w:t>, así como de las aprobaciones y autorizaciones que, de conformidad con la ley, le corresponde otorgar a la Sup</w:t>
      </w:r>
      <w:r w:rsidR="00D33262">
        <w:rPr>
          <w:iCs/>
        </w:rPr>
        <w:t>erintendencia de Pensiones</w:t>
      </w:r>
      <w:r w:rsidR="006B60A1">
        <w:rPr>
          <w:iCs/>
        </w:rPr>
        <w:t>. T</w:t>
      </w:r>
      <w:r w:rsidR="005D303F">
        <w:rPr>
          <w:iCs/>
        </w:rPr>
        <w:t>ambién</w:t>
      </w:r>
      <w:r w:rsidR="006B60A1">
        <w:rPr>
          <w:iCs/>
        </w:rPr>
        <w:t>,</w:t>
      </w:r>
      <w:r w:rsidR="005D303F">
        <w:rPr>
          <w:iCs/>
        </w:rPr>
        <w:t xml:space="preserve"> durante ese mismo período de tiempo, </w:t>
      </w:r>
      <w:r w:rsidR="00D33262">
        <w:rPr>
          <w:iCs/>
        </w:rPr>
        <w:t>s</w:t>
      </w:r>
      <w:r w:rsidR="00281D84">
        <w:rPr>
          <w:iCs/>
        </w:rPr>
        <w:t>e</w:t>
      </w:r>
      <w:r w:rsidR="003B799D">
        <w:rPr>
          <w:iCs/>
        </w:rPr>
        <w:t xml:space="preserve"> presentan aquí </w:t>
      </w:r>
      <w:r w:rsidR="00540E82">
        <w:rPr>
          <w:iCs/>
        </w:rPr>
        <w:t xml:space="preserve">mismo </w:t>
      </w:r>
      <w:r w:rsidR="003B799D">
        <w:rPr>
          <w:iCs/>
        </w:rPr>
        <w:t xml:space="preserve">los resultados de la gestión; las labores sustantivas del proceso; los cambios habidos en el entorno, incluyendo los </w:t>
      </w:r>
      <w:r w:rsidR="00281D84">
        <w:rPr>
          <w:iCs/>
        </w:rPr>
        <w:t xml:space="preserve">más relevantes </w:t>
      </w:r>
      <w:r w:rsidR="003B799D">
        <w:rPr>
          <w:iCs/>
        </w:rPr>
        <w:t>habidos en el ordenamiento jurídico</w:t>
      </w:r>
      <w:r w:rsidR="00281D84">
        <w:rPr>
          <w:iCs/>
        </w:rPr>
        <w:t xml:space="preserve"> durante el período; la autoevaluación del control interno del proceso y las mejoras al mismo; los principales logros alcanzados, según la planificación institucional; los proyectos más relevantes realizados y los que quedaron pendientes durante la gestión; el cumplimiento de las disposiciones o recomendaciones  que durante la gestión hubieren girado los órganos de control externo; así como las recomendaciones que durante la gestión hubiere formulado la Auditoría Interna del CONASSIF.</w:t>
      </w:r>
    </w:p>
    <w:p w14:paraId="11B874AC" w14:textId="77777777" w:rsidR="00281D84" w:rsidRPr="00281D84" w:rsidRDefault="00281D84" w:rsidP="00281D84">
      <w:pPr>
        <w:spacing w:line="276" w:lineRule="auto"/>
        <w:jc w:val="both"/>
        <w:rPr>
          <w:iCs/>
        </w:rPr>
      </w:pPr>
    </w:p>
    <w:p w14:paraId="7461834B" w14:textId="170155AC" w:rsidR="00E629C7" w:rsidRDefault="00D461E1" w:rsidP="00D461E1">
      <w:pPr>
        <w:pStyle w:val="Prrafodelista"/>
        <w:numPr>
          <w:ilvl w:val="0"/>
          <w:numId w:val="2"/>
        </w:numPr>
        <w:spacing w:line="276" w:lineRule="auto"/>
        <w:jc w:val="both"/>
        <w:rPr>
          <w:rFonts w:asciiTheme="minorHAnsi" w:hAnsiTheme="minorHAnsi" w:cstheme="minorHAnsi"/>
          <w:b/>
          <w:bCs/>
          <w:iCs/>
        </w:rPr>
      </w:pPr>
      <w:r w:rsidRPr="00D461E1">
        <w:rPr>
          <w:rFonts w:asciiTheme="minorHAnsi" w:hAnsiTheme="minorHAnsi" w:cstheme="minorHAnsi"/>
          <w:b/>
          <w:bCs/>
          <w:iCs/>
        </w:rPr>
        <w:t xml:space="preserve">Labores sustantivas </w:t>
      </w:r>
    </w:p>
    <w:p w14:paraId="29405365" w14:textId="77777777" w:rsidR="00D461E1" w:rsidRDefault="00D461E1" w:rsidP="00D461E1">
      <w:pPr>
        <w:pStyle w:val="Prrafodelista"/>
        <w:spacing w:line="276" w:lineRule="auto"/>
        <w:ind w:left="1080"/>
        <w:jc w:val="both"/>
        <w:rPr>
          <w:rFonts w:asciiTheme="minorHAnsi" w:hAnsiTheme="minorHAnsi" w:cstheme="minorHAnsi"/>
          <w:b/>
          <w:bCs/>
          <w:iCs/>
        </w:rPr>
      </w:pPr>
    </w:p>
    <w:p w14:paraId="78672F52" w14:textId="2AE89798" w:rsidR="00D461E1" w:rsidRDefault="00D461E1" w:rsidP="00D461E1">
      <w:pPr>
        <w:spacing w:line="276" w:lineRule="auto"/>
        <w:jc w:val="both"/>
        <w:rPr>
          <w:rFonts w:cs="Times New Roman"/>
          <w:iCs/>
        </w:rPr>
      </w:pPr>
      <w:r w:rsidRPr="00D461E1">
        <w:rPr>
          <w:rFonts w:cs="Times New Roman"/>
          <w:iCs/>
        </w:rPr>
        <w:t xml:space="preserve">Como </w:t>
      </w:r>
      <w:r w:rsidRPr="00DD43D1">
        <w:rPr>
          <w:rFonts w:cs="Times New Roman"/>
          <w:iCs/>
        </w:rPr>
        <w:t>Director del</w:t>
      </w:r>
      <w:r w:rsidR="00DD43D1">
        <w:rPr>
          <w:rFonts w:cs="Times New Roman"/>
          <w:i/>
        </w:rPr>
        <w:t xml:space="preserve"> </w:t>
      </w:r>
      <w:r w:rsidR="00DD43D1" w:rsidRPr="00B30D30">
        <w:rPr>
          <w:rFonts w:cs="Times New Roman"/>
          <w:iCs/>
        </w:rPr>
        <w:t>entonces recién creado</w:t>
      </w:r>
      <w:r w:rsidR="00B30D30">
        <w:rPr>
          <w:rFonts w:cs="Times New Roman"/>
          <w:i/>
        </w:rPr>
        <w:t xml:space="preserve"> </w:t>
      </w:r>
      <w:r w:rsidRPr="00D461E1">
        <w:rPr>
          <w:rFonts w:cs="Times New Roman"/>
          <w:i/>
        </w:rPr>
        <w:t>Departamento de Cumplimiento</w:t>
      </w:r>
      <w:r>
        <w:rPr>
          <w:rFonts w:cs="Times New Roman"/>
          <w:iCs/>
        </w:rPr>
        <w:t xml:space="preserve"> de la </w:t>
      </w:r>
      <w:r w:rsidRPr="00D461E1">
        <w:rPr>
          <w:rFonts w:cs="Times New Roman"/>
          <w:i/>
        </w:rPr>
        <w:t>Superintendencia General de Valores</w:t>
      </w:r>
      <w:r w:rsidR="00DD43D1">
        <w:rPr>
          <w:rFonts w:cs="Times New Roman"/>
          <w:iCs/>
        </w:rPr>
        <w:t xml:space="preserve">, </w:t>
      </w:r>
      <w:r>
        <w:rPr>
          <w:rFonts w:cs="Times New Roman"/>
          <w:iCs/>
        </w:rPr>
        <w:t>me correspondió llevar a cabo las investigaciones</w:t>
      </w:r>
      <w:r w:rsidR="00D84E09">
        <w:rPr>
          <w:rFonts w:cs="Times New Roman"/>
          <w:iCs/>
        </w:rPr>
        <w:t>, nuevas y pendientes,</w:t>
      </w:r>
      <w:r>
        <w:rPr>
          <w:rFonts w:cs="Times New Roman"/>
          <w:iCs/>
        </w:rPr>
        <w:t xml:space="preserve"> por </w:t>
      </w:r>
      <w:r w:rsidR="00875F2C">
        <w:rPr>
          <w:rFonts w:cs="Times New Roman"/>
          <w:iCs/>
        </w:rPr>
        <w:t xml:space="preserve">los </w:t>
      </w:r>
      <w:r>
        <w:rPr>
          <w:rFonts w:cs="Times New Roman"/>
          <w:iCs/>
        </w:rPr>
        <w:t>eventuales incumplimientos a la normativa del sector del mercado de valores que pudieran desembocar e</w:t>
      </w:r>
      <w:r w:rsidR="00157C4B">
        <w:rPr>
          <w:rFonts w:cs="Times New Roman"/>
          <w:iCs/>
        </w:rPr>
        <w:t>n</w:t>
      </w:r>
      <w:r>
        <w:rPr>
          <w:rFonts w:cs="Times New Roman"/>
          <w:iCs/>
        </w:rPr>
        <w:t xml:space="preserve"> eventuales denuncias ante las autoridades judiciales, o bien, en los procedimientos administrativos sancionatorios, de acuerdo con la </w:t>
      </w:r>
      <w:r w:rsidRPr="00D461E1">
        <w:rPr>
          <w:rFonts w:cs="Times New Roman"/>
          <w:i/>
        </w:rPr>
        <w:t>Ley Reguladora del Mercado de Valores</w:t>
      </w:r>
      <w:r>
        <w:rPr>
          <w:rFonts w:cs="Times New Roman"/>
          <w:iCs/>
        </w:rPr>
        <w:t>, asesorando al señor Superintendente e Intendente sobre l</w:t>
      </w:r>
      <w:r w:rsidR="008C400F">
        <w:rPr>
          <w:rFonts w:cs="Times New Roman"/>
          <w:iCs/>
        </w:rPr>
        <w:t>a materia</w:t>
      </w:r>
      <w:r>
        <w:rPr>
          <w:rFonts w:cs="Times New Roman"/>
          <w:iCs/>
        </w:rPr>
        <w:t>, en conjunto con la División de Asesoría Jurídica</w:t>
      </w:r>
      <w:r w:rsidR="00875F2C">
        <w:rPr>
          <w:rFonts w:cs="Times New Roman"/>
          <w:iCs/>
        </w:rPr>
        <w:t xml:space="preserve"> de la SUGEVAL.</w:t>
      </w:r>
      <w:r>
        <w:rPr>
          <w:rFonts w:cs="Times New Roman"/>
          <w:iCs/>
        </w:rPr>
        <w:t xml:space="preserve"> </w:t>
      </w:r>
    </w:p>
    <w:p w14:paraId="60D3A565" w14:textId="14FA8CD2" w:rsidR="00D461E1" w:rsidRDefault="00D461E1" w:rsidP="00D461E1">
      <w:pPr>
        <w:spacing w:line="276" w:lineRule="auto"/>
        <w:jc w:val="both"/>
        <w:rPr>
          <w:rFonts w:cs="Times New Roman"/>
          <w:iCs/>
        </w:rPr>
      </w:pPr>
    </w:p>
    <w:p w14:paraId="6AF91297" w14:textId="6266C712" w:rsidR="00D461E1" w:rsidRDefault="00B34779" w:rsidP="00D461E1">
      <w:pPr>
        <w:spacing w:line="276" w:lineRule="auto"/>
        <w:jc w:val="both"/>
        <w:rPr>
          <w:rFonts w:cs="Times New Roman"/>
          <w:iCs/>
        </w:rPr>
      </w:pPr>
      <w:r>
        <w:rPr>
          <w:rFonts w:cs="Times New Roman"/>
          <w:iCs/>
        </w:rPr>
        <w:t xml:space="preserve">Producto </w:t>
      </w:r>
      <w:r w:rsidR="00D461E1">
        <w:rPr>
          <w:rFonts w:cs="Times New Roman"/>
          <w:iCs/>
        </w:rPr>
        <w:t xml:space="preserve">de la entrada en vigencia de la </w:t>
      </w:r>
      <w:r w:rsidR="00D461E1" w:rsidRPr="00314DB2">
        <w:rPr>
          <w:rFonts w:cs="Times New Roman"/>
          <w:i/>
        </w:rPr>
        <w:t>Ley de Protección al Trabajador</w:t>
      </w:r>
      <w:r w:rsidR="008C04F2">
        <w:rPr>
          <w:rFonts w:cs="Times New Roman"/>
          <w:i/>
        </w:rPr>
        <w:t>,</w:t>
      </w:r>
      <w:r w:rsidR="00D461E1">
        <w:rPr>
          <w:rFonts w:cs="Times New Roman"/>
          <w:iCs/>
        </w:rPr>
        <w:t xml:space="preserve"> en febrero del año 2000, fui trasladado en préstamo a la </w:t>
      </w:r>
      <w:r w:rsidR="00D461E1" w:rsidRPr="00766D3F">
        <w:rPr>
          <w:rFonts w:cs="Times New Roman"/>
          <w:i/>
        </w:rPr>
        <w:t>Superintendencia de Pensiones</w:t>
      </w:r>
      <w:r w:rsidR="00766D3F">
        <w:rPr>
          <w:rFonts w:cs="Times New Roman"/>
          <w:iCs/>
        </w:rPr>
        <w:t xml:space="preserve"> (SUPEN)</w:t>
      </w:r>
      <w:r w:rsidR="00D461E1">
        <w:rPr>
          <w:rFonts w:cs="Times New Roman"/>
          <w:iCs/>
        </w:rPr>
        <w:t xml:space="preserve"> para asistirla en la atención de las investigaciones preliminares que mantenía</w:t>
      </w:r>
      <w:r w:rsidR="006A0CAC">
        <w:rPr>
          <w:rFonts w:cs="Times New Roman"/>
          <w:iCs/>
        </w:rPr>
        <w:t xml:space="preserve"> </w:t>
      </w:r>
      <w:r w:rsidR="00D461E1">
        <w:rPr>
          <w:rFonts w:cs="Times New Roman"/>
          <w:iCs/>
        </w:rPr>
        <w:t xml:space="preserve">y </w:t>
      </w:r>
      <w:r w:rsidR="00314DB2">
        <w:rPr>
          <w:rFonts w:cs="Times New Roman"/>
          <w:iCs/>
        </w:rPr>
        <w:t xml:space="preserve">de </w:t>
      </w:r>
      <w:r w:rsidR="00D461E1">
        <w:rPr>
          <w:rFonts w:cs="Times New Roman"/>
          <w:iCs/>
        </w:rPr>
        <w:t>los más de veinte procedimientos administrativos abiertos para entonces, todos los cuales se concluyeron satisfactoriamente, generándose</w:t>
      </w:r>
      <w:r w:rsidR="00314DB2">
        <w:rPr>
          <w:rFonts w:cs="Times New Roman"/>
          <w:iCs/>
        </w:rPr>
        <w:t xml:space="preserve"> </w:t>
      </w:r>
      <w:r w:rsidR="00D461E1">
        <w:rPr>
          <w:rFonts w:cs="Times New Roman"/>
          <w:iCs/>
        </w:rPr>
        <w:t xml:space="preserve">un importante acervo de jurisprudencia administrativa sancionatoria, que vino a resolver una serie de aspectos sobre los cuales habían lagunas jurídicas que llevaron a </w:t>
      </w:r>
      <w:r w:rsidR="00821238">
        <w:rPr>
          <w:rFonts w:cs="Times New Roman"/>
          <w:iCs/>
        </w:rPr>
        <w:t xml:space="preserve">innovadoras </w:t>
      </w:r>
      <w:r w:rsidR="00D461E1">
        <w:rPr>
          <w:rFonts w:cs="Times New Roman"/>
          <w:iCs/>
        </w:rPr>
        <w:t>integraciones del ordenamiento</w:t>
      </w:r>
      <w:r w:rsidR="0095622F">
        <w:rPr>
          <w:rFonts w:cs="Times New Roman"/>
          <w:iCs/>
        </w:rPr>
        <w:t>,</w:t>
      </w:r>
      <w:r w:rsidR="00D461E1">
        <w:rPr>
          <w:rFonts w:cs="Times New Roman"/>
          <w:iCs/>
        </w:rPr>
        <w:t xml:space="preserve"> para resolver temas </w:t>
      </w:r>
      <w:r w:rsidR="00E14A08">
        <w:rPr>
          <w:rFonts w:cs="Times New Roman"/>
          <w:iCs/>
        </w:rPr>
        <w:lastRenderedPageBreak/>
        <w:t xml:space="preserve">relativos a </w:t>
      </w:r>
      <w:r w:rsidR="00D461E1">
        <w:rPr>
          <w:rFonts w:cs="Times New Roman"/>
          <w:iCs/>
        </w:rPr>
        <w:t xml:space="preserve">los concursos materiales e ideales y </w:t>
      </w:r>
      <w:r w:rsidR="00314DB2">
        <w:rPr>
          <w:rFonts w:cs="Times New Roman"/>
          <w:iCs/>
        </w:rPr>
        <w:t xml:space="preserve">de </w:t>
      </w:r>
      <w:r w:rsidR="00D461E1">
        <w:rPr>
          <w:rFonts w:cs="Times New Roman"/>
          <w:iCs/>
        </w:rPr>
        <w:t>autoría mediata, cuando algunas infracciones fueron llevadas a cabo</w:t>
      </w:r>
      <w:r w:rsidR="00314DB2">
        <w:rPr>
          <w:rFonts w:cs="Times New Roman"/>
          <w:iCs/>
        </w:rPr>
        <w:t>,</w:t>
      </w:r>
      <w:r w:rsidR="00D461E1">
        <w:rPr>
          <w:rFonts w:cs="Times New Roman"/>
          <w:iCs/>
        </w:rPr>
        <w:t xml:space="preserve"> no directamente por los</w:t>
      </w:r>
      <w:r w:rsidR="00314DB2">
        <w:rPr>
          <w:rFonts w:cs="Times New Roman"/>
          <w:iCs/>
        </w:rPr>
        <w:t xml:space="preserve"> regulados por la SUPEN, sino a través de otras empresas de sus grupos o conglomerados financieros</w:t>
      </w:r>
      <w:r w:rsidR="00544FA0">
        <w:rPr>
          <w:rFonts w:cs="Times New Roman"/>
          <w:iCs/>
        </w:rPr>
        <w:t xml:space="preserve">, </w:t>
      </w:r>
      <w:r w:rsidR="00D85554">
        <w:rPr>
          <w:rFonts w:cs="Times New Roman"/>
          <w:iCs/>
        </w:rPr>
        <w:t xml:space="preserve">entre otros, </w:t>
      </w:r>
      <w:r w:rsidR="00544FA0">
        <w:rPr>
          <w:rFonts w:cs="Times New Roman"/>
          <w:iCs/>
        </w:rPr>
        <w:t>durante la implantación de las reformas</w:t>
      </w:r>
      <w:r w:rsidR="00E31D50">
        <w:rPr>
          <w:rFonts w:cs="Times New Roman"/>
          <w:iCs/>
        </w:rPr>
        <w:t xml:space="preserve"> y la intensa lucha comercial que se suscitó entonces</w:t>
      </w:r>
      <w:r w:rsidR="00BF31AC">
        <w:rPr>
          <w:rFonts w:cs="Times New Roman"/>
          <w:iCs/>
        </w:rPr>
        <w:t xml:space="preserve"> entre las operadoras de pensiones.</w:t>
      </w:r>
    </w:p>
    <w:p w14:paraId="361104CA" w14:textId="50E638A6" w:rsidR="00314DB2" w:rsidRDefault="00314DB2" w:rsidP="00D461E1">
      <w:pPr>
        <w:spacing w:line="276" w:lineRule="auto"/>
        <w:jc w:val="both"/>
        <w:rPr>
          <w:rFonts w:cs="Times New Roman"/>
          <w:iCs/>
        </w:rPr>
      </w:pPr>
    </w:p>
    <w:p w14:paraId="2B18154B" w14:textId="7DA015FA" w:rsidR="00314DB2" w:rsidRDefault="00314DB2" w:rsidP="00D461E1">
      <w:pPr>
        <w:spacing w:line="276" w:lineRule="auto"/>
        <w:jc w:val="both"/>
        <w:rPr>
          <w:rFonts w:cs="Times New Roman"/>
          <w:iCs/>
        </w:rPr>
      </w:pPr>
      <w:r>
        <w:rPr>
          <w:rFonts w:cs="Times New Roman"/>
          <w:iCs/>
        </w:rPr>
        <w:t xml:space="preserve">Como </w:t>
      </w:r>
      <w:r w:rsidRPr="00314DB2">
        <w:rPr>
          <w:rFonts w:cs="Times New Roman"/>
          <w:i/>
        </w:rPr>
        <w:t>Director del Departamento de Control de Beneficios</w:t>
      </w:r>
      <w:r>
        <w:rPr>
          <w:rFonts w:cs="Times New Roman"/>
          <w:iCs/>
        </w:rPr>
        <w:t xml:space="preserve"> de la </w:t>
      </w:r>
      <w:r w:rsidRPr="00314DB2">
        <w:rPr>
          <w:rFonts w:cs="Times New Roman"/>
          <w:i/>
        </w:rPr>
        <w:t>División de Control de Instituciones</w:t>
      </w:r>
      <w:r>
        <w:rPr>
          <w:rFonts w:cs="Times New Roman"/>
          <w:iCs/>
        </w:rPr>
        <w:t xml:space="preserve"> de la </w:t>
      </w:r>
      <w:r w:rsidRPr="00314DB2">
        <w:rPr>
          <w:rFonts w:cs="Times New Roman"/>
          <w:i/>
        </w:rPr>
        <w:t>Superintendencia de Pensiones</w:t>
      </w:r>
      <w:r>
        <w:rPr>
          <w:rFonts w:cs="Times New Roman"/>
          <w:iCs/>
        </w:rPr>
        <w:t xml:space="preserve">, </w:t>
      </w:r>
      <w:r w:rsidR="005A6C56">
        <w:rPr>
          <w:rFonts w:cs="Times New Roman"/>
          <w:iCs/>
        </w:rPr>
        <w:t xml:space="preserve">me correspondió llevar </w:t>
      </w:r>
      <w:r>
        <w:rPr>
          <w:rFonts w:cs="Times New Roman"/>
          <w:iCs/>
        </w:rPr>
        <w:t>a cabo las primeras actividades de supervisión en el otorgamiento de los beneficios, analizadas desde el punto de vista jurídico y de la jurisprudencia emitida entonces por los tribunales de justicia y la Sala Constitucional, sobre el Régimen de Pensiones y Jubilaciones del Poder Judicial</w:t>
      </w:r>
      <w:r w:rsidR="00203CB8">
        <w:rPr>
          <w:rFonts w:cs="Times New Roman"/>
          <w:iCs/>
        </w:rPr>
        <w:t xml:space="preserve"> y de la Junta de Pensiones y Jubilaciones del Magisterio</w:t>
      </w:r>
      <w:r>
        <w:rPr>
          <w:rFonts w:cs="Times New Roman"/>
          <w:iCs/>
        </w:rPr>
        <w:t>, así como sobre el proceso de declaratoria de invalidez de la Caja Costarricense de Seguro Social.</w:t>
      </w:r>
    </w:p>
    <w:p w14:paraId="4DFDF030" w14:textId="33A14892" w:rsidR="006F0D3C" w:rsidRDefault="006F0D3C" w:rsidP="00D461E1">
      <w:pPr>
        <w:spacing w:line="276" w:lineRule="auto"/>
        <w:jc w:val="both"/>
        <w:rPr>
          <w:rFonts w:cs="Times New Roman"/>
          <w:iCs/>
        </w:rPr>
      </w:pPr>
    </w:p>
    <w:p w14:paraId="4D69DA1C" w14:textId="7AF3BA18" w:rsidR="006F0D3C" w:rsidRDefault="006F0D3C" w:rsidP="006F0D3C">
      <w:pPr>
        <w:spacing w:line="276" w:lineRule="auto"/>
        <w:jc w:val="both"/>
        <w:rPr>
          <w:rFonts w:cs="Times New Roman"/>
          <w:iCs/>
        </w:rPr>
      </w:pPr>
      <w:r>
        <w:rPr>
          <w:rFonts w:cs="Times New Roman"/>
          <w:iCs/>
        </w:rPr>
        <w:t xml:space="preserve">Posteriormente, fui designado como </w:t>
      </w:r>
      <w:r w:rsidRPr="006F0D3C">
        <w:rPr>
          <w:rFonts w:cs="Times New Roman"/>
          <w:i/>
        </w:rPr>
        <w:t>Director</w:t>
      </w:r>
      <w:r>
        <w:rPr>
          <w:rFonts w:cs="Times New Roman"/>
          <w:iCs/>
        </w:rPr>
        <w:t xml:space="preserve"> o </w:t>
      </w:r>
      <w:r w:rsidRPr="006F0D3C">
        <w:rPr>
          <w:rFonts w:cs="Times New Roman"/>
          <w:i/>
        </w:rPr>
        <w:t>Líder de Normativa y Autorizaciones</w:t>
      </w:r>
      <w:r>
        <w:rPr>
          <w:rFonts w:cs="Times New Roman"/>
          <w:iCs/>
        </w:rPr>
        <w:t xml:space="preserve"> dentro de la recién creada </w:t>
      </w:r>
      <w:r w:rsidRPr="006F0D3C">
        <w:rPr>
          <w:rFonts w:cs="Times New Roman"/>
          <w:i/>
        </w:rPr>
        <w:t>División de Planificación y Normativa</w:t>
      </w:r>
      <w:r w:rsidR="00D16001">
        <w:rPr>
          <w:rFonts w:cs="Times New Roman"/>
          <w:iCs/>
        </w:rPr>
        <w:t xml:space="preserve"> de la Superintendencia de Pensiones</w:t>
      </w:r>
      <w:r>
        <w:rPr>
          <w:rFonts w:cs="Times New Roman"/>
          <w:iCs/>
        </w:rPr>
        <w:t xml:space="preserve">, producto de la restructuración administrativa llevada a cabo en </w:t>
      </w:r>
      <w:r w:rsidR="00070418">
        <w:rPr>
          <w:rFonts w:cs="Times New Roman"/>
          <w:iCs/>
        </w:rPr>
        <w:t>esta institución</w:t>
      </w:r>
      <w:r>
        <w:rPr>
          <w:rFonts w:cs="Times New Roman"/>
          <w:iCs/>
        </w:rPr>
        <w:t>, a cargo de la elaboración de la normativa que regula el mercado de pensiones</w:t>
      </w:r>
      <w:r w:rsidR="00E27500">
        <w:rPr>
          <w:rFonts w:cs="Times New Roman"/>
          <w:iCs/>
        </w:rPr>
        <w:t xml:space="preserve"> </w:t>
      </w:r>
      <w:r>
        <w:rPr>
          <w:rFonts w:cs="Times New Roman"/>
          <w:iCs/>
        </w:rPr>
        <w:t>y la atención de las solicitudes de autorización y aprobación que conforme a la ley, corresponde otorgar a la S</w:t>
      </w:r>
      <w:r w:rsidR="00070418">
        <w:rPr>
          <w:rFonts w:cs="Times New Roman"/>
          <w:iCs/>
        </w:rPr>
        <w:t>UPEN</w:t>
      </w:r>
      <w:r>
        <w:rPr>
          <w:rFonts w:cs="Times New Roman"/>
          <w:iCs/>
        </w:rPr>
        <w:t xml:space="preserve">, a saber: </w:t>
      </w:r>
      <w:r w:rsidR="00280D88">
        <w:rPr>
          <w:rFonts w:cs="Times New Roman"/>
          <w:iCs/>
        </w:rPr>
        <w:t xml:space="preserve">(i) </w:t>
      </w:r>
      <w:r w:rsidR="00070418">
        <w:rPr>
          <w:rFonts w:cs="Times New Roman"/>
          <w:iCs/>
        </w:rPr>
        <w:t xml:space="preserve">la </w:t>
      </w:r>
      <w:r w:rsidR="00E27500">
        <w:rPr>
          <w:rFonts w:cs="Times New Roman"/>
          <w:iCs/>
        </w:rPr>
        <w:t>a</w:t>
      </w:r>
      <w:r w:rsidRPr="006F0D3C">
        <w:rPr>
          <w:rFonts w:cs="Times New Roman"/>
          <w:iCs/>
        </w:rPr>
        <w:t>utorización de la apertura y funcionamiento de operadoras de pensiones y de capitalización laboral</w:t>
      </w:r>
      <w:r w:rsidR="00280D88">
        <w:rPr>
          <w:rFonts w:cs="Times New Roman"/>
          <w:iCs/>
        </w:rPr>
        <w:t xml:space="preserve">; (ii) </w:t>
      </w:r>
      <w:r w:rsidR="00070418">
        <w:rPr>
          <w:rFonts w:cs="Times New Roman"/>
          <w:iCs/>
        </w:rPr>
        <w:t xml:space="preserve">la </w:t>
      </w:r>
      <w:r w:rsidR="00E27500">
        <w:rPr>
          <w:rFonts w:cs="Times New Roman"/>
          <w:iCs/>
        </w:rPr>
        <w:t>a</w:t>
      </w:r>
      <w:r w:rsidRPr="006F0D3C">
        <w:rPr>
          <w:rFonts w:cs="Times New Roman"/>
          <w:iCs/>
        </w:rPr>
        <w:t>utorización de cooperativas de ahorro y crédito para administrar fondos de capitalización laboral</w:t>
      </w:r>
      <w:r w:rsidR="00280D88">
        <w:rPr>
          <w:rFonts w:cs="Times New Roman"/>
          <w:iCs/>
        </w:rPr>
        <w:t xml:space="preserve">; (iii) </w:t>
      </w:r>
      <w:r w:rsidR="00070418">
        <w:rPr>
          <w:rFonts w:cs="Times New Roman"/>
          <w:iCs/>
        </w:rPr>
        <w:t xml:space="preserve">la </w:t>
      </w:r>
      <w:r w:rsidR="00E27500">
        <w:rPr>
          <w:rFonts w:cs="Times New Roman"/>
          <w:iCs/>
        </w:rPr>
        <w:t>a</w:t>
      </w:r>
      <w:r w:rsidRPr="006F0D3C">
        <w:rPr>
          <w:rFonts w:cs="Times New Roman"/>
          <w:iCs/>
        </w:rPr>
        <w:t xml:space="preserve">utorización de </w:t>
      </w:r>
      <w:r w:rsidR="00CB4E79">
        <w:rPr>
          <w:rFonts w:cs="Times New Roman"/>
          <w:iCs/>
        </w:rPr>
        <w:t>a</w:t>
      </w:r>
      <w:r w:rsidRPr="006F0D3C">
        <w:rPr>
          <w:rFonts w:cs="Times New Roman"/>
          <w:iCs/>
        </w:rPr>
        <w:t xml:space="preserve">sociaciones </w:t>
      </w:r>
      <w:r w:rsidR="00CB4E79">
        <w:rPr>
          <w:rFonts w:cs="Times New Roman"/>
          <w:iCs/>
        </w:rPr>
        <w:t>s</w:t>
      </w:r>
      <w:r w:rsidRPr="006F0D3C">
        <w:rPr>
          <w:rFonts w:cs="Times New Roman"/>
          <w:iCs/>
        </w:rPr>
        <w:t>olidaristas para administrar fondos de capitalización laboral</w:t>
      </w:r>
      <w:r w:rsidR="00280D88">
        <w:rPr>
          <w:rFonts w:cs="Times New Roman"/>
          <w:iCs/>
        </w:rPr>
        <w:t xml:space="preserve">; (iv) </w:t>
      </w:r>
      <w:r w:rsidR="00070418">
        <w:rPr>
          <w:rFonts w:cs="Times New Roman"/>
          <w:iCs/>
        </w:rPr>
        <w:t xml:space="preserve">la </w:t>
      </w:r>
      <w:r w:rsidR="00E27500">
        <w:rPr>
          <w:rFonts w:cs="Times New Roman"/>
          <w:iCs/>
        </w:rPr>
        <w:t>a</w:t>
      </w:r>
      <w:r w:rsidRPr="006F0D3C">
        <w:rPr>
          <w:rFonts w:cs="Times New Roman"/>
          <w:iCs/>
        </w:rPr>
        <w:t>utorización de funcionamiento</w:t>
      </w:r>
      <w:r w:rsidR="00280D88">
        <w:rPr>
          <w:rFonts w:cs="Times New Roman"/>
          <w:iCs/>
        </w:rPr>
        <w:t xml:space="preserve"> de las entidades autorizadas; (v) </w:t>
      </w:r>
      <w:r w:rsidR="00070418">
        <w:rPr>
          <w:rFonts w:cs="Times New Roman"/>
          <w:iCs/>
        </w:rPr>
        <w:t>la a</w:t>
      </w:r>
      <w:r w:rsidR="00280D88">
        <w:rPr>
          <w:rFonts w:cs="Times New Roman"/>
          <w:iCs/>
        </w:rPr>
        <w:t xml:space="preserve">utorización de </w:t>
      </w:r>
      <w:r w:rsidR="00CB4E79">
        <w:rPr>
          <w:rFonts w:cs="Times New Roman"/>
          <w:iCs/>
        </w:rPr>
        <w:t>p</w:t>
      </w:r>
      <w:r w:rsidRPr="006F0D3C">
        <w:rPr>
          <w:rFonts w:cs="Times New Roman"/>
          <w:iCs/>
        </w:rPr>
        <w:t>lanes de pensión y de ahorro voluntario</w:t>
      </w:r>
      <w:r w:rsidR="00280D88">
        <w:rPr>
          <w:rFonts w:cs="Times New Roman"/>
          <w:iCs/>
        </w:rPr>
        <w:t xml:space="preserve">; (vi) </w:t>
      </w:r>
      <w:r w:rsidR="00070418">
        <w:rPr>
          <w:rFonts w:cs="Times New Roman"/>
          <w:iCs/>
        </w:rPr>
        <w:t xml:space="preserve">la </w:t>
      </w:r>
      <w:r w:rsidR="00E27500">
        <w:rPr>
          <w:rFonts w:cs="Times New Roman"/>
          <w:iCs/>
        </w:rPr>
        <w:t>a</w:t>
      </w:r>
      <w:r w:rsidR="00280D88">
        <w:rPr>
          <w:rFonts w:cs="Times New Roman"/>
          <w:iCs/>
        </w:rPr>
        <w:t xml:space="preserve">probación de contratos de </w:t>
      </w:r>
      <w:r w:rsidRPr="006F0D3C">
        <w:rPr>
          <w:rFonts w:cs="Times New Roman"/>
          <w:iCs/>
        </w:rPr>
        <w:t>servicios de administración con las operadoras de pensiones y la administración de fondos creados por leyes especiales</w:t>
      </w:r>
      <w:r w:rsidR="00280D88">
        <w:rPr>
          <w:rFonts w:cs="Times New Roman"/>
          <w:iCs/>
        </w:rPr>
        <w:t xml:space="preserve">;  (vii) </w:t>
      </w:r>
      <w:r w:rsidR="00070418">
        <w:rPr>
          <w:rFonts w:cs="Times New Roman"/>
          <w:iCs/>
        </w:rPr>
        <w:t xml:space="preserve">la </w:t>
      </w:r>
      <w:r w:rsidR="00E27500">
        <w:rPr>
          <w:rFonts w:cs="Times New Roman"/>
          <w:iCs/>
        </w:rPr>
        <w:t>f</w:t>
      </w:r>
      <w:r w:rsidRPr="006F0D3C">
        <w:rPr>
          <w:rFonts w:cs="Times New Roman"/>
          <w:iCs/>
        </w:rPr>
        <w:t xml:space="preserve">usión de </w:t>
      </w:r>
      <w:r w:rsidR="00CB4E79">
        <w:rPr>
          <w:rFonts w:cs="Times New Roman"/>
          <w:iCs/>
        </w:rPr>
        <w:t>o</w:t>
      </w:r>
      <w:r w:rsidRPr="006F0D3C">
        <w:rPr>
          <w:rFonts w:cs="Times New Roman"/>
          <w:iCs/>
        </w:rPr>
        <w:t xml:space="preserve">peradoras de </w:t>
      </w:r>
      <w:r w:rsidR="00CB4E79">
        <w:rPr>
          <w:rFonts w:cs="Times New Roman"/>
          <w:iCs/>
        </w:rPr>
        <w:t>p</w:t>
      </w:r>
      <w:r w:rsidRPr="006F0D3C">
        <w:rPr>
          <w:rFonts w:cs="Times New Roman"/>
          <w:iCs/>
        </w:rPr>
        <w:t xml:space="preserve">ensiones </w:t>
      </w:r>
      <w:r w:rsidR="00CB4E79">
        <w:rPr>
          <w:rFonts w:cs="Times New Roman"/>
          <w:iCs/>
        </w:rPr>
        <w:t>c</w:t>
      </w:r>
      <w:r w:rsidRPr="006F0D3C">
        <w:rPr>
          <w:rFonts w:cs="Times New Roman"/>
          <w:iCs/>
        </w:rPr>
        <w:t xml:space="preserve">omplementarias y de </w:t>
      </w:r>
      <w:r w:rsidR="00CB4E79">
        <w:rPr>
          <w:rFonts w:cs="Times New Roman"/>
          <w:iCs/>
        </w:rPr>
        <w:t>f</w:t>
      </w:r>
      <w:r w:rsidRPr="006F0D3C">
        <w:rPr>
          <w:rFonts w:cs="Times New Roman"/>
          <w:iCs/>
        </w:rPr>
        <w:t xml:space="preserve">ondos </w:t>
      </w:r>
      <w:r w:rsidR="00CB4E79">
        <w:rPr>
          <w:rFonts w:cs="Times New Roman"/>
          <w:iCs/>
        </w:rPr>
        <w:t>a</w:t>
      </w:r>
      <w:r w:rsidRPr="006F0D3C">
        <w:rPr>
          <w:rFonts w:cs="Times New Roman"/>
          <w:iCs/>
        </w:rPr>
        <w:t>dministrados</w:t>
      </w:r>
      <w:r w:rsidR="00280D88">
        <w:rPr>
          <w:rFonts w:cs="Times New Roman"/>
          <w:iCs/>
        </w:rPr>
        <w:t xml:space="preserve">; (viii) </w:t>
      </w:r>
      <w:r w:rsidR="00070418">
        <w:rPr>
          <w:rFonts w:cs="Times New Roman"/>
          <w:iCs/>
        </w:rPr>
        <w:t xml:space="preserve">los </w:t>
      </w:r>
      <w:r w:rsidR="00E27500">
        <w:rPr>
          <w:rFonts w:cs="Times New Roman"/>
          <w:iCs/>
        </w:rPr>
        <w:t>c</w:t>
      </w:r>
      <w:r w:rsidRPr="006F0D3C">
        <w:rPr>
          <w:rFonts w:cs="Times New Roman"/>
          <w:iCs/>
        </w:rPr>
        <w:t xml:space="preserve">ambios de control accionario y modificación de estatutos de las </w:t>
      </w:r>
      <w:r w:rsidR="00CB4E79">
        <w:rPr>
          <w:rFonts w:cs="Times New Roman"/>
          <w:iCs/>
        </w:rPr>
        <w:t>e</w:t>
      </w:r>
      <w:r w:rsidRPr="006F0D3C">
        <w:rPr>
          <w:rFonts w:cs="Times New Roman"/>
          <w:iCs/>
        </w:rPr>
        <w:t xml:space="preserve">ntidades </w:t>
      </w:r>
      <w:r w:rsidR="00CB4E79">
        <w:rPr>
          <w:rFonts w:cs="Times New Roman"/>
          <w:iCs/>
        </w:rPr>
        <w:t>a</w:t>
      </w:r>
      <w:r w:rsidRPr="006F0D3C">
        <w:rPr>
          <w:rFonts w:cs="Times New Roman"/>
          <w:iCs/>
        </w:rPr>
        <w:t>utorizadas</w:t>
      </w:r>
      <w:r w:rsidR="00280D88">
        <w:rPr>
          <w:rFonts w:cs="Times New Roman"/>
          <w:iCs/>
        </w:rPr>
        <w:t xml:space="preserve">; (ix) </w:t>
      </w:r>
      <w:r w:rsidR="00070418">
        <w:rPr>
          <w:rFonts w:cs="Times New Roman"/>
          <w:iCs/>
        </w:rPr>
        <w:t xml:space="preserve">la </w:t>
      </w:r>
      <w:r w:rsidR="00E27500">
        <w:rPr>
          <w:rFonts w:cs="Times New Roman"/>
          <w:iCs/>
        </w:rPr>
        <w:t>a</w:t>
      </w:r>
      <w:r w:rsidRPr="006F0D3C">
        <w:rPr>
          <w:rFonts w:cs="Times New Roman"/>
          <w:iCs/>
        </w:rPr>
        <w:t xml:space="preserve">utorización para que el </w:t>
      </w:r>
      <w:r w:rsidR="00CB4E79">
        <w:rPr>
          <w:rFonts w:cs="Times New Roman"/>
          <w:iCs/>
        </w:rPr>
        <w:t>o</w:t>
      </w:r>
      <w:r w:rsidRPr="006F0D3C">
        <w:rPr>
          <w:rFonts w:cs="Times New Roman"/>
          <w:iCs/>
        </w:rPr>
        <w:t xml:space="preserve">ficial de </w:t>
      </w:r>
      <w:r w:rsidR="00CB4E79">
        <w:rPr>
          <w:rFonts w:cs="Times New Roman"/>
          <w:iCs/>
        </w:rPr>
        <w:t>c</w:t>
      </w:r>
      <w:r w:rsidRPr="006F0D3C">
        <w:rPr>
          <w:rFonts w:cs="Times New Roman"/>
          <w:iCs/>
        </w:rPr>
        <w:t>umplimiento, titular y adjunto, laboren a tiempo parcial</w:t>
      </w:r>
      <w:r w:rsidR="00280D88">
        <w:rPr>
          <w:rFonts w:cs="Times New Roman"/>
          <w:iCs/>
        </w:rPr>
        <w:t xml:space="preserve">; (x) </w:t>
      </w:r>
      <w:r w:rsidR="00070418">
        <w:rPr>
          <w:rFonts w:cs="Times New Roman"/>
          <w:iCs/>
        </w:rPr>
        <w:t xml:space="preserve">la </w:t>
      </w:r>
      <w:r w:rsidR="00E27500">
        <w:rPr>
          <w:rFonts w:cs="Times New Roman"/>
          <w:iCs/>
        </w:rPr>
        <w:t>a</w:t>
      </w:r>
      <w:r w:rsidRPr="006F0D3C">
        <w:rPr>
          <w:rFonts w:cs="Times New Roman"/>
          <w:iCs/>
        </w:rPr>
        <w:t xml:space="preserve">creditación de </w:t>
      </w:r>
      <w:r w:rsidR="00CB4E79">
        <w:rPr>
          <w:rFonts w:cs="Times New Roman"/>
          <w:iCs/>
        </w:rPr>
        <w:t>a</w:t>
      </w:r>
      <w:r w:rsidRPr="006F0D3C">
        <w:rPr>
          <w:rFonts w:cs="Times New Roman"/>
          <w:iCs/>
        </w:rPr>
        <w:t xml:space="preserve">gentes </w:t>
      </w:r>
      <w:r w:rsidR="00CB4E79">
        <w:rPr>
          <w:rFonts w:cs="Times New Roman"/>
          <w:iCs/>
        </w:rPr>
        <w:t>p</w:t>
      </w:r>
      <w:r w:rsidRPr="006F0D3C">
        <w:rPr>
          <w:rFonts w:cs="Times New Roman"/>
          <w:iCs/>
        </w:rPr>
        <w:t xml:space="preserve">romotores de </w:t>
      </w:r>
      <w:r w:rsidR="00CB4E79">
        <w:rPr>
          <w:rFonts w:cs="Times New Roman"/>
          <w:iCs/>
        </w:rPr>
        <w:t>v</w:t>
      </w:r>
      <w:r w:rsidRPr="006F0D3C">
        <w:rPr>
          <w:rFonts w:cs="Times New Roman"/>
          <w:iCs/>
        </w:rPr>
        <w:t>entas</w:t>
      </w:r>
      <w:r w:rsidR="00280D88">
        <w:rPr>
          <w:rFonts w:cs="Times New Roman"/>
          <w:iCs/>
        </w:rPr>
        <w:t xml:space="preserve">; (xi) </w:t>
      </w:r>
      <w:r w:rsidR="00070418">
        <w:rPr>
          <w:rFonts w:cs="Times New Roman"/>
          <w:iCs/>
        </w:rPr>
        <w:t xml:space="preserve">la </w:t>
      </w:r>
      <w:r w:rsidR="00E27500">
        <w:rPr>
          <w:rFonts w:cs="Times New Roman"/>
          <w:iCs/>
        </w:rPr>
        <w:t>a</w:t>
      </w:r>
      <w:r w:rsidRPr="006F0D3C">
        <w:rPr>
          <w:rFonts w:cs="Times New Roman"/>
          <w:iCs/>
        </w:rPr>
        <w:t>probación y modificación de la estructura de comisiones de administración y la aprobación de los esquemas de bonificación de comisiones</w:t>
      </w:r>
      <w:r w:rsidR="00280D88">
        <w:rPr>
          <w:rFonts w:cs="Times New Roman"/>
          <w:iCs/>
        </w:rPr>
        <w:t xml:space="preserve">; (xii) </w:t>
      </w:r>
      <w:r w:rsidR="00070418">
        <w:rPr>
          <w:rFonts w:cs="Times New Roman"/>
          <w:iCs/>
        </w:rPr>
        <w:t xml:space="preserve">la </w:t>
      </w:r>
      <w:r w:rsidR="00E27500">
        <w:rPr>
          <w:rFonts w:cs="Times New Roman"/>
          <w:iCs/>
        </w:rPr>
        <w:t>a</w:t>
      </w:r>
      <w:r w:rsidRPr="006F0D3C">
        <w:rPr>
          <w:rFonts w:cs="Times New Roman"/>
          <w:iCs/>
        </w:rPr>
        <w:t xml:space="preserve">probación de </w:t>
      </w:r>
      <w:r w:rsidR="00CB4E79">
        <w:rPr>
          <w:rFonts w:cs="Times New Roman"/>
          <w:iCs/>
        </w:rPr>
        <w:t>c</w:t>
      </w:r>
      <w:r w:rsidRPr="006F0D3C">
        <w:rPr>
          <w:rFonts w:cs="Times New Roman"/>
          <w:iCs/>
        </w:rPr>
        <w:t>ontratos</w:t>
      </w:r>
      <w:r w:rsidR="00280D88">
        <w:rPr>
          <w:rFonts w:cs="Times New Roman"/>
          <w:iCs/>
        </w:rPr>
        <w:t xml:space="preserve"> entre relacionadas; (xiii) </w:t>
      </w:r>
      <w:r w:rsidR="00070418">
        <w:rPr>
          <w:rFonts w:cs="Times New Roman"/>
          <w:iCs/>
        </w:rPr>
        <w:t xml:space="preserve">las </w:t>
      </w:r>
      <w:r w:rsidR="00E27500">
        <w:rPr>
          <w:rFonts w:cs="Times New Roman"/>
          <w:iCs/>
        </w:rPr>
        <w:t>a</w:t>
      </w:r>
      <w:r w:rsidRPr="006F0D3C">
        <w:rPr>
          <w:rFonts w:cs="Times New Roman"/>
          <w:iCs/>
        </w:rPr>
        <w:t xml:space="preserve">probaciones </w:t>
      </w:r>
      <w:r w:rsidR="00E27500">
        <w:rPr>
          <w:rFonts w:cs="Times New Roman"/>
          <w:iCs/>
        </w:rPr>
        <w:t>e</w:t>
      </w:r>
      <w:r w:rsidRPr="006F0D3C">
        <w:rPr>
          <w:rFonts w:cs="Times New Roman"/>
          <w:iCs/>
        </w:rPr>
        <w:t xml:space="preserve">stablecidas en la Reforma Integral del Sistema de Pensiones y </w:t>
      </w:r>
      <w:r w:rsidR="00CB4E79">
        <w:rPr>
          <w:rFonts w:cs="Times New Roman"/>
          <w:iCs/>
        </w:rPr>
        <w:t>J</w:t>
      </w:r>
      <w:r w:rsidRPr="006F0D3C">
        <w:rPr>
          <w:rFonts w:cs="Times New Roman"/>
          <w:iCs/>
        </w:rPr>
        <w:t>ubilaciones del Magisterio Nacional, Ley 7531</w:t>
      </w:r>
      <w:r w:rsidR="00280D88">
        <w:rPr>
          <w:rFonts w:cs="Times New Roman"/>
          <w:iCs/>
        </w:rPr>
        <w:t>; (xiv)</w:t>
      </w:r>
      <w:r w:rsidR="00236223">
        <w:rPr>
          <w:rFonts w:cs="Times New Roman"/>
          <w:iCs/>
        </w:rPr>
        <w:t xml:space="preserve"> </w:t>
      </w:r>
      <w:r w:rsidR="00405715">
        <w:rPr>
          <w:rFonts w:cs="Times New Roman"/>
          <w:iCs/>
        </w:rPr>
        <w:t xml:space="preserve">la </w:t>
      </w:r>
      <w:r w:rsidR="00E27500">
        <w:rPr>
          <w:rFonts w:cs="Times New Roman"/>
          <w:iCs/>
        </w:rPr>
        <w:t>a</w:t>
      </w:r>
      <w:r w:rsidRPr="006F0D3C">
        <w:rPr>
          <w:rFonts w:cs="Times New Roman"/>
          <w:iCs/>
        </w:rPr>
        <w:t xml:space="preserve">probación del </w:t>
      </w:r>
      <w:r w:rsidRPr="00CB4E79">
        <w:rPr>
          <w:rFonts w:cs="Times New Roman"/>
          <w:i/>
        </w:rPr>
        <w:t>Reglamento General del Régimen de Pensiones y Jubilaciones del Poder Judicial</w:t>
      </w:r>
      <w:r w:rsidR="00280D88">
        <w:rPr>
          <w:rFonts w:cs="Times New Roman"/>
          <w:iCs/>
        </w:rPr>
        <w:t xml:space="preserve">; </w:t>
      </w:r>
      <w:r w:rsidR="00236223">
        <w:rPr>
          <w:rFonts w:cs="Times New Roman"/>
          <w:iCs/>
        </w:rPr>
        <w:t xml:space="preserve">y </w:t>
      </w:r>
      <w:r w:rsidR="00280D88">
        <w:rPr>
          <w:rFonts w:cs="Times New Roman"/>
          <w:iCs/>
        </w:rPr>
        <w:t xml:space="preserve">(xv) </w:t>
      </w:r>
      <w:r w:rsidR="00405715">
        <w:rPr>
          <w:rFonts w:cs="Times New Roman"/>
          <w:iCs/>
        </w:rPr>
        <w:t xml:space="preserve">la </w:t>
      </w:r>
      <w:r w:rsidR="00236223">
        <w:rPr>
          <w:rFonts w:cs="Times New Roman"/>
          <w:iCs/>
        </w:rPr>
        <w:t>a</w:t>
      </w:r>
      <w:r w:rsidRPr="006F0D3C">
        <w:rPr>
          <w:rFonts w:cs="Times New Roman"/>
          <w:iCs/>
        </w:rPr>
        <w:t>probación de otros medios para la recepción de solicitudes de retiro del FCL</w:t>
      </w:r>
      <w:r w:rsidR="00280D88">
        <w:rPr>
          <w:rFonts w:cs="Times New Roman"/>
          <w:iCs/>
        </w:rPr>
        <w:t>.</w:t>
      </w:r>
    </w:p>
    <w:p w14:paraId="538ED6AC" w14:textId="5C445704" w:rsidR="00314DB2" w:rsidRDefault="00314DB2" w:rsidP="00D461E1">
      <w:pPr>
        <w:spacing w:line="276" w:lineRule="auto"/>
        <w:jc w:val="both"/>
        <w:rPr>
          <w:rFonts w:asciiTheme="minorHAnsi" w:hAnsiTheme="minorHAnsi" w:cstheme="minorHAnsi"/>
          <w:b/>
          <w:bCs/>
          <w:iCs/>
        </w:rPr>
      </w:pPr>
    </w:p>
    <w:p w14:paraId="44CB2A3E" w14:textId="0A343FE0" w:rsidR="00871805" w:rsidRDefault="00871805" w:rsidP="00D461E1">
      <w:pPr>
        <w:spacing w:line="276" w:lineRule="auto"/>
        <w:jc w:val="both"/>
        <w:rPr>
          <w:rFonts w:asciiTheme="minorHAnsi" w:hAnsiTheme="minorHAnsi" w:cstheme="minorHAnsi"/>
          <w:b/>
          <w:bCs/>
          <w:iCs/>
        </w:rPr>
      </w:pPr>
    </w:p>
    <w:p w14:paraId="11832635" w14:textId="1F9A64AD" w:rsidR="00871805" w:rsidRDefault="00871805" w:rsidP="00D461E1">
      <w:pPr>
        <w:spacing w:line="276" w:lineRule="auto"/>
        <w:jc w:val="both"/>
        <w:rPr>
          <w:rFonts w:asciiTheme="minorHAnsi" w:hAnsiTheme="minorHAnsi" w:cstheme="minorHAnsi"/>
          <w:b/>
          <w:bCs/>
          <w:iCs/>
        </w:rPr>
      </w:pPr>
    </w:p>
    <w:p w14:paraId="011515F8" w14:textId="77777777" w:rsidR="00871805" w:rsidRPr="00280D88" w:rsidRDefault="00871805" w:rsidP="00D461E1">
      <w:pPr>
        <w:spacing w:line="276" w:lineRule="auto"/>
        <w:jc w:val="both"/>
        <w:rPr>
          <w:rFonts w:asciiTheme="minorHAnsi" w:hAnsiTheme="minorHAnsi" w:cstheme="minorHAnsi"/>
          <w:b/>
          <w:bCs/>
          <w:iCs/>
        </w:rPr>
      </w:pPr>
    </w:p>
    <w:p w14:paraId="57D762ED" w14:textId="1B062204" w:rsidR="00E629C7" w:rsidRPr="00280D88" w:rsidRDefault="00280D88" w:rsidP="00280D88">
      <w:pPr>
        <w:pStyle w:val="Prrafodelista"/>
        <w:numPr>
          <w:ilvl w:val="0"/>
          <w:numId w:val="2"/>
        </w:numPr>
        <w:spacing w:line="276" w:lineRule="auto"/>
        <w:jc w:val="both"/>
        <w:rPr>
          <w:rFonts w:asciiTheme="minorHAnsi" w:hAnsiTheme="minorHAnsi" w:cstheme="minorHAnsi"/>
          <w:b/>
          <w:bCs/>
          <w:iCs/>
        </w:rPr>
      </w:pPr>
      <w:r w:rsidRPr="00280D88">
        <w:rPr>
          <w:rFonts w:asciiTheme="minorHAnsi" w:hAnsiTheme="minorHAnsi" w:cstheme="minorHAnsi"/>
          <w:b/>
          <w:bCs/>
          <w:iCs/>
        </w:rPr>
        <w:t>Cambios habidos en el entorno durante el período de gestión</w:t>
      </w:r>
    </w:p>
    <w:p w14:paraId="135D79D8" w14:textId="7818BB67" w:rsidR="00E629C7" w:rsidRDefault="00E629C7" w:rsidP="00E629C7">
      <w:pPr>
        <w:spacing w:line="276" w:lineRule="auto"/>
        <w:jc w:val="both"/>
        <w:rPr>
          <w:iCs/>
        </w:rPr>
      </w:pPr>
    </w:p>
    <w:p w14:paraId="6235E5D5" w14:textId="599A102B" w:rsidR="00185A51" w:rsidRDefault="007F2BF4" w:rsidP="00E629C7">
      <w:pPr>
        <w:spacing w:line="276" w:lineRule="auto"/>
        <w:jc w:val="both"/>
        <w:rPr>
          <w:iCs/>
        </w:rPr>
      </w:pPr>
      <w:r>
        <w:rPr>
          <w:iCs/>
        </w:rPr>
        <w:t>Cinco</w:t>
      </w:r>
      <w:r w:rsidR="00185A51">
        <w:rPr>
          <w:iCs/>
        </w:rPr>
        <w:t xml:space="preserve"> fueron los cambios más fundamentales que se dieron en el entorno durante la gestión</w:t>
      </w:r>
      <w:r w:rsidR="00C111A2">
        <w:rPr>
          <w:iCs/>
        </w:rPr>
        <w:t xml:space="preserve">, </w:t>
      </w:r>
      <w:r w:rsidR="00871805">
        <w:rPr>
          <w:iCs/>
        </w:rPr>
        <w:t>cambio</w:t>
      </w:r>
      <w:r w:rsidR="007173BC">
        <w:rPr>
          <w:iCs/>
        </w:rPr>
        <w:t xml:space="preserve">s </w:t>
      </w:r>
      <w:r w:rsidR="00C111A2">
        <w:rPr>
          <w:iCs/>
        </w:rPr>
        <w:t>que requirieron importantes esfuerzos para adecuar o crear los reglamentos y acuerdos del Superintendente de Pensiones</w:t>
      </w:r>
      <w:r w:rsidR="007173BC">
        <w:rPr>
          <w:iCs/>
        </w:rPr>
        <w:t xml:space="preserve"> a los mismos</w:t>
      </w:r>
      <w:r w:rsidR="00185A51">
        <w:rPr>
          <w:iCs/>
        </w:rPr>
        <w:t>:</w:t>
      </w:r>
    </w:p>
    <w:p w14:paraId="6D3590E2" w14:textId="77777777" w:rsidR="00185A51" w:rsidRDefault="00185A51" w:rsidP="00E629C7">
      <w:pPr>
        <w:spacing w:line="276" w:lineRule="auto"/>
        <w:jc w:val="both"/>
        <w:rPr>
          <w:iCs/>
        </w:rPr>
      </w:pPr>
    </w:p>
    <w:p w14:paraId="51720034" w14:textId="44BC9676" w:rsidR="0002475E" w:rsidRDefault="0002475E" w:rsidP="00185A51">
      <w:pPr>
        <w:pStyle w:val="Prrafodelista"/>
        <w:numPr>
          <w:ilvl w:val="0"/>
          <w:numId w:val="3"/>
        </w:numPr>
        <w:spacing w:line="276" w:lineRule="auto"/>
        <w:jc w:val="both"/>
        <w:rPr>
          <w:iCs/>
        </w:rPr>
      </w:pPr>
      <w:r>
        <w:rPr>
          <w:iCs/>
        </w:rPr>
        <w:t>La crisis sufrida por los fondos de inversión y de pensiones en el curso del año de 2004.</w:t>
      </w:r>
    </w:p>
    <w:p w14:paraId="76DC6FA6" w14:textId="77777777" w:rsidR="0002475E" w:rsidRDefault="0002475E" w:rsidP="0002475E">
      <w:pPr>
        <w:pStyle w:val="Prrafodelista"/>
        <w:spacing w:line="276" w:lineRule="auto"/>
        <w:ind w:left="1080"/>
        <w:jc w:val="both"/>
        <w:rPr>
          <w:iCs/>
        </w:rPr>
      </w:pPr>
    </w:p>
    <w:p w14:paraId="67DA66B6" w14:textId="5CDAD032" w:rsidR="00280D88" w:rsidRDefault="00280D88" w:rsidP="00185A51">
      <w:pPr>
        <w:pStyle w:val="Prrafodelista"/>
        <w:numPr>
          <w:ilvl w:val="0"/>
          <w:numId w:val="3"/>
        </w:numPr>
        <w:spacing w:line="276" w:lineRule="auto"/>
        <w:jc w:val="both"/>
        <w:rPr>
          <w:iCs/>
        </w:rPr>
      </w:pPr>
      <w:r w:rsidRPr="00185A51">
        <w:rPr>
          <w:iCs/>
        </w:rPr>
        <w:t xml:space="preserve">La entrada en vigencia de la </w:t>
      </w:r>
      <w:r w:rsidRPr="00185A51">
        <w:rPr>
          <w:i/>
        </w:rPr>
        <w:t>Ley de Protección al Trabajador</w:t>
      </w:r>
      <w:r w:rsidRPr="00185A51">
        <w:rPr>
          <w:iCs/>
        </w:rPr>
        <w:t xml:space="preserve"> durante el año </w:t>
      </w:r>
      <w:r w:rsidR="00467CF2" w:rsidRPr="00185A51">
        <w:rPr>
          <w:iCs/>
        </w:rPr>
        <w:t>2000</w:t>
      </w:r>
      <w:r w:rsidRPr="00185A51">
        <w:rPr>
          <w:iCs/>
        </w:rPr>
        <w:t xml:space="preserve"> fue el cambio en el entorno más relevante durante el período</w:t>
      </w:r>
      <w:r w:rsidR="00F4326B">
        <w:rPr>
          <w:iCs/>
        </w:rPr>
        <w:t>, reforma que</w:t>
      </w:r>
      <w:r w:rsidRPr="00185A51">
        <w:rPr>
          <w:iCs/>
        </w:rPr>
        <w:t xml:space="preserve"> exigió un importante esfuerzo por implementar </w:t>
      </w:r>
      <w:r w:rsidR="001466A1">
        <w:rPr>
          <w:iCs/>
        </w:rPr>
        <w:t xml:space="preserve">y desarrollar la regulación </w:t>
      </w:r>
      <w:r w:rsidR="00185A51" w:rsidRPr="00185A51">
        <w:rPr>
          <w:iCs/>
        </w:rPr>
        <w:t>requerid</w:t>
      </w:r>
      <w:r w:rsidR="001466A1">
        <w:rPr>
          <w:iCs/>
        </w:rPr>
        <w:t>a</w:t>
      </w:r>
      <w:r w:rsidR="00F4326B">
        <w:rPr>
          <w:iCs/>
        </w:rPr>
        <w:t xml:space="preserve"> para </w:t>
      </w:r>
      <w:r w:rsidR="00354A84">
        <w:rPr>
          <w:iCs/>
        </w:rPr>
        <w:t>operativizarla</w:t>
      </w:r>
      <w:r w:rsidR="00185A51">
        <w:rPr>
          <w:iCs/>
        </w:rPr>
        <w:t>.</w:t>
      </w:r>
    </w:p>
    <w:p w14:paraId="136B6AD3" w14:textId="77777777" w:rsidR="009439FD" w:rsidRDefault="009439FD" w:rsidP="009439FD">
      <w:pPr>
        <w:pStyle w:val="Prrafodelista"/>
        <w:spacing w:line="276" w:lineRule="auto"/>
        <w:ind w:left="1080"/>
        <w:jc w:val="both"/>
        <w:rPr>
          <w:iCs/>
        </w:rPr>
      </w:pPr>
    </w:p>
    <w:p w14:paraId="1C9FE3FD" w14:textId="5E1D1BCA" w:rsidR="0056180E" w:rsidRPr="000F2431" w:rsidRDefault="0056180E" w:rsidP="000F2431">
      <w:pPr>
        <w:pStyle w:val="Prrafodelista"/>
        <w:numPr>
          <w:ilvl w:val="0"/>
          <w:numId w:val="3"/>
        </w:numPr>
        <w:spacing w:line="276" w:lineRule="auto"/>
        <w:jc w:val="both"/>
        <w:rPr>
          <w:iCs/>
        </w:rPr>
      </w:pPr>
      <w:r>
        <w:rPr>
          <w:iCs/>
        </w:rPr>
        <w:t xml:space="preserve">La entrada en vigor de la </w:t>
      </w:r>
      <w:r w:rsidR="000F2431">
        <w:rPr>
          <w:iCs/>
        </w:rPr>
        <w:t xml:space="preserve">ley, No. 9839, </w:t>
      </w:r>
      <w:r w:rsidRPr="000F2431">
        <w:rPr>
          <w:i/>
        </w:rPr>
        <w:t>Entrega del Fondo de Capitalización Laboral a los trabajadores afectados por crisis económica</w:t>
      </w:r>
      <w:r w:rsidR="000F2431">
        <w:rPr>
          <w:iCs/>
        </w:rPr>
        <w:t xml:space="preserve">, </w:t>
      </w:r>
      <w:r w:rsidR="00507E88">
        <w:rPr>
          <w:iCs/>
        </w:rPr>
        <w:t xml:space="preserve">publicada en el Alcance No. 74 de </w:t>
      </w:r>
      <w:r w:rsidR="00172B62">
        <w:rPr>
          <w:iCs/>
        </w:rPr>
        <w:t>La</w:t>
      </w:r>
      <w:r w:rsidR="00507E88" w:rsidRPr="00507E88">
        <w:rPr>
          <w:iCs/>
        </w:rPr>
        <w:t xml:space="preserve"> Gaceta</w:t>
      </w:r>
      <w:r w:rsidR="00172B62">
        <w:rPr>
          <w:iCs/>
        </w:rPr>
        <w:t xml:space="preserve"> No.7</w:t>
      </w:r>
      <w:r w:rsidR="00507E88" w:rsidRPr="00507E88">
        <w:rPr>
          <w:iCs/>
        </w:rPr>
        <w:t>0 del 04</w:t>
      </w:r>
      <w:r w:rsidR="00172B62">
        <w:rPr>
          <w:iCs/>
        </w:rPr>
        <w:t xml:space="preserve"> de abril de 2020</w:t>
      </w:r>
      <w:r w:rsidR="0048046E">
        <w:rPr>
          <w:iCs/>
        </w:rPr>
        <w:t xml:space="preserve"> que, entre otros, posibilitó la entrega de los recursos del Fondo de Capitalización Laboral </w:t>
      </w:r>
      <w:r w:rsidR="00F528D0">
        <w:rPr>
          <w:iCs/>
        </w:rPr>
        <w:t>e</w:t>
      </w:r>
      <w:r w:rsidR="0048046E" w:rsidRPr="0048046E">
        <w:rPr>
          <w:iCs/>
        </w:rPr>
        <w:t xml:space="preserve">n caso de suspensión temporal de la relación laboral, en los términos señalados en el artículo 74 de la Ley 2, </w:t>
      </w:r>
      <w:r w:rsidR="0048046E" w:rsidRPr="006339BE">
        <w:rPr>
          <w:i/>
        </w:rPr>
        <w:t>Código de Trabajo</w:t>
      </w:r>
      <w:r w:rsidR="0048046E" w:rsidRPr="0048046E">
        <w:rPr>
          <w:iCs/>
        </w:rPr>
        <w:t>, de 27 de agosto de 1943</w:t>
      </w:r>
      <w:r w:rsidR="00B6070F">
        <w:rPr>
          <w:iCs/>
        </w:rPr>
        <w:t>;</w:t>
      </w:r>
      <w:r w:rsidR="0048046E" w:rsidRPr="0048046E">
        <w:rPr>
          <w:iCs/>
        </w:rPr>
        <w:t xml:space="preserve"> o cuando se aplique una reducción de la jornada ordinaria de la persona trabajadora, que implique una disminución de su salario, de conformidad con la Ley 9832, </w:t>
      </w:r>
      <w:r w:rsidR="0048046E" w:rsidRPr="006339BE">
        <w:rPr>
          <w:i/>
        </w:rPr>
        <w:t>Autorización de Reducción de Jornadas de Trabajo ante la Declaratoria de Emergencia Nacional,</w:t>
      </w:r>
      <w:r w:rsidR="0048046E" w:rsidRPr="0048046E">
        <w:rPr>
          <w:iCs/>
        </w:rPr>
        <w:t xml:space="preserve"> de 23 de marzo de 2020.</w:t>
      </w:r>
    </w:p>
    <w:p w14:paraId="568AAA3E" w14:textId="77777777" w:rsidR="0056180E" w:rsidRPr="0056180E" w:rsidRDefault="0056180E" w:rsidP="0056180E">
      <w:pPr>
        <w:pStyle w:val="Prrafodelista"/>
        <w:rPr>
          <w:iCs/>
        </w:rPr>
      </w:pPr>
    </w:p>
    <w:p w14:paraId="3B7ADB42" w14:textId="76023BB0" w:rsidR="009439FD" w:rsidRDefault="00185A51" w:rsidP="009439FD">
      <w:pPr>
        <w:pStyle w:val="Prrafodelista"/>
        <w:numPr>
          <w:ilvl w:val="0"/>
          <w:numId w:val="3"/>
        </w:numPr>
        <w:spacing w:line="276" w:lineRule="auto"/>
        <w:jc w:val="both"/>
        <w:rPr>
          <w:iCs/>
        </w:rPr>
      </w:pPr>
      <w:r>
        <w:rPr>
          <w:iCs/>
        </w:rPr>
        <w:t>L</w:t>
      </w:r>
      <w:r w:rsidR="0048512B">
        <w:rPr>
          <w:iCs/>
        </w:rPr>
        <w:t>os cambios</w:t>
      </w:r>
      <w:r w:rsidR="007E2A3C">
        <w:rPr>
          <w:iCs/>
        </w:rPr>
        <w:t xml:space="preserve"> </w:t>
      </w:r>
      <w:r>
        <w:rPr>
          <w:iCs/>
        </w:rPr>
        <w:t>implementad</w:t>
      </w:r>
      <w:r w:rsidR="007E2A3C">
        <w:rPr>
          <w:iCs/>
        </w:rPr>
        <w:t>os</w:t>
      </w:r>
      <w:r>
        <w:rPr>
          <w:iCs/>
        </w:rPr>
        <w:t xml:space="preserve"> a través de la entrada en vigor de la reforma a la </w:t>
      </w:r>
      <w:r w:rsidRPr="0097385F">
        <w:rPr>
          <w:i/>
        </w:rPr>
        <w:t>Ley de Protección al Trabajador</w:t>
      </w:r>
      <w:r w:rsidR="007E2A3C">
        <w:rPr>
          <w:i/>
        </w:rPr>
        <w:t>,</w:t>
      </w:r>
      <w:r>
        <w:rPr>
          <w:iCs/>
        </w:rPr>
        <w:t xml:space="preserve"> llevada a cabo por la </w:t>
      </w:r>
      <w:r w:rsidR="009439FD" w:rsidRPr="00F528D0">
        <w:rPr>
          <w:i/>
        </w:rPr>
        <w:t>Ley para resguardar el derecho de los trabajadores a retirar los recursos de la pensión complementaria</w:t>
      </w:r>
      <w:r w:rsidR="009439FD">
        <w:rPr>
          <w:iCs/>
        </w:rPr>
        <w:t xml:space="preserve">, </w:t>
      </w:r>
      <w:r w:rsidR="009439FD" w:rsidRPr="009439FD">
        <w:rPr>
          <w:iCs/>
        </w:rPr>
        <w:t>N° 9906</w:t>
      </w:r>
      <w:r w:rsidR="00F528D0">
        <w:rPr>
          <w:iCs/>
        </w:rPr>
        <w:t xml:space="preserve">, </w:t>
      </w:r>
      <w:r w:rsidR="005C050D">
        <w:rPr>
          <w:iCs/>
        </w:rPr>
        <w:t>relativos a</w:t>
      </w:r>
      <w:r w:rsidR="00F528D0">
        <w:rPr>
          <w:iCs/>
        </w:rPr>
        <w:t xml:space="preserve"> </w:t>
      </w:r>
      <w:r w:rsidR="00F87F50">
        <w:rPr>
          <w:iCs/>
        </w:rPr>
        <w:t xml:space="preserve">la administración de los recursos </w:t>
      </w:r>
      <w:r w:rsidR="00346207">
        <w:rPr>
          <w:iCs/>
        </w:rPr>
        <w:t xml:space="preserve">de los afiliados </w:t>
      </w:r>
      <w:r w:rsidR="00F87F50">
        <w:rPr>
          <w:iCs/>
        </w:rPr>
        <w:t>que llevaba a cabo</w:t>
      </w:r>
      <w:r w:rsidR="00CB329A">
        <w:rPr>
          <w:iCs/>
        </w:rPr>
        <w:t xml:space="preserve"> el </w:t>
      </w:r>
      <w:r w:rsidR="00CB329A" w:rsidRPr="004617E5">
        <w:rPr>
          <w:i/>
        </w:rPr>
        <w:t>Banco Popular y de Desarrollo Comunal</w:t>
      </w:r>
      <w:r w:rsidR="00346207">
        <w:rPr>
          <w:iCs/>
        </w:rPr>
        <w:t>;</w:t>
      </w:r>
      <w:r w:rsidR="00CB329A">
        <w:rPr>
          <w:iCs/>
        </w:rPr>
        <w:t xml:space="preserve"> el establecimiento de modalidades de entregas aceleradas de los recursos</w:t>
      </w:r>
      <w:r w:rsidR="00DA3F97">
        <w:rPr>
          <w:iCs/>
        </w:rPr>
        <w:t xml:space="preserve"> del ROP</w:t>
      </w:r>
      <w:r w:rsidR="001676EE">
        <w:rPr>
          <w:iCs/>
        </w:rPr>
        <w:t>, y el traslado al régimen no contributivo de pensiones de la CCSS</w:t>
      </w:r>
      <w:r w:rsidR="00C111A2">
        <w:rPr>
          <w:iCs/>
        </w:rPr>
        <w:t xml:space="preserve"> de </w:t>
      </w:r>
      <w:r w:rsidR="005C050D">
        <w:rPr>
          <w:iCs/>
        </w:rPr>
        <w:t xml:space="preserve">los </w:t>
      </w:r>
      <w:r w:rsidR="0071666D" w:rsidRPr="0071666D">
        <w:rPr>
          <w:iCs/>
        </w:rPr>
        <w:t xml:space="preserve">recursos del Régimen Complementario de Pensiones </w:t>
      </w:r>
      <w:r w:rsidR="005C050D">
        <w:rPr>
          <w:iCs/>
        </w:rPr>
        <w:t xml:space="preserve">que </w:t>
      </w:r>
      <w:r w:rsidR="0071666D" w:rsidRPr="0071666D">
        <w:rPr>
          <w:iCs/>
        </w:rPr>
        <w:t>no h</w:t>
      </w:r>
      <w:r w:rsidR="005C050D">
        <w:rPr>
          <w:iCs/>
        </w:rPr>
        <w:t>ubiesen</w:t>
      </w:r>
      <w:r w:rsidR="0071666D" w:rsidRPr="0071666D">
        <w:rPr>
          <w:iCs/>
        </w:rPr>
        <w:t xml:space="preserve"> sido retirados por los </w:t>
      </w:r>
      <w:r w:rsidR="0071666D" w:rsidRPr="0071666D">
        <w:rPr>
          <w:iCs/>
        </w:rPr>
        <w:lastRenderedPageBreak/>
        <w:t>beneficiarios en un plazo de diez años, contado a partir del fallecimiento del afiliado o pensionado</w:t>
      </w:r>
      <w:r w:rsidR="0097385F">
        <w:rPr>
          <w:iCs/>
        </w:rPr>
        <w:t>, entre otros.</w:t>
      </w:r>
    </w:p>
    <w:p w14:paraId="1E1574D1" w14:textId="77777777" w:rsidR="00B422EC" w:rsidRPr="00B422EC" w:rsidRDefault="00B422EC" w:rsidP="00B422EC">
      <w:pPr>
        <w:spacing w:line="276" w:lineRule="auto"/>
        <w:jc w:val="both"/>
        <w:rPr>
          <w:iCs/>
        </w:rPr>
      </w:pPr>
    </w:p>
    <w:p w14:paraId="4B55380E" w14:textId="0A9007DA" w:rsidR="00185A51" w:rsidRDefault="001D306D" w:rsidP="00185A51">
      <w:pPr>
        <w:pStyle w:val="Prrafodelista"/>
        <w:numPr>
          <w:ilvl w:val="0"/>
          <w:numId w:val="3"/>
        </w:numPr>
        <w:spacing w:line="276" w:lineRule="auto"/>
        <w:jc w:val="both"/>
        <w:rPr>
          <w:iCs/>
        </w:rPr>
      </w:pPr>
      <w:r>
        <w:rPr>
          <w:iCs/>
        </w:rPr>
        <w:t>La pandemia causada por el COVID</w:t>
      </w:r>
      <w:r w:rsidR="005C050D">
        <w:rPr>
          <w:iCs/>
        </w:rPr>
        <w:t>-</w:t>
      </w:r>
      <w:r>
        <w:rPr>
          <w:iCs/>
        </w:rPr>
        <w:t>19</w:t>
      </w:r>
      <w:r w:rsidR="009D0222">
        <w:rPr>
          <w:iCs/>
        </w:rPr>
        <w:t xml:space="preserve">, </w:t>
      </w:r>
      <w:r>
        <w:rPr>
          <w:iCs/>
        </w:rPr>
        <w:t>la crisis de los mercados financieros</w:t>
      </w:r>
      <w:r w:rsidR="00AE1F65">
        <w:rPr>
          <w:iCs/>
        </w:rPr>
        <w:t xml:space="preserve"> derivadas de esta, así como de las medidas de </w:t>
      </w:r>
      <w:r w:rsidR="005C76BF">
        <w:rPr>
          <w:iCs/>
        </w:rPr>
        <w:t>política</w:t>
      </w:r>
      <w:r w:rsidR="00AE1F65">
        <w:rPr>
          <w:iCs/>
        </w:rPr>
        <w:t xml:space="preserve"> </w:t>
      </w:r>
      <w:r w:rsidR="005C76BF">
        <w:rPr>
          <w:iCs/>
        </w:rPr>
        <w:t>monetaria</w:t>
      </w:r>
      <w:r w:rsidR="00AE1F65">
        <w:rPr>
          <w:iCs/>
        </w:rPr>
        <w:t xml:space="preserve"> </w:t>
      </w:r>
      <w:r w:rsidR="003B15D4">
        <w:rPr>
          <w:iCs/>
        </w:rPr>
        <w:t xml:space="preserve">expansivas </w:t>
      </w:r>
      <w:r w:rsidR="00AE1F65">
        <w:rPr>
          <w:iCs/>
        </w:rPr>
        <w:t>llevada</w:t>
      </w:r>
      <w:r w:rsidR="003B15D4">
        <w:rPr>
          <w:iCs/>
        </w:rPr>
        <w:t>s</w:t>
      </w:r>
      <w:r w:rsidR="00AE1F65">
        <w:rPr>
          <w:iCs/>
        </w:rPr>
        <w:t xml:space="preserve"> a cabo por los bancos centrales </w:t>
      </w:r>
      <w:r w:rsidR="005C76BF">
        <w:rPr>
          <w:iCs/>
        </w:rPr>
        <w:t xml:space="preserve">en </w:t>
      </w:r>
      <w:r w:rsidR="00B7734E">
        <w:rPr>
          <w:iCs/>
        </w:rPr>
        <w:t>prácticamente tod</w:t>
      </w:r>
      <w:r w:rsidR="00932088">
        <w:rPr>
          <w:iCs/>
        </w:rPr>
        <w:t>o</w:t>
      </w:r>
      <w:r w:rsidR="00B7734E">
        <w:rPr>
          <w:iCs/>
        </w:rPr>
        <w:t>s l</w:t>
      </w:r>
      <w:r w:rsidR="00932088">
        <w:rPr>
          <w:iCs/>
        </w:rPr>
        <w:t>o</w:t>
      </w:r>
      <w:r w:rsidR="00B7734E">
        <w:rPr>
          <w:iCs/>
        </w:rPr>
        <w:t xml:space="preserve">s </w:t>
      </w:r>
      <w:r w:rsidR="004A7A2E">
        <w:rPr>
          <w:iCs/>
        </w:rPr>
        <w:t xml:space="preserve">países </w:t>
      </w:r>
      <w:r w:rsidR="00B7734E">
        <w:rPr>
          <w:iCs/>
        </w:rPr>
        <w:t>del mundo</w:t>
      </w:r>
      <w:r w:rsidR="003B15D4">
        <w:rPr>
          <w:iCs/>
        </w:rPr>
        <w:t xml:space="preserve"> y, posteriormente, las adoptadas para moderar la consecuente inflación</w:t>
      </w:r>
      <w:r w:rsidR="001D7EDA">
        <w:rPr>
          <w:iCs/>
        </w:rPr>
        <w:t xml:space="preserve"> que sufrieron las economías</w:t>
      </w:r>
      <w:r w:rsidR="004A7A2E">
        <w:rPr>
          <w:iCs/>
        </w:rPr>
        <w:t xml:space="preserve"> a nivel global</w:t>
      </w:r>
      <w:r w:rsidR="003B15D4">
        <w:rPr>
          <w:iCs/>
        </w:rPr>
        <w:t>,</w:t>
      </w:r>
      <w:r w:rsidR="00A543E2">
        <w:rPr>
          <w:iCs/>
        </w:rPr>
        <w:t xml:space="preserve"> </w:t>
      </w:r>
      <w:r w:rsidR="00754436">
        <w:rPr>
          <w:iCs/>
        </w:rPr>
        <w:t xml:space="preserve">situaciones </w:t>
      </w:r>
      <w:r w:rsidR="00A543E2">
        <w:rPr>
          <w:iCs/>
        </w:rPr>
        <w:t>que requirieron de</w:t>
      </w:r>
      <w:r>
        <w:rPr>
          <w:iCs/>
        </w:rPr>
        <w:t xml:space="preserve"> una revisión </w:t>
      </w:r>
      <w:r w:rsidR="009E4D31">
        <w:rPr>
          <w:iCs/>
        </w:rPr>
        <w:t xml:space="preserve">y adaptación </w:t>
      </w:r>
      <w:r>
        <w:rPr>
          <w:iCs/>
        </w:rPr>
        <w:t>de una serie de disposiciones</w:t>
      </w:r>
      <w:r w:rsidR="004B3160">
        <w:rPr>
          <w:iCs/>
        </w:rPr>
        <w:t xml:space="preserve"> reglamentarias y de acuerdos del Superintendente que no habían sido concebidos para crisis tan profundas y prolongadas como la</w:t>
      </w:r>
      <w:r w:rsidR="008C2813">
        <w:rPr>
          <w:iCs/>
        </w:rPr>
        <w:t>s</w:t>
      </w:r>
      <w:r w:rsidR="004B3160">
        <w:rPr>
          <w:iCs/>
        </w:rPr>
        <w:t xml:space="preserve"> sufrida</w:t>
      </w:r>
      <w:r w:rsidR="008C2813">
        <w:rPr>
          <w:iCs/>
        </w:rPr>
        <w:t xml:space="preserve">s, </w:t>
      </w:r>
      <w:r w:rsidR="00E251CD">
        <w:rPr>
          <w:iCs/>
        </w:rPr>
        <w:t xml:space="preserve">entre ellas, </w:t>
      </w:r>
      <w:r w:rsidR="00E102DD">
        <w:rPr>
          <w:iCs/>
        </w:rPr>
        <w:t>v.gr.</w:t>
      </w:r>
      <w:r w:rsidR="008C2813">
        <w:rPr>
          <w:iCs/>
        </w:rPr>
        <w:t xml:space="preserve">, la extensión del período de </w:t>
      </w:r>
      <w:r w:rsidR="009E4D31">
        <w:rPr>
          <w:iCs/>
        </w:rPr>
        <w:t xml:space="preserve">los </w:t>
      </w:r>
      <w:r w:rsidR="005545D8">
        <w:rPr>
          <w:iCs/>
        </w:rPr>
        <w:t xml:space="preserve">rendimientos a considerar para el cálculo de las Rentas Permanentes, para que </w:t>
      </w:r>
      <w:r w:rsidR="008D2F8C">
        <w:rPr>
          <w:iCs/>
        </w:rPr>
        <w:t>no se vieran afectados sobremanera los montos de las pensiones que se calcularon con los rendimientos de un año</w:t>
      </w:r>
      <w:r w:rsidR="000C4B6B">
        <w:rPr>
          <w:iCs/>
        </w:rPr>
        <w:t>.</w:t>
      </w:r>
    </w:p>
    <w:p w14:paraId="612C36B6" w14:textId="77777777" w:rsidR="00CB59A6" w:rsidRPr="00CB59A6" w:rsidRDefault="00CB59A6" w:rsidP="00CB59A6">
      <w:pPr>
        <w:pStyle w:val="Prrafodelista"/>
        <w:rPr>
          <w:iCs/>
        </w:rPr>
      </w:pPr>
    </w:p>
    <w:p w14:paraId="1AFC514D" w14:textId="1ABB20B5" w:rsidR="00CB59A6" w:rsidRPr="00185A51" w:rsidRDefault="00CB59A6" w:rsidP="00185A51">
      <w:pPr>
        <w:pStyle w:val="Prrafodelista"/>
        <w:numPr>
          <w:ilvl w:val="0"/>
          <w:numId w:val="3"/>
        </w:numPr>
        <w:spacing w:line="276" w:lineRule="auto"/>
        <w:jc w:val="both"/>
        <w:rPr>
          <w:iCs/>
        </w:rPr>
      </w:pPr>
      <w:r>
        <w:rPr>
          <w:iCs/>
        </w:rPr>
        <w:t>La implementación de</w:t>
      </w:r>
      <w:r w:rsidR="005C1E47">
        <w:rPr>
          <w:iCs/>
        </w:rPr>
        <w:t xml:space="preserve"> </w:t>
      </w:r>
      <w:r>
        <w:rPr>
          <w:iCs/>
        </w:rPr>
        <w:t>los fondos generacionales en el Régimen Obligatorio de Pensiones Complementarias, quizá la más importante reforma</w:t>
      </w:r>
      <w:r w:rsidR="00C0137E">
        <w:rPr>
          <w:iCs/>
        </w:rPr>
        <w:t xml:space="preserve"> a este régimen desde su creación</w:t>
      </w:r>
      <w:r w:rsidR="00E57427">
        <w:rPr>
          <w:iCs/>
        </w:rPr>
        <w:t>, reformas</w:t>
      </w:r>
      <w:r w:rsidR="001078B9">
        <w:rPr>
          <w:iCs/>
        </w:rPr>
        <w:t xml:space="preserve"> en las que participé, junto con el grupo de trabajo integrado al efecto</w:t>
      </w:r>
      <w:r w:rsidR="00395281">
        <w:rPr>
          <w:iCs/>
        </w:rPr>
        <w:t xml:space="preserve">, hasta su definitiva aprobación por parte del </w:t>
      </w:r>
      <w:r w:rsidR="00395281" w:rsidRPr="00906DDE">
        <w:rPr>
          <w:i/>
        </w:rPr>
        <w:t>Consejo Nacional de Supervisión del Sistema Financiero</w:t>
      </w:r>
      <w:r w:rsidR="00395281">
        <w:rPr>
          <w:iCs/>
        </w:rPr>
        <w:t>.</w:t>
      </w:r>
    </w:p>
    <w:p w14:paraId="41F26031" w14:textId="77777777" w:rsidR="00280D88" w:rsidRPr="00C558DC" w:rsidRDefault="00280D88" w:rsidP="00E629C7">
      <w:pPr>
        <w:spacing w:line="276" w:lineRule="auto"/>
        <w:jc w:val="both"/>
        <w:rPr>
          <w:rFonts w:asciiTheme="minorHAnsi" w:hAnsiTheme="minorHAnsi" w:cstheme="minorHAnsi"/>
          <w:b/>
          <w:bCs/>
          <w:iCs/>
        </w:rPr>
      </w:pPr>
    </w:p>
    <w:p w14:paraId="2864E85F" w14:textId="705AA8C2" w:rsidR="00E629C7" w:rsidRDefault="0073079B" w:rsidP="00C558DC">
      <w:pPr>
        <w:pStyle w:val="Prrafodelista"/>
        <w:numPr>
          <w:ilvl w:val="0"/>
          <w:numId w:val="2"/>
        </w:numPr>
        <w:spacing w:line="276" w:lineRule="auto"/>
        <w:jc w:val="both"/>
        <w:rPr>
          <w:rFonts w:asciiTheme="minorHAnsi" w:hAnsiTheme="minorHAnsi" w:cstheme="minorHAnsi"/>
          <w:b/>
          <w:bCs/>
          <w:iCs/>
        </w:rPr>
      </w:pPr>
      <w:r>
        <w:rPr>
          <w:rFonts w:asciiTheme="minorHAnsi" w:hAnsiTheme="minorHAnsi" w:cstheme="minorHAnsi"/>
          <w:b/>
          <w:bCs/>
          <w:iCs/>
        </w:rPr>
        <w:t>A</w:t>
      </w:r>
      <w:r w:rsidR="00E629C7" w:rsidRPr="00C558DC">
        <w:rPr>
          <w:rFonts w:asciiTheme="minorHAnsi" w:hAnsiTheme="minorHAnsi" w:cstheme="minorHAnsi"/>
          <w:b/>
          <w:bCs/>
          <w:iCs/>
        </w:rPr>
        <w:t xml:space="preserve">utoevaluación del sistema de control interno institucional </w:t>
      </w:r>
      <w:r w:rsidR="00C558DC" w:rsidRPr="00C558DC">
        <w:rPr>
          <w:rFonts w:asciiTheme="minorHAnsi" w:hAnsiTheme="minorHAnsi" w:cstheme="minorHAnsi"/>
          <w:b/>
          <w:bCs/>
          <w:iCs/>
        </w:rPr>
        <w:t>del proceso de Normativa y Autorizaciones</w:t>
      </w:r>
    </w:p>
    <w:p w14:paraId="5A82AA41" w14:textId="77777777" w:rsidR="0073079B" w:rsidRDefault="0073079B" w:rsidP="0073079B">
      <w:pPr>
        <w:spacing w:line="276" w:lineRule="auto"/>
        <w:jc w:val="both"/>
        <w:rPr>
          <w:rFonts w:asciiTheme="minorHAnsi" w:hAnsiTheme="minorHAnsi" w:cstheme="minorHAnsi"/>
          <w:iCs/>
        </w:rPr>
      </w:pPr>
    </w:p>
    <w:p w14:paraId="30C02452" w14:textId="45068CB7" w:rsidR="0073079B" w:rsidRPr="006C59C8" w:rsidRDefault="00064B87" w:rsidP="006C59C8">
      <w:pPr>
        <w:spacing w:line="276" w:lineRule="auto"/>
        <w:jc w:val="both"/>
        <w:rPr>
          <w:iCs/>
        </w:rPr>
      </w:pPr>
      <w:r w:rsidRPr="006C59C8">
        <w:rPr>
          <w:iCs/>
        </w:rPr>
        <w:t>N</w:t>
      </w:r>
      <w:r w:rsidR="0073079B" w:rsidRPr="006C59C8">
        <w:rPr>
          <w:iCs/>
        </w:rPr>
        <w:t xml:space="preserve">o se encuentran </w:t>
      </w:r>
      <w:r w:rsidR="00B633CE" w:rsidRPr="006C59C8">
        <w:rPr>
          <w:iCs/>
        </w:rPr>
        <w:t>acciones correctivas pendientes derivadas del sistema d</w:t>
      </w:r>
      <w:r w:rsidR="00F83D47" w:rsidRPr="006C59C8">
        <w:rPr>
          <w:iCs/>
        </w:rPr>
        <w:t xml:space="preserve">e </w:t>
      </w:r>
      <w:r w:rsidR="00514288" w:rsidRPr="006C59C8">
        <w:rPr>
          <w:iCs/>
        </w:rPr>
        <w:t xml:space="preserve">aseguramiento de calidad, en lo que respecta al </w:t>
      </w:r>
      <w:r w:rsidR="00514288" w:rsidRPr="00AF3529">
        <w:rPr>
          <w:i/>
        </w:rPr>
        <w:t>Proceso de Normativa y Autorizaciones</w:t>
      </w:r>
      <w:r w:rsidR="00514288" w:rsidRPr="006C59C8">
        <w:rPr>
          <w:iCs/>
        </w:rPr>
        <w:t>.</w:t>
      </w:r>
    </w:p>
    <w:p w14:paraId="6EEED4DB" w14:textId="77777777" w:rsidR="006C59C8" w:rsidRDefault="006C59C8" w:rsidP="006C59C8">
      <w:pPr>
        <w:spacing w:line="276" w:lineRule="auto"/>
        <w:jc w:val="both"/>
        <w:rPr>
          <w:iCs/>
        </w:rPr>
      </w:pPr>
    </w:p>
    <w:p w14:paraId="21D29579" w14:textId="58B575D8" w:rsidR="00C35FA0" w:rsidRPr="00932659" w:rsidRDefault="00C35FA0" w:rsidP="006C59C8">
      <w:pPr>
        <w:spacing w:line="276" w:lineRule="auto"/>
        <w:jc w:val="both"/>
        <w:rPr>
          <w:iCs/>
        </w:rPr>
      </w:pPr>
      <w:r w:rsidRPr="006C59C8">
        <w:rPr>
          <w:iCs/>
        </w:rPr>
        <w:t xml:space="preserve">La Superintendencia de Pensiones se encuentra certificada </w:t>
      </w:r>
      <w:r w:rsidR="001D681E" w:rsidRPr="00FA16E0">
        <w:rPr>
          <w:i/>
        </w:rPr>
        <w:t>ISO 9001-2015</w:t>
      </w:r>
      <w:r w:rsidR="008862D8" w:rsidRPr="006C59C8">
        <w:rPr>
          <w:iCs/>
        </w:rPr>
        <w:t xml:space="preserve"> desde el año </w:t>
      </w:r>
      <w:r w:rsidR="00596BFE" w:rsidRPr="006C59C8">
        <w:rPr>
          <w:iCs/>
        </w:rPr>
        <w:t>2008</w:t>
      </w:r>
      <w:r w:rsidR="00064B87" w:rsidRPr="006C59C8">
        <w:rPr>
          <w:iCs/>
        </w:rPr>
        <w:t xml:space="preserve"> </w:t>
      </w:r>
      <w:r w:rsidR="008862D8" w:rsidRPr="006C59C8">
        <w:rPr>
          <w:iCs/>
        </w:rPr>
        <w:t>a la fecha</w:t>
      </w:r>
      <w:r w:rsidR="00B032A8" w:rsidRPr="006C59C8">
        <w:rPr>
          <w:iCs/>
        </w:rPr>
        <w:t>, certificación que cubre la integralidad de los procesos de la Superintendencia de Pensiones</w:t>
      </w:r>
      <w:r w:rsidR="00A07F00">
        <w:rPr>
          <w:iCs/>
        </w:rPr>
        <w:t xml:space="preserve">, incluyendo el </w:t>
      </w:r>
      <w:r w:rsidR="00A07F00" w:rsidRPr="00A07F00">
        <w:rPr>
          <w:i/>
        </w:rPr>
        <w:t>Proceso de Normativa y Autorizaciones</w:t>
      </w:r>
      <w:r w:rsidR="00932659">
        <w:rPr>
          <w:i/>
        </w:rPr>
        <w:t xml:space="preserve">, </w:t>
      </w:r>
      <w:r w:rsidR="00932659" w:rsidRPr="00932659">
        <w:rPr>
          <w:iCs/>
        </w:rPr>
        <w:t xml:space="preserve">después de las evaluaciones </w:t>
      </w:r>
      <w:r w:rsidR="00787443">
        <w:rPr>
          <w:iCs/>
        </w:rPr>
        <w:t xml:space="preserve">realizadas por INTECO </w:t>
      </w:r>
      <w:r w:rsidR="00932659" w:rsidRPr="00932659">
        <w:rPr>
          <w:iCs/>
        </w:rPr>
        <w:t>para garantizar el cumplimiento de los objetivos de aseguramiento de la calidad.</w:t>
      </w:r>
    </w:p>
    <w:p w14:paraId="44A1FE97" w14:textId="77777777" w:rsidR="001D681E" w:rsidRDefault="001D681E" w:rsidP="0073079B">
      <w:pPr>
        <w:spacing w:line="276" w:lineRule="auto"/>
        <w:jc w:val="both"/>
        <w:rPr>
          <w:rFonts w:asciiTheme="minorHAnsi" w:hAnsiTheme="minorHAnsi" w:cstheme="minorHAnsi"/>
          <w:b/>
          <w:bCs/>
          <w:iCs/>
        </w:rPr>
      </w:pPr>
    </w:p>
    <w:p w14:paraId="50094F0B" w14:textId="77777777" w:rsidR="00E40BB9" w:rsidRDefault="00E40BB9" w:rsidP="0073079B">
      <w:pPr>
        <w:spacing w:line="276" w:lineRule="auto"/>
        <w:jc w:val="both"/>
        <w:rPr>
          <w:rFonts w:asciiTheme="minorHAnsi" w:hAnsiTheme="minorHAnsi" w:cstheme="minorHAnsi"/>
          <w:b/>
          <w:bCs/>
          <w:iCs/>
        </w:rPr>
      </w:pPr>
    </w:p>
    <w:p w14:paraId="0068A7A7" w14:textId="77777777" w:rsidR="00E40BB9" w:rsidRPr="00E12FB8" w:rsidRDefault="00E40BB9" w:rsidP="0073079B">
      <w:pPr>
        <w:spacing w:line="276" w:lineRule="auto"/>
        <w:jc w:val="both"/>
        <w:rPr>
          <w:rFonts w:asciiTheme="minorHAnsi" w:hAnsiTheme="minorHAnsi" w:cstheme="minorHAnsi"/>
          <w:b/>
          <w:bCs/>
          <w:iCs/>
        </w:rPr>
      </w:pPr>
    </w:p>
    <w:p w14:paraId="260D7048" w14:textId="3A51A4D7" w:rsidR="000D402F" w:rsidRPr="00156192" w:rsidRDefault="000D402F" w:rsidP="00AA7892">
      <w:pPr>
        <w:pStyle w:val="Prrafodelista"/>
        <w:numPr>
          <w:ilvl w:val="0"/>
          <w:numId w:val="2"/>
        </w:numPr>
        <w:spacing w:line="276" w:lineRule="auto"/>
        <w:jc w:val="both"/>
        <w:rPr>
          <w:rFonts w:asciiTheme="minorHAnsi" w:hAnsiTheme="minorHAnsi" w:cstheme="minorHAnsi"/>
          <w:b/>
          <w:bCs/>
          <w:iCs/>
        </w:rPr>
      </w:pPr>
      <w:r w:rsidRPr="00156192">
        <w:rPr>
          <w:rFonts w:asciiTheme="minorHAnsi" w:hAnsiTheme="minorHAnsi" w:cstheme="minorHAnsi"/>
          <w:b/>
          <w:bCs/>
          <w:iCs/>
        </w:rPr>
        <w:lastRenderedPageBreak/>
        <w:t>Principales logros alcanzados durante su gestión de conformidad con la planificación institucional o de</w:t>
      </w:r>
      <w:r w:rsidR="00E12FB8" w:rsidRPr="00156192">
        <w:rPr>
          <w:rFonts w:asciiTheme="minorHAnsi" w:hAnsiTheme="minorHAnsi" w:cstheme="minorHAnsi"/>
          <w:b/>
          <w:bCs/>
          <w:iCs/>
        </w:rPr>
        <w:t>l proceso</w:t>
      </w:r>
    </w:p>
    <w:p w14:paraId="517BBC90" w14:textId="77777777" w:rsidR="00E12FB8" w:rsidRDefault="00E12FB8" w:rsidP="00E12FB8">
      <w:pPr>
        <w:spacing w:line="276" w:lineRule="auto"/>
        <w:jc w:val="both"/>
        <w:rPr>
          <w:rFonts w:asciiTheme="minorHAnsi" w:hAnsiTheme="minorHAnsi" w:cstheme="minorHAnsi"/>
          <w:b/>
          <w:bCs/>
          <w:iCs/>
        </w:rPr>
      </w:pPr>
    </w:p>
    <w:p w14:paraId="378FB0B9" w14:textId="5B68EA45" w:rsidR="00E12FB8" w:rsidRPr="00BD1600" w:rsidRDefault="00BD6D9F" w:rsidP="00E12FB8">
      <w:pPr>
        <w:spacing w:line="276" w:lineRule="auto"/>
        <w:jc w:val="both"/>
        <w:rPr>
          <w:rFonts w:cs="Times New Roman"/>
          <w:b/>
          <w:bCs/>
          <w:iCs/>
        </w:rPr>
      </w:pPr>
      <w:r w:rsidRPr="005E589C">
        <w:rPr>
          <w:rFonts w:cs="Times New Roman"/>
          <w:iCs/>
        </w:rPr>
        <w:t xml:space="preserve">La </w:t>
      </w:r>
      <w:r w:rsidR="005E589C">
        <w:rPr>
          <w:rFonts w:cs="Times New Roman"/>
          <w:iCs/>
        </w:rPr>
        <w:t>F</w:t>
      </w:r>
      <w:r w:rsidRPr="005E589C">
        <w:rPr>
          <w:rFonts w:cs="Times New Roman"/>
          <w:iCs/>
        </w:rPr>
        <w:t xml:space="preserve">icha </w:t>
      </w:r>
      <w:r w:rsidR="005E589C" w:rsidRPr="005E589C">
        <w:rPr>
          <w:rFonts w:cs="Times New Roman"/>
          <w:iCs/>
        </w:rPr>
        <w:t xml:space="preserve">de Normativa </w:t>
      </w:r>
      <w:r w:rsidR="005E589C">
        <w:rPr>
          <w:rFonts w:cs="Times New Roman"/>
          <w:iCs/>
        </w:rPr>
        <w:t xml:space="preserve">establece </w:t>
      </w:r>
      <w:r w:rsidR="00A16F6C">
        <w:rPr>
          <w:rFonts w:cs="Times New Roman"/>
          <w:iCs/>
        </w:rPr>
        <w:t xml:space="preserve">los dos grandes ejes del quehacer del </w:t>
      </w:r>
      <w:r w:rsidR="00A16F6C" w:rsidRPr="00BD1600">
        <w:rPr>
          <w:rFonts w:cs="Times New Roman"/>
          <w:i/>
        </w:rPr>
        <w:t xml:space="preserve">Proceso de </w:t>
      </w:r>
      <w:r w:rsidR="005D23F9" w:rsidRPr="00BD1600">
        <w:rPr>
          <w:rFonts w:cs="Times New Roman"/>
          <w:i/>
        </w:rPr>
        <w:t>Normativa y de Autorizaciones.</w:t>
      </w:r>
      <w:r w:rsidR="005D23F9" w:rsidRPr="00BD1600">
        <w:rPr>
          <w:rFonts w:cs="Times New Roman"/>
          <w:b/>
          <w:bCs/>
          <w:iCs/>
        </w:rPr>
        <w:t xml:space="preserve"> </w:t>
      </w:r>
    </w:p>
    <w:p w14:paraId="58FD75B2" w14:textId="77777777" w:rsidR="005D23F9" w:rsidRPr="00BD1600" w:rsidRDefault="005D23F9" w:rsidP="00E12FB8">
      <w:pPr>
        <w:spacing w:line="276" w:lineRule="auto"/>
        <w:jc w:val="both"/>
        <w:rPr>
          <w:rFonts w:cs="Times New Roman"/>
          <w:b/>
          <w:bCs/>
          <w:iCs/>
        </w:rPr>
      </w:pPr>
    </w:p>
    <w:p w14:paraId="7CAA201C" w14:textId="77777777" w:rsidR="00260A96" w:rsidRPr="00260A96" w:rsidRDefault="00300E2F" w:rsidP="00260A96">
      <w:pPr>
        <w:pStyle w:val="Prrafodelista"/>
        <w:numPr>
          <w:ilvl w:val="0"/>
          <w:numId w:val="16"/>
        </w:numPr>
        <w:spacing w:line="276" w:lineRule="auto"/>
        <w:jc w:val="both"/>
        <w:rPr>
          <w:rFonts w:asciiTheme="minorHAnsi" w:hAnsiTheme="minorHAnsi" w:cstheme="minorHAnsi"/>
          <w:b/>
          <w:bCs/>
          <w:iCs/>
        </w:rPr>
      </w:pPr>
      <w:r w:rsidRPr="00260A96">
        <w:rPr>
          <w:rFonts w:asciiTheme="minorHAnsi" w:hAnsiTheme="minorHAnsi" w:cstheme="minorHAnsi"/>
          <w:b/>
          <w:bCs/>
          <w:iCs/>
        </w:rPr>
        <w:t>P</w:t>
      </w:r>
      <w:r w:rsidR="005D23F9" w:rsidRPr="00260A96">
        <w:rPr>
          <w:rFonts w:asciiTheme="minorHAnsi" w:hAnsiTheme="minorHAnsi" w:cstheme="minorHAnsi"/>
          <w:b/>
          <w:bCs/>
          <w:iCs/>
        </w:rPr>
        <w:t xml:space="preserve">roceso de Normativa </w:t>
      </w:r>
    </w:p>
    <w:p w14:paraId="6C625BBB" w14:textId="77777777" w:rsidR="00260A96" w:rsidRDefault="00260A96" w:rsidP="00260A96">
      <w:pPr>
        <w:spacing w:line="276" w:lineRule="auto"/>
        <w:ind w:left="360"/>
        <w:jc w:val="both"/>
        <w:rPr>
          <w:rFonts w:cs="Times New Roman"/>
          <w:iCs/>
        </w:rPr>
      </w:pPr>
    </w:p>
    <w:p w14:paraId="5B1ECA19" w14:textId="77777777" w:rsidR="00FE6687" w:rsidRDefault="00260A96" w:rsidP="00FE6687">
      <w:pPr>
        <w:spacing w:line="276" w:lineRule="auto"/>
        <w:ind w:left="360"/>
        <w:jc w:val="both"/>
        <w:rPr>
          <w:rFonts w:cs="Times New Roman"/>
          <w:iCs/>
        </w:rPr>
      </w:pPr>
      <w:r>
        <w:rPr>
          <w:rFonts w:cs="Times New Roman"/>
          <w:iCs/>
        </w:rPr>
        <w:t>E</w:t>
      </w:r>
      <w:r w:rsidR="005D23F9" w:rsidRPr="00260A96">
        <w:rPr>
          <w:rFonts w:cs="Times New Roman"/>
          <w:iCs/>
        </w:rPr>
        <w:t xml:space="preserve">l objetivo </w:t>
      </w:r>
      <w:r w:rsidR="00FE6687">
        <w:rPr>
          <w:rFonts w:cs="Times New Roman"/>
          <w:iCs/>
        </w:rPr>
        <w:t xml:space="preserve">del proceso de normativa </w:t>
      </w:r>
      <w:r w:rsidR="00C6293F" w:rsidRPr="00260A96">
        <w:rPr>
          <w:rFonts w:cs="Times New Roman"/>
          <w:iCs/>
        </w:rPr>
        <w:t>es m</w:t>
      </w:r>
      <w:r w:rsidR="00965234" w:rsidRPr="00260A96">
        <w:rPr>
          <w:rFonts w:cs="Times New Roman"/>
          <w:iCs/>
        </w:rPr>
        <w:t>antener el marco regulatorio del Sistema Nacional de Pensiones alineado con</w:t>
      </w:r>
      <w:r w:rsidR="00C6293F" w:rsidRPr="00260A96">
        <w:rPr>
          <w:rFonts w:cs="Times New Roman"/>
          <w:iCs/>
        </w:rPr>
        <w:t xml:space="preserve"> l</w:t>
      </w:r>
      <w:r w:rsidR="00965234" w:rsidRPr="00260A96">
        <w:rPr>
          <w:rFonts w:cs="Times New Roman"/>
          <w:iCs/>
        </w:rPr>
        <w:t>a protección de los intereses de los afiliados</w:t>
      </w:r>
      <w:r w:rsidR="00C6293F" w:rsidRPr="00260A96">
        <w:rPr>
          <w:rFonts w:cs="Times New Roman"/>
          <w:iCs/>
        </w:rPr>
        <w:t>; l</w:t>
      </w:r>
      <w:r w:rsidR="00965234" w:rsidRPr="00260A96">
        <w:rPr>
          <w:rFonts w:cs="Times New Roman"/>
          <w:iCs/>
        </w:rPr>
        <w:t>a adecuada gestión de  los riesgos del Sistema Nacional de Pensiones</w:t>
      </w:r>
      <w:r w:rsidR="00C6293F" w:rsidRPr="00260A96">
        <w:rPr>
          <w:rFonts w:cs="Times New Roman"/>
          <w:iCs/>
        </w:rPr>
        <w:t>; y la</w:t>
      </w:r>
      <w:r w:rsidR="00965234" w:rsidRPr="00260A96">
        <w:rPr>
          <w:rFonts w:cs="Times New Roman"/>
          <w:iCs/>
        </w:rPr>
        <w:t xml:space="preserve"> aplicación de las mejores prácticas de gestión en los participantes.</w:t>
      </w:r>
    </w:p>
    <w:p w14:paraId="77BEB460" w14:textId="77777777" w:rsidR="00FE6687" w:rsidRDefault="00FE6687" w:rsidP="00FE6687">
      <w:pPr>
        <w:spacing w:line="276" w:lineRule="auto"/>
        <w:ind w:left="360"/>
        <w:jc w:val="both"/>
        <w:rPr>
          <w:rFonts w:cs="Times New Roman"/>
          <w:iCs/>
        </w:rPr>
      </w:pPr>
    </w:p>
    <w:p w14:paraId="72293523" w14:textId="77777777" w:rsidR="003D5AB4" w:rsidRDefault="00851DDE" w:rsidP="003D5AB4">
      <w:pPr>
        <w:spacing w:line="276" w:lineRule="auto"/>
        <w:ind w:left="360"/>
        <w:jc w:val="both"/>
        <w:rPr>
          <w:rFonts w:cs="Times New Roman"/>
          <w:iCs/>
        </w:rPr>
      </w:pPr>
      <w:r>
        <w:rPr>
          <w:rFonts w:cs="Times New Roman"/>
          <w:iCs/>
        </w:rPr>
        <w:t xml:space="preserve">Para lo anterior, la meta </w:t>
      </w:r>
      <w:r w:rsidR="00FE6687">
        <w:rPr>
          <w:rFonts w:cs="Times New Roman"/>
          <w:iCs/>
        </w:rPr>
        <w:t xml:space="preserve">declarada </w:t>
      </w:r>
      <w:r>
        <w:rPr>
          <w:rFonts w:cs="Times New Roman"/>
          <w:iCs/>
        </w:rPr>
        <w:t>consiste en realizar una revisión</w:t>
      </w:r>
      <w:r w:rsidR="0074484C">
        <w:rPr>
          <w:rFonts w:cs="Times New Roman"/>
          <w:iCs/>
        </w:rPr>
        <w:t>, cada tres años, de todos los reglamentos publicados en el sitio web de la SUPEN.</w:t>
      </w:r>
    </w:p>
    <w:p w14:paraId="10FBB4E7" w14:textId="77777777" w:rsidR="003D5AB4" w:rsidRDefault="003D5AB4" w:rsidP="003D5AB4">
      <w:pPr>
        <w:spacing w:line="276" w:lineRule="auto"/>
        <w:ind w:left="360"/>
        <w:jc w:val="both"/>
        <w:rPr>
          <w:rFonts w:cs="Times New Roman"/>
          <w:iCs/>
        </w:rPr>
      </w:pPr>
    </w:p>
    <w:p w14:paraId="30DB0D94" w14:textId="23E164CA" w:rsidR="006B65D8" w:rsidRDefault="008C0CA9" w:rsidP="003D5AB4">
      <w:pPr>
        <w:spacing w:line="276" w:lineRule="auto"/>
        <w:ind w:left="360"/>
        <w:jc w:val="both"/>
        <w:rPr>
          <w:rFonts w:cs="Times New Roman"/>
          <w:iCs/>
        </w:rPr>
      </w:pPr>
      <w:r>
        <w:rPr>
          <w:rFonts w:cs="Times New Roman"/>
          <w:iCs/>
        </w:rPr>
        <w:t xml:space="preserve">De seguido se presenta el informe correspondiente a la revisión y actualización de la normativa durante </w:t>
      </w:r>
      <w:r w:rsidR="008A4291">
        <w:rPr>
          <w:rFonts w:cs="Times New Roman"/>
          <w:iCs/>
        </w:rPr>
        <w:t>los</w:t>
      </w:r>
      <w:r w:rsidR="006B65D8">
        <w:rPr>
          <w:rFonts w:cs="Times New Roman"/>
          <w:iCs/>
        </w:rPr>
        <w:t xml:space="preserve"> trienio</w:t>
      </w:r>
      <w:r w:rsidR="008A4291">
        <w:rPr>
          <w:rFonts w:cs="Times New Roman"/>
          <w:iCs/>
        </w:rPr>
        <w:t>s</w:t>
      </w:r>
      <w:r w:rsidR="006B65D8">
        <w:rPr>
          <w:rFonts w:cs="Times New Roman"/>
          <w:iCs/>
        </w:rPr>
        <w:t xml:space="preserve"> 2018-2021 y 2021-2024.</w:t>
      </w:r>
    </w:p>
    <w:p w14:paraId="2F06EE7B" w14:textId="77777777" w:rsidR="006B65D8" w:rsidRDefault="006B65D8" w:rsidP="008719E7">
      <w:pPr>
        <w:spacing w:line="276" w:lineRule="auto"/>
        <w:jc w:val="both"/>
        <w:rPr>
          <w:rFonts w:cs="Times New Roman"/>
          <w:iCs/>
        </w:rPr>
      </w:pPr>
    </w:p>
    <w:p w14:paraId="74FF2F68" w14:textId="485EDB8F" w:rsidR="008719E7" w:rsidRPr="008719E7" w:rsidRDefault="0074484C" w:rsidP="003D5AB4">
      <w:pPr>
        <w:spacing w:line="276" w:lineRule="auto"/>
        <w:ind w:left="360"/>
        <w:jc w:val="both"/>
        <w:rPr>
          <w:rFonts w:cs="Times New Roman"/>
          <w:iCs/>
        </w:rPr>
      </w:pPr>
      <w:r>
        <w:rPr>
          <w:rFonts w:cs="Times New Roman"/>
          <w:iCs/>
        </w:rPr>
        <w:t xml:space="preserve">Durante el trienio </w:t>
      </w:r>
      <w:r w:rsidR="00153DFC">
        <w:rPr>
          <w:rFonts w:cs="Times New Roman"/>
          <w:iCs/>
        </w:rPr>
        <w:t xml:space="preserve">comprendido entre el día </w:t>
      </w:r>
      <w:r w:rsidR="0068127A">
        <w:rPr>
          <w:rFonts w:cs="Times New Roman"/>
          <w:iCs/>
        </w:rPr>
        <w:t>12 de</w:t>
      </w:r>
      <w:r w:rsidR="00846395">
        <w:rPr>
          <w:rFonts w:cs="Times New Roman"/>
          <w:iCs/>
        </w:rPr>
        <w:t xml:space="preserve"> 2018 al 12 de</w:t>
      </w:r>
      <w:r w:rsidR="00153DFC">
        <w:rPr>
          <w:rFonts w:cs="Times New Roman"/>
          <w:iCs/>
        </w:rPr>
        <w:t xml:space="preserve"> </w:t>
      </w:r>
      <w:r w:rsidR="009C4298">
        <w:rPr>
          <w:rFonts w:cs="Times New Roman"/>
          <w:iCs/>
        </w:rPr>
        <w:t>abril de 2021</w:t>
      </w:r>
      <w:r w:rsidR="005E2AE6">
        <w:rPr>
          <w:rFonts w:cs="Times New Roman"/>
          <w:iCs/>
        </w:rPr>
        <w:t xml:space="preserve">, </w:t>
      </w:r>
      <w:r w:rsidR="009C4298">
        <w:rPr>
          <w:rFonts w:cs="Times New Roman"/>
          <w:iCs/>
        </w:rPr>
        <w:t>se revis</w:t>
      </w:r>
      <w:r w:rsidR="008A4291">
        <w:rPr>
          <w:rFonts w:cs="Times New Roman"/>
          <w:iCs/>
        </w:rPr>
        <w:t>aron</w:t>
      </w:r>
      <w:r w:rsidR="00CC300E">
        <w:rPr>
          <w:rFonts w:cs="Times New Roman"/>
          <w:iCs/>
        </w:rPr>
        <w:t xml:space="preserve"> y analizaron</w:t>
      </w:r>
      <w:r w:rsidR="009C4298">
        <w:rPr>
          <w:rFonts w:cs="Times New Roman"/>
          <w:iCs/>
        </w:rPr>
        <w:t xml:space="preserve"> la totalidad de l</w:t>
      </w:r>
      <w:r w:rsidR="00D421E8">
        <w:rPr>
          <w:rFonts w:cs="Times New Roman"/>
          <w:iCs/>
        </w:rPr>
        <w:t>as disposiciones contenidas en lo</w:t>
      </w:r>
      <w:r w:rsidR="009C4298">
        <w:rPr>
          <w:rFonts w:cs="Times New Roman"/>
          <w:iCs/>
        </w:rPr>
        <w:t>s reglamentos</w:t>
      </w:r>
      <w:r w:rsidR="008719E7">
        <w:rPr>
          <w:rFonts w:cs="Times New Roman"/>
          <w:iCs/>
        </w:rPr>
        <w:t xml:space="preserve"> </w:t>
      </w:r>
      <w:r w:rsidR="00CC300E">
        <w:rPr>
          <w:rFonts w:cs="Times New Roman"/>
          <w:iCs/>
        </w:rPr>
        <w:t>vigentes, publicados en el sitio web de la SUPEN</w:t>
      </w:r>
      <w:r w:rsidR="00D421E8">
        <w:rPr>
          <w:rFonts w:cs="Times New Roman"/>
          <w:iCs/>
        </w:rPr>
        <w:t>, a saber</w:t>
      </w:r>
      <w:r w:rsidR="008719E7">
        <w:rPr>
          <w:rFonts w:cs="Times New Roman"/>
          <w:iCs/>
        </w:rPr>
        <w:t xml:space="preserve">: </w:t>
      </w:r>
    </w:p>
    <w:p w14:paraId="284A669E" w14:textId="77777777" w:rsidR="008719E7" w:rsidRDefault="008719E7" w:rsidP="008719E7">
      <w:pPr>
        <w:spacing w:line="276" w:lineRule="auto"/>
        <w:jc w:val="both"/>
        <w:rPr>
          <w:rFonts w:cs="Times New Roman"/>
          <w:iCs/>
        </w:rPr>
      </w:pPr>
    </w:p>
    <w:p w14:paraId="05881FE2" w14:textId="7620489C" w:rsidR="008719E7" w:rsidRDefault="00D421E8" w:rsidP="008719E7">
      <w:pPr>
        <w:pStyle w:val="Prrafodelista"/>
        <w:numPr>
          <w:ilvl w:val="0"/>
          <w:numId w:val="4"/>
        </w:numPr>
        <w:spacing w:line="276" w:lineRule="auto"/>
        <w:jc w:val="both"/>
        <w:rPr>
          <w:rFonts w:cs="Times New Roman"/>
          <w:iCs/>
        </w:rPr>
      </w:pPr>
      <w:r>
        <w:rPr>
          <w:rFonts w:cs="Times New Roman"/>
          <w:iCs/>
        </w:rPr>
        <w:t xml:space="preserve">El </w:t>
      </w:r>
      <w:r w:rsidR="00C573A5" w:rsidRPr="00D421E8">
        <w:rPr>
          <w:rFonts w:cs="Times New Roman"/>
          <w:i/>
        </w:rPr>
        <w:t>Reglamento sobre la Apertura y Funcionamiento de las Entidades Autorizadas y el Funcionamiento de los Fondos de Pensiones, Capitalización Laboral y Ahorro Voluntario Previstos en la Ley de Protección al Trabajador</w:t>
      </w:r>
      <w:r>
        <w:rPr>
          <w:rFonts w:cs="Times New Roman"/>
          <w:i/>
        </w:rPr>
        <w:t>.</w:t>
      </w:r>
    </w:p>
    <w:p w14:paraId="2B469A26" w14:textId="77777777" w:rsidR="008D6403" w:rsidRPr="008719E7" w:rsidRDefault="008D6403" w:rsidP="008D6403">
      <w:pPr>
        <w:pStyle w:val="Prrafodelista"/>
        <w:spacing w:line="276" w:lineRule="auto"/>
        <w:jc w:val="both"/>
        <w:rPr>
          <w:rFonts w:cs="Times New Roman"/>
          <w:iCs/>
        </w:rPr>
      </w:pPr>
    </w:p>
    <w:p w14:paraId="523BE0DD" w14:textId="6C87DDD9" w:rsidR="008719E7" w:rsidRDefault="00D421E8" w:rsidP="008719E7">
      <w:pPr>
        <w:pStyle w:val="Prrafodelista"/>
        <w:numPr>
          <w:ilvl w:val="0"/>
          <w:numId w:val="4"/>
        </w:numPr>
        <w:spacing w:line="276" w:lineRule="auto"/>
        <w:jc w:val="both"/>
        <w:rPr>
          <w:rFonts w:cs="Times New Roman"/>
          <w:iCs/>
        </w:rPr>
      </w:pPr>
      <w:r>
        <w:rPr>
          <w:rFonts w:cs="Times New Roman"/>
          <w:iCs/>
        </w:rPr>
        <w:t xml:space="preserve">El </w:t>
      </w:r>
      <w:r w:rsidR="008719E7" w:rsidRPr="00D421E8">
        <w:rPr>
          <w:rFonts w:cs="Times New Roman"/>
          <w:i/>
        </w:rPr>
        <w:t>Reglamento de Beneficios del Régimen de Capitalización Individual</w:t>
      </w:r>
      <w:r>
        <w:rPr>
          <w:rFonts w:cs="Times New Roman"/>
          <w:i/>
        </w:rPr>
        <w:t>.</w:t>
      </w:r>
    </w:p>
    <w:p w14:paraId="3AFA131E" w14:textId="77777777" w:rsidR="008D6403" w:rsidRPr="008D6403" w:rsidRDefault="008D6403" w:rsidP="008D6403">
      <w:pPr>
        <w:spacing w:line="276" w:lineRule="auto"/>
        <w:jc w:val="both"/>
        <w:rPr>
          <w:rFonts w:cs="Times New Roman"/>
          <w:iCs/>
        </w:rPr>
      </w:pPr>
    </w:p>
    <w:p w14:paraId="5E2E6E3A" w14:textId="347046B4" w:rsidR="008719E7" w:rsidRDefault="00D421E8" w:rsidP="008719E7">
      <w:pPr>
        <w:pStyle w:val="Prrafodelista"/>
        <w:numPr>
          <w:ilvl w:val="0"/>
          <w:numId w:val="4"/>
        </w:numPr>
        <w:spacing w:line="276" w:lineRule="auto"/>
        <w:jc w:val="both"/>
        <w:rPr>
          <w:rFonts w:cs="Times New Roman"/>
          <w:iCs/>
        </w:rPr>
      </w:pPr>
      <w:r>
        <w:rPr>
          <w:rFonts w:cs="Times New Roman"/>
          <w:iCs/>
        </w:rPr>
        <w:t xml:space="preserve">El </w:t>
      </w:r>
      <w:r w:rsidR="008719E7" w:rsidRPr="00D421E8">
        <w:rPr>
          <w:rFonts w:cs="Times New Roman"/>
          <w:i/>
        </w:rPr>
        <w:t>Reglamento de Gestión de Activos</w:t>
      </w:r>
      <w:r w:rsidRPr="00D421E8">
        <w:rPr>
          <w:rFonts w:cs="Times New Roman"/>
          <w:i/>
        </w:rPr>
        <w:t>.</w:t>
      </w:r>
    </w:p>
    <w:p w14:paraId="09A72A00" w14:textId="77777777" w:rsidR="008D6403" w:rsidRPr="008D6403" w:rsidRDefault="008D6403" w:rsidP="008D6403">
      <w:pPr>
        <w:spacing w:line="276" w:lineRule="auto"/>
        <w:jc w:val="both"/>
        <w:rPr>
          <w:rFonts w:cs="Times New Roman"/>
          <w:iCs/>
        </w:rPr>
      </w:pPr>
    </w:p>
    <w:p w14:paraId="07A5F30C" w14:textId="16F9054A" w:rsidR="008719E7" w:rsidRDefault="00D421E8" w:rsidP="008719E7">
      <w:pPr>
        <w:pStyle w:val="Prrafodelista"/>
        <w:numPr>
          <w:ilvl w:val="0"/>
          <w:numId w:val="4"/>
        </w:numPr>
        <w:spacing w:line="276" w:lineRule="auto"/>
        <w:jc w:val="both"/>
        <w:rPr>
          <w:rFonts w:cs="Times New Roman"/>
          <w:iCs/>
        </w:rPr>
      </w:pPr>
      <w:r>
        <w:rPr>
          <w:rFonts w:cs="Times New Roman"/>
          <w:iCs/>
        </w:rPr>
        <w:t xml:space="preserve">El </w:t>
      </w:r>
      <w:r w:rsidR="008719E7" w:rsidRPr="00D421E8">
        <w:rPr>
          <w:rFonts w:cs="Times New Roman"/>
          <w:i/>
        </w:rPr>
        <w:t>Reglamento Actuarial</w:t>
      </w:r>
      <w:r>
        <w:rPr>
          <w:rFonts w:cs="Times New Roman"/>
          <w:i/>
        </w:rPr>
        <w:t>.</w:t>
      </w:r>
    </w:p>
    <w:p w14:paraId="3D13B3A4" w14:textId="77777777" w:rsidR="008D6403" w:rsidRPr="008D6403" w:rsidRDefault="008D6403" w:rsidP="008D6403">
      <w:pPr>
        <w:spacing w:line="276" w:lineRule="auto"/>
        <w:jc w:val="both"/>
        <w:rPr>
          <w:rFonts w:cs="Times New Roman"/>
          <w:iCs/>
        </w:rPr>
      </w:pPr>
    </w:p>
    <w:p w14:paraId="7BB76514" w14:textId="3EAF8235" w:rsidR="008719E7" w:rsidRPr="008719E7" w:rsidRDefault="00D421E8" w:rsidP="008719E7">
      <w:pPr>
        <w:pStyle w:val="Prrafodelista"/>
        <w:numPr>
          <w:ilvl w:val="0"/>
          <w:numId w:val="4"/>
        </w:numPr>
        <w:spacing w:line="276" w:lineRule="auto"/>
        <w:jc w:val="both"/>
        <w:rPr>
          <w:rFonts w:cs="Times New Roman"/>
          <w:iCs/>
        </w:rPr>
      </w:pPr>
      <w:r>
        <w:rPr>
          <w:rFonts w:cs="Times New Roman"/>
          <w:iCs/>
        </w:rPr>
        <w:t xml:space="preserve">El </w:t>
      </w:r>
      <w:r w:rsidR="008719E7" w:rsidRPr="00D421E8">
        <w:rPr>
          <w:rFonts w:cs="Times New Roman"/>
          <w:i/>
        </w:rPr>
        <w:t>Reglamento de Riesgos</w:t>
      </w:r>
      <w:r w:rsidRPr="00D421E8">
        <w:rPr>
          <w:rFonts w:cs="Times New Roman"/>
          <w:i/>
        </w:rPr>
        <w:t>.</w:t>
      </w:r>
    </w:p>
    <w:p w14:paraId="402DD9F4" w14:textId="77777777" w:rsidR="008719E7" w:rsidRDefault="008719E7" w:rsidP="00965234">
      <w:pPr>
        <w:spacing w:line="276" w:lineRule="auto"/>
        <w:jc w:val="both"/>
        <w:rPr>
          <w:rFonts w:cs="Times New Roman"/>
          <w:iCs/>
        </w:rPr>
      </w:pPr>
    </w:p>
    <w:p w14:paraId="224924C4" w14:textId="190D5F8C" w:rsidR="00D421E8" w:rsidRDefault="00D421E8" w:rsidP="00965234">
      <w:pPr>
        <w:spacing w:line="276" w:lineRule="auto"/>
        <w:jc w:val="both"/>
        <w:rPr>
          <w:rFonts w:cs="Times New Roman"/>
          <w:iCs/>
        </w:rPr>
      </w:pPr>
      <w:r>
        <w:rPr>
          <w:rFonts w:cs="Times New Roman"/>
          <w:iCs/>
        </w:rPr>
        <w:lastRenderedPageBreak/>
        <w:t xml:space="preserve">No se incluyó el </w:t>
      </w:r>
      <w:r w:rsidRPr="00D421E8">
        <w:rPr>
          <w:rFonts w:cs="Times New Roman"/>
          <w:i/>
        </w:rPr>
        <w:t>Reglamento de tablas de mortalidad</w:t>
      </w:r>
      <w:r>
        <w:rPr>
          <w:rFonts w:cs="Times New Roman"/>
          <w:iCs/>
        </w:rPr>
        <w:t xml:space="preserve"> ya que este </w:t>
      </w:r>
      <w:r w:rsidR="008A05E7">
        <w:rPr>
          <w:rFonts w:cs="Times New Roman"/>
          <w:iCs/>
        </w:rPr>
        <w:t xml:space="preserve">responde a estadísticas vitales de la población costarricense, contratadas al Centro Centroamericano de Población de la Universidad de Costa Rica, cuya actualización no resulta </w:t>
      </w:r>
      <w:r w:rsidR="003E0F23">
        <w:rPr>
          <w:rFonts w:cs="Times New Roman"/>
          <w:iCs/>
        </w:rPr>
        <w:t xml:space="preserve">útil en </w:t>
      </w:r>
      <w:r w:rsidR="008A05E7">
        <w:rPr>
          <w:rFonts w:cs="Times New Roman"/>
          <w:iCs/>
        </w:rPr>
        <w:t>períodos</w:t>
      </w:r>
      <w:r w:rsidR="003E0F23">
        <w:rPr>
          <w:rFonts w:cs="Times New Roman"/>
          <w:iCs/>
        </w:rPr>
        <w:t xml:space="preserve"> cortos como son los trianuales.</w:t>
      </w:r>
    </w:p>
    <w:p w14:paraId="52F20712" w14:textId="77777777" w:rsidR="003E0F23" w:rsidRPr="00D421E8" w:rsidRDefault="003E0F23" w:rsidP="00965234">
      <w:pPr>
        <w:spacing w:line="276" w:lineRule="auto"/>
        <w:jc w:val="both"/>
        <w:rPr>
          <w:rFonts w:cs="Times New Roman"/>
          <w:iCs/>
        </w:rPr>
      </w:pPr>
    </w:p>
    <w:p w14:paraId="10BC5F32" w14:textId="166A8F38" w:rsidR="00DE0058" w:rsidRDefault="00DE0058" w:rsidP="006C59C8">
      <w:pPr>
        <w:spacing w:line="276" w:lineRule="auto"/>
        <w:jc w:val="both"/>
        <w:rPr>
          <w:iCs/>
        </w:rPr>
      </w:pPr>
      <w:r>
        <w:rPr>
          <w:iCs/>
        </w:rPr>
        <w:t>Producto de esta revisión</w:t>
      </w:r>
      <w:r w:rsidR="00C201A9">
        <w:rPr>
          <w:iCs/>
        </w:rPr>
        <w:t xml:space="preserve"> atrás indicada</w:t>
      </w:r>
      <w:r>
        <w:rPr>
          <w:iCs/>
        </w:rPr>
        <w:t xml:space="preserve">, se realizaron mejoras y actualizaciones </w:t>
      </w:r>
      <w:r w:rsidR="002B79D6">
        <w:rPr>
          <w:iCs/>
        </w:rPr>
        <w:t>a todos los reglamentos</w:t>
      </w:r>
      <w:r w:rsidR="007D629A">
        <w:rPr>
          <w:iCs/>
        </w:rPr>
        <w:t>,</w:t>
      </w:r>
      <w:r w:rsidR="002B79D6">
        <w:rPr>
          <w:iCs/>
        </w:rPr>
        <w:t xml:space="preserve"> </w:t>
      </w:r>
      <w:r w:rsidR="00C201A9">
        <w:rPr>
          <w:iCs/>
        </w:rPr>
        <w:t>revisiones y actualizaciones</w:t>
      </w:r>
      <w:r w:rsidR="00A25F5B">
        <w:rPr>
          <w:iCs/>
        </w:rPr>
        <w:t xml:space="preserve"> que fueron presentadas y aprobadas por</w:t>
      </w:r>
      <w:r w:rsidR="0038542E">
        <w:rPr>
          <w:iCs/>
        </w:rPr>
        <w:t xml:space="preserve"> el Consejo Nacional de Supervisión del Sistema Financiero en </w:t>
      </w:r>
      <w:r w:rsidR="0038542E" w:rsidRPr="0038542E">
        <w:rPr>
          <w:iCs/>
        </w:rPr>
        <w:t>el artículo 5, del acta de la sesión 1696-2021, celebrada el 25 de octubre del 2021</w:t>
      </w:r>
      <w:r w:rsidR="00C71BE2">
        <w:rPr>
          <w:iCs/>
        </w:rPr>
        <w:t xml:space="preserve">, publicadas en el diario oficial La Gaceta </w:t>
      </w:r>
      <w:r w:rsidR="00AC4310" w:rsidRPr="00AC4310">
        <w:rPr>
          <w:iCs/>
        </w:rPr>
        <w:t>N</w:t>
      </w:r>
      <w:r w:rsidR="00AC4310">
        <w:rPr>
          <w:iCs/>
        </w:rPr>
        <w:t xml:space="preserve">o. </w:t>
      </w:r>
      <w:r w:rsidR="00AC4310" w:rsidRPr="00AC4310">
        <w:rPr>
          <w:iCs/>
        </w:rPr>
        <w:t>215 del 08</w:t>
      </w:r>
      <w:r w:rsidR="00AC4310">
        <w:rPr>
          <w:iCs/>
        </w:rPr>
        <w:t xml:space="preserve"> de noviembre de </w:t>
      </w:r>
      <w:r w:rsidR="00AC4310" w:rsidRPr="00AC4310">
        <w:rPr>
          <w:iCs/>
        </w:rPr>
        <w:t>2021</w:t>
      </w:r>
      <w:r w:rsidR="00AC4310">
        <w:rPr>
          <w:iCs/>
        </w:rPr>
        <w:t>.</w:t>
      </w:r>
    </w:p>
    <w:p w14:paraId="60AE71A1" w14:textId="77777777" w:rsidR="00DE0058" w:rsidRDefault="00DE0058" w:rsidP="006C59C8">
      <w:pPr>
        <w:spacing w:line="276" w:lineRule="auto"/>
        <w:jc w:val="both"/>
        <w:rPr>
          <w:iCs/>
        </w:rPr>
      </w:pPr>
    </w:p>
    <w:p w14:paraId="55BA766A" w14:textId="4A36FC13" w:rsidR="006C59C8" w:rsidRDefault="008719E7" w:rsidP="006C59C8">
      <w:pPr>
        <w:spacing w:line="276" w:lineRule="auto"/>
        <w:jc w:val="both"/>
        <w:rPr>
          <w:iCs/>
        </w:rPr>
      </w:pPr>
      <w:r w:rsidRPr="006C59C8">
        <w:rPr>
          <w:iCs/>
        </w:rPr>
        <w:t>Este ejercicio llevó aparejada</w:t>
      </w:r>
      <w:r w:rsidR="00D81B16" w:rsidRPr="006C59C8">
        <w:rPr>
          <w:iCs/>
        </w:rPr>
        <w:t xml:space="preserve"> la revisión y ajustes, de manera adicional, de todos los acuerdos d</w:t>
      </w:r>
      <w:r w:rsidR="006C59C8">
        <w:rPr>
          <w:iCs/>
        </w:rPr>
        <w:t>ictados por e</w:t>
      </w:r>
      <w:r w:rsidR="00D81B16" w:rsidRPr="006C59C8">
        <w:rPr>
          <w:iCs/>
        </w:rPr>
        <w:t xml:space="preserve">l </w:t>
      </w:r>
      <w:r w:rsidR="00C162ED">
        <w:rPr>
          <w:iCs/>
        </w:rPr>
        <w:t>S</w:t>
      </w:r>
      <w:r w:rsidR="00D81B16" w:rsidRPr="006C59C8">
        <w:rPr>
          <w:iCs/>
        </w:rPr>
        <w:t>uperintendente</w:t>
      </w:r>
      <w:r w:rsidR="00C162ED">
        <w:rPr>
          <w:iCs/>
        </w:rPr>
        <w:t xml:space="preserve"> de Pensiones. U</w:t>
      </w:r>
      <w:r w:rsidR="006C59C8">
        <w:rPr>
          <w:iCs/>
        </w:rPr>
        <w:t>n t</w:t>
      </w:r>
      <w:r w:rsidR="0017551F" w:rsidRPr="006C59C8">
        <w:rPr>
          <w:iCs/>
        </w:rPr>
        <w:t>otal</w:t>
      </w:r>
      <w:r w:rsidR="00C162ED">
        <w:rPr>
          <w:iCs/>
        </w:rPr>
        <w:t>, para entonces,</w:t>
      </w:r>
      <w:r w:rsidR="0017551F" w:rsidRPr="006C59C8">
        <w:rPr>
          <w:iCs/>
        </w:rPr>
        <w:t xml:space="preserve"> de </w:t>
      </w:r>
      <w:r w:rsidR="005E2AE6" w:rsidRPr="006C59C8">
        <w:rPr>
          <w:iCs/>
        </w:rPr>
        <w:t>sesenta y dos acuerdos</w:t>
      </w:r>
      <w:r w:rsidR="006C59C8" w:rsidRPr="006C59C8">
        <w:rPr>
          <w:iCs/>
        </w:rPr>
        <w:t xml:space="preserve">. </w:t>
      </w:r>
    </w:p>
    <w:p w14:paraId="1D1F55AD" w14:textId="77777777" w:rsidR="006C59C8" w:rsidRDefault="006C59C8" w:rsidP="006C59C8">
      <w:pPr>
        <w:spacing w:line="276" w:lineRule="auto"/>
        <w:jc w:val="both"/>
        <w:rPr>
          <w:iCs/>
        </w:rPr>
      </w:pPr>
    </w:p>
    <w:p w14:paraId="6BF519A6" w14:textId="7B9B9501" w:rsidR="006C59C8" w:rsidRDefault="006C59C8" w:rsidP="0081734D">
      <w:pPr>
        <w:spacing w:line="276" w:lineRule="auto"/>
        <w:jc w:val="both"/>
        <w:rPr>
          <w:iCs/>
        </w:rPr>
      </w:pPr>
      <w:r w:rsidRPr="006C59C8">
        <w:rPr>
          <w:iCs/>
        </w:rPr>
        <w:t>Producto de es</w:t>
      </w:r>
      <w:r w:rsidR="001053D6">
        <w:rPr>
          <w:iCs/>
        </w:rPr>
        <w:t>te ejercicio</w:t>
      </w:r>
      <w:r w:rsidRPr="006C59C8">
        <w:rPr>
          <w:iCs/>
        </w:rPr>
        <w:t xml:space="preserve">, se procedió con la derogatoria de los siguientes: </w:t>
      </w:r>
      <w:r w:rsidR="005E2AE6" w:rsidRPr="006C59C8">
        <w:rPr>
          <w:iCs/>
        </w:rPr>
        <w:br/>
      </w:r>
    </w:p>
    <w:p w14:paraId="5687E4E3" w14:textId="662F2D31" w:rsidR="0081734D" w:rsidRDefault="0081734D" w:rsidP="007D789A">
      <w:pPr>
        <w:pStyle w:val="Prrafodelista"/>
        <w:numPr>
          <w:ilvl w:val="0"/>
          <w:numId w:val="5"/>
        </w:numPr>
        <w:spacing w:line="276" w:lineRule="auto"/>
        <w:jc w:val="both"/>
        <w:rPr>
          <w:rFonts w:cs="Times New Roman"/>
          <w:iCs/>
        </w:rPr>
      </w:pPr>
      <w:r w:rsidRPr="007C3FE5">
        <w:rPr>
          <w:rFonts w:cs="Times New Roman"/>
          <w:b/>
          <w:bCs/>
          <w:iCs/>
        </w:rPr>
        <w:t>SP-045-2002</w:t>
      </w:r>
      <w:r w:rsidRPr="007D789A">
        <w:rPr>
          <w:rFonts w:cs="Times New Roman"/>
          <w:iCs/>
        </w:rPr>
        <w:t xml:space="preserve"> de fecha 14 de enero del </w:t>
      </w:r>
      <w:r w:rsidR="00460930" w:rsidRPr="007D789A">
        <w:rPr>
          <w:rFonts w:cs="Times New Roman"/>
          <w:iCs/>
        </w:rPr>
        <w:t xml:space="preserve">2002, </w:t>
      </w:r>
      <w:r w:rsidR="00460930" w:rsidRPr="007D664F">
        <w:rPr>
          <w:rFonts w:cs="Times New Roman"/>
          <w:i/>
        </w:rPr>
        <w:t>Procedimiento</w:t>
      </w:r>
      <w:r w:rsidRPr="007D664F">
        <w:rPr>
          <w:rFonts w:cs="Times New Roman"/>
          <w:i/>
        </w:rPr>
        <w:t xml:space="preserve"> para el retiro de los recursos del ROP y FCL por parte de extranjeros y residentes temporales</w:t>
      </w:r>
      <w:r w:rsidRPr="007D789A">
        <w:rPr>
          <w:rFonts w:cs="Times New Roman"/>
          <w:iCs/>
        </w:rPr>
        <w:t>.</w:t>
      </w:r>
    </w:p>
    <w:p w14:paraId="068494A6" w14:textId="77777777" w:rsidR="000D0808" w:rsidRPr="007D789A" w:rsidRDefault="000D0808" w:rsidP="000D0808">
      <w:pPr>
        <w:pStyle w:val="Prrafodelista"/>
        <w:spacing w:line="276" w:lineRule="auto"/>
        <w:jc w:val="both"/>
        <w:rPr>
          <w:rFonts w:cs="Times New Roman"/>
          <w:iCs/>
        </w:rPr>
      </w:pPr>
    </w:p>
    <w:p w14:paraId="615CAACF" w14:textId="233D7AA6" w:rsidR="007D789A" w:rsidRPr="007D664F" w:rsidRDefault="0081734D" w:rsidP="0081734D">
      <w:pPr>
        <w:pStyle w:val="Prrafodelista"/>
        <w:numPr>
          <w:ilvl w:val="0"/>
          <w:numId w:val="5"/>
        </w:numPr>
        <w:spacing w:line="276" w:lineRule="auto"/>
        <w:jc w:val="both"/>
        <w:rPr>
          <w:i/>
        </w:rPr>
      </w:pPr>
      <w:r w:rsidRPr="007C3FE5">
        <w:rPr>
          <w:rFonts w:cs="Times New Roman"/>
          <w:b/>
          <w:bCs/>
          <w:iCs/>
        </w:rPr>
        <w:t>SP-1303-2002</w:t>
      </w:r>
      <w:r w:rsidRPr="007D789A">
        <w:rPr>
          <w:rFonts w:cs="Times New Roman"/>
          <w:iCs/>
        </w:rPr>
        <w:t xml:space="preserve"> de las trece horas del día veintiséis de agosto del </w:t>
      </w:r>
      <w:r w:rsidR="00460930" w:rsidRPr="007D789A">
        <w:rPr>
          <w:rFonts w:cs="Times New Roman"/>
          <w:iCs/>
        </w:rPr>
        <w:t xml:space="preserve">2002, </w:t>
      </w:r>
      <w:r w:rsidR="00460930" w:rsidRPr="007D664F">
        <w:rPr>
          <w:rFonts w:cs="Times New Roman"/>
          <w:i/>
        </w:rPr>
        <w:t>Tratamiento</w:t>
      </w:r>
      <w:r w:rsidRPr="007D664F">
        <w:rPr>
          <w:rFonts w:cs="Times New Roman"/>
          <w:i/>
        </w:rPr>
        <w:t xml:space="preserve"> de los recursos del Fondo de Capitalización Laboral ante el fallecimiento del trabajador.</w:t>
      </w:r>
    </w:p>
    <w:p w14:paraId="3A982947" w14:textId="77777777" w:rsidR="000D0808" w:rsidRPr="000D0808" w:rsidRDefault="000D0808" w:rsidP="000D0808">
      <w:pPr>
        <w:spacing w:line="276" w:lineRule="auto"/>
        <w:jc w:val="both"/>
        <w:rPr>
          <w:iCs/>
        </w:rPr>
      </w:pPr>
    </w:p>
    <w:p w14:paraId="50FC41CA" w14:textId="0988D4E9" w:rsidR="0081734D" w:rsidRPr="007D664F" w:rsidRDefault="0081734D" w:rsidP="0081734D">
      <w:pPr>
        <w:pStyle w:val="Prrafodelista"/>
        <w:numPr>
          <w:ilvl w:val="0"/>
          <w:numId w:val="5"/>
        </w:numPr>
        <w:spacing w:line="276" w:lineRule="auto"/>
        <w:jc w:val="both"/>
        <w:rPr>
          <w:i/>
        </w:rPr>
      </w:pPr>
      <w:r w:rsidRPr="007C3FE5">
        <w:rPr>
          <w:rFonts w:cs="Times New Roman"/>
          <w:b/>
          <w:bCs/>
          <w:iCs/>
        </w:rPr>
        <w:t>SP-969-2003</w:t>
      </w:r>
      <w:r w:rsidRPr="007D789A">
        <w:rPr>
          <w:rFonts w:cs="Times New Roman"/>
          <w:iCs/>
        </w:rPr>
        <w:t xml:space="preserve"> de fecha 6 de mayo del 2003, </w:t>
      </w:r>
      <w:r w:rsidRPr="007D664F">
        <w:rPr>
          <w:rFonts w:cs="Times New Roman"/>
          <w:i/>
        </w:rPr>
        <w:t>Comunicación del procedimiento a seguir para que los causahabientes retiren los recursos del Fondo de Capitalización Laboral.</w:t>
      </w:r>
    </w:p>
    <w:p w14:paraId="0A938D29" w14:textId="77777777" w:rsidR="000D0808" w:rsidRPr="000D0808" w:rsidRDefault="000D0808" w:rsidP="000D0808">
      <w:pPr>
        <w:spacing w:line="276" w:lineRule="auto"/>
        <w:jc w:val="both"/>
        <w:rPr>
          <w:iCs/>
        </w:rPr>
      </w:pPr>
    </w:p>
    <w:p w14:paraId="7874CF7A" w14:textId="59E8D70F" w:rsidR="0081734D" w:rsidRPr="007D664F" w:rsidRDefault="0081734D" w:rsidP="0081734D">
      <w:pPr>
        <w:pStyle w:val="Prrafodelista"/>
        <w:numPr>
          <w:ilvl w:val="0"/>
          <w:numId w:val="5"/>
        </w:numPr>
        <w:spacing w:line="276" w:lineRule="auto"/>
        <w:jc w:val="both"/>
        <w:rPr>
          <w:i/>
        </w:rPr>
      </w:pPr>
      <w:r w:rsidRPr="007C3FE5">
        <w:rPr>
          <w:rFonts w:cs="Times New Roman"/>
          <w:b/>
          <w:bCs/>
          <w:iCs/>
        </w:rPr>
        <w:t>SP-792-2003</w:t>
      </w:r>
      <w:r w:rsidRPr="007D789A">
        <w:rPr>
          <w:rFonts w:cs="Times New Roman"/>
          <w:iCs/>
        </w:rPr>
        <w:t xml:space="preserve"> de </w:t>
      </w:r>
      <w:r w:rsidR="00D2320C" w:rsidRPr="007D789A">
        <w:rPr>
          <w:rFonts w:cs="Times New Roman"/>
          <w:iCs/>
        </w:rPr>
        <w:t>fecha 4</w:t>
      </w:r>
      <w:r w:rsidRPr="007D789A">
        <w:rPr>
          <w:rFonts w:cs="Times New Roman"/>
          <w:iCs/>
        </w:rPr>
        <w:t xml:space="preserve"> de abril del 2003, </w:t>
      </w:r>
      <w:r w:rsidRPr="007D664F">
        <w:rPr>
          <w:rFonts w:cs="Times New Roman"/>
          <w:i/>
        </w:rPr>
        <w:t>Entrega de recursos a causahabientes provenientes del Fondo de Capitalización Laboral.</w:t>
      </w:r>
    </w:p>
    <w:p w14:paraId="588152ED" w14:textId="77777777" w:rsidR="008A6ABB" w:rsidRPr="008A6ABB" w:rsidRDefault="008A6ABB" w:rsidP="008A6ABB">
      <w:pPr>
        <w:spacing w:line="276" w:lineRule="auto"/>
        <w:jc w:val="both"/>
        <w:rPr>
          <w:iCs/>
        </w:rPr>
      </w:pPr>
    </w:p>
    <w:p w14:paraId="108D0053" w14:textId="58F56B8E" w:rsidR="00865158" w:rsidRPr="007D664F" w:rsidRDefault="0081734D" w:rsidP="0081734D">
      <w:pPr>
        <w:pStyle w:val="Prrafodelista"/>
        <w:numPr>
          <w:ilvl w:val="0"/>
          <w:numId w:val="5"/>
        </w:numPr>
        <w:spacing w:line="276" w:lineRule="auto"/>
        <w:jc w:val="both"/>
        <w:rPr>
          <w:i/>
        </w:rPr>
      </w:pPr>
      <w:r w:rsidRPr="007C3FE5">
        <w:rPr>
          <w:rFonts w:cs="Times New Roman"/>
          <w:b/>
          <w:bCs/>
          <w:iCs/>
        </w:rPr>
        <w:t>SP-636</w:t>
      </w:r>
      <w:r w:rsidRPr="007D789A">
        <w:rPr>
          <w:rFonts w:cs="Times New Roman"/>
          <w:iCs/>
        </w:rPr>
        <w:t xml:space="preserve"> de las ocho horas del nueve de mayo del </w:t>
      </w:r>
      <w:r w:rsidR="007D664F">
        <w:rPr>
          <w:rFonts w:cs="Times New Roman"/>
          <w:iCs/>
        </w:rPr>
        <w:t>2002</w:t>
      </w:r>
      <w:r w:rsidRPr="007D789A">
        <w:rPr>
          <w:rFonts w:cs="Times New Roman"/>
          <w:iCs/>
        </w:rPr>
        <w:t xml:space="preserve">, </w:t>
      </w:r>
      <w:r w:rsidRPr="007D664F">
        <w:rPr>
          <w:rFonts w:cs="Times New Roman"/>
          <w:i/>
        </w:rPr>
        <w:t>Disposiciones sobre la transferencia de recursos entre fondos del Régimen Obligatorio de Pensiones Complementarias y del Fondo de Capitalización Laboral denominados en diferente moneda.</w:t>
      </w:r>
    </w:p>
    <w:p w14:paraId="682F533F" w14:textId="77777777" w:rsidR="000D0808" w:rsidRPr="00865158" w:rsidRDefault="000D0808" w:rsidP="000D0808">
      <w:pPr>
        <w:pStyle w:val="Prrafodelista"/>
        <w:spacing w:line="276" w:lineRule="auto"/>
        <w:jc w:val="both"/>
        <w:rPr>
          <w:iCs/>
        </w:rPr>
      </w:pPr>
    </w:p>
    <w:p w14:paraId="58A9B89A" w14:textId="36F92F01" w:rsidR="0081734D" w:rsidRPr="000D0808" w:rsidRDefault="0081734D" w:rsidP="0081734D">
      <w:pPr>
        <w:pStyle w:val="Prrafodelista"/>
        <w:numPr>
          <w:ilvl w:val="0"/>
          <w:numId w:val="5"/>
        </w:numPr>
        <w:spacing w:line="276" w:lineRule="auto"/>
        <w:jc w:val="both"/>
        <w:rPr>
          <w:iCs/>
        </w:rPr>
      </w:pPr>
      <w:r w:rsidRPr="007C3FE5">
        <w:rPr>
          <w:rFonts w:cs="Times New Roman"/>
          <w:b/>
          <w:bCs/>
          <w:iCs/>
        </w:rPr>
        <w:lastRenderedPageBreak/>
        <w:t>SP-1720</w:t>
      </w:r>
      <w:r w:rsidRPr="00865158">
        <w:rPr>
          <w:rFonts w:cs="Times New Roman"/>
          <w:iCs/>
        </w:rPr>
        <w:t xml:space="preserve"> de fecha 17 de octubre del 2002, </w:t>
      </w:r>
      <w:r w:rsidRPr="007D664F">
        <w:rPr>
          <w:rFonts w:cs="Times New Roman"/>
          <w:i/>
        </w:rPr>
        <w:t>Disposiciones obligatorias sobre el ejercicio del derecho de libre transferencia y el retiro anticipado de los afiliados</w:t>
      </w:r>
      <w:r w:rsidRPr="00865158">
        <w:rPr>
          <w:rFonts w:cs="Times New Roman"/>
          <w:iCs/>
        </w:rPr>
        <w:t>.</w:t>
      </w:r>
    </w:p>
    <w:p w14:paraId="1B834659" w14:textId="77777777" w:rsidR="000D0808" w:rsidRPr="000D0808" w:rsidRDefault="000D0808" w:rsidP="000D0808">
      <w:pPr>
        <w:spacing w:line="276" w:lineRule="auto"/>
        <w:jc w:val="both"/>
        <w:rPr>
          <w:iCs/>
        </w:rPr>
      </w:pPr>
    </w:p>
    <w:p w14:paraId="447AF0A0" w14:textId="5136BCFF" w:rsidR="005218F0" w:rsidRPr="007D664F" w:rsidRDefault="0081734D" w:rsidP="0081734D">
      <w:pPr>
        <w:pStyle w:val="Prrafodelista"/>
        <w:numPr>
          <w:ilvl w:val="0"/>
          <w:numId w:val="5"/>
        </w:numPr>
        <w:spacing w:line="276" w:lineRule="auto"/>
        <w:jc w:val="both"/>
        <w:rPr>
          <w:i/>
        </w:rPr>
      </w:pPr>
      <w:r w:rsidRPr="007C3FE5">
        <w:rPr>
          <w:rFonts w:cs="Times New Roman"/>
          <w:b/>
          <w:bCs/>
          <w:iCs/>
        </w:rPr>
        <w:t>SP-A-009</w:t>
      </w:r>
      <w:r w:rsidRPr="005218F0">
        <w:rPr>
          <w:rFonts w:cs="Times New Roman"/>
          <w:iCs/>
        </w:rPr>
        <w:t xml:space="preserve"> del siete de enero de 2003, </w:t>
      </w:r>
      <w:r w:rsidRPr="007D664F">
        <w:rPr>
          <w:rFonts w:cs="Times New Roman"/>
          <w:i/>
        </w:rPr>
        <w:t xml:space="preserve">Disposiciones en torno al traslado de recursos del Fondo de Capitalización Laboral, con ocasión de la </w:t>
      </w:r>
      <w:r w:rsidR="00D2320C" w:rsidRPr="007D664F">
        <w:rPr>
          <w:rFonts w:cs="Times New Roman"/>
          <w:i/>
        </w:rPr>
        <w:t>libre transferencia</w:t>
      </w:r>
      <w:r w:rsidRPr="007D664F">
        <w:rPr>
          <w:rFonts w:cs="Times New Roman"/>
          <w:i/>
        </w:rPr>
        <w:t xml:space="preserve"> entre operadoras de pensiones.</w:t>
      </w:r>
    </w:p>
    <w:p w14:paraId="0D2C2E3A" w14:textId="77777777" w:rsidR="000D0808" w:rsidRPr="000D0808" w:rsidRDefault="000D0808" w:rsidP="000D0808">
      <w:pPr>
        <w:spacing w:line="276" w:lineRule="auto"/>
        <w:jc w:val="both"/>
        <w:rPr>
          <w:iCs/>
        </w:rPr>
      </w:pPr>
    </w:p>
    <w:p w14:paraId="50692DD4" w14:textId="5CD965BF" w:rsidR="00D81B16" w:rsidRPr="007D664F" w:rsidRDefault="0081734D" w:rsidP="0081734D">
      <w:pPr>
        <w:pStyle w:val="Prrafodelista"/>
        <w:numPr>
          <w:ilvl w:val="0"/>
          <w:numId w:val="5"/>
        </w:numPr>
        <w:spacing w:line="276" w:lineRule="auto"/>
        <w:jc w:val="both"/>
        <w:rPr>
          <w:i/>
        </w:rPr>
      </w:pPr>
      <w:r w:rsidRPr="007C3FE5">
        <w:rPr>
          <w:rFonts w:cs="Times New Roman"/>
          <w:b/>
          <w:bCs/>
          <w:iCs/>
        </w:rPr>
        <w:t>SP-A-004</w:t>
      </w:r>
      <w:r w:rsidRPr="005218F0">
        <w:rPr>
          <w:rFonts w:cs="Times New Roman"/>
          <w:iCs/>
        </w:rPr>
        <w:t xml:space="preserve"> del 11 de noviembre del 2002, </w:t>
      </w:r>
      <w:r w:rsidRPr="007D664F">
        <w:rPr>
          <w:rFonts w:cs="Times New Roman"/>
          <w:i/>
        </w:rPr>
        <w:t xml:space="preserve">Modificaciones del Plan de Cuentas de las Operadoras de Pensiones y los fondos administrados por </w:t>
      </w:r>
      <w:r w:rsidR="00D2320C" w:rsidRPr="007D664F">
        <w:rPr>
          <w:rFonts w:cs="Times New Roman"/>
          <w:i/>
        </w:rPr>
        <w:t>este producto</w:t>
      </w:r>
      <w:r w:rsidRPr="007D664F">
        <w:rPr>
          <w:rFonts w:cs="Times New Roman"/>
          <w:i/>
        </w:rPr>
        <w:t xml:space="preserve"> de la implementación de las Normas Internacionales de Contabilidad (NIC) a partir del primero de enero de 2003.</w:t>
      </w:r>
    </w:p>
    <w:p w14:paraId="143296C7" w14:textId="77777777" w:rsidR="000D0808" w:rsidRPr="000D0808" w:rsidRDefault="000D0808" w:rsidP="000D0808">
      <w:pPr>
        <w:spacing w:line="276" w:lineRule="auto"/>
        <w:jc w:val="both"/>
        <w:rPr>
          <w:iCs/>
        </w:rPr>
      </w:pPr>
    </w:p>
    <w:p w14:paraId="0AC674ED" w14:textId="394F28CD" w:rsidR="007B3CAF" w:rsidRPr="007D664F" w:rsidRDefault="007B3CAF" w:rsidP="007B3CAF">
      <w:pPr>
        <w:pStyle w:val="Prrafodelista"/>
        <w:numPr>
          <w:ilvl w:val="0"/>
          <w:numId w:val="5"/>
        </w:numPr>
        <w:spacing w:line="276" w:lineRule="auto"/>
        <w:jc w:val="both"/>
        <w:rPr>
          <w:i/>
        </w:rPr>
      </w:pPr>
      <w:r w:rsidRPr="007C3FE5">
        <w:rPr>
          <w:rFonts w:cs="Times New Roman"/>
          <w:b/>
          <w:bCs/>
          <w:iCs/>
        </w:rPr>
        <w:t>SP-A-006-2002</w:t>
      </w:r>
      <w:r w:rsidRPr="005218F0">
        <w:rPr>
          <w:rFonts w:cs="Times New Roman"/>
          <w:iCs/>
        </w:rPr>
        <w:t xml:space="preserve"> del 05 de diciembre del 2002, </w:t>
      </w:r>
      <w:r w:rsidRPr="007D664F">
        <w:rPr>
          <w:rFonts w:cs="Times New Roman"/>
          <w:i/>
        </w:rPr>
        <w:t>Explicación de la metodología para el cálculo de la comisión de administración cobrada por las Operadoras de Pensiones Complementarias.</w:t>
      </w:r>
    </w:p>
    <w:p w14:paraId="5603087D" w14:textId="77777777" w:rsidR="000D0808" w:rsidRPr="000D0808" w:rsidRDefault="000D0808" w:rsidP="000D0808">
      <w:pPr>
        <w:spacing w:line="276" w:lineRule="auto"/>
        <w:jc w:val="both"/>
        <w:rPr>
          <w:iCs/>
        </w:rPr>
      </w:pPr>
    </w:p>
    <w:p w14:paraId="62A6453A" w14:textId="77777777" w:rsidR="00354572" w:rsidRPr="007D664F" w:rsidRDefault="007B3CAF" w:rsidP="007B3CAF">
      <w:pPr>
        <w:pStyle w:val="Prrafodelista"/>
        <w:numPr>
          <w:ilvl w:val="0"/>
          <w:numId w:val="5"/>
        </w:numPr>
        <w:spacing w:line="276" w:lineRule="auto"/>
        <w:jc w:val="both"/>
        <w:rPr>
          <w:i/>
        </w:rPr>
      </w:pPr>
      <w:r w:rsidRPr="007C3FE5">
        <w:rPr>
          <w:rFonts w:cs="Times New Roman"/>
          <w:b/>
          <w:bCs/>
          <w:iCs/>
        </w:rPr>
        <w:t>SP-A-105</w:t>
      </w:r>
      <w:r w:rsidRPr="005218F0">
        <w:rPr>
          <w:rFonts w:cs="Times New Roman"/>
          <w:iCs/>
        </w:rPr>
        <w:t xml:space="preserve"> de las catorce horas del diecinueve de noviembre del dos mil siete, </w:t>
      </w:r>
      <w:r w:rsidRPr="007D664F">
        <w:rPr>
          <w:rFonts w:cs="Times New Roman"/>
          <w:i/>
        </w:rPr>
        <w:t>Disposiciones para el Fondo de Garantías y Jubilaciones de los Empleados del Banco Crédito Agrícola de Cartago.</w:t>
      </w:r>
    </w:p>
    <w:p w14:paraId="1C731728" w14:textId="77777777" w:rsidR="000D0808" w:rsidRPr="000D0808" w:rsidRDefault="000D0808" w:rsidP="000D0808">
      <w:pPr>
        <w:spacing w:line="276" w:lineRule="auto"/>
        <w:jc w:val="both"/>
        <w:rPr>
          <w:iCs/>
        </w:rPr>
      </w:pPr>
    </w:p>
    <w:p w14:paraId="2A7F39FB" w14:textId="044192B8" w:rsidR="007B3CAF" w:rsidRPr="007D664F" w:rsidRDefault="007B3CAF" w:rsidP="007B3CAF">
      <w:pPr>
        <w:pStyle w:val="Prrafodelista"/>
        <w:numPr>
          <w:ilvl w:val="0"/>
          <w:numId w:val="5"/>
        </w:numPr>
        <w:spacing w:line="276" w:lineRule="auto"/>
        <w:jc w:val="both"/>
        <w:rPr>
          <w:i/>
        </w:rPr>
      </w:pPr>
      <w:r w:rsidRPr="007C3FE5">
        <w:rPr>
          <w:rFonts w:cs="Times New Roman"/>
          <w:b/>
          <w:bCs/>
          <w:iCs/>
        </w:rPr>
        <w:t>SP-A-062</w:t>
      </w:r>
      <w:r w:rsidRPr="0096782B">
        <w:rPr>
          <w:rFonts w:cs="Times New Roman"/>
          <w:iCs/>
        </w:rPr>
        <w:t xml:space="preserve"> de las nueve y treinta horas del primero de junio de 2005, </w:t>
      </w:r>
      <w:r w:rsidRPr="007D664F">
        <w:rPr>
          <w:rFonts w:cs="Times New Roman"/>
          <w:i/>
        </w:rPr>
        <w:t>Disposiciones relativas a la remisión de información sobre inversiones. Remisión de información financiera los días sábados, domingos y feriados.</w:t>
      </w:r>
    </w:p>
    <w:p w14:paraId="3AF07119" w14:textId="77777777" w:rsidR="000D0808" w:rsidRPr="000D0808" w:rsidRDefault="000D0808" w:rsidP="000D0808">
      <w:pPr>
        <w:spacing w:line="276" w:lineRule="auto"/>
        <w:jc w:val="both"/>
        <w:rPr>
          <w:iCs/>
        </w:rPr>
      </w:pPr>
    </w:p>
    <w:p w14:paraId="6DE01072" w14:textId="23427D89" w:rsidR="007B3CAF" w:rsidRPr="00A50A10" w:rsidRDefault="007B3CAF" w:rsidP="007B3CAF">
      <w:pPr>
        <w:pStyle w:val="Prrafodelista"/>
        <w:numPr>
          <w:ilvl w:val="0"/>
          <w:numId w:val="5"/>
        </w:numPr>
        <w:spacing w:line="276" w:lineRule="auto"/>
        <w:jc w:val="both"/>
        <w:rPr>
          <w:i/>
        </w:rPr>
      </w:pPr>
      <w:r w:rsidRPr="007C3FE5">
        <w:rPr>
          <w:rFonts w:cs="Times New Roman"/>
          <w:b/>
          <w:bCs/>
          <w:iCs/>
        </w:rPr>
        <w:t>SP-1053</w:t>
      </w:r>
      <w:r w:rsidRPr="00354572">
        <w:rPr>
          <w:rFonts w:cs="Times New Roman"/>
          <w:iCs/>
        </w:rPr>
        <w:t xml:space="preserve"> de las nueve horas del doce de julio del </w:t>
      </w:r>
      <w:r w:rsidR="00A50A10">
        <w:rPr>
          <w:rFonts w:cs="Times New Roman"/>
          <w:iCs/>
        </w:rPr>
        <w:t>2002</w:t>
      </w:r>
      <w:r w:rsidRPr="00354572">
        <w:rPr>
          <w:rFonts w:cs="Times New Roman"/>
          <w:iCs/>
        </w:rPr>
        <w:t xml:space="preserve">, </w:t>
      </w:r>
      <w:r w:rsidRPr="00A50A10">
        <w:rPr>
          <w:rFonts w:cs="Times New Roman"/>
          <w:i/>
        </w:rPr>
        <w:t>Disposiciones relativas al suministro de información de las Entidades Autorizadas a la Superintendencia de Pensiones del reporte de valoración a precios de mercado.</w:t>
      </w:r>
    </w:p>
    <w:p w14:paraId="3BBB252D" w14:textId="77777777" w:rsidR="000D0808" w:rsidRPr="000D0808" w:rsidRDefault="000D0808" w:rsidP="000D0808">
      <w:pPr>
        <w:spacing w:line="276" w:lineRule="auto"/>
        <w:jc w:val="both"/>
        <w:rPr>
          <w:iCs/>
        </w:rPr>
      </w:pPr>
    </w:p>
    <w:p w14:paraId="47E3E371" w14:textId="344C99B2" w:rsidR="007B3CAF" w:rsidRPr="000D0808" w:rsidRDefault="007B3CAF" w:rsidP="007B3CAF">
      <w:pPr>
        <w:pStyle w:val="Prrafodelista"/>
        <w:numPr>
          <w:ilvl w:val="0"/>
          <w:numId w:val="5"/>
        </w:numPr>
        <w:spacing w:line="276" w:lineRule="auto"/>
        <w:jc w:val="both"/>
        <w:rPr>
          <w:iCs/>
        </w:rPr>
      </w:pPr>
      <w:r w:rsidRPr="007C3FE5">
        <w:rPr>
          <w:rFonts w:cs="Times New Roman"/>
          <w:b/>
          <w:bCs/>
          <w:iCs/>
        </w:rPr>
        <w:t>SP-1720</w:t>
      </w:r>
      <w:r w:rsidRPr="000F2DC8">
        <w:rPr>
          <w:rFonts w:cs="Times New Roman"/>
          <w:iCs/>
        </w:rPr>
        <w:t xml:space="preserve"> del diecisiete de octubre de 2020, </w:t>
      </w:r>
      <w:r w:rsidRPr="00A50A10">
        <w:rPr>
          <w:rFonts w:cs="Times New Roman"/>
          <w:i/>
        </w:rPr>
        <w:t>Disposiciones obligatorias sobre el ejercicio del derecho de libre transferencia y el retiro anticipado de los afiliados a las Operadoras de Pensiones.</w:t>
      </w:r>
    </w:p>
    <w:p w14:paraId="747A8EB9" w14:textId="77777777" w:rsidR="000D0808" w:rsidRPr="000F2DC8" w:rsidRDefault="000D0808" w:rsidP="000D0808">
      <w:pPr>
        <w:pStyle w:val="Prrafodelista"/>
        <w:spacing w:line="276" w:lineRule="auto"/>
        <w:jc w:val="both"/>
        <w:rPr>
          <w:iCs/>
        </w:rPr>
      </w:pPr>
    </w:p>
    <w:p w14:paraId="768F83D5" w14:textId="33D645CB" w:rsidR="000F2DC8" w:rsidRPr="00A50A10" w:rsidRDefault="007B3CAF" w:rsidP="007B3CAF">
      <w:pPr>
        <w:pStyle w:val="Prrafodelista"/>
        <w:numPr>
          <w:ilvl w:val="0"/>
          <w:numId w:val="5"/>
        </w:numPr>
        <w:spacing w:line="276" w:lineRule="auto"/>
        <w:jc w:val="both"/>
        <w:rPr>
          <w:i/>
        </w:rPr>
      </w:pPr>
      <w:r w:rsidRPr="007C3FE5">
        <w:rPr>
          <w:rFonts w:cs="Times New Roman"/>
          <w:b/>
          <w:bCs/>
          <w:iCs/>
        </w:rPr>
        <w:t>SP-A-065</w:t>
      </w:r>
      <w:r w:rsidRPr="000F2DC8">
        <w:rPr>
          <w:rFonts w:cs="Times New Roman"/>
          <w:iCs/>
        </w:rPr>
        <w:t xml:space="preserve"> de las catorce y cuarenta y cinco minutos del trece de junio de</w:t>
      </w:r>
      <w:r w:rsidR="00A50A10">
        <w:rPr>
          <w:rFonts w:cs="Times New Roman"/>
          <w:iCs/>
        </w:rPr>
        <w:t>l</w:t>
      </w:r>
      <w:r w:rsidRPr="000F2DC8">
        <w:rPr>
          <w:rFonts w:cs="Times New Roman"/>
          <w:iCs/>
        </w:rPr>
        <w:t xml:space="preserve"> 2005, </w:t>
      </w:r>
      <w:r w:rsidRPr="00A50A10">
        <w:rPr>
          <w:rFonts w:cs="Times New Roman"/>
          <w:i/>
        </w:rPr>
        <w:t>Plazo aplicable para el traslado de recursos de las cuentas correspondientes a los contratos suscritos bajo la vigencia de la Ley N°7523, Régimen Privado de Pensiones Complementarias, con motivo del ejercicio del derecho a la libre transferencia.</w:t>
      </w:r>
    </w:p>
    <w:p w14:paraId="777C9216" w14:textId="77777777" w:rsidR="000D0808" w:rsidRPr="000F2DC8" w:rsidRDefault="000D0808" w:rsidP="000D0808">
      <w:pPr>
        <w:pStyle w:val="Prrafodelista"/>
        <w:spacing w:line="276" w:lineRule="auto"/>
        <w:jc w:val="both"/>
        <w:rPr>
          <w:iCs/>
        </w:rPr>
      </w:pPr>
    </w:p>
    <w:p w14:paraId="2F36971C" w14:textId="77777777" w:rsidR="000F2DC8" w:rsidRPr="00A50A10" w:rsidRDefault="007B3CAF" w:rsidP="007B3CAF">
      <w:pPr>
        <w:pStyle w:val="Prrafodelista"/>
        <w:numPr>
          <w:ilvl w:val="0"/>
          <w:numId w:val="5"/>
        </w:numPr>
        <w:spacing w:line="276" w:lineRule="auto"/>
        <w:jc w:val="both"/>
        <w:rPr>
          <w:i/>
        </w:rPr>
      </w:pPr>
      <w:r w:rsidRPr="007C3FE5">
        <w:rPr>
          <w:rFonts w:cs="Times New Roman"/>
          <w:b/>
          <w:bCs/>
          <w:iCs/>
        </w:rPr>
        <w:lastRenderedPageBreak/>
        <w:t>SP-073-2002</w:t>
      </w:r>
      <w:r w:rsidRPr="000F2DC8">
        <w:rPr>
          <w:rFonts w:cs="Times New Roman"/>
          <w:iCs/>
        </w:rPr>
        <w:t xml:space="preserve"> del 16 de enero del 2002, </w:t>
      </w:r>
      <w:r w:rsidRPr="00A50A10">
        <w:rPr>
          <w:rFonts w:cs="Times New Roman"/>
          <w:i/>
        </w:rPr>
        <w:t>Disposiciones sobre el manejo de los libros contables por parte de las Operadoras de Pensiones.</w:t>
      </w:r>
    </w:p>
    <w:p w14:paraId="79F437C5" w14:textId="77777777" w:rsidR="000D0808" w:rsidRPr="000D0808" w:rsidRDefault="000D0808" w:rsidP="000D0808">
      <w:pPr>
        <w:spacing w:line="276" w:lineRule="auto"/>
        <w:jc w:val="both"/>
        <w:rPr>
          <w:iCs/>
        </w:rPr>
      </w:pPr>
    </w:p>
    <w:p w14:paraId="4D9C0419" w14:textId="66FB4855" w:rsidR="000F2DC8" w:rsidRPr="000F2DC8" w:rsidRDefault="007B3CAF" w:rsidP="00202D71">
      <w:pPr>
        <w:pStyle w:val="Prrafodelista"/>
        <w:numPr>
          <w:ilvl w:val="0"/>
          <w:numId w:val="5"/>
        </w:numPr>
        <w:spacing w:line="276" w:lineRule="auto"/>
        <w:jc w:val="both"/>
        <w:rPr>
          <w:iCs/>
        </w:rPr>
      </w:pPr>
      <w:r w:rsidRPr="007C3FE5">
        <w:rPr>
          <w:rFonts w:cs="Times New Roman"/>
          <w:b/>
          <w:bCs/>
          <w:iCs/>
        </w:rPr>
        <w:t>SP-A-116-2003</w:t>
      </w:r>
      <w:r w:rsidR="00400B68">
        <w:rPr>
          <w:rFonts w:cs="Times New Roman"/>
          <w:iCs/>
        </w:rPr>
        <w:t xml:space="preserve">. </w:t>
      </w:r>
      <w:r w:rsidRPr="000F2DC8">
        <w:rPr>
          <w:rFonts w:cs="Times New Roman"/>
          <w:iCs/>
        </w:rPr>
        <w:t xml:space="preserve">Se reforma el oficio SP-887 del 17 de junio del 2002, </w:t>
      </w:r>
      <w:r w:rsidRPr="00A50A10">
        <w:rPr>
          <w:rFonts w:cs="Times New Roman"/>
          <w:i/>
        </w:rPr>
        <w:t>Disposiciones sobre la remisión de la información requerida por la Superintendencia de Pensiones</w:t>
      </w:r>
      <w:r w:rsidRPr="000F2DC8">
        <w:rPr>
          <w:rFonts w:cs="Times New Roman"/>
          <w:iCs/>
        </w:rPr>
        <w:t>, reformado por Acuerdo SP-A- 042, comunicado mediante oficio SP-2860 del 17 de diciembre de 2003.</w:t>
      </w:r>
    </w:p>
    <w:p w14:paraId="447098E6" w14:textId="77777777" w:rsidR="000F2DC8" w:rsidRDefault="000F2DC8" w:rsidP="003F5751">
      <w:pPr>
        <w:spacing w:line="276" w:lineRule="auto"/>
        <w:jc w:val="both"/>
        <w:rPr>
          <w:iCs/>
        </w:rPr>
      </w:pPr>
    </w:p>
    <w:p w14:paraId="52FFC623" w14:textId="6F0E79F6" w:rsidR="003F5751" w:rsidRDefault="00382F82" w:rsidP="003F5751">
      <w:pPr>
        <w:spacing w:line="276" w:lineRule="auto"/>
        <w:jc w:val="both"/>
        <w:rPr>
          <w:iCs/>
        </w:rPr>
      </w:pPr>
      <w:r>
        <w:rPr>
          <w:iCs/>
        </w:rPr>
        <w:t>Asimismo,</w:t>
      </w:r>
      <w:r w:rsidR="003F5751">
        <w:rPr>
          <w:iCs/>
        </w:rPr>
        <w:t xml:space="preserve"> se </w:t>
      </w:r>
      <w:r w:rsidR="00905655">
        <w:rPr>
          <w:iCs/>
        </w:rPr>
        <w:t xml:space="preserve">procedió con la </w:t>
      </w:r>
      <w:r w:rsidR="00893BD8">
        <w:rPr>
          <w:iCs/>
        </w:rPr>
        <w:t>reforma</w:t>
      </w:r>
      <w:r w:rsidR="00905655">
        <w:rPr>
          <w:iCs/>
        </w:rPr>
        <w:t xml:space="preserve"> de los siguientes acuerdos</w:t>
      </w:r>
      <w:r w:rsidR="00AC50AD">
        <w:rPr>
          <w:iCs/>
        </w:rPr>
        <w:t>:</w:t>
      </w:r>
    </w:p>
    <w:p w14:paraId="0E015184" w14:textId="77777777" w:rsidR="00AC50AD" w:rsidRPr="003F5751" w:rsidRDefault="00AC50AD" w:rsidP="003F5751">
      <w:pPr>
        <w:spacing w:line="276" w:lineRule="auto"/>
        <w:jc w:val="both"/>
        <w:rPr>
          <w:iCs/>
        </w:rPr>
      </w:pPr>
    </w:p>
    <w:p w14:paraId="64D8C86F" w14:textId="5A39DF4D" w:rsidR="000F2DC8" w:rsidRPr="000D0808" w:rsidRDefault="00202D71" w:rsidP="00AC50AD">
      <w:pPr>
        <w:pStyle w:val="Prrafodelista"/>
        <w:numPr>
          <w:ilvl w:val="0"/>
          <w:numId w:val="6"/>
        </w:numPr>
        <w:spacing w:line="276" w:lineRule="auto"/>
        <w:jc w:val="both"/>
        <w:rPr>
          <w:iCs/>
        </w:rPr>
      </w:pPr>
      <w:r w:rsidRPr="00400B68">
        <w:rPr>
          <w:rFonts w:cs="Times New Roman"/>
          <w:b/>
          <w:bCs/>
          <w:iCs/>
        </w:rPr>
        <w:t>SP-A-049</w:t>
      </w:r>
      <w:r w:rsidRPr="00AC50AD">
        <w:rPr>
          <w:rFonts w:cs="Times New Roman"/>
          <w:iCs/>
        </w:rPr>
        <w:t xml:space="preserve"> del 11 de junio del 2004, </w:t>
      </w:r>
      <w:r w:rsidRPr="00893BD8">
        <w:rPr>
          <w:rFonts w:cs="Times New Roman"/>
          <w:i/>
        </w:rPr>
        <w:t>Disposiciones aplicables a las entidades autorizadas sobre excesos o faltantes de inversión en los fondos administrados y pérdida de requisitos de los valores adquiridos.</w:t>
      </w:r>
    </w:p>
    <w:p w14:paraId="73777677" w14:textId="77777777" w:rsidR="000D0808" w:rsidRPr="00AC50AD" w:rsidRDefault="000D0808" w:rsidP="000D0808">
      <w:pPr>
        <w:pStyle w:val="Prrafodelista"/>
        <w:spacing w:line="276" w:lineRule="auto"/>
        <w:jc w:val="both"/>
        <w:rPr>
          <w:iCs/>
        </w:rPr>
      </w:pPr>
    </w:p>
    <w:p w14:paraId="4FEDF730" w14:textId="3E8D5BA6" w:rsidR="000F2DC8" w:rsidRPr="00893BD8" w:rsidRDefault="00202D71" w:rsidP="00AC50AD">
      <w:pPr>
        <w:pStyle w:val="Prrafodelista"/>
        <w:numPr>
          <w:ilvl w:val="0"/>
          <w:numId w:val="6"/>
        </w:numPr>
        <w:spacing w:line="276" w:lineRule="auto"/>
        <w:jc w:val="both"/>
        <w:rPr>
          <w:i/>
        </w:rPr>
      </w:pPr>
      <w:r w:rsidRPr="00400B68">
        <w:rPr>
          <w:rFonts w:cs="Times New Roman"/>
          <w:b/>
          <w:bCs/>
          <w:iCs/>
        </w:rPr>
        <w:t>SP-A-087</w:t>
      </w:r>
      <w:r w:rsidRPr="000F2DC8">
        <w:rPr>
          <w:rFonts w:cs="Times New Roman"/>
          <w:iCs/>
        </w:rPr>
        <w:t xml:space="preserve"> de </w:t>
      </w:r>
      <w:r w:rsidR="00382F82" w:rsidRPr="000F2DC8">
        <w:rPr>
          <w:rFonts w:cs="Times New Roman"/>
          <w:iCs/>
        </w:rPr>
        <w:t>las doce</w:t>
      </w:r>
      <w:r w:rsidRPr="000F2DC8">
        <w:rPr>
          <w:rFonts w:cs="Times New Roman"/>
          <w:iCs/>
        </w:rPr>
        <w:t xml:space="preserve"> horas del día veintiocho de febrero del </w:t>
      </w:r>
      <w:r w:rsidR="00893BD8">
        <w:rPr>
          <w:rFonts w:cs="Times New Roman"/>
          <w:iCs/>
        </w:rPr>
        <w:t>2007</w:t>
      </w:r>
      <w:r w:rsidRPr="000F2DC8">
        <w:rPr>
          <w:rFonts w:cs="Times New Roman"/>
          <w:iCs/>
        </w:rPr>
        <w:t xml:space="preserve">, </w:t>
      </w:r>
      <w:r w:rsidRPr="00893BD8">
        <w:rPr>
          <w:rFonts w:cs="Times New Roman"/>
          <w:i/>
        </w:rPr>
        <w:t>Disposiciones generales para la distribución del 50% de las utilidades netas de las operadoras de pensiones a favor de sus afiliados en las cuentas individuales del ROP.</w:t>
      </w:r>
    </w:p>
    <w:p w14:paraId="36EB8B0C" w14:textId="77777777" w:rsidR="000D0808" w:rsidRPr="000D0808" w:rsidRDefault="000D0808" w:rsidP="000D0808">
      <w:pPr>
        <w:spacing w:line="276" w:lineRule="auto"/>
        <w:jc w:val="both"/>
        <w:rPr>
          <w:iCs/>
        </w:rPr>
      </w:pPr>
    </w:p>
    <w:p w14:paraId="2790F08F" w14:textId="43C5A3E0" w:rsidR="00AC50AD" w:rsidRPr="00893BD8" w:rsidRDefault="00202D71" w:rsidP="00202D71">
      <w:pPr>
        <w:pStyle w:val="Prrafodelista"/>
        <w:numPr>
          <w:ilvl w:val="0"/>
          <w:numId w:val="6"/>
        </w:numPr>
        <w:spacing w:line="276" w:lineRule="auto"/>
        <w:jc w:val="both"/>
        <w:rPr>
          <w:i/>
        </w:rPr>
      </w:pPr>
      <w:r w:rsidRPr="00400B68">
        <w:rPr>
          <w:rFonts w:cs="Times New Roman"/>
          <w:b/>
          <w:bCs/>
          <w:iCs/>
        </w:rPr>
        <w:t>SP-A-104</w:t>
      </w:r>
      <w:r w:rsidRPr="000F2DC8">
        <w:rPr>
          <w:rFonts w:cs="Times New Roman"/>
          <w:iCs/>
        </w:rPr>
        <w:t xml:space="preserve"> de las trece horas del diecinueve de noviembre del </w:t>
      </w:r>
      <w:r w:rsidR="00893BD8">
        <w:rPr>
          <w:rFonts w:cs="Times New Roman"/>
          <w:iCs/>
        </w:rPr>
        <w:t>2007</w:t>
      </w:r>
      <w:r w:rsidRPr="000F2DC8">
        <w:rPr>
          <w:rFonts w:cs="Times New Roman"/>
          <w:iCs/>
        </w:rPr>
        <w:t xml:space="preserve">, </w:t>
      </w:r>
      <w:r w:rsidRPr="00893BD8">
        <w:rPr>
          <w:rFonts w:cs="Times New Roman"/>
          <w:i/>
        </w:rPr>
        <w:t>Acuerdo para la exención de normas aplicables al fondo de garantías y jubilaciones de los empleados del Banco Central de Costa Rica.</w:t>
      </w:r>
    </w:p>
    <w:p w14:paraId="70CF249A" w14:textId="77777777" w:rsidR="000D0808" w:rsidRPr="00AC50AD" w:rsidRDefault="000D0808" w:rsidP="000D0808">
      <w:pPr>
        <w:pStyle w:val="Prrafodelista"/>
        <w:spacing w:line="276" w:lineRule="auto"/>
        <w:jc w:val="both"/>
        <w:rPr>
          <w:iCs/>
        </w:rPr>
      </w:pPr>
    </w:p>
    <w:p w14:paraId="1ECB108C" w14:textId="3EAB84E0" w:rsidR="00AC50AD" w:rsidRPr="004910F3" w:rsidRDefault="00202D71" w:rsidP="004910F3">
      <w:pPr>
        <w:pStyle w:val="Prrafodelista"/>
        <w:numPr>
          <w:ilvl w:val="0"/>
          <w:numId w:val="6"/>
        </w:numPr>
        <w:spacing w:line="276" w:lineRule="auto"/>
        <w:jc w:val="both"/>
        <w:rPr>
          <w:rFonts w:cs="Times New Roman"/>
          <w:iCs/>
        </w:rPr>
      </w:pPr>
      <w:r w:rsidRPr="00400B68">
        <w:rPr>
          <w:rFonts w:cs="Times New Roman"/>
          <w:b/>
          <w:bCs/>
          <w:iCs/>
        </w:rPr>
        <w:t>SP-A-115</w:t>
      </w:r>
      <w:r w:rsidR="004910F3">
        <w:rPr>
          <w:rFonts w:cs="Times New Roman"/>
          <w:iCs/>
        </w:rPr>
        <w:t xml:space="preserve"> </w:t>
      </w:r>
      <w:r w:rsidR="004910F3" w:rsidRPr="00092A0D">
        <w:rPr>
          <w:rFonts w:cs="Times New Roman"/>
          <w:iCs/>
        </w:rPr>
        <w:t>de las once horas del día dieciséis de junio del 2008</w:t>
      </w:r>
      <w:r w:rsidR="004910F3" w:rsidRPr="004910F3">
        <w:rPr>
          <w:rFonts w:cs="Times New Roman"/>
          <w:iCs/>
        </w:rPr>
        <w:t>.</w:t>
      </w:r>
      <w:r w:rsidR="004910F3" w:rsidRPr="004910F3">
        <w:rPr>
          <w:rFonts w:cs="Times New Roman"/>
          <w:i/>
          <w:iCs/>
        </w:rPr>
        <w:t xml:space="preserve"> </w:t>
      </w:r>
      <w:r w:rsidRPr="004910F3">
        <w:rPr>
          <w:rFonts w:cs="Times New Roman"/>
          <w:i/>
        </w:rPr>
        <w:t>Servicio de Administración de Seguridad (SAS) de la Ventanilla Electrónica de Servicios (VES).</w:t>
      </w:r>
    </w:p>
    <w:p w14:paraId="7E80BEF2" w14:textId="77777777" w:rsidR="000D0808" w:rsidRPr="000D0808" w:rsidRDefault="000D0808" w:rsidP="000D0808">
      <w:pPr>
        <w:spacing w:line="276" w:lineRule="auto"/>
        <w:jc w:val="both"/>
        <w:rPr>
          <w:iCs/>
        </w:rPr>
      </w:pPr>
    </w:p>
    <w:p w14:paraId="6FF5345F" w14:textId="1AFD41EC" w:rsidR="000D0808" w:rsidRDefault="00202D71" w:rsidP="00202D71">
      <w:pPr>
        <w:pStyle w:val="Prrafodelista"/>
        <w:numPr>
          <w:ilvl w:val="0"/>
          <w:numId w:val="6"/>
        </w:numPr>
        <w:spacing w:line="276" w:lineRule="auto"/>
        <w:jc w:val="both"/>
        <w:rPr>
          <w:iCs/>
        </w:rPr>
      </w:pPr>
      <w:r w:rsidRPr="00400B68">
        <w:rPr>
          <w:b/>
          <w:bCs/>
          <w:iCs/>
        </w:rPr>
        <w:t>SP-A-219-2020</w:t>
      </w:r>
      <w:r w:rsidR="00092A0D">
        <w:rPr>
          <w:b/>
          <w:bCs/>
          <w:iCs/>
        </w:rPr>
        <w:t xml:space="preserve"> </w:t>
      </w:r>
      <w:r w:rsidR="00B84805" w:rsidRPr="00B84805">
        <w:rPr>
          <w:iCs/>
        </w:rPr>
        <w:t>de las diez horas del día veinticuatro de junio de 2020</w:t>
      </w:r>
      <w:r w:rsidRPr="00AC50AD">
        <w:rPr>
          <w:iCs/>
        </w:rPr>
        <w:t xml:space="preserve">, </w:t>
      </w:r>
      <w:r w:rsidRPr="00893BD8">
        <w:rPr>
          <w:i/>
        </w:rPr>
        <w:t>Acuerdo de supervisión diferenciada del Fondo de Garantías y Jubilaciones de la Refinadora de Costarricense de Petróleo (RECOPE).</w:t>
      </w:r>
    </w:p>
    <w:p w14:paraId="7DC667B1" w14:textId="69BC1818" w:rsidR="00AC50AD" w:rsidRPr="000D0808" w:rsidRDefault="00202D71" w:rsidP="000D0808">
      <w:pPr>
        <w:spacing w:line="276" w:lineRule="auto"/>
        <w:jc w:val="both"/>
        <w:rPr>
          <w:iCs/>
        </w:rPr>
      </w:pPr>
      <w:r w:rsidRPr="000D0808">
        <w:rPr>
          <w:iCs/>
        </w:rPr>
        <w:t xml:space="preserve"> </w:t>
      </w:r>
    </w:p>
    <w:p w14:paraId="79249B93" w14:textId="19CEE65F" w:rsidR="00E12FB8" w:rsidRPr="00595C32" w:rsidRDefault="00202D71" w:rsidP="00595C32">
      <w:pPr>
        <w:pStyle w:val="Prrafodelista"/>
        <w:numPr>
          <w:ilvl w:val="0"/>
          <w:numId w:val="6"/>
        </w:numPr>
        <w:spacing w:line="276" w:lineRule="auto"/>
        <w:jc w:val="both"/>
        <w:rPr>
          <w:iCs/>
        </w:rPr>
      </w:pPr>
      <w:r w:rsidRPr="00400B68">
        <w:rPr>
          <w:b/>
          <w:bCs/>
          <w:iCs/>
        </w:rPr>
        <w:t>SP-A-102-2007</w:t>
      </w:r>
      <w:r w:rsidR="008022B1">
        <w:rPr>
          <w:iCs/>
        </w:rPr>
        <w:t xml:space="preserve"> de </w:t>
      </w:r>
      <w:r w:rsidR="008022B1" w:rsidRPr="008022B1">
        <w:rPr>
          <w:iCs/>
        </w:rPr>
        <w:t xml:space="preserve">las dieciséis horas </w:t>
      </w:r>
      <w:r w:rsidR="008022B1" w:rsidRPr="00595C32">
        <w:rPr>
          <w:iCs/>
        </w:rPr>
        <w:t xml:space="preserve">del cinco de noviembre del </w:t>
      </w:r>
      <w:r w:rsidR="00595C32">
        <w:rPr>
          <w:iCs/>
        </w:rPr>
        <w:t xml:space="preserve">2007, </w:t>
      </w:r>
      <w:r w:rsidR="008022B1" w:rsidRPr="00595C32">
        <w:rPr>
          <w:i/>
          <w:iCs/>
        </w:rPr>
        <w:t xml:space="preserve"> </w:t>
      </w:r>
      <w:r w:rsidRPr="00595C32">
        <w:rPr>
          <w:i/>
        </w:rPr>
        <w:t>Disposiciones para el fondo de pensiones del Benemérito Cuerpo de Bomberos.</w:t>
      </w:r>
    </w:p>
    <w:p w14:paraId="536809A2" w14:textId="77777777" w:rsidR="00534B19" w:rsidRDefault="00534B19" w:rsidP="00BB3DB1">
      <w:pPr>
        <w:spacing w:line="276" w:lineRule="auto"/>
        <w:jc w:val="both"/>
        <w:rPr>
          <w:iCs/>
        </w:rPr>
      </w:pPr>
    </w:p>
    <w:p w14:paraId="6E9B455F" w14:textId="5DA0C28A" w:rsidR="00BB3DB1" w:rsidRDefault="00BB3DB1" w:rsidP="00BB3DB1">
      <w:pPr>
        <w:spacing w:line="276" w:lineRule="auto"/>
        <w:jc w:val="both"/>
        <w:rPr>
          <w:iCs/>
        </w:rPr>
      </w:pPr>
      <w:r w:rsidRPr="00BB3DB1">
        <w:rPr>
          <w:iCs/>
        </w:rPr>
        <w:t xml:space="preserve">Además de la reubicación de los acuerdos derogados, antes indicados, en una carpeta separada (que puede ser </w:t>
      </w:r>
      <w:r w:rsidR="00DE0E85">
        <w:rPr>
          <w:iCs/>
        </w:rPr>
        <w:t xml:space="preserve">actualmente </w:t>
      </w:r>
      <w:r w:rsidRPr="00BB3DB1">
        <w:rPr>
          <w:iCs/>
        </w:rPr>
        <w:t>consultada), se reubicaron también acuerdos anacrónicos que se mantenían en la web y acuerdos que reformaban otros acuerdos.</w:t>
      </w:r>
    </w:p>
    <w:p w14:paraId="41F5376B" w14:textId="77777777" w:rsidR="00AC50AD" w:rsidRPr="00BB3DB1" w:rsidRDefault="00AC50AD" w:rsidP="00BB3DB1">
      <w:pPr>
        <w:spacing w:line="276" w:lineRule="auto"/>
        <w:jc w:val="both"/>
        <w:rPr>
          <w:iCs/>
        </w:rPr>
      </w:pPr>
    </w:p>
    <w:p w14:paraId="678EBD4B" w14:textId="38F9A84A" w:rsidR="00202D71" w:rsidRDefault="00BB3DB1" w:rsidP="00BB3DB1">
      <w:pPr>
        <w:spacing w:line="276" w:lineRule="auto"/>
        <w:jc w:val="both"/>
        <w:rPr>
          <w:iCs/>
        </w:rPr>
      </w:pPr>
      <w:r w:rsidRPr="00BB3DB1">
        <w:rPr>
          <w:iCs/>
        </w:rPr>
        <w:lastRenderedPageBreak/>
        <w:t>Con todo lo anterior, los acuerdos del superintendente publicados en la web pasaron de 62 a 36 (un 58% menos)</w:t>
      </w:r>
      <w:r w:rsidR="00DE0E85">
        <w:rPr>
          <w:iCs/>
        </w:rPr>
        <w:t xml:space="preserve">, simplificándose </w:t>
      </w:r>
      <w:r w:rsidR="00FE57E9">
        <w:rPr>
          <w:iCs/>
        </w:rPr>
        <w:t xml:space="preserve">significativamente la consulta de la normativa </w:t>
      </w:r>
      <w:r w:rsidR="00F1404E">
        <w:rPr>
          <w:iCs/>
        </w:rPr>
        <w:t>que llevan a cabo</w:t>
      </w:r>
      <w:r w:rsidR="00FE57E9">
        <w:rPr>
          <w:iCs/>
        </w:rPr>
        <w:t xml:space="preserve"> los usuarios de la web de la SUPEN.</w:t>
      </w:r>
    </w:p>
    <w:p w14:paraId="4A1B2030" w14:textId="77777777" w:rsidR="00AC50AD" w:rsidRDefault="00AC50AD" w:rsidP="00BB3DB1">
      <w:pPr>
        <w:spacing w:line="276" w:lineRule="auto"/>
        <w:jc w:val="both"/>
        <w:rPr>
          <w:iCs/>
        </w:rPr>
      </w:pPr>
    </w:p>
    <w:p w14:paraId="5D50DF0B" w14:textId="12A18B50" w:rsidR="003B3C55" w:rsidRDefault="003B3C55" w:rsidP="00BB3DB1">
      <w:pPr>
        <w:spacing w:line="276" w:lineRule="auto"/>
        <w:jc w:val="both"/>
        <w:rPr>
          <w:iCs/>
        </w:rPr>
      </w:pPr>
      <w:r>
        <w:rPr>
          <w:iCs/>
        </w:rPr>
        <w:t xml:space="preserve">Para el trienio comprendido entre el 12 de abril de 2021 al 12 de abril de </w:t>
      </w:r>
      <w:r w:rsidR="0039674B">
        <w:rPr>
          <w:iCs/>
        </w:rPr>
        <w:t xml:space="preserve">2024, se procedió a realizar una nueva revisión de todos los reglamentos publicados en la web, </w:t>
      </w:r>
      <w:r w:rsidR="00124A50">
        <w:rPr>
          <w:iCs/>
        </w:rPr>
        <w:t xml:space="preserve">aprovechando los distintos proyectos normativos que </w:t>
      </w:r>
      <w:r w:rsidR="009F0EDD">
        <w:rPr>
          <w:iCs/>
        </w:rPr>
        <w:t xml:space="preserve">hacían necesaria la reforma de los reglamentos publicados en el sitio web de la SUPEN </w:t>
      </w:r>
      <w:r w:rsidR="0039674B">
        <w:rPr>
          <w:iCs/>
        </w:rPr>
        <w:t>y los acuerdos del Superintendente relacionados</w:t>
      </w:r>
      <w:r w:rsidR="009F0EDD">
        <w:rPr>
          <w:iCs/>
        </w:rPr>
        <w:t>.</w:t>
      </w:r>
    </w:p>
    <w:p w14:paraId="35F284A7" w14:textId="77777777" w:rsidR="0039674B" w:rsidRDefault="0039674B" w:rsidP="00BB3DB1">
      <w:pPr>
        <w:spacing w:line="276" w:lineRule="auto"/>
        <w:jc w:val="both"/>
        <w:rPr>
          <w:iCs/>
        </w:rPr>
      </w:pPr>
    </w:p>
    <w:p w14:paraId="126C03C6" w14:textId="578EC84B" w:rsidR="0039674B" w:rsidRDefault="0039674B" w:rsidP="00BB3DB1">
      <w:pPr>
        <w:spacing w:line="276" w:lineRule="auto"/>
        <w:jc w:val="both"/>
        <w:rPr>
          <w:iCs/>
        </w:rPr>
      </w:pPr>
      <w:r>
        <w:rPr>
          <w:iCs/>
        </w:rPr>
        <w:t xml:space="preserve">Producto de lo anterior, se realizaron </w:t>
      </w:r>
      <w:r w:rsidR="002F75CF">
        <w:rPr>
          <w:iCs/>
        </w:rPr>
        <w:t xml:space="preserve">las siguientes </w:t>
      </w:r>
      <w:r w:rsidR="009F0EDD">
        <w:rPr>
          <w:iCs/>
        </w:rPr>
        <w:t xml:space="preserve">revisiones y consecutivas </w:t>
      </w:r>
      <w:r w:rsidR="002F75CF">
        <w:rPr>
          <w:iCs/>
        </w:rPr>
        <w:t>reformas a los reglamentos que de seguido se indican:</w:t>
      </w:r>
    </w:p>
    <w:p w14:paraId="122E851F" w14:textId="77777777" w:rsidR="002F75CF" w:rsidRDefault="002F75CF" w:rsidP="00BB3DB1">
      <w:pPr>
        <w:spacing w:line="276" w:lineRule="auto"/>
        <w:jc w:val="both"/>
        <w:rPr>
          <w:iCs/>
        </w:rPr>
      </w:pPr>
    </w:p>
    <w:p w14:paraId="3B4CA804" w14:textId="3CBFB2C8" w:rsidR="002F75CF" w:rsidRPr="00905A36" w:rsidRDefault="00C573A5" w:rsidP="002F75CF">
      <w:pPr>
        <w:pStyle w:val="Prrafodelista"/>
        <w:numPr>
          <w:ilvl w:val="0"/>
          <w:numId w:val="7"/>
        </w:numPr>
        <w:spacing w:line="276" w:lineRule="auto"/>
        <w:jc w:val="both"/>
        <w:rPr>
          <w:i/>
        </w:rPr>
      </w:pPr>
      <w:r w:rsidRPr="00905A36">
        <w:rPr>
          <w:i/>
        </w:rPr>
        <w:t>Reglamento sobre la Apertura y Funcionamiento de las Entidades Autorizadas y el Funcionamiento de los Fondos de Pensiones, Capitalización Laboral y Ahorro Voluntario Previstos en la Ley de Protección al Trabajador</w:t>
      </w:r>
    </w:p>
    <w:p w14:paraId="1BFC11FB" w14:textId="77777777" w:rsidR="003D187A" w:rsidRDefault="003D187A" w:rsidP="003D187A">
      <w:pPr>
        <w:spacing w:line="276" w:lineRule="auto"/>
        <w:jc w:val="both"/>
        <w:rPr>
          <w:iCs/>
        </w:rPr>
      </w:pPr>
    </w:p>
    <w:p w14:paraId="2596DBA2" w14:textId="112DD7AD" w:rsidR="00C573A5" w:rsidRDefault="003D187A" w:rsidP="003D187A">
      <w:pPr>
        <w:pStyle w:val="Prrafodelista"/>
        <w:numPr>
          <w:ilvl w:val="0"/>
          <w:numId w:val="9"/>
        </w:numPr>
        <w:spacing w:line="276" w:lineRule="auto"/>
        <w:jc w:val="both"/>
        <w:rPr>
          <w:iCs/>
        </w:rPr>
      </w:pPr>
      <w:r w:rsidRPr="003D187A">
        <w:rPr>
          <w:iCs/>
        </w:rPr>
        <w:t>Se modific</w:t>
      </w:r>
      <w:r>
        <w:rPr>
          <w:iCs/>
        </w:rPr>
        <w:t>ó</w:t>
      </w:r>
      <w:r w:rsidRPr="003D187A">
        <w:rPr>
          <w:iCs/>
        </w:rPr>
        <w:t xml:space="preserve"> el párrafo primero del artículo 102 para ampliar el plazo de permanencia mínima en las entidades autorizadas por parte de los afiliados a seis meses, a fin de ejercer el derecho de la libre transferencia</w:t>
      </w:r>
      <w:r>
        <w:rPr>
          <w:iCs/>
        </w:rPr>
        <w:t xml:space="preserve"> (</w:t>
      </w:r>
      <w:r w:rsidR="00426E86" w:rsidRPr="00426E86">
        <w:rPr>
          <w:iCs/>
        </w:rPr>
        <w:t>publicado en el Diario Oficial La Gaceta N°77 del 28 de abril de 2022</w:t>
      </w:r>
      <w:r w:rsidR="00426E86">
        <w:rPr>
          <w:iCs/>
        </w:rPr>
        <w:t>).</w:t>
      </w:r>
    </w:p>
    <w:p w14:paraId="63B1F4B7" w14:textId="77777777" w:rsidR="002854AC" w:rsidRDefault="002854AC" w:rsidP="002854AC">
      <w:pPr>
        <w:pStyle w:val="Prrafodelista"/>
        <w:spacing w:line="276" w:lineRule="auto"/>
        <w:ind w:left="1080"/>
        <w:jc w:val="both"/>
        <w:rPr>
          <w:iCs/>
        </w:rPr>
      </w:pPr>
    </w:p>
    <w:p w14:paraId="53FF37EB" w14:textId="295C0E12" w:rsidR="00426E86" w:rsidRDefault="000F2D21" w:rsidP="003D187A">
      <w:pPr>
        <w:pStyle w:val="Prrafodelista"/>
        <w:numPr>
          <w:ilvl w:val="0"/>
          <w:numId w:val="9"/>
        </w:numPr>
        <w:spacing w:line="276" w:lineRule="auto"/>
        <w:jc w:val="both"/>
        <w:rPr>
          <w:iCs/>
        </w:rPr>
      </w:pPr>
      <w:r w:rsidRPr="000F2D21">
        <w:rPr>
          <w:iCs/>
        </w:rPr>
        <w:t>Se establec</w:t>
      </w:r>
      <w:r w:rsidR="002854AC">
        <w:rPr>
          <w:iCs/>
        </w:rPr>
        <w:t>ió</w:t>
      </w:r>
      <w:r w:rsidRPr="000F2D21">
        <w:rPr>
          <w:iCs/>
        </w:rPr>
        <w:t xml:space="preserve"> una disposición transitoria para la entrada en vigencia de la reforma al artículo 102</w:t>
      </w:r>
      <w:r w:rsidR="00905A36">
        <w:rPr>
          <w:iCs/>
        </w:rPr>
        <w:t>,</w:t>
      </w:r>
      <w:r w:rsidRPr="000F2D21">
        <w:rPr>
          <w:iCs/>
        </w:rPr>
        <w:t xml:space="preserve"> acordada mediante artículo 6 del acta de la sesión número 1725-2022 del 18 de abril de 2022</w:t>
      </w:r>
      <w:r w:rsidR="00E260CB">
        <w:rPr>
          <w:iCs/>
        </w:rPr>
        <w:t xml:space="preserve"> (</w:t>
      </w:r>
      <w:r w:rsidR="00E260CB" w:rsidRPr="00E260CB">
        <w:rPr>
          <w:iCs/>
        </w:rPr>
        <w:t>publicado en el Diario Oficial La Gaceta N°85 del 10 de mayo de 2022</w:t>
      </w:r>
      <w:r w:rsidR="00E260CB">
        <w:rPr>
          <w:iCs/>
        </w:rPr>
        <w:t>)</w:t>
      </w:r>
      <w:r w:rsidR="00E260CB" w:rsidRPr="00E260CB">
        <w:rPr>
          <w:iCs/>
        </w:rPr>
        <w:t>.</w:t>
      </w:r>
    </w:p>
    <w:p w14:paraId="4AA80280" w14:textId="77777777" w:rsidR="002854AC" w:rsidRPr="002854AC" w:rsidRDefault="002854AC" w:rsidP="002854AC">
      <w:pPr>
        <w:spacing w:line="276" w:lineRule="auto"/>
        <w:jc w:val="both"/>
        <w:rPr>
          <w:iCs/>
        </w:rPr>
      </w:pPr>
    </w:p>
    <w:p w14:paraId="47EACF48" w14:textId="37C02A64" w:rsidR="00E260CB" w:rsidRDefault="00675689" w:rsidP="003D187A">
      <w:pPr>
        <w:pStyle w:val="Prrafodelista"/>
        <w:numPr>
          <w:ilvl w:val="0"/>
          <w:numId w:val="9"/>
        </w:numPr>
        <w:spacing w:line="276" w:lineRule="auto"/>
        <w:jc w:val="both"/>
        <w:rPr>
          <w:iCs/>
        </w:rPr>
      </w:pPr>
      <w:r w:rsidRPr="00675689">
        <w:rPr>
          <w:iCs/>
        </w:rPr>
        <w:t>Se reform</w:t>
      </w:r>
      <w:r w:rsidR="002854AC">
        <w:rPr>
          <w:iCs/>
        </w:rPr>
        <w:t>ó</w:t>
      </w:r>
      <w:r w:rsidRPr="00675689">
        <w:rPr>
          <w:iCs/>
        </w:rPr>
        <w:t xml:space="preserve"> el artículo 4 y se adicion</w:t>
      </w:r>
      <w:r w:rsidR="002854AC">
        <w:rPr>
          <w:iCs/>
        </w:rPr>
        <w:t>ó</w:t>
      </w:r>
      <w:r w:rsidRPr="00675689">
        <w:rPr>
          <w:iCs/>
        </w:rPr>
        <w:t xml:space="preserve"> una disposición transitoria, con el fin de  procurar</w:t>
      </w:r>
      <w:r w:rsidR="002B1D87">
        <w:rPr>
          <w:iCs/>
        </w:rPr>
        <w:t>,</w:t>
      </w:r>
      <w:r w:rsidRPr="00675689">
        <w:rPr>
          <w:iCs/>
        </w:rPr>
        <w:t xml:space="preserve"> dada la reforma al artículo 77 de la </w:t>
      </w:r>
      <w:r w:rsidRPr="00B4008C">
        <w:rPr>
          <w:i/>
        </w:rPr>
        <w:t>L</w:t>
      </w:r>
      <w:r w:rsidR="00B4008C" w:rsidRPr="00B4008C">
        <w:rPr>
          <w:i/>
        </w:rPr>
        <w:t>ey de Protección al Trabajador</w:t>
      </w:r>
      <w:r w:rsidRPr="00675689">
        <w:rPr>
          <w:iCs/>
        </w:rPr>
        <w:t xml:space="preserve">, una solución regulatoria más sencilla y menos onerosa para la administración </w:t>
      </w:r>
      <w:r w:rsidR="00D96402">
        <w:rPr>
          <w:iCs/>
        </w:rPr>
        <w:t xml:space="preserve">de los </w:t>
      </w:r>
      <w:r w:rsidRPr="00675689">
        <w:rPr>
          <w:iCs/>
        </w:rPr>
        <w:t xml:space="preserve">recursos correspondientes a registros erróneos, de manera que la asignación de los mismos </w:t>
      </w:r>
      <w:r w:rsidR="00D96402">
        <w:rPr>
          <w:iCs/>
        </w:rPr>
        <w:t>siguiera</w:t>
      </w:r>
      <w:r w:rsidR="00853D8C">
        <w:rPr>
          <w:iCs/>
        </w:rPr>
        <w:t>n las</w:t>
      </w:r>
      <w:r w:rsidRPr="00675689">
        <w:rPr>
          <w:iCs/>
        </w:rPr>
        <w:t xml:space="preserve"> disposiciones que rigen la afiliación automática, dentro de los fondos del Régimen Obligatorio de Pensiones Complementarias y el Fondo de Capitalización Laboral, según corresponda, aplicándose la comisión de administración aplicable ordinariamente a cada uno de ellos</w:t>
      </w:r>
      <w:r w:rsidR="009E3F8B">
        <w:rPr>
          <w:iCs/>
        </w:rPr>
        <w:t xml:space="preserve"> (</w:t>
      </w:r>
      <w:r w:rsidR="009E3F8B" w:rsidRPr="009E3F8B">
        <w:rPr>
          <w:iCs/>
        </w:rPr>
        <w:t>publicado en el Alcance N°153 al Diario Oficial La Gaceta N°139, del 21 de julio de 2022</w:t>
      </w:r>
      <w:r w:rsidR="009E3F8B">
        <w:rPr>
          <w:iCs/>
        </w:rPr>
        <w:t>)</w:t>
      </w:r>
      <w:r w:rsidR="009E3F8B" w:rsidRPr="009E3F8B">
        <w:rPr>
          <w:iCs/>
        </w:rPr>
        <w:t>.</w:t>
      </w:r>
    </w:p>
    <w:p w14:paraId="3F904618" w14:textId="77777777" w:rsidR="002854AC" w:rsidRPr="002854AC" w:rsidRDefault="002854AC" w:rsidP="002854AC">
      <w:pPr>
        <w:spacing w:line="276" w:lineRule="auto"/>
        <w:jc w:val="both"/>
        <w:rPr>
          <w:iCs/>
        </w:rPr>
      </w:pPr>
    </w:p>
    <w:p w14:paraId="695C6435" w14:textId="3E5571A4" w:rsidR="009E3F8B" w:rsidRDefault="002854AC" w:rsidP="003D187A">
      <w:pPr>
        <w:pStyle w:val="Prrafodelista"/>
        <w:numPr>
          <w:ilvl w:val="0"/>
          <w:numId w:val="9"/>
        </w:numPr>
        <w:spacing w:line="276" w:lineRule="auto"/>
        <w:jc w:val="both"/>
        <w:rPr>
          <w:iCs/>
        </w:rPr>
      </w:pPr>
      <w:r>
        <w:rPr>
          <w:iCs/>
        </w:rPr>
        <w:lastRenderedPageBreak/>
        <w:t>Se r</w:t>
      </w:r>
      <w:r w:rsidR="00C313AD" w:rsidRPr="00C313AD">
        <w:rPr>
          <w:iCs/>
        </w:rPr>
        <w:t>eform</w:t>
      </w:r>
      <w:r>
        <w:rPr>
          <w:iCs/>
        </w:rPr>
        <w:t>ó</w:t>
      </w:r>
      <w:r w:rsidR="00C313AD" w:rsidRPr="00C313AD">
        <w:rPr>
          <w:iCs/>
        </w:rPr>
        <w:t xml:space="preserve"> al artículo 37 bis, a fin de que en los esquemas de bonificaciones de las comisiones de administración del ROP y el FCL únicamente aplique la variable de permanencia, sin su necesaria combinación con el cumplimiento de los aportes o el mantenimiento de saldos mínimos, como sí resulta de aplicación, tratándose del Régimen Voluntario de Pensiones Complementarias</w:t>
      </w:r>
      <w:r w:rsidR="00C313AD">
        <w:rPr>
          <w:iCs/>
        </w:rPr>
        <w:t xml:space="preserve"> (</w:t>
      </w:r>
      <w:r w:rsidR="00D33A09" w:rsidRPr="00D33A09">
        <w:rPr>
          <w:iCs/>
        </w:rPr>
        <w:t>publicado en el Diario Oficial La Gaceta N°184 del 28 de setiembre de 2022</w:t>
      </w:r>
      <w:r w:rsidR="00D33A09">
        <w:rPr>
          <w:iCs/>
        </w:rPr>
        <w:t>)</w:t>
      </w:r>
      <w:r w:rsidR="00D33A09" w:rsidRPr="00D33A09">
        <w:rPr>
          <w:iCs/>
        </w:rPr>
        <w:t>.</w:t>
      </w:r>
    </w:p>
    <w:p w14:paraId="0354F248" w14:textId="77777777" w:rsidR="002854AC" w:rsidRPr="002854AC" w:rsidRDefault="002854AC" w:rsidP="002854AC">
      <w:pPr>
        <w:spacing w:line="276" w:lineRule="auto"/>
        <w:jc w:val="both"/>
        <w:rPr>
          <w:iCs/>
        </w:rPr>
      </w:pPr>
    </w:p>
    <w:p w14:paraId="5EED7D55" w14:textId="0C4B9144" w:rsidR="00D33A09" w:rsidRDefault="00A63788" w:rsidP="00F37D41">
      <w:pPr>
        <w:pStyle w:val="Prrafodelista"/>
        <w:numPr>
          <w:ilvl w:val="0"/>
          <w:numId w:val="9"/>
        </w:numPr>
        <w:spacing w:line="276" w:lineRule="auto"/>
        <w:jc w:val="both"/>
        <w:rPr>
          <w:iCs/>
        </w:rPr>
      </w:pPr>
      <w:r>
        <w:rPr>
          <w:iCs/>
        </w:rPr>
        <w:t>Se implementaron los</w:t>
      </w:r>
      <w:r w:rsidR="00117329" w:rsidRPr="00117329">
        <w:rPr>
          <w:iCs/>
        </w:rPr>
        <w:t xml:space="preserve"> Fondos Generacionales en el Régimen Obligatorio de Pensiones Complementarias</w:t>
      </w:r>
      <w:r w:rsidR="00117329">
        <w:rPr>
          <w:iCs/>
        </w:rPr>
        <w:t xml:space="preserve"> (</w:t>
      </w:r>
      <w:r w:rsidR="00893401">
        <w:rPr>
          <w:iCs/>
        </w:rPr>
        <w:t>publicado en el Alcance No. 256</w:t>
      </w:r>
      <w:r w:rsidR="00F37D41">
        <w:rPr>
          <w:iCs/>
        </w:rPr>
        <w:t xml:space="preserve"> a La Gaceta No. 237 del jueves 21 de diciembre de 2023).</w:t>
      </w:r>
    </w:p>
    <w:p w14:paraId="73C10055" w14:textId="77777777" w:rsidR="0039674B" w:rsidRPr="007B34EE" w:rsidRDefault="0039674B" w:rsidP="00BB3DB1">
      <w:pPr>
        <w:spacing w:line="276" w:lineRule="auto"/>
        <w:jc w:val="both"/>
        <w:rPr>
          <w:i/>
        </w:rPr>
      </w:pPr>
    </w:p>
    <w:p w14:paraId="1E79A712" w14:textId="33FBF331" w:rsidR="0039674B" w:rsidRPr="007B34EE" w:rsidRDefault="00122E77" w:rsidP="00122E77">
      <w:pPr>
        <w:pStyle w:val="Prrafodelista"/>
        <w:numPr>
          <w:ilvl w:val="0"/>
          <w:numId w:val="7"/>
        </w:numPr>
        <w:spacing w:line="276" w:lineRule="auto"/>
        <w:jc w:val="both"/>
        <w:rPr>
          <w:i/>
        </w:rPr>
      </w:pPr>
      <w:r w:rsidRPr="007B34EE">
        <w:rPr>
          <w:i/>
        </w:rPr>
        <w:t>Reglamento de beneficios del régimen de capitalización individual</w:t>
      </w:r>
    </w:p>
    <w:p w14:paraId="48A3CAF1" w14:textId="77777777" w:rsidR="0039674B" w:rsidRDefault="0039674B" w:rsidP="00BB3DB1">
      <w:pPr>
        <w:spacing w:line="276" w:lineRule="auto"/>
        <w:jc w:val="both"/>
        <w:rPr>
          <w:iCs/>
        </w:rPr>
      </w:pPr>
    </w:p>
    <w:p w14:paraId="63E57D6F" w14:textId="752FBE56" w:rsidR="00051C46" w:rsidRDefault="00051C46" w:rsidP="00051C46">
      <w:pPr>
        <w:pStyle w:val="Prrafodelista"/>
        <w:numPr>
          <w:ilvl w:val="0"/>
          <w:numId w:val="11"/>
        </w:numPr>
        <w:spacing w:line="276" w:lineRule="auto"/>
        <w:jc w:val="both"/>
        <w:rPr>
          <w:iCs/>
        </w:rPr>
      </w:pPr>
      <w:r w:rsidRPr="00051C46">
        <w:rPr>
          <w:iCs/>
        </w:rPr>
        <w:t>Se reforma</w:t>
      </w:r>
      <w:r w:rsidR="00A63788">
        <w:rPr>
          <w:iCs/>
        </w:rPr>
        <w:t>ron</w:t>
      </w:r>
      <w:r w:rsidRPr="00051C46">
        <w:rPr>
          <w:iCs/>
        </w:rPr>
        <w:t xml:space="preserve"> los artículos 9, 22, 35, 47 y se adicion</w:t>
      </w:r>
      <w:r w:rsidR="00A63788">
        <w:rPr>
          <w:iCs/>
        </w:rPr>
        <w:t>ó</w:t>
      </w:r>
      <w:r w:rsidRPr="00051C46">
        <w:rPr>
          <w:iCs/>
        </w:rPr>
        <w:t xml:space="preserve"> un transitorio IV, a fin de establecer una periodicidad mayor para el cálculo de la </w:t>
      </w:r>
      <w:r w:rsidR="007B34EE">
        <w:rPr>
          <w:iCs/>
        </w:rPr>
        <w:t>R</w:t>
      </w:r>
      <w:r w:rsidRPr="00051C46">
        <w:rPr>
          <w:iCs/>
        </w:rPr>
        <w:t xml:space="preserve">enta </w:t>
      </w:r>
      <w:r w:rsidR="007B34EE">
        <w:rPr>
          <w:iCs/>
        </w:rPr>
        <w:t>P</w:t>
      </w:r>
      <w:r w:rsidRPr="00051C46">
        <w:rPr>
          <w:iCs/>
        </w:rPr>
        <w:t xml:space="preserve">ermanente, de forma tal que esta no se vea afectada por las volatilidades de corto plazo. Asimismo, se </w:t>
      </w:r>
      <w:r w:rsidR="006B15F1">
        <w:rPr>
          <w:iCs/>
        </w:rPr>
        <w:t xml:space="preserve">eliminó </w:t>
      </w:r>
      <w:r w:rsidRPr="00051C46">
        <w:rPr>
          <w:iCs/>
        </w:rPr>
        <w:t>el proceso de solicitud de cotizaciones para la elección de la modalidad de pensión por cuanto no genera</w:t>
      </w:r>
      <w:r w:rsidR="00A63788">
        <w:rPr>
          <w:iCs/>
        </w:rPr>
        <w:t>ba</w:t>
      </w:r>
      <w:r w:rsidRPr="00051C46">
        <w:rPr>
          <w:iCs/>
        </w:rPr>
        <w:t xml:space="preserve"> un valor agregado para los afiliados a los Fondos y</w:t>
      </w:r>
      <w:r w:rsidR="006B15F1">
        <w:rPr>
          <w:iCs/>
        </w:rPr>
        <w:t>,</w:t>
      </w:r>
      <w:r w:rsidRPr="00051C46">
        <w:rPr>
          <w:iCs/>
        </w:rPr>
        <w:t xml:space="preserve"> más bien</w:t>
      </w:r>
      <w:r w:rsidR="006B15F1">
        <w:rPr>
          <w:iCs/>
        </w:rPr>
        <w:t>,</w:t>
      </w:r>
      <w:r w:rsidRPr="00051C46">
        <w:rPr>
          <w:iCs/>
        </w:rPr>
        <w:t xml:space="preserve"> provoca</w:t>
      </w:r>
      <w:r w:rsidR="002462AB">
        <w:rPr>
          <w:iCs/>
        </w:rPr>
        <w:t>ba</w:t>
      </w:r>
      <w:r w:rsidRPr="00051C46">
        <w:rPr>
          <w:iCs/>
        </w:rPr>
        <w:t xml:space="preserve"> un retraso en la concesión y disfrute de los beneficios.</w:t>
      </w:r>
    </w:p>
    <w:p w14:paraId="7BE3F3C5" w14:textId="77777777" w:rsidR="00AB45DE" w:rsidRPr="00051C46" w:rsidRDefault="00AB45DE" w:rsidP="00AB45DE">
      <w:pPr>
        <w:pStyle w:val="Prrafodelista"/>
        <w:spacing w:line="276" w:lineRule="auto"/>
        <w:ind w:left="1080"/>
        <w:jc w:val="both"/>
        <w:rPr>
          <w:iCs/>
        </w:rPr>
      </w:pPr>
    </w:p>
    <w:p w14:paraId="3A32EA25" w14:textId="198FDB2A" w:rsidR="00310CC3" w:rsidRDefault="00051C46" w:rsidP="002A00F7">
      <w:pPr>
        <w:pStyle w:val="Prrafodelista"/>
        <w:spacing w:line="276" w:lineRule="auto"/>
        <w:ind w:left="1080"/>
        <w:jc w:val="both"/>
        <w:rPr>
          <w:iCs/>
        </w:rPr>
      </w:pPr>
      <w:r w:rsidRPr="00051C46">
        <w:rPr>
          <w:iCs/>
        </w:rPr>
        <w:t>Adicionalmente, la reforma aclar</w:t>
      </w:r>
      <w:r w:rsidR="002462AB">
        <w:rPr>
          <w:iCs/>
        </w:rPr>
        <w:t>ó</w:t>
      </w:r>
      <w:r w:rsidRPr="00051C46">
        <w:rPr>
          <w:iCs/>
        </w:rPr>
        <w:t xml:space="preserve"> y distingu</w:t>
      </w:r>
      <w:r w:rsidR="002462AB">
        <w:rPr>
          <w:iCs/>
        </w:rPr>
        <w:t>ió</w:t>
      </w:r>
      <w:r w:rsidRPr="00051C46">
        <w:rPr>
          <w:iCs/>
        </w:rPr>
        <w:t xml:space="preserve"> el ejercicio de traslado de operadora y el plazo que le aplica a este último de los plazos establecidos para el recálculo de las pensiones de los productos de beneficio</w:t>
      </w:r>
      <w:r>
        <w:rPr>
          <w:iCs/>
        </w:rPr>
        <w:t xml:space="preserve"> (publicado </w:t>
      </w:r>
      <w:r w:rsidR="000E6A7E" w:rsidRPr="000E6A7E">
        <w:rPr>
          <w:iCs/>
        </w:rPr>
        <w:t>en el Diario Oficial La Gaceta N°166 del 1° de setiembre de 2022</w:t>
      </w:r>
      <w:r w:rsidR="000E6A7E">
        <w:rPr>
          <w:iCs/>
        </w:rPr>
        <w:t>).</w:t>
      </w:r>
    </w:p>
    <w:p w14:paraId="6A29B178" w14:textId="77777777" w:rsidR="00AB45DE" w:rsidRDefault="00AB45DE" w:rsidP="002A00F7">
      <w:pPr>
        <w:pStyle w:val="Prrafodelista"/>
        <w:spacing w:line="276" w:lineRule="auto"/>
        <w:ind w:left="1080"/>
        <w:jc w:val="both"/>
        <w:rPr>
          <w:iCs/>
        </w:rPr>
      </w:pPr>
    </w:p>
    <w:p w14:paraId="4B0A3E5C" w14:textId="6B56060B" w:rsidR="00310CC3" w:rsidRDefault="00FE1743" w:rsidP="00310CC3">
      <w:pPr>
        <w:pStyle w:val="Prrafodelista"/>
        <w:numPr>
          <w:ilvl w:val="0"/>
          <w:numId w:val="11"/>
        </w:numPr>
        <w:spacing w:line="276" w:lineRule="auto"/>
        <w:jc w:val="both"/>
        <w:rPr>
          <w:iCs/>
        </w:rPr>
      </w:pPr>
      <w:r>
        <w:rPr>
          <w:iCs/>
        </w:rPr>
        <w:t>Se ajustaron sus disposiciones con ocasión de la i</w:t>
      </w:r>
      <w:r w:rsidR="00310CC3" w:rsidRPr="00310CC3">
        <w:rPr>
          <w:iCs/>
        </w:rPr>
        <w:t xml:space="preserve">mplementación </w:t>
      </w:r>
      <w:r>
        <w:rPr>
          <w:iCs/>
        </w:rPr>
        <w:t xml:space="preserve">de los </w:t>
      </w:r>
      <w:r w:rsidR="00310CC3" w:rsidRPr="00310CC3">
        <w:rPr>
          <w:iCs/>
        </w:rPr>
        <w:t>Fondos Generacionales en el Régimen Obligatorio de Pensiones Complementarias</w:t>
      </w:r>
      <w:r w:rsidR="00310CC3">
        <w:rPr>
          <w:iCs/>
        </w:rPr>
        <w:t>.</w:t>
      </w:r>
    </w:p>
    <w:p w14:paraId="73231876" w14:textId="77777777" w:rsidR="00AB45DE" w:rsidRDefault="00AB45DE" w:rsidP="00AB45DE">
      <w:pPr>
        <w:pStyle w:val="Prrafodelista"/>
        <w:spacing w:line="276" w:lineRule="auto"/>
        <w:ind w:left="1080"/>
        <w:jc w:val="both"/>
        <w:rPr>
          <w:iCs/>
        </w:rPr>
      </w:pPr>
    </w:p>
    <w:p w14:paraId="737831B6" w14:textId="0B8DD508" w:rsidR="002A00F7" w:rsidRPr="003D187A" w:rsidRDefault="002A00F7" w:rsidP="002A00F7">
      <w:pPr>
        <w:pStyle w:val="Prrafodelista"/>
        <w:numPr>
          <w:ilvl w:val="0"/>
          <w:numId w:val="9"/>
        </w:numPr>
        <w:spacing w:line="276" w:lineRule="auto"/>
        <w:jc w:val="both"/>
        <w:rPr>
          <w:iCs/>
        </w:rPr>
      </w:pPr>
      <w:r w:rsidRPr="0041411A">
        <w:rPr>
          <w:iCs/>
        </w:rPr>
        <w:t>Se reforma</w:t>
      </w:r>
      <w:r>
        <w:rPr>
          <w:iCs/>
        </w:rPr>
        <w:t>ron</w:t>
      </w:r>
      <w:r w:rsidRPr="0041411A">
        <w:rPr>
          <w:iCs/>
        </w:rPr>
        <w:t xml:space="preserve"> los artículos artículo 2, agregando una definición de </w:t>
      </w:r>
      <w:r w:rsidRPr="006B15F1">
        <w:rPr>
          <w:i/>
        </w:rPr>
        <w:t>Renta temporal por plazo de aportación,</w:t>
      </w:r>
      <w:r w:rsidRPr="0041411A">
        <w:rPr>
          <w:iCs/>
        </w:rPr>
        <w:t xml:space="preserve"> en el orden alfabético que corresponda; </w:t>
      </w:r>
      <w:r w:rsidR="00337C74">
        <w:rPr>
          <w:iCs/>
        </w:rPr>
        <w:t xml:space="preserve">se </w:t>
      </w:r>
      <w:r w:rsidRPr="0041411A">
        <w:rPr>
          <w:iCs/>
        </w:rPr>
        <w:t>reforma</w:t>
      </w:r>
      <w:r w:rsidR="00337C74">
        <w:rPr>
          <w:iCs/>
        </w:rPr>
        <w:t>ron</w:t>
      </w:r>
      <w:r w:rsidRPr="0041411A">
        <w:rPr>
          <w:iCs/>
        </w:rPr>
        <w:t xml:space="preserve"> los artículos 3, 4, 5, 11, 13, 14, 15, 18, 22, 23, 24, el inciso 1) del artículo 25, los artículos 26, 35, 42; el inciso 3) del artículo 47; el artículo 48, y </w:t>
      </w:r>
      <w:r w:rsidR="00337C74">
        <w:rPr>
          <w:iCs/>
        </w:rPr>
        <w:t>se adicionaron</w:t>
      </w:r>
      <w:r w:rsidRPr="0041411A">
        <w:rPr>
          <w:iCs/>
        </w:rPr>
        <w:t xml:space="preserve"> un artículo 9 bis, un artículo 20 bis y un Transitorio V, con el propósito de integrar en la normativa aspectos relativos a la disposición de los aportes por asignar de los afiliados cuando transcurran más de 10 años; la determinación de los beneficios para los beneficiarios de los afiliados al ROP y </w:t>
      </w:r>
      <w:r w:rsidRPr="0041411A">
        <w:rPr>
          <w:iCs/>
        </w:rPr>
        <w:lastRenderedPageBreak/>
        <w:t>la interacción informativa de los regímenes de primer pilar con las operadoras de planes de pensiones complementarias</w:t>
      </w:r>
      <w:r>
        <w:rPr>
          <w:iCs/>
        </w:rPr>
        <w:t xml:space="preserve"> (p</w:t>
      </w:r>
      <w:r w:rsidRPr="00491769">
        <w:rPr>
          <w:iCs/>
        </w:rPr>
        <w:t>ublicado en La Gaceta No 123, Alcance No131, del viernes 07 de julio de 2023</w:t>
      </w:r>
      <w:r>
        <w:rPr>
          <w:iCs/>
        </w:rPr>
        <w:t>).</w:t>
      </w:r>
    </w:p>
    <w:p w14:paraId="7CF9CC8C" w14:textId="77777777" w:rsidR="00310CC3" w:rsidRDefault="00310CC3" w:rsidP="00192CDD">
      <w:pPr>
        <w:spacing w:line="276" w:lineRule="auto"/>
        <w:ind w:left="360"/>
        <w:jc w:val="both"/>
        <w:rPr>
          <w:iCs/>
        </w:rPr>
      </w:pPr>
    </w:p>
    <w:p w14:paraId="26D91657" w14:textId="2C38AB80" w:rsidR="00EE5367" w:rsidRPr="005A3803" w:rsidRDefault="00EE5367" w:rsidP="00EE5367">
      <w:pPr>
        <w:pStyle w:val="Prrafodelista"/>
        <w:numPr>
          <w:ilvl w:val="0"/>
          <w:numId w:val="7"/>
        </w:numPr>
        <w:spacing w:line="276" w:lineRule="auto"/>
        <w:jc w:val="both"/>
        <w:rPr>
          <w:i/>
        </w:rPr>
      </w:pPr>
      <w:r w:rsidRPr="005A3803">
        <w:rPr>
          <w:i/>
        </w:rPr>
        <w:t>Reglamento de gestión de activos</w:t>
      </w:r>
    </w:p>
    <w:p w14:paraId="6F255211" w14:textId="77777777" w:rsidR="00EE5367" w:rsidRDefault="00EE5367" w:rsidP="00EE5367">
      <w:pPr>
        <w:pStyle w:val="Prrafodelista"/>
        <w:spacing w:line="276" w:lineRule="auto"/>
        <w:jc w:val="both"/>
        <w:rPr>
          <w:iCs/>
        </w:rPr>
      </w:pPr>
    </w:p>
    <w:p w14:paraId="7C6FC933" w14:textId="470D9F44" w:rsidR="00EE5367" w:rsidRDefault="00171D9D" w:rsidP="00EE5367">
      <w:pPr>
        <w:pStyle w:val="Prrafodelista"/>
        <w:numPr>
          <w:ilvl w:val="0"/>
          <w:numId w:val="12"/>
        </w:numPr>
        <w:spacing w:line="276" w:lineRule="auto"/>
        <w:jc w:val="both"/>
        <w:rPr>
          <w:iCs/>
        </w:rPr>
      </w:pPr>
      <w:r w:rsidRPr="00171D9D">
        <w:rPr>
          <w:iCs/>
        </w:rPr>
        <w:t>Se reforma</w:t>
      </w:r>
      <w:r w:rsidR="00FE1743">
        <w:rPr>
          <w:iCs/>
        </w:rPr>
        <w:t>ron</w:t>
      </w:r>
      <w:r w:rsidRPr="00171D9D">
        <w:rPr>
          <w:iCs/>
        </w:rPr>
        <w:t xml:space="preserve"> los literales k. y l. del artículo 6, el artículo 16 y el artículo 71, con el fin de promover una adecuada diversificación de riesgo y regular posibles conflictos de interés en la gestión de la liquidez de los fondos, según </w:t>
      </w:r>
      <w:r w:rsidR="00672BCD">
        <w:rPr>
          <w:iCs/>
        </w:rPr>
        <w:t xml:space="preserve">indica </w:t>
      </w:r>
      <w:r w:rsidRPr="00171D9D">
        <w:rPr>
          <w:iCs/>
        </w:rPr>
        <w:t xml:space="preserve">el primer párrafo del artículo 61 de la </w:t>
      </w:r>
      <w:r w:rsidRPr="00752F86">
        <w:rPr>
          <w:i/>
        </w:rPr>
        <w:t>Ley de Protección al Trabajador</w:t>
      </w:r>
      <w:r>
        <w:rPr>
          <w:iCs/>
        </w:rPr>
        <w:t xml:space="preserve"> (</w:t>
      </w:r>
      <w:r w:rsidR="005555F1" w:rsidRPr="005555F1">
        <w:rPr>
          <w:iCs/>
        </w:rPr>
        <w:t>publicado en el Diario Oficial La Gaceta N°92 del 19 de mayo de 2022</w:t>
      </w:r>
      <w:r w:rsidR="005555F1">
        <w:rPr>
          <w:iCs/>
        </w:rPr>
        <w:t>).</w:t>
      </w:r>
    </w:p>
    <w:p w14:paraId="6914041A" w14:textId="77777777" w:rsidR="00AB45DE" w:rsidRDefault="00AB45DE" w:rsidP="00AB45DE">
      <w:pPr>
        <w:pStyle w:val="Prrafodelista"/>
        <w:spacing w:line="276" w:lineRule="auto"/>
        <w:ind w:left="1080"/>
        <w:jc w:val="both"/>
        <w:rPr>
          <w:iCs/>
        </w:rPr>
      </w:pPr>
    </w:p>
    <w:p w14:paraId="4EF94072" w14:textId="24F5A67E" w:rsidR="005555F1" w:rsidRDefault="00F24603" w:rsidP="00EE5367">
      <w:pPr>
        <w:pStyle w:val="Prrafodelista"/>
        <w:numPr>
          <w:ilvl w:val="0"/>
          <w:numId w:val="12"/>
        </w:numPr>
        <w:spacing w:line="276" w:lineRule="auto"/>
        <w:jc w:val="both"/>
        <w:rPr>
          <w:iCs/>
        </w:rPr>
      </w:pPr>
      <w:r w:rsidRPr="00F24603">
        <w:rPr>
          <w:iCs/>
        </w:rPr>
        <w:t>Se modific</w:t>
      </w:r>
      <w:r w:rsidR="007C0D0B">
        <w:rPr>
          <w:iCs/>
        </w:rPr>
        <w:t>ó</w:t>
      </w:r>
      <w:r w:rsidRPr="00F24603">
        <w:rPr>
          <w:iCs/>
        </w:rPr>
        <w:t xml:space="preserve"> el inciso j) del artículo 6 y se agreg</w:t>
      </w:r>
      <w:r w:rsidR="007C0D0B">
        <w:rPr>
          <w:iCs/>
        </w:rPr>
        <w:t>ó</w:t>
      </w:r>
      <w:r w:rsidRPr="00F24603">
        <w:rPr>
          <w:iCs/>
        </w:rPr>
        <w:t xml:space="preserve"> un transitorio, a fin de promover el financiamiento y la inversión mediante el uso de valores de oferta pública temáticos en actividades, obras y proyectos tendientes a alcanzar los Objetivos de Desarrollo Sostenible, el Plan Nacional de Descarbonización, la Política Nacional de Adaptación al Cambio Climático, la Política Nacional de Producción y Consumo Sostenible, así como cualquier otro instrumento de política pública que persiga los mismos objetivos</w:t>
      </w:r>
      <w:r w:rsidR="00E64012">
        <w:rPr>
          <w:iCs/>
        </w:rPr>
        <w:t xml:space="preserve"> (</w:t>
      </w:r>
      <w:r w:rsidR="00E64012" w:rsidRPr="00E64012">
        <w:rPr>
          <w:iCs/>
        </w:rPr>
        <w:t>publicado en el Diario Oficial La Gaceta N°110 del 14 de junio de 2022</w:t>
      </w:r>
      <w:r w:rsidR="00E64012">
        <w:rPr>
          <w:iCs/>
        </w:rPr>
        <w:t>)</w:t>
      </w:r>
      <w:r w:rsidR="00E64012" w:rsidRPr="00E64012">
        <w:rPr>
          <w:iCs/>
        </w:rPr>
        <w:t>.</w:t>
      </w:r>
    </w:p>
    <w:p w14:paraId="624FBF8D" w14:textId="77777777" w:rsidR="00AB45DE" w:rsidRPr="00AB45DE" w:rsidRDefault="00AB45DE" w:rsidP="00AB45DE">
      <w:pPr>
        <w:spacing w:line="276" w:lineRule="auto"/>
        <w:jc w:val="both"/>
        <w:rPr>
          <w:iCs/>
        </w:rPr>
      </w:pPr>
    </w:p>
    <w:p w14:paraId="5B9390EE" w14:textId="727B108D" w:rsidR="0014467E" w:rsidRDefault="003036DC" w:rsidP="00EE5367">
      <w:pPr>
        <w:pStyle w:val="Prrafodelista"/>
        <w:numPr>
          <w:ilvl w:val="0"/>
          <w:numId w:val="12"/>
        </w:numPr>
        <w:spacing w:line="276" w:lineRule="auto"/>
        <w:jc w:val="both"/>
        <w:rPr>
          <w:iCs/>
        </w:rPr>
      </w:pPr>
      <w:r>
        <w:rPr>
          <w:iCs/>
        </w:rPr>
        <w:t>Se modificaron</w:t>
      </w:r>
      <w:r w:rsidR="00344B71" w:rsidRPr="00344B71">
        <w:rPr>
          <w:iCs/>
        </w:rPr>
        <w:t xml:space="preserve"> los incisos a) y b) del artículo 67 y el inciso b) del artículo 68 señalando, en lo que interesa, que las inversiones en valores extranjeros podrán sobrepasar el límite del 25%, hasta el 50%, siempre que las entidades reguladas demuestren, mediante estudios técnicos, que las inversiones por realizar cumplen con las condiciones previstas en el artículo 62 de la </w:t>
      </w:r>
      <w:r w:rsidR="00344B71" w:rsidRPr="006E2E30">
        <w:rPr>
          <w:i/>
        </w:rPr>
        <w:t>L</w:t>
      </w:r>
      <w:r w:rsidR="006E2E30" w:rsidRPr="006E2E30">
        <w:rPr>
          <w:i/>
        </w:rPr>
        <w:t>ey de Protección al Tra</w:t>
      </w:r>
      <w:r w:rsidR="006E2E30">
        <w:rPr>
          <w:i/>
        </w:rPr>
        <w:t>b</w:t>
      </w:r>
      <w:r w:rsidR="006E2E30" w:rsidRPr="006E2E30">
        <w:rPr>
          <w:i/>
        </w:rPr>
        <w:t>ajador</w:t>
      </w:r>
      <w:r w:rsidR="006E2E30">
        <w:rPr>
          <w:iCs/>
        </w:rPr>
        <w:t>,</w:t>
      </w:r>
      <w:r w:rsidR="00344B71" w:rsidRPr="00344B71">
        <w:rPr>
          <w:iCs/>
        </w:rPr>
        <w:t xml:space="preserve"> de acuerdo con las disposiciones que para tal efecto dicte el </w:t>
      </w:r>
      <w:r w:rsidR="006E2E30">
        <w:rPr>
          <w:iCs/>
        </w:rPr>
        <w:t>S</w:t>
      </w:r>
      <w:r w:rsidR="00344B71" w:rsidRPr="00344B71">
        <w:rPr>
          <w:iCs/>
        </w:rPr>
        <w:t>uperintendente mediante acuerdo</w:t>
      </w:r>
      <w:r w:rsidR="00344B71">
        <w:rPr>
          <w:iCs/>
        </w:rPr>
        <w:t xml:space="preserve"> (</w:t>
      </w:r>
      <w:r w:rsidRPr="003036DC">
        <w:rPr>
          <w:iCs/>
        </w:rPr>
        <w:t>publicado en La Gaceta No. 22, del 07/02/2023</w:t>
      </w:r>
      <w:r>
        <w:rPr>
          <w:iCs/>
        </w:rPr>
        <w:t>).</w:t>
      </w:r>
    </w:p>
    <w:p w14:paraId="3BBE4882" w14:textId="77777777" w:rsidR="00AB45DE" w:rsidRPr="00AB45DE" w:rsidRDefault="00AB45DE" w:rsidP="00AB45DE">
      <w:pPr>
        <w:spacing w:line="276" w:lineRule="auto"/>
        <w:jc w:val="both"/>
        <w:rPr>
          <w:iCs/>
        </w:rPr>
      </w:pPr>
    </w:p>
    <w:p w14:paraId="479102BC" w14:textId="1DD67988" w:rsidR="003036DC" w:rsidRDefault="007C0D0B" w:rsidP="00EE5367">
      <w:pPr>
        <w:pStyle w:val="Prrafodelista"/>
        <w:numPr>
          <w:ilvl w:val="0"/>
          <w:numId w:val="12"/>
        </w:numPr>
        <w:spacing w:line="276" w:lineRule="auto"/>
        <w:jc w:val="both"/>
        <w:rPr>
          <w:iCs/>
        </w:rPr>
      </w:pPr>
      <w:r>
        <w:rPr>
          <w:iCs/>
        </w:rPr>
        <w:t>Se realizaron las reformas atinentes a la i</w:t>
      </w:r>
      <w:r w:rsidR="008758EC" w:rsidRPr="008758EC">
        <w:rPr>
          <w:iCs/>
        </w:rPr>
        <w:t xml:space="preserve">mplementación </w:t>
      </w:r>
      <w:r>
        <w:rPr>
          <w:iCs/>
        </w:rPr>
        <w:t xml:space="preserve">de los </w:t>
      </w:r>
      <w:r w:rsidR="008758EC" w:rsidRPr="008758EC">
        <w:rPr>
          <w:iCs/>
        </w:rPr>
        <w:t>Fondos Generacionales en el Régimen Obligatorio de Pensiones Complementarias</w:t>
      </w:r>
      <w:r w:rsidR="002D0C4C">
        <w:rPr>
          <w:iCs/>
        </w:rPr>
        <w:t xml:space="preserve">, aprovechándose </w:t>
      </w:r>
      <w:r w:rsidR="00B93663">
        <w:rPr>
          <w:iCs/>
        </w:rPr>
        <w:t>la</w:t>
      </w:r>
      <w:r w:rsidR="000D6DB0">
        <w:rPr>
          <w:iCs/>
        </w:rPr>
        <w:t>s mismas</w:t>
      </w:r>
      <w:r w:rsidR="00B93663">
        <w:rPr>
          <w:iCs/>
        </w:rPr>
        <w:t xml:space="preserve"> para realizar una serie de actualizaciones y mejoras a</w:t>
      </w:r>
      <w:r w:rsidR="000D6DB0">
        <w:rPr>
          <w:iCs/>
        </w:rPr>
        <w:t xml:space="preserve"> este reglamento</w:t>
      </w:r>
      <w:r w:rsidR="00B93663">
        <w:rPr>
          <w:iCs/>
        </w:rPr>
        <w:t>.</w:t>
      </w:r>
    </w:p>
    <w:p w14:paraId="3F45B1E5" w14:textId="77777777" w:rsidR="00AB45DE" w:rsidRPr="00AB45DE" w:rsidRDefault="00AB45DE" w:rsidP="00AB45DE">
      <w:pPr>
        <w:spacing w:line="276" w:lineRule="auto"/>
        <w:jc w:val="both"/>
        <w:rPr>
          <w:iCs/>
        </w:rPr>
      </w:pPr>
    </w:p>
    <w:p w14:paraId="4547625D" w14:textId="07B80BDA" w:rsidR="008758EC" w:rsidRPr="00EE5367" w:rsidRDefault="00E31BA9" w:rsidP="00EE5367">
      <w:pPr>
        <w:pStyle w:val="Prrafodelista"/>
        <w:numPr>
          <w:ilvl w:val="0"/>
          <w:numId w:val="12"/>
        </w:numPr>
        <w:spacing w:line="276" w:lineRule="auto"/>
        <w:jc w:val="both"/>
        <w:rPr>
          <w:iCs/>
        </w:rPr>
      </w:pPr>
      <w:r w:rsidRPr="00E31BA9">
        <w:rPr>
          <w:iCs/>
        </w:rPr>
        <w:t>Se modific</w:t>
      </w:r>
      <w:r>
        <w:rPr>
          <w:iCs/>
        </w:rPr>
        <w:t>ó</w:t>
      </w:r>
      <w:r w:rsidRPr="00E31BA9">
        <w:rPr>
          <w:iCs/>
        </w:rPr>
        <w:t xml:space="preserve"> el artículo 15 y se adicion</w:t>
      </w:r>
      <w:r w:rsidR="006E2E30">
        <w:rPr>
          <w:iCs/>
        </w:rPr>
        <w:t>ó</w:t>
      </w:r>
      <w:r w:rsidRPr="00E31BA9">
        <w:rPr>
          <w:iCs/>
        </w:rPr>
        <w:t xml:space="preserve"> un transitorio con el propósito de establecer mecanismos de mitigación del riesgo cambiario para los recursos de </w:t>
      </w:r>
      <w:r w:rsidRPr="00E31BA9">
        <w:rPr>
          <w:iCs/>
        </w:rPr>
        <w:lastRenderedPageBreak/>
        <w:t>afiliados y pensionados, mediante el uso de instrumentos de cobertura</w:t>
      </w:r>
      <w:r>
        <w:rPr>
          <w:iCs/>
        </w:rPr>
        <w:t xml:space="preserve"> (</w:t>
      </w:r>
      <w:r w:rsidR="0088352F" w:rsidRPr="0088352F">
        <w:rPr>
          <w:iCs/>
        </w:rPr>
        <w:t>publicado en el Diario Oficial La Gaceta N° 234 del 8 de diciembre de 2022</w:t>
      </w:r>
      <w:r w:rsidR="0088352F">
        <w:rPr>
          <w:iCs/>
        </w:rPr>
        <w:t>).</w:t>
      </w:r>
    </w:p>
    <w:p w14:paraId="721B8CCF" w14:textId="77777777" w:rsidR="005E5803" w:rsidRDefault="005E5803" w:rsidP="00BB3DB1">
      <w:pPr>
        <w:spacing w:line="276" w:lineRule="auto"/>
        <w:jc w:val="both"/>
        <w:rPr>
          <w:iCs/>
        </w:rPr>
      </w:pPr>
    </w:p>
    <w:p w14:paraId="1997A8A7" w14:textId="392B74DF" w:rsidR="005E5803" w:rsidRPr="00D07E88" w:rsidRDefault="00B337B6" w:rsidP="00B337B6">
      <w:pPr>
        <w:pStyle w:val="Prrafodelista"/>
        <w:numPr>
          <w:ilvl w:val="0"/>
          <w:numId w:val="7"/>
        </w:numPr>
        <w:spacing w:line="276" w:lineRule="auto"/>
        <w:jc w:val="both"/>
        <w:rPr>
          <w:i/>
        </w:rPr>
      </w:pPr>
      <w:r w:rsidRPr="00D07E88">
        <w:rPr>
          <w:i/>
        </w:rPr>
        <w:t>Reglamento de riesgos</w:t>
      </w:r>
    </w:p>
    <w:p w14:paraId="5B75E695" w14:textId="77777777" w:rsidR="00B337B6" w:rsidRDefault="00B337B6" w:rsidP="0001435D">
      <w:pPr>
        <w:spacing w:line="276" w:lineRule="auto"/>
        <w:ind w:left="360"/>
        <w:jc w:val="both"/>
        <w:rPr>
          <w:iCs/>
        </w:rPr>
      </w:pPr>
    </w:p>
    <w:p w14:paraId="4160D974" w14:textId="26D5838E" w:rsidR="0001435D" w:rsidRDefault="00B47F3E" w:rsidP="0001435D">
      <w:pPr>
        <w:pStyle w:val="Prrafodelista"/>
        <w:numPr>
          <w:ilvl w:val="0"/>
          <w:numId w:val="13"/>
        </w:numPr>
        <w:spacing w:line="276" w:lineRule="auto"/>
        <w:jc w:val="both"/>
        <w:rPr>
          <w:iCs/>
        </w:rPr>
      </w:pPr>
      <w:r w:rsidRPr="00B47F3E">
        <w:rPr>
          <w:iCs/>
        </w:rPr>
        <w:t>Se reform</w:t>
      </w:r>
      <w:r>
        <w:rPr>
          <w:iCs/>
        </w:rPr>
        <w:t>ó</w:t>
      </w:r>
      <w:r w:rsidRPr="00B47F3E">
        <w:rPr>
          <w:iCs/>
        </w:rPr>
        <w:t xml:space="preserve"> el artículo 3 con el fin de promover una adecuada diversificación de</w:t>
      </w:r>
      <w:r w:rsidR="00281E7B">
        <w:rPr>
          <w:iCs/>
        </w:rPr>
        <w:t>l</w:t>
      </w:r>
      <w:r w:rsidRPr="00B47F3E">
        <w:rPr>
          <w:iCs/>
        </w:rPr>
        <w:t xml:space="preserve"> riesgo y regular posibles conflictos de interés en la gestión de la liquidez de los fondos, según el primer párrafo del artículo 61 de la </w:t>
      </w:r>
      <w:r w:rsidRPr="00281E7B">
        <w:rPr>
          <w:i/>
        </w:rPr>
        <w:t>Ley de Protección al Trabajador</w:t>
      </w:r>
      <w:r>
        <w:rPr>
          <w:iCs/>
        </w:rPr>
        <w:t xml:space="preserve"> (</w:t>
      </w:r>
      <w:r w:rsidR="00854987" w:rsidRPr="00854987">
        <w:rPr>
          <w:iCs/>
        </w:rPr>
        <w:t>publicado en el Diario Oficial La Gaceta N°92 del 19 de mayo de 2022</w:t>
      </w:r>
      <w:r w:rsidR="00854987">
        <w:rPr>
          <w:iCs/>
        </w:rPr>
        <w:t>).</w:t>
      </w:r>
    </w:p>
    <w:p w14:paraId="2777378A" w14:textId="77777777" w:rsidR="00912CAA" w:rsidRDefault="00912CAA" w:rsidP="00912CAA">
      <w:pPr>
        <w:pStyle w:val="Prrafodelista"/>
        <w:spacing w:line="276" w:lineRule="auto"/>
        <w:ind w:left="1080"/>
        <w:jc w:val="both"/>
        <w:rPr>
          <w:iCs/>
        </w:rPr>
      </w:pPr>
    </w:p>
    <w:p w14:paraId="6B6EEEA6" w14:textId="216CD22C" w:rsidR="00912CAA" w:rsidRDefault="00AC27F8" w:rsidP="000C1D2D">
      <w:pPr>
        <w:pStyle w:val="Prrafodelista"/>
        <w:numPr>
          <w:ilvl w:val="0"/>
          <w:numId w:val="13"/>
        </w:numPr>
        <w:spacing w:line="276" w:lineRule="auto"/>
        <w:jc w:val="both"/>
        <w:rPr>
          <w:iCs/>
        </w:rPr>
      </w:pPr>
      <w:r w:rsidRPr="00AC27F8">
        <w:rPr>
          <w:iCs/>
        </w:rPr>
        <w:t>Se adicion</w:t>
      </w:r>
      <w:r w:rsidR="007C0D0B">
        <w:rPr>
          <w:iCs/>
        </w:rPr>
        <w:t>ó</w:t>
      </w:r>
      <w:r w:rsidRPr="00AC27F8">
        <w:rPr>
          <w:iCs/>
        </w:rPr>
        <w:t xml:space="preserve"> el artículo 3 y se modific</w:t>
      </w:r>
      <w:r w:rsidR="007C0D0B">
        <w:rPr>
          <w:iCs/>
        </w:rPr>
        <w:t>ó</w:t>
      </w:r>
      <w:r w:rsidRPr="00AC27F8">
        <w:rPr>
          <w:iCs/>
        </w:rPr>
        <w:t xml:space="preserve"> la redacción del inciso j) del artículo 6, a fin de promover el financiamiento y la inversión mediante el uso de valores de oferta pública temáticos en actividades, obras y proyectos tendientes a alcanzar los Objetivos de Desarrollo Sostenible, el Plan Nacional de Descarbonización, la Política Nacional de Adaptación al Cambio Climático, la Política Nacional de Producción y Consumo Sostenible, así como cualquier otro instrumento de política pública que persiga los mismos objetivos</w:t>
      </w:r>
      <w:r>
        <w:rPr>
          <w:iCs/>
        </w:rPr>
        <w:t xml:space="preserve"> (</w:t>
      </w:r>
      <w:r w:rsidR="00E52241" w:rsidRPr="00E52241">
        <w:rPr>
          <w:iCs/>
        </w:rPr>
        <w:t>publicado en el Diario Oficial La Gaceta N°110 del 14 de junio de 2022</w:t>
      </w:r>
      <w:r w:rsidR="00E52241">
        <w:rPr>
          <w:iCs/>
        </w:rPr>
        <w:t>).</w:t>
      </w:r>
    </w:p>
    <w:p w14:paraId="20C09B0B" w14:textId="77777777" w:rsidR="00E52241" w:rsidRPr="00E52241" w:rsidRDefault="00E52241" w:rsidP="00E52241">
      <w:pPr>
        <w:pStyle w:val="Prrafodelista"/>
        <w:rPr>
          <w:iCs/>
        </w:rPr>
      </w:pPr>
    </w:p>
    <w:p w14:paraId="384FD902" w14:textId="1DEDB1BF" w:rsidR="00E52241" w:rsidRPr="00783177" w:rsidRDefault="00411223" w:rsidP="00411223">
      <w:pPr>
        <w:pStyle w:val="Prrafodelista"/>
        <w:numPr>
          <w:ilvl w:val="0"/>
          <w:numId w:val="7"/>
        </w:numPr>
        <w:spacing w:line="276" w:lineRule="auto"/>
        <w:jc w:val="both"/>
        <w:rPr>
          <w:i/>
        </w:rPr>
      </w:pPr>
      <w:r w:rsidRPr="00783177">
        <w:rPr>
          <w:i/>
        </w:rPr>
        <w:t>Reglamento actuarial</w:t>
      </w:r>
    </w:p>
    <w:p w14:paraId="262E8B15" w14:textId="77777777" w:rsidR="00411223" w:rsidRDefault="00411223" w:rsidP="00411223">
      <w:pPr>
        <w:spacing w:line="276" w:lineRule="auto"/>
        <w:ind w:left="360"/>
        <w:jc w:val="both"/>
        <w:rPr>
          <w:iCs/>
        </w:rPr>
      </w:pPr>
    </w:p>
    <w:p w14:paraId="36386B16" w14:textId="061B3F5F" w:rsidR="00AB45DE" w:rsidRDefault="00E32789" w:rsidP="00AB45DE">
      <w:pPr>
        <w:pStyle w:val="Prrafodelista"/>
        <w:numPr>
          <w:ilvl w:val="0"/>
          <w:numId w:val="14"/>
        </w:numPr>
        <w:spacing w:line="276" w:lineRule="auto"/>
        <w:jc w:val="both"/>
        <w:rPr>
          <w:iCs/>
        </w:rPr>
      </w:pPr>
      <w:r>
        <w:rPr>
          <w:iCs/>
        </w:rPr>
        <w:t>S</w:t>
      </w:r>
      <w:r w:rsidRPr="00E32789">
        <w:rPr>
          <w:iCs/>
        </w:rPr>
        <w:t>e adiciona</w:t>
      </w:r>
      <w:r>
        <w:rPr>
          <w:iCs/>
        </w:rPr>
        <w:t>ron</w:t>
      </w:r>
      <w:r w:rsidRPr="00E32789">
        <w:rPr>
          <w:iCs/>
        </w:rPr>
        <w:t xml:space="preserve"> y </w:t>
      </w:r>
      <w:r w:rsidR="00AB45DE" w:rsidRPr="00E32789">
        <w:rPr>
          <w:iCs/>
        </w:rPr>
        <w:t>reform</w:t>
      </w:r>
      <w:r w:rsidR="00AB45DE">
        <w:rPr>
          <w:iCs/>
        </w:rPr>
        <w:t>ar</w:t>
      </w:r>
      <w:r w:rsidR="00AB45DE" w:rsidRPr="00E32789">
        <w:rPr>
          <w:iCs/>
        </w:rPr>
        <w:t>on</w:t>
      </w:r>
      <w:r w:rsidRPr="00E32789">
        <w:rPr>
          <w:iCs/>
        </w:rPr>
        <w:t xml:space="preserve"> las definiciones del artículo 3; se reforma</w:t>
      </w:r>
      <w:r w:rsidR="007C0D0B">
        <w:rPr>
          <w:iCs/>
        </w:rPr>
        <w:t>ron</w:t>
      </w:r>
      <w:r w:rsidRPr="00E32789">
        <w:rPr>
          <w:iCs/>
        </w:rPr>
        <w:t xml:space="preserve"> los artículos 4, 5, 8 y 9; el literal h, acápite i. del artículo 11; los artículos 12, 13 y 14; el párrafo primero y el literal a) del artículo 15; se adicion</w:t>
      </w:r>
      <w:r w:rsidR="007266DC">
        <w:rPr>
          <w:iCs/>
        </w:rPr>
        <w:t>ó</w:t>
      </w:r>
      <w:r w:rsidRPr="00E32789">
        <w:rPr>
          <w:iCs/>
        </w:rPr>
        <w:t xml:space="preserve"> un literal b) al artículo 19, corriéndose la identificación por letra de los sucesivos y </w:t>
      </w:r>
      <w:r w:rsidR="007266DC">
        <w:rPr>
          <w:iCs/>
        </w:rPr>
        <w:t xml:space="preserve">se </w:t>
      </w:r>
      <w:r w:rsidRPr="00E32789">
        <w:rPr>
          <w:iCs/>
        </w:rPr>
        <w:t>agreg</w:t>
      </w:r>
      <w:r w:rsidR="007266DC">
        <w:rPr>
          <w:iCs/>
        </w:rPr>
        <w:t>ó</w:t>
      </w:r>
      <w:r w:rsidRPr="00E32789">
        <w:rPr>
          <w:iCs/>
        </w:rPr>
        <w:t xml:space="preserve"> un artículo 4bis.</w:t>
      </w:r>
    </w:p>
    <w:p w14:paraId="5FC6B2A6" w14:textId="77777777" w:rsidR="00AB45DE" w:rsidRPr="00AB45DE" w:rsidRDefault="00AB45DE" w:rsidP="00AB45DE">
      <w:pPr>
        <w:pStyle w:val="Prrafodelista"/>
        <w:spacing w:line="276" w:lineRule="auto"/>
        <w:ind w:left="1080"/>
        <w:jc w:val="both"/>
        <w:rPr>
          <w:iCs/>
        </w:rPr>
      </w:pPr>
    </w:p>
    <w:p w14:paraId="3F5DAEC5" w14:textId="7684D583" w:rsidR="00411223" w:rsidRDefault="00E32789" w:rsidP="00B75C0F">
      <w:pPr>
        <w:pStyle w:val="Prrafodelista"/>
        <w:spacing w:line="276" w:lineRule="auto"/>
        <w:ind w:left="1080"/>
        <w:jc w:val="both"/>
        <w:rPr>
          <w:iCs/>
        </w:rPr>
      </w:pPr>
      <w:r w:rsidRPr="00B75C0F">
        <w:rPr>
          <w:iCs/>
        </w:rPr>
        <w:t>Lo anterior con el propósito de ajustar las políticas de solvencia, establecer un control de los procesos de revalorización de pensiones, ajustes a la disposiciones que regulan  la definición de las políticas de revalorización de pensiones, incluir como uno de los objetivos de las valuaciones actuariales los principios ORSA (</w:t>
      </w:r>
      <w:r w:rsidRPr="00783177">
        <w:rPr>
          <w:i/>
        </w:rPr>
        <w:t>Own Risk and Solvency Assessment</w:t>
      </w:r>
      <w:r w:rsidRPr="00B75C0F">
        <w:rPr>
          <w:iCs/>
        </w:rPr>
        <w:t xml:space="preserve">), </w:t>
      </w:r>
      <w:r w:rsidR="00F86A5C">
        <w:rPr>
          <w:iCs/>
        </w:rPr>
        <w:t xml:space="preserve">el </w:t>
      </w:r>
      <w:r w:rsidRPr="00B75C0F">
        <w:rPr>
          <w:iCs/>
        </w:rPr>
        <w:t>establecimiento de las responsabilidades de los actuarios en cuanto a la revelación de riesgos y la independencia del actuario</w:t>
      </w:r>
      <w:r w:rsidR="00B75C0F">
        <w:rPr>
          <w:iCs/>
        </w:rPr>
        <w:t xml:space="preserve"> (p</w:t>
      </w:r>
      <w:r w:rsidR="0029252D" w:rsidRPr="00B75C0F">
        <w:rPr>
          <w:iCs/>
        </w:rPr>
        <w:t>ublicado en La Gaceta No 123, Alcance No131, del viernes 07 de julio de 2023</w:t>
      </w:r>
      <w:r w:rsidR="00B75C0F">
        <w:rPr>
          <w:iCs/>
        </w:rPr>
        <w:t>).</w:t>
      </w:r>
    </w:p>
    <w:p w14:paraId="4C43AE83" w14:textId="77777777" w:rsidR="00534B19" w:rsidRDefault="00534B19" w:rsidP="00534B19">
      <w:pPr>
        <w:spacing w:line="276" w:lineRule="auto"/>
        <w:jc w:val="both"/>
        <w:rPr>
          <w:iCs/>
        </w:rPr>
      </w:pPr>
    </w:p>
    <w:p w14:paraId="54BCC064" w14:textId="4586B9BF" w:rsidR="00534B19" w:rsidRDefault="008F0BA1" w:rsidP="00534B19">
      <w:pPr>
        <w:spacing w:line="276" w:lineRule="auto"/>
        <w:jc w:val="both"/>
        <w:rPr>
          <w:iCs/>
        </w:rPr>
      </w:pPr>
      <w:r>
        <w:rPr>
          <w:iCs/>
        </w:rPr>
        <w:t>Respecto de los acuerdos dictados en el trienio en comentario, se tiene que se procedió con la emisión de los siguientes:</w:t>
      </w:r>
    </w:p>
    <w:p w14:paraId="36CF4067" w14:textId="77777777" w:rsidR="008F0BA1" w:rsidRDefault="008F0BA1" w:rsidP="00534B19">
      <w:pPr>
        <w:spacing w:line="276" w:lineRule="auto"/>
        <w:jc w:val="both"/>
        <w:rPr>
          <w:iCs/>
        </w:rPr>
      </w:pPr>
    </w:p>
    <w:p w14:paraId="5225E4B7" w14:textId="17E4C682" w:rsidR="008F0BA1" w:rsidRDefault="008649E2" w:rsidP="008649E2">
      <w:pPr>
        <w:pStyle w:val="Prrafodelista"/>
        <w:numPr>
          <w:ilvl w:val="0"/>
          <w:numId w:val="15"/>
        </w:numPr>
        <w:spacing w:line="276" w:lineRule="auto"/>
        <w:jc w:val="both"/>
        <w:rPr>
          <w:iCs/>
        </w:rPr>
      </w:pPr>
      <w:r w:rsidRPr="007C31CF">
        <w:rPr>
          <w:b/>
          <w:bCs/>
          <w:iCs/>
        </w:rPr>
        <w:t>SP-A-240-2021</w:t>
      </w:r>
      <w:r>
        <w:rPr>
          <w:iCs/>
        </w:rPr>
        <w:t xml:space="preserve"> de </w:t>
      </w:r>
      <w:r w:rsidRPr="008649E2">
        <w:rPr>
          <w:iCs/>
        </w:rPr>
        <w:t xml:space="preserve">las quince horas del día veinticinco de marzo del </w:t>
      </w:r>
      <w:r w:rsidR="00452EE2">
        <w:rPr>
          <w:iCs/>
        </w:rPr>
        <w:t>2021</w:t>
      </w:r>
      <w:r w:rsidR="00740FCF">
        <w:rPr>
          <w:iCs/>
        </w:rPr>
        <w:t xml:space="preserve">, </w:t>
      </w:r>
      <w:r w:rsidR="00166F5D" w:rsidRPr="00452EE2">
        <w:rPr>
          <w:i/>
        </w:rPr>
        <w:t>Guía de Capacitación para los agentes promotores de las Operadoras de Pensiones, la cual será utilizada por las operadoras de pensiones para su capacitación y las evaluaciones que con posterioridad realice la Superintendencia de Pensiones.</w:t>
      </w:r>
    </w:p>
    <w:p w14:paraId="0763E20B" w14:textId="77777777" w:rsidR="00E80121" w:rsidRDefault="00E80121" w:rsidP="00E80121">
      <w:pPr>
        <w:pStyle w:val="Prrafodelista"/>
        <w:spacing w:line="276" w:lineRule="auto"/>
        <w:jc w:val="both"/>
        <w:rPr>
          <w:iCs/>
        </w:rPr>
      </w:pPr>
    </w:p>
    <w:p w14:paraId="252A8E74" w14:textId="78DFE4E9" w:rsidR="00166F5D" w:rsidRPr="00A36D55" w:rsidRDefault="00AC1639" w:rsidP="00AC1639">
      <w:pPr>
        <w:pStyle w:val="Prrafodelista"/>
        <w:numPr>
          <w:ilvl w:val="0"/>
          <w:numId w:val="15"/>
        </w:numPr>
        <w:spacing w:line="276" w:lineRule="auto"/>
        <w:jc w:val="both"/>
        <w:rPr>
          <w:i/>
        </w:rPr>
      </w:pPr>
      <w:r w:rsidRPr="007C31CF">
        <w:rPr>
          <w:b/>
          <w:bCs/>
          <w:iCs/>
        </w:rPr>
        <w:t>SP-A-241-2021</w:t>
      </w:r>
      <w:r>
        <w:rPr>
          <w:iCs/>
        </w:rPr>
        <w:t xml:space="preserve"> de </w:t>
      </w:r>
      <w:r w:rsidRPr="00AC1639">
        <w:rPr>
          <w:iCs/>
        </w:rPr>
        <w:t xml:space="preserve">las quince horas del día veinticinco de marzo del </w:t>
      </w:r>
      <w:r w:rsidR="00A36D55">
        <w:rPr>
          <w:iCs/>
        </w:rPr>
        <w:t>2021</w:t>
      </w:r>
      <w:r w:rsidR="00740FCF">
        <w:rPr>
          <w:iCs/>
        </w:rPr>
        <w:t xml:space="preserve">, </w:t>
      </w:r>
      <w:r w:rsidR="00CA7D75" w:rsidRPr="00A36D55">
        <w:rPr>
          <w:i/>
        </w:rPr>
        <w:t>Contenido mínimo de los planes y contratos</w:t>
      </w:r>
      <w:r w:rsidR="000C281E" w:rsidRPr="00A36D55">
        <w:rPr>
          <w:i/>
        </w:rPr>
        <w:t xml:space="preserve"> del Régimen Obligatorio y Voluntario de Pensiones Complementarias.</w:t>
      </w:r>
    </w:p>
    <w:p w14:paraId="73780812" w14:textId="77777777" w:rsidR="00E80121" w:rsidRPr="00E80121" w:rsidRDefault="00E80121" w:rsidP="00E80121">
      <w:pPr>
        <w:spacing w:line="276" w:lineRule="auto"/>
        <w:jc w:val="both"/>
        <w:rPr>
          <w:iCs/>
        </w:rPr>
      </w:pPr>
    </w:p>
    <w:p w14:paraId="76910B7A" w14:textId="4F06C7F5" w:rsidR="000C281E" w:rsidRDefault="00973A2F" w:rsidP="00973A2F">
      <w:pPr>
        <w:pStyle w:val="Prrafodelista"/>
        <w:numPr>
          <w:ilvl w:val="0"/>
          <w:numId w:val="15"/>
        </w:numPr>
        <w:spacing w:line="276" w:lineRule="auto"/>
        <w:jc w:val="both"/>
        <w:rPr>
          <w:iCs/>
        </w:rPr>
      </w:pPr>
      <w:r w:rsidRPr="007C31CF">
        <w:rPr>
          <w:b/>
          <w:bCs/>
          <w:iCs/>
        </w:rPr>
        <w:t>SP-A-242-2021</w:t>
      </w:r>
      <w:r>
        <w:rPr>
          <w:iCs/>
        </w:rPr>
        <w:t xml:space="preserve"> de </w:t>
      </w:r>
      <w:r w:rsidRPr="00973A2F">
        <w:rPr>
          <w:iCs/>
        </w:rPr>
        <w:t xml:space="preserve">las quince horas del día veinticinco de marzo del </w:t>
      </w:r>
      <w:r w:rsidR="00A36D55">
        <w:rPr>
          <w:iCs/>
        </w:rPr>
        <w:t>2021</w:t>
      </w:r>
      <w:r w:rsidR="00740FCF">
        <w:rPr>
          <w:iCs/>
        </w:rPr>
        <w:t xml:space="preserve">, </w:t>
      </w:r>
      <w:r w:rsidR="008F654E" w:rsidRPr="00A36D55">
        <w:rPr>
          <w:i/>
        </w:rPr>
        <w:t>Evaluación y acreditación de los agentes promotores.</w:t>
      </w:r>
    </w:p>
    <w:p w14:paraId="2349497A" w14:textId="77777777" w:rsidR="00E80121" w:rsidRPr="00E80121" w:rsidRDefault="00E80121" w:rsidP="00E80121">
      <w:pPr>
        <w:spacing w:line="276" w:lineRule="auto"/>
        <w:jc w:val="both"/>
        <w:rPr>
          <w:iCs/>
        </w:rPr>
      </w:pPr>
    </w:p>
    <w:p w14:paraId="32B1E37E" w14:textId="1C8EAE36" w:rsidR="008F654E" w:rsidRPr="00A36D55" w:rsidRDefault="00FE500F" w:rsidP="00FE500F">
      <w:pPr>
        <w:pStyle w:val="Prrafodelista"/>
        <w:numPr>
          <w:ilvl w:val="0"/>
          <w:numId w:val="15"/>
        </w:numPr>
        <w:spacing w:line="276" w:lineRule="auto"/>
        <w:jc w:val="both"/>
        <w:rPr>
          <w:i/>
        </w:rPr>
      </w:pPr>
      <w:r w:rsidRPr="007C31CF">
        <w:rPr>
          <w:b/>
          <w:bCs/>
          <w:iCs/>
        </w:rPr>
        <w:t>SP-A-243-2021</w:t>
      </w:r>
      <w:r>
        <w:rPr>
          <w:iCs/>
        </w:rPr>
        <w:t xml:space="preserve"> de </w:t>
      </w:r>
      <w:r w:rsidRPr="00FE500F">
        <w:rPr>
          <w:iCs/>
        </w:rPr>
        <w:t xml:space="preserve">las quince horas del día dieciocho de mayo del </w:t>
      </w:r>
      <w:r w:rsidR="00A36D55">
        <w:rPr>
          <w:iCs/>
        </w:rPr>
        <w:t>2021</w:t>
      </w:r>
      <w:r w:rsidR="00740FCF">
        <w:rPr>
          <w:iCs/>
        </w:rPr>
        <w:t xml:space="preserve">, </w:t>
      </w:r>
      <w:r w:rsidR="004C1806" w:rsidRPr="00A36D55">
        <w:rPr>
          <w:i/>
        </w:rPr>
        <w:t>Disposiciones sobre el envío de estados de cuenta y su contenido mínimo.</w:t>
      </w:r>
    </w:p>
    <w:p w14:paraId="7A1EBBF8" w14:textId="77777777" w:rsidR="00E80121" w:rsidRPr="00E80121" w:rsidRDefault="00E80121" w:rsidP="00E80121">
      <w:pPr>
        <w:spacing w:line="276" w:lineRule="auto"/>
        <w:jc w:val="both"/>
        <w:rPr>
          <w:iCs/>
        </w:rPr>
      </w:pPr>
    </w:p>
    <w:p w14:paraId="3CFAE7A0" w14:textId="53254821" w:rsidR="004C1806" w:rsidRPr="00A36D55" w:rsidRDefault="00392776" w:rsidP="00392776">
      <w:pPr>
        <w:pStyle w:val="Prrafodelista"/>
        <w:numPr>
          <w:ilvl w:val="0"/>
          <w:numId w:val="15"/>
        </w:numPr>
        <w:spacing w:line="276" w:lineRule="auto"/>
        <w:jc w:val="both"/>
        <w:rPr>
          <w:i/>
        </w:rPr>
      </w:pPr>
      <w:r w:rsidRPr="007C31CF">
        <w:rPr>
          <w:b/>
          <w:bCs/>
          <w:iCs/>
        </w:rPr>
        <w:t>SP-A-244-2021</w:t>
      </w:r>
      <w:r>
        <w:rPr>
          <w:iCs/>
        </w:rPr>
        <w:t xml:space="preserve"> de </w:t>
      </w:r>
      <w:r w:rsidRPr="00392776">
        <w:rPr>
          <w:iCs/>
        </w:rPr>
        <w:t xml:space="preserve">las quince horas del día veintiocho de mayo del año </w:t>
      </w:r>
      <w:r w:rsidR="00A36D55">
        <w:rPr>
          <w:iCs/>
        </w:rPr>
        <w:t>2021</w:t>
      </w:r>
      <w:r w:rsidR="00740FCF">
        <w:rPr>
          <w:iCs/>
        </w:rPr>
        <w:t xml:space="preserve">, </w:t>
      </w:r>
      <w:r w:rsidR="00740FCF" w:rsidRPr="00A36D55">
        <w:rPr>
          <w:i/>
        </w:rPr>
        <w:t>S</w:t>
      </w:r>
      <w:r w:rsidR="009914BE" w:rsidRPr="00A36D55">
        <w:rPr>
          <w:i/>
        </w:rPr>
        <w:t>e exime al Fondo de Garantías y Jubilaciones de la Refinadora Costarricense de Petróleo (RECOPE) de la aplicación de disposiciones reglamentarias.</w:t>
      </w:r>
    </w:p>
    <w:p w14:paraId="011EF3DC" w14:textId="77777777" w:rsidR="00E80121" w:rsidRPr="00E80121" w:rsidRDefault="00E80121" w:rsidP="00E80121">
      <w:pPr>
        <w:spacing w:line="276" w:lineRule="auto"/>
        <w:jc w:val="both"/>
        <w:rPr>
          <w:iCs/>
        </w:rPr>
      </w:pPr>
    </w:p>
    <w:p w14:paraId="5C34068B" w14:textId="12E59DD1" w:rsidR="00E74F5B" w:rsidRDefault="00B34A63" w:rsidP="00E74F5B">
      <w:pPr>
        <w:pStyle w:val="Prrafodelista"/>
        <w:numPr>
          <w:ilvl w:val="0"/>
          <w:numId w:val="15"/>
        </w:numPr>
        <w:spacing w:line="276" w:lineRule="auto"/>
        <w:jc w:val="both"/>
        <w:rPr>
          <w:iCs/>
        </w:rPr>
      </w:pPr>
      <w:r w:rsidRPr="007C31CF">
        <w:rPr>
          <w:b/>
          <w:bCs/>
          <w:iCs/>
        </w:rPr>
        <w:t>SP-A-246-2021</w:t>
      </w:r>
      <w:r>
        <w:rPr>
          <w:iCs/>
        </w:rPr>
        <w:t xml:space="preserve"> de </w:t>
      </w:r>
      <w:r w:rsidRPr="00B34A63">
        <w:rPr>
          <w:iCs/>
        </w:rPr>
        <w:t xml:space="preserve">las quince horas del día veintinueve de junio del </w:t>
      </w:r>
      <w:r w:rsidR="00A36D55">
        <w:rPr>
          <w:iCs/>
        </w:rPr>
        <w:t>2021</w:t>
      </w:r>
      <w:r w:rsidR="00740FCF">
        <w:rPr>
          <w:iCs/>
        </w:rPr>
        <w:t>,</w:t>
      </w:r>
      <w:r w:rsidR="005B7AEF" w:rsidRPr="005B7AEF">
        <w:t xml:space="preserve"> </w:t>
      </w:r>
      <w:r w:rsidR="005B7AEF" w:rsidRPr="0000509E">
        <w:rPr>
          <w:i/>
        </w:rPr>
        <w:t>Se exime al Fondo de Pensiones y Jubilaciones para los miembros del Benemérito Cuerpo de Bomberos de la aplicación del artículo 8 del Reglamento Actuarial</w:t>
      </w:r>
      <w:r w:rsidR="005B7AEF" w:rsidRPr="005B7AEF">
        <w:rPr>
          <w:iCs/>
        </w:rPr>
        <w:t>, en cuanto establece la obligatoriedad de realizar una valuación actuarial del fondo cada año para que, en su lugar, se realice cada tres años, la primera con corte al año 2023 y, la segunda con corte al 2026, y así sucesivamente.</w:t>
      </w:r>
    </w:p>
    <w:p w14:paraId="285FA77F" w14:textId="77777777" w:rsidR="00E74F5B" w:rsidRPr="00740FCF" w:rsidRDefault="00E74F5B" w:rsidP="00740FCF">
      <w:pPr>
        <w:spacing w:line="276" w:lineRule="auto"/>
        <w:jc w:val="both"/>
        <w:rPr>
          <w:iCs/>
        </w:rPr>
      </w:pPr>
    </w:p>
    <w:p w14:paraId="55CE2D54" w14:textId="64BEAAD3" w:rsidR="006C7D0E" w:rsidRDefault="006C7D0E" w:rsidP="006C7D0E">
      <w:pPr>
        <w:pStyle w:val="Prrafodelista"/>
        <w:numPr>
          <w:ilvl w:val="0"/>
          <w:numId w:val="15"/>
        </w:numPr>
        <w:spacing w:line="276" w:lineRule="auto"/>
        <w:jc w:val="both"/>
        <w:rPr>
          <w:iCs/>
        </w:rPr>
      </w:pPr>
      <w:r w:rsidRPr="007C31CF">
        <w:rPr>
          <w:b/>
          <w:bCs/>
          <w:iCs/>
        </w:rPr>
        <w:t>SP-A-250-2022</w:t>
      </w:r>
      <w:r w:rsidRPr="006C7D0E">
        <w:rPr>
          <w:iCs/>
        </w:rPr>
        <w:t xml:space="preserve"> de las quince horas del día ocho de febrero del año </w:t>
      </w:r>
      <w:r w:rsidR="0000509E">
        <w:rPr>
          <w:iCs/>
        </w:rPr>
        <w:t>2022</w:t>
      </w:r>
      <w:r w:rsidRPr="006C7D0E">
        <w:rPr>
          <w:iCs/>
        </w:rPr>
        <w:t>.</w:t>
      </w:r>
      <w:r>
        <w:rPr>
          <w:iCs/>
        </w:rPr>
        <w:t xml:space="preserve"> S</w:t>
      </w:r>
      <w:r w:rsidRPr="006C7D0E">
        <w:rPr>
          <w:iCs/>
        </w:rPr>
        <w:t>e reform</w:t>
      </w:r>
      <w:r w:rsidR="00045290">
        <w:rPr>
          <w:iCs/>
        </w:rPr>
        <w:t>ó</w:t>
      </w:r>
      <w:r w:rsidRPr="006C7D0E">
        <w:rPr>
          <w:iCs/>
        </w:rPr>
        <w:t xml:space="preserve"> el acuerdo SP-A-211 de las once horas del nueve de setiembre de 2019, confección, envío y publicación de la información requerida a las entidades supervisadas</w:t>
      </w:r>
      <w:r>
        <w:rPr>
          <w:iCs/>
        </w:rPr>
        <w:t>.</w:t>
      </w:r>
    </w:p>
    <w:p w14:paraId="56E068F7" w14:textId="77777777" w:rsidR="00E74F5B" w:rsidRDefault="00E74F5B" w:rsidP="00E74F5B">
      <w:pPr>
        <w:pStyle w:val="Prrafodelista"/>
        <w:spacing w:line="276" w:lineRule="auto"/>
        <w:jc w:val="both"/>
        <w:rPr>
          <w:iCs/>
        </w:rPr>
      </w:pPr>
    </w:p>
    <w:p w14:paraId="146AD278" w14:textId="4DC619E5" w:rsidR="001772ED" w:rsidRDefault="001772ED" w:rsidP="001772ED">
      <w:pPr>
        <w:pStyle w:val="Prrafodelista"/>
        <w:numPr>
          <w:ilvl w:val="0"/>
          <w:numId w:val="15"/>
        </w:numPr>
        <w:spacing w:line="276" w:lineRule="auto"/>
        <w:jc w:val="both"/>
        <w:rPr>
          <w:iCs/>
        </w:rPr>
      </w:pPr>
      <w:r w:rsidRPr="007C31CF">
        <w:rPr>
          <w:b/>
          <w:bCs/>
          <w:iCs/>
        </w:rPr>
        <w:t>SP-A-252-2022</w:t>
      </w:r>
      <w:r w:rsidRPr="001772ED">
        <w:rPr>
          <w:iCs/>
        </w:rPr>
        <w:t xml:space="preserve"> de las quince horas del día tres de marzo del año </w:t>
      </w:r>
      <w:r w:rsidR="003A5DB1">
        <w:rPr>
          <w:iCs/>
        </w:rPr>
        <w:t>2022</w:t>
      </w:r>
      <w:r w:rsidR="00045290">
        <w:rPr>
          <w:iCs/>
        </w:rPr>
        <w:t>,</w:t>
      </w:r>
      <w:r>
        <w:rPr>
          <w:iCs/>
        </w:rPr>
        <w:t xml:space="preserve"> </w:t>
      </w:r>
      <w:r w:rsidRPr="003A5DB1">
        <w:rPr>
          <w:i/>
        </w:rPr>
        <w:t xml:space="preserve">Disposiciones relativas a la planificación de las compras y ventas de dólares por parte de las entidades reguladas y deberes de información a la </w:t>
      </w:r>
      <w:r w:rsidR="003A5DB1">
        <w:rPr>
          <w:i/>
        </w:rPr>
        <w:t>S</w:t>
      </w:r>
      <w:r w:rsidRPr="003A5DB1">
        <w:rPr>
          <w:i/>
        </w:rPr>
        <w:t xml:space="preserve">uperintendencia de </w:t>
      </w:r>
      <w:r w:rsidR="003A5DB1">
        <w:rPr>
          <w:i/>
        </w:rPr>
        <w:t>P</w:t>
      </w:r>
      <w:r w:rsidRPr="003A5DB1">
        <w:rPr>
          <w:i/>
        </w:rPr>
        <w:t>ensiones.</w:t>
      </w:r>
    </w:p>
    <w:p w14:paraId="1DD439E1" w14:textId="77777777" w:rsidR="00E74F5B" w:rsidRPr="00E74F5B" w:rsidRDefault="00E74F5B" w:rsidP="00E74F5B">
      <w:pPr>
        <w:spacing w:line="276" w:lineRule="auto"/>
        <w:jc w:val="both"/>
        <w:rPr>
          <w:iCs/>
        </w:rPr>
      </w:pPr>
    </w:p>
    <w:p w14:paraId="45DF9DE7" w14:textId="72BCAA9D" w:rsidR="00C67AFA" w:rsidRDefault="00C67AFA" w:rsidP="00D81902">
      <w:pPr>
        <w:pStyle w:val="Prrafodelista"/>
        <w:numPr>
          <w:ilvl w:val="0"/>
          <w:numId w:val="15"/>
        </w:numPr>
        <w:spacing w:line="276" w:lineRule="auto"/>
        <w:jc w:val="both"/>
        <w:rPr>
          <w:iCs/>
        </w:rPr>
      </w:pPr>
      <w:r w:rsidRPr="007C31CF">
        <w:rPr>
          <w:b/>
          <w:bCs/>
          <w:iCs/>
        </w:rPr>
        <w:t>SP-A-255-2022</w:t>
      </w:r>
      <w:r w:rsidRPr="00D81902">
        <w:rPr>
          <w:iCs/>
        </w:rPr>
        <w:t xml:space="preserve"> de </w:t>
      </w:r>
      <w:r w:rsidRPr="00C67AFA">
        <w:rPr>
          <w:iCs/>
        </w:rPr>
        <w:t>las quince horas del día dos de setiembre de 2022.</w:t>
      </w:r>
      <w:r w:rsidR="00D81902">
        <w:rPr>
          <w:iCs/>
        </w:rPr>
        <w:t xml:space="preserve"> Modifica los recálculos de las Rentas Permanentes.</w:t>
      </w:r>
    </w:p>
    <w:p w14:paraId="4AEA35AE" w14:textId="77777777" w:rsidR="00E74F5B" w:rsidRPr="00E74F5B" w:rsidRDefault="00E74F5B" w:rsidP="00E74F5B">
      <w:pPr>
        <w:spacing w:line="276" w:lineRule="auto"/>
        <w:jc w:val="both"/>
        <w:rPr>
          <w:iCs/>
        </w:rPr>
      </w:pPr>
    </w:p>
    <w:p w14:paraId="418E4B33" w14:textId="21DC57D0" w:rsidR="00B75C0F" w:rsidRDefault="0047276C" w:rsidP="00C00378">
      <w:pPr>
        <w:pStyle w:val="Prrafodelista"/>
        <w:numPr>
          <w:ilvl w:val="0"/>
          <w:numId w:val="15"/>
        </w:numPr>
        <w:spacing w:line="276" w:lineRule="auto"/>
        <w:jc w:val="both"/>
        <w:rPr>
          <w:iCs/>
        </w:rPr>
      </w:pPr>
      <w:r w:rsidRPr="007C31CF">
        <w:rPr>
          <w:b/>
          <w:bCs/>
          <w:iCs/>
        </w:rPr>
        <w:t>SP-A-256-2022</w:t>
      </w:r>
      <w:r>
        <w:rPr>
          <w:iCs/>
        </w:rPr>
        <w:t xml:space="preserve"> de </w:t>
      </w:r>
      <w:r w:rsidRPr="0047276C">
        <w:rPr>
          <w:iCs/>
        </w:rPr>
        <w:t>las quince horas del día diecisiete de noviembre de 2022.</w:t>
      </w:r>
      <w:r w:rsidR="00374055">
        <w:rPr>
          <w:iCs/>
        </w:rPr>
        <w:t xml:space="preserve"> </w:t>
      </w:r>
      <w:r w:rsidR="00374055" w:rsidRPr="00AC5C82">
        <w:rPr>
          <w:i/>
        </w:rPr>
        <w:t>Traslados de recursos al Régimen no contributivo de pensiones administrado por la CCSS.</w:t>
      </w:r>
      <w:r w:rsidR="00374055">
        <w:rPr>
          <w:iCs/>
        </w:rPr>
        <w:t xml:space="preserve"> </w:t>
      </w:r>
      <w:r w:rsidR="00C00378">
        <w:rPr>
          <w:iCs/>
        </w:rPr>
        <w:t xml:space="preserve"> Derog</w:t>
      </w:r>
      <w:r w:rsidR="00AC5C82">
        <w:rPr>
          <w:iCs/>
        </w:rPr>
        <w:t>ó</w:t>
      </w:r>
      <w:r w:rsidR="00C00378">
        <w:rPr>
          <w:iCs/>
        </w:rPr>
        <w:t xml:space="preserve"> el </w:t>
      </w:r>
      <w:r w:rsidR="00C00378" w:rsidRPr="00C00378">
        <w:rPr>
          <w:iCs/>
        </w:rPr>
        <w:t xml:space="preserve">acuerdo SP-A-137-2010, de las quince horas del día veintidós de marzo de dos mil diez, denominado </w:t>
      </w:r>
      <w:r w:rsidR="00C00378" w:rsidRPr="00AC5C82">
        <w:rPr>
          <w:i/>
        </w:rPr>
        <w:t>Plazo y forma de los traslados de recursos de la cuenta individual de los afiliados al Régimen de Capitalización Individual</w:t>
      </w:r>
      <w:r w:rsidR="00C00378" w:rsidRPr="00C00378">
        <w:rPr>
          <w:iCs/>
        </w:rPr>
        <w:t xml:space="preserve">, en la </w:t>
      </w:r>
      <w:r w:rsidR="00C00378" w:rsidRPr="00AC5C82">
        <w:rPr>
          <w:i/>
        </w:rPr>
        <w:t>Sección II: Plazos y forma de traslado</w:t>
      </w:r>
      <w:r w:rsidR="00C00378" w:rsidRPr="00C00378">
        <w:rPr>
          <w:iCs/>
        </w:rPr>
        <w:t xml:space="preserve">, el tipo de movimiento denominado “TRAS 16”, cuya descripción es </w:t>
      </w:r>
      <w:r w:rsidR="00C00378" w:rsidRPr="00AC5C82">
        <w:rPr>
          <w:i/>
        </w:rPr>
        <w:t>“El traslado de recursos producto de la licitación y adjudicación de la administración de los registros erróneos.”</w:t>
      </w:r>
      <w:r w:rsidR="00010E6E">
        <w:rPr>
          <w:iCs/>
        </w:rPr>
        <w:t xml:space="preserve"> y </w:t>
      </w:r>
      <w:r w:rsidR="00C00378" w:rsidRPr="00C00378">
        <w:rPr>
          <w:iCs/>
        </w:rPr>
        <w:t xml:space="preserve">el </w:t>
      </w:r>
      <w:r w:rsidR="00B3231D">
        <w:rPr>
          <w:iCs/>
        </w:rPr>
        <w:t>A</w:t>
      </w:r>
      <w:r w:rsidR="00C00378" w:rsidRPr="00C00378">
        <w:rPr>
          <w:iCs/>
        </w:rPr>
        <w:t>cuerdo SP-A-233-2020 de las dieciséis horas del día primero de diciembre de 2020, relativo a las disposiciones que regulan las condiciones del concurso y la administración de los recursos erróneos.</w:t>
      </w:r>
    </w:p>
    <w:p w14:paraId="54ACF3A1" w14:textId="77777777" w:rsidR="00E74F5B" w:rsidRPr="00E74F5B" w:rsidRDefault="00E74F5B" w:rsidP="00E74F5B">
      <w:pPr>
        <w:spacing w:line="276" w:lineRule="auto"/>
        <w:jc w:val="both"/>
        <w:rPr>
          <w:iCs/>
        </w:rPr>
      </w:pPr>
    </w:p>
    <w:p w14:paraId="699E2C3B" w14:textId="6872561B" w:rsidR="008526F7" w:rsidRDefault="008526F7" w:rsidP="008526F7">
      <w:pPr>
        <w:pStyle w:val="Prrafodelista"/>
        <w:numPr>
          <w:ilvl w:val="0"/>
          <w:numId w:val="15"/>
        </w:numPr>
        <w:spacing w:line="276" w:lineRule="auto"/>
        <w:jc w:val="both"/>
        <w:rPr>
          <w:iCs/>
        </w:rPr>
      </w:pPr>
      <w:r w:rsidRPr="007C31CF">
        <w:rPr>
          <w:b/>
          <w:bCs/>
          <w:iCs/>
        </w:rPr>
        <w:t>SP-A-257-2022</w:t>
      </w:r>
      <w:r w:rsidRPr="008526F7">
        <w:t xml:space="preserve"> </w:t>
      </w:r>
      <w:r>
        <w:t xml:space="preserve">de </w:t>
      </w:r>
      <w:r w:rsidRPr="008526F7">
        <w:rPr>
          <w:iCs/>
        </w:rPr>
        <w:t>las quince horas del día 27 de octubre de 2022</w:t>
      </w:r>
      <w:r>
        <w:rPr>
          <w:iCs/>
        </w:rPr>
        <w:t>.</w:t>
      </w:r>
      <w:r w:rsidR="00465294">
        <w:rPr>
          <w:iCs/>
        </w:rPr>
        <w:t xml:space="preserve"> Reforma del SP-A-141 </w:t>
      </w:r>
      <w:r w:rsidR="008E48D0">
        <w:rPr>
          <w:iCs/>
        </w:rPr>
        <w:t xml:space="preserve">en </w:t>
      </w:r>
      <w:r w:rsidR="00465294">
        <w:rPr>
          <w:iCs/>
        </w:rPr>
        <w:t xml:space="preserve">lo relativo a la tasa técnica </w:t>
      </w:r>
      <w:r w:rsidR="005F43F0">
        <w:rPr>
          <w:iCs/>
        </w:rPr>
        <w:t>para calcular los retiros programados.</w:t>
      </w:r>
    </w:p>
    <w:p w14:paraId="3BDBD2CB" w14:textId="77777777" w:rsidR="00E74F5B" w:rsidRPr="00E74F5B" w:rsidRDefault="00E74F5B" w:rsidP="00E74F5B">
      <w:pPr>
        <w:spacing w:line="276" w:lineRule="auto"/>
        <w:jc w:val="both"/>
        <w:rPr>
          <w:iCs/>
        </w:rPr>
      </w:pPr>
    </w:p>
    <w:p w14:paraId="7E924F2A" w14:textId="6998C384" w:rsidR="000D1703" w:rsidRDefault="000D1703" w:rsidP="000D1703">
      <w:pPr>
        <w:pStyle w:val="Prrafodelista"/>
        <w:numPr>
          <w:ilvl w:val="0"/>
          <w:numId w:val="15"/>
        </w:numPr>
        <w:spacing w:line="276" w:lineRule="auto"/>
        <w:jc w:val="both"/>
        <w:rPr>
          <w:iCs/>
        </w:rPr>
      </w:pPr>
      <w:r w:rsidRPr="007C31CF">
        <w:rPr>
          <w:b/>
          <w:bCs/>
          <w:iCs/>
        </w:rPr>
        <w:t>SP-A-258-2022</w:t>
      </w:r>
      <w:r w:rsidRPr="000D1703">
        <w:t xml:space="preserve"> </w:t>
      </w:r>
      <w:r>
        <w:t xml:space="preserve">de </w:t>
      </w:r>
      <w:r w:rsidRPr="000D1703">
        <w:rPr>
          <w:iCs/>
        </w:rPr>
        <w:t>las quince horas del día diecisiete de noviembre de 2022.</w:t>
      </w:r>
      <w:r>
        <w:rPr>
          <w:iCs/>
        </w:rPr>
        <w:t xml:space="preserve"> Reforma el acuerdo </w:t>
      </w:r>
      <w:r w:rsidR="00EB02C6" w:rsidRPr="000D1703">
        <w:rPr>
          <w:iCs/>
        </w:rPr>
        <w:t xml:space="preserve">SP-A-194-2018 de las diez horas del tres de enero de dos mil dieciocho, </w:t>
      </w:r>
      <w:r w:rsidR="00EB02C6" w:rsidRPr="008E48D0">
        <w:rPr>
          <w:i/>
        </w:rPr>
        <w:t>Portal SUPEN Directo. Registro y actualización de roles</w:t>
      </w:r>
      <w:r w:rsidR="00EB02C6">
        <w:rPr>
          <w:iCs/>
        </w:rPr>
        <w:t>.</w:t>
      </w:r>
    </w:p>
    <w:p w14:paraId="249191E5" w14:textId="77777777" w:rsidR="00E74F5B" w:rsidRPr="00E74F5B" w:rsidRDefault="00E74F5B" w:rsidP="00E74F5B">
      <w:pPr>
        <w:spacing w:line="276" w:lineRule="auto"/>
        <w:jc w:val="both"/>
        <w:rPr>
          <w:iCs/>
        </w:rPr>
      </w:pPr>
    </w:p>
    <w:p w14:paraId="4A238EBA" w14:textId="2090457A" w:rsidR="00E74F5B" w:rsidRDefault="0069385F" w:rsidP="00E74F5B">
      <w:pPr>
        <w:pStyle w:val="Prrafodelista"/>
        <w:numPr>
          <w:ilvl w:val="0"/>
          <w:numId w:val="15"/>
        </w:numPr>
        <w:spacing w:line="276" w:lineRule="auto"/>
        <w:jc w:val="both"/>
        <w:rPr>
          <w:iCs/>
        </w:rPr>
      </w:pPr>
      <w:r w:rsidRPr="007C31CF">
        <w:rPr>
          <w:b/>
          <w:bCs/>
          <w:iCs/>
        </w:rPr>
        <w:t>SP-A-259-2023</w:t>
      </w:r>
      <w:r w:rsidRPr="00271620">
        <w:rPr>
          <w:iCs/>
        </w:rPr>
        <w:t xml:space="preserve"> de las doce horas del día 06 de enero de 2023.</w:t>
      </w:r>
      <w:r w:rsidR="00271620" w:rsidRPr="00271620">
        <w:rPr>
          <w:iCs/>
        </w:rPr>
        <w:t xml:space="preserve"> Reforma el SP-A-241 para </w:t>
      </w:r>
      <w:r w:rsidR="001C7D11" w:rsidRPr="00271620">
        <w:rPr>
          <w:iCs/>
        </w:rPr>
        <w:t>establecer los</w:t>
      </w:r>
      <w:r w:rsidR="00271620">
        <w:rPr>
          <w:iCs/>
        </w:rPr>
        <w:t xml:space="preserve"> r</w:t>
      </w:r>
      <w:r w:rsidR="00271620" w:rsidRPr="00271620">
        <w:rPr>
          <w:iCs/>
        </w:rPr>
        <w:t>equisitos adicionales a los planes individuales y colectivos del Régimen Voluntario de Pensiones Complementarias que amparen varios fondos.</w:t>
      </w:r>
    </w:p>
    <w:p w14:paraId="7AC145E4" w14:textId="77777777" w:rsidR="00E74F5B" w:rsidRPr="00045290" w:rsidRDefault="00E74F5B" w:rsidP="00045290">
      <w:pPr>
        <w:spacing w:line="276" w:lineRule="auto"/>
        <w:jc w:val="both"/>
        <w:rPr>
          <w:iCs/>
        </w:rPr>
      </w:pPr>
    </w:p>
    <w:p w14:paraId="6FF2EA73" w14:textId="2F260088" w:rsidR="00A11C32" w:rsidRDefault="00A11C32" w:rsidP="00A11C32">
      <w:pPr>
        <w:pStyle w:val="Prrafodelista"/>
        <w:numPr>
          <w:ilvl w:val="0"/>
          <w:numId w:val="15"/>
        </w:numPr>
        <w:spacing w:line="276" w:lineRule="auto"/>
        <w:jc w:val="both"/>
        <w:rPr>
          <w:iCs/>
        </w:rPr>
      </w:pPr>
      <w:r w:rsidRPr="007C31CF">
        <w:rPr>
          <w:b/>
          <w:bCs/>
          <w:iCs/>
        </w:rPr>
        <w:t>SP-A-260-2023</w:t>
      </w:r>
      <w:r w:rsidRPr="00A11C32">
        <w:t xml:space="preserve"> </w:t>
      </w:r>
      <w:r>
        <w:t xml:space="preserve">de </w:t>
      </w:r>
      <w:r w:rsidRPr="00A11C32">
        <w:rPr>
          <w:iCs/>
        </w:rPr>
        <w:t>las quince horas del ocho de febrero de</w:t>
      </w:r>
      <w:r w:rsidR="008E48D0">
        <w:rPr>
          <w:iCs/>
        </w:rPr>
        <w:t>l 2023,</w:t>
      </w:r>
      <w:r>
        <w:rPr>
          <w:iCs/>
        </w:rPr>
        <w:t xml:space="preserve"> </w:t>
      </w:r>
      <w:r w:rsidRPr="008E48D0">
        <w:rPr>
          <w:i/>
        </w:rPr>
        <w:t xml:space="preserve">Disposiciones que deberán cumplir las entidades reguladas para acreditar el cumplimiento de las condiciones exigidas por el artículo 62 de la </w:t>
      </w:r>
      <w:r w:rsidR="000D2CC5" w:rsidRPr="008E48D0">
        <w:rPr>
          <w:i/>
        </w:rPr>
        <w:t>L</w:t>
      </w:r>
      <w:r w:rsidRPr="008E48D0">
        <w:rPr>
          <w:i/>
        </w:rPr>
        <w:t xml:space="preserve">ey de </w:t>
      </w:r>
      <w:r w:rsidR="000D2CC5" w:rsidRPr="008E48D0">
        <w:rPr>
          <w:i/>
        </w:rPr>
        <w:t>P</w:t>
      </w:r>
      <w:r w:rsidRPr="008E48D0">
        <w:rPr>
          <w:i/>
        </w:rPr>
        <w:t xml:space="preserve">rotección al </w:t>
      </w:r>
      <w:r w:rsidR="000D2CC5" w:rsidRPr="008E48D0">
        <w:rPr>
          <w:i/>
        </w:rPr>
        <w:t>T</w:t>
      </w:r>
      <w:r w:rsidRPr="008E48D0">
        <w:rPr>
          <w:i/>
        </w:rPr>
        <w:t>rabajador para invertir en valores de emisiones extranjeras por sobre el nivel de 25%.</w:t>
      </w:r>
    </w:p>
    <w:p w14:paraId="0EC09AD6" w14:textId="77777777" w:rsidR="00E74F5B" w:rsidRDefault="00E74F5B" w:rsidP="00E74F5B">
      <w:pPr>
        <w:pStyle w:val="Prrafodelista"/>
        <w:spacing w:line="276" w:lineRule="auto"/>
        <w:jc w:val="both"/>
        <w:rPr>
          <w:iCs/>
        </w:rPr>
      </w:pPr>
    </w:p>
    <w:p w14:paraId="75FE7C05" w14:textId="033A42E8" w:rsidR="00A11C32" w:rsidRDefault="00FF5BFE" w:rsidP="00FF5BFE">
      <w:pPr>
        <w:pStyle w:val="Prrafodelista"/>
        <w:numPr>
          <w:ilvl w:val="0"/>
          <w:numId w:val="15"/>
        </w:numPr>
        <w:spacing w:line="276" w:lineRule="auto"/>
        <w:jc w:val="both"/>
        <w:rPr>
          <w:iCs/>
        </w:rPr>
      </w:pPr>
      <w:r w:rsidRPr="007C31CF">
        <w:rPr>
          <w:b/>
          <w:bCs/>
          <w:iCs/>
        </w:rPr>
        <w:t>SP-A-264-2023</w:t>
      </w:r>
      <w:r>
        <w:rPr>
          <w:iCs/>
        </w:rPr>
        <w:t xml:space="preserve"> de </w:t>
      </w:r>
      <w:r w:rsidRPr="00FF5BFE">
        <w:rPr>
          <w:iCs/>
        </w:rPr>
        <w:t xml:space="preserve">las quince horas del día veintiséis de julio del </w:t>
      </w:r>
      <w:r w:rsidR="008E48D0">
        <w:rPr>
          <w:iCs/>
        </w:rPr>
        <w:t>2023</w:t>
      </w:r>
      <w:r w:rsidRPr="00FF5BFE">
        <w:rPr>
          <w:iCs/>
        </w:rPr>
        <w:t>.</w:t>
      </w:r>
      <w:r>
        <w:rPr>
          <w:iCs/>
        </w:rPr>
        <w:t xml:space="preserve"> Reforma las guías de evaluación de los agentes promotores.</w:t>
      </w:r>
    </w:p>
    <w:p w14:paraId="728F4187" w14:textId="77777777" w:rsidR="00E74F5B" w:rsidRPr="00E74F5B" w:rsidRDefault="00E74F5B" w:rsidP="00E74F5B">
      <w:pPr>
        <w:spacing w:line="276" w:lineRule="auto"/>
        <w:jc w:val="both"/>
        <w:rPr>
          <w:iCs/>
        </w:rPr>
      </w:pPr>
    </w:p>
    <w:p w14:paraId="78B485C8" w14:textId="27A4B0DA" w:rsidR="00A05D88" w:rsidRPr="00683E2D" w:rsidRDefault="00A05D88" w:rsidP="00A05D88">
      <w:pPr>
        <w:pStyle w:val="Prrafodelista"/>
        <w:numPr>
          <w:ilvl w:val="0"/>
          <w:numId w:val="15"/>
        </w:numPr>
        <w:spacing w:line="276" w:lineRule="auto"/>
        <w:jc w:val="both"/>
        <w:rPr>
          <w:i/>
        </w:rPr>
      </w:pPr>
      <w:r w:rsidRPr="007C31CF">
        <w:rPr>
          <w:b/>
          <w:bCs/>
          <w:iCs/>
        </w:rPr>
        <w:lastRenderedPageBreak/>
        <w:t>SP-A-265-2024</w:t>
      </w:r>
      <w:r w:rsidRPr="00A05D88">
        <w:t xml:space="preserve"> </w:t>
      </w:r>
      <w:r>
        <w:t xml:space="preserve">de </w:t>
      </w:r>
      <w:r w:rsidRPr="00A05D88">
        <w:rPr>
          <w:iCs/>
        </w:rPr>
        <w:t xml:space="preserve">las quince horas del día dos de enero del año </w:t>
      </w:r>
      <w:r w:rsidR="00683E2D">
        <w:rPr>
          <w:iCs/>
        </w:rPr>
        <w:t>2024,</w:t>
      </w:r>
      <w:r>
        <w:rPr>
          <w:iCs/>
        </w:rPr>
        <w:t xml:space="preserve"> </w:t>
      </w:r>
      <w:r w:rsidRPr="00683E2D">
        <w:rPr>
          <w:i/>
        </w:rPr>
        <w:t>Disposiciones relativas a la frecuencia de las Valuaciones y Auditorías Actuariales aplicables al Régimen Transitorio de Reparto del Magisterio Nacional</w:t>
      </w:r>
      <w:r w:rsidR="003542FA" w:rsidRPr="00683E2D">
        <w:rPr>
          <w:i/>
        </w:rPr>
        <w:t>.</w:t>
      </w:r>
    </w:p>
    <w:p w14:paraId="5FCB1990" w14:textId="77777777" w:rsidR="00E74F5B" w:rsidRPr="00E74F5B" w:rsidRDefault="00E74F5B" w:rsidP="00E74F5B">
      <w:pPr>
        <w:spacing w:line="276" w:lineRule="auto"/>
        <w:jc w:val="both"/>
        <w:rPr>
          <w:iCs/>
        </w:rPr>
      </w:pPr>
    </w:p>
    <w:p w14:paraId="76A617A0" w14:textId="39226665" w:rsidR="003542FA" w:rsidRDefault="003505FA" w:rsidP="003505FA">
      <w:pPr>
        <w:pStyle w:val="Prrafodelista"/>
        <w:numPr>
          <w:ilvl w:val="0"/>
          <w:numId w:val="15"/>
        </w:numPr>
        <w:spacing w:line="276" w:lineRule="auto"/>
        <w:jc w:val="both"/>
        <w:rPr>
          <w:iCs/>
        </w:rPr>
      </w:pPr>
      <w:r w:rsidRPr="007C31CF">
        <w:rPr>
          <w:b/>
          <w:bCs/>
          <w:iCs/>
        </w:rPr>
        <w:t>SP-A-266-2024</w:t>
      </w:r>
      <w:r>
        <w:rPr>
          <w:iCs/>
        </w:rPr>
        <w:t xml:space="preserve"> de </w:t>
      </w:r>
      <w:r w:rsidRPr="003505FA">
        <w:rPr>
          <w:iCs/>
        </w:rPr>
        <w:t>las quince horas del día quince de enero de 2024.</w:t>
      </w:r>
      <w:r>
        <w:rPr>
          <w:iCs/>
        </w:rPr>
        <w:t xml:space="preserve"> Reforma los acuerdos: </w:t>
      </w:r>
      <w:r w:rsidR="006E6917" w:rsidRPr="006E6917">
        <w:rPr>
          <w:iCs/>
        </w:rPr>
        <w:t>SP-A-243-2021 de las quince horas, del día dieciocho de mayo de 2001</w:t>
      </w:r>
      <w:r w:rsidR="006E6917">
        <w:rPr>
          <w:iCs/>
        </w:rPr>
        <w:t xml:space="preserve"> (estados de cuenta); </w:t>
      </w:r>
      <w:r w:rsidR="003D4759" w:rsidRPr="003D4759">
        <w:rPr>
          <w:iCs/>
        </w:rPr>
        <w:t xml:space="preserve">SP-A-223-2020 de las diez horas del día catorce de julio de 2020, </w:t>
      </w:r>
      <w:r w:rsidR="003D4759" w:rsidRPr="001F631C">
        <w:rPr>
          <w:i/>
        </w:rPr>
        <w:t>Disposiciones sobre el derecho de libre transferencia de los afiliados entre entidades autorizadas</w:t>
      </w:r>
      <w:r w:rsidR="003D4759">
        <w:rPr>
          <w:iCs/>
        </w:rPr>
        <w:t xml:space="preserve">; </w:t>
      </w:r>
      <w:r w:rsidR="00AD4EFA" w:rsidRPr="00AD4EFA">
        <w:rPr>
          <w:iCs/>
        </w:rPr>
        <w:t xml:space="preserve">SP-A-139-20101 de las once horas del treinta de abril de 2010, </w:t>
      </w:r>
      <w:r w:rsidR="00AD4EFA" w:rsidRPr="001F631C">
        <w:rPr>
          <w:i/>
        </w:rPr>
        <w:t>Acuerdo sobre lineamientos para la aprobación y divulgación de comisiones ordinarias de administración y bonificación de comisiones que pueden aplicar las entidades autorizadas</w:t>
      </w:r>
      <w:r w:rsidR="003426C3">
        <w:rPr>
          <w:iCs/>
        </w:rPr>
        <w:t xml:space="preserve">. Lo anterior como parte de la implementación de </w:t>
      </w:r>
      <w:r w:rsidR="008F6AC6">
        <w:rPr>
          <w:iCs/>
        </w:rPr>
        <w:t>los fondos generacionales en el Régimen Obligatorio de Pensiones Complementarias.</w:t>
      </w:r>
    </w:p>
    <w:p w14:paraId="77BEFC37" w14:textId="77777777" w:rsidR="00E74F5B" w:rsidRPr="00E74F5B" w:rsidRDefault="00E74F5B" w:rsidP="00E74F5B">
      <w:pPr>
        <w:spacing w:line="276" w:lineRule="auto"/>
        <w:jc w:val="both"/>
        <w:rPr>
          <w:iCs/>
        </w:rPr>
      </w:pPr>
    </w:p>
    <w:p w14:paraId="70184284" w14:textId="38E77CBE" w:rsidR="00B75488" w:rsidRDefault="00B75488" w:rsidP="00B75488">
      <w:pPr>
        <w:pStyle w:val="Prrafodelista"/>
        <w:numPr>
          <w:ilvl w:val="0"/>
          <w:numId w:val="15"/>
        </w:numPr>
        <w:spacing w:line="276" w:lineRule="auto"/>
        <w:jc w:val="both"/>
        <w:rPr>
          <w:iCs/>
        </w:rPr>
      </w:pPr>
      <w:r w:rsidRPr="007C31CF">
        <w:rPr>
          <w:b/>
          <w:bCs/>
          <w:iCs/>
        </w:rPr>
        <w:t>SP-A-268-2024</w:t>
      </w:r>
      <w:r w:rsidRPr="00B75488">
        <w:t xml:space="preserve"> </w:t>
      </w:r>
      <w:r>
        <w:t xml:space="preserve">de </w:t>
      </w:r>
      <w:r w:rsidRPr="00B75488">
        <w:rPr>
          <w:iCs/>
        </w:rPr>
        <w:t>las quince horas del día quince de enero de 2024</w:t>
      </w:r>
      <w:r w:rsidR="00047463">
        <w:rPr>
          <w:iCs/>
        </w:rPr>
        <w:t>,</w:t>
      </w:r>
      <w:r>
        <w:rPr>
          <w:iCs/>
        </w:rPr>
        <w:t xml:space="preserve"> </w:t>
      </w:r>
      <w:r w:rsidRPr="00047463">
        <w:rPr>
          <w:i/>
        </w:rPr>
        <w:t>Lineamientos operativos, disposiciones contables y ajustes al suministro de información a fin de implementar la administración del Régimen Obligatorio de Pensiones bajo el esquema de fondos generacionales.</w:t>
      </w:r>
    </w:p>
    <w:p w14:paraId="696F536F" w14:textId="77777777" w:rsidR="00E74F5B" w:rsidRPr="00E74F5B" w:rsidRDefault="00E74F5B" w:rsidP="00E74F5B">
      <w:pPr>
        <w:spacing w:line="276" w:lineRule="auto"/>
        <w:jc w:val="both"/>
        <w:rPr>
          <w:iCs/>
        </w:rPr>
      </w:pPr>
    </w:p>
    <w:p w14:paraId="0C649BAD" w14:textId="2801A092" w:rsidR="00B75488" w:rsidRPr="00047463" w:rsidRDefault="001300A6" w:rsidP="001300A6">
      <w:pPr>
        <w:pStyle w:val="Prrafodelista"/>
        <w:numPr>
          <w:ilvl w:val="0"/>
          <w:numId w:val="15"/>
        </w:numPr>
        <w:spacing w:line="276" w:lineRule="auto"/>
        <w:jc w:val="both"/>
        <w:rPr>
          <w:i/>
        </w:rPr>
      </w:pPr>
      <w:r w:rsidRPr="007C31CF">
        <w:rPr>
          <w:b/>
          <w:bCs/>
          <w:iCs/>
        </w:rPr>
        <w:t>SP-A-267-2024</w:t>
      </w:r>
      <w:r>
        <w:rPr>
          <w:iCs/>
        </w:rPr>
        <w:t xml:space="preserve"> de </w:t>
      </w:r>
      <w:r w:rsidRPr="001300A6">
        <w:rPr>
          <w:iCs/>
        </w:rPr>
        <w:t>las quince horas del día quince de enero de 2024</w:t>
      </w:r>
      <w:r w:rsidR="00047463">
        <w:rPr>
          <w:iCs/>
        </w:rPr>
        <w:t>,</w:t>
      </w:r>
      <w:r>
        <w:rPr>
          <w:iCs/>
        </w:rPr>
        <w:t xml:space="preserve"> </w:t>
      </w:r>
      <w:r w:rsidRPr="00047463">
        <w:rPr>
          <w:i/>
        </w:rPr>
        <w:t>Acuerdo que regula la trayectoria de inversiones en los fondos generacionales del Régimen Obligatorio de Pensiones Complementarias.</w:t>
      </w:r>
    </w:p>
    <w:p w14:paraId="1D81E643" w14:textId="3E467687" w:rsidR="003542FA" w:rsidRPr="00CC5A63" w:rsidRDefault="00CC5A63" w:rsidP="00CC5A63">
      <w:pPr>
        <w:tabs>
          <w:tab w:val="left" w:pos="5539"/>
        </w:tabs>
        <w:spacing w:line="276" w:lineRule="auto"/>
        <w:ind w:left="360"/>
        <w:jc w:val="both"/>
        <w:rPr>
          <w:rFonts w:asciiTheme="minorHAnsi" w:hAnsiTheme="minorHAnsi" w:cstheme="minorHAnsi"/>
          <w:iCs/>
        </w:rPr>
      </w:pPr>
      <w:r>
        <w:rPr>
          <w:iCs/>
        </w:rPr>
        <w:tab/>
      </w:r>
    </w:p>
    <w:p w14:paraId="219E471F" w14:textId="5BAB0E96" w:rsidR="00047463" w:rsidRPr="00CC5A63" w:rsidRDefault="002F567B" w:rsidP="00047463">
      <w:pPr>
        <w:pStyle w:val="Prrafodelista"/>
        <w:numPr>
          <w:ilvl w:val="0"/>
          <w:numId w:val="16"/>
        </w:numPr>
        <w:spacing w:line="276" w:lineRule="auto"/>
        <w:jc w:val="both"/>
        <w:rPr>
          <w:rFonts w:asciiTheme="minorHAnsi" w:hAnsiTheme="minorHAnsi" w:cstheme="minorHAnsi"/>
          <w:b/>
          <w:bCs/>
          <w:iCs/>
        </w:rPr>
      </w:pPr>
      <w:r w:rsidRPr="00CC5A63">
        <w:rPr>
          <w:rFonts w:asciiTheme="minorHAnsi" w:hAnsiTheme="minorHAnsi" w:cstheme="minorHAnsi"/>
          <w:b/>
          <w:bCs/>
          <w:iCs/>
        </w:rPr>
        <w:t>P</w:t>
      </w:r>
      <w:r w:rsidR="00004400" w:rsidRPr="00CC5A63">
        <w:rPr>
          <w:rFonts w:asciiTheme="minorHAnsi" w:hAnsiTheme="minorHAnsi" w:cstheme="minorHAnsi"/>
          <w:b/>
          <w:bCs/>
          <w:iCs/>
        </w:rPr>
        <w:t>roceso de autorizaciones y aprobaciones</w:t>
      </w:r>
    </w:p>
    <w:p w14:paraId="365F1340" w14:textId="77777777" w:rsidR="00CC5A63" w:rsidRDefault="00CC5A63" w:rsidP="00CC5A63">
      <w:pPr>
        <w:spacing w:line="276" w:lineRule="auto"/>
        <w:ind w:left="360"/>
        <w:jc w:val="both"/>
        <w:rPr>
          <w:iCs/>
        </w:rPr>
      </w:pPr>
    </w:p>
    <w:p w14:paraId="783C73E6" w14:textId="43ACE669" w:rsidR="005032CC" w:rsidRPr="00CC5A63" w:rsidRDefault="00CC5A63" w:rsidP="00CC5A63">
      <w:pPr>
        <w:spacing w:line="276" w:lineRule="auto"/>
        <w:ind w:left="360"/>
        <w:jc w:val="both"/>
        <w:rPr>
          <w:iCs/>
        </w:rPr>
      </w:pPr>
      <w:r>
        <w:rPr>
          <w:iCs/>
        </w:rPr>
        <w:t>S</w:t>
      </w:r>
      <w:r w:rsidR="00004400" w:rsidRPr="00CC5A63">
        <w:rPr>
          <w:iCs/>
        </w:rPr>
        <w:t>e rinde informe respecto de l</w:t>
      </w:r>
      <w:r w:rsidR="00405B54">
        <w:rPr>
          <w:iCs/>
        </w:rPr>
        <w:t>a</w:t>
      </w:r>
      <w:r w:rsidR="00004400" w:rsidRPr="00CC5A63">
        <w:rPr>
          <w:iCs/>
        </w:rPr>
        <w:t xml:space="preserve">s </w:t>
      </w:r>
      <w:r w:rsidR="00405B54">
        <w:rPr>
          <w:iCs/>
        </w:rPr>
        <w:t xml:space="preserve">solicitudes </w:t>
      </w:r>
      <w:r w:rsidR="00306A07">
        <w:rPr>
          <w:iCs/>
        </w:rPr>
        <w:t>de autorizaciones y aprobaciones</w:t>
      </w:r>
      <w:r w:rsidR="00004400" w:rsidRPr="00CC5A63">
        <w:rPr>
          <w:iCs/>
        </w:rPr>
        <w:t xml:space="preserve"> correspondientes al último </w:t>
      </w:r>
      <w:r w:rsidR="006F1F34" w:rsidRPr="00CC5A63">
        <w:rPr>
          <w:iCs/>
        </w:rPr>
        <w:t>sexenio</w:t>
      </w:r>
      <w:r w:rsidR="00220B83" w:rsidRPr="00CC5A63">
        <w:rPr>
          <w:iCs/>
        </w:rPr>
        <w:t>, sea del año 2018</w:t>
      </w:r>
      <w:r w:rsidR="006F1F34" w:rsidRPr="00CC5A63">
        <w:rPr>
          <w:iCs/>
        </w:rPr>
        <w:t xml:space="preserve"> a 2</w:t>
      </w:r>
      <w:r w:rsidR="00B07F1E" w:rsidRPr="00CC5A63">
        <w:rPr>
          <w:iCs/>
        </w:rPr>
        <w:t>023</w:t>
      </w:r>
      <w:r w:rsidR="006A315F" w:rsidRPr="00CC5A63">
        <w:rPr>
          <w:iCs/>
        </w:rPr>
        <w:t xml:space="preserve">, período que </w:t>
      </w:r>
      <w:r w:rsidR="002F567B" w:rsidRPr="00CC5A63">
        <w:rPr>
          <w:iCs/>
        </w:rPr>
        <w:t>resulta una muestra significativa de los períodos anteriores</w:t>
      </w:r>
      <w:r w:rsidR="005F21DE" w:rsidRPr="00CC5A63">
        <w:rPr>
          <w:iCs/>
        </w:rPr>
        <w:t xml:space="preserve">, </w:t>
      </w:r>
      <w:r w:rsidR="000325B5">
        <w:rPr>
          <w:iCs/>
        </w:rPr>
        <w:t>donde la SUPEN resolvió</w:t>
      </w:r>
      <w:r w:rsidR="005F21DE" w:rsidRPr="00CC5A63">
        <w:rPr>
          <w:iCs/>
        </w:rPr>
        <w:t xml:space="preserve"> </w:t>
      </w:r>
      <w:r w:rsidR="005032CC" w:rsidRPr="00CC5A63">
        <w:rPr>
          <w:iCs/>
        </w:rPr>
        <w:t xml:space="preserve">un total de </w:t>
      </w:r>
      <w:r w:rsidR="000E7C73">
        <w:rPr>
          <w:iCs/>
        </w:rPr>
        <w:t>doscientos dieciséis (216)</w:t>
      </w:r>
      <w:r w:rsidR="005032CC" w:rsidRPr="00CC5A63">
        <w:rPr>
          <w:iCs/>
        </w:rPr>
        <w:t>:</w:t>
      </w:r>
    </w:p>
    <w:p w14:paraId="5F9D2851" w14:textId="77777777" w:rsidR="005032CC" w:rsidRDefault="005032CC" w:rsidP="00004400">
      <w:pPr>
        <w:spacing w:line="276" w:lineRule="auto"/>
        <w:jc w:val="both"/>
        <w:rPr>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
        <w:gridCol w:w="882"/>
        <w:gridCol w:w="883"/>
        <w:gridCol w:w="883"/>
        <w:gridCol w:w="883"/>
        <w:gridCol w:w="883"/>
        <w:gridCol w:w="883"/>
        <w:gridCol w:w="883"/>
        <w:gridCol w:w="883"/>
        <w:gridCol w:w="883"/>
      </w:tblGrid>
      <w:tr w:rsidR="005032CC" w:rsidRPr="005032CC" w14:paraId="6E194A31" w14:textId="77777777" w:rsidTr="00FC309B">
        <w:trPr>
          <w:trHeight w:val="300"/>
          <w:jc w:val="center"/>
        </w:trPr>
        <w:tc>
          <w:tcPr>
            <w:tcW w:w="5000" w:type="pct"/>
            <w:gridSpan w:val="10"/>
            <w:shd w:val="clear" w:color="auto" w:fill="F2F2F2" w:themeFill="background1" w:themeFillShade="F2"/>
            <w:noWrap/>
            <w:vAlign w:val="bottom"/>
            <w:hideMark/>
          </w:tcPr>
          <w:p w14:paraId="18B5E49B" w14:textId="77777777" w:rsidR="00206D90" w:rsidRPr="001D0235" w:rsidRDefault="00206D90" w:rsidP="005032CC">
            <w:pPr>
              <w:spacing w:line="240" w:lineRule="auto"/>
              <w:jc w:val="center"/>
              <w:rPr>
                <w:rFonts w:asciiTheme="minorHAnsi" w:eastAsia="Times New Roman" w:hAnsiTheme="minorHAnsi" w:cstheme="minorHAnsi"/>
                <w:b/>
                <w:bCs/>
                <w:sz w:val="14"/>
                <w:szCs w:val="14"/>
                <w:lang w:val="es-CR" w:eastAsia="es-CR"/>
              </w:rPr>
            </w:pPr>
          </w:p>
          <w:p w14:paraId="3C7000B3" w14:textId="48C3C052" w:rsidR="005032CC" w:rsidRPr="001D0235" w:rsidRDefault="005032CC" w:rsidP="005032CC">
            <w:pPr>
              <w:spacing w:line="240" w:lineRule="auto"/>
              <w:jc w:val="center"/>
              <w:rPr>
                <w:rFonts w:asciiTheme="minorHAnsi" w:eastAsia="Times New Roman" w:hAnsiTheme="minorHAnsi" w:cstheme="minorHAnsi"/>
                <w:b/>
                <w:bCs/>
                <w:sz w:val="14"/>
                <w:szCs w:val="14"/>
                <w:lang w:val="es-CR" w:eastAsia="es-CR"/>
              </w:rPr>
            </w:pPr>
            <w:r w:rsidRPr="005032CC">
              <w:rPr>
                <w:rFonts w:asciiTheme="minorHAnsi" w:eastAsia="Times New Roman" w:hAnsiTheme="minorHAnsi" w:cstheme="minorHAnsi"/>
                <w:b/>
                <w:bCs/>
                <w:sz w:val="14"/>
                <w:szCs w:val="14"/>
                <w:lang w:val="es-CR" w:eastAsia="es-CR"/>
              </w:rPr>
              <w:t>CANTIDAD DE TRÁMITES ATENDIDOS</w:t>
            </w:r>
          </w:p>
          <w:p w14:paraId="4D206040" w14:textId="569F6845" w:rsidR="00206D90" w:rsidRPr="005032CC" w:rsidRDefault="00206D90" w:rsidP="005032CC">
            <w:pPr>
              <w:spacing w:line="240" w:lineRule="auto"/>
              <w:jc w:val="center"/>
              <w:rPr>
                <w:rFonts w:asciiTheme="minorHAnsi" w:eastAsia="Times New Roman" w:hAnsiTheme="minorHAnsi" w:cstheme="minorHAnsi"/>
                <w:b/>
                <w:bCs/>
                <w:sz w:val="14"/>
                <w:szCs w:val="14"/>
                <w:lang w:val="es-CR" w:eastAsia="es-CR"/>
              </w:rPr>
            </w:pPr>
          </w:p>
        </w:tc>
      </w:tr>
      <w:tr w:rsidR="005032CC" w:rsidRPr="001D0235" w14:paraId="4FD094F2" w14:textId="77777777" w:rsidTr="00FC309B">
        <w:trPr>
          <w:trHeight w:val="300"/>
          <w:jc w:val="center"/>
        </w:trPr>
        <w:tc>
          <w:tcPr>
            <w:tcW w:w="500" w:type="pct"/>
            <w:shd w:val="clear" w:color="D9E1F2" w:fill="D9E1F2"/>
            <w:noWrap/>
            <w:vAlign w:val="center"/>
            <w:hideMark/>
          </w:tcPr>
          <w:p w14:paraId="70F35B35"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AÑO</w:t>
            </w:r>
          </w:p>
        </w:tc>
        <w:tc>
          <w:tcPr>
            <w:tcW w:w="500" w:type="pct"/>
            <w:shd w:val="clear" w:color="D9E1F2" w:fill="D9E1F2"/>
            <w:noWrap/>
            <w:vAlign w:val="center"/>
            <w:hideMark/>
          </w:tcPr>
          <w:p w14:paraId="42FEF345" w14:textId="6D19C62A" w:rsidR="005032CC" w:rsidRPr="005032CC" w:rsidRDefault="001D0235" w:rsidP="005032CC">
            <w:pPr>
              <w:spacing w:line="240" w:lineRule="auto"/>
              <w:jc w:val="center"/>
              <w:rPr>
                <w:rFonts w:asciiTheme="minorHAnsi" w:eastAsia="Times New Roman" w:hAnsiTheme="minorHAnsi" w:cstheme="minorHAnsi"/>
                <w:b/>
                <w:bCs/>
                <w:color w:val="000000"/>
                <w:sz w:val="14"/>
                <w:szCs w:val="14"/>
                <w:lang w:val="es-CR" w:eastAsia="es-CR"/>
              </w:rPr>
            </w:pPr>
            <w:r w:rsidRPr="001D0235">
              <w:rPr>
                <w:rFonts w:asciiTheme="minorHAnsi" w:eastAsia="Times New Roman" w:hAnsiTheme="minorHAnsi" w:cstheme="minorHAnsi"/>
                <w:b/>
                <w:bCs/>
                <w:color w:val="000000"/>
                <w:sz w:val="14"/>
                <w:szCs w:val="14"/>
                <w:lang w:val="es-CR" w:eastAsia="es-CR"/>
              </w:rPr>
              <w:t xml:space="preserve">bonificación de comisiones </w:t>
            </w:r>
          </w:p>
        </w:tc>
        <w:tc>
          <w:tcPr>
            <w:tcW w:w="500" w:type="pct"/>
            <w:shd w:val="clear" w:color="D9E1F2" w:fill="D9E1F2"/>
            <w:noWrap/>
            <w:vAlign w:val="center"/>
            <w:hideMark/>
          </w:tcPr>
          <w:p w14:paraId="49C77C8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Comisiones</w:t>
            </w:r>
          </w:p>
        </w:tc>
        <w:tc>
          <w:tcPr>
            <w:tcW w:w="500" w:type="pct"/>
            <w:shd w:val="clear" w:color="D9E1F2" w:fill="D9E1F2"/>
            <w:noWrap/>
            <w:vAlign w:val="center"/>
            <w:hideMark/>
          </w:tcPr>
          <w:p w14:paraId="050208F0"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Contratos</w:t>
            </w:r>
          </w:p>
        </w:tc>
        <w:tc>
          <w:tcPr>
            <w:tcW w:w="500" w:type="pct"/>
            <w:shd w:val="clear" w:color="D9E1F2" w:fill="D9E1F2"/>
            <w:noWrap/>
            <w:vAlign w:val="center"/>
            <w:hideMark/>
          </w:tcPr>
          <w:p w14:paraId="3A1D9F40"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Licitación de erróneos</w:t>
            </w:r>
          </w:p>
        </w:tc>
        <w:tc>
          <w:tcPr>
            <w:tcW w:w="500" w:type="pct"/>
            <w:shd w:val="clear" w:color="D9E1F2" w:fill="D9E1F2"/>
            <w:noWrap/>
            <w:vAlign w:val="center"/>
            <w:hideMark/>
          </w:tcPr>
          <w:p w14:paraId="1D733FB5"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Otros</w:t>
            </w:r>
          </w:p>
        </w:tc>
        <w:tc>
          <w:tcPr>
            <w:tcW w:w="500" w:type="pct"/>
            <w:shd w:val="clear" w:color="D9E1F2" w:fill="D9E1F2"/>
            <w:noWrap/>
            <w:vAlign w:val="center"/>
            <w:hideMark/>
          </w:tcPr>
          <w:p w14:paraId="695FB3FB"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Planes</w:t>
            </w:r>
          </w:p>
        </w:tc>
        <w:tc>
          <w:tcPr>
            <w:tcW w:w="500" w:type="pct"/>
            <w:shd w:val="clear" w:color="D9E1F2" w:fill="D9E1F2"/>
            <w:noWrap/>
            <w:vAlign w:val="center"/>
            <w:hideMark/>
          </w:tcPr>
          <w:p w14:paraId="17888AF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Promotores</w:t>
            </w:r>
          </w:p>
        </w:tc>
        <w:tc>
          <w:tcPr>
            <w:tcW w:w="500" w:type="pct"/>
            <w:shd w:val="clear" w:color="D9E1F2" w:fill="D9E1F2"/>
            <w:noWrap/>
            <w:vAlign w:val="center"/>
            <w:hideMark/>
          </w:tcPr>
          <w:p w14:paraId="6C48C77A"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Reglamento RCC</w:t>
            </w:r>
          </w:p>
        </w:tc>
        <w:tc>
          <w:tcPr>
            <w:tcW w:w="500" w:type="pct"/>
            <w:shd w:val="pct5" w:color="auto" w:fill="C5E0B3"/>
            <w:noWrap/>
            <w:vAlign w:val="center"/>
            <w:hideMark/>
          </w:tcPr>
          <w:p w14:paraId="3F197CAB"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Total por año</w:t>
            </w:r>
          </w:p>
        </w:tc>
      </w:tr>
      <w:tr w:rsidR="005032CC" w:rsidRPr="001D0235" w14:paraId="36F95099" w14:textId="77777777" w:rsidTr="00FC309B">
        <w:trPr>
          <w:trHeight w:val="300"/>
          <w:jc w:val="center"/>
        </w:trPr>
        <w:tc>
          <w:tcPr>
            <w:tcW w:w="500" w:type="pct"/>
            <w:shd w:val="clear" w:color="auto" w:fill="auto"/>
            <w:noWrap/>
            <w:vAlign w:val="bottom"/>
            <w:hideMark/>
          </w:tcPr>
          <w:p w14:paraId="0FEEE62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2018</w:t>
            </w:r>
          </w:p>
        </w:tc>
        <w:tc>
          <w:tcPr>
            <w:tcW w:w="500" w:type="pct"/>
            <w:shd w:val="clear" w:color="auto" w:fill="auto"/>
            <w:noWrap/>
            <w:vAlign w:val="bottom"/>
            <w:hideMark/>
          </w:tcPr>
          <w:p w14:paraId="5B01132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5348B1F5"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w:t>
            </w:r>
          </w:p>
        </w:tc>
        <w:tc>
          <w:tcPr>
            <w:tcW w:w="500" w:type="pct"/>
            <w:shd w:val="clear" w:color="auto" w:fill="auto"/>
            <w:noWrap/>
            <w:vAlign w:val="bottom"/>
            <w:hideMark/>
          </w:tcPr>
          <w:p w14:paraId="26DFE856"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6</w:t>
            </w:r>
          </w:p>
        </w:tc>
        <w:tc>
          <w:tcPr>
            <w:tcW w:w="500" w:type="pct"/>
            <w:shd w:val="clear" w:color="auto" w:fill="auto"/>
            <w:noWrap/>
            <w:vAlign w:val="bottom"/>
            <w:hideMark/>
          </w:tcPr>
          <w:p w14:paraId="76E0E708"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2D0C1C29"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7</w:t>
            </w:r>
          </w:p>
        </w:tc>
        <w:tc>
          <w:tcPr>
            <w:tcW w:w="500" w:type="pct"/>
            <w:shd w:val="clear" w:color="auto" w:fill="auto"/>
            <w:noWrap/>
            <w:vAlign w:val="bottom"/>
            <w:hideMark/>
          </w:tcPr>
          <w:p w14:paraId="44A12D48"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7652FB92"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17</w:t>
            </w:r>
          </w:p>
        </w:tc>
        <w:tc>
          <w:tcPr>
            <w:tcW w:w="500" w:type="pct"/>
            <w:shd w:val="clear" w:color="auto" w:fill="auto"/>
            <w:noWrap/>
            <w:vAlign w:val="bottom"/>
            <w:hideMark/>
          </w:tcPr>
          <w:p w14:paraId="6889F6C3"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pct5" w:color="auto" w:fill="C5E0B3"/>
            <w:noWrap/>
            <w:vAlign w:val="bottom"/>
            <w:hideMark/>
          </w:tcPr>
          <w:p w14:paraId="0FCC983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32</w:t>
            </w:r>
          </w:p>
        </w:tc>
      </w:tr>
      <w:tr w:rsidR="005032CC" w:rsidRPr="001D0235" w14:paraId="306224FB" w14:textId="77777777" w:rsidTr="00FC309B">
        <w:trPr>
          <w:trHeight w:val="300"/>
          <w:jc w:val="center"/>
        </w:trPr>
        <w:tc>
          <w:tcPr>
            <w:tcW w:w="500" w:type="pct"/>
            <w:shd w:val="clear" w:color="auto" w:fill="auto"/>
            <w:noWrap/>
            <w:vAlign w:val="bottom"/>
            <w:hideMark/>
          </w:tcPr>
          <w:p w14:paraId="1595E1C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2019</w:t>
            </w:r>
          </w:p>
        </w:tc>
        <w:tc>
          <w:tcPr>
            <w:tcW w:w="500" w:type="pct"/>
            <w:shd w:val="clear" w:color="auto" w:fill="auto"/>
            <w:noWrap/>
            <w:vAlign w:val="bottom"/>
            <w:hideMark/>
          </w:tcPr>
          <w:p w14:paraId="3202CA0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300E8195" w14:textId="77777777" w:rsidR="005032CC" w:rsidRPr="005032CC" w:rsidRDefault="005032CC" w:rsidP="005032CC">
            <w:pPr>
              <w:spacing w:line="240" w:lineRule="auto"/>
              <w:jc w:val="center"/>
              <w:rPr>
                <w:rFonts w:asciiTheme="minorHAnsi" w:eastAsia="Times New Roman" w:hAnsiTheme="minorHAnsi" w:cstheme="minorHAnsi"/>
                <w:sz w:val="14"/>
                <w:szCs w:val="14"/>
                <w:lang w:val="es-CR" w:eastAsia="es-CR"/>
              </w:rPr>
            </w:pPr>
          </w:p>
        </w:tc>
        <w:tc>
          <w:tcPr>
            <w:tcW w:w="500" w:type="pct"/>
            <w:shd w:val="clear" w:color="auto" w:fill="auto"/>
            <w:noWrap/>
            <w:vAlign w:val="bottom"/>
            <w:hideMark/>
          </w:tcPr>
          <w:p w14:paraId="378E0CB1"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17</w:t>
            </w:r>
          </w:p>
        </w:tc>
        <w:tc>
          <w:tcPr>
            <w:tcW w:w="500" w:type="pct"/>
            <w:shd w:val="clear" w:color="auto" w:fill="auto"/>
            <w:noWrap/>
            <w:vAlign w:val="bottom"/>
            <w:hideMark/>
          </w:tcPr>
          <w:p w14:paraId="5F89BACA"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41CFC514" w14:textId="77777777" w:rsidR="005032CC" w:rsidRPr="005032CC" w:rsidRDefault="005032CC" w:rsidP="005032CC">
            <w:pPr>
              <w:spacing w:line="240" w:lineRule="auto"/>
              <w:jc w:val="center"/>
              <w:rPr>
                <w:rFonts w:asciiTheme="minorHAnsi" w:eastAsia="Times New Roman" w:hAnsiTheme="minorHAnsi" w:cstheme="minorHAnsi"/>
                <w:sz w:val="14"/>
                <w:szCs w:val="14"/>
                <w:lang w:val="es-CR" w:eastAsia="es-CR"/>
              </w:rPr>
            </w:pPr>
          </w:p>
        </w:tc>
        <w:tc>
          <w:tcPr>
            <w:tcW w:w="500" w:type="pct"/>
            <w:shd w:val="clear" w:color="auto" w:fill="auto"/>
            <w:noWrap/>
            <w:vAlign w:val="bottom"/>
            <w:hideMark/>
          </w:tcPr>
          <w:p w14:paraId="5AC8671B" w14:textId="77777777" w:rsidR="005032CC" w:rsidRPr="005032CC" w:rsidRDefault="005032CC" w:rsidP="005032CC">
            <w:pPr>
              <w:spacing w:line="240" w:lineRule="auto"/>
              <w:jc w:val="center"/>
              <w:rPr>
                <w:rFonts w:asciiTheme="minorHAnsi" w:eastAsia="Times New Roman" w:hAnsiTheme="minorHAnsi" w:cstheme="minorHAnsi"/>
                <w:sz w:val="14"/>
                <w:szCs w:val="14"/>
                <w:lang w:val="es-CR" w:eastAsia="es-CR"/>
              </w:rPr>
            </w:pPr>
          </w:p>
        </w:tc>
        <w:tc>
          <w:tcPr>
            <w:tcW w:w="500" w:type="pct"/>
            <w:shd w:val="clear" w:color="auto" w:fill="auto"/>
            <w:noWrap/>
            <w:vAlign w:val="bottom"/>
            <w:hideMark/>
          </w:tcPr>
          <w:p w14:paraId="552864A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5</w:t>
            </w:r>
          </w:p>
        </w:tc>
        <w:tc>
          <w:tcPr>
            <w:tcW w:w="500" w:type="pct"/>
            <w:shd w:val="clear" w:color="auto" w:fill="auto"/>
            <w:noWrap/>
            <w:vAlign w:val="bottom"/>
            <w:hideMark/>
          </w:tcPr>
          <w:p w14:paraId="09AA3F73"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pct5" w:color="auto" w:fill="C5E0B3"/>
            <w:noWrap/>
            <w:vAlign w:val="bottom"/>
            <w:hideMark/>
          </w:tcPr>
          <w:p w14:paraId="6350DE0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22</w:t>
            </w:r>
          </w:p>
        </w:tc>
      </w:tr>
      <w:tr w:rsidR="005032CC" w:rsidRPr="001D0235" w14:paraId="025C6BEF" w14:textId="77777777" w:rsidTr="00FC309B">
        <w:trPr>
          <w:trHeight w:val="300"/>
          <w:jc w:val="center"/>
        </w:trPr>
        <w:tc>
          <w:tcPr>
            <w:tcW w:w="500" w:type="pct"/>
            <w:shd w:val="clear" w:color="auto" w:fill="auto"/>
            <w:noWrap/>
            <w:vAlign w:val="bottom"/>
            <w:hideMark/>
          </w:tcPr>
          <w:p w14:paraId="40318FBE"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2020</w:t>
            </w:r>
          </w:p>
        </w:tc>
        <w:tc>
          <w:tcPr>
            <w:tcW w:w="500" w:type="pct"/>
            <w:shd w:val="clear" w:color="auto" w:fill="auto"/>
            <w:noWrap/>
            <w:vAlign w:val="bottom"/>
            <w:hideMark/>
          </w:tcPr>
          <w:p w14:paraId="48644EB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4B2C31B2" w14:textId="77777777" w:rsidR="005032CC" w:rsidRPr="005032CC" w:rsidRDefault="005032CC" w:rsidP="005032CC">
            <w:pPr>
              <w:spacing w:line="240" w:lineRule="auto"/>
              <w:jc w:val="center"/>
              <w:rPr>
                <w:rFonts w:asciiTheme="minorHAnsi" w:eastAsia="Times New Roman" w:hAnsiTheme="minorHAnsi" w:cstheme="minorHAnsi"/>
                <w:sz w:val="14"/>
                <w:szCs w:val="14"/>
                <w:lang w:val="es-CR" w:eastAsia="es-CR"/>
              </w:rPr>
            </w:pPr>
          </w:p>
        </w:tc>
        <w:tc>
          <w:tcPr>
            <w:tcW w:w="500" w:type="pct"/>
            <w:shd w:val="clear" w:color="auto" w:fill="auto"/>
            <w:noWrap/>
            <w:vAlign w:val="bottom"/>
            <w:hideMark/>
          </w:tcPr>
          <w:p w14:paraId="797B5F7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28</w:t>
            </w:r>
          </w:p>
        </w:tc>
        <w:tc>
          <w:tcPr>
            <w:tcW w:w="500" w:type="pct"/>
            <w:shd w:val="clear" w:color="auto" w:fill="auto"/>
            <w:noWrap/>
            <w:vAlign w:val="bottom"/>
            <w:hideMark/>
          </w:tcPr>
          <w:p w14:paraId="0D0B38D9"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029088D2"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7</w:t>
            </w:r>
          </w:p>
        </w:tc>
        <w:tc>
          <w:tcPr>
            <w:tcW w:w="500" w:type="pct"/>
            <w:shd w:val="clear" w:color="auto" w:fill="auto"/>
            <w:noWrap/>
            <w:vAlign w:val="bottom"/>
            <w:hideMark/>
          </w:tcPr>
          <w:p w14:paraId="7DDD854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w:t>
            </w:r>
          </w:p>
        </w:tc>
        <w:tc>
          <w:tcPr>
            <w:tcW w:w="500" w:type="pct"/>
            <w:shd w:val="clear" w:color="auto" w:fill="auto"/>
            <w:noWrap/>
            <w:vAlign w:val="bottom"/>
            <w:hideMark/>
          </w:tcPr>
          <w:p w14:paraId="364FD0D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5</w:t>
            </w:r>
          </w:p>
        </w:tc>
        <w:tc>
          <w:tcPr>
            <w:tcW w:w="500" w:type="pct"/>
            <w:shd w:val="clear" w:color="auto" w:fill="auto"/>
            <w:noWrap/>
            <w:vAlign w:val="bottom"/>
            <w:hideMark/>
          </w:tcPr>
          <w:p w14:paraId="2F0B87D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pct5" w:color="auto" w:fill="C5E0B3"/>
            <w:noWrap/>
            <w:vAlign w:val="bottom"/>
            <w:hideMark/>
          </w:tcPr>
          <w:p w14:paraId="68683F9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42</w:t>
            </w:r>
          </w:p>
        </w:tc>
      </w:tr>
      <w:tr w:rsidR="005032CC" w:rsidRPr="001D0235" w14:paraId="218AE24B" w14:textId="77777777" w:rsidTr="00FC309B">
        <w:trPr>
          <w:trHeight w:val="300"/>
          <w:jc w:val="center"/>
        </w:trPr>
        <w:tc>
          <w:tcPr>
            <w:tcW w:w="500" w:type="pct"/>
            <w:shd w:val="clear" w:color="auto" w:fill="auto"/>
            <w:noWrap/>
            <w:vAlign w:val="bottom"/>
            <w:hideMark/>
          </w:tcPr>
          <w:p w14:paraId="2EA56EC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lastRenderedPageBreak/>
              <w:t>2021</w:t>
            </w:r>
          </w:p>
        </w:tc>
        <w:tc>
          <w:tcPr>
            <w:tcW w:w="500" w:type="pct"/>
            <w:shd w:val="clear" w:color="auto" w:fill="auto"/>
            <w:noWrap/>
            <w:vAlign w:val="bottom"/>
            <w:hideMark/>
          </w:tcPr>
          <w:p w14:paraId="1B971ED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0F87BD9C"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6581BB6C"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32</w:t>
            </w:r>
          </w:p>
        </w:tc>
        <w:tc>
          <w:tcPr>
            <w:tcW w:w="500" w:type="pct"/>
            <w:shd w:val="clear" w:color="auto" w:fill="auto"/>
            <w:noWrap/>
            <w:vAlign w:val="bottom"/>
            <w:hideMark/>
          </w:tcPr>
          <w:p w14:paraId="3D000F7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465D9A39"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w:t>
            </w:r>
          </w:p>
        </w:tc>
        <w:tc>
          <w:tcPr>
            <w:tcW w:w="500" w:type="pct"/>
            <w:shd w:val="clear" w:color="auto" w:fill="auto"/>
            <w:noWrap/>
            <w:vAlign w:val="bottom"/>
            <w:hideMark/>
          </w:tcPr>
          <w:p w14:paraId="0FF268A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61A6AB3C"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10</w:t>
            </w:r>
          </w:p>
        </w:tc>
        <w:tc>
          <w:tcPr>
            <w:tcW w:w="500" w:type="pct"/>
            <w:shd w:val="clear" w:color="auto" w:fill="auto"/>
            <w:noWrap/>
            <w:vAlign w:val="bottom"/>
            <w:hideMark/>
          </w:tcPr>
          <w:p w14:paraId="5203F656"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pct5" w:color="auto" w:fill="C5E0B3"/>
            <w:noWrap/>
            <w:vAlign w:val="bottom"/>
            <w:hideMark/>
          </w:tcPr>
          <w:p w14:paraId="7D0E1D6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47</w:t>
            </w:r>
          </w:p>
        </w:tc>
      </w:tr>
      <w:tr w:rsidR="005032CC" w:rsidRPr="001D0235" w14:paraId="034132D9" w14:textId="77777777" w:rsidTr="00FC309B">
        <w:trPr>
          <w:trHeight w:val="300"/>
          <w:jc w:val="center"/>
        </w:trPr>
        <w:tc>
          <w:tcPr>
            <w:tcW w:w="500" w:type="pct"/>
            <w:shd w:val="clear" w:color="auto" w:fill="auto"/>
            <w:noWrap/>
            <w:vAlign w:val="bottom"/>
            <w:hideMark/>
          </w:tcPr>
          <w:p w14:paraId="6818240C"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2022</w:t>
            </w:r>
          </w:p>
        </w:tc>
        <w:tc>
          <w:tcPr>
            <w:tcW w:w="500" w:type="pct"/>
            <w:shd w:val="clear" w:color="auto" w:fill="auto"/>
            <w:noWrap/>
            <w:vAlign w:val="bottom"/>
            <w:hideMark/>
          </w:tcPr>
          <w:p w14:paraId="012BC12C"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069E5C2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0442DDC1"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12</w:t>
            </w:r>
          </w:p>
        </w:tc>
        <w:tc>
          <w:tcPr>
            <w:tcW w:w="500" w:type="pct"/>
            <w:shd w:val="clear" w:color="auto" w:fill="auto"/>
            <w:noWrap/>
            <w:vAlign w:val="bottom"/>
            <w:hideMark/>
          </w:tcPr>
          <w:p w14:paraId="1441E4F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3EF922C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6</w:t>
            </w:r>
          </w:p>
        </w:tc>
        <w:tc>
          <w:tcPr>
            <w:tcW w:w="500" w:type="pct"/>
            <w:shd w:val="clear" w:color="auto" w:fill="auto"/>
            <w:noWrap/>
            <w:vAlign w:val="bottom"/>
            <w:hideMark/>
          </w:tcPr>
          <w:p w14:paraId="76B9301E"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3977F5B2"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4</w:t>
            </w:r>
          </w:p>
        </w:tc>
        <w:tc>
          <w:tcPr>
            <w:tcW w:w="500" w:type="pct"/>
            <w:shd w:val="clear" w:color="auto" w:fill="auto"/>
            <w:noWrap/>
            <w:vAlign w:val="bottom"/>
            <w:hideMark/>
          </w:tcPr>
          <w:p w14:paraId="4A197ED0"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pct5" w:color="auto" w:fill="C5E0B3"/>
            <w:noWrap/>
            <w:vAlign w:val="bottom"/>
            <w:hideMark/>
          </w:tcPr>
          <w:p w14:paraId="4F22C089"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26</w:t>
            </w:r>
          </w:p>
        </w:tc>
      </w:tr>
      <w:tr w:rsidR="005032CC" w:rsidRPr="001D0235" w14:paraId="757B548A" w14:textId="77777777" w:rsidTr="00FC309B">
        <w:trPr>
          <w:trHeight w:val="300"/>
          <w:jc w:val="center"/>
        </w:trPr>
        <w:tc>
          <w:tcPr>
            <w:tcW w:w="500" w:type="pct"/>
            <w:shd w:val="clear" w:color="auto" w:fill="auto"/>
            <w:noWrap/>
            <w:vAlign w:val="bottom"/>
            <w:hideMark/>
          </w:tcPr>
          <w:p w14:paraId="77485199"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2023</w:t>
            </w:r>
          </w:p>
        </w:tc>
        <w:tc>
          <w:tcPr>
            <w:tcW w:w="500" w:type="pct"/>
            <w:shd w:val="clear" w:color="auto" w:fill="auto"/>
            <w:noWrap/>
            <w:vAlign w:val="bottom"/>
            <w:hideMark/>
          </w:tcPr>
          <w:p w14:paraId="2C6F3F3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42D8E949"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clear" w:color="auto" w:fill="auto"/>
            <w:noWrap/>
            <w:vAlign w:val="bottom"/>
            <w:hideMark/>
          </w:tcPr>
          <w:p w14:paraId="167A7A3A"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19</w:t>
            </w:r>
          </w:p>
        </w:tc>
        <w:tc>
          <w:tcPr>
            <w:tcW w:w="500" w:type="pct"/>
            <w:shd w:val="clear" w:color="auto" w:fill="auto"/>
            <w:noWrap/>
            <w:vAlign w:val="bottom"/>
            <w:hideMark/>
          </w:tcPr>
          <w:p w14:paraId="73AFBB57"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37B2E241"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13</w:t>
            </w:r>
          </w:p>
        </w:tc>
        <w:tc>
          <w:tcPr>
            <w:tcW w:w="500" w:type="pct"/>
            <w:shd w:val="clear" w:color="auto" w:fill="auto"/>
            <w:noWrap/>
            <w:vAlign w:val="bottom"/>
            <w:hideMark/>
          </w:tcPr>
          <w:p w14:paraId="649EB5F2"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clear" w:color="auto" w:fill="auto"/>
            <w:noWrap/>
            <w:vAlign w:val="bottom"/>
            <w:hideMark/>
          </w:tcPr>
          <w:p w14:paraId="37B6F90E"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10</w:t>
            </w:r>
          </w:p>
        </w:tc>
        <w:tc>
          <w:tcPr>
            <w:tcW w:w="500" w:type="pct"/>
            <w:shd w:val="clear" w:color="auto" w:fill="auto"/>
            <w:noWrap/>
            <w:vAlign w:val="bottom"/>
            <w:hideMark/>
          </w:tcPr>
          <w:p w14:paraId="017D5665"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pct5" w:color="auto" w:fill="C5E0B3"/>
            <w:noWrap/>
            <w:vAlign w:val="bottom"/>
            <w:hideMark/>
          </w:tcPr>
          <w:p w14:paraId="40681F08"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43</w:t>
            </w:r>
          </w:p>
        </w:tc>
      </w:tr>
      <w:tr w:rsidR="005032CC" w:rsidRPr="001D0235" w14:paraId="6F87A0B4" w14:textId="77777777" w:rsidTr="00FC309B">
        <w:trPr>
          <w:trHeight w:val="300"/>
          <w:jc w:val="center"/>
        </w:trPr>
        <w:tc>
          <w:tcPr>
            <w:tcW w:w="500" w:type="pct"/>
            <w:tcBorders>
              <w:bottom w:val="single" w:sz="4" w:space="0" w:color="auto"/>
            </w:tcBorders>
            <w:shd w:val="clear" w:color="auto" w:fill="auto"/>
            <w:noWrap/>
            <w:vAlign w:val="bottom"/>
            <w:hideMark/>
          </w:tcPr>
          <w:p w14:paraId="17672740"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2024</w:t>
            </w:r>
          </w:p>
        </w:tc>
        <w:tc>
          <w:tcPr>
            <w:tcW w:w="500" w:type="pct"/>
            <w:tcBorders>
              <w:bottom w:val="single" w:sz="4" w:space="0" w:color="auto"/>
            </w:tcBorders>
            <w:shd w:val="clear" w:color="auto" w:fill="auto"/>
            <w:noWrap/>
            <w:vAlign w:val="bottom"/>
            <w:hideMark/>
          </w:tcPr>
          <w:p w14:paraId="6B597220"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tcBorders>
              <w:bottom w:val="single" w:sz="4" w:space="0" w:color="auto"/>
            </w:tcBorders>
            <w:shd w:val="clear" w:color="auto" w:fill="auto"/>
            <w:noWrap/>
            <w:vAlign w:val="bottom"/>
            <w:hideMark/>
          </w:tcPr>
          <w:p w14:paraId="617C3873" w14:textId="77777777" w:rsidR="005032CC" w:rsidRPr="005032CC" w:rsidRDefault="005032CC" w:rsidP="005032CC">
            <w:pPr>
              <w:spacing w:line="240" w:lineRule="auto"/>
              <w:jc w:val="center"/>
              <w:rPr>
                <w:rFonts w:asciiTheme="minorHAnsi" w:eastAsia="Times New Roman" w:hAnsiTheme="minorHAnsi" w:cstheme="minorHAnsi"/>
                <w:sz w:val="14"/>
                <w:szCs w:val="14"/>
                <w:lang w:val="es-CR" w:eastAsia="es-CR"/>
              </w:rPr>
            </w:pPr>
          </w:p>
        </w:tc>
        <w:tc>
          <w:tcPr>
            <w:tcW w:w="500" w:type="pct"/>
            <w:tcBorders>
              <w:bottom w:val="single" w:sz="4" w:space="0" w:color="auto"/>
            </w:tcBorders>
            <w:shd w:val="clear" w:color="auto" w:fill="auto"/>
            <w:noWrap/>
            <w:vAlign w:val="bottom"/>
            <w:hideMark/>
          </w:tcPr>
          <w:p w14:paraId="758E734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tcBorders>
              <w:bottom w:val="single" w:sz="4" w:space="0" w:color="auto"/>
            </w:tcBorders>
            <w:shd w:val="clear" w:color="auto" w:fill="auto"/>
            <w:noWrap/>
            <w:vAlign w:val="bottom"/>
            <w:hideMark/>
          </w:tcPr>
          <w:p w14:paraId="74EA8E3D"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tcBorders>
              <w:bottom w:val="single" w:sz="4" w:space="0" w:color="auto"/>
            </w:tcBorders>
            <w:shd w:val="clear" w:color="auto" w:fill="auto"/>
            <w:noWrap/>
            <w:vAlign w:val="bottom"/>
            <w:hideMark/>
          </w:tcPr>
          <w:p w14:paraId="655FB3C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tcBorders>
              <w:bottom w:val="single" w:sz="4" w:space="0" w:color="auto"/>
            </w:tcBorders>
            <w:shd w:val="clear" w:color="auto" w:fill="auto"/>
            <w:noWrap/>
            <w:vAlign w:val="bottom"/>
            <w:hideMark/>
          </w:tcPr>
          <w:p w14:paraId="23805EEA"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tcBorders>
              <w:bottom w:val="single" w:sz="4" w:space="0" w:color="auto"/>
            </w:tcBorders>
            <w:shd w:val="clear" w:color="auto" w:fill="auto"/>
            <w:noWrap/>
            <w:vAlign w:val="bottom"/>
            <w:hideMark/>
          </w:tcPr>
          <w:p w14:paraId="0EC6026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tcBorders>
              <w:bottom w:val="single" w:sz="4" w:space="0" w:color="auto"/>
            </w:tcBorders>
            <w:shd w:val="clear" w:color="auto" w:fill="auto"/>
            <w:noWrap/>
            <w:vAlign w:val="bottom"/>
            <w:hideMark/>
          </w:tcPr>
          <w:p w14:paraId="5D565F76"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p>
        </w:tc>
        <w:tc>
          <w:tcPr>
            <w:tcW w:w="500" w:type="pct"/>
            <w:shd w:val="pct5" w:color="auto" w:fill="C5E0B3"/>
            <w:noWrap/>
            <w:vAlign w:val="bottom"/>
            <w:hideMark/>
          </w:tcPr>
          <w:p w14:paraId="5599275B"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4</w:t>
            </w:r>
          </w:p>
        </w:tc>
      </w:tr>
      <w:tr w:rsidR="005032CC" w:rsidRPr="001D0235" w14:paraId="1CCEFE17" w14:textId="77777777" w:rsidTr="00FC309B">
        <w:trPr>
          <w:trHeight w:val="300"/>
          <w:jc w:val="center"/>
        </w:trPr>
        <w:tc>
          <w:tcPr>
            <w:tcW w:w="500" w:type="pct"/>
            <w:shd w:val="pct5" w:color="auto" w:fill="C5E0B3"/>
            <w:noWrap/>
            <w:vAlign w:val="bottom"/>
            <w:hideMark/>
          </w:tcPr>
          <w:p w14:paraId="412D00A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Total por trámite</w:t>
            </w:r>
          </w:p>
        </w:tc>
        <w:tc>
          <w:tcPr>
            <w:tcW w:w="500" w:type="pct"/>
            <w:shd w:val="pct5" w:color="auto" w:fill="C5E0B3"/>
            <w:noWrap/>
            <w:vAlign w:val="bottom"/>
            <w:hideMark/>
          </w:tcPr>
          <w:p w14:paraId="767E791A"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w:t>
            </w:r>
          </w:p>
        </w:tc>
        <w:tc>
          <w:tcPr>
            <w:tcW w:w="500" w:type="pct"/>
            <w:shd w:val="pct5" w:color="auto" w:fill="C5E0B3"/>
            <w:noWrap/>
            <w:vAlign w:val="bottom"/>
            <w:hideMark/>
          </w:tcPr>
          <w:p w14:paraId="6CF8DF5E"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5</w:t>
            </w:r>
          </w:p>
        </w:tc>
        <w:tc>
          <w:tcPr>
            <w:tcW w:w="500" w:type="pct"/>
            <w:shd w:val="pct5" w:color="auto" w:fill="C5E0B3"/>
            <w:noWrap/>
            <w:vAlign w:val="bottom"/>
            <w:hideMark/>
          </w:tcPr>
          <w:p w14:paraId="229DFBFB"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115</w:t>
            </w:r>
          </w:p>
        </w:tc>
        <w:tc>
          <w:tcPr>
            <w:tcW w:w="500" w:type="pct"/>
            <w:shd w:val="pct5" w:color="auto" w:fill="C5E0B3"/>
            <w:noWrap/>
            <w:vAlign w:val="bottom"/>
            <w:hideMark/>
          </w:tcPr>
          <w:p w14:paraId="21D89624"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pct5" w:color="auto" w:fill="C5E0B3"/>
            <w:noWrap/>
            <w:vAlign w:val="bottom"/>
            <w:hideMark/>
          </w:tcPr>
          <w:p w14:paraId="0D04A146"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36</w:t>
            </w:r>
          </w:p>
        </w:tc>
        <w:tc>
          <w:tcPr>
            <w:tcW w:w="500" w:type="pct"/>
            <w:shd w:val="pct5" w:color="auto" w:fill="C5E0B3"/>
            <w:noWrap/>
            <w:vAlign w:val="bottom"/>
            <w:hideMark/>
          </w:tcPr>
          <w:p w14:paraId="05ABA4C5"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4</w:t>
            </w:r>
          </w:p>
        </w:tc>
        <w:tc>
          <w:tcPr>
            <w:tcW w:w="500" w:type="pct"/>
            <w:shd w:val="pct5" w:color="auto" w:fill="C5E0B3"/>
            <w:noWrap/>
            <w:vAlign w:val="bottom"/>
            <w:hideMark/>
          </w:tcPr>
          <w:p w14:paraId="24DCBEBC"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52</w:t>
            </w:r>
          </w:p>
        </w:tc>
        <w:tc>
          <w:tcPr>
            <w:tcW w:w="500" w:type="pct"/>
            <w:shd w:val="pct5" w:color="auto" w:fill="C5E0B3"/>
            <w:noWrap/>
            <w:vAlign w:val="bottom"/>
            <w:hideMark/>
          </w:tcPr>
          <w:p w14:paraId="438DE95F"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1</w:t>
            </w:r>
          </w:p>
        </w:tc>
        <w:tc>
          <w:tcPr>
            <w:tcW w:w="500" w:type="pct"/>
            <w:shd w:val="pct5" w:color="auto" w:fill="C5E0B3"/>
            <w:noWrap/>
            <w:vAlign w:val="bottom"/>
            <w:hideMark/>
          </w:tcPr>
          <w:p w14:paraId="363EA865" w14:textId="77777777" w:rsidR="005032CC" w:rsidRPr="005032CC" w:rsidRDefault="005032CC" w:rsidP="005032CC">
            <w:pPr>
              <w:spacing w:line="240" w:lineRule="auto"/>
              <w:jc w:val="center"/>
              <w:rPr>
                <w:rFonts w:asciiTheme="minorHAnsi" w:eastAsia="Times New Roman" w:hAnsiTheme="minorHAnsi" w:cstheme="minorHAnsi"/>
                <w:b/>
                <w:bCs/>
                <w:color w:val="000000"/>
                <w:sz w:val="14"/>
                <w:szCs w:val="14"/>
                <w:lang w:val="es-CR" w:eastAsia="es-CR"/>
              </w:rPr>
            </w:pPr>
            <w:r w:rsidRPr="005032CC">
              <w:rPr>
                <w:rFonts w:asciiTheme="minorHAnsi" w:eastAsia="Times New Roman" w:hAnsiTheme="minorHAnsi" w:cstheme="minorHAnsi"/>
                <w:b/>
                <w:bCs/>
                <w:color w:val="000000"/>
                <w:sz w:val="14"/>
                <w:szCs w:val="14"/>
                <w:lang w:val="es-CR" w:eastAsia="es-CR"/>
              </w:rPr>
              <w:t>216</w:t>
            </w:r>
          </w:p>
        </w:tc>
      </w:tr>
    </w:tbl>
    <w:p w14:paraId="37F4239A" w14:textId="77777777" w:rsidR="005032CC" w:rsidRDefault="005032CC" w:rsidP="00004400">
      <w:pPr>
        <w:spacing w:line="276" w:lineRule="auto"/>
        <w:jc w:val="both"/>
        <w:rPr>
          <w:iCs/>
        </w:rPr>
      </w:pPr>
    </w:p>
    <w:p w14:paraId="2A467A83" w14:textId="15BA76A3" w:rsidR="009F7736" w:rsidRDefault="000113B9" w:rsidP="00004400">
      <w:pPr>
        <w:spacing w:line="276" w:lineRule="auto"/>
        <w:jc w:val="both"/>
        <w:rPr>
          <w:iCs/>
        </w:rPr>
      </w:pPr>
      <w:r w:rsidRPr="00623C1D">
        <w:rPr>
          <w:iCs/>
        </w:rPr>
        <w:t xml:space="preserve">Respecto de los plazos, la </w:t>
      </w:r>
      <w:r w:rsidRPr="002B27D7">
        <w:rPr>
          <w:i/>
        </w:rPr>
        <w:t>Ficha de Normativa</w:t>
      </w:r>
      <w:r w:rsidRPr="00623C1D">
        <w:rPr>
          <w:iCs/>
        </w:rPr>
        <w:t xml:space="preserve"> establece</w:t>
      </w:r>
      <w:r w:rsidR="00623C1D">
        <w:rPr>
          <w:iCs/>
        </w:rPr>
        <w:t xml:space="preserve"> </w:t>
      </w:r>
      <w:r w:rsidR="006E5D47">
        <w:rPr>
          <w:iCs/>
        </w:rPr>
        <w:t>como parámetro la utilización del 65% del plazo declarado</w:t>
      </w:r>
      <w:r w:rsidR="00EF195F">
        <w:rPr>
          <w:iCs/>
        </w:rPr>
        <w:t xml:space="preserve"> (un mes natural) para remitir la correspondiente resolución al Despacho, para que este </w:t>
      </w:r>
      <w:r w:rsidR="00314520">
        <w:rPr>
          <w:iCs/>
        </w:rPr>
        <w:t>pudiera contar</w:t>
      </w:r>
      <w:r w:rsidR="00EF195F">
        <w:rPr>
          <w:iCs/>
        </w:rPr>
        <w:t xml:space="preserve"> con el espacio de tiempo suficiente para revisar y</w:t>
      </w:r>
      <w:r w:rsidR="00AF5B2D">
        <w:rPr>
          <w:iCs/>
        </w:rPr>
        <w:t xml:space="preserve"> suscribirla.</w:t>
      </w:r>
    </w:p>
    <w:p w14:paraId="3A9A1B0B" w14:textId="4903C98C" w:rsidR="00AF5B2D" w:rsidRDefault="00AF5B2D" w:rsidP="00004400">
      <w:pPr>
        <w:spacing w:line="276" w:lineRule="auto"/>
        <w:jc w:val="both"/>
        <w:rPr>
          <w:iCs/>
        </w:rPr>
      </w:pPr>
    </w:p>
    <w:p w14:paraId="7DA271F0" w14:textId="10F0E9E9" w:rsidR="00B63E4F" w:rsidRPr="00735A5A" w:rsidRDefault="00AF5B2D" w:rsidP="00735A5A">
      <w:pPr>
        <w:spacing w:line="276" w:lineRule="auto"/>
        <w:jc w:val="both"/>
        <w:rPr>
          <w:iCs/>
        </w:rPr>
      </w:pPr>
      <w:r>
        <w:rPr>
          <w:iCs/>
        </w:rPr>
        <w:t xml:space="preserve">El plazo de un mes </w:t>
      </w:r>
      <w:r w:rsidR="00735A5A">
        <w:rPr>
          <w:iCs/>
        </w:rPr>
        <w:t xml:space="preserve">natural </w:t>
      </w:r>
      <w:r>
        <w:rPr>
          <w:iCs/>
        </w:rPr>
        <w:t xml:space="preserve">se originó en un criterio de la </w:t>
      </w:r>
      <w:r w:rsidRPr="00B63E4F">
        <w:rPr>
          <w:i/>
        </w:rPr>
        <w:t>Procuraduría General de la República</w:t>
      </w:r>
      <w:r>
        <w:rPr>
          <w:iCs/>
        </w:rPr>
        <w:t xml:space="preserve"> qu</w:t>
      </w:r>
      <w:r w:rsidR="004C1268">
        <w:rPr>
          <w:iCs/>
        </w:rPr>
        <w:t>i</w:t>
      </w:r>
      <w:r>
        <w:rPr>
          <w:iCs/>
        </w:rPr>
        <w:t>e</w:t>
      </w:r>
      <w:r w:rsidR="004C1268">
        <w:rPr>
          <w:iCs/>
        </w:rPr>
        <w:t>n</w:t>
      </w:r>
      <w:r>
        <w:rPr>
          <w:iCs/>
        </w:rPr>
        <w:t xml:space="preserve"> consideró que, en los trámites de autorizaciones y aprobaciones</w:t>
      </w:r>
      <w:r w:rsidR="00B63E4F">
        <w:rPr>
          <w:iCs/>
        </w:rPr>
        <w:t xml:space="preserve"> que, de conformidad con la </w:t>
      </w:r>
      <w:r w:rsidR="00C60C6B">
        <w:rPr>
          <w:iCs/>
        </w:rPr>
        <w:t>l</w:t>
      </w:r>
      <w:r w:rsidR="00B63E4F">
        <w:rPr>
          <w:iCs/>
        </w:rPr>
        <w:t xml:space="preserve">ey, corresponde otorgar </w:t>
      </w:r>
      <w:r w:rsidR="00C60C6B">
        <w:rPr>
          <w:iCs/>
        </w:rPr>
        <w:t>a la Superintendencia de Pensiones</w:t>
      </w:r>
      <w:r>
        <w:rPr>
          <w:iCs/>
        </w:rPr>
        <w:t xml:space="preserve">, aplicaba el plazo de un mes natural </w:t>
      </w:r>
      <w:r w:rsidR="00B63E4F">
        <w:rPr>
          <w:iCs/>
        </w:rPr>
        <w:t>y el silencio positiv</w:t>
      </w:r>
      <w:r w:rsidR="005E56E4">
        <w:rPr>
          <w:iCs/>
        </w:rPr>
        <w:t>o,</w:t>
      </w:r>
      <w:r w:rsidR="00C60C6B">
        <w:rPr>
          <w:iCs/>
        </w:rPr>
        <w:t xml:space="preserve"> </w:t>
      </w:r>
      <w:r w:rsidR="00B63E4F">
        <w:rPr>
          <w:iCs/>
        </w:rPr>
        <w:t>de cumplir el interesado con todos los requisitos establecidos.</w:t>
      </w:r>
      <w:r w:rsidR="00735A5A">
        <w:rPr>
          <w:iCs/>
        </w:rPr>
        <w:t xml:space="preserve"> </w:t>
      </w:r>
      <w:r w:rsidR="00B63E4F" w:rsidRPr="009F41AD">
        <w:rPr>
          <w:rFonts w:cs="Times New Roman"/>
          <w:iCs/>
        </w:rPr>
        <w:t xml:space="preserve">Posteriormente, este criterio fue modificado por </w:t>
      </w:r>
      <w:r w:rsidR="000B478C">
        <w:rPr>
          <w:rFonts w:cs="Times New Roman"/>
          <w:iCs/>
        </w:rPr>
        <w:t>este órgano asesor</w:t>
      </w:r>
      <w:r w:rsidR="00B63E4F" w:rsidRPr="009F41AD">
        <w:rPr>
          <w:rFonts w:cs="Times New Roman"/>
          <w:iCs/>
        </w:rPr>
        <w:t xml:space="preserve">, quien consideró que </w:t>
      </w:r>
      <w:r w:rsidR="005E56E4">
        <w:rPr>
          <w:rFonts w:cs="Times New Roman"/>
          <w:iCs/>
        </w:rPr>
        <w:t>n</w:t>
      </w:r>
      <w:r w:rsidR="00B63E4F" w:rsidRPr="009F41AD">
        <w:rPr>
          <w:rFonts w:cs="Times New Roman"/>
          <w:iCs/>
        </w:rPr>
        <w:t>o resultaba de aplicación el silencio positivo en este tipo de trámit</w:t>
      </w:r>
      <w:r w:rsidR="00F74529" w:rsidRPr="009F41AD">
        <w:rPr>
          <w:rFonts w:cs="Times New Roman"/>
          <w:iCs/>
        </w:rPr>
        <w:t>es</w:t>
      </w:r>
      <w:r w:rsidR="009F41AD" w:rsidRPr="009F41AD">
        <w:rPr>
          <w:rFonts w:cs="Times New Roman"/>
          <w:iCs/>
        </w:rPr>
        <w:t xml:space="preserve"> (</w:t>
      </w:r>
      <w:r w:rsidR="009F41AD" w:rsidRPr="00956B9B">
        <w:rPr>
          <w:rFonts w:cs="Times New Roman"/>
          <w:i/>
          <w:iCs/>
        </w:rPr>
        <w:t xml:space="preserve">PGR-C-217-2021 del </w:t>
      </w:r>
      <w:r w:rsidR="00E7744F" w:rsidRPr="00956B9B">
        <w:rPr>
          <w:rFonts w:cs="Times New Roman"/>
          <w:i/>
          <w:iCs/>
        </w:rPr>
        <w:t>03 de agosto de 2021</w:t>
      </w:r>
      <w:r w:rsidR="00F74529" w:rsidRPr="009F41AD">
        <w:rPr>
          <w:rFonts w:cs="Times New Roman"/>
        </w:rPr>
        <w:t>)</w:t>
      </w:r>
      <w:r w:rsidR="00C60C6B" w:rsidRPr="009F41AD">
        <w:rPr>
          <w:rFonts w:cs="Times New Roman"/>
          <w:iCs/>
        </w:rPr>
        <w:t xml:space="preserve">. No </w:t>
      </w:r>
      <w:r w:rsidR="007F3738" w:rsidRPr="009F41AD">
        <w:rPr>
          <w:rFonts w:cs="Times New Roman"/>
          <w:iCs/>
        </w:rPr>
        <w:t>obstante</w:t>
      </w:r>
      <w:r w:rsidR="00CD6F6D">
        <w:rPr>
          <w:rFonts w:cs="Times New Roman"/>
          <w:iCs/>
        </w:rPr>
        <w:t xml:space="preserve"> lo antes indicado</w:t>
      </w:r>
      <w:r w:rsidR="007F3738" w:rsidRPr="009F41AD">
        <w:rPr>
          <w:rFonts w:cs="Times New Roman"/>
          <w:iCs/>
        </w:rPr>
        <w:t>,</w:t>
      </w:r>
      <w:r w:rsidR="009E625E" w:rsidRPr="009F41AD">
        <w:rPr>
          <w:rFonts w:cs="Times New Roman"/>
          <w:iCs/>
        </w:rPr>
        <w:t xml:space="preserve"> </w:t>
      </w:r>
      <w:r w:rsidR="00635A5A" w:rsidRPr="00635A5A">
        <w:rPr>
          <w:rFonts w:cs="Times New Roman"/>
          <w:i/>
        </w:rPr>
        <w:t>motu</w:t>
      </w:r>
      <w:r w:rsidR="00635A5A">
        <w:rPr>
          <w:rFonts w:cs="Times New Roman"/>
          <w:i/>
        </w:rPr>
        <w:t xml:space="preserve"> </w:t>
      </w:r>
      <w:r w:rsidR="00635A5A" w:rsidRPr="00635A5A">
        <w:rPr>
          <w:rFonts w:cs="Times New Roman"/>
          <w:i/>
        </w:rPr>
        <w:t>proprio</w:t>
      </w:r>
      <w:r w:rsidR="009E625E" w:rsidRPr="009F41AD">
        <w:rPr>
          <w:rFonts w:cs="Times New Roman"/>
          <w:iCs/>
        </w:rPr>
        <w:t xml:space="preserve">, se </w:t>
      </w:r>
      <w:r w:rsidR="008F117F" w:rsidRPr="009F41AD">
        <w:rPr>
          <w:rFonts w:cs="Times New Roman"/>
          <w:iCs/>
        </w:rPr>
        <w:t>decidió mantenerlo</w:t>
      </w:r>
      <w:r w:rsidR="00383D67">
        <w:rPr>
          <w:rFonts w:cs="Times New Roman"/>
          <w:iCs/>
        </w:rPr>
        <w:t xml:space="preserve"> como parte de los indicadores para medir la eficiencia del proceso</w:t>
      </w:r>
      <w:r w:rsidR="00CD6F6D">
        <w:rPr>
          <w:rFonts w:cs="Times New Roman"/>
          <w:iCs/>
        </w:rPr>
        <w:t xml:space="preserve"> de cara a l</w:t>
      </w:r>
      <w:r w:rsidR="00B0150F">
        <w:rPr>
          <w:rFonts w:cs="Times New Roman"/>
          <w:iCs/>
        </w:rPr>
        <w:t>as entidades supervisadas.</w:t>
      </w:r>
    </w:p>
    <w:p w14:paraId="14635580" w14:textId="77777777" w:rsidR="009F7736" w:rsidRPr="009F41AD" w:rsidRDefault="009F7736" w:rsidP="00367626">
      <w:pPr>
        <w:spacing w:line="276" w:lineRule="auto"/>
        <w:jc w:val="both"/>
        <w:rPr>
          <w:rFonts w:cs="Times New Roman"/>
          <w:iCs/>
        </w:rPr>
      </w:pPr>
    </w:p>
    <w:p w14:paraId="2682925F" w14:textId="61EA1556" w:rsidR="001B3CF9" w:rsidRDefault="0062642C" w:rsidP="00004400">
      <w:pPr>
        <w:spacing w:line="276" w:lineRule="auto"/>
        <w:jc w:val="both"/>
        <w:rPr>
          <w:iCs/>
        </w:rPr>
      </w:pPr>
      <w:r>
        <w:rPr>
          <w:iCs/>
        </w:rPr>
        <w:t>Si bien se presentaron algunas deviaciones especto del plazo interno para el traslado de las correspondientes resoluciones al Despacho, según el indicador antes indicado</w:t>
      </w:r>
      <w:r w:rsidR="007B2044">
        <w:rPr>
          <w:iCs/>
        </w:rPr>
        <w:t xml:space="preserve"> (65%)</w:t>
      </w:r>
      <w:r>
        <w:rPr>
          <w:iCs/>
        </w:rPr>
        <w:t xml:space="preserve">, en </w:t>
      </w:r>
      <w:r w:rsidR="00B97B76">
        <w:rPr>
          <w:iCs/>
        </w:rPr>
        <w:t>promedio</w:t>
      </w:r>
      <w:r>
        <w:rPr>
          <w:iCs/>
        </w:rPr>
        <w:t xml:space="preserve">, todas las solicitudes fueron resueltas </w:t>
      </w:r>
      <w:r w:rsidR="00B97B76">
        <w:rPr>
          <w:iCs/>
        </w:rPr>
        <w:t>en menos de un mes natural</w:t>
      </w:r>
      <w:r w:rsidR="00277D35">
        <w:rPr>
          <w:iCs/>
        </w:rPr>
        <w:t>, resultados que resultan muy satisfactorios dadas las plazas vacantes</w:t>
      </w:r>
      <w:r w:rsidR="00B0150F">
        <w:rPr>
          <w:iCs/>
        </w:rPr>
        <w:t xml:space="preserve"> que consistentemente </w:t>
      </w:r>
      <w:r w:rsidR="000268A5">
        <w:rPr>
          <w:iCs/>
        </w:rPr>
        <w:t>ha sufrido e</w:t>
      </w:r>
      <w:r w:rsidR="00EE3C16">
        <w:rPr>
          <w:iCs/>
        </w:rPr>
        <w:t>l proceso hasta la fecha</w:t>
      </w:r>
      <w:r w:rsidR="000268A5">
        <w:rPr>
          <w:iCs/>
        </w:rPr>
        <w:t>.</w:t>
      </w:r>
    </w:p>
    <w:p w14:paraId="037E3DC9" w14:textId="77777777" w:rsidR="00B97B76" w:rsidRDefault="00B97B76" w:rsidP="00004400">
      <w:pPr>
        <w:spacing w:line="276" w:lineRule="auto"/>
        <w:jc w:val="both"/>
        <w:rPr>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1045"/>
        <w:gridCol w:w="964"/>
        <w:gridCol w:w="867"/>
        <w:gridCol w:w="867"/>
        <w:gridCol w:w="480"/>
        <w:gridCol w:w="674"/>
        <w:gridCol w:w="867"/>
        <w:gridCol w:w="1155"/>
        <w:gridCol w:w="1128"/>
      </w:tblGrid>
      <w:tr w:rsidR="001B3CF9" w:rsidRPr="001B3CF9" w14:paraId="063F7401" w14:textId="77777777" w:rsidTr="00FF15C6">
        <w:trPr>
          <w:trHeight w:val="300"/>
          <w:jc w:val="center"/>
        </w:trPr>
        <w:tc>
          <w:tcPr>
            <w:tcW w:w="5000" w:type="pct"/>
            <w:gridSpan w:val="10"/>
            <w:shd w:val="clear" w:color="auto" w:fill="F2F2F2" w:themeFill="background1" w:themeFillShade="F2"/>
            <w:noWrap/>
            <w:vAlign w:val="bottom"/>
          </w:tcPr>
          <w:p w14:paraId="75B78F90" w14:textId="77777777" w:rsidR="00B97B76" w:rsidRDefault="00B97B76" w:rsidP="001B3CF9">
            <w:pPr>
              <w:spacing w:line="240" w:lineRule="auto"/>
              <w:jc w:val="center"/>
              <w:rPr>
                <w:rFonts w:eastAsia="Times New Roman" w:cs="Times New Roman"/>
                <w:b/>
                <w:bCs/>
                <w:sz w:val="14"/>
                <w:szCs w:val="14"/>
                <w:lang w:val="es-CR" w:eastAsia="es-CR"/>
              </w:rPr>
            </w:pPr>
          </w:p>
          <w:p w14:paraId="549E22DD" w14:textId="4DFCC8FE" w:rsidR="001B3CF9" w:rsidRDefault="001B3CF9" w:rsidP="001B3CF9">
            <w:pPr>
              <w:spacing w:line="240" w:lineRule="auto"/>
              <w:jc w:val="center"/>
              <w:rPr>
                <w:rFonts w:eastAsia="Times New Roman" w:cs="Times New Roman"/>
                <w:b/>
                <w:bCs/>
                <w:sz w:val="14"/>
                <w:szCs w:val="14"/>
                <w:lang w:val="es-CR" w:eastAsia="es-CR"/>
              </w:rPr>
            </w:pPr>
            <w:r w:rsidRPr="001B3CF9">
              <w:rPr>
                <w:rFonts w:eastAsia="Times New Roman" w:cs="Times New Roman"/>
                <w:b/>
                <w:bCs/>
                <w:sz w:val="14"/>
                <w:szCs w:val="14"/>
                <w:lang w:val="es-CR" w:eastAsia="es-CR"/>
              </w:rPr>
              <w:t>PLAZO DE DÍAS DE ATENCIÓN</w:t>
            </w:r>
          </w:p>
          <w:p w14:paraId="7A360A8B" w14:textId="29C70F2E" w:rsidR="00B97B76" w:rsidRPr="001B3CF9" w:rsidRDefault="00B97B76" w:rsidP="001B3CF9">
            <w:pPr>
              <w:spacing w:line="240" w:lineRule="auto"/>
              <w:jc w:val="center"/>
              <w:rPr>
                <w:rFonts w:eastAsia="Times New Roman" w:cs="Times New Roman"/>
                <w:sz w:val="14"/>
                <w:szCs w:val="14"/>
                <w:lang w:val="es-CR" w:eastAsia="es-CR"/>
              </w:rPr>
            </w:pPr>
          </w:p>
        </w:tc>
      </w:tr>
      <w:tr w:rsidR="001B3CF9" w:rsidRPr="001B3CF9" w14:paraId="3EEDD7B4" w14:textId="77777777" w:rsidTr="00FF15C6">
        <w:trPr>
          <w:trHeight w:val="300"/>
          <w:jc w:val="center"/>
        </w:trPr>
        <w:tc>
          <w:tcPr>
            <w:tcW w:w="442" w:type="pct"/>
            <w:shd w:val="clear" w:color="D9E1F2" w:fill="D9E1F2"/>
            <w:noWrap/>
            <w:vAlign w:val="bottom"/>
            <w:hideMark/>
          </w:tcPr>
          <w:p w14:paraId="709A70C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AÑO</w:t>
            </w:r>
          </w:p>
        </w:tc>
        <w:tc>
          <w:tcPr>
            <w:tcW w:w="592" w:type="pct"/>
            <w:shd w:val="clear" w:color="D9E1F2" w:fill="D9E1F2"/>
            <w:noWrap/>
            <w:vAlign w:val="bottom"/>
            <w:hideMark/>
          </w:tcPr>
          <w:p w14:paraId="6FE554C9"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Bonificaciones</w:t>
            </w:r>
          </w:p>
        </w:tc>
        <w:tc>
          <w:tcPr>
            <w:tcW w:w="546" w:type="pct"/>
            <w:shd w:val="clear" w:color="D9E1F2" w:fill="D9E1F2"/>
            <w:noWrap/>
            <w:vAlign w:val="bottom"/>
            <w:hideMark/>
          </w:tcPr>
          <w:p w14:paraId="4BF2A2C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Comisiones</w:t>
            </w:r>
          </w:p>
        </w:tc>
        <w:tc>
          <w:tcPr>
            <w:tcW w:w="491" w:type="pct"/>
            <w:shd w:val="clear" w:color="D9E1F2" w:fill="D9E1F2"/>
            <w:noWrap/>
            <w:vAlign w:val="bottom"/>
            <w:hideMark/>
          </w:tcPr>
          <w:p w14:paraId="365B543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Contratos</w:t>
            </w:r>
          </w:p>
        </w:tc>
        <w:tc>
          <w:tcPr>
            <w:tcW w:w="491" w:type="pct"/>
            <w:shd w:val="clear" w:color="D9E1F2" w:fill="D9E1F2"/>
            <w:noWrap/>
            <w:vAlign w:val="bottom"/>
            <w:hideMark/>
          </w:tcPr>
          <w:p w14:paraId="68BB2E2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Licitación de erróneos</w:t>
            </w:r>
          </w:p>
        </w:tc>
        <w:tc>
          <w:tcPr>
            <w:tcW w:w="272" w:type="pct"/>
            <w:shd w:val="clear" w:color="D9E1F2" w:fill="D9E1F2"/>
            <w:noWrap/>
            <w:vAlign w:val="bottom"/>
            <w:hideMark/>
          </w:tcPr>
          <w:p w14:paraId="6FE67C63"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Otros</w:t>
            </w:r>
          </w:p>
        </w:tc>
        <w:tc>
          <w:tcPr>
            <w:tcW w:w="382" w:type="pct"/>
            <w:shd w:val="clear" w:color="D9E1F2" w:fill="D9E1F2"/>
            <w:noWrap/>
            <w:vAlign w:val="bottom"/>
            <w:hideMark/>
          </w:tcPr>
          <w:p w14:paraId="783EC338"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Planes</w:t>
            </w:r>
          </w:p>
        </w:tc>
        <w:tc>
          <w:tcPr>
            <w:tcW w:w="491" w:type="pct"/>
            <w:shd w:val="clear" w:color="D9E1F2" w:fill="D9E1F2"/>
            <w:noWrap/>
            <w:vAlign w:val="bottom"/>
            <w:hideMark/>
          </w:tcPr>
          <w:p w14:paraId="1AD432D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Promotores</w:t>
            </w:r>
          </w:p>
        </w:tc>
        <w:tc>
          <w:tcPr>
            <w:tcW w:w="654" w:type="pct"/>
            <w:shd w:val="clear" w:color="D9E1F2" w:fill="D9E1F2"/>
            <w:noWrap/>
            <w:vAlign w:val="bottom"/>
            <w:hideMark/>
          </w:tcPr>
          <w:p w14:paraId="59AFCA9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Reglamento RCC</w:t>
            </w:r>
          </w:p>
        </w:tc>
        <w:tc>
          <w:tcPr>
            <w:tcW w:w="639" w:type="pct"/>
            <w:shd w:val="pct5" w:color="auto" w:fill="C5E0B3"/>
            <w:noWrap/>
            <w:vAlign w:val="bottom"/>
            <w:hideMark/>
          </w:tcPr>
          <w:p w14:paraId="47FC8E59" w14:textId="21A4CB89" w:rsidR="001B3CF9" w:rsidRPr="001B3CF9" w:rsidRDefault="001849B8" w:rsidP="001B3CF9">
            <w:pPr>
              <w:spacing w:line="240" w:lineRule="auto"/>
              <w:jc w:val="center"/>
              <w:rPr>
                <w:rFonts w:ascii="Calibri" w:eastAsia="Times New Roman" w:hAnsi="Calibri" w:cs="Calibri"/>
                <w:b/>
                <w:bCs/>
                <w:color w:val="000000"/>
                <w:sz w:val="14"/>
                <w:szCs w:val="14"/>
                <w:lang w:val="es-CR" w:eastAsia="es-CR"/>
              </w:rPr>
            </w:pPr>
            <w:r>
              <w:rPr>
                <w:rFonts w:ascii="Calibri" w:eastAsia="Times New Roman" w:hAnsi="Calibri" w:cs="Calibri"/>
                <w:b/>
                <w:bCs/>
                <w:color w:val="000000"/>
                <w:sz w:val="14"/>
                <w:szCs w:val="14"/>
                <w:lang w:val="es-CR" w:eastAsia="es-CR"/>
              </w:rPr>
              <w:t>Promedio días</w:t>
            </w:r>
            <w:r w:rsidR="001B3CF9" w:rsidRPr="001B3CF9">
              <w:rPr>
                <w:rFonts w:ascii="Calibri" w:eastAsia="Times New Roman" w:hAnsi="Calibri" w:cs="Calibri"/>
                <w:b/>
                <w:bCs/>
                <w:color w:val="000000"/>
                <w:sz w:val="14"/>
                <w:szCs w:val="14"/>
                <w:lang w:val="es-CR" w:eastAsia="es-CR"/>
              </w:rPr>
              <w:t xml:space="preserve"> por año</w:t>
            </w:r>
          </w:p>
        </w:tc>
      </w:tr>
      <w:tr w:rsidR="001B3CF9" w:rsidRPr="001B3CF9" w14:paraId="1649CFF4" w14:textId="77777777" w:rsidTr="00FF15C6">
        <w:trPr>
          <w:trHeight w:val="300"/>
          <w:jc w:val="center"/>
        </w:trPr>
        <w:tc>
          <w:tcPr>
            <w:tcW w:w="442" w:type="pct"/>
            <w:shd w:val="clear" w:color="auto" w:fill="auto"/>
            <w:noWrap/>
            <w:vAlign w:val="bottom"/>
            <w:hideMark/>
          </w:tcPr>
          <w:p w14:paraId="4578F965"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2018</w:t>
            </w:r>
          </w:p>
        </w:tc>
        <w:tc>
          <w:tcPr>
            <w:tcW w:w="592" w:type="pct"/>
            <w:shd w:val="clear" w:color="auto" w:fill="auto"/>
            <w:noWrap/>
            <w:vAlign w:val="bottom"/>
            <w:hideMark/>
          </w:tcPr>
          <w:p w14:paraId="4D046BD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546" w:type="pct"/>
            <w:shd w:val="clear" w:color="auto" w:fill="auto"/>
            <w:noWrap/>
            <w:vAlign w:val="bottom"/>
            <w:hideMark/>
          </w:tcPr>
          <w:p w14:paraId="3DA9C9E8"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15</w:t>
            </w:r>
          </w:p>
        </w:tc>
        <w:tc>
          <w:tcPr>
            <w:tcW w:w="491" w:type="pct"/>
            <w:shd w:val="clear" w:color="auto" w:fill="auto"/>
            <w:noWrap/>
            <w:vAlign w:val="bottom"/>
            <w:hideMark/>
          </w:tcPr>
          <w:p w14:paraId="35B3A8F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14</w:t>
            </w:r>
          </w:p>
        </w:tc>
        <w:tc>
          <w:tcPr>
            <w:tcW w:w="491" w:type="pct"/>
            <w:shd w:val="clear" w:color="auto" w:fill="auto"/>
            <w:noWrap/>
            <w:vAlign w:val="bottom"/>
            <w:hideMark/>
          </w:tcPr>
          <w:p w14:paraId="4865E3D9"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272" w:type="pct"/>
            <w:shd w:val="clear" w:color="auto" w:fill="auto"/>
            <w:noWrap/>
            <w:vAlign w:val="bottom"/>
            <w:hideMark/>
          </w:tcPr>
          <w:p w14:paraId="07E2C6B0"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6</w:t>
            </w:r>
          </w:p>
        </w:tc>
        <w:tc>
          <w:tcPr>
            <w:tcW w:w="382" w:type="pct"/>
            <w:shd w:val="clear" w:color="auto" w:fill="auto"/>
            <w:noWrap/>
            <w:vAlign w:val="bottom"/>
            <w:hideMark/>
          </w:tcPr>
          <w:p w14:paraId="21ED130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491" w:type="pct"/>
            <w:shd w:val="clear" w:color="auto" w:fill="auto"/>
            <w:noWrap/>
            <w:vAlign w:val="bottom"/>
            <w:hideMark/>
          </w:tcPr>
          <w:p w14:paraId="1EFF92CA"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5</w:t>
            </w:r>
          </w:p>
        </w:tc>
        <w:tc>
          <w:tcPr>
            <w:tcW w:w="654" w:type="pct"/>
            <w:shd w:val="clear" w:color="auto" w:fill="auto"/>
            <w:noWrap/>
            <w:vAlign w:val="bottom"/>
            <w:hideMark/>
          </w:tcPr>
          <w:p w14:paraId="4DAF1F68"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639" w:type="pct"/>
            <w:shd w:val="pct5" w:color="auto" w:fill="C5E0B3"/>
            <w:noWrap/>
            <w:vAlign w:val="bottom"/>
            <w:hideMark/>
          </w:tcPr>
          <w:p w14:paraId="5254B252"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7</w:t>
            </w:r>
          </w:p>
        </w:tc>
      </w:tr>
      <w:tr w:rsidR="001B3CF9" w:rsidRPr="001B3CF9" w14:paraId="3CBB4A5D" w14:textId="77777777" w:rsidTr="00FF15C6">
        <w:trPr>
          <w:trHeight w:val="300"/>
          <w:jc w:val="center"/>
        </w:trPr>
        <w:tc>
          <w:tcPr>
            <w:tcW w:w="442" w:type="pct"/>
            <w:shd w:val="clear" w:color="auto" w:fill="auto"/>
            <w:noWrap/>
            <w:vAlign w:val="bottom"/>
            <w:hideMark/>
          </w:tcPr>
          <w:p w14:paraId="28BB872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2019</w:t>
            </w:r>
          </w:p>
        </w:tc>
        <w:tc>
          <w:tcPr>
            <w:tcW w:w="592" w:type="pct"/>
            <w:shd w:val="clear" w:color="auto" w:fill="auto"/>
            <w:noWrap/>
            <w:vAlign w:val="bottom"/>
            <w:hideMark/>
          </w:tcPr>
          <w:p w14:paraId="3D3CAFE5"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546" w:type="pct"/>
            <w:shd w:val="clear" w:color="auto" w:fill="auto"/>
            <w:noWrap/>
            <w:vAlign w:val="bottom"/>
            <w:hideMark/>
          </w:tcPr>
          <w:p w14:paraId="5C34BE07" w14:textId="77777777" w:rsidR="001B3CF9" w:rsidRPr="001B3CF9" w:rsidRDefault="001B3CF9" w:rsidP="001B3CF9">
            <w:pPr>
              <w:spacing w:line="240" w:lineRule="auto"/>
              <w:ind w:firstLineChars="1600" w:firstLine="2240"/>
              <w:jc w:val="center"/>
              <w:rPr>
                <w:rFonts w:eastAsia="Times New Roman" w:cs="Times New Roman"/>
                <w:sz w:val="14"/>
                <w:szCs w:val="14"/>
                <w:lang w:val="es-CR" w:eastAsia="es-CR"/>
              </w:rPr>
            </w:pPr>
          </w:p>
        </w:tc>
        <w:tc>
          <w:tcPr>
            <w:tcW w:w="491" w:type="pct"/>
            <w:shd w:val="clear" w:color="auto" w:fill="auto"/>
            <w:noWrap/>
            <w:vAlign w:val="bottom"/>
            <w:hideMark/>
          </w:tcPr>
          <w:p w14:paraId="6E6B0A93"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12</w:t>
            </w:r>
          </w:p>
        </w:tc>
        <w:tc>
          <w:tcPr>
            <w:tcW w:w="491" w:type="pct"/>
            <w:shd w:val="clear" w:color="auto" w:fill="auto"/>
            <w:noWrap/>
            <w:vAlign w:val="bottom"/>
            <w:hideMark/>
          </w:tcPr>
          <w:p w14:paraId="1B81A928"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272" w:type="pct"/>
            <w:shd w:val="clear" w:color="auto" w:fill="auto"/>
            <w:noWrap/>
            <w:vAlign w:val="bottom"/>
            <w:hideMark/>
          </w:tcPr>
          <w:p w14:paraId="584331D5" w14:textId="77777777" w:rsidR="001B3CF9" w:rsidRPr="001B3CF9" w:rsidRDefault="001B3CF9" w:rsidP="001B3CF9">
            <w:pPr>
              <w:spacing w:line="240" w:lineRule="auto"/>
              <w:jc w:val="center"/>
              <w:rPr>
                <w:rFonts w:eastAsia="Times New Roman" w:cs="Times New Roman"/>
                <w:sz w:val="14"/>
                <w:szCs w:val="14"/>
                <w:lang w:val="es-CR" w:eastAsia="es-CR"/>
              </w:rPr>
            </w:pPr>
          </w:p>
        </w:tc>
        <w:tc>
          <w:tcPr>
            <w:tcW w:w="382" w:type="pct"/>
            <w:shd w:val="clear" w:color="auto" w:fill="auto"/>
            <w:noWrap/>
            <w:vAlign w:val="bottom"/>
            <w:hideMark/>
          </w:tcPr>
          <w:p w14:paraId="24DB8B1A" w14:textId="77777777" w:rsidR="001B3CF9" w:rsidRPr="001B3CF9" w:rsidRDefault="001B3CF9" w:rsidP="001B3CF9">
            <w:pPr>
              <w:spacing w:line="240" w:lineRule="auto"/>
              <w:jc w:val="center"/>
              <w:rPr>
                <w:rFonts w:eastAsia="Times New Roman" w:cs="Times New Roman"/>
                <w:sz w:val="14"/>
                <w:szCs w:val="14"/>
                <w:lang w:val="es-CR" w:eastAsia="es-CR"/>
              </w:rPr>
            </w:pPr>
          </w:p>
        </w:tc>
        <w:tc>
          <w:tcPr>
            <w:tcW w:w="491" w:type="pct"/>
            <w:shd w:val="clear" w:color="auto" w:fill="auto"/>
            <w:noWrap/>
            <w:vAlign w:val="bottom"/>
            <w:hideMark/>
          </w:tcPr>
          <w:p w14:paraId="15742C4E"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6</w:t>
            </w:r>
          </w:p>
        </w:tc>
        <w:tc>
          <w:tcPr>
            <w:tcW w:w="654" w:type="pct"/>
            <w:shd w:val="clear" w:color="auto" w:fill="auto"/>
            <w:noWrap/>
            <w:vAlign w:val="bottom"/>
            <w:hideMark/>
          </w:tcPr>
          <w:p w14:paraId="24D4673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639" w:type="pct"/>
            <w:shd w:val="pct5" w:color="auto" w:fill="C5E0B3"/>
            <w:noWrap/>
            <w:vAlign w:val="bottom"/>
            <w:hideMark/>
          </w:tcPr>
          <w:p w14:paraId="0389136F"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11</w:t>
            </w:r>
          </w:p>
        </w:tc>
      </w:tr>
      <w:tr w:rsidR="001B3CF9" w:rsidRPr="001B3CF9" w14:paraId="7CD93ACB" w14:textId="77777777" w:rsidTr="00FF15C6">
        <w:trPr>
          <w:trHeight w:val="300"/>
          <w:jc w:val="center"/>
        </w:trPr>
        <w:tc>
          <w:tcPr>
            <w:tcW w:w="442" w:type="pct"/>
            <w:shd w:val="clear" w:color="auto" w:fill="auto"/>
            <w:noWrap/>
            <w:vAlign w:val="bottom"/>
            <w:hideMark/>
          </w:tcPr>
          <w:p w14:paraId="78209EBC"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2020</w:t>
            </w:r>
          </w:p>
        </w:tc>
        <w:tc>
          <w:tcPr>
            <w:tcW w:w="592" w:type="pct"/>
            <w:shd w:val="clear" w:color="auto" w:fill="auto"/>
            <w:noWrap/>
            <w:vAlign w:val="bottom"/>
            <w:hideMark/>
          </w:tcPr>
          <w:p w14:paraId="1676810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546" w:type="pct"/>
            <w:shd w:val="clear" w:color="auto" w:fill="auto"/>
            <w:noWrap/>
            <w:vAlign w:val="bottom"/>
            <w:hideMark/>
          </w:tcPr>
          <w:p w14:paraId="5B414874" w14:textId="77777777" w:rsidR="001B3CF9" w:rsidRPr="001B3CF9" w:rsidRDefault="001B3CF9" w:rsidP="001B3CF9">
            <w:pPr>
              <w:spacing w:line="240" w:lineRule="auto"/>
              <w:ind w:firstLineChars="1600" w:firstLine="2240"/>
              <w:jc w:val="center"/>
              <w:rPr>
                <w:rFonts w:eastAsia="Times New Roman" w:cs="Times New Roman"/>
                <w:sz w:val="14"/>
                <w:szCs w:val="14"/>
                <w:lang w:val="es-CR" w:eastAsia="es-CR"/>
              </w:rPr>
            </w:pPr>
          </w:p>
        </w:tc>
        <w:tc>
          <w:tcPr>
            <w:tcW w:w="491" w:type="pct"/>
            <w:shd w:val="clear" w:color="auto" w:fill="auto"/>
            <w:noWrap/>
            <w:vAlign w:val="bottom"/>
            <w:hideMark/>
          </w:tcPr>
          <w:p w14:paraId="7285729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12</w:t>
            </w:r>
          </w:p>
        </w:tc>
        <w:tc>
          <w:tcPr>
            <w:tcW w:w="491" w:type="pct"/>
            <w:shd w:val="clear" w:color="auto" w:fill="auto"/>
            <w:noWrap/>
            <w:vAlign w:val="bottom"/>
            <w:hideMark/>
          </w:tcPr>
          <w:p w14:paraId="0489ECA4"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272" w:type="pct"/>
            <w:shd w:val="clear" w:color="auto" w:fill="auto"/>
            <w:noWrap/>
            <w:vAlign w:val="bottom"/>
            <w:hideMark/>
          </w:tcPr>
          <w:p w14:paraId="3A4804B4"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9</w:t>
            </w:r>
          </w:p>
        </w:tc>
        <w:tc>
          <w:tcPr>
            <w:tcW w:w="382" w:type="pct"/>
            <w:shd w:val="clear" w:color="auto" w:fill="auto"/>
            <w:noWrap/>
            <w:vAlign w:val="bottom"/>
            <w:hideMark/>
          </w:tcPr>
          <w:p w14:paraId="77E93EE9"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18</w:t>
            </w:r>
          </w:p>
        </w:tc>
        <w:tc>
          <w:tcPr>
            <w:tcW w:w="491" w:type="pct"/>
            <w:shd w:val="clear" w:color="auto" w:fill="auto"/>
            <w:noWrap/>
            <w:vAlign w:val="bottom"/>
            <w:hideMark/>
          </w:tcPr>
          <w:p w14:paraId="4A1F627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5</w:t>
            </w:r>
          </w:p>
        </w:tc>
        <w:tc>
          <w:tcPr>
            <w:tcW w:w="654" w:type="pct"/>
            <w:shd w:val="clear" w:color="auto" w:fill="auto"/>
            <w:noWrap/>
            <w:vAlign w:val="bottom"/>
            <w:hideMark/>
          </w:tcPr>
          <w:p w14:paraId="31111F69"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639" w:type="pct"/>
            <w:shd w:val="pct5" w:color="auto" w:fill="C5E0B3"/>
            <w:noWrap/>
            <w:vAlign w:val="bottom"/>
            <w:hideMark/>
          </w:tcPr>
          <w:p w14:paraId="78EED11D"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11</w:t>
            </w:r>
          </w:p>
        </w:tc>
      </w:tr>
      <w:tr w:rsidR="001B3CF9" w:rsidRPr="001B3CF9" w14:paraId="479BE9B7" w14:textId="77777777" w:rsidTr="00FF15C6">
        <w:trPr>
          <w:trHeight w:val="300"/>
          <w:jc w:val="center"/>
        </w:trPr>
        <w:tc>
          <w:tcPr>
            <w:tcW w:w="442" w:type="pct"/>
            <w:shd w:val="clear" w:color="auto" w:fill="auto"/>
            <w:noWrap/>
            <w:vAlign w:val="bottom"/>
            <w:hideMark/>
          </w:tcPr>
          <w:p w14:paraId="34B1884A"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2021</w:t>
            </w:r>
          </w:p>
        </w:tc>
        <w:tc>
          <w:tcPr>
            <w:tcW w:w="592" w:type="pct"/>
            <w:shd w:val="clear" w:color="auto" w:fill="auto"/>
            <w:noWrap/>
            <w:vAlign w:val="bottom"/>
            <w:hideMark/>
          </w:tcPr>
          <w:p w14:paraId="19C6532E" w14:textId="77777777" w:rsidR="001B3CF9" w:rsidRPr="001B3CF9" w:rsidRDefault="001B3CF9" w:rsidP="001B3CF9">
            <w:pPr>
              <w:spacing w:line="240" w:lineRule="auto"/>
              <w:ind w:firstLineChars="1600" w:firstLine="2249"/>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3</w:t>
            </w:r>
          </w:p>
        </w:tc>
        <w:tc>
          <w:tcPr>
            <w:tcW w:w="546" w:type="pct"/>
            <w:shd w:val="clear" w:color="auto" w:fill="auto"/>
            <w:noWrap/>
            <w:vAlign w:val="bottom"/>
            <w:hideMark/>
          </w:tcPr>
          <w:p w14:paraId="6871CC72"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13</w:t>
            </w:r>
          </w:p>
        </w:tc>
        <w:tc>
          <w:tcPr>
            <w:tcW w:w="491" w:type="pct"/>
            <w:shd w:val="clear" w:color="auto" w:fill="auto"/>
            <w:noWrap/>
            <w:vAlign w:val="bottom"/>
            <w:hideMark/>
          </w:tcPr>
          <w:p w14:paraId="70BD2F3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14</w:t>
            </w:r>
          </w:p>
        </w:tc>
        <w:tc>
          <w:tcPr>
            <w:tcW w:w="491" w:type="pct"/>
            <w:shd w:val="clear" w:color="auto" w:fill="auto"/>
            <w:noWrap/>
            <w:vAlign w:val="bottom"/>
            <w:hideMark/>
          </w:tcPr>
          <w:p w14:paraId="24C9503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272" w:type="pct"/>
            <w:shd w:val="clear" w:color="auto" w:fill="auto"/>
            <w:noWrap/>
            <w:vAlign w:val="bottom"/>
            <w:hideMark/>
          </w:tcPr>
          <w:p w14:paraId="5A16EB93"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7</w:t>
            </w:r>
          </w:p>
        </w:tc>
        <w:tc>
          <w:tcPr>
            <w:tcW w:w="382" w:type="pct"/>
            <w:shd w:val="clear" w:color="auto" w:fill="auto"/>
            <w:noWrap/>
            <w:vAlign w:val="bottom"/>
            <w:hideMark/>
          </w:tcPr>
          <w:p w14:paraId="3C585CF0"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22</w:t>
            </w:r>
          </w:p>
        </w:tc>
        <w:tc>
          <w:tcPr>
            <w:tcW w:w="491" w:type="pct"/>
            <w:shd w:val="clear" w:color="auto" w:fill="auto"/>
            <w:noWrap/>
            <w:vAlign w:val="bottom"/>
            <w:hideMark/>
          </w:tcPr>
          <w:p w14:paraId="24F24AAA"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4</w:t>
            </w:r>
          </w:p>
        </w:tc>
        <w:tc>
          <w:tcPr>
            <w:tcW w:w="654" w:type="pct"/>
            <w:shd w:val="clear" w:color="auto" w:fill="auto"/>
            <w:noWrap/>
            <w:vAlign w:val="bottom"/>
            <w:hideMark/>
          </w:tcPr>
          <w:p w14:paraId="7E272FAD"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639" w:type="pct"/>
            <w:shd w:val="pct5" w:color="auto" w:fill="C5E0B3"/>
            <w:noWrap/>
            <w:vAlign w:val="bottom"/>
            <w:hideMark/>
          </w:tcPr>
          <w:p w14:paraId="405CEA79"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12</w:t>
            </w:r>
          </w:p>
        </w:tc>
      </w:tr>
      <w:tr w:rsidR="001B3CF9" w:rsidRPr="001B3CF9" w14:paraId="34E3C4CF" w14:textId="77777777" w:rsidTr="00FF15C6">
        <w:trPr>
          <w:trHeight w:val="300"/>
          <w:jc w:val="center"/>
        </w:trPr>
        <w:tc>
          <w:tcPr>
            <w:tcW w:w="442" w:type="pct"/>
            <w:shd w:val="clear" w:color="auto" w:fill="auto"/>
            <w:noWrap/>
            <w:vAlign w:val="bottom"/>
            <w:hideMark/>
          </w:tcPr>
          <w:p w14:paraId="4361EF71"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2022</w:t>
            </w:r>
          </w:p>
        </w:tc>
        <w:tc>
          <w:tcPr>
            <w:tcW w:w="592" w:type="pct"/>
            <w:shd w:val="clear" w:color="auto" w:fill="auto"/>
            <w:noWrap/>
            <w:vAlign w:val="bottom"/>
            <w:hideMark/>
          </w:tcPr>
          <w:p w14:paraId="1F2B935A" w14:textId="77777777" w:rsidR="001B3CF9" w:rsidRPr="001B3CF9" w:rsidRDefault="001B3CF9" w:rsidP="001B3CF9">
            <w:pPr>
              <w:spacing w:line="240" w:lineRule="auto"/>
              <w:ind w:firstLineChars="1600" w:firstLine="2249"/>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12</w:t>
            </w:r>
          </w:p>
        </w:tc>
        <w:tc>
          <w:tcPr>
            <w:tcW w:w="546" w:type="pct"/>
            <w:shd w:val="clear" w:color="auto" w:fill="auto"/>
            <w:noWrap/>
            <w:vAlign w:val="bottom"/>
            <w:hideMark/>
          </w:tcPr>
          <w:p w14:paraId="65C09A3E"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14</w:t>
            </w:r>
          </w:p>
        </w:tc>
        <w:tc>
          <w:tcPr>
            <w:tcW w:w="491" w:type="pct"/>
            <w:shd w:val="clear" w:color="auto" w:fill="auto"/>
            <w:noWrap/>
            <w:vAlign w:val="bottom"/>
            <w:hideMark/>
          </w:tcPr>
          <w:p w14:paraId="28EA1F5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10</w:t>
            </w:r>
          </w:p>
        </w:tc>
        <w:tc>
          <w:tcPr>
            <w:tcW w:w="491" w:type="pct"/>
            <w:shd w:val="clear" w:color="auto" w:fill="auto"/>
            <w:noWrap/>
            <w:vAlign w:val="bottom"/>
            <w:hideMark/>
          </w:tcPr>
          <w:p w14:paraId="38C1AFF0"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w:t>
            </w:r>
          </w:p>
        </w:tc>
        <w:tc>
          <w:tcPr>
            <w:tcW w:w="272" w:type="pct"/>
            <w:shd w:val="clear" w:color="auto" w:fill="auto"/>
            <w:noWrap/>
            <w:vAlign w:val="bottom"/>
            <w:hideMark/>
          </w:tcPr>
          <w:p w14:paraId="798767C5"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10</w:t>
            </w:r>
          </w:p>
        </w:tc>
        <w:tc>
          <w:tcPr>
            <w:tcW w:w="382" w:type="pct"/>
            <w:shd w:val="clear" w:color="auto" w:fill="auto"/>
            <w:noWrap/>
            <w:vAlign w:val="bottom"/>
            <w:hideMark/>
          </w:tcPr>
          <w:p w14:paraId="5AA4EBBF"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491" w:type="pct"/>
            <w:shd w:val="clear" w:color="auto" w:fill="auto"/>
            <w:noWrap/>
            <w:vAlign w:val="bottom"/>
            <w:hideMark/>
          </w:tcPr>
          <w:p w14:paraId="03F4EFE8"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10</w:t>
            </w:r>
          </w:p>
        </w:tc>
        <w:tc>
          <w:tcPr>
            <w:tcW w:w="654" w:type="pct"/>
            <w:shd w:val="clear" w:color="auto" w:fill="auto"/>
            <w:noWrap/>
            <w:vAlign w:val="bottom"/>
            <w:hideMark/>
          </w:tcPr>
          <w:p w14:paraId="66A451E0"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9</w:t>
            </w:r>
          </w:p>
        </w:tc>
        <w:tc>
          <w:tcPr>
            <w:tcW w:w="639" w:type="pct"/>
            <w:shd w:val="pct5" w:color="auto" w:fill="C5E0B3"/>
            <w:noWrap/>
            <w:vAlign w:val="bottom"/>
            <w:hideMark/>
          </w:tcPr>
          <w:p w14:paraId="48E5D9DD"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10</w:t>
            </w:r>
          </w:p>
        </w:tc>
      </w:tr>
      <w:tr w:rsidR="001B3CF9" w:rsidRPr="001B3CF9" w14:paraId="6BFCD6E8" w14:textId="77777777" w:rsidTr="00FF15C6">
        <w:trPr>
          <w:trHeight w:val="300"/>
          <w:jc w:val="center"/>
        </w:trPr>
        <w:tc>
          <w:tcPr>
            <w:tcW w:w="442" w:type="pct"/>
            <w:shd w:val="clear" w:color="auto" w:fill="auto"/>
            <w:noWrap/>
            <w:vAlign w:val="bottom"/>
            <w:hideMark/>
          </w:tcPr>
          <w:p w14:paraId="210204A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2023</w:t>
            </w:r>
          </w:p>
        </w:tc>
        <w:tc>
          <w:tcPr>
            <w:tcW w:w="592" w:type="pct"/>
            <w:shd w:val="clear" w:color="auto" w:fill="auto"/>
            <w:noWrap/>
            <w:vAlign w:val="bottom"/>
            <w:hideMark/>
          </w:tcPr>
          <w:p w14:paraId="65795122"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546" w:type="pct"/>
            <w:shd w:val="clear" w:color="auto" w:fill="auto"/>
            <w:noWrap/>
            <w:vAlign w:val="bottom"/>
            <w:hideMark/>
          </w:tcPr>
          <w:p w14:paraId="7A2A76B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18</w:t>
            </w:r>
          </w:p>
        </w:tc>
        <w:tc>
          <w:tcPr>
            <w:tcW w:w="491" w:type="pct"/>
            <w:shd w:val="clear" w:color="auto" w:fill="auto"/>
            <w:noWrap/>
            <w:vAlign w:val="bottom"/>
            <w:hideMark/>
          </w:tcPr>
          <w:p w14:paraId="4A1943DD"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w:t>
            </w:r>
          </w:p>
        </w:tc>
        <w:tc>
          <w:tcPr>
            <w:tcW w:w="491" w:type="pct"/>
            <w:shd w:val="clear" w:color="auto" w:fill="auto"/>
            <w:noWrap/>
            <w:vAlign w:val="bottom"/>
            <w:hideMark/>
          </w:tcPr>
          <w:p w14:paraId="464D5904"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272" w:type="pct"/>
            <w:shd w:val="clear" w:color="auto" w:fill="auto"/>
            <w:noWrap/>
            <w:vAlign w:val="bottom"/>
            <w:hideMark/>
          </w:tcPr>
          <w:p w14:paraId="205CBF3A"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8</w:t>
            </w:r>
          </w:p>
        </w:tc>
        <w:tc>
          <w:tcPr>
            <w:tcW w:w="382" w:type="pct"/>
            <w:shd w:val="clear" w:color="auto" w:fill="auto"/>
            <w:noWrap/>
            <w:vAlign w:val="bottom"/>
            <w:hideMark/>
          </w:tcPr>
          <w:p w14:paraId="2120E692"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491" w:type="pct"/>
            <w:shd w:val="clear" w:color="auto" w:fill="auto"/>
            <w:noWrap/>
            <w:vAlign w:val="bottom"/>
            <w:hideMark/>
          </w:tcPr>
          <w:p w14:paraId="063A21FF"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9</w:t>
            </w:r>
          </w:p>
        </w:tc>
        <w:tc>
          <w:tcPr>
            <w:tcW w:w="654" w:type="pct"/>
            <w:shd w:val="clear" w:color="auto" w:fill="auto"/>
            <w:noWrap/>
            <w:vAlign w:val="bottom"/>
            <w:hideMark/>
          </w:tcPr>
          <w:p w14:paraId="7F36D48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639" w:type="pct"/>
            <w:shd w:val="pct5" w:color="auto" w:fill="C5E0B3"/>
            <w:noWrap/>
            <w:vAlign w:val="bottom"/>
            <w:hideMark/>
          </w:tcPr>
          <w:p w14:paraId="7584354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14</w:t>
            </w:r>
          </w:p>
        </w:tc>
      </w:tr>
      <w:tr w:rsidR="001B3CF9" w:rsidRPr="001B3CF9" w14:paraId="7D5D571D" w14:textId="77777777" w:rsidTr="00FF15C6">
        <w:trPr>
          <w:trHeight w:val="300"/>
          <w:jc w:val="center"/>
        </w:trPr>
        <w:tc>
          <w:tcPr>
            <w:tcW w:w="442" w:type="pct"/>
            <w:tcBorders>
              <w:bottom w:val="single" w:sz="4" w:space="0" w:color="auto"/>
            </w:tcBorders>
            <w:shd w:val="clear" w:color="auto" w:fill="auto"/>
            <w:noWrap/>
            <w:vAlign w:val="bottom"/>
            <w:hideMark/>
          </w:tcPr>
          <w:p w14:paraId="5DCD74B2"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2024</w:t>
            </w:r>
          </w:p>
        </w:tc>
        <w:tc>
          <w:tcPr>
            <w:tcW w:w="592" w:type="pct"/>
            <w:tcBorders>
              <w:bottom w:val="single" w:sz="4" w:space="0" w:color="auto"/>
            </w:tcBorders>
            <w:shd w:val="clear" w:color="auto" w:fill="auto"/>
            <w:noWrap/>
            <w:vAlign w:val="bottom"/>
            <w:hideMark/>
          </w:tcPr>
          <w:p w14:paraId="2E02B89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546" w:type="pct"/>
            <w:tcBorders>
              <w:bottom w:val="single" w:sz="4" w:space="0" w:color="auto"/>
            </w:tcBorders>
            <w:shd w:val="clear" w:color="auto" w:fill="auto"/>
            <w:noWrap/>
            <w:vAlign w:val="bottom"/>
            <w:hideMark/>
          </w:tcPr>
          <w:p w14:paraId="39705039" w14:textId="77777777" w:rsidR="001B3CF9" w:rsidRPr="001B3CF9" w:rsidRDefault="001B3CF9" w:rsidP="001B3CF9">
            <w:pPr>
              <w:spacing w:line="240" w:lineRule="auto"/>
              <w:ind w:firstLineChars="1600" w:firstLine="2240"/>
              <w:jc w:val="center"/>
              <w:rPr>
                <w:rFonts w:eastAsia="Times New Roman" w:cs="Times New Roman"/>
                <w:sz w:val="14"/>
                <w:szCs w:val="14"/>
                <w:lang w:val="es-CR" w:eastAsia="es-CR"/>
              </w:rPr>
            </w:pPr>
          </w:p>
        </w:tc>
        <w:tc>
          <w:tcPr>
            <w:tcW w:w="491" w:type="pct"/>
            <w:tcBorders>
              <w:bottom w:val="single" w:sz="4" w:space="0" w:color="auto"/>
            </w:tcBorders>
            <w:shd w:val="clear" w:color="auto" w:fill="auto"/>
            <w:noWrap/>
            <w:vAlign w:val="bottom"/>
            <w:hideMark/>
          </w:tcPr>
          <w:p w14:paraId="24C26C9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30</w:t>
            </w:r>
          </w:p>
        </w:tc>
        <w:tc>
          <w:tcPr>
            <w:tcW w:w="491" w:type="pct"/>
            <w:tcBorders>
              <w:bottom w:val="single" w:sz="4" w:space="0" w:color="auto"/>
            </w:tcBorders>
            <w:shd w:val="clear" w:color="auto" w:fill="auto"/>
            <w:noWrap/>
            <w:vAlign w:val="bottom"/>
            <w:hideMark/>
          </w:tcPr>
          <w:p w14:paraId="51CD3E3D"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272" w:type="pct"/>
            <w:tcBorders>
              <w:bottom w:val="single" w:sz="4" w:space="0" w:color="auto"/>
            </w:tcBorders>
            <w:shd w:val="clear" w:color="auto" w:fill="auto"/>
            <w:noWrap/>
            <w:vAlign w:val="bottom"/>
            <w:hideMark/>
          </w:tcPr>
          <w:p w14:paraId="49D99263"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3</w:t>
            </w:r>
          </w:p>
        </w:tc>
        <w:tc>
          <w:tcPr>
            <w:tcW w:w="382" w:type="pct"/>
            <w:tcBorders>
              <w:bottom w:val="single" w:sz="4" w:space="0" w:color="auto"/>
            </w:tcBorders>
            <w:shd w:val="clear" w:color="auto" w:fill="auto"/>
            <w:noWrap/>
            <w:vAlign w:val="bottom"/>
            <w:hideMark/>
          </w:tcPr>
          <w:p w14:paraId="3AD1ACD8"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16</w:t>
            </w:r>
          </w:p>
        </w:tc>
        <w:tc>
          <w:tcPr>
            <w:tcW w:w="491" w:type="pct"/>
            <w:tcBorders>
              <w:bottom w:val="single" w:sz="4" w:space="0" w:color="auto"/>
            </w:tcBorders>
            <w:shd w:val="clear" w:color="auto" w:fill="auto"/>
            <w:noWrap/>
            <w:vAlign w:val="bottom"/>
            <w:hideMark/>
          </w:tcPr>
          <w:p w14:paraId="18E09BE2"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14</w:t>
            </w:r>
          </w:p>
        </w:tc>
        <w:tc>
          <w:tcPr>
            <w:tcW w:w="654" w:type="pct"/>
            <w:tcBorders>
              <w:bottom w:val="single" w:sz="4" w:space="0" w:color="auto"/>
            </w:tcBorders>
            <w:shd w:val="clear" w:color="auto" w:fill="auto"/>
            <w:noWrap/>
            <w:vAlign w:val="bottom"/>
            <w:hideMark/>
          </w:tcPr>
          <w:p w14:paraId="7BC8F68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p>
        </w:tc>
        <w:tc>
          <w:tcPr>
            <w:tcW w:w="639" w:type="pct"/>
            <w:shd w:val="pct5" w:color="auto" w:fill="C5E0B3"/>
            <w:noWrap/>
            <w:vAlign w:val="bottom"/>
            <w:hideMark/>
          </w:tcPr>
          <w:p w14:paraId="67A6998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16</w:t>
            </w:r>
          </w:p>
        </w:tc>
      </w:tr>
      <w:tr w:rsidR="001B3CF9" w:rsidRPr="001B3CF9" w14:paraId="341F5EBA" w14:textId="77777777" w:rsidTr="00FF15C6">
        <w:trPr>
          <w:trHeight w:val="300"/>
          <w:jc w:val="center"/>
        </w:trPr>
        <w:tc>
          <w:tcPr>
            <w:tcW w:w="442" w:type="pct"/>
            <w:shd w:val="pct5" w:color="FFFFFF" w:fill="C5E0B3"/>
            <w:noWrap/>
            <w:vAlign w:val="bottom"/>
            <w:hideMark/>
          </w:tcPr>
          <w:p w14:paraId="00E3E9C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lastRenderedPageBreak/>
              <w:t>Total por trámite</w:t>
            </w:r>
          </w:p>
        </w:tc>
        <w:tc>
          <w:tcPr>
            <w:tcW w:w="592" w:type="pct"/>
            <w:shd w:val="pct5" w:color="FFFFFF" w:fill="C5E0B3"/>
            <w:noWrap/>
            <w:vAlign w:val="bottom"/>
            <w:hideMark/>
          </w:tcPr>
          <w:p w14:paraId="428C1CAF" w14:textId="77777777" w:rsidR="001B3CF9" w:rsidRPr="001B3CF9" w:rsidRDefault="001B3CF9" w:rsidP="001B3CF9">
            <w:pPr>
              <w:spacing w:line="240" w:lineRule="auto"/>
              <w:ind w:firstLineChars="1600" w:firstLine="2249"/>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8</w:t>
            </w:r>
          </w:p>
        </w:tc>
        <w:tc>
          <w:tcPr>
            <w:tcW w:w="546" w:type="pct"/>
            <w:shd w:val="pct5" w:color="FFFFFF" w:fill="C5E0B3"/>
            <w:noWrap/>
            <w:vAlign w:val="bottom"/>
            <w:hideMark/>
          </w:tcPr>
          <w:p w14:paraId="1435318E"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15</w:t>
            </w:r>
          </w:p>
        </w:tc>
        <w:tc>
          <w:tcPr>
            <w:tcW w:w="491" w:type="pct"/>
            <w:shd w:val="pct5" w:color="FFFFFF" w:fill="C5E0B3"/>
            <w:noWrap/>
            <w:vAlign w:val="bottom"/>
            <w:hideMark/>
          </w:tcPr>
          <w:p w14:paraId="57BADA91"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14</w:t>
            </w:r>
          </w:p>
        </w:tc>
        <w:tc>
          <w:tcPr>
            <w:tcW w:w="491" w:type="pct"/>
            <w:shd w:val="pct5" w:color="FFFFFF" w:fill="C5E0B3"/>
            <w:noWrap/>
            <w:vAlign w:val="bottom"/>
            <w:hideMark/>
          </w:tcPr>
          <w:p w14:paraId="365FDF8B"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2</w:t>
            </w:r>
          </w:p>
        </w:tc>
        <w:tc>
          <w:tcPr>
            <w:tcW w:w="272" w:type="pct"/>
            <w:shd w:val="pct5" w:color="FFFFFF" w:fill="C5E0B3"/>
            <w:noWrap/>
            <w:vAlign w:val="bottom"/>
            <w:hideMark/>
          </w:tcPr>
          <w:p w14:paraId="170F9C6F"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8</w:t>
            </w:r>
          </w:p>
        </w:tc>
        <w:tc>
          <w:tcPr>
            <w:tcW w:w="382" w:type="pct"/>
            <w:shd w:val="pct5" w:color="FFFFFF" w:fill="C5E0B3"/>
            <w:noWrap/>
            <w:vAlign w:val="bottom"/>
            <w:hideMark/>
          </w:tcPr>
          <w:p w14:paraId="4CF105FF"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18</w:t>
            </w:r>
          </w:p>
        </w:tc>
        <w:tc>
          <w:tcPr>
            <w:tcW w:w="491" w:type="pct"/>
            <w:shd w:val="pct5" w:color="FFFFFF" w:fill="C5E0B3"/>
            <w:noWrap/>
            <w:vAlign w:val="bottom"/>
            <w:hideMark/>
          </w:tcPr>
          <w:p w14:paraId="557FDFE7"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6</w:t>
            </w:r>
          </w:p>
        </w:tc>
        <w:tc>
          <w:tcPr>
            <w:tcW w:w="654" w:type="pct"/>
            <w:shd w:val="pct5" w:color="FFFFFF" w:fill="C5E0B3"/>
            <w:noWrap/>
            <w:vAlign w:val="bottom"/>
            <w:hideMark/>
          </w:tcPr>
          <w:p w14:paraId="25BD79B6"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9</w:t>
            </w:r>
          </w:p>
        </w:tc>
        <w:tc>
          <w:tcPr>
            <w:tcW w:w="639" w:type="pct"/>
            <w:shd w:val="pct5" w:color="auto" w:fill="C5E0B3"/>
            <w:noWrap/>
            <w:vAlign w:val="bottom"/>
            <w:hideMark/>
          </w:tcPr>
          <w:p w14:paraId="70F2F7F5" w14:textId="77777777" w:rsidR="001B3CF9" w:rsidRPr="001B3CF9" w:rsidRDefault="001B3CF9" w:rsidP="001B3CF9">
            <w:pPr>
              <w:spacing w:line="240" w:lineRule="auto"/>
              <w:jc w:val="center"/>
              <w:rPr>
                <w:rFonts w:ascii="Calibri" w:eastAsia="Times New Roman" w:hAnsi="Calibri" w:cs="Calibri"/>
                <w:b/>
                <w:bCs/>
                <w:color w:val="000000"/>
                <w:sz w:val="14"/>
                <w:szCs w:val="14"/>
                <w:lang w:val="es-CR" w:eastAsia="es-CR"/>
              </w:rPr>
            </w:pPr>
            <w:r w:rsidRPr="001B3CF9">
              <w:rPr>
                <w:rFonts w:ascii="Calibri" w:eastAsia="Times New Roman" w:hAnsi="Calibri" w:cs="Calibri"/>
                <w:b/>
                <w:bCs/>
                <w:color w:val="000000"/>
                <w:sz w:val="14"/>
                <w:szCs w:val="14"/>
                <w:lang w:val="es-CR" w:eastAsia="es-CR"/>
              </w:rPr>
              <w:t>11</w:t>
            </w:r>
          </w:p>
        </w:tc>
      </w:tr>
    </w:tbl>
    <w:p w14:paraId="7EC3BA9C" w14:textId="5FADB842" w:rsidR="005032CC" w:rsidRDefault="005032CC" w:rsidP="00004400">
      <w:pPr>
        <w:spacing w:line="276" w:lineRule="auto"/>
        <w:jc w:val="both"/>
        <w:rPr>
          <w:iCs/>
        </w:rPr>
      </w:pPr>
    </w:p>
    <w:p w14:paraId="2579BF13" w14:textId="77777777" w:rsidR="005032CC" w:rsidRDefault="005032CC" w:rsidP="00004400">
      <w:pPr>
        <w:spacing w:line="276" w:lineRule="auto"/>
        <w:jc w:val="both"/>
        <w:rPr>
          <w:iCs/>
        </w:rPr>
      </w:pPr>
    </w:p>
    <w:p w14:paraId="418A902A" w14:textId="74F53177" w:rsidR="00E629C7" w:rsidRPr="00141360" w:rsidRDefault="00E629C7" w:rsidP="001C081B">
      <w:pPr>
        <w:pStyle w:val="Prrafodelista"/>
        <w:numPr>
          <w:ilvl w:val="0"/>
          <w:numId w:val="2"/>
        </w:numPr>
        <w:spacing w:line="276" w:lineRule="auto"/>
        <w:jc w:val="both"/>
        <w:rPr>
          <w:rFonts w:asciiTheme="minorHAnsi" w:hAnsiTheme="minorHAnsi" w:cstheme="minorHAnsi"/>
          <w:b/>
          <w:bCs/>
          <w:iCs/>
        </w:rPr>
      </w:pPr>
      <w:r w:rsidRPr="00141360">
        <w:rPr>
          <w:rFonts w:asciiTheme="minorHAnsi" w:hAnsiTheme="minorHAnsi" w:cstheme="minorHAnsi"/>
          <w:b/>
          <w:bCs/>
          <w:iCs/>
        </w:rPr>
        <w:t xml:space="preserve">Estado de los proyectos más relevantes en el ámbito institucional existentes al inicio de </w:t>
      </w:r>
      <w:r w:rsidR="00DA5F9B" w:rsidRPr="00141360">
        <w:rPr>
          <w:rFonts w:asciiTheme="minorHAnsi" w:hAnsiTheme="minorHAnsi" w:cstheme="minorHAnsi"/>
          <w:b/>
          <w:bCs/>
          <w:iCs/>
        </w:rPr>
        <w:t>la</w:t>
      </w:r>
      <w:r w:rsidRPr="00141360">
        <w:rPr>
          <w:rFonts w:asciiTheme="minorHAnsi" w:hAnsiTheme="minorHAnsi" w:cstheme="minorHAnsi"/>
          <w:b/>
          <w:bCs/>
          <w:iCs/>
        </w:rPr>
        <w:t xml:space="preserve"> gestión y de los pendientes de concluir</w:t>
      </w:r>
    </w:p>
    <w:p w14:paraId="7D77AB1F" w14:textId="6454CFC1" w:rsidR="00DA5F9B" w:rsidRDefault="00DA5F9B" w:rsidP="00DA5F9B">
      <w:pPr>
        <w:spacing w:line="276" w:lineRule="auto"/>
        <w:jc w:val="both"/>
        <w:rPr>
          <w:b/>
          <w:bCs/>
          <w:iCs/>
        </w:rPr>
      </w:pPr>
    </w:p>
    <w:p w14:paraId="24B2F91B" w14:textId="12135704" w:rsidR="00DA5F9B" w:rsidRDefault="00DA5F9B" w:rsidP="00DA5F9B">
      <w:pPr>
        <w:spacing w:line="276" w:lineRule="auto"/>
        <w:jc w:val="both"/>
        <w:rPr>
          <w:iCs/>
        </w:rPr>
      </w:pPr>
      <w:r>
        <w:rPr>
          <w:iCs/>
        </w:rPr>
        <w:t>Probablemente, el proyecto más importante</w:t>
      </w:r>
      <w:r w:rsidR="0007476A">
        <w:rPr>
          <w:iCs/>
        </w:rPr>
        <w:t>, por su alcance y efectos a largo plazo</w:t>
      </w:r>
      <w:r w:rsidR="00385716">
        <w:rPr>
          <w:iCs/>
        </w:rPr>
        <w:t>,</w:t>
      </w:r>
      <w:r>
        <w:rPr>
          <w:iCs/>
        </w:rPr>
        <w:t xml:space="preserve"> fue la </w:t>
      </w:r>
      <w:r w:rsidR="0007476A">
        <w:rPr>
          <w:iCs/>
        </w:rPr>
        <w:t>aprobación de las reformas reglamentarias y de acuerdos del Superintendente</w:t>
      </w:r>
      <w:r w:rsidR="00412CBC">
        <w:rPr>
          <w:iCs/>
        </w:rPr>
        <w:t>, requeridas para la administración del Régimen Obligatorio de Pensiones Complementarias</w:t>
      </w:r>
      <w:r w:rsidR="00AB4371">
        <w:rPr>
          <w:iCs/>
        </w:rPr>
        <w:t xml:space="preserve"> en cuatro fondos generacionales, vigente a partir de marzo de 2025</w:t>
      </w:r>
      <w:r w:rsidR="00385716">
        <w:rPr>
          <w:iCs/>
        </w:rPr>
        <w:t>.</w:t>
      </w:r>
    </w:p>
    <w:p w14:paraId="5986330F" w14:textId="266E2F1F" w:rsidR="00D34D99" w:rsidRDefault="00D34D99" w:rsidP="00DA5F9B">
      <w:pPr>
        <w:spacing w:line="276" w:lineRule="auto"/>
        <w:jc w:val="both"/>
        <w:rPr>
          <w:iCs/>
        </w:rPr>
      </w:pPr>
    </w:p>
    <w:p w14:paraId="6C1278FF" w14:textId="7BB00A42" w:rsidR="00D34D99" w:rsidRPr="00DA5F9B" w:rsidRDefault="00D34D99" w:rsidP="00DA5F9B">
      <w:pPr>
        <w:spacing w:line="276" w:lineRule="auto"/>
        <w:jc w:val="both"/>
        <w:rPr>
          <w:iCs/>
        </w:rPr>
      </w:pPr>
      <w:r>
        <w:rPr>
          <w:iCs/>
        </w:rPr>
        <w:t xml:space="preserve">Queda redactada una propuesta de reforma para fortalecer e incentivar el desarrollo </w:t>
      </w:r>
      <w:r w:rsidR="00BE5B94">
        <w:rPr>
          <w:iCs/>
        </w:rPr>
        <w:t xml:space="preserve">y </w:t>
      </w:r>
      <w:r w:rsidR="002E2F86">
        <w:rPr>
          <w:iCs/>
        </w:rPr>
        <w:t xml:space="preserve">la </w:t>
      </w:r>
      <w:r w:rsidR="00BE5B94">
        <w:rPr>
          <w:iCs/>
        </w:rPr>
        <w:t>cobertura</w:t>
      </w:r>
      <w:r w:rsidR="002E2F86">
        <w:rPr>
          <w:iCs/>
        </w:rPr>
        <w:t xml:space="preserve"> </w:t>
      </w:r>
      <w:r>
        <w:rPr>
          <w:iCs/>
        </w:rPr>
        <w:t>del Régimen Voluntario de Pensiones Complementarias</w:t>
      </w:r>
      <w:r w:rsidR="00AD337E">
        <w:rPr>
          <w:iCs/>
        </w:rPr>
        <w:t xml:space="preserve"> la cual, considero, es la más importante reforma llevada a cabo a este régimen desde la aprobación de la </w:t>
      </w:r>
      <w:r w:rsidR="00AD337E" w:rsidRPr="00AD337E">
        <w:rPr>
          <w:i/>
        </w:rPr>
        <w:t>Ley de Protección al Trabajador</w:t>
      </w:r>
      <w:r w:rsidR="001D5731">
        <w:rPr>
          <w:iCs/>
        </w:rPr>
        <w:t>, para su discusión interna y con la industria</w:t>
      </w:r>
      <w:r w:rsidR="00BE5B94">
        <w:rPr>
          <w:iCs/>
        </w:rPr>
        <w:t>.</w:t>
      </w:r>
      <w:r w:rsidR="00385716">
        <w:rPr>
          <w:iCs/>
        </w:rPr>
        <w:t xml:space="preserve"> Esta reforma apuntala</w:t>
      </w:r>
      <w:r w:rsidR="006E163F">
        <w:rPr>
          <w:iCs/>
        </w:rPr>
        <w:t xml:space="preserve"> el sistema multipilar</w:t>
      </w:r>
      <w:r w:rsidR="008F372B">
        <w:rPr>
          <w:iCs/>
        </w:rPr>
        <w:t xml:space="preserve"> como conjunto</w:t>
      </w:r>
      <w:r w:rsidR="00B06776">
        <w:rPr>
          <w:iCs/>
        </w:rPr>
        <w:t>, considerando l</w:t>
      </w:r>
      <w:r w:rsidR="008F372B">
        <w:rPr>
          <w:iCs/>
        </w:rPr>
        <w:t xml:space="preserve">os ajustes </w:t>
      </w:r>
      <w:r w:rsidR="00B06776">
        <w:rPr>
          <w:iCs/>
        </w:rPr>
        <w:t>que el principal régimen básico (el IVM) requ</w:t>
      </w:r>
      <w:r w:rsidR="008F372B">
        <w:rPr>
          <w:iCs/>
        </w:rPr>
        <w:t>iere.</w:t>
      </w:r>
    </w:p>
    <w:p w14:paraId="33F66D16" w14:textId="77777777" w:rsidR="002E2F86" w:rsidRPr="00916782" w:rsidRDefault="002E2F86" w:rsidP="00E629C7">
      <w:pPr>
        <w:spacing w:line="276" w:lineRule="auto"/>
        <w:jc w:val="both"/>
        <w:rPr>
          <w:rFonts w:asciiTheme="minorHAnsi" w:hAnsiTheme="minorHAnsi" w:cstheme="minorHAnsi"/>
          <w:b/>
          <w:bCs/>
          <w:iCs/>
        </w:rPr>
      </w:pPr>
    </w:p>
    <w:p w14:paraId="79B82A7C" w14:textId="758E9C7F" w:rsidR="00E629C7" w:rsidRPr="00916782" w:rsidRDefault="00E629C7" w:rsidP="002E2F86">
      <w:pPr>
        <w:pStyle w:val="Prrafodelista"/>
        <w:numPr>
          <w:ilvl w:val="0"/>
          <w:numId w:val="2"/>
        </w:numPr>
        <w:spacing w:line="276" w:lineRule="auto"/>
        <w:jc w:val="both"/>
        <w:rPr>
          <w:rFonts w:asciiTheme="minorHAnsi" w:hAnsiTheme="minorHAnsi" w:cstheme="minorHAnsi"/>
          <w:b/>
          <w:bCs/>
          <w:iCs/>
        </w:rPr>
      </w:pPr>
      <w:r w:rsidRPr="00916782">
        <w:rPr>
          <w:rFonts w:asciiTheme="minorHAnsi" w:hAnsiTheme="minorHAnsi" w:cstheme="minorHAnsi"/>
          <w:b/>
          <w:bCs/>
          <w:iCs/>
        </w:rPr>
        <w:t>Administración de los recursos financieros asignados durante su gestión a la institución o a la unidad</w:t>
      </w:r>
    </w:p>
    <w:p w14:paraId="177D7981" w14:textId="4C506CB7" w:rsidR="002E2F86" w:rsidRDefault="002E2F86" w:rsidP="002E2F86">
      <w:pPr>
        <w:spacing w:line="276" w:lineRule="auto"/>
        <w:jc w:val="both"/>
        <w:rPr>
          <w:b/>
          <w:bCs/>
          <w:iCs/>
        </w:rPr>
      </w:pPr>
    </w:p>
    <w:p w14:paraId="44678757" w14:textId="66FDFA2D" w:rsidR="002E2F86" w:rsidRPr="002E2F86" w:rsidRDefault="002E2F86" w:rsidP="002E2F86">
      <w:pPr>
        <w:spacing w:line="276" w:lineRule="auto"/>
        <w:jc w:val="both"/>
        <w:rPr>
          <w:iCs/>
        </w:rPr>
      </w:pPr>
      <w:r w:rsidRPr="002E2F86">
        <w:rPr>
          <w:iCs/>
        </w:rPr>
        <w:t>No administré ni administro recursos financieros</w:t>
      </w:r>
      <w:r>
        <w:rPr>
          <w:iCs/>
        </w:rPr>
        <w:t xml:space="preserve"> de la Superintendencia de Pensiones o asignados al proceso que he liderado</w:t>
      </w:r>
      <w:r w:rsidR="008F372B">
        <w:rPr>
          <w:iCs/>
        </w:rPr>
        <w:t>.</w:t>
      </w:r>
    </w:p>
    <w:p w14:paraId="2942C292" w14:textId="77777777" w:rsidR="00E629C7" w:rsidRPr="00916782" w:rsidRDefault="00E629C7" w:rsidP="00E629C7">
      <w:pPr>
        <w:spacing w:line="276" w:lineRule="auto"/>
        <w:jc w:val="both"/>
        <w:rPr>
          <w:rFonts w:asciiTheme="minorHAnsi" w:hAnsiTheme="minorHAnsi" w:cstheme="minorHAnsi"/>
          <w:iCs/>
        </w:rPr>
      </w:pPr>
    </w:p>
    <w:p w14:paraId="2DEA2C99" w14:textId="3252B55D" w:rsidR="00E629C7" w:rsidRPr="00916782" w:rsidRDefault="00E629C7" w:rsidP="00A20806">
      <w:pPr>
        <w:pStyle w:val="Prrafodelista"/>
        <w:numPr>
          <w:ilvl w:val="0"/>
          <w:numId w:val="2"/>
        </w:numPr>
        <w:spacing w:line="276" w:lineRule="auto"/>
        <w:jc w:val="both"/>
        <w:rPr>
          <w:rFonts w:asciiTheme="minorHAnsi" w:hAnsiTheme="minorHAnsi" w:cstheme="minorHAnsi"/>
          <w:b/>
          <w:bCs/>
          <w:iCs/>
        </w:rPr>
      </w:pPr>
      <w:r w:rsidRPr="00916782">
        <w:rPr>
          <w:rFonts w:asciiTheme="minorHAnsi" w:hAnsiTheme="minorHAnsi" w:cstheme="minorHAnsi"/>
          <w:b/>
          <w:bCs/>
          <w:iCs/>
        </w:rPr>
        <w:t>Estado actual del cumplimiento de las disposiciones que durante su gestión le hubiera girado la Contraloría General de la República</w:t>
      </w:r>
    </w:p>
    <w:p w14:paraId="2AED2FC9" w14:textId="77777777" w:rsidR="00674FAD" w:rsidRDefault="00674FAD" w:rsidP="00674FAD">
      <w:pPr>
        <w:pStyle w:val="Prrafodelista"/>
        <w:spacing w:line="276" w:lineRule="auto"/>
        <w:ind w:left="1080"/>
        <w:jc w:val="both"/>
        <w:rPr>
          <w:b/>
          <w:bCs/>
          <w:iCs/>
        </w:rPr>
      </w:pPr>
    </w:p>
    <w:p w14:paraId="2E3FAD77" w14:textId="1A216EEB" w:rsidR="00674FAD" w:rsidRPr="00674FAD" w:rsidRDefault="00674FAD" w:rsidP="00674FAD">
      <w:pPr>
        <w:spacing w:line="276" w:lineRule="auto"/>
        <w:jc w:val="both"/>
        <w:rPr>
          <w:iCs/>
        </w:rPr>
      </w:pPr>
      <w:r w:rsidRPr="00674FAD">
        <w:rPr>
          <w:iCs/>
        </w:rPr>
        <w:t xml:space="preserve">No he recibido ninguna indicación de parte de la </w:t>
      </w:r>
      <w:r w:rsidRPr="008F372B">
        <w:rPr>
          <w:i/>
        </w:rPr>
        <w:t>Contraloría General de la República</w:t>
      </w:r>
      <w:r w:rsidRPr="00674FAD">
        <w:rPr>
          <w:iCs/>
        </w:rPr>
        <w:t>.</w:t>
      </w:r>
    </w:p>
    <w:p w14:paraId="0BBDA3FE" w14:textId="77777777" w:rsidR="00E629C7" w:rsidRPr="00916782" w:rsidRDefault="00E629C7" w:rsidP="00E629C7">
      <w:pPr>
        <w:spacing w:line="276" w:lineRule="auto"/>
        <w:jc w:val="both"/>
        <w:rPr>
          <w:rFonts w:asciiTheme="minorHAnsi" w:hAnsiTheme="minorHAnsi" w:cstheme="minorHAnsi"/>
          <w:iCs/>
        </w:rPr>
      </w:pPr>
    </w:p>
    <w:p w14:paraId="0548FE2A" w14:textId="0F7C0DF3" w:rsidR="00E629C7" w:rsidRPr="00916782" w:rsidRDefault="00E629C7" w:rsidP="00C02844">
      <w:pPr>
        <w:pStyle w:val="Prrafodelista"/>
        <w:numPr>
          <w:ilvl w:val="0"/>
          <w:numId w:val="2"/>
        </w:numPr>
        <w:spacing w:line="276" w:lineRule="auto"/>
        <w:jc w:val="both"/>
        <w:rPr>
          <w:rFonts w:asciiTheme="minorHAnsi" w:hAnsiTheme="minorHAnsi" w:cstheme="minorHAnsi"/>
          <w:b/>
          <w:bCs/>
          <w:iCs/>
        </w:rPr>
      </w:pPr>
      <w:r w:rsidRPr="00916782">
        <w:rPr>
          <w:rFonts w:asciiTheme="minorHAnsi" w:hAnsiTheme="minorHAnsi" w:cstheme="minorHAnsi"/>
          <w:b/>
          <w:bCs/>
          <w:iCs/>
        </w:rPr>
        <w:t>Estado actual del cumplimiento de las disposiciones o recomendaciones que durante su gestión le hubiera girado algún otro órgano de control externo, según la actividad propia de cada administración</w:t>
      </w:r>
    </w:p>
    <w:p w14:paraId="252FED4F" w14:textId="5F3B726F" w:rsidR="00504C4E" w:rsidRDefault="00504C4E" w:rsidP="00504C4E">
      <w:pPr>
        <w:spacing w:line="276" w:lineRule="auto"/>
        <w:jc w:val="both"/>
        <w:rPr>
          <w:b/>
          <w:bCs/>
          <w:iCs/>
        </w:rPr>
      </w:pPr>
    </w:p>
    <w:p w14:paraId="06A20171" w14:textId="29E1F758" w:rsidR="00504C4E" w:rsidRPr="00FF6CFA" w:rsidRDefault="00504C4E" w:rsidP="00504C4E">
      <w:pPr>
        <w:spacing w:line="276" w:lineRule="auto"/>
        <w:jc w:val="both"/>
        <w:rPr>
          <w:iCs/>
        </w:rPr>
      </w:pPr>
      <w:r w:rsidRPr="00FF6CFA">
        <w:rPr>
          <w:iCs/>
        </w:rPr>
        <w:t>No he recibido ninguna indicación por parte de algún otro órgano de control externo</w:t>
      </w:r>
      <w:r w:rsidR="00FF6CFA" w:rsidRPr="00FF6CFA">
        <w:rPr>
          <w:iCs/>
        </w:rPr>
        <w:t>, a la fecha.</w:t>
      </w:r>
    </w:p>
    <w:p w14:paraId="56F2D8B7" w14:textId="77777777" w:rsidR="00FF6CFA" w:rsidRPr="00B677E6" w:rsidRDefault="00FF6CFA" w:rsidP="00E629C7">
      <w:pPr>
        <w:spacing w:line="276" w:lineRule="auto"/>
        <w:jc w:val="both"/>
        <w:rPr>
          <w:b/>
          <w:bCs/>
          <w:iCs/>
        </w:rPr>
      </w:pPr>
    </w:p>
    <w:p w14:paraId="4C04FFA6" w14:textId="158BDD3F" w:rsidR="00E629C7" w:rsidRPr="00916782" w:rsidRDefault="00E629C7" w:rsidP="00FF6CFA">
      <w:pPr>
        <w:pStyle w:val="Prrafodelista"/>
        <w:numPr>
          <w:ilvl w:val="0"/>
          <w:numId w:val="2"/>
        </w:numPr>
        <w:spacing w:line="276" w:lineRule="auto"/>
        <w:jc w:val="both"/>
        <w:rPr>
          <w:rFonts w:asciiTheme="minorHAnsi" w:hAnsiTheme="minorHAnsi" w:cstheme="minorHAnsi"/>
          <w:iCs/>
        </w:rPr>
      </w:pPr>
      <w:r w:rsidRPr="00916782">
        <w:rPr>
          <w:rFonts w:asciiTheme="minorHAnsi" w:hAnsiTheme="minorHAnsi" w:cstheme="minorHAnsi"/>
          <w:b/>
          <w:bCs/>
          <w:iCs/>
        </w:rPr>
        <w:lastRenderedPageBreak/>
        <w:t>Estado actual de cumplimiento de las recomendaciones que durante su gestión le hubiera formulado la respectiva Auditoría Interna</w:t>
      </w:r>
    </w:p>
    <w:p w14:paraId="31B37FA5" w14:textId="18D50B1D" w:rsidR="00B677E6" w:rsidRPr="00916782" w:rsidRDefault="00B677E6" w:rsidP="00B677E6">
      <w:pPr>
        <w:spacing w:line="276" w:lineRule="auto"/>
        <w:jc w:val="both"/>
        <w:rPr>
          <w:rFonts w:asciiTheme="minorHAnsi" w:hAnsiTheme="minorHAnsi" w:cstheme="minorHAnsi"/>
          <w:iCs/>
        </w:rPr>
      </w:pPr>
    </w:p>
    <w:p w14:paraId="3363FCAC" w14:textId="3E188002" w:rsidR="00E629C7" w:rsidRPr="00E629C7" w:rsidRDefault="00B677E6" w:rsidP="00E629C7">
      <w:pPr>
        <w:spacing w:line="276" w:lineRule="auto"/>
        <w:jc w:val="both"/>
        <w:rPr>
          <w:iCs/>
        </w:rPr>
      </w:pPr>
      <w:r>
        <w:rPr>
          <w:iCs/>
        </w:rPr>
        <w:t xml:space="preserve">Actualmente, la Auditoría Interna </w:t>
      </w:r>
      <w:r w:rsidR="00C61736">
        <w:rPr>
          <w:iCs/>
        </w:rPr>
        <w:t xml:space="preserve">del </w:t>
      </w:r>
      <w:r w:rsidR="00C61736" w:rsidRPr="00C61736">
        <w:rPr>
          <w:i/>
        </w:rPr>
        <w:t>Consejo Nacional de Supervisión del Sistema Financiero</w:t>
      </w:r>
      <w:r w:rsidR="00C61736">
        <w:rPr>
          <w:iCs/>
        </w:rPr>
        <w:t xml:space="preserve"> </w:t>
      </w:r>
      <w:r>
        <w:rPr>
          <w:iCs/>
        </w:rPr>
        <w:t>se encuentra realizando un estudio del proceso de normativa, el cual no ha concluido a la fecha</w:t>
      </w:r>
      <w:r w:rsidR="00E61A51">
        <w:rPr>
          <w:iCs/>
        </w:rPr>
        <w:t xml:space="preserve">, según oficio </w:t>
      </w:r>
      <w:r w:rsidR="00E61A51" w:rsidRPr="00E61A51">
        <w:rPr>
          <w:iCs/>
        </w:rPr>
        <w:t>AI-CNS-0134-2023</w:t>
      </w:r>
      <w:r w:rsidR="00E61A51">
        <w:rPr>
          <w:iCs/>
        </w:rPr>
        <w:t xml:space="preserve"> de fecha </w:t>
      </w:r>
      <w:r w:rsidR="00E61A51" w:rsidRPr="00E61A51">
        <w:rPr>
          <w:iCs/>
        </w:rPr>
        <w:t>6 de junio del 2023</w:t>
      </w:r>
      <w:r w:rsidR="00E61A51">
        <w:rPr>
          <w:iCs/>
        </w:rPr>
        <w:t>.</w:t>
      </w:r>
    </w:p>
    <w:p w14:paraId="59151766" w14:textId="77777777" w:rsidR="00AF7823" w:rsidRPr="00677905" w:rsidRDefault="00AF7823" w:rsidP="00DE615E">
      <w:pPr>
        <w:spacing w:line="276" w:lineRule="auto"/>
      </w:pPr>
    </w:p>
    <w:p w14:paraId="1280A7C5" w14:textId="77777777" w:rsidR="00B37E6C" w:rsidRDefault="00B37E6C" w:rsidP="00B37E6C">
      <w:pPr>
        <w:spacing w:line="276" w:lineRule="auto"/>
      </w:pPr>
      <w:r w:rsidRPr="00677905">
        <w:t>Atentamente,</w:t>
      </w:r>
    </w:p>
    <w:p w14:paraId="6CB0E8D6" w14:textId="77777777" w:rsidR="001A547B" w:rsidRPr="00677905" w:rsidRDefault="001A547B" w:rsidP="00B37E6C">
      <w:pPr>
        <w:spacing w:line="276" w:lineRule="auto"/>
      </w:pPr>
    </w:p>
    <w:p w14:paraId="59E14364" w14:textId="5247FFB5" w:rsidR="00B37E6C" w:rsidRDefault="00990A18" w:rsidP="00B37E6C">
      <w:pPr>
        <w:spacing w:line="276" w:lineRule="auto"/>
      </w:pPr>
      <w:r>
        <w:rPr>
          <w:noProof/>
        </w:rPr>
        <w:drawing>
          <wp:inline distT="0" distB="0" distL="0" distR="0" wp14:anchorId="2F29A74F" wp14:editId="6C045265">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1C219414" w14:textId="250E66EA" w:rsidR="00B37E6C" w:rsidRPr="00940884" w:rsidRDefault="00CA22B5" w:rsidP="00DE615E">
      <w:pPr>
        <w:spacing w:line="276" w:lineRule="auto"/>
        <w:rPr>
          <w:szCs w:val="24"/>
        </w:rPr>
      </w:pPr>
      <w:r w:rsidRPr="00940884">
        <w:rPr>
          <w:szCs w:val="24"/>
        </w:rPr>
        <w:t>Yanni Sterloff Charalampidu</w:t>
      </w:r>
    </w:p>
    <w:p w14:paraId="348EEEF5" w14:textId="705A33CA" w:rsidR="00CA22B5" w:rsidRPr="00940884" w:rsidRDefault="00CA22B5" w:rsidP="00DE615E">
      <w:pPr>
        <w:spacing w:line="276" w:lineRule="auto"/>
        <w:rPr>
          <w:sz w:val="18"/>
          <w:szCs w:val="18"/>
        </w:rPr>
      </w:pPr>
      <w:r w:rsidRPr="00940884">
        <w:rPr>
          <w:sz w:val="18"/>
          <w:szCs w:val="18"/>
        </w:rPr>
        <w:t>Líder de Normativa y Autorizaciones</w:t>
      </w:r>
    </w:p>
    <w:p w14:paraId="4F81C89D" w14:textId="45EB1674" w:rsidR="00CA22B5" w:rsidRPr="00940884" w:rsidRDefault="00CA22B5" w:rsidP="00DE615E">
      <w:pPr>
        <w:spacing w:line="276" w:lineRule="auto"/>
        <w:rPr>
          <w:sz w:val="18"/>
          <w:szCs w:val="18"/>
        </w:rPr>
      </w:pPr>
      <w:r w:rsidRPr="00940884">
        <w:rPr>
          <w:sz w:val="18"/>
          <w:szCs w:val="18"/>
        </w:rPr>
        <w:t>Superintendencia de Pensiones</w:t>
      </w:r>
    </w:p>
    <w:p w14:paraId="4F3A81AE" w14:textId="77777777" w:rsidR="00B37E6C" w:rsidRDefault="00B37E6C" w:rsidP="00DE615E">
      <w:pPr>
        <w:spacing w:line="276" w:lineRule="auto"/>
        <w:rPr>
          <w:sz w:val="20"/>
        </w:rPr>
      </w:pPr>
    </w:p>
    <w:p w14:paraId="7EE8C465" w14:textId="18414C35" w:rsidR="002A037E" w:rsidRPr="003C2AF4" w:rsidRDefault="00FC3342" w:rsidP="00DE615E">
      <w:pPr>
        <w:spacing w:line="276" w:lineRule="auto"/>
        <w:rPr>
          <w:sz w:val="16"/>
          <w:szCs w:val="16"/>
        </w:rPr>
      </w:pPr>
      <w:r w:rsidRPr="003C2AF4">
        <w:rPr>
          <w:sz w:val="16"/>
          <w:szCs w:val="16"/>
        </w:rPr>
        <w:t>c/</w:t>
      </w:r>
    </w:p>
    <w:p w14:paraId="0A629D85" w14:textId="60BF8ECE" w:rsidR="00FC3342" w:rsidRPr="003C2AF4" w:rsidRDefault="00FC3342" w:rsidP="00DE615E">
      <w:pPr>
        <w:spacing w:line="276" w:lineRule="auto"/>
        <w:rPr>
          <w:sz w:val="16"/>
          <w:szCs w:val="16"/>
        </w:rPr>
      </w:pPr>
      <w:r w:rsidRPr="003C2AF4">
        <w:rPr>
          <w:sz w:val="16"/>
          <w:szCs w:val="16"/>
        </w:rPr>
        <w:t xml:space="preserve">Maxi Antonio </w:t>
      </w:r>
      <w:r w:rsidR="003C2AF4" w:rsidRPr="003C2AF4">
        <w:rPr>
          <w:sz w:val="16"/>
          <w:szCs w:val="16"/>
        </w:rPr>
        <w:t>Angulo Sequeira</w:t>
      </w:r>
    </w:p>
    <w:p w14:paraId="0A7F326E" w14:textId="77777777" w:rsidR="003C2AF4" w:rsidRDefault="003C2AF4" w:rsidP="00DE615E">
      <w:pPr>
        <w:spacing w:line="276" w:lineRule="auto"/>
        <w:rPr>
          <w:szCs w:val="24"/>
        </w:rPr>
      </w:pPr>
    </w:p>
    <w:p w14:paraId="5ABE42CD" w14:textId="0CBF0A22" w:rsidR="002A037E" w:rsidRPr="008670F5" w:rsidRDefault="000C7F0C" w:rsidP="00DE615E">
      <w:pPr>
        <w:spacing w:line="276" w:lineRule="auto"/>
        <w:rPr>
          <w:szCs w:val="24"/>
        </w:rPr>
      </w:pPr>
      <w:r>
        <w:rPr>
          <w:szCs w:val="24"/>
        </w:rPr>
        <w:object w:dxaOrig="1508" w:dyaOrig="983" w14:anchorId="5395F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2" o:title=""/>
          </v:shape>
          <o:OLEObject Type="Embed" ProgID="AcroExch.Document.DC" ShapeID="_x0000_i1025" DrawAspect="Icon" ObjectID="_1771933171" r:id="rId13"/>
        </w:object>
      </w:r>
    </w:p>
    <w:sectPr w:rsidR="002A037E" w:rsidRPr="008670F5" w:rsidSect="00D029E6">
      <w:headerReference w:type="default"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A928" w14:textId="77777777" w:rsidR="00862394" w:rsidRDefault="00862394" w:rsidP="00011FAB">
      <w:pPr>
        <w:spacing w:line="240" w:lineRule="auto"/>
      </w:pPr>
      <w:r>
        <w:separator/>
      </w:r>
    </w:p>
  </w:endnote>
  <w:endnote w:type="continuationSeparator" w:id="0">
    <w:p w14:paraId="54EBA4E8" w14:textId="77777777" w:rsidR="00862394" w:rsidRDefault="00862394"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9418" w14:textId="2D986E24" w:rsidR="003621B6" w:rsidRDefault="00185A51"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5408" behindDoc="0" locked="0" layoutInCell="0" allowOverlap="1" wp14:anchorId="4BC624E2" wp14:editId="2727E57F">
              <wp:simplePos x="0" y="0"/>
              <wp:positionH relativeFrom="page">
                <wp:posOffset>0</wp:posOffset>
              </wp:positionH>
              <wp:positionV relativeFrom="page">
                <wp:posOffset>9594215</wp:posOffset>
              </wp:positionV>
              <wp:extent cx="7772400" cy="273050"/>
              <wp:effectExtent l="0" t="0" r="0" b="12700"/>
              <wp:wrapNone/>
              <wp:docPr id="1" name="MSIPCMf8794a57ac719e1d9a8719bc"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B0DE5" w14:textId="57D543C5" w:rsidR="00185A51" w:rsidRPr="00185A51" w:rsidRDefault="00185A51" w:rsidP="00185A51">
                          <w:pPr>
                            <w:jc w:val="center"/>
                            <w:rPr>
                              <w:rFonts w:ascii="Calibri" w:hAnsi="Calibri" w:cs="Calibri"/>
                              <w:color w:val="000000"/>
                              <w:sz w:val="20"/>
                            </w:rPr>
                          </w:pPr>
                          <w:r w:rsidRPr="00185A51">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C624E2" id="_x0000_t202" coordsize="21600,21600" o:spt="202" path="m,l,21600r21600,l21600,xe">
              <v:stroke joinstyle="miter"/>
              <v:path gradientshapeok="t" o:connecttype="rect"/>
            </v:shapetype>
            <v:shape id="MSIPCMf8794a57ac719e1d9a8719bc"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4EB0DE5" w14:textId="57D543C5" w:rsidR="00185A51" w:rsidRPr="00185A51" w:rsidRDefault="00185A51" w:rsidP="00185A51">
                    <w:pPr>
                      <w:jc w:val="center"/>
                      <w:rPr>
                        <w:rFonts w:ascii="Calibri" w:hAnsi="Calibri" w:cs="Calibri"/>
                        <w:color w:val="000000"/>
                        <w:sz w:val="20"/>
                      </w:rPr>
                    </w:pPr>
                    <w:r w:rsidRPr="00185A51">
                      <w:rPr>
                        <w:rFonts w:ascii="Calibri" w:hAnsi="Calibri" w:cs="Calibri"/>
                        <w:color w:val="000000"/>
                        <w:sz w:val="20"/>
                      </w:rPr>
                      <w:t>Uso Interno</w:t>
                    </w:r>
                  </w:p>
                </w:txbxContent>
              </v:textbox>
              <w10:wrap anchorx="page" anchory="page"/>
            </v:shape>
          </w:pict>
        </mc:Fallback>
      </mc:AlternateContent>
    </w:r>
  </w:p>
  <w:p w14:paraId="4DC537C2" w14:textId="02BD27C8" w:rsidR="009B3671" w:rsidRPr="00BE078A" w:rsidRDefault="006B26D1" w:rsidP="006B26D1">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A9E6" w14:textId="2EEE7415" w:rsidR="003621B6" w:rsidRDefault="00185A51"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9504" behindDoc="0" locked="0" layoutInCell="0" allowOverlap="1" wp14:anchorId="0CE82306" wp14:editId="6C48E340">
              <wp:simplePos x="0" y="0"/>
              <wp:positionH relativeFrom="page">
                <wp:posOffset>0</wp:posOffset>
              </wp:positionH>
              <wp:positionV relativeFrom="page">
                <wp:posOffset>9594215</wp:posOffset>
              </wp:positionV>
              <wp:extent cx="7772400" cy="273050"/>
              <wp:effectExtent l="0" t="0" r="0" b="12700"/>
              <wp:wrapNone/>
              <wp:docPr id="2" name="MSIPCMc2f84629bac1db42c79c2994"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EB758A" w14:textId="54836F56" w:rsidR="00185A51" w:rsidRPr="00185A51" w:rsidRDefault="00185A51" w:rsidP="00185A51">
                          <w:pPr>
                            <w:jc w:val="center"/>
                            <w:rPr>
                              <w:rFonts w:ascii="Calibri" w:hAnsi="Calibri" w:cs="Calibri"/>
                              <w:color w:val="000000"/>
                              <w:sz w:val="20"/>
                            </w:rPr>
                          </w:pPr>
                          <w:r w:rsidRPr="00185A51">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E82306" id="_x0000_t202" coordsize="21600,21600" o:spt="202" path="m,l,21600r21600,l21600,xe">
              <v:stroke joinstyle="miter"/>
              <v:path gradientshapeok="t" o:connecttype="rect"/>
            </v:shapetype>
            <v:shape id="MSIPCMc2f84629bac1db42c79c2994"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48EB758A" w14:textId="54836F56" w:rsidR="00185A51" w:rsidRPr="00185A51" w:rsidRDefault="00185A51" w:rsidP="00185A51">
                    <w:pPr>
                      <w:jc w:val="center"/>
                      <w:rPr>
                        <w:rFonts w:ascii="Calibri" w:hAnsi="Calibri" w:cs="Calibri"/>
                        <w:color w:val="000000"/>
                        <w:sz w:val="20"/>
                      </w:rPr>
                    </w:pPr>
                    <w:r w:rsidRPr="00185A51">
                      <w:rPr>
                        <w:rFonts w:ascii="Calibri" w:hAnsi="Calibri" w:cs="Calibri"/>
                        <w:color w:val="000000"/>
                        <w:sz w:val="20"/>
                      </w:rPr>
                      <w:t>Uso Interno</w:t>
                    </w:r>
                  </w:p>
                </w:txbxContent>
              </v:textbox>
              <w10:wrap anchorx="page" anchory="page"/>
            </v:shape>
          </w:pict>
        </mc:Fallback>
      </mc:AlternateContent>
    </w:r>
  </w:p>
  <w:p w14:paraId="7E008EAE" w14:textId="77777777" w:rsidR="009B3671" w:rsidRPr="00BE078A" w:rsidRDefault="007E7B6F" w:rsidP="007E7B6F">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A36E" w14:textId="77777777" w:rsidR="00862394" w:rsidRDefault="00862394" w:rsidP="00011FAB">
      <w:pPr>
        <w:spacing w:line="240" w:lineRule="auto"/>
      </w:pPr>
      <w:r>
        <w:separator/>
      </w:r>
    </w:p>
  </w:footnote>
  <w:footnote w:type="continuationSeparator" w:id="0">
    <w:p w14:paraId="2CC94A0B" w14:textId="77777777" w:rsidR="00862394" w:rsidRDefault="00862394"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70C7" w14:textId="44B1BACD" w:rsidR="00877140" w:rsidRDefault="00877140" w:rsidP="00877140">
    <w:pPr>
      <w:pStyle w:val="Encabezado"/>
      <w:rPr>
        <w:sz w:val="22"/>
      </w:rPr>
    </w:pPr>
    <w:r>
      <w:rPr>
        <w:noProof/>
      </w:rPr>
      <w:drawing>
        <wp:anchor distT="0" distB="0" distL="114300" distR="114300" simplePos="0" relativeHeight="251661312" behindDoc="0" locked="0" layoutInCell="1" allowOverlap="1" wp14:anchorId="2FEC988E" wp14:editId="0C055C47">
          <wp:simplePos x="0" y="0"/>
          <wp:positionH relativeFrom="column">
            <wp:posOffset>-185420</wp:posOffset>
          </wp:positionH>
          <wp:positionV relativeFrom="paragraph">
            <wp:posOffset>-227330</wp:posOffset>
          </wp:positionV>
          <wp:extent cx="1931035" cy="742950"/>
          <wp:effectExtent l="0" t="0" r="0" b="0"/>
          <wp:wrapSquare wrapText="bothSides"/>
          <wp:docPr id="6" name="Imagen 6"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2A53B02" wp14:editId="58BCE791">
          <wp:simplePos x="0" y="0"/>
          <wp:positionH relativeFrom="margin">
            <wp:align>right</wp:align>
          </wp:positionH>
          <wp:positionV relativeFrom="paragraph">
            <wp:posOffset>-127635</wp:posOffset>
          </wp:positionV>
          <wp:extent cx="901700" cy="585470"/>
          <wp:effectExtent l="0" t="0" r="0" b="5080"/>
          <wp:wrapNone/>
          <wp:docPr id="5" name="Imagen 5"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14886F13" w14:textId="77777777" w:rsidR="00877140" w:rsidRDefault="00877140" w:rsidP="00B37E6C">
    <w:pPr>
      <w:pStyle w:val="Encabezado"/>
    </w:pPr>
  </w:p>
  <w:p w14:paraId="1F71C584" w14:textId="77777777" w:rsidR="00877140" w:rsidRDefault="00877140" w:rsidP="00B37E6C">
    <w:pPr>
      <w:pStyle w:val="Encabezado"/>
    </w:pPr>
  </w:p>
  <w:p w14:paraId="64B25318" w14:textId="0A4BF7E5" w:rsidR="00B37E6C" w:rsidRDefault="00B37E6C" w:rsidP="00B37E6C">
    <w:pPr>
      <w:pStyle w:val="Encabezado"/>
    </w:pPr>
    <w:r>
      <w:tab/>
    </w:r>
    <w:r>
      <w:tab/>
    </w:r>
  </w:p>
  <w:p w14:paraId="282AA792" w14:textId="1181F547"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BF31AC">
      <w:rPr>
        <w:b/>
        <w:i/>
        <w:noProof/>
        <w:szCs w:val="24"/>
      </w:rPr>
      <w:t>SP-271-2024</w:t>
    </w:r>
    <w:r w:rsidRPr="00092B79">
      <w:rPr>
        <w:b/>
        <w:i/>
        <w:noProof/>
        <w:szCs w:val="24"/>
      </w:rPr>
      <w:fldChar w:fldCharType="end"/>
    </w:r>
  </w:p>
  <w:p w14:paraId="076B5C71" w14:textId="77777777" w:rsidR="00DC38D9" w:rsidRDefault="00B37E6C"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E7B6F">
      <w:rPr>
        <w:i/>
        <w:noProof/>
        <w:szCs w:val="24"/>
      </w:rPr>
      <w:t>2</w:t>
    </w:r>
    <w:r w:rsidR="00DC38D9" w:rsidRPr="00DC38D9">
      <w:rPr>
        <w:i/>
        <w:szCs w:val="24"/>
      </w:rPr>
      <w:fldChar w:fldCharType="end"/>
    </w:r>
  </w:p>
  <w:p w14:paraId="3CC60AB5"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0A94" w14:textId="20B433E0" w:rsidR="00BC57F6" w:rsidRDefault="00BC57F6" w:rsidP="00BC57F6">
    <w:pPr>
      <w:pStyle w:val="Encabezado"/>
      <w:rPr>
        <w:sz w:val="22"/>
      </w:rPr>
    </w:pPr>
    <w:r>
      <w:rPr>
        <w:noProof/>
        <w:sz w:val="22"/>
      </w:rPr>
      <w:drawing>
        <wp:anchor distT="0" distB="0" distL="114300" distR="114300" simplePos="0" relativeHeight="251649024" behindDoc="0" locked="0" layoutInCell="1" allowOverlap="1" wp14:anchorId="2BC27CBF" wp14:editId="77AB4EAC">
          <wp:simplePos x="0" y="0"/>
          <wp:positionH relativeFrom="column">
            <wp:posOffset>-184785</wp:posOffset>
          </wp:positionH>
          <wp:positionV relativeFrom="paragraph">
            <wp:posOffset>-227330</wp:posOffset>
          </wp:positionV>
          <wp:extent cx="1864995" cy="717550"/>
          <wp:effectExtent l="0" t="0" r="1905" b="635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995" cy="7175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3120" behindDoc="1" locked="0" layoutInCell="1" allowOverlap="1" wp14:anchorId="5F386574" wp14:editId="1E0003A9">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4E4907A3" w14:textId="6CC3B9F9" w:rsidR="00F44087" w:rsidRPr="00BC57F6" w:rsidRDefault="00F44087" w:rsidP="00BC57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6AAF"/>
    <w:multiLevelType w:val="hybridMultilevel"/>
    <w:tmpl w:val="D772AA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FA562FA"/>
    <w:multiLevelType w:val="hybridMultilevel"/>
    <w:tmpl w:val="71CE7E32"/>
    <w:lvl w:ilvl="0" w:tplc="12ACB44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1CF74F2"/>
    <w:multiLevelType w:val="hybridMultilevel"/>
    <w:tmpl w:val="79AE70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95D4AA6"/>
    <w:multiLevelType w:val="hybridMultilevel"/>
    <w:tmpl w:val="785265FA"/>
    <w:lvl w:ilvl="0" w:tplc="8CE0D7C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20009D3"/>
    <w:multiLevelType w:val="hybridMultilevel"/>
    <w:tmpl w:val="136EC0E4"/>
    <w:lvl w:ilvl="0" w:tplc="9386F40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2BA7C5D"/>
    <w:multiLevelType w:val="hybridMultilevel"/>
    <w:tmpl w:val="4C608C8C"/>
    <w:lvl w:ilvl="0" w:tplc="906CE56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0DD1EBE"/>
    <w:multiLevelType w:val="hybridMultilevel"/>
    <w:tmpl w:val="BE3C8B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4A705D7"/>
    <w:multiLevelType w:val="hybridMultilevel"/>
    <w:tmpl w:val="C44C4434"/>
    <w:lvl w:ilvl="0" w:tplc="2388994E">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50854BFE"/>
    <w:multiLevelType w:val="hybridMultilevel"/>
    <w:tmpl w:val="420C49DA"/>
    <w:lvl w:ilvl="0" w:tplc="B20ACA8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24A29D4"/>
    <w:multiLevelType w:val="hybridMultilevel"/>
    <w:tmpl w:val="9D72859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5CD486F"/>
    <w:multiLevelType w:val="hybridMultilevel"/>
    <w:tmpl w:val="3DFC6670"/>
    <w:lvl w:ilvl="0" w:tplc="10A27D7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D0524A7"/>
    <w:multiLevelType w:val="hybridMultilevel"/>
    <w:tmpl w:val="34AE63B8"/>
    <w:lvl w:ilvl="0" w:tplc="8E4EEF2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D5A6BB5"/>
    <w:multiLevelType w:val="hybridMultilevel"/>
    <w:tmpl w:val="7178A4F8"/>
    <w:lvl w:ilvl="0" w:tplc="97F4DE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B3D2A57"/>
    <w:multiLevelType w:val="hybridMultilevel"/>
    <w:tmpl w:val="439878F8"/>
    <w:lvl w:ilvl="0" w:tplc="140A000F">
      <w:start w:val="1"/>
      <w:numFmt w:val="decimal"/>
      <w:lvlText w:val="%1."/>
      <w:lvlJc w:val="left"/>
      <w:pPr>
        <w:ind w:left="720" w:hanging="360"/>
      </w:pPr>
      <w:rPr>
        <w:rFonts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C5170C8"/>
    <w:multiLevelType w:val="hybridMultilevel"/>
    <w:tmpl w:val="9E6ADFD2"/>
    <w:lvl w:ilvl="0" w:tplc="876A610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E0B47CD"/>
    <w:multiLevelType w:val="hybridMultilevel"/>
    <w:tmpl w:val="7DF6A938"/>
    <w:lvl w:ilvl="0" w:tplc="D8ACE756">
      <w:start w:val="1"/>
      <w:numFmt w:val="decimal"/>
      <w:lvlText w:val="%1."/>
      <w:lvlJc w:val="left"/>
      <w:pPr>
        <w:ind w:left="720" w:hanging="360"/>
      </w:pPr>
      <w:rPr>
        <w:rFonts w:cstheme="minorBid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6539207">
    <w:abstractNumId w:val="9"/>
  </w:num>
  <w:num w:numId="2" w16cid:durableId="1788543939">
    <w:abstractNumId w:val="7"/>
  </w:num>
  <w:num w:numId="3" w16cid:durableId="199824983">
    <w:abstractNumId w:val="3"/>
  </w:num>
  <w:num w:numId="4" w16cid:durableId="2100636407">
    <w:abstractNumId w:val="2"/>
  </w:num>
  <w:num w:numId="5" w16cid:durableId="367877722">
    <w:abstractNumId w:val="15"/>
  </w:num>
  <w:num w:numId="6" w16cid:durableId="206766113">
    <w:abstractNumId w:val="13"/>
  </w:num>
  <w:num w:numId="7" w16cid:durableId="1279875741">
    <w:abstractNumId w:val="0"/>
  </w:num>
  <w:num w:numId="8" w16cid:durableId="1815833470">
    <w:abstractNumId w:val="1"/>
  </w:num>
  <w:num w:numId="9" w16cid:durableId="609363508">
    <w:abstractNumId w:val="12"/>
  </w:num>
  <w:num w:numId="10" w16cid:durableId="776674714">
    <w:abstractNumId w:val="4"/>
  </w:num>
  <w:num w:numId="11" w16cid:durableId="1544172839">
    <w:abstractNumId w:val="8"/>
  </w:num>
  <w:num w:numId="12" w16cid:durableId="982389485">
    <w:abstractNumId w:val="14"/>
  </w:num>
  <w:num w:numId="13" w16cid:durableId="1581132740">
    <w:abstractNumId w:val="11"/>
  </w:num>
  <w:num w:numId="14" w16cid:durableId="1858539931">
    <w:abstractNumId w:val="10"/>
  </w:num>
  <w:num w:numId="15" w16cid:durableId="1836021930">
    <w:abstractNumId w:val="6"/>
  </w:num>
  <w:num w:numId="16" w16cid:durableId="2141265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5A"/>
    <w:rsid w:val="00004400"/>
    <w:rsid w:val="0000509E"/>
    <w:rsid w:val="00010E6E"/>
    <w:rsid w:val="000113B9"/>
    <w:rsid w:val="00011FAB"/>
    <w:rsid w:val="0001435D"/>
    <w:rsid w:val="0002129A"/>
    <w:rsid w:val="00021ADD"/>
    <w:rsid w:val="00022E40"/>
    <w:rsid w:val="0002475E"/>
    <w:rsid w:val="000268A5"/>
    <w:rsid w:val="000325B5"/>
    <w:rsid w:val="00034BF4"/>
    <w:rsid w:val="000421CB"/>
    <w:rsid w:val="00045290"/>
    <w:rsid w:val="00047463"/>
    <w:rsid w:val="00051C46"/>
    <w:rsid w:val="00053F43"/>
    <w:rsid w:val="0006038F"/>
    <w:rsid w:val="00064B87"/>
    <w:rsid w:val="0006650E"/>
    <w:rsid w:val="00067E6E"/>
    <w:rsid w:val="00070418"/>
    <w:rsid w:val="0007476A"/>
    <w:rsid w:val="00092A0D"/>
    <w:rsid w:val="00092B79"/>
    <w:rsid w:val="00093BD4"/>
    <w:rsid w:val="00095A2B"/>
    <w:rsid w:val="000A22FA"/>
    <w:rsid w:val="000B478C"/>
    <w:rsid w:val="000C281E"/>
    <w:rsid w:val="000C4B6B"/>
    <w:rsid w:val="000C7F0C"/>
    <w:rsid w:val="000D0808"/>
    <w:rsid w:val="000D1703"/>
    <w:rsid w:val="000D2CC5"/>
    <w:rsid w:val="000D402F"/>
    <w:rsid w:val="000D6DB0"/>
    <w:rsid w:val="000E6A7E"/>
    <w:rsid w:val="000E7C73"/>
    <w:rsid w:val="000F20BC"/>
    <w:rsid w:val="000F2431"/>
    <w:rsid w:val="000F2D21"/>
    <w:rsid w:val="000F2DC8"/>
    <w:rsid w:val="0010080A"/>
    <w:rsid w:val="001053D6"/>
    <w:rsid w:val="001078B9"/>
    <w:rsid w:val="001146F0"/>
    <w:rsid w:val="00117329"/>
    <w:rsid w:val="00121876"/>
    <w:rsid w:val="00122E77"/>
    <w:rsid w:val="00124A50"/>
    <w:rsid w:val="001300A6"/>
    <w:rsid w:val="00141360"/>
    <w:rsid w:val="0014467E"/>
    <w:rsid w:val="001466A1"/>
    <w:rsid w:val="00153DFC"/>
    <w:rsid w:val="00156192"/>
    <w:rsid w:val="00157C4B"/>
    <w:rsid w:val="00165B45"/>
    <w:rsid w:val="00166F5D"/>
    <w:rsid w:val="001676EE"/>
    <w:rsid w:val="00170497"/>
    <w:rsid w:val="00171D9D"/>
    <w:rsid w:val="00172B62"/>
    <w:rsid w:val="0017551F"/>
    <w:rsid w:val="001772ED"/>
    <w:rsid w:val="001849B8"/>
    <w:rsid w:val="00185A51"/>
    <w:rsid w:val="00192CDD"/>
    <w:rsid w:val="001A547B"/>
    <w:rsid w:val="001B3CF9"/>
    <w:rsid w:val="001B529A"/>
    <w:rsid w:val="001B67E6"/>
    <w:rsid w:val="001C081B"/>
    <w:rsid w:val="001C7D11"/>
    <w:rsid w:val="001D0235"/>
    <w:rsid w:val="001D0280"/>
    <w:rsid w:val="001D18BF"/>
    <w:rsid w:val="001D306D"/>
    <w:rsid w:val="001D3394"/>
    <w:rsid w:val="001D5731"/>
    <w:rsid w:val="001D6555"/>
    <w:rsid w:val="001D681E"/>
    <w:rsid w:val="001D7EDA"/>
    <w:rsid w:val="001F2420"/>
    <w:rsid w:val="001F43AA"/>
    <w:rsid w:val="001F5A7E"/>
    <w:rsid w:val="001F631C"/>
    <w:rsid w:val="00202D71"/>
    <w:rsid w:val="00203CB8"/>
    <w:rsid w:val="00206D90"/>
    <w:rsid w:val="002073B7"/>
    <w:rsid w:val="00216E9B"/>
    <w:rsid w:val="00220B83"/>
    <w:rsid w:val="00224118"/>
    <w:rsid w:val="00230552"/>
    <w:rsid w:val="002318B4"/>
    <w:rsid w:val="002318FA"/>
    <w:rsid w:val="00236223"/>
    <w:rsid w:val="002462AB"/>
    <w:rsid w:val="00260A96"/>
    <w:rsid w:val="00261F6E"/>
    <w:rsid w:val="00271620"/>
    <w:rsid w:val="002736DA"/>
    <w:rsid w:val="00277C51"/>
    <w:rsid w:val="00277D35"/>
    <w:rsid w:val="00280D88"/>
    <w:rsid w:val="00281D84"/>
    <w:rsid w:val="00281E7B"/>
    <w:rsid w:val="00282AD9"/>
    <w:rsid w:val="002854AC"/>
    <w:rsid w:val="00286D51"/>
    <w:rsid w:val="0029252D"/>
    <w:rsid w:val="00295482"/>
    <w:rsid w:val="002A00F7"/>
    <w:rsid w:val="002A037E"/>
    <w:rsid w:val="002A71CC"/>
    <w:rsid w:val="002B1D87"/>
    <w:rsid w:val="002B27D7"/>
    <w:rsid w:val="002B3DAB"/>
    <w:rsid w:val="002B79D6"/>
    <w:rsid w:val="002D0C4C"/>
    <w:rsid w:val="002D7752"/>
    <w:rsid w:val="002E2F86"/>
    <w:rsid w:val="002F0201"/>
    <w:rsid w:val="002F4CA2"/>
    <w:rsid w:val="002F567B"/>
    <w:rsid w:val="002F75CF"/>
    <w:rsid w:val="00300E2F"/>
    <w:rsid w:val="003036DC"/>
    <w:rsid w:val="00305EDC"/>
    <w:rsid w:val="00306A07"/>
    <w:rsid w:val="00310CC3"/>
    <w:rsid w:val="00314520"/>
    <w:rsid w:val="00314DB2"/>
    <w:rsid w:val="003155C5"/>
    <w:rsid w:val="00323419"/>
    <w:rsid w:val="003262D5"/>
    <w:rsid w:val="0033348E"/>
    <w:rsid w:val="00337C74"/>
    <w:rsid w:val="003426C3"/>
    <w:rsid w:val="00342C31"/>
    <w:rsid w:val="00344B71"/>
    <w:rsid w:val="00346207"/>
    <w:rsid w:val="003466D8"/>
    <w:rsid w:val="00347408"/>
    <w:rsid w:val="00347829"/>
    <w:rsid w:val="003505FA"/>
    <w:rsid w:val="00353BB9"/>
    <w:rsid w:val="003542FA"/>
    <w:rsid w:val="00354572"/>
    <w:rsid w:val="00354A84"/>
    <w:rsid w:val="003621B6"/>
    <w:rsid w:val="00367626"/>
    <w:rsid w:val="00374055"/>
    <w:rsid w:val="00377CEE"/>
    <w:rsid w:val="00382F82"/>
    <w:rsid w:val="00383D67"/>
    <w:rsid w:val="0038542E"/>
    <w:rsid w:val="00385716"/>
    <w:rsid w:val="00387CD6"/>
    <w:rsid w:val="00392776"/>
    <w:rsid w:val="00395281"/>
    <w:rsid w:val="0039674B"/>
    <w:rsid w:val="003A06F4"/>
    <w:rsid w:val="003A5DB1"/>
    <w:rsid w:val="003B15D4"/>
    <w:rsid w:val="003B3C55"/>
    <w:rsid w:val="003B667F"/>
    <w:rsid w:val="003B799D"/>
    <w:rsid w:val="003C2AF4"/>
    <w:rsid w:val="003D187A"/>
    <w:rsid w:val="003D35CA"/>
    <w:rsid w:val="003D4759"/>
    <w:rsid w:val="003D4B4B"/>
    <w:rsid w:val="003D5AB4"/>
    <w:rsid w:val="003D7099"/>
    <w:rsid w:val="003E0F23"/>
    <w:rsid w:val="003E33A6"/>
    <w:rsid w:val="003F5751"/>
    <w:rsid w:val="003F75E7"/>
    <w:rsid w:val="00400B68"/>
    <w:rsid w:val="00405715"/>
    <w:rsid w:val="00405B54"/>
    <w:rsid w:val="00411223"/>
    <w:rsid w:val="00412CBC"/>
    <w:rsid w:val="00413B95"/>
    <w:rsid w:val="0041411A"/>
    <w:rsid w:val="0041774C"/>
    <w:rsid w:val="00425E58"/>
    <w:rsid w:val="00426E86"/>
    <w:rsid w:val="00432490"/>
    <w:rsid w:val="00452EE2"/>
    <w:rsid w:val="004565B1"/>
    <w:rsid w:val="00460930"/>
    <w:rsid w:val="0046143A"/>
    <w:rsid w:val="004617E5"/>
    <w:rsid w:val="004624CD"/>
    <w:rsid w:val="00464393"/>
    <w:rsid w:val="00465294"/>
    <w:rsid w:val="00467CF2"/>
    <w:rsid w:val="0047276C"/>
    <w:rsid w:val="0048046E"/>
    <w:rsid w:val="00484927"/>
    <w:rsid w:val="0048512B"/>
    <w:rsid w:val="004910F3"/>
    <w:rsid w:val="00491769"/>
    <w:rsid w:val="004A2C15"/>
    <w:rsid w:val="004A7A2E"/>
    <w:rsid w:val="004B3160"/>
    <w:rsid w:val="004C1268"/>
    <w:rsid w:val="004C1806"/>
    <w:rsid w:val="004C45C3"/>
    <w:rsid w:val="004E326E"/>
    <w:rsid w:val="004F21B2"/>
    <w:rsid w:val="004F5D9B"/>
    <w:rsid w:val="005032CC"/>
    <w:rsid w:val="00504C4E"/>
    <w:rsid w:val="00507E88"/>
    <w:rsid w:val="00514288"/>
    <w:rsid w:val="00520092"/>
    <w:rsid w:val="005218F0"/>
    <w:rsid w:val="00534B19"/>
    <w:rsid w:val="00540E82"/>
    <w:rsid w:val="00544FA0"/>
    <w:rsid w:val="005545D8"/>
    <w:rsid w:val="005555F1"/>
    <w:rsid w:val="0056180E"/>
    <w:rsid w:val="0058107F"/>
    <w:rsid w:val="0059081B"/>
    <w:rsid w:val="00595C32"/>
    <w:rsid w:val="00596BFE"/>
    <w:rsid w:val="005A3803"/>
    <w:rsid w:val="005A6C56"/>
    <w:rsid w:val="005B65F1"/>
    <w:rsid w:val="005B7AEF"/>
    <w:rsid w:val="005C050D"/>
    <w:rsid w:val="005C1E47"/>
    <w:rsid w:val="005C76BF"/>
    <w:rsid w:val="005D23F9"/>
    <w:rsid w:val="005D303F"/>
    <w:rsid w:val="005D5D27"/>
    <w:rsid w:val="005E2AE6"/>
    <w:rsid w:val="005E4A8B"/>
    <w:rsid w:val="005E56E4"/>
    <w:rsid w:val="005E5803"/>
    <w:rsid w:val="005E589C"/>
    <w:rsid w:val="005F21DE"/>
    <w:rsid w:val="005F43F0"/>
    <w:rsid w:val="005F4608"/>
    <w:rsid w:val="005F5F82"/>
    <w:rsid w:val="006123F3"/>
    <w:rsid w:val="00621251"/>
    <w:rsid w:val="006212EF"/>
    <w:rsid w:val="00623C1D"/>
    <w:rsid w:val="0062642C"/>
    <w:rsid w:val="00630614"/>
    <w:rsid w:val="006339BE"/>
    <w:rsid w:val="00635A5A"/>
    <w:rsid w:val="00642A58"/>
    <w:rsid w:val="00672BCD"/>
    <w:rsid w:val="00674FAD"/>
    <w:rsid w:val="00675689"/>
    <w:rsid w:val="0068127A"/>
    <w:rsid w:val="00683E2D"/>
    <w:rsid w:val="0069385F"/>
    <w:rsid w:val="006A0CAC"/>
    <w:rsid w:val="006A315F"/>
    <w:rsid w:val="006B15F1"/>
    <w:rsid w:val="006B26D1"/>
    <w:rsid w:val="006B60A1"/>
    <w:rsid w:val="006B65D8"/>
    <w:rsid w:val="006B6689"/>
    <w:rsid w:val="006C5791"/>
    <w:rsid w:val="006C59C8"/>
    <w:rsid w:val="006C7D0E"/>
    <w:rsid w:val="006D5B49"/>
    <w:rsid w:val="006D6C45"/>
    <w:rsid w:val="006E0D2D"/>
    <w:rsid w:val="006E163F"/>
    <w:rsid w:val="006E2E30"/>
    <w:rsid w:val="006E5D47"/>
    <w:rsid w:val="006E6917"/>
    <w:rsid w:val="006F0D3C"/>
    <w:rsid w:val="006F1F34"/>
    <w:rsid w:val="006F2011"/>
    <w:rsid w:val="006F5308"/>
    <w:rsid w:val="0071666D"/>
    <w:rsid w:val="007173BC"/>
    <w:rsid w:val="00720452"/>
    <w:rsid w:val="00722522"/>
    <w:rsid w:val="007266DC"/>
    <w:rsid w:val="0073079B"/>
    <w:rsid w:val="007310BB"/>
    <w:rsid w:val="007346FE"/>
    <w:rsid w:val="00735A5A"/>
    <w:rsid w:val="00740FCF"/>
    <w:rsid w:val="0074484C"/>
    <w:rsid w:val="00752F86"/>
    <w:rsid w:val="00754436"/>
    <w:rsid w:val="00763296"/>
    <w:rsid w:val="00766D3F"/>
    <w:rsid w:val="00783177"/>
    <w:rsid w:val="00787443"/>
    <w:rsid w:val="0079478E"/>
    <w:rsid w:val="007B2044"/>
    <w:rsid w:val="007B34EE"/>
    <w:rsid w:val="007B3CAF"/>
    <w:rsid w:val="007B6918"/>
    <w:rsid w:val="007B7744"/>
    <w:rsid w:val="007B7BBF"/>
    <w:rsid w:val="007C0D0B"/>
    <w:rsid w:val="007C31CF"/>
    <w:rsid w:val="007C3FE5"/>
    <w:rsid w:val="007D2408"/>
    <w:rsid w:val="007D629A"/>
    <w:rsid w:val="007D664F"/>
    <w:rsid w:val="007D711F"/>
    <w:rsid w:val="007D789A"/>
    <w:rsid w:val="007E2A3C"/>
    <w:rsid w:val="007E7168"/>
    <w:rsid w:val="007E7B6F"/>
    <w:rsid w:val="007F2BF4"/>
    <w:rsid w:val="007F3738"/>
    <w:rsid w:val="007F477F"/>
    <w:rsid w:val="008022B1"/>
    <w:rsid w:val="00804789"/>
    <w:rsid w:val="008051AB"/>
    <w:rsid w:val="00806526"/>
    <w:rsid w:val="0081734D"/>
    <w:rsid w:val="00821238"/>
    <w:rsid w:val="008215AA"/>
    <w:rsid w:val="00822072"/>
    <w:rsid w:val="008237E1"/>
    <w:rsid w:val="00826EC1"/>
    <w:rsid w:val="008308B4"/>
    <w:rsid w:val="00832382"/>
    <w:rsid w:val="00841E75"/>
    <w:rsid w:val="00846395"/>
    <w:rsid w:val="00851DDE"/>
    <w:rsid w:val="008526F7"/>
    <w:rsid w:val="00853D8C"/>
    <w:rsid w:val="00854987"/>
    <w:rsid w:val="00862394"/>
    <w:rsid w:val="008649E2"/>
    <w:rsid w:val="00865158"/>
    <w:rsid w:val="00871805"/>
    <w:rsid w:val="008719E7"/>
    <w:rsid w:val="008758EC"/>
    <w:rsid w:val="00875F2C"/>
    <w:rsid w:val="00877140"/>
    <w:rsid w:val="0087789B"/>
    <w:rsid w:val="0088352F"/>
    <w:rsid w:val="008862D8"/>
    <w:rsid w:val="00893401"/>
    <w:rsid w:val="00893BD8"/>
    <w:rsid w:val="008A05E7"/>
    <w:rsid w:val="008A098B"/>
    <w:rsid w:val="008A4291"/>
    <w:rsid w:val="008A6ABB"/>
    <w:rsid w:val="008A6FF2"/>
    <w:rsid w:val="008B7715"/>
    <w:rsid w:val="008C04F2"/>
    <w:rsid w:val="008C0CA9"/>
    <w:rsid w:val="008C2813"/>
    <w:rsid w:val="008C400F"/>
    <w:rsid w:val="008D2F8C"/>
    <w:rsid w:val="008D3EDF"/>
    <w:rsid w:val="008D6403"/>
    <w:rsid w:val="008E3626"/>
    <w:rsid w:val="008E48D0"/>
    <w:rsid w:val="008F0BA1"/>
    <w:rsid w:val="008F117F"/>
    <w:rsid w:val="008F372B"/>
    <w:rsid w:val="008F654E"/>
    <w:rsid w:val="008F6AC6"/>
    <w:rsid w:val="008F724F"/>
    <w:rsid w:val="00905433"/>
    <w:rsid w:val="00905655"/>
    <w:rsid w:val="00905A36"/>
    <w:rsid w:val="00906DDE"/>
    <w:rsid w:val="00910286"/>
    <w:rsid w:val="00912CAA"/>
    <w:rsid w:val="00916782"/>
    <w:rsid w:val="0092478B"/>
    <w:rsid w:val="009267F4"/>
    <w:rsid w:val="00932088"/>
    <w:rsid w:val="00932659"/>
    <w:rsid w:val="00933219"/>
    <w:rsid w:val="00940884"/>
    <w:rsid w:val="00941D4B"/>
    <w:rsid w:val="009439FD"/>
    <w:rsid w:val="00952D79"/>
    <w:rsid w:val="00954318"/>
    <w:rsid w:val="0095568C"/>
    <w:rsid w:val="0095622F"/>
    <w:rsid w:val="00956B9B"/>
    <w:rsid w:val="00965234"/>
    <w:rsid w:val="0096782B"/>
    <w:rsid w:val="00967B19"/>
    <w:rsid w:val="0097385F"/>
    <w:rsid w:val="00973A2F"/>
    <w:rsid w:val="009820D7"/>
    <w:rsid w:val="0098417E"/>
    <w:rsid w:val="00990A18"/>
    <w:rsid w:val="009913CA"/>
    <w:rsid w:val="009914BE"/>
    <w:rsid w:val="00997133"/>
    <w:rsid w:val="009B3671"/>
    <w:rsid w:val="009B475A"/>
    <w:rsid w:val="009C4298"/>
    <w:rsid w:val="009C7ADA"/>
    <w:rsid w:val="009D0222"/>
    <w:rsid w:val="009E0644"/>
    <w:rsid w:val="009E3F8B"/>
    <w:rsid w:val="009E4D31"/>
    <w:rsid w:val="009E625E"/>
    <w:rsid w:val="009E6DB2"/>
    <w:rsid w:val="009E7A0C"/>
    <w:rsid w:val="009F0EDD"/>
    <w:rsid w:val="009F34D2"/>
    <w:rsid w:val="009F3B39"/>
    <w:rsid w:val="009F41AD"/>
    <w:rsid w:val="009F7736"/>
    <w:rsid w:val="009F7C79"/>
    <w:rsid w:val="00A03F46"/>
    <w:rsid w:val="00A05D88"/>
    <w:rsid w:val="00A07F00"/>
    <w:rsid w:val="00A11C32"/>
    <w:rsid w:val="00A16F6C"/>
    <w:rsid w:val="00A20411"/>
    <w:rsid w:val="00A20806"/>
    <w:rsid w:val="00A241E6"/>
    <w:rsid w:val="00A25F5B"/>
    <w:rsid w:val="00A36D55"/>
    <w:rsid w:val="00A4694B"/>
    <w:rsid w:val="00A471D4"/>
    <w:rsid w:val="00A47569"/>
    <w:rsid w:val="00A4778B"/>
    <w:rsid w:val="00A50A10"/>
    <w:rsid w:val="00A5200C"/>
    <w:rsid w:val="00A52A67"/>
    <w:rsid w:val="00A543E2"/>
    <w:rsid w:val="00A60740"/>
    <w:rsid w:val="00A63788"/>
    <w:rsid w:val="00AA6579"/>
    <w:rsid w:val="00AB116C"/>
    <w:rsid w:val="00AB29FE"/>
    <w:rsid w:val="00AB4371"/>
    <w:rsid w:val="00AB45DE"/>
    <w:rsid w:val="00AC1639"/>
    <w:rsid w:val="00AC27F8"/>
    <w:rsid w:val="00AC4310"/>
    <w:rsid w:val="00AC50AD"/>
    <w:rsid w:val="00AC5C82"/>
    <w:rsid w:val="00AD10D3"/>
    <w:rsid w:val="00AD337E"/>
    <w:rsid w:val="00AD4EFA"/>
    <w:rsid w:val="00AE1F65"/>
    <w:rsid w:val="00AF3529"/>
    <w:rsid w:val="00AF3B9B"/>
    <w:rsid w:val="00AF5B2D"/>
    <w:rsid w:val="00AF7823"/>
    <w:rsid w:val="00B0150F"/>
    <w:rsid w:val="00B032A8"/>
    <w:rsid w:val="00B06776"/>
    <w:rsid w:val="00B07F1E"/>
    <w:rsid w:val="00B20060"/>
    <w:rsid w:val="00B2433A"/>
    <w:rsid w:val="00B30D30"/>
    <w:rsid w:val="00B3231D"/>
    <w:rsid w:val="00B33212"/>
    <w:rsid w:val="00B337B6"/>
    <w:rsid w:val="00B33F1F"/>
    <w:rsid w:val="00B34779"/>
    <w:rsid w:val="00B34A63"/>
    <w:rsid w:val="00B37E6C"/>
    <w:rsid w:val="00B4008C"/>
    <w:rsid w:val="00B422EC"/>
    <w:rsid w:val="00B47F3E"/>
    <w:rsid w:val="00B526A7"/>
    <w:rsid w:val="00B6070F"/>
    <w:rsid w:val="00B633CE"/>
    <w:rsid w:val="00B63E4F"/>
    <w:rsid w:val="00B66820"/>
    <w:rsid w:val="00B677E6"/>
    <w:rsid w:val="00B75488"/>
    <w:rsid w:val="00B75C0F"/>
    <w:rsid w:val="00B7734E"/>
    <w:rsid w:val="00B84805"/>
    <w:rsid w:val="00B93663"/>
    <w:rsid w:val="00B97B76"/>
    <w:rsid w:val="00BA0D45"/>
    <w:rsid w:val="00BA15D8"/>
    <w:rsid w:val="00BB3DB1"/>
    <w:rsid w:val="00BB433C"/>
    <w:rsid w:val="00BC57F6"/>
    <w:rsid w:val="00BD1600"/>
    <w:rsid w:val="00BD5F5A"/>
    <w:rsid w:val="00BD6D9F"/>
    <w:rsid w:val="00BE078A"/>
    <w:rsid w:val="00BE5B94"/>
    <w:rsid w:val="00BE6A74"/>
    <w:rsid w:val="00BF31AC"/>
    <w:rsid w:val="00C00378"/>
    <w:rsid w:val="00C0137E"/>
    <w:rsid w:val="00C0148B"/>
    <w:rsid w:val="00C015B1"/>
    <w:rsid w:val="00C02844"/>
    <w:rsid w:val="00C111A2"/>
    <w:rsid w:val="00C162ED"/>
    <w:rsid w:val="00C201A9"/>
    <w:rsid w:val="00C22289"/>
    <w:rsid w:val="00C313AD"/>
    <w:rsid w:val="00C33B3F"/>
    <w:rsid w:val="00C35FA0"/>
    <w:rsid w:val="00C3753D"/>
    <w:rsid w:val="00C558DC"/>
    <w:rsid w:val="00C573A5"/>
    <w:rsid w:val="00C60C6B"/>
    <w:rsid w:val="00C61736"/>
    <w:rsid w:val="00C6293F"/>
    <w:rsid w:val="00C67AFA"/>
    <w:rsid w:val="00C71BE2"/>
    <w:rsid w:val="00CA16C2"/>
    <w:rsid w:val="00CA22B5"/>
    <w:rsid w:val="00CA7D75"/>
    <w:rsid w:val="00CB329A"/>
    <w:rsid w:val="00CB4E79"/>
    <w:rsid w:val="00CB59A6"/>
    <w:rsid w:val="00CC0335"/>
    <w:rsid w:val="00CC24BF"/>
    <w:rsid w:val="00CC300E"/>
    <w:rsid w:val="00CC5A63"/>
    <w:rsid w:val="00CD5928"/>
    <w:rsid w:val="00CD6F6D"/>
    <w:rsid w:val="00D029E6"/>
    <w:rsid w:val="00D0661A"/>
    <w:rsid w:val="00D07E88"/>
    <w:rsid w:val="00D16001"/>
    <w:rsid w:val="00D162A3"/>
    <w:rsid w:val="00D2320C"/>
    <w:rsid w:val="00D255F0"/>
    <w:rsid w:val="00D33262"/>
    <w:rsid w:val="00D33A09"/>
    <w:rsid w:val="00D34D99"/>
    <w:rsid w:val="00D350B3"/>
    <w:rsid w:val="00D37C51"/>
    <w:rsid w:val="00D421E8"/>
    <w:rsid w:val="00D43ECA"/>
    <w:rsid w:val="00D440C1"/>
    <w:rsid w:val="00D461E1"/>
    <w:rsid w:val="00D653F8"/>
    <w:rsid w:val="00D81902"/>
    <w:rsid w:val="00D81B16"/>
    <w:rsid w:val="00D84E09"/>
    <w:rsid w:val="00D85554"/>
    <w:rsid w:val="00D86CC1"/>
    <w:rsid w:val="00D96402"/>
    <w:rsid w:val="00DA0F13"/>
    <w:rsid w:val="00DA3F97"/>
    <w:rsid w:val="00DA5F5C"/>
    <w:rsid w:val="00DA5F9B"/>
    <w:rsid w:val="00DC2BEC"/>
    <w:rsid w:val="00DC38D9"/>
    <w:rsid w:val="00DC6871"/>
    <w:rsid w:val="00DD43D1"/>
    <w:rsid w:val="00DD729A"/>
    <w:rsid w:val="00DE0058"/>
    <w:rsid w:val="00DE0E85"/>
    <w:rsid w:val="00DE32EA"/>
    <w:rsid w:val="00DE4410"/>
    <w:rsid w:val="00DE615E"/>
    <w:rsid w:val="00E102DD"/>
    <w:rsid w:val="00E12FB8"/>
    <w:rsid w:val="00E14A08"/>
    <w:rsid w:val="00E21F96"/>
    <w:rsid w:val="00E249A4"/>
    <w:rsid w:val="00E251CD"/>
    <w:rsid w:val="00E260CB"/>
    <w:rsid w:val="00E27500"/>
    <w:rsid w:val="00E31BA9"/>
    <w:rsid w:val="00E31D50"/>
    <w:rsid w:val="00E32789"/>
    <w:rsid w:val="00E40BB9"/>
    <w:rsid w:val="00E42EFF"/>
    <w:rsid w:val="00E52241"/>
    <w:rsid w:val="00E53AC5"/>
    <w:rsid w:val="00E57427"/>
    <w:rsid w:val="00E61A51"/>
    <w:rsid w:val="00E629C7"/>
    <w:rsid w:val="00E64012"/>
    <w:rsid w:val="00E645B8"/>
    <w:rsid w:val="00E74F5B"/>
    <w:rsid w:val="00E7572B"/>
    <w:rsid w:val="00E7744F"/>
    <w:rsid w:val="00E80121"/>
    <w:rsid w:val="00E9275A"/>
    <w:rsid w:val="00E9337F"/>
    <w:rsid w:val="00E94ADB"/>
    <w:rsid w:val="00E95D96"/>
    <w:rsid w:val="00EA0753"/>
    <w:rsid w:val="00EB02C6"/>
    <w:rsid w:val="00EB3BAD"/>
    <w:rsid w:val="00EC1B04"/>
    <w:rsid w:val="00EE2C08"/>
    <w:rsid w:val="00EE3C16"/>
    <w:rsid w:val="00EE5367"/>
    <w:rsid w:val="00EE58B8"/>
    <w:rsid w:val="00EF04B3"/>
    <w:rsid w:val="00EF195F"/>
    <w:rsid w:val="00F1404E"/>
    <w:rsid w:val="00F24603"/>
    <w:rsid w:val="00F25A0D"/>
    <w:rsid w:val="00F36D7C"/>
    <w:rsid w:val="00F37CD3"/>
    <w:rsid w:val="00F37D41"/>
    <w:rsid w:val="00F401ED"/>
    <w:rsid w:val="00F4326B"/>
    <w:rsid w:val="00F432E8"/>
    <w:rsid w:val="00F44087"/>
    <w:rsid w:val="00F45755"/>
    <w:rsid w:val="00F46E0B"/>
    <w:rsid w:val="00F50B32"/>
    <w:rsid w:val="00F528D0"/>
    <w:rsid w:val="00F560CF"/>
    <w:rsid w:val="00F57041"/>
    <w:rsid w:val="00F637AF"/>
    <w:rsid w:val="00F70F50"/>
    <w:rsid w:val="00F74529"/>
    <w:rsid w:val="00F76F9E"/>
    <w:rsid w:val="00F82367"/>
    <w:rsid w:val="00F83D47"/>
    <w:rsid w:val="00F86A5C"/>
    <w:rsid w:val="00F87F50"/>
    <w:rsid w:val="00FA041D"/>
    <w:rsid w:val="00FA16E0"/>
    <w:rsid w:val="00FB166B"/>
    <w:rsid w:val="00FC309B"/>
    <w:rsid w:val="00FC3342"/>
    <w:rsid w:val="00FD3E6F"/>
    <w:rsid w:val="00FE1743"/>
    <w:rsid w:val="00FE500F"/>
    <w:rsid w:val="00FE57E9"/>
    <w:rsid w:val="00FE6687"/>
    <w:rsid w:val="00FF15C6"/>
    <w:rsid w:val="00FF4595"/>
    <w:rsid w:val="00FF5BFE"/>
    <w:rsid w:val="00FF6CFA"/>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1E1DC06"/>
  <w15:docId w15:val="{FDBC3D3C-7DB7-4090-89F4-2057CFB5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basedOn w:val="Normal"/>
    <w:uiPriority w:val="34"/>
    <w:qFormat/>
    <w:rsid w:val="00E629C7"/>
    <w:pPr>
      <w:ind w:left="720"/>
      <w:contextualSpacing/>
    </w:pPr>
  </w:style>
  <w:style w:type="paragraph" w:customStyle="1" w:styleId="Default">
    <w:name w:val="Default"/>
    <w:rsid w:val="00E7744F"/>
    <w:pPr>
      <w:autoSpaceDE w:val="0"/>
      <w:autoSpaceDN w:val="0"/>
      <w:adjustRightInd w:val="0"/>
      <w:spacing w:after="0" w:line="240" w:lineRule="auto"/>
    </w:pPr>
    <w:rPr>
      <w:rFonts w:ascii="Tahoma" w:hAnsi="Tahoma" w:cs="Tahoma"/>
      <w:color w:val="000000"/>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09645">
      <w:bodyDiv w:val="1"/>
      <w:marLeft w:val="0"/>
      <w:marRight w:val="0"/>
      <w:marTop w:val="0"/>
      <w:marBottom w:val="0"/>
      <w:divBdr>
        <w:top w:val="none" w:sz="0" w:space="0" w:color="auto"/>
        <w:left w:val="none" w:sz="0" w:space="0" w:color="auto"/>
        <w:bottom w:val="none" w:sz="0" w:space="0" w:color="auto"/>
        <w:right w:val="none" w:sz="0" w:space="0" w:color="auto"/>
      </w:divBdr>
    </w:div>
    <w:div w:id="1513373528">
      <w:bodyDiv w:val="1"/>
      <w:marLeft w:val="0"/>
      <w:marRight w:val="0"/>
      <w:marTop w:val="0"/>
      <w:marBottom w:val="0"/>
      <w:divBdr>
        <w:top w:val="none" w:sz="0" w:space="0" w:color="auto"/>
        <w:left w:val="none" w:sz="0" w:space="0" w:color="auto"/>
        <w:bottom w:val="none" w:sz="0" w:space="0" w:color="auto"/>
        <w:right w:val="none" w:sz="0" w:space="0" w:color="auto"/>
      </w:divBdr>
    </w:div>
    <w:div w:id="18521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513C2684DA40A3A1687261C68C5CD5"/>
        <w:category>
          <w:name w:val="General"/>
          <w:gallery w:val="placeholder"/>
        </w:category>
        <w:types>
          <w:type w:val="bbPlcHdr"/>
        </w:types>
        <w:behaviors>
          <w:behavior w:val="content"/>
        </w:behaviors>
        <w:guid w:val="{B2EDA35C-33D5-40CE-B1EC-A0F60456B471}"/>
      </w:docPartPr>
      <w:docPartBody>
        <w:p w:rsidR="002E43AD" w:rsidRDefault="002E43AD">
          <w:pPr>
            <w:pStyle w:val="05513C2684DA40A3A1687261C68C5CD5"/>
          </w:pPr>
          <w:r w:rsidRPr="0087789B">
            <w:rPr>
              <w:rStyle w:val="Textodelmarcadordeposicin"/>
              <w:szCs w:val="24"/>
            </w:rPr>
            <w:t>Ingrese la fecha aquí.</w:t>
          </w:r>
        </w:p>
      </w:docPartBody>
    </w:docPart>
    <w:docPart>
      <w:docPartPr>
        <w:name w:val="D27BF04048C44C16BEA9CE30CEBEE1C0"/>
        <w:category>
          <w:name w:val="General"/>
          <w:gallery w:val="placeholder"/>
        </w:category>
        <w:types>
          <w:type w:val="bbPlcHdr"/>
        </w:types>
        <w:behaviors>
          <w:behavior w:val="content"/>
        </w:behaviors>
        <w:guid w:val="{4C94EB09-4FB6-4A0F-B9A2-31E145F961B8}"/>
      </w:docPartPr>
      <w:docPartBody>
        <w:p w:rsidR="002E43AD" w:rsidRDefault="002E43AD">
          <w:pPr>
            <w:pStyle w:val="D27BF04048C44C16BEA9CE30CEBEE1C0"/>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AD"/>
    <w:rsid w:val="00116219"/>
    <w:rsid w:val="002E43AD"/>
    <w:rsid w:val="004214AD"/>
    <w:rsid w:val="004272C6"/>
    <w:rsid w:val="006A2F60"/>
    <w:rsid w:val="00800865"/>
    <w:rsid w:val="008F1A41"/>
    <w:rsid w:val="00D132CA"/>
    <w:rsid w:val="00EA5B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5513C2684DA40A3A1687261C68C5CD5">
    <w:name w:val="05513C2684DA40A3A1687261C68C5CD5"/>
  </w:style>
  <w:style w:type="paragraph" w:customStyle="1" w:styleId="D27BF04048C44C16BEA9CE30CEBEE1C0">
    <w:name w:val="D27BF04048C44C16BEA9CE30CEBEE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x6hdOP5sgppmax39Aw+luWer3d7n4yBaxeWz34cNymU=</DigestValue>
    </Reference>
    <Reference Type="http://www.w3.org/2000/09/xmldsig#Object" URI="#idOfficeObject">
      <DigestMethod Algorithm="http://www.w3.org/2001/04/xmlenc#sha256"/>
      <DigestValue>jjfBIpyGTuV1Fdxdj8Z+RtNtLefBUZL2z/+M5eWSB1g=</DigestValue>
    </Reference>
    <Reference Type="http://uri.etsi.org/01903#SignedProperties" URI="#idSignedProperties">
      <Transforms>
        <Transform Algorithm="http://www.w3.org/TR/2001/REC-xml-c14n-20010315"/>
      </Transforms>
      <DigestMethod Algorithm="http://www.w3.org/2001/04/xmlenc#sha256"/>
      <DigestValue>0kAnGp/JxaM71O2Tiqx54NgiRheWxv4e22VTKtXDUpc=</DigestValue>
    </Reference>
  </SignedInfo>
  <SignatureValue>bEyWfeaw5BELJjfOK5VfVjCEa5a2ErT47uzLN0/jBQn2huzP+x6WwIysGrVp8eHTqJjrCyJe9a9c
k7lR3f4Lgwtmq/SbWbYVFU7nUngVjbZ8x7tSR1d/W4qreClUlmmmqzqIPwnNM92eq+N/mIuik+gP
GccZGTmfibTr7Heqk+b4RyzlYE0MQxqrn9YwgI93rH/ecXu169/JThhNHV9NpqCBxUfG09MCvU/l
oQxXPZ1HIsUYNHQe67Yzgbr2VaMrRWFPY8St7FhgP2IRoRfYxq8xuQwBujEhLLoQkhKZrgsHi2yL
2PotRkJD/tWxcfR4by+7L9A6wzLirUwqtdBerg==</SignatureValue>
  <KeyInfo>
    <X509Data>
      <X509Certificate>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CWyJBNVMb+ws2ZshTHdm7JN8XqeehM4cMXony8OzrmR8OlOGytEEBJl3908nBgUFlB3mWQ8XWq2Vx3Xe2OyL/jvLEt/vxtYd+Uv0r4wo/xEvx47iSrrY9qpUSCnDvFn3PLoObRCrna/39sD16mdhQDOt3PTPcZplqWGP6Q9CzSNVpkHNf6xYtIVWyDapTZUH/Xw5YAOnmMwlVhfJx6+pQoDOoBk0bCaCOsYRUfchIyxNWUfr1J5DaXdWpxeT9rmkR3TcS5DUWdRAZcUlinE71C7P52rakI/1+X/cb/22+6vLQ+rY+RpYft3zegNsq5aqpvYhDq4NkMdxYoxPVWzTF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Ig2YvN23iDYKJP+trxufMoywUnT4aQ5icPpqwjywHTk=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aE4N18cknFQ/gpoH0JTtQmxb9MhuCyf/JMiZSCyndCg=</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aE4N18cknFQ/gpoH0JTtQmxb9MhuCyf/JMiZSCyndCg=</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Gz8BnLLk/Eew0rSaxRMdHcT96BQ2EIyANBn3peaq8Wg=</DigestValue>
      </Reference>
      <Reference URI="/word/document.xml?ContentType=application/vnd.openxmlformats-officedocument.wordprocessingml.document.main+xml">
        <DigestMethod Algorithm="http://www.w3.org/2001/04/xmlenc#sha256"/>
        <DigestValue>JqpbClvWu/EyH5Y49qaMMNP4Bblg5p3Kuc9W/TiEXOg=</DigestValue>
      </Reference>
      <Reference URI="/word/embeddings/oleObject1.bin?ContentType=application/vnd.openxmlformats-officedocument.oleObject">
        <DigestMethod Algorithm="http://www.w3.org/2001/04/xmlenc#sha256"/>
        <DigestValue>JNcAG1uZXv+ET5havO4HaKC9gkFXJ9ZDtQpphsgrq/o=</DigestValue>
      </Reference>
      <Reference URI="/word/endnotes.xml?ContentType=application/vnd.openxmlformats-officedocument.wordprocessingml.endnotes+xml">
        <DigestMethod Algorithm="http://www.w3.org/2001/04/xmlenc#sha256"/>
        <DigestValue>qrtfhhjxryfzS7qzNxAoiGH5TNUdZtbyXu0hOtA1nlI=</DigestValue>
      </Reference>
      <Reference URI="/word/fontTable.xml?ContentType=application/vnd.openxmlformats-officedocument.wordprocessingml.fontTable+xml">
        <DigestMethod Algorithm="http://www.w3.org/2001/04/xmlenc#sha256"/>
        <DigestValue>Q0MRfQRj9dnY+cRIwqaekKkkNEhiVXGbc9JIs7pq9fY=</DigestValue>
      </Reference>
      <Reference URI="/word/footer1.xml?ContentType=application/vnd.openxmlformats-officedocument.wordprocessingml.footer+xml">
        <DigestMethod Algorithm="http://www.w3.org/2001/04/xmlenc#sha256"/>
        <DigestValue>8HPDBP9QcrUYkuwOUYxeO0wps7DZGK3rZr2eHQIg+tQ=</DigestValue>
      </Reference>
      <Reference URI="/word/footer2.xml?ContentType=application/vnd.openxmlformats-officedocument.wordprocessingml.footer+xml">
        <DigestMethod Algorithm="http://www.w3.org/2001/04/xmlenc#sha256"/>
        <DigestValue>F3bcC5Hx1II3yfxmRJptI2Gj248MZWqK3VprBPdf8sU=</DigestValue>
      </Reference>
      <Reference URI="/word/footnotes.xml?ContentType=application/vnd.openxmlformats-officedocument.wordprocessingml.footnotes+xml">
        <DigestMethod Algorithm="http://www.w3.org/2001/04/xmlenc#sha256"/>
        <DigestValue>rnq/X2aXap1tPq7MKRAW97ne6EuuE9ltZ3pEt113vG0=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p63IXsj/YVGb/Buy++8mEfMDfDcN9/DGXSYrFp19dyE=</DigestValue>
      </Reference>
      <Reference URI="/word/glossary/fontTable.xml?ContentType=application/vnd.openxmlformats-officedocument.wordprocessingml.fontTable+xml">
        <DigestMethod Algorithm="http://www.w3.org/2001/04/xmlenc#sha256"/>
        <DigestValue>Q0MRfQRj9dnY+cRIwqaekKkkNEhiVXGbc9JIs7pq9fY=</DigestValue>
      </Reference>
      <Reference URI="/word/glossary/settings.xml?ContentType=application/vnd.openxmlformats-officedocument.wordprocessingml.settings+xml">
        <DigestMethod Algorithm="http://www.w3.org/2001/04/xmlenc#sha256"/>
        <DigestValue>2OoPaDnYPyYHR6ymBqkWDqmw/CeT54kt4rkTScYU5GE=</DigestValue>
      </Reference>
      <Reference URI="/word/glossary/styles.xml?ContentType=application/vnd.openxmlformats-officedocument.wordprocessingml.styles+xml">
        <DigestMethod Algorithm="http://www.w3.org/2001/04/xmlenc#sha256"/>
        <DigestValue>RRZaUABJQMimcjdb02eFg7ehp7vcda+StB2yCb1qSWE=</DigestValue>
      </Reference>
      <Reference URI="/word/glossary/webSettings.xml?ContentType=application/vnd.openxmlformats-officedocument.wordprocessingml.webSettings+xml">
        <DigestMethod Algorithm="http://www.w3.org/2001/04/xmlenc#sha256"/>
        <DigestValue>qTW+Ld40kWDuOQzFtqBqoFfP1E/qwjD27/RAiJ9TkC8=</DigestValue>
      </Reference>
      <Reference URI="/word/header1.xml?ContentType=application/vnd.openxmlformats-officedocument.wordprocessingml.header+xml">
        <DigestMethod Algorithm="http://www.w3.org/2001/04/xmlenc#sha256"/>
        <DigestValue>4tedpD+XA/bCmXQRUgKOhBxs7gc5f472AFpjRUcCphU=</DigestValue>
      </Reference>
      <Reference URI="/word/header2.xml?ContentType=application/vnd.openxmlformats-officedocument.wordprocessingml.header+xml">
        <DigestMethod Algorithm="http://www.w3.org/2001/04/xmlenc#sha256"/>
        <DigestValue>BflgyJCD8H9SG3Qh/JCJey15GhfJ2XN4vuOnRSzmRyU=</DigestValue>
      </Reference>
      <Reference URI="/word/media/image1.JPG?ContentType=image/jpeg">
        <DigestMethod Algorithm="http://www.w3.org/2001/04/xmlenc#sha256"/>
        <DigestValue>I4XBxSpwgO62F6BQABDSz+caiS5UhFEro+k+sn89SDU=</DigestValue>
      </Reference>
      <Reference URI="/word/media/image2.emf?ContentType=image/x-emf">
        <DigestMethod Algorithm="http://www.w3.org/2001/04/xmlenc#sha256"/>
        <DigestValue>hoi3p8d6gO4TnIyN2OVcXt+lqhC9PNVTr3c4X/ClJpA=</DigestValue>
      </Reference>
      <Reference URI="/word/media/image3.jpeg?ContentType=image/jpeg">
        <DigestMethod Algorithm="http://www.w3.org/2001/04/xmlenc#sha256"/>
        <DigestValue>ckm/zEfkvfAIr045GReacsQG0geFnJV54djzFqSv7l4=</DigestValue>
      </Reference>
      <Reference URI="/word/media/image4.png?ContentType=image/png">
        <DigestMethod Algorithm="http://www.w3.org/2001/04/xmlenc#sha256"/>
        <DigestValue>Fc+jDKZxG1NgVMtTAyV0PhndD4AaZTIfOhF2fLwervE=</DigestValue>
      </Reference>
      <Reference URI="/word/numbering.xml?ContentType=application/vnd.openxmlformats-officedocument.wordprocessingml.numbering+xml">
        <DigestMethod Algorithm="http://www.w3.org/2001/04/xmlenc#sha256"/>
        <DigestValue>yQargcZUNkiPEsm2RHgpQHj8dYmUHgZ5egutjbF+AUM=</DigestValue>
      </Reference>
      <Reference URI="/word/settings.xml?ContentType=application/vnd.openxmlformats-officedocument.wordprocessingml.settings+xml">
        <DigestMethod Algorithm="http://www.w3.org/2001/04/xmlenc#sha256"/>
        <DigestValue>o8JlsbBBINOjMV9Zb0z2OiuXSRVfCYS27zhueatyLIk=</DigestValue>
      </Reference>
      <Reference URI="/word/styles.xml?ContentType=application/vnd.openxmlformats-officedocument.wordprocessingml.styles+xml">
        <DigestMethod Algorithm="http://www.w3.org/2001/04/xmlenc#sha256"/>
        <DigestValue>5EYOw0Fw3y8lAinX4jFN1PuTz+PROtkeR1qcu0YrXJY=</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IE5mf0kVcD+13pdgVoS2Wq9KM0TIZY6i/BWEDUWOj3M=</DigestValue>
      </Reference>
    </Manifest>
    <SignatureProperties>
      <SignatureProperty Id="idSignatureTime" Target="#idPackageSignature">
        <mdssi:SignatureTime xmlns:mdssi="http://schemas.openxmlformats.org/package/2006/digital-signature">
          <mdssi:Format>YYYY-MM-DDThh:mm:ssTZD</mdssi:Format>
          <mdssi:Value>2024-03-14T20:56:07Z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2024-03-14T20:56:07Z</xd:SigningTime>
          <xd:SigningCertificate>
            <xd:Cert>
              <xd:CertDigest>
                <DigestMethod Algorithm="http://www.w3.org/2001/04/xmlenc#sha256"/>
                <DigestValue>ST0rjk/zqNgIUIK6qEXyMll6fccMMLjb3yQ0XmTdSrM=</DigestValue>
              </xd:CertDigest>
              <xd:IssuerSerial>
                <X509IssuerName>CN=CA SINPE - PERSONA FISICA v2, OU=DIVISION SISTEMAS DE PAGO, O=BANCO CENTRAL DE COSTA RICA, C=CR, SERIALNUMBER=CPJ-4-000-004017</X509IssuerName>
                <X509SerialNumber>446019151014709188304337118888377421975550750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ZfwB2CCEppOOlpEHSo6RocXc/lL/8m+IUx6MtOY0cSUCBBmEiQkYDzIwMjQwMzE0MjA1NjI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</xd:EncapsulatedCRLValue>
                <xd:EncapsulatedCRLValue>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S8qpZzv9cRUJkgO6xZPCbzatwEc=</xd:ByKey>
                  </xd:ResponderID>
                  <xd:ProducedAt>2024-03-13T20:15:46Z</xd:ProducedAt>
                </xd:OCSPIdentifier>
                <xd:DigestAlgAndValue>
                  <DigestMethod Algorithm="http://www.w3.org/2001/04/xmlenc#sha256"/>
                  <DigestValue>OmaT2V/n53kTmDiLMkhxq6blL0MwwYWXyFPFvswPs2Q=</DigestValue>
                </xd:DigestAlgAndValue>
              </xd:OCSPRef>
            </xd:OCSPRefs>
            <xd:CRLRefs>
              <xd:CRLRef>
                <xd:DigestAlgAndValue>
                  <DigestMethod Algorithm="http://www.w3.org/2001/04/xmlenc#sha256"/>
                  <DigestValue>ITFYfaNs++i62pXOxVcDud86mV73TW3JqZoevLp10vU=</DigestValue>
                </xd:DigestAlgAndValue>
                <xd:CRLIdentifier>
                  <xd:Issuer>CN=CA POLITICA PERSONA FISICA - COSTA RICA v2, OU=DCFD, O=MICITT, C=CR, SERIALNUMBER=CPJ-2-100-098311</xd:Issuer>
                  <xd:IssueTime>2024-01-17T19:40:26Z</xd:IssueTime>
                </xd:CRLIdentifier>
              </xd:CRLRef>
              <xd:CRLRef>
                <xd:DigestAlgAndValue>
                  <DigestMethod Algorithm="http://www.w3.org/2001/04/xmlenc#sha256"/>
                  <DigestValue>d6XeBOeKV6RmIqhYQFVoxc4ECkqm0KUYMBF5XF7SjIw=</DigestValue>
                </xd:DigestAlgAndValue>
                <xd:CRLIdentifier>
                  <xd:Issuer>CN=CA RAIZ NACIONAL - COSTA RICA v2, C=CR, O=MICITT, OU=DCFD, SERIALNUMBER=CPJ-2-100-098311</xd:Issuer>
                  <xd:IssueTime>2024-01-17T19:22:40Z</xd:IssueTime>
                </xd:CRLIdentifier>
              </xd:CRLRef>
            </xd:CRLRefs>
          </xd:CompleteRevocationRefs>
          <xd:RevocationValues>
            <xd:OCSPValues>
              <xd:EncapsulatedOCSPValue>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</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</xd:EncapsulatedCRLValue>
              <xd:EncapsulatedCRLValue>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</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n5mR4RLWEixp/sHm/DfWfvRsWPxAwGvWSnXqO/srNpQCBBmEiQoYDzIwMjQwMzE0MjA1NjI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</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4D768B88D3D084E9026CB6F1B8798F4" ma:contentTypeVersion="15" ma:contentTypeDescription="Crear nuevo documento." ma:contentTypeScope="" ma:versionID="6491dd157003377e3172a382a5b0b67c">
  <xsd:schema xmlns:xsd="http://www.w3.org/2001/XMLSchema" xmlns:xs="http://www.w3.org/2001/XMLSchema" xmlns:p="http://schemas.microsoft.com/office/2006/metadata/properties" xmlns:ns2="3d196b9c-3f10-47c2-b218-6094a50122a4" xmlns:ns3="f98666fa-fc93-4cf2-9679-f47c1b2c9ba3" targetNamespace="http://schemas.microsoft.com/office/2006/metadata/properties" ma:root="true" ma:fieldsID="b3762f72006eb26839c072a7b2dd1258" ns2:_="" ns3:_="">
    <xsd:import namespace="3d196b9c-3f10-47c2-b218-6094a50122a4"/>
    <xsd:import namespace="f98666fa-fc93-4cf2-9679-f47c1b2c9ba3"/>
    <xsd:element name="properties">
      <xsd:complexType>
        <xsd:sequence>
          <xsd:element name="documentManagement">
            <xsd:complexType>
              <xsd:all>
                <xsd:element ref="ns2:Evento"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96b9c-3f10-47c2-b218-6094a50122a4"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Estado" ma:index="16" nillable="true" ma:displayName="Estado" ma:indexed="true" ma:internalName="Estado">
      <xsd:simpleType>
        <xsd:restriction base="dms:Text">
          <xsd:maxLength value="255"/>
        </xsd:restriction>
      </xsd:simpleType>
    </xsd:element>
    <xsd:element name="IdEvento" ma:index="17" nillable="true" ma:displayName="IdEvento" ma:indexed="true" ma:internalName="IdEvento">
      <xsd:simpleType>
        <xsd:restriction base="dms:Text">
          <xsd:maxLength value="255"/>
        </xsd:restriction>
      </xsd:simpleType>
    </xsd:element>
    <xsd:element name="IdSession" ma:index="18" nillable="true" ma:displayName="IdSession" ma:indexed="true" ma:internalName="IdSession">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666fa-fc93-4cf2-9679-f47c1b2c9ba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8666fa-fc93-4cf2-9679-f47c1b2c9ba3">
      <UserInfo>
        <DisplayName>ROJAS RIVAS ANA MATILDE</DisplayName>
        <AccountId>63</AccountId>
        <AccountType/>
      </UserInfo>
    </SharedWithUsers>
    <IdEvento xmlns="3d196b9c-3f10-47c2-b218-6094a50122a4" xsi:nil="true"/>
    <IdSession xmlns="3d196b9c-3f10-47c2-b218-6094a50122a4" xsi:nil="true"/>
    <Estado xmlns="3d196b9c-3f10-47c2-b218-6094a50122a4" xsi:nil="true"/>
    <Evento xmlns="3d196b9c-3f10-47c2-b218-6094a50122a4">
      <Url>https://si.supen.fi.cr/Tramites/Tram_Detalle_Evento.aspx?evento=2024006288&amp;op=3</Url>
      <Description>2024006288</Description>
    </Evento>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4C17445-FB46-4B29-9351-1F32667E337F}">
  <ds:schemaRefs>
    <ds:schemaRef ds:uri="http://schemas.openxmlformats.org/officeDocument/2006/bibliography"/>
  </ds:schemaRefs>
</ds:datastoreItem>
</file>

<file path=customXml/itemProps2.xml><?xml version="1.0" encoding="utf-8"?>
<ds:datastoreItem xmlns:ds="http://schemas.openxmlformats.org/officeDocument/2006/customXml" ds:itemID="{54D6C253-DF00-4138-9708-9FBF9A970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96b9c-3f10-47c2-b218-6094a50122a4"/>
    <ds:schemaRef ds:uri="f98666fa-fc93-4cf2-9679-f47c1b2c9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54265-9611-4717-9919-210EAE0D58EE}">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3d196b9c-3f10-47c2-b218-6094a50122a4"/>
    <ds:schemaRef ds:uri="http://schemas.openxmlformats.org/package/2006/metadata/core-properties"/>
    <ds:schemaRef ds:uri="f98666fa-fc93-4cf2-9679-f47c1b2c9ba3"/>
    <ds:schemaRef ds:uri="http://schemas.microsoft.com/office/2006/metadata/properties"/>
  </ds:schemaRefs>
</ds:datastoreItem>
</file>

<file path=customXml/itemProps4.xml><?xml version="1.0" encoding="utf-8"?>
<ds:datastoreItem xmlns:ds="http://schemas.openxmlformats.org/officeDocument/2006/customXml" ds:itemID="{91F94481-3554-46DE-9218-A98EE5EB7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 Superintendente</Template>
  <TotalTime>122</TotalTime>
  <Pages>19</Pages>
  <Words>5779</Words>
  <Characters>31785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2024SP271.docx</dc:title>
  <dc:subject/>
  <dc:creator>ROJAS VALVERDE DIEGO ANTONIO</dc:creator>
  <cp:keywords/>
  <dc:description/>
  <cp:lastModifiedBy>STERLOFF CHARALAMPIDU YANNI</cp:lastModifiedBy>
  <cp:revision>133</cp:revision>
  <cp:lastPrinted>2016-11-07T18:19:00Z</cp:lastPrinted>
  <dcterms:created xsi:type="dcterms:W3CDTF">2024-03-12T21:46:00Z</dcterms:created>
  <dcterms:modified xsi:type="dcterms:W3CDTF">2024-03-14T20:53:00Z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0x010100E4D768B88D3D084E9026CB6F1B8798F4</vt:lpwstr>
  </property>
  <property fmtid="{D5CDD505-2E9C-101B-9397-08002B2CF9AE}" pid="3" name="IsMyDocuments">
    <vt:bool>true</vt:bool>
  </property>
  <property fmtid="{D5CDD505-2E9C-101B-9397-08002B2CF9AE}" pid="4" name="MediaServiceImageTags">
    <vt:lpwstr/>
  </property>
  <property fmtid="{D5CDD505-2E9C-101B-9397-08002B2CF9AE}" pid="5" name="MSIP_Label_b8b4be34-365a-4a68-b9fb-75c1b6874315_Enabled">
    <vt:lpwstr>true</vt:lpwstr>
  </property>
  <property fmtid="{D5CDD505-2E9C-101B-9397-08002B2CF9AE}" pid="6" name="MSIP_Label_b8b4be34-365a-4a68-b9fb-75c1b6874315_SetDate">
    <vt:lpwstr>2024-03-12T21:16:34Z</vt:lpwstr>
  </property>
  <property fmtid="{D5CDD505-2E9C-101B-9397-08002B2CF9AE}" pid="7" name="MSIP_Label_b8b4be34-365a-4a68-b9fb-75c1b6874315_Method">
    <vt:lpwstr>Standard</vt:lpwstr>
  </property>
  <property fmtid="{D5CDD505-2E9C-101B-9397-08002B2CF9AE}" pid="8" name="MSIP_Label_b8b4be34-365a-4a68-b9fb-75c1b6874315_Name">
    <vt:lpwstr>b8b4be34-365a-4a68-b9fb-75c1b6874315</vt:lpwstr>
  </property>
  <property fmtid="{D5CDD505-2E9C-101B-9397-08002B2CF9AE}" pid="9" name="MSIP_Label_b8b4be34-365a-4a68-b9fb-75c1b6874315_SiteId">
    <vt:lpwstr>618d0a45-25a6-4618-9f80-8f70a435ee52</vt:lpwstr>
  </property>
  <property fmtid="{D5CDD505-2E9C-101B-9397-08002B2CF9AE}" pid="10" name="MSIP_Label_b8b4be34-365a-4a68-b9fb-75c1b6874315_ActionId">
    <vt:lpwstr>5764073a-98c2-46e8-94ea-91318d5aa5b4</vt:lpwstr>
  </property>
  <property fmtid="{D5CDD505-2E9C-101B-9397-08002B2CF9AE}" pid="11" name="MSIP_Label_b8b4be34-365a-4a68-b9fb-75c1b6874315_ContentBits">
    <vt:lpwstr>2</vt:lpwstr>
  </property>
</Properties>
</file>