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12B53" w14:textId="2AE6D45B" w:rsidR="00581933" w:rsidRDefault="00E35036">
      <w:pPr>
        <w:pStyle w:val="Ttulo1"/>
        <w:ind w:left="-5"/>
      </w:pPr>
      <w:r>
        <w:rPr>
          <w:noProof/>
        </w:rPr>
        <w:drawing>
          <wp:anchor distT="0" distB="0" distL="114300" distR="114300" simplePos="0" relativeHeight="251660288" behindDoc="0" locked="0" layoutInCell="1" allowOverlap="1" wp14:anchorId="63BCDB81" wp14:editId="4833B147">
            <wp:simplePos x="0" y="0"/>
            <wp:positionH relativeFrom="column">
              <wp:posOffset>2524760</wp:posOffset>
            </wp:positionH>
            <wp:positionV relativeFrom="paragraph">
              <wp:posOffset>542925</wp:posOffset>
            </wp:positionV>
            <wp:extent cx="1285588" cy="1276266"/>
            <wp:effectExtent l="76200" t="57150" r="48260" b="819785"/>
            <wp:wrapNone/>
            <wp:docPr id="5" name="Imagen 5" descr="Personajes 2018, Rocío Aguilar: La ministra en la línea de fuego | La N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rsonajes 2018, Rocío Aguilar: La ministra en la línea de fuego | La Nación"/>
                    <pic:cNvPicPr>
                      <a:picLocks noChangeAspect="1" noChangeArrowheads="1"/>
                    </pic:cNvPicPr>
                  </pic:nvPicPr>
                  <pic:blipFill rotWithShape="1">
                    <a:blip r:embed="rId7">
                      <a:extLst>
                        <a:ext uri="{28A0092B-C50C-407E-A947-70E740481C1C}">
                          <a14:useLocalDpi xmlns:a14="http://schemas.microsoft.com/office/drawing/2010/main" val="0"/>
                        </a:ext>
                      </a:extLst>
                    </a:blip>
                    <a:srcRect l="28736" b="-18"/>
                    <a:stretch/>
                  </pic:blipFill>
                  <pic:spPr bwMode="auto">
                    <a:xfrm>
                      <a:off x="0" y="0"/>
                      <a:ext cx="1287896" cy="1278557"/>
                    </a:xfrm>
                    <a:prstGeom prst="ellipse">
                      <a:avLst/>
                    </a:prstGeom>
                    <a:ln>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AA42182" wp14:editId="030A4B2E">
                <wp:simplePos x="0" y="0"/>
                <wp:positionH relativeFrom="page">
                  <wp:posOffset>-371475</wp:posOffset>
                </wp:positionH>
                <wp:positionV relativeFrom="page">
                  <wp:posOffset>0</wp:posOffset>
                </wp:positionV>
                <wp:extent cx="8352155" cy="2835910"/>
                <wp:effectExtent l="0" t="0" r="0" b="21590"/>
                <wp:wrapTopAndBottom/>
                <wp:docPr id="696" name="Group 696"/>
                <wp:cNvGraphicFramePr/>
                <a:graphic xmlns:a="http://schemas.openxmlformats.org/drawingml/2006/main">
                  <a:graphicData uri="http://schemas.microsoft.com/office/word/2010/wordprocessingGroup">
                    <wpg:wgp>
                      <wpg:cNvGrpSpPr/>
                      <wpg:grpSpPr>
                        <a:xfrm>
                          <a:off x="0" y="0"/>
                          <a:ext cx="8352155" cy="2835910"/>
                          <a:chOff x="-369456" y="0"/>
                          <a:chExt cx="8352692" cy="2836023"/>
                        </a:xfrm>
                      </wpg:grpSpPr>
                      <wps:wsp>
                        <wps:cNvPr id="989" name="Shape 989"/>
                        <wps:cNvSpPr/>
                        <wps:spPr>
                          <a:xfrm>
                            <a:off x="0" y="0"/>
                            <a:ext cx="7772400" cy="2378837"/>
                          </a:xfrm>
                          <a:custGeom>
                            <a:avLst/>
                            <a:gdLst/>
                            <a:ahLst/>
                            <a:cxnLst/>
                            <a:rect l="0" t="0" r="0" b="0"/>
                            <a:pathLst>
                              <a:path w="7772400" h="2378837">
                                <a:moveTo>
                                  <a:pt x="0" y="0"/>
                                </a:moveTo>
                                <a:lnTo>
                                  <a:pt x="7772400" y="0"/>
                                </a:lnTo>
                                <a:lnTo>
                                  <a:pt x="7772400" y="2378837"/>
                                </a:lnTo>
                                <a:lnTo>
                                  <a:pt x="0" y="2378837"/>
                                </a:lnTo>
                                <a:lnTo>
                                  <a:pt x="0" y="0"/>
                                </a:lnTo>
                              </a:path>
                            </a:pathLst>
                          </a:custGeom>
                          <a:ln w="0" cap="flat">
                            <a:miter lim="127000"/>
                          </a:ln>
                        </wps:spPr>
                        <wps:style>
                          <a:lnRef idx="0">
                            <a:srgbClr val="000000">
                              <a:alpha val="0"/>
                            </a:srgbClr>
                          </a:lnRef>
                          <a:fillRef idx="1">
                            <a:srgbClr val="002F56"/>
                          </a:fillRef>
                          <a:effectRef idx="0">
                            <a:scrgbClr r="0" g="0" b="0"/>
                          </a:effectRef>
                          <a:fontRef idx="none"/>
                        </wps:style>
                        <wps:bodyPr/>
                      </wps:wsp>
                      <wps:wsp>
                        <wps:cNvPr id="7" name="Rectangle 7"/>
                        <wps:cNvSpPr/>
                        <wps:spPr>
                          <a:xfrm>
                            <a:off x="-369456" y="483857"/>
                            <a:ext cx="8352692" cy="564463"/>
                          </a:xfrm>
                          <a:prstGeom prst="rect">
                            <a:avLst/>
                          </a:prstGeom>
                          <a:ln>
                            <a:noFill/>
                          </a:ln>
                        </wps:spPr>
                        <wps:txbx>
                          <w:txbxContent>
                            <w:p w14:paraId="6D6D743D" w14:textId="4AADEC97" w:rsidR="00581933" w:rsidRDefault="00E35036" w:rsidP="00E35036">
                              <w:pPr>
                                <w:spacing w:after="160" w:line="259" w:lineRule="auto"/>
                                <w:ind w:left="0" w:firstLine="0"/>
                                <w:jc w:val="center"/>
                              </w:pPr>
                              <w:r w:rsidRPr="00E35036">
                                <w:rPr>
                                  <w:color w:val="FFFEFD"/>
                                  <w:sz w:val="69"/>
                                </w:rPr>
                                <w:t>ROCÍO AGUILAR MONTOYA</w:t>
                              </w:r>
                            </w:p>
                          </w:txbxContent>
                        </wps:txbx>
                        <wps:bodyPr horzOverflow="overflow" vert="horz" lIns="0" tIns="0" rIns="0" bIns="0" rtlCol="0">
                          <a:noAutofit/>
                        </wps:bodyPr>
                      </wps:wsp>
                      <wps:wsp>
                        <wps:cNvPr id="8" name="Shape 8"/>
                        <wps:cNvSpPr/>
                        <wps:spPr>
                          <a:xfrm>
                            <a:off x="0" y="2450784"/>
                            <a:ext cx="3238332" cy="0"/>
                          </a:xfrm>
                          <a:custGeom>
                            <a:avLst/>
                            <a:gdLst/>
                            <a:ahLst/>
                            <a:cxnLst/>
                            <a:rect l="0" t="0" r="0" b="0"/>
                            <a:pathLst>
                              <a:path w="3238332">
                                <a:moveTo>
                                  <a:pt x="3238332" y="0"/>
                                </a:moveTo>
                                <a:lnTo>
                                  <a:pt x="0" y="0"/>
                                </a:lnTo>
                              </a:path>
                            </a:pathLst>
                          </a:custGeom>
                          <a:ln w="5232" cap="flat">
                            <a:miter lim="127000"/>
                          </a:ln>
                        </wps:spPr>
                        <wps:style>
                          <a:lnRef idx="1">
                            <a:srgbClr val="002F56"/>
                          </a:lnRef>
                          <a:fillRef idx="0">
                            <a:srgbClr val="000000">
                              <a:alpha val="0"/>
                            </a:srgbClr>
                          </a:fillRef>
                          <a:effectRef idx="0">
                            <a:scrgbClr r="0" g="0" b="0"/>
                          </a:effectRef>
                          <a:fontRef idx="none"/>
                        </wps:style>
                        <wps:bodyPr/>
                      </wps:wsp>
                      <wps:wsp>
                        <wps:cNvPr id="9" name="Shape 9"/>
                        <wps:cNvSpPr/>
                        <wps:spPr>
                          <a:xfrm>
                            <a:off x="4526422" y="2450784"/>
                            <a:ext cx="3245978" cy="0"/>
                          </a:xfrm>
                          <a:custGeom>
                            <a:avLst/>
                            <a:gdLst/>
                            <a:ahLst/>
                            <a:cxnLst/>
                            <a:rect l="0" t="0" r="0" b="0"/>
                            <a:pathLst>
                              <a:path w="3245978">
                                <a:moveTo>
                                  <a:pt x="3245978" y="0"/>
                                </a:moveTo>
                                <a:lnTo>
                                  <a:pt x="0" y="0"/>
                                </a:lnTo>
                              </a:path>
                            </a:pathLst>
                          </a:custGeom>
                          <a:ln w="5232" cap="flat">
                            <a:miter lim="127000"/>
                          </a:ln>
                        </wps:spPr>
                        <wps:style>
                          <a:lnRef idx="1">
                            <a:srgbClr val="002F56"/>
                          </a:lnRef>
                          <a:fillRef idx="0">
                            <a:srgbClr val="000000">
                              <a:alpha val="0"/>
                            </a:srgbClr>
                          </a:fillRef>
                          <a:effectRef idx="0">
                            <a:scrgbClr r="0" g="0" b="0"/>
                          </a:effectRef>
                          <a:fontRef idx="none"/>
                        </wps:style>
                        <wps:bodyPr/>
                      </wps:wsp>
                      <wps:wsp>
                        <wps:cNvPr id="10" name="Shape 10"/>
                        <wps:cNvSpPr/>
                        <wps:spPr>
                          <a:xfrm>
                            <a:off x="3150610" y="1373072"/>
                            <a:ext cx="1462951" cy="1462951"/>
                          </a:xfrm>
                          <a:custGeom>
                            <a:avLst/>
                            <a:gdLst/>
                            <a:ahLst/>
                            <a:cxnLst/>
                            <a:rect l="0" t="0" r="0" b="0"/>
                            <a:pathLst>
                              <a:path w="1462951" h="1462951">
                                <a:moveTo>
                                  <a:pt x="1462951" y="731482"/>
                                </a:moveTo>
                                <a:cubicBezTo>
                                  <a:pt x="1462951" y="1135469"/>
                                  <a:pt x="1135456" y="1462951"/>
                                  <a:pt x="731469" y="1462951"/>
                                </a:cubicBezTo>
                                <a:cubicBezTo>
                                  <a:pt x="327495" y="1462951"/>
                                  <a:pt x="0" y="1135469"/>
                                  <a:pt x="0" y="731482"/>
                                </a:cubicBezTo>
                                <a:cubicBezTo>
                                  <a:pt x="0" y="327495"/>
                                  <a:pt x="327495" y="0"/>
                                  <a:pt x="731469" y="0"/>
                                </a:cubicBezTo>
                                <a:cubicBezTo>
                                  <a:pt x="1135456" y="0"/>
                                  <a:pt x="1462951" y="327495"/>
                                  <a:pt x="1462951" y="731482"/>
                                </a:cubicBezTo>
                                <a:close/>
                              </a:path>
                            </a:pathLst>
                          </a:custGeom>
                          <a:ln w="11151" cap="flat">
                            <a:miter lim="127000"/>
                          </a:ln>
                        </wps:spPr>
                        <wps:style>
                          <a:lnRef idx="1">
                            <a:srgbClr val="E2E1E0"/>
                          </a:lnRef>
                          <a:fillRef idx="0">
                            <a:srgbClr val="000000">
                              <a:alpha val="0"/>
                            </a:srgbClr>
                          </a:fillRef>
                          <a:effectRef idx="0">
                            <a:scrgbClr r="0" g="0" b="0"/>
                          </a:effectRef>
                          <a:fontRef idx="none"/>
                        </wps:style>
                        <wps:bodyPr/>
                      </wps:wsp>
                      <wps:wsp>
                        <wps:cNvPr id="12" name="Rectangle 12"/>
                        <wps:cNvSpPr/>
                        <wps:spPr>
                          <a:xfrm>
                            <a:off x="2027887" y="1048319"/>
                            <a:ext cx="3876496" cy="199430"/>
                          </a:xfrm>
                          <a:prstGeom prst="rect">
                            <a:avLst/>
                          </a:prstGeom>
                          <a:ln>
                            <a:noFill/>
                          </a:ln>
                        </wps:spPr>
                        <wps:txbx>
                          <w:txbxContent>
                            <w:p w14:paraId="7D015858" w14:textId="2D7C4FA7" w:rsidR="00581933" w:rsidRDefault="00E35036" w:rsidP="00E35036">
                              <w:pPr>
                                <w:spacing w:after="160" w:line="259" w:lineRule="auto"/>
                                <w:ind w:left="0" w:firstLine="0"/>
                                <w:jc w:val="center"/>
                              </w:pPr>
                              <w:r>
                                <w:rPr>
                                  <w:rFonts w:ascii="Times New Roman" w:eastAsia="Times New Roman" w:hAnsi="Times New Roman" w:cs="Times New Roman"/>
                                  <w:color w:val="FFFEFD"/>
                                </w:rPr>
                                <w:t>SUPERINTENDENTE DE PENSIONES</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7AA42182" id="Group 696" o:spid="_x0000_s1026" style="position:absolute;left:0;text-align:left;margin-left:-29.25pt;margin-top:0;width:657.65pt;height:223.3pt;z-index:251658240;mso-position-horizontal-relative:page;mso-position-vertical-relative:page;mso-width-relative:margin" coordorigin="-3694" coordsize="83526,2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">
                <v:shape id="Shape 989" o:spid="_x0000_s1027" style="position:absolute;width:77724;height:23788;visibility:visible;mso-wrap-style:square;v-text-anchor:top" coordsize="7772400,237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" path="m,l7772400,r,2378837l,2378837,,e" fillcolor="#002f56" stroked="f" strokeweight="0">
                  <v:stroke miterlimit="83231f" joinstyle="miter"/>
                  <v:path arrowok="t" textboxrect="0,0,7772400,2378837"/>
                </v:shape>
                <v:rect id="Rectangle 7" o:spid="_x0000_s1028" style="position:absolute;left:-3694;top:4838;width:83526;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D6D743D" w14:textId="4AADEC97" w:rsidR="00581933" w:rsidRDefault="00E35036" w:rsidP="00E35036">
                        <w:pPr>
                          <w:spacing w:after="160" w:line="259" w:lineRule="auto"/>
                          <w:ind w:left="0" w:firstLine="0"/>
                          <w:jc w:val="center"/>
                        </w:pPr>
                        <w:r w:rsidRPr="00E35036">
                          <w:rPr>
                            <w:color w:val="FFFEFD"/>
                            <w:sz w:val="69"/>
                          </w:rPr>
                          <w:t>ROCÍO AGUILAR MONTOYA</w:t>
                        </w:r>
                      </w:p>
                    </w:txbxContent>
                  </v:textbox>
                </v:rect>
                <v:shape id="Shape 8" o:spid="_x0000_s1029" style="position:absolute;top:24507;width:32383;height:0;visibility:visible;mso-wrap-style:square;v-text-anchor:top" coordsize="3238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" path="m3238332,l,e" filled="f" strokecolor="#002f56" strokeweight=".14533mm">
                  <v:stroke miterlimit="83231f" joinstyle="miter"/>
                  <v:path arrowok="t" textboxrect="0,0,3238332,0"/>
                </v:shape>
                <v:shape id="Shape 9" o:spid="_x0000_s1030" style="position:absolute;left:45264;top:24507;width:32460;height:0;visibility:visible;mso-wrap-style:square;v-text-anchor:top" coordsize="3245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" path="m3245978,l,e" filled="f" strokecolor="#002f56" strokeweight=".14533mm">
                  <v:stroke miterlimit="83231f" joinstyle="miter"/>
                  <v:path arrowok="t" textboxrect="0,0,3245978,0"/>
                </v:shape>
                <v:shape id="Shape 10" o:spid="_x0000_s1031" style="position:absolute;left:31506;top:13730;width:14629;height:14630;visibility:visible;mso-wrap-style:square;v-text-anchor:top" coordsize="1462951,146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" path="m1462951,731482v,403987,-327495,731469,-731482,731469c327495,1462951,,1135469,,731482,,327495,327495,,731469,v403987,,731482,327495,731482,731482xe" filled="f" strokecolor="#e2e1e0" strokeweight=".30975mm">
                  <v:stroke miterlimit="83231f" joinstyle="miter"/>
                  <v:path arrowok="t" textboxrect="0,0,1462951,1462951"/>
                </v:shape>
                <v:rect id="Rectangle 12" o:spid="_x0000_s1032" style="position:absolute;left:20278;top:10483;width:3876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D015858" w14:textId="2D7C4FA7" w:rsidR="00581933" w:rsidRDefault="00E35036" w:rsidP="00E35036">
                        <w:pPr>
                          <w:spacing w:after="160" w:line="259" w:lineRule="auto"/>
                          <w:ind w:left="0" w:firstLine="0"/>
                          <w:jc w:val="center"/>
                        </w:pPr>
                        <w:r>
                          <w:rPr>
                            <w:rFonts w:ascii="Times New Roman" w:eastAsia="Times New Roman" w:hAnsi="Times New Roman" w:cs="Times New Roman"/>
                            <w:color w:val="FFFEFD"/>
                          </w:rPr>
                          <w:t>SUPERINTENDENTE DE PENSIONES</w:t>
                        </w:r>
                      </w:p>
                    </w:txbxContent>
                  </v:textbox>
                </v:rect>
                <w10:wrap type="topAndBottom" anchorx="page" anchory="page"/>
              </v:group>
            </w:pict>
          </mc:Fallback>
        </mc:AlternateContent>
      </w:r>
      <w:r w:rsidR="001952F1">
        <w:t>INFORMACIÓN PERSONAL</w:t>
      </w:r>
    </w:p>
    <w:p w14:paraId="0E47E2DA" w14:textId="3DE5FF80" w:rsidR="00581933" w:rsidRDefault="001952F1">
      <w:pPr>
        <w:spacing w:after="363"/>
        <w:ind w:left="-5"/>
      </w:pPr>
      <w:r>
        <w:t>Nacionalidad: Costarricense</w:t>
      </w:r>
    </w:p>
    <w:p w14:paraId="76D6748C" w14:textId="77777777" w:rsidR="00581933" w:rsidRDefault="001952F1">
      <w:pPr>
        <w:pStyle w:val="Ttulo1"/>
        <w:spacing w:after="228"/>
        <w:ind w:left="-5"/>
      </w:pPr>
      <w:r>
        <w:t>EDUCACIÓN</w:t>
      </w:r>
    </w:p>
    <w:p w14:paraId="0F2E9AB6" w14:textId="77777777" w:rsidR="00E35036" w:rsidRPr="00E67CC7" w:rsidRDefault="00E35036" w:rsidP="00E67CC7">
      <w:pPr>
        <w:ind w:left="-5"/>
        <w:jc w:val="both"/>
        <w:rPr>
          <w:lang w:val="es-ES"/>
        </w:rPr>
      </w:pPr>
      <w:r w:rsidRPr="00E67CC7">
        <w:rPr>
          <w:lang w:val="es-ES"/>
        </w:rPr>
        <w:t xml:space="preserve">Es administradora y abogada de profesión, con una amplia experiencia en la gestión pública y privada, además de ser pionera en la banca privada costarricense, con una carrera de casi 20 años en este sector, en el cual ocupó diversos cargos gerenciales. </w:t>
      </w:r>
    </w:p>
    <w:p w14:paraId="2152531C" w14:textId="77777777" w:rsidR="00E35036" w:rsidRPr="00E67CC7" w:rsidRDefault="00E35036" w:rsidP="00E67CC7">
      <w:pPr>
        <w:ind w:left="-5"/>
        <w:jc w:val="both"/>
        <w:rPr>
          <w:lang w:val="es-ES"/>
        </w:rPr>
      </w:pPr>
    </w:p>
    <w:p w14:paraId="50452D12" w14:textId="77777777" w:rsidR="00E35036" w:rsidRDefault="00E35036" w:rsidP="00E67CC7">
      <w:pPr>
        <w:ind w:left="-5"/>
        <w:jc w:val="both"/>
      </w:pPr>
    </w:p>
    <w:p w14:paraId="5F581FEA" w14:textId="6E4B0D2B" w:rsidR="00581933" w:rsidRDefault="001952F1">
      <w:pPr>
        <w:pStyle w:val="Ttulo1"/>
        <w:spacing w:after="180"/>
        <w:ind w:left="-5"/>
      </w:pPr>
      <w:r>
        <w:t>EXPERIENCIA</w:t>
      </w:r>
    </w:p>
    <w:p w14:paraId="6961A09F" w14:textId="08DEEE86" w:rsidR="00E35036" w:rsidRDefault="00E35036" w:rsidP="00E35036">
      <w:pPr>
        <w:ind w:left="-5"/>
        <w:jc w:val="both"/>
        <w:rPr>
          <w:lang w:val="es-ES"/>
        </w:rPr>
      </w:pPr>
      <w:r w:rsidRPr="00E35036">
        <w:rPr>
          <w:lang w:val="es-ES"/>
        </w:rPr>
        <w:t>Desde abril del 2020, es la Superintendente de Pensiones y en setiembre de ese mismo año se le dio el recargo de la Superintendencia de Entidades Financieras (Sugef), cargo que había ocupado por un corto periodo en el 2018, antes de ser nombrada Ministra de Hacienda en donde fungió con esta envestidura hasta el 2019. Como ministra lideró la reforma fiscal que se convirtió en Ley de la República en diciembre del 2019, con lo cual logró la aprobación de fuentes internacionales de financiamiento (Ley de Eurobonos, préstamos de apoyo presupuestario del BID, CAF e inicia la negociación con un segundo crédito con BID en conjunto con la AFD y el Banco Mundial).</w:t>
      </w:r>
    </w:p>
    <w:p w14:paraId="6B713C21" w14:textId="77777777" w:rsidR="00E35036" w:rsidRPr="00E35036" w:rsidRDefault="00E35036" w:rsidP="00E35036">
      <w:pPr>
        <w:ind w:left="-5"/>
        <w:jc w:val="both"/>
        <w:rPr>
          <w:lang w:val="es-ES"/>
        </w:rPr>
      </w:pPr>
    </w:p>
    <w:p w14:paraId="615BE5E0" w14:textId="721CB9B1" w:rsidR="00E35036" w:rsidRDefault="00E35036" w:rsidP="00E35036">
      <w:pPr>
        <w:ind w:left="-5"/>
        <w:jc w:val="both"/>
        <w:rPr>
          <w:lang w:val="es-ES"/>
        </w:rPr>
      </w:pPr>
      <w:r w:rsidRPr="00E35036">
        <w:rPr>
          <w:lang w:val="es-ES"/>
        </w:rPr>
        <w:t>Entre el 2015 y el 2018 fue socia del área de servicios financieros e infraestructura de Deloitte Consulting y del 2005 al 2012 se desempeñó como Contralora General de la República. Anteriormente, del 2002 al 2005 dirigió la Secretaria Técnica del Consejo Nacional de Concesiones.</w:t>
      </w:r>
    </w:p>
    <w:p w14:paraId="530CB74E" w14:textId="5ED560C7" w:rsidR="00E35036" w:rsidRPr="00EC23F5" w:rsidRDefault="00EC23F5" w:rsidP="00E35036">
      <w:pPr>
        <w:ind w:left="-5"/>
        <w:jc w:val="both"/>
      </w:pPr>
      <w:r>
        <w:rPr>
          <w:noProof/>
        </w:rPr>
        <w:drawing>
          <wp:anchor distT="0" distB="0" distL="114300" distR="114300" simplePos="0" relativeHeight="251662336" behindDoc="0" locked="0" layoutInCell="1" allowOverlap="1" wp14:anchorId="3AEEABE7" wp14:editId="0DB3B900">
            <wp:simplePos x="0" y="0"/>
            <wp:positionH relativeFrom="column">
              <wp:posOffset>-716418</wp:posOffset>
            </wp:positionH>
            <wp:positionV relativeFrom="paragraph">
              <wp:posOffset>885190</wp:posOffset>
            </wp:positionV>
            <wp:extent cx="7764145" cy="276225"/>
            <wp:effectExtent l="0" t="0" r="825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4145" cy="276225"/>
                    </a:xfrm>
                    <a:prstGeom prst="rect">
                      <a:avLst/>
                    </a:prstGeom>
                    <a:noFill/>
                  </pic:spPr>
                </pic:pic>
              </a:graphicData>
            </a:graphic>
            <wp14:sizeRelH relativeFrom="page">
              <wp14:pctWidth>0</wp14:pctWidth>
            </wp14:sizeRelH>
            <wp14:sizeRelV relativeFrom="page">
              <wp14:pctHeight>0</wp14:pctHeight>
            </wp14:sizeRelV>
          </wp:anchor>
        </w:drawing>
      </w:r>
    </w:p>
    <w:p w14:paraId="637AD757" w14:textId="5FD0B2FA" w:rsidR="00581933" w:rsidRDefault="00E35036" w:rsidP="00E35036">
      <w:pPr>
        <w:ind w:left="-5"/>
        <w:jc w:val="both"/>
        <w:rPr>
          <w:lang w:val="es-ES"/>
        </w:rPr>
      </w:pPr>
      <w:r w:rsidRPr="00E35036">
        <w:rPr>
          <w:lang w:val="es-ES"/>
        </w:rPr>
        <w:t xml:space="preserve">De 1981 al 2001 tuvo una larga trayectoria en la banca privada en donde ocupó cargos de analista, ejecutiva y posteriormente gerente de crédito de la Corporación Banex.  </w:t>
      </w:r>
    </w:p>
    <w:p w14:paraId="646F1243" w14:textId="141C6E55" w:rsidR="00E35036" w:rsidRDefault="00E35036" w:rsidP="00E35036">
      <w:pPr>
        <w:ind w:left="-5"/>
        <w:jc w:val="both"/>
        <w:rPr>
          <w:lang w:val="es-ES"/>
        </w:rPr>
      </w:pPr>
    </w:p>
    <w:p w14:paraId="21C16C20" w14:textId="7CFF1A9E" w:rsidR="00E35036" w:rsidRDefault="00E35036" w:rsidP="00E35036">
      <w:pPr>
        <w:pStyle w:val="Ttulo1"/>
        <w:spacing w:after="180"/>
        <w:ind w:left="-5"/>
      </w:pPr>
      <w:r w:rsidRPr="00E35036">
        <w:t>PUESTOS DIRECTIVOS</w:t>
      </w:r>
    </w:p>
    <w:p w14:paraId="323D6C8F" w14:textId="77777777" w:rsidR="00E35036" w:rsidRPr="00E35036" w:rsidRDefault="00E35036" w:rsidP="00E35036">
      <w:pPr>
        <w:pStyle w:val="NormalWeb"/>
        <w:numPr>
          <w:ilvl w:val="0"/>
          <w:numId w:val="1"/>
        </w:numPr>
        <w:spacing w:after="0" w:afterAutospacing="0"/>
        <w:jc w:val="both"/>
        <w:rPr>
          <w:rFonts w:ascii="Arial" w:hAnsi="Arial" w:cs="Arial"/>
          <w:spacing w:val="-5"/>
          <w:sz w:val="20"/>
          <w:szCs w:val="20"/>
          <w:lang w:val="es-ES" w:bidi="en-US"/>
        </w:rPr>
      </w:pPr>
      <w:r w:rsidRPr="00E35036">
        <w:rPr>
          <w:rFonts w:ascii="Arial" w:hAnsi="Arial" w:cs="Arial"/>
          <w:spacing w:val="-5"/>
          <w:sz w:val="20"/>
          <w:szCs w:val="20"/>
          <w:lang w:val="es-ES" w:bidi="en-US"/>
        </w:rPr>
        <w:t>Directora de la Fundación Fundes (1989-2004).</w:t>
      </w:r>
    </w:p>
    <w:p w14:paraId="797A7373" w14:textId="77777777" w:rsidR="00E35036" w:rsidRPr="00E35036" w:rsidRDefault="00E35036" w:rsidP="00E35036">
      <w:pPr>
        <w:pStyle w:val="NormalWeb"/>
        <w:numPr>
          <w:ilvl w:val="0"/>
          <w:numId w:val="1"/>
        </w:numPr>
        <w:spacing w:after="0" w:afterAutospacing="0"/>
        <w:jc w:val="both"/>
        <w:rPr>
          <w:rFonts w:ascii="Arial" w:hAnsi="Arial" w:cs="Arial"/>
          <w:spacing w:val="-5"/>
          <w:sz w:val="20"/>
          <w:szCs w:val="20"/>
          <w:lang w:val="es-ES" w:bidi="en-US"/>
        </w:rPr>
      </w:pPr>
      <w:r w:rsidRPr="00E35036">
        <w:rPr>
          <w:rFonts w:ascii="Arial" w:hAnsi="Arial" w:cs="Arial"/>
          <w:spacing w:val="-5"/>
          <w:sz w:val="20"/>
          <w:szCs w:val="20"/>
          <w:lang w:val="es-ES" w:bidi="en-US"/>
        </w:rPr>
        <w:t xml:space="preserve">Directora y Presidenta de la Asociación Costarricense de Desarrollo (ACORDE) de 1999 al 2005 y nuevamente en el 2013. </w:t>
      </w:r>
    </w:p>
    <w:p w14:paraId="69AC0A3F" w14:textId="77777777" w:rsidR="00E35036" w:rsidRPr="00E35036" w:rsidRDefault="00E35036" w:rsidP="00E35036">
      <w:pPr>
        <w:pStyle w:val="NormalWeb"/>
        <w:numPr>
          <w:ilvl w:val="0"/>
          <w:numId w:val="1"/>
        </w:numPr>
        <w:spacing w:after="0" w:afterAutospacing="0"/>
        <w:jc w:val="both"/>
        <w:rPr>
          <w:rFonts w:ascii="Arial" w:hAnsi="Arial" w:cs="Arial"/>
          <w:spacing w:val="-5"/>
          <w:sz w:val="20"/>
          <w:szCs w:val="20"/>
          <w:lang w:val="es-ES" w:bidi="en-US"/>
        </w:rPr>
      </w:pPr>
      <w:r w:rsidRPr="00E35036">
        <w:rPr>
          <w:rFonts w:ascii="Arial" w:hAnsi="Arial" w:cs="Arial"/>
          <w:spacing w:val="-5"/>
          <w:sz w:val="20"/>
          <w:szCs w:val="20"/>
          <w:lang w:val="es-ES" w:bidi="en-US"/>
        </w:rPr>
        <w:t xml:space="preserve">Directora del Conassif (enero-mayo 2002). </w:t>
      </w:r>
    </w:p>
    <w:p w14:paraId="0811FC51" w14:textId="77777777" w:rsidR="00E35036" w:rsidRPr="00E35036" w:rsidRDefault="00E35036" w:rsidP="00E35036">
      <w:pPr>
        <w:pStyle w:val="NormalWeb"/>
        <w:numPr>
          <w:ilvl w:val="0"/>
          <w:numId w:val="1"/>
        </w:numPr>
        <w:spacing w:after="0" w:afterAutospacing="0"/>
        <w:jc w:val="both"/>
        <w:rPr>
          <w:rFonts w:ascii="Arial" w:hAnsi="Arial" w:cs="Arial"/>
          <w:spacing w:val="-5"/>
          <w:sz w:val="20"/>
          <w:szCs w:val="20"/>
          <w:lang w:val="es-ES" w:bidi="en-US"/>
        </w:rPr>
      </w:pPr>
      <w:r w:rsidRPr="00E35036">
        <w:rPr>
          <w:rFonts w:ascii="Arial" w:hAnsi="Arial" w:cs="Arial"/>
          <w:spacing w:val="-5"/>
          <w:sz w:val="20"/>
          <w:szCs w:val="20"/>
          <w:lang w:val="es-ES" w:bidi="en-US"/>
        </w:rPr>
        <w:t xml:space="preserve">Vicepresidente Asociación Bancaria Costarricense (ABC) de 1999 al 2000. </w:t>
      </w:r>
    </w:p>
    <w:p w14:paraId="35095258" w14:textId="77777777" w:rsidR="00E35036" w:rsidRPr="00E35036" w:rsidRDefault="00E35036" w:rsidP="00E35036">
      <w:pPr>
        <w:pStyle w:val="NormalWeb"/>
        <w:numPr>
          <w:ilvl w:val="0"/>
          <w:numId w:val="1"/>
        </w:numPr>
        <w:spacing w:after="0" w:afterAutospacing="0"/>
        <w:jc w:val="both"/>
        <w:rPr>
          <w:rFonts w:ascii="Arial" w:hAnsi="Arial" w:cs="Arial"/>
          <w:spacing w:val="-5"/>
          <w:sz w:val="20"/>
          <w:szCs w:val="20"/>
          <w:lang w:val="es-ES" w:bidi="en-US"/>
        </w:rPr>
      </w:pPr>
      <w:r w:rsidRPr="00E35036">
        <w:rPr>
          <w:rFonts w:ascii="Arial" w:hAnsi="Arial" w:cs="Arial"/>
          <w:spacing w:val="-5"/>
          <w:sz w:val="20"/>
          <w:szCs w:val="20"/>
          <w:lang w:val="es-ES" w:bidi="en-US"/>
        </w:rPr>
        <w:t xml:space="preserve">Directora de la Junta Directiva de Corporación Aldesa (2001-2002). </w:t>
      </w:r>
    </w:p>
    <w:p w14:paraId="41A8C62C" w14:textId="77777777" w:rsidR="00E35036" w:rsidRPr="00E35036" w:rsidRDefault="00E35036" w:rsidP="00E35036">
      <w:pPr>
        <w:pStyle w:val="NormalWeb"/>
        <w:numPr>
          <w:ilvl w:val="0"/>
          <w:numId w:val="1"/>
        </w:numPr>
        <w:spacing w:after="0" w:afterAutospacing="0"/>
        <w:jc w:val="both"/>
        <w:rPr>
          <w:rFonts w:ascii="Arial" w:hAnsi="Arial" w:cs="Arial"/>
          <w:spacing w:val="-5"/>
          <w:sz w:val="20"/>
          <w:szCs w:val="20"/>
          <w:lang w:val="es-ES" w:bidi="en-US"/>
        </w:rPr>
      </w:pPr>
      <w:r w:rsidRPr="00E35036">
        <w:rPr>
          <w:rFonts w:ascii="Arial" w:hAnsi="Arial" w:cs="Arial"/>
          <w:spacing w:val="-5"/>
          <w:sz w:val="20"/>
          <w:szCs w:val="20"/>
          <w:lang w:val="es-ES" w:bidi="en-US"/>
        </w:rPr>
        <w:t xml:space="preserve">Miembro del Comité de Inversión de Aldesa (2013 -2016). </w:t>
      </w:r>
    </w:p>
    <w:p w14:paraId="02C7556A" w14:textId="77777777" w:rsidR="00E35036" w:rsidRPr="00E35036" w:rsidRDefault="00E35036" w:rsidP="00E35036">
      <w:pPr>
        <w:pStyle w:val="NormalWeb"/>
        <w:numPr>
          <w:ilvl w:val="0"/>
          <w:numId w:val="1"/>
        </w:numPr>
        <w:spacing w:after="0" w:afterAutospacing="0"/>
        <w:jc w:val="both"/>
        <w:rPr>
          <w:rFonts w:ascii="Arial" w:hAnsi="Arial" w:cs="Arial"/>
          <w:spacing w:val="-5"/>
          <w:sz w:val="20"/>
          <w:szCs w:val="20"/>
          <w:lang w:val="es-ES" w:bidi="en-US"/>
        </w:rPr>
      </w:pPr>
      <w:r w:rsidRPr="00E35036">
        <w:rPr>
          <w:rFonts w:ascii="Arial" w:hAnsi="Arial" w:cs="Arial"/>
          <w:spacing w:val="-5"/>
          <w:sz w:val="20"/>
          <w:szCs w:val="20"/>
          <w:lang w:val="es-ES" w:bidi="en-US"/>
        </w:rPr>
        <w:t>Directora de la Junta Directiva de Banco Bansol (2014 -2015).</w:t>
      </w:r>
    </w:p>
    <w:p w14:paraId="3424654D" w14:textId="1AA4F926" w:rsidR="00E35036" w:rsidRDefault="00E35036" w:rsidP="00E35036">
      <w:pPr>
        <w:pStyle w:val="NormalWeb"/>
        <w:numPr>
          <w:ilvl w:val="0"/>
          <w:numId w:val="1"/>
        </w:numPr>
        <w:spacing w:after="0" w:afterAutospacing="0"/>
        <w:jc w:val="both"/>
        <w:rPr>
          <w:rFonts w:ascii="Arial" w:hAnsi="Arial" w:cs="Arial"/>
          <w:spacing w:val="-5"/>
          <w:sz w:val="20"/>
          <w:szCs w:val="20"/>
          <w:lang w:val="es-ES" w:bidi="en-US"/>
        </w:rPr>
      </w:pPr>
      <w:r w:rsidRPr="00E35036">
        <w:rPr>
          <w:rFonts w:ascii="Arial" w:hAnsi="Arial" w:cs="Arial"/>
          <w:spacing w:val="-5"/>
          <w:sz w:val="20"/>
          <w:szCs w:val="20"/>
          <w:lang w:val="es-ES" w:bidi="en-US"/>
        </w:rPr>
        <w:t>Directora Junta Directiva del Banco Central de Costa Rica (BCCR) en su condición de Ministra de Hacienda (2018-2019).</w:t>
      </w:r>
    </w:p>
    <w:p w14:paraId="45F6F2EF" w14:textId="2DD28348" w:rsidR="00E35036" w:rsidRDefault="00E35036" w:rsidP="00E35036">
      <w:pPr>
        <w:pStyle w:val="NormalWeb"/>
        <w:spacing w:after="0" w:afterAutospacing="0"/>
        <w:jc w:val="both"/>
        <w:rPr>
          <w:rFonts w:ascii="Arial" w:hAnsi="Arial" w:cs="Arial"/>
          <w:spacing w:val="-5"/>
          <w:sz w:val="20"/>
          <w:szCs w:val="20"/>
          <w:lang w:val="es-ES" w:bidi="en-US"/>
        </w:rPr>
      </w:pPr>
    </w:p>
    <w:p w14:paraId="00032D70" w14:textId="34644DC4" w:rsidR="00E35036" w:rsidRDefault="00E35036" w:rsidP="00E35036">
      <w:pPr>
        <w:pStyle w:val="Ttulo1"/>
        <w:spacing w:after="180"/>
        <w:ind w:left="-5"/>
      </w:pPr>
      <w:r w:rsidRPr="00E35036">
        <w:t>OTROS</w:t>
      </w:r>
    </w:p>
    <w:p w14:paraId="49027A82" w14:textId="77777777" w:rsidR="00E35036" w:rsidRPr="00E35036" w:rsidRDefault="00E35036" w:rsidP="00E35036">
      <w:pPr>
        <w:pStyle w:val="NormalWeb"/>
        <w:numPr>
          <w:ilvl w:val="0"/>
          <w:numId w:val="1"/>
        </w:numPr>
        <w:spacing w:after="0" w:afterAutospacing="0"/>
        <w:jc w:val="both"/>
        <w:rPr>
          <w:rFonts w:ascii="Arial" w:hAnsi="Arial" w:cs="Arial"/>
          <w:spacing w:val="-5"/>
          <w:sz w:val="20"/>
          <w:szCs w:val="20"/>
          <w:lang w:val="es-ES" w:bidi="en-US"/>
        </w:rPr>
      </w:pPr>
      <w:r w:rsidRPr="00E35036">
        <w:rPr>
          <w:rFonts w:ascii="Arial" w:hAnsi="Arial" w:cs="Arial"/>
          <w:spacing w:val="-5"/>
          <w:sz w:val="20"/>
          <w:szCs w:val="20"/>
          <w:lang w:val="es-ES" w:bidi="en-US"/>
        </w:rPr>
        <w:t xml:space="preserve">Asociada y directora de la Junta Directiva de la Academia de Centroamérica y miembro del Programa Visión Costa Rica de la Academia.  </w:t>
      </w:r>
    </w:p>
    <w:p w14:paraId="0708374A" w14:textId="77777777" w:rsidR="00E35036" w:rsidRPr="00E35036" w:rsidRDefault="00E35036" w:rsidP="00E35036"/>
    <w:p w14:paraId="61AD2CC9" w14:textId="77777777" w:rsidR="00E35036" w:rsidRPr="00E35036" w:rsidRDefault="00E35036" w:rsidP="00E35036">
      <w:pPr>
        <w:rPr>
          <w:lang w:val="es-ES"/>
        </w:rPr>
      </w:pPr>
    </w:p>
    <w:sectPr w:rsidR="00E35036" w:rsidRPr="00E35036">
      <w:pgSz w:w="12240" w:h="15840"/>
      <w:pgMar w:top="1440" w:right="1272" w:bottom="1440" w:left="1124" w:header="720" w:footer="720" w:gutter="0"/>
      <w:cols w:num="2" w:space="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CAD40" w14:textId="77777777" w:rsidR="00CE3CBB" w:rsidRDefault="00CE3CBB" w:rsidP="00EC23F5">
      <w:pPr>
        <w:spacing w:after="0" w:line="240" w:lineRule="auto"/>
      </w:pPr>
      <w:r>
        <w:separator/>
      </w:r>
    </w:p>
  </w:endnote>
  <w:endnote w:type="continuationSeparator" w:id="0">
    <w:p w14:paraId="5F3C983F" w14:textId="77777777" w:rsidR="00CE3CBB" w:rsidRDefault="00CE3CBB" w:rsidP="00EC2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A4F4A" w14:textId="77777777" w:rsidR="00CE3CBB" w:rsidRDefault="00CE3CBB" w:rsidP="00EC23F5">
      <w:pPr>
        <w:spacing w:after="0" w:line="240" w:lineRule="auto"/>
      </w:pPr>
      <w:r>
        <w:separator/>
      </w:r>
    </w:p>
  </w:footnote>
  <w:footnote w:type="continuationSeparator" w:id="0">
    <w:p w14:paraId="4A511C01" w14:textId="77777777" w:rsidR="00CE3CBB" w:rsidRDefault="00CE3CBB" w:rsidP="00EC2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17C56"/>
    <w:multiLevelType w:val="hybridMultilevel"/>
    <w:tmpl w:val="9B2463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36E52461"/>
    <w:multiLevelType w:val="hybridMultilevel"/>
    <w:tmpl w:val="CED0A9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33"/>
    <w:rsid w:val="001952F1"/>
    <w:rsid w:val="00275AD5"/>
    <w:rsid w:val="00402F58"/>
    <w:rsid w:val="00482707"/>
    <w:rsid w:val="00581933"/>
    <w:rsid w:val="00CE3CBB"/>
    <w:rsid w:val="00E35036"/>
    <w:rsid w:val="00E67CC7"/>
    <w:rsid w:val="00EC23F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A0A06"/>
  <w15:docId w15:val="{37FBED02-111C-40ED-A67C-A7375656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10" w:hanging="10"/>
    </w:pPr>
    <w:rPr>
      <w:rFonts w:ascii="Arial" w:eastAsia="Arial" w:hAnsi="Arial" w:cs="Arial"/>
      <w:color w:val="181717"/>
      <w:sz w:val="20"/>
    </w:rPr>
  </w:style>
  <w:style w:type="paragraph" w:styleId="Ttulo1">
    <w:name w:val="heading 1"/>
    <w:next w:val="Normal"/>
    <w:link w:val="Ttulo1Car"/>
    <w:uiPriority w:val="9"/>
    <w:qFormat/>
    <w:pPr>
      <w:keepNext/>
      <w:keepLines/>
      <w:spacing w:after="56"/>
      <w:ind w:left="10" w:hanging="10"/>
      <w:outlineLvl w:val="0"/>
    </w:pPr>
    <w:rPr>
      <w:rFonts w:ascii="Times New Roman" w:eastAsia="Times New Roman" w:hAnsi="Times New Roman" w:cs="Times New Roman"/>
      <w:color w:val="002F56"/>
      <w:sz w:val="24"/>
    </w:rPr>
  </w:style>
  <w:style w:type="paragraph" w:styleId="Ttulo2">
    <w:name w:val="heading 2"/>
    <w:next w:val="Normal"/>
    <w:link w:val="Ttulo2Car"/>
    <w:uiPriority w:val="9"/>
    <w:unhideWhenUsed/>
    <w:qFormat/>
    <w:pPr>
      <w:keepNext/>
      <w:keepLines/>
      <w:spacing w:after="4" w:line="255" w:lineRule="auto"/>
      <w:ind w:left="10" w:hanging="10"/>
      <w:outlineLvl w:val="1"/>
    </w:pPr>
    <w:rPr>
      <w:rFonts w:ascii="Arial" w:eastAsia="Arial" w:hAnsi="Arial" w:cs="Arial"/>
      <w:b/>
      <w:color w:val="181717"/>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181717"/>
      <w:sz w:val="20"/>
    </w:rPr>
  </w:style>
  <w:style w:type="character" w:customStyle="1" w:styleId="Ttulo1Car">
    <w:name w:val="Título 1 Car"/>
    <w:link w:val="Ttulo1"/>
    <w:rPr>
      <w:rFonts w:ascii="Times New Roman" w:eastAsia="Times New Roman" w:hAnsi="Times New Roman" w:cs="Times New Roman"/>
      <w:color w:val="002F56"/>
      <w:sz w:val="24"/>
    </w:rPr>
  </w:style>
  <w:style w:type="paragraph" w:styleId="NormalWeb">
    <w:name w:val="Normal (Web)"/>
    <w:basedOn w:val="Normal"/>
    <w:uiPriority w:val="99"/>
    <w:unhideWhenUsed/>
    <w:rsid w:val="00E35036"/>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US" w:eastAsia="en-US"/>
    </w:rPr>
  </w:style>
  <w:style w:type="paragraph" w:styleId="Textosinformato">
    <w:name w:val="Plain Text"/>
    <w:basedOn w:val="Normal"/>
    <w:link w:val="TextosinformatoCar"/>
    <w:rsid w:val="00E35036"/>
    <w:pPr>
      <w:spacing w:after="0" w:line="240" w:lineRule="auto"/>
      <w:ind w:left="0" w:firstLine="0"/>
    </w:pPr>
    <w:rPr>
      <w:rFonts w:ascii="Courier New" w:eastAsia="Times New Roman" w:hAnsi="Courier New" w:cs="Times New Roman"/>
      <w:color w:val="auto"/>
      <w:szCs w:val="20"/>
      <w:lang w:eastAsia="es-ES"/>
    </w:rPr>
  </w:style>
  <w:style w:type="character" w:customStyle="1" w:styleId="TextosinformatoCar">
    <w:name w:val="Texto sin formato Car"/>
    <w:basedOn w:val="Fuentedeprrafopredeter"/>
    <w:link w:val="Textosinformato"/>
    <w:rsid w:val="00E35036"/>
    <w:rPr>
      <w:rFonts w:ascii="Courier New" w:eastAsia="Times New Roman" w:hAnsi="Courier New" w:cs="Times New Roman"/>
      <w:sz w:val="20"/>
      <w:szCs w:val="20"/>
      <w:lang w:eastAsia="es-ES"/>
    </w:rPr>
  </w:style>
  <w:style w:type="paragraph" w:styleId="Encabezado">
    <w:name w:val="header"/>
    <w:basedOn w:val="Normal"/>
    <w:link w:val="EncabezadoCar"/>
    <w:uiPriority w:val="99"/>
    <w:unhideWhenUsed/>
    <w:rsid w:val="00EC23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23F5"/>
    <w:rPr>
      <w:rFonts w:ascii="Arial" w:eastAsia="Arial" w:hAnsi="Arial" w:cs="Arial"/>
      <w:color w:val="181717"/>
      <w:sz w:val="20"/>
    </w:rPr>
  </w:style>
  <w:style w:type="paragraph" w:styleId="Piedepgina">
    <w:name w:val="footer"/>
    <w:basedOn w:val="Normal"/>
    <w:link w:val="PiedepginaCar"/>
    <w:uiPriority w:val="99"/>
    <w:unhideWhenUsed/>
    <w:rsid w:val="00EC23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23F5"/>
    <w:rPr>
      <w:rFonts w:ascii="Arial" w:eastAsia="Arial" w:hAnsi="Arial" w:cs="Arial"/>
      <w:color w:val="18171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840F8488598B45879A64BFC989E007" ma:contentTypeVersion="7" ma:contentTypeDescription="Crear nuevo documento." ma:contentTypeScope="" ma:versionID="569f259a34d28017a889e8200df03d55">
  <xsd:schema xmlns:xsd="http://www.w3.org/2001/XMLSchema" xmlns:xs="http://www.w3.org/2001/XMLSchema" xmlns:p="http://schemas.microsoft.com/office/2006/metadata/properties" xmlns:ns2="ba688c28-be0c-44d7-8160-62774956d5a8" xmlns:ns3="fe04cdcb-acd9-40f4-87f5-510e41208826" targetNamespace="http://schemas.microsoft.com/office/2006/metadata/properties" ma:root="true" ma:fieldsID="b041c38e2bb98aacc16757dc93ec33d2" ns2:_="" ns3:_="">
    <xsd:import namespace="ba688c28-be0c-44d7-8160-62774956d5a8"/>
    <xsd:import namespace="fe04cdcb-acd9-40f4-87f5-510e412088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88c28-be0c-44d7-8160-62774956d5a8" elementFormDefault="qualified">
    <xsd:import namespace="http://schemas.microsoft.com/office/2006/documentManagement/types"/>
    <xsd:import namespace="http://schemas.microsoft.com/office/infopath/2007/PartnerControls"/>
    <xsd:element name="SharedWithUsers" ma:index="5" nillable="true" ma:displayName="Compartido c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04cdcb-acd9-40f4-87f5-510e41208826"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FA45E-7832-437C-A352-D0AAD2A6320E}"/>
</file>

<file path=customXml/itemProps2.xml><?xml version="1.0" encoding="utf-8"?>
<ds:datastoreItem xmlns:ds="http://schemas.openxmlformats.org/officeDocument/2006/customXml" ds:itemID="{354C18E5-A3D6-4335-8FC8-C741D95D428A}"/>
</file>

<file path=customXml/itemProps3.xml><?xml version="1.0" encoding="utf-8"?>
<ds:datastoreItem xmlns:ds="http://schemas.openxmlformats.org/officeDocument/2006/customXml" ds:itemID="{7E88FBA9-5431-4FF2-8DAB-E51847BB78D2}"/>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Hazel Valverde Richmond, Gerente</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 Valverde Richmond, Gerente</dc:title>
  <dc:subject/>
  <dc:creator>Banco Central de Costa Rica</dc:creator>
  <cp:keywords/>
  <cp:lastModifiedBy>GAMBOA RUBI CINDY MARIA</cp:lastModifiedBy>
  <cp:revision>2</cp:revision>
  <dcterms:created xsi:type="dcterms:W3CDTF">2021-10-01T20:52:00Z</dcterms:created>
  <dcterms:modified xsi:type="dcterms:W3CDTF">2021-10-01T20:52:00Z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0x01010047840F8488598B45879A64BFC989E007</vt:lpwstr>
  </property>
</Properties>
</file>