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947B9" w14:textId="77777777" w:rsidR="009D034C" w:rsidRPr="00060053" w:rsidRDefault="009D034C" w:rsidP="009D034C">
      <w:pPr>
        <w:rPr>
          <w:rFonts w:asciiTheme="majorHAnsi" w:hAnsiTheme="majorHAnsi"/>
          <w:b/>
          <w:sz w:val="22"/>
          <w:szCs w:val="22"/>
        </w:rPr>
      </w:pPr>
    </w:p>
    <w:p w14:paraId="06A947BA" w14:textId="41CD06E2" w:rsidR="009D034C" w:rsidRPr="00060053" w:rsidRDefault="009D034C" w:rsidP="00D277D9">
      <w:pPr>
        <w:tabs>
          <w:tab w:val="left" w:pos="1945"/>
        </w:tabs>
        <w:rPr>
          <w:rFonts w:asciiTheme="majorHAnsi" w:hAnsiTheme="majorHAnsi"/>
        </w:rPr>
      </w:pPr>
    </w:p>
    <w:p w14:paraId="06A947BB" w14:textId="77777777" w:rsidR="009D034C" w:rsidRPr="00060053" w:rsidRDefault="009D034C" w:rsidP="009D034C">
      <w:pPr>
        <w:rPr>
          <w:rFonts w:asciiTheme="majorHAnsi" w:hAnsiTheme="majorHAnsi"/>
        </w:rPr>
      </w:pPr>
    </w:p>
    <w:p w14:paraId="06A947BC" w14:textId="77777777" w:rsidR="009D034C" w:rsidRPr="00060053" w:rsidRDefault="009D034C" w:rsidP="009D034C">
      <w:pPr>
        <w:rPr>
          <w:rFonts w:asciiTheme="majorHAnsi" w:hAnsiTheme="majorHAnsi"/>
        </w:rPr>
      </w:pPr>
    </w:p>
    <w:p w14:paraId="06A947BD" w14:textId="77777777" w:rsidR="009D034C" w:rsidRPr="00060053" w:rsidRDefault="009D034C" w:rsidP="009D034C">
      <w:pPr>
        <w:rPr>
          <w:rFonts w:asciiTheme="majorHAnsi" w:hAnsiTheme="majorHAnsi"/>
        </w:rPr>
      </w:pPr>
    </w:p>
    <w:p w14:paraId="06A947BE" w14:textId="77777777" w:rsidR="009D034C" w:rsidRPr="00060053" w:rsidRDefault="009D034C" w:rsidP="009D034C">
      <w:pPr>
        <w:rPr>
          <w:rFonts w:asciiTheme="majorHAnsi" w:hAnsiTheme="majorHAnsi"/>
        </w:rPr>
      </w:pPr>
    </w:p>
    <w:p w14:paraId="06A947BF" w14:textId="77777777" w:rsidR="009D034C" w:rsidRPr="00060053" w:rsidRDefault="009D034C" w:rsidP="009D034C">
      <w:pPr>
        <w:rPr>
          <w:rFonts w:asciiTheme="majorHAnsi" w:hAnsiTheme="majorHAnsi"/>
        </w:rPr>
      </w:pPr>
    </w:p>
    <w:p w14:paraId="06A947C0" w14:textId="77777777" w:rsidR="009D034C" w:rsidRPr="00060053" w:rsidRDefault="009D034C" w:rsidP="009D034C">
      <w:pPr>
        <w:jc w:val="center"/>
        <w:rPr>
          <w:rFonts w:asciiTheme="majorHAnsi" w:hAnsiTheme="majorHAnsi"/>
          <w:sz w:val="40"/>
          <w:szCs w:val="40"/>
        </w:rPr>
      </w:pPr>
    </w:p>
    <w:p w14:paraId="06A947C1" w14:textId="77777777" w:rsidR="009D034C" w:rsidRPr="00060053" w:rsidRDefault="00ED71E1" w:rsidP="009D034C">
      <w:pPr>
        <w:jc w:val="center"/>
        <w:rPr>
          <w:rFonts w:asciiTheme="majorHAnsi" w:hAnsiTheme="majorHAnsi"/>
          <w:sz w:val="72"/>
          <w:szCs w:val="72"/>
          <w14:shadow w14:blurRad="50800" w14:dist="38100" w14:dir="0" w14:sx="100000" w14:sy="100000" w14:kx="0" w14:ky="0" w14:algn="l">
            <w14:srgbClr w14:val="000000">
              <w14:alpha w14:val="60000"/>
            </w14:srgbClr>
          </w14:shadow>
        </w:rPr>
      </w:pPr>
      <w:r w:rsidRPr="00060053">
        <w:rPr>
          <w:rFonts w:asciiTheme="majorHAnsi" w:hAnsiTheme="majorHAnsi"/>
          <w:sz w:val="72"/>
          <w:szCs w:val="72"/>
          <w14:shadow w14:blurRad="50800" w14:dist="38100" w14:dir="0" w14:sx="100000" w14:sy="100000" w14:kx="0" w14:ky="0" w14:algn="l">
            <w14:srgbClr w14:val="000000">
              <w14:alpha w14:val="60000"/>
            </w14:srgbClr>
          </w14:shadow>
        </w:rPr>
        <w:t>SUPERINTENDENCIA DE PENSIONES</w:t>
      </w:r>
    </w:p>
    <w:p w14:paraId="06A947C2" w14:textId="77777777" w:rsidR="009D034C" w:rsidRPr="00060053" w:rsidRDefault="009D034C" w:rsidP="009D034C">
      <w:pPr>
        <w:jc w:val="center"/>
        <w:rPr>
          <w:rFonts w:asciiTheme="majorHAnsi" w:hAnsiTheme="majorHAnsi"/>
          <w:sz w:val="40"/>
          <w:szCs w:val="40"/>
        </w:rPr>
      </w:pPr>
    </w:p>
    <w:p w14:paraId="06A947C3" w14:textId="77777777" w:rsidR="008C532E" w:rsidRPr="00060053" w:rsidRDefault="008C532E" w:rsidP="009D034C">
      <w:pPr>
        <w:jc w:val="center"/>
        <w:rPr>
          <w:rFonts w:asciiTheme="majorHAnsi" w:hAnsiTheme="majorHAnsi"/>
          <w:sz w:val="40"/>
          <w:szCs w:val="40"/>
        </w:rPr>
      </w:pPr>
    </w:p>
    <w:p w14:paraId="06A947C4" w14:textId="77777777" w:rsidR="009D034C" w:rsidRPr="00060053" w:rsidRDefault="009D034C" w:rsidP="009D034C">
      <w:pPr>
        <w:pStyle w:val="Textoindependiente"/>
        <w:jc w:val="center"/>
        <w:rPr>
          <w:rFonts w:asciiTheme="majorHAnsi" w:hAnsiTheme="majorHAnsi"/>
          <w:color w:val="auto"/>
          <w:sz w:val="56"/>
          <w:szCs w:val="56"/>
        </w:rPr>
      </w:pPr>
      <w:r w:rsidRPr="00060053">
        <w:rPr>
          <w:rFonts w:asciiTheme="majorHAnsi" w:hAnsiTheme="majorHAnsi"/>
          <w:color w:val="auto"/>
          <w:sz w:val="56"/>
          <w:szCs w:val="56"/>
        </w:rPr>
        <w:t>PLAN OPERATIVO</w:t>
      </w:r>
      <w:r w:rsidR="00DE4F25" w:rsidRPr="00060053">
        <w:rPr>
          <w:rFonts w:asciiTheme="majorHAnsi" w:hAnsiTheme="majorHAnsi"/>
          <w:color w:val="auto"/>
          <w:sz w:val="56"/>
          <w:szCs w:val="56"/>
        </w:rPr>
        <w:t xml:space="preserve"> INSTITUCIONAL</w:t>
      </w:r>
    </w:p>
    <w:p w14:paraId="06A947C5" w14:textId="77777777" w:rsidR="009D034C" w:rsidRPr="00060053" w:rsidRDefault="009D034C" w:rsidP="009D034C">
      <w:pPr>
        <w:pStyle w:val="Textoindependiente"/>
        <w:jc w:val="center"/>
        <w:rPr>
          <w:rFonts w:asciiTheme="majorHAnsi" w:hAnsiTheme="majorHAnsi"/>
          <w:color w:val="auto"/>
          <w:sz w:val="40"/>
          <w:szCs w:val="40"/>
        </w:rPr>
      </w:pPr>
    </w:p>
    <w:p w14:paraId="06A947C6" w14:textId="77777777" w:rsidR="008C532E" w:rsidRPr="00060053" w:rsidRDefault="008C532E" w:rsidP="009D034C">
      <w:pPr>
        <w:pStyle w:val="Textoindependiente"/>
        <w:jc w:val="center"/>
        <w:rPr>
          <w:rFonts w:asciiTheme="majorHAnsi" w:hAnsiTheme="majorHAnsi"/>
          <w:color w:val="auto"/>
          <w:sz w:val="40"/>
          <w:szCs w:val="40"/>
        </w:rPr>
      </w:pPr>
    </w:p>
    <w:p w14:paraId="06A947C7" w14:textId="77777777" w:rsidR="009D034C" w:rsidRPr="00060053" w:rsidRDefault="009D034C" w:rsidP="009D034C">
      <w:pPr>
        <w:pStyle w:val="Textoindependiente"/>
        <w:jc w:val="center"/>
        <w:rPr>
          <w:rFonts w:asciiTheme="majorHAnsi" w:hAnsiTheme="majorHAnsi"/>
          <w:color w:val="auto"/>
          <w:sz w:val="48"/>
          <w:szCs w:val="48"/>
        </w:rPr>
      </w:pPr>
      <w:r w:rsidRPr="00060053">
        <w:rPr>
          <w:rFonts w:asciiTheme="majorHAnsi" w:hAnsiTheme="majorHAnsi"/>
          <w:color w:val="auto"/>
          <w:sz w:val="48"/>
          <w:szCs w:val="48"/>
        </w:rPr>
        <w:t>PRESUPUESTO DE INGRESOS Y EGRESOS</w:t>
      </w:r>
    </w:p>
    <w:p w14:paraId="06A947C8" w14:textId="77777777" w:rsidR="009D034C" w:rsidRPr="00060053" w:rsidRDefault="009D034C" w:rsidP="009D034C">
      <w:pPr>
        <w:pStyle w:val="Textoindependiente"/>
        <w:jc w:val="center"/>
        <w:rPr>
          <w:rFonts w:asciiTheme="majorHAnsi" w:hAnsiTheme="majorHAnsi"/>
          <w:color w:val="auto"/>
          <w:sz w:val="40"/>
          <w:szCs w:val="40"/>
        </w:rPr>
      </w:pPr>
    </w:p>
    <w:p w14:paraId="06A947C9" w14:textId="77777777" w:rsidR="008C532E" w:rsidRPr="00060053" w:rsidRDefault="008C532E" w:rsidP="009D034C">
      <w:pPr>
        <w:pStyle w:val="Textoindependiente"/>
        <w:jc w:val="center"/>
        <w:rPr>
          <w:rFonts w:asciiTheme="majorHAnsi" w:hAnsiTheme="majorHAnsi"/>
          <w:color w:val="auto"/>
          <w:sz w:val="40"/>
          <w:szCs w:val="40"/>
        </w:rPr>
      </w:pPr>
    </w:p>
    <w:p w14:paraId="06A947CA" w14:textId="77777777" w:rsidR="00255DE7" w:rsidRPr="00060053" w:rsidRDefault="00255DE7" w:rsidP="009D034C">
      <w:pPr>
        <w:pStyle w:val="Textoindependiente"/>
        <w:jc w:val="center"/>
        <w:rPr>
          <w:rFonts w:asciiTheme="majorHAnsi" w:hAnsiTheme="majorHAnsi"/>
          <w:color w:val="auto"/>
          <w:sz w:val="40"/>
          <w:szCs w:val="40"/>
        </w:rPr>
      </w:pPr>
    </w:p>
    <w:p w14:paraId="06A947CB" w14:textId="77777777" w:rsidR="00255DE7" w:rsidRPr="00060053" w:rsidRDefault="00255DE7" w:rsidP="009D034C">
      <w:pPr>
        <w:pStyle w:val="Textoindependiente"/>
        <w:jc w:val="center"/>
        <w:rPr>
          <w:rFonts w:asciiTheme="majorHAnsi" w:hAnsiTheme="majorHAnsi"/>
          <w:color w:val="auto"/>
          <w:sz w:val="40"/>
          <w:szCs w:val="40"/>
        </w:rPr>
      </w:pPr>
    </w:p>
    <w:p w14:paraId="06A947CC" w14:textId="77777777" w:rsidR="00255DE7" w:rsidRPr="00060053" w:rsidRDefault="00255DE7" w:rsidP="009D034C">
      <w:pPr>
        <w:pStyle w:val="Textoindependiente"/>
        <w:jc w:val="center"/>
        <w:rPr>
          <w:rFonts w:asciiTheme="majorHAnsi" w:hAnsiTheme="majorHAnsi"/>
          <w:color w:val="auto"/>
          <w:sz w:val="40"/>
          <w:szCs w:val="40"/>
        </w:rPr>
      </w:pPr>
    </w:p>
    <w:p w14:paraId="06A947CD" w14:textId="720F3CD5" w:rsidR="008C532E" w:rsidRPr="00060053" w:rsidRDefault="00C008F0" w:rsidP="008C532E">
      <w:pPr>
        <w:jc w:val="center"/>
        <w:rPr>
          <w:rFonts w:asciiTheme="majorHAnsi" w:hAnsiTheme="majorHAnsi"/>
          <w:sz w:val="72"/>
          <w:szCs w:val="72"/>
          <w14:shadow w14:blurRad="50800" w14:dist="38100" w14:dir="0" w14:sx="100000" w14:sy="100000" w14:kx="0" w14:ky="0" w14:algn="l">
            <w14:srgbClr w14:val="000000">
              <w14:alpha w14:val="60000"/>
            </w14:srgbClr>
          </w14:shadow>
        </w:rPr>
      </w:pPr>
      <w:r w:rsidRPr="00060053">
        <w:rPr>
          <w:rFonts w:asciiTheme="majorHAnsi" w:hAnsiTheme="majorHAnsi"/>
          <w:sz w:val="72"/>
          <w:szCs w:val="72"/>
          <w14:shadow w14:blurRad="50800" w14:dist="38100" w14:dir="0" w14:sx="100000" w14:sy="100000" w14:kx="0" w14:ky="0" w14:algn="l">
            <w14:srgbClr w14:val="000000">
              <w14:alpha w14:val="60000"/>
            </w14:srgbClr>
          </w14:shadow>
        </w:rPr>
        <w:t>20</w:t>
      </w:r>
      <w:r w:rsidR="00420F78">
        <w:rPr>
          <w:rFonts w:asciiTheme="majorHAnsi" w:hAnsiTheme="majorHAnsi"/>
          <w:sz w:val="72"/>
          <w:szCs w:val="72"/>
          <w14:shadow w14:blurRad="50800" w14:dist="38100" w14:dir="0" w14:sx="100000" w14:sy="100000" w14:kx="0" w14:ky="0" w14:algn="l">
            <w14:srgbClr w14:val="000000">
              <w14:alpha w14:val="60000"/>
            </w14:srgbClr>
          </w14:shadow>
        </w:rPr>
        <w:t>17</w:t>
      </w:r>
    </w:p>
    <w:p w14:paraId="06A947CE" w14:textId="77777777" w:rsidR="00C008F0" w:rsidRPr="00060053" w:rsidRDefault="00C008F0" w:rsidP="008C532E">
      <w:pPr>
        <w:jc w:val="center"/>
        <w:rPr>
          <w:rFonts w:asciiTheme="majorHAnsi" w:hAnsiTheme="majorHAnsi"/>
          <w:sz w:val="40"/>
          <w:szCs w:val="40"/>
        </w:rPr>
      </w:pPr>
    </w:p>
    <w:p w14:paraId="06A947CF" w14:textId="77777777" w:rsidR="009D034C" w:rsidRPr="00060053" w:rsidRDefault="009D034C" w:rsidP="009D034C">
      <w:pPr>
        <w:pStyle w:val="Textoindependiente"/>
        <w:rPr>
          <w:rFonts w:asciiTheme="majorHAnsi" w:hAnsiTheme="majorHAnsi"/>
          <w:color w:val="auto"/>
        </w:rPr>
      </w:pPr>
    </w:p>
    <w:p w14:paraId="06A947D0" w14:textId="77777777" w:rsidR="009D034C" w:rsidRPr="00060053" w:rsidRDefault="009D034C" w:rsidP="009D034C">
      <w:pPr>
        <w:pStyle w:val="Textoindependiente"/>
        <w:rPr>
          <w:rFonts w:asciiTheme="majorHAnsi" w:hAnsiTheme="majorHAnsi"/>
          <w:color w:val="auto"/>
        </w:rPr>
      </w:pPr>
    </w:p>
    <w:p w14:paraId="06A947D1" w14:textId="77777777" w:rsidR="00341735" w:rsidRDefault="00341735">
      <w:pPr>
        <w:rPr>
          <w:rFonts w:asciiTheme="majorHAnsi" w:hAnsiTheme="majorHAnsi" w:cs="Tahoma"/>
          <w:b/>
          <w:bCs/>
          <w:sz w:val="28"/>
          <w:lang w:val="es-MX"/>
        </w:rPr>
      </w:pPr>
      <w:r>
        <w:rPr>
          <w:rFonts w:asciiTheme="majorHAnsi" w:hAnsiTheme="majorHAnsi"/>
        </w:rPr>
        <w:br w:type="page"/>
      </w:r>
    </w:p>
    <w:p w14:paraId="06A947D2" w14:textId="77777777" w:rsidR="009D034C" w:rsidRDefault="009D034C" w:rsidP="009D034C">
      <w:pPr>
        <w:pStyle w:val="Puesto"/>
        <w:ind w:right="55"/>
        <w:jc w:val="both"/>
        <w:rPr>
          <w:rFonts w:asciiTheme="majorHAnsi" w:hAnsiTheme="majorHAnsi"/>
        </w:rPr>
      </w:pPr>
    </w:p>
    <w:p w14:paraId="06A947D3" w14:textId="32A2BFCB" w:rsidR="00341735" w:rsidRDefault="00341735" w:rsidP="009D034C">
      <w:pPr>
        <w:pStyle w:val="Puesto"/>
        <w:ind w:right="55"/>
        <w:jc w:val="both"/>
        <w:rPr>
          <w:rFonts w:asciiTheme="majorHAnsi" w:hAnsiTheme="majorHAnsi"/>
        </w:rPr>
      </w:pPr>
    </w:p>
    <w:p w14:paraId="28A499E7" w14:textId="77777777" w:rsidR="00307BE6" w:rsidRPr="00060053" w:rsidRDefault="00307BE6" w:rsidP="009D034C">
      <w:pPr>
        <w:pStyle w:val="Puesto"/>
        <w:ind w:right="55"/>
        <w:jc w:val="both"/>
        <w:rPr>
          <w:rFonts w:asciiTheme="majorHAnsi" w:hAnsiTheme="majorHAnsi"/>
        </w:rPr>
        <w:sectPr w:rsidR="00307BE6" w:rsidRPr="00060053" w:rsidSect="004E39A1">
          <w:headerReference w:type="default" r:id="rId12"/>
          <w:footerReference w:type="even" r:id="rId13"/>
          <w:footerReference w:type="default" r:id="rId14"/>
          <w:headerReference w:type="first" r:id="rId15"/>
          <w:footerReference w:type="first" r:id="rId16"/>
          <w:pgSz w:w="12242" w:h="15842" w:code="2"/>
          <w:pgMar w:top="1418" w:right="1701" w:bottom="1418" w:left="1701" w:header="709" w:footer="709" w:gutter="0"/>
          <w:pgNumType w:fmt="lowerRoman" w:start="1"/>
          <w:cols w:space="708"/>
          <w:titlePg/>
          <w:docGrid w:linePitch="360"/>
        </w:sectPr>
      </w:pPr>
    </w:p>
    <w:sdt>
      <w:sdtPr>
        <w:rPr>
          <w:rFonts w:ascii="Times New Roman" w:eastAsia="Times New Roman" w:hAnsi="Times New Roman" w:cs="Times New Roman"/>
          <w:b w:val="0"/>
          <w:bCs w:val="0"/>
          <w:color w:val="auto"/>
          <w:sz w:val="24"/>
          <w:szCs w:val="24"/>
        </w:rPr>
        <w:id w:val="1601680450"/>
        <w:docPartObj>
          <w:docPartGallery w:val="Table of Contents"/>
          <w:docPartUnique/>
        </w:docPartObj>
      </w:sdtPr>
      <w:sdtEndPr>
        <w:rPr>
          <w:rFonts w:asciiTheme="minorHAnsi" w:hAnsiTheme="minorHAnsi" w:cstheme="minorHAnsi"/>
          <w:sz w:val="20"/>
          <w:szCs w:val="20"/>
        </w:rPr>
      </w:sdtEndPr>
      <w:sdtContent>
        <w:p w14:paraId="06A947D4" w14:textId="77777777" w:rsidR="00CF5F35" w:rsidRDefault="00CF5F35" w:rsidP="008C5FF4">
          <w:pPr>
            <w:pStyle w:val="TtulodeTDC"/>
            <w:spacing w:before="0"/>
          </w:pPr>
          <w:r>
            <w:t>Tabla de contenido</w:t>
          </w:r>
        </w:p>
        <w:p w14:paraId="2FB7702F" w14:textId="2409E031" w:rsidR="0043587E" w:rsidRPr="0043587E" w:rsidRDefault="00CF5F35" w:rsidP="0043587E">
          <w:pPr>
            <w:pStyle w:val="TDC1"/>
            <w:rPr>
              <w:b w:val="0"/>
            </w:rPr>
          </w:pPr>
          <w:r w:rsidRPr="0043587E">
            <w:rPr>
              <w:rFonts w:cstheme="minorHAnsi"/>
              <w:b w:val="0"/>
            </w:rPr>
            <w:fldChar w:fldCharType="begin"/>
          </w:r>
          <w:r w:rsidRPr="0043587E">
            <w:rPr>
              <w:rFonts w:cstheme="minorHAnsi"/>
              <w:b w:val="0"/>
            </w:rPr>
            <w:instrText xml:space="preserve"> TOC \o "1-3" \h \z \u </w:instrText>
          </w:r>
          <w:r w:rsidRPr="0043587E">
            <w:rPr>
              <w:rFonts w:cstheme="minorHAnsi"/>
              <w:b w:val="0"/>
            </w:rPr>
            <w:fldChar w:fldCharType="separate"/>
          </w:r>
          <w:hyperlink w:anchor="_Toc429563189" w:history="1">
            <w:r w:rsidR="0043587E" w:rsidRPr="0043587E">
              <w:rPr>
                <w:rStyle w:val="Hipervnculo"/>
                <w:b w:val="0"/>
              </w:rPr>
              <w:t>1.</w:t>
            </w:r>
            <w:r w:rsidR="0043587E" w:rsidRPr="0043587E">
              <w:rPr>
                <w:b w:val="0"/>
              </w:rPr>
              <w:tab/>
            </w:r>
            <w:r w:rsidR="0043587E" w:rsidRPr="0043587E">
              <w:rPr>
                <w:rStyle w:val="Hipervnculo"/>
                <w:b w:val="0"/>
              </w:rPr>
              <w:t>Plan Operativo I</w:t>
            </w:r>
            <w:r w:rsidR="00A47ACA">
              <w:rPr>
                <w:rStyle w:val="Hipervnculo"/>
                <w:b w:val="0"/>
              </w:rPr>
              <w:t>nstitucional 2017</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_Toc429563189 \h </w:instrText>
            </w:r>
            <w:r w:rsidR="0043587E" w:rsidRPr="0043587E">
              <w:rPr>
                <w:b w:val="0"/>
                <w:webHidden/>
              </w:rPr>
            </w:r>
            <w:r w:rsidR="0043587E" w:rsidRPr="0043587E">
              <w:rPr>
                <w:b w:val="0"/>
                <w:webHidden/>
              </w:rPr>
              <w:fldChar w:fldCharType="separate"/>
            </w:r>
            <w:r w:rsidR="00307BE6">
              <w:rPr>
                <w:b w:val="0"/>
                <w:webHidden/>
              </w:rPr>
              <w:t>4</w:t>
            </w:r>
            <w:r w:rsidR="0043587E" w:rsidRPr="0043587E">
              <w:rPr>
                <w:b w:val="0"/>
                <w:webHidden/>
              </w:rPr>
              <w:fldChar w:fldCharType="end"/>
            </w:r>
          </w:hyperlink>
        </w:p>
        <w:p w14:paraId="2B5780AF" w14:textId="6F9A623D" w:rsidR="0043587E" w:rsidRPr="0043587E" w:rsidRDefault="00722C76" w:rsidP="0043587E">
          <w:pPr>
            <w:pStyle w:val="TDC1"/>
            <w:rPr>
              <w:b w:val="0"/>
            </w:rPr>
          </w:pPr>
          <w:hyperlink w:anchor="_Toc429563190" w:history="1">
            <w:r w:rsidR="0043587E" w:rsidRPr="0043587E">
              <w:rPr>
                <w:rStyle w:val="Hipervnculo"/>
                <w:b w:val="0"/>
              </w:rPr>
              <w:t>1.1.</w:t>
            </w:r>
            <w:r w:rsidR="0043587E" w:rsidRPr="0043587E">
              <w:rPr>
                <w:b w:val="0"/>
              </w:rPr>
              <w:tab/>
            </w:r>
            <w:r w:rsidR="0043587E" w:rsidRPr="0043587E">
              <w:rPr>
                <w:rStyle w:val="Hipervnculo"/>
                <w:b w:val="0"/>
              </w:rPr>
              <w:t>Presentación:</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_Toc429563190 \h </w:instrText>
            </w:r>
            <w:r w:rsidR="0043587E" w:rsidRPr="0043587E">
              <w:rPr>
                <w:b w:val="0"/>
                <w:webHidden/>
              </w:rPr>
            </w:r>
            <w:r w:rsidR="0043587E" w:rsidRPr="0043587E">
              <w:rPr>
                <w:b w:val="0"/>
                <w:webHidden/>
              </w:rPr>
              <w:fldChar w:fldCharType="separate"/>
            </w:r>
            <w:r w:rsidR="00307BE6">
              <w:rPr>
                <w:b w:val="0"/>
                <w:webHidden/>
              </w:rPr>
              <w:t>4</w:t>
            </w:r>
            <w:r w:rsidR="0043587E" w:rsidRPr="0043587E">
              <w:rPr>
                <w:b w:val="0"/>
                <w:webHidden/>
              </w:rPr>
              <w:fldChar w:fldCharType="end"/>
            </w:r>
          </w:hyperlink>
        </w:p>
        <w:p w14:paraId="56F08999" w14:textId="07A405C5" w:rsidR="0043587E" w:rsidRPr="0043587E" w:rsidRDefault="00722C76" w:rsidP="0043587E">
          <w:pPr>
            <w:pStyle w:val="TDC1"/>
            <w:rPr>
              <w:b w:val="0"/>
            </w:rPr>
          </w:pPr>
          <w:hyperlink w:anchor="_Toc429563191" w:history="1">
            <w:r w:rsidR="0043587E" w:rsidRPr="0043587E">
              <w:rPr>
                <w:rStyle w:val="Hipervnculo"/>
                <w:b w:val="0"/>
              </w:rPr>
              <w:t>1.2.</w:t>
            </w:r>
            <w:r w:rsidR="0043587E" w:rsidRPr="0043587E">
              <w:rPr>
                <w:b w:val="0"/>
              </w:rPr>
              <w:tab/>
            </w:r>
            <w:r w:rsidR="0043587E" w:rsidRPr="0043587E">
              <w:rPr>
                <w:rStyle w:val="Hipervnculo"/>
                <w:b w:val="0"/>
              </w:rPr>
              <w:t>Antecedentes de la Institución</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_Toc429563191 \h </w:instrText>
            </w:r>
            <w:r w:rsidR="0043587E" w:rsidRPr="0043587E">
              <w:rPr>
                <w:b w:val="0"/>
                <w:webHidden/>
              </w:rPr>
            </w:r>
            <w:r w:rsidR="0043587E" w:rsidRPr="0043587E">
              <w:rPr>
                <w:b w:val="0"/>
                <w:webHidden/>
              </w:rPr>
              <w:fldChar w:fldCharType="separate"/>
            </w:r>
            <w:r w:rsidR="00307BE6">
              <w:rPr>
                <w:b w:val="0"/>
                <w:webHidden/>
              </w:rPr>
              <w:t>4</w:t>
            </w:r>
            <w:r w:rsidR="0043587E" w:rsidRPr="0043587E">
              <w:rPr>
                <w:b w:val="0"/>
                <w:webHidden/>
              </w:rPr>
              <w:fldChar w:fldCharType="end"/>
            </w:r>
          </w:hyperlink>
        </w:p>
        <w:p w14:paraId="64DB8C1F" w14:textId="4437E244" w:rsidR="0043587E" w:rsidRPr="0043587E" w:rsidRDefault="00722C76">
          <w:pPr>
            <w:pStyle w:val="TDC2"/>
            <w:rPr>
              <w:rFonts w:asciiTheme="minorHAnsi" w:eastAsiaTheme="minorEastAsia" w:hAnsiTheme="minorHAnsi" w:cstheme="minorBidi"/>
              <w:bCs w:val="0"/>
              <w:szCs w:val="22"/>
              <w:lang w:val="es-ES"/>
            </w:rPr>
          </w:pPr>
          <w:hyperlink w:anchor="_Toc429563192" w:history="1">
            <w:r w:rsidR="0043587E" w:rsidRPr="0043587E">
              <w:rPr>
                <w:rStyle w:val="Hipervnculo"/>
              </w:rPr>
              <w:t>1.2.1</w:t>
            </w:r>
            <w:r w:rsidR="0043587E" w:rsidRPr="0043587E">
              <w:rPr>
                <w:rFonts w:asciiTheme="minorHAnsi" w:eastAsiaTheme="minorEastAsia" w:hAnsiTheme="minorHAnsi" w:cstheme="minorBidi"/>
                <w:bCs w:val="0"/>
                <w:szCs w:val="22"/>
                <w:lang w:val="es-ES"/>
              </w:rPr>
              <w:tab/>
            </w:r>
            <w:r w:rsidR="0043587E" w:rsidRPr="0043587E">
              <w:rPr>
                <w:rStyle w:val="Hipervnculo"/>
              </w:rPr>
              <w:t>Marco General Institucional</w:t>
            </w:r>
            <w:r w:rsidR="0043587E" w:rsidRPr="0043587E">
              <w:rPr>
                <w:webHidden/>
              </w:rPr>
              <w:tab/>
            </w:r>
            <w:r w:rsidR="0043587E" w:rsidRPr="0043587E">
              <w:rPr>
                <w:webHidden/>
              </w:rPr>
              <w:fldChar w:fldCharType="begin"/>
            </w:r>
            <w:r w:rsidR="0043587E" w:rsidRPr="0043587E">
              <w:rPr>
                <w:webHidden/>
              </w:rPr>
              <w:instrText xml:space="preserve"> PAGEREF _Toc429563192 \h </w:instrText>
            </w:r>
            <w:r w:rsidR="0043587E" w:rsidRPr="0043587E">
              <w:rPr>
                <w:webHidden/>
              </w:rPr>
            </w:r>
            <w:r w:rsidR="0043587E" w:rsidRPr="0043587E">
              <w:rPr>
                <w:webHidden/>
              </w:rPr>
              <w:fldChar w:fldCharType="separate"/>
            </w:r>
            <w:r w:rsidR="00307BE6">
              <w:rPr>
                <w:webHidden/>
              </w:rPr>
              <w:t>4</w:t>
            </w:r>
            <w:r w:rsidR="0043587E" w:rsidRPr="0043587E">
              <w:rPr>
                <w:webHidden/>
              </w:rPr>
              <w:fldChar w:fldCharType="end"/>
            </w:r>
          </w:hyperlink>
        </w:p>
        <w:p w14:paraId="559B5D6C" w14:textId="5EA29AB5" w:rsidR="0043587E" w:rsidRPr="0043587E" w:rsidRDefault="00722C76">
          <w:pPr>
            <w:pStyle w:val="TDC2"/>
            <w:rPr>
              <w:rFonts w:asciiTheme="minorHAnsi" w:eastAsiaTheme="minorEastAsia" w:hAnsiTheme="minorHAnsi" w:cstheme="minorBidi"/>
              <w:bCs w:val="0"/>
              <w:szCs w:val="22"/>
              <w:lang w:val="es-ES"/>
            </w:rPr>
          </w:pPr>
          <w:hyperlink w:anchor="_Toc429563193" w:history="1">
            <w:r w:rsidR="0043587E" w:rsidRPr="0043587E">
              <w:rPr>
                <w:rStyle w:val="Hipervnculo"/>
              </w:rPr>
              <w:t>1.2.2.</w:t>
            </w:r>
            <w:r w:rsidR="0043587E" w:rsidRPr="0043587E">
              <w:rPr>
                <w:rFonts w:asciiTheme="minorHAnsi" w:eastAsiaTheme="minorEastAsia" w:hAnsiTheme="minorHAnsi" w:cstheme="minorBidi"/>
                <w:bCs w:val="0"/>
                <w:szCs w:val="22"/>
                <w:lang w:val="es-ES"/>
              </w:rPr>
              <w:tab/>
            </w:r>
            <w:r w:rsidR="0043587E" w:rsidRPr="0043587E">
              <w:rPr>
                <w:rStyle w:val="Hipervnculo"/>
              </w:rPr>
              <w:t>Panorama Institucional</w:t>
            </w:r>
            <w:r w:rsidR="0043587E" w:rsidRPr="0043587E">
              <w:rPr>
                <w:webHidden/>
              </w:rPr>
              <w:tab/>
            </w:r>
            <w:r w:rsidR="0043587E" w:rsidRPr="0043587E">
              <w:rPr>
                <w:webHidden/>
              </w:rPr>
              <w:fldChar w:fldCharType="begin"/>
            </w:r>
            <w:r w:rsidR="0043587E" w:rsidRPr="0043587E">
              <w:rPr>
                <w:webHidden/>
              </w:rPr>
              <w:instrText xml:space="preserve"> PAGEREF _Toc429563193 \h </w:instrText>
            </w:r>
            <w:r w:rsidR="0043587E" w:rsidRPr="0043587E">
              <w:rPr>
                <w:webHidden/>
              </w:rPr>
            </w:r>
            <w:r w:rsidR="0043587E" w:rsidRPr="0043587E">
              <w:rPr>
                <w:webHidden/>
              </w:rPr>
              <w:fldChar w:fldCharType="separate"/>
            </w:r>
            <w:r w:rsidR="00307BE6">
              <w:rPr>
                <w:webHidden/>
              </w:rPr>
              <w:t>5</w:t>
            </w:r>
            <w:r w:rsidR="0043587E" w:rsidRPr="0043587E">
              <w:rPr>
                <w:webHidden/>
              </w:rPr>
              <w:fldChar w:fldCharType="end"/>
            </w:r>
          </w:hyperlink>
        </w:p>
        <w:p w14:paraId="445BE21C" w14:textId="0B3FE6B4" w:rsidR="0043587E" w:rsidRPr="0043587E" w:rsidRDefault="00722C76" w:rsidP="00C03AF3">
          <w:pPr>
            <w:pStyle w:val="TDC3"/>
            <w:rPr>
              <w:noProof/>
            </w:rPr>
          </w:pPr>
          <w:hyperlink w:anchor="_Toc429563194" w:history="1">
            <w:r w:rsidR="0043587E" w:rsidRPr="0043587E">
              <w:rPr>
                <w:rStyle w:val="Hipervnculo"/>
                <w:rFonts w:asciiTheme="majorHAnsi" w:hAnsiTheme="majorHAnsi"/>
                <w:noProof/>
              </w:rPr>
              <w:t>1.2.3.</w:t>
            </w:r>
            <w:r w:rsidR="0043587E" w:rsidRPr="0043587E">
              <w:rPr>
                <w:noProof/>
              </w:rPr>
              <w:tab/>
            </w:r>
            <w:r w:rsidR="0043587E" w:rsidRPr="0043587E">
              <w:rPr>
                <w:rStyle w:val="Hipervnculo"/>
                <w:rFonts w:asciiTheme="majorHAnsi" w:hAnsiTheme="majorHAnsi"/>
                <w:noProof/>
              </w:rPr>
              <w:t>Diagnóstico Institucional</w:t>
            </w:r>
            <w:r w:rsidR="0043587E" w:rsidRPr="0043587E">
              <w:rPr>
                <w:noProof/>
                <w:webHidden/>
              </w:rPr>
              <w:tab/>
            </w:r>
            <w:r w:rsidR="0043587E" w:rsidRPr="0043587E">
              <w:rPr>
                <w:noProof/>
                <w:webHidden/>
              </w:rPr>
              <w:fldChar w:fldCharType="begin"/>
            </w:r>
            <w:r w:rsidR="0043587E" w:rsidRPr="0043587E">
              <w:rPr>
                <w:noProof/>
                <w:webHidden/>
              </w:rPr>
              <w:instrText xml:space="preserve"> PAGEREF _Toc429563194 \h </w:instrText>
            </w:r>
            <w:r w:rsidR="0043587E" w:rsidRPr="0043587E">
              <w:rPr>
                <w:noProof/>
                <w:webHidden/>
              </w:rPr>
            </w:r>
            <w:r w:rsidR="0043587E" w:rsidRPr="0043587E">
              <w:rPr>
                <w:noProof/>
                <w:webHidden/>
              </w:rPr>
              <w:fldChar w:fldCharType="separate"/>
            </w:r>
            <w:r w:rsidR="00307BE6">
              <w:rPr>
                <w:noProof/>
                <w:webHidden/>
              </w:rPr>
              <w:t>11</w:t>
            </w:r>
            <w:r w:rsidR="0043587E" w:rsidRPr="0043587E">
              <w:rPr>
                <w:noProof/>
                <w:webHidden/>
              </w:rPr>
              <w:fldChar w:fldCharType="end"/>
            </w:r>
          </w:hyperlink>
        </w:p>
        <w:p w14:paraId="13FE18E7" w14:textId="6C65FB79" w:rsidR="0043587E" w:rsidRPr="0043587E" w:rsidRDefault="00722C76" w:rsidP="00C03AF3">
          <w:pPr>
            <w:pStyle w:val="TDC3"/>
            <w:rPr>
              <w:noProof/>
            </w:rPr>
          </w:pPr>
          <w:hyperlink w:anchor="_Toc429563195" w:history="1">
            <w:r w:rsidR="0043587E" w:rsidRPr="0043587E">
              <w:rPr>
                <w:rStyle w:val="Hipervnculo"/>
                <w:rFonts w:asciiTheme="majorHAnsi" w:hAnsiTheme="majorHAnsi"/>
                <w:noProof/>
              </w:rPr>
              <w:t>1.2.4.</w:t>
            </w:r>
            <w:r w:rsidR="0043587E" w:rsidRPr="0043587E">
              <w:rPr>
                <w:noProof/>
              </w:rPr>
              <w:tab/>
            </w:r>
            <w:r w:rsidR="0043587E" w:rsidRPr="0043587E">
              <w:rPr>
                <w:rStyle w:val="Hipervnculo"/>
                <w:rFonts w:asciiTheme="majorHAnsi" w:hAnsiTheme="majorHAnsi"/>
                <w:noProof/>
              </w:rPr>
              <w:t>Marco Filosófico Institucional</w:t>
            </w:r>
            <w:r w:rsidR="0043587E" w:rsidRPr="0043587E">
              <w:rPr>
                <w:noProof/>
                <w:webHidden/>
              </w:rPr>
              <w:tab/>
            </w:r>
            <w:r w:rsidR="0043587E" w:rsidRPr="0043587E">
              <w:rPr>
                <w:noProof/>
                <w:webHidden/>
              </w:rPr>
              <w:fldChar w:fldCharType="begin"/>
            </w:r>
            <w:r w:rsidR="0043587E" w:rsidRPr="0043587E">
              <w:rPr>
                <w:noProof/>
                <w:webHidden/>
              </w:rPr>
              <w:instrText xml:space="preserve"> PAGEREF _Toc429563195 \h </w:instrText>
            </w:r>
            <w:r w:rsidR="0043587E" w:rsidRPr="0043587E">
              <w:rPr>
                <w:noProof/>
                <w:webHidden/>
              </w:rPr>
            </w:r>
            <w:r w:rsidR="0043587E" w:rsidRPr="0043587E">
              <w:rPr>
                <w:noProof/>
                <w:webHidden/>
              </w:rPr>
              <w:fldChar w:fldCharType="separate"/>
            </w:r>
            <w:r w:rsidR="00307BE6">
              <w:rPr>
                <w:noProof/>
                <w:webHidden/>
              </w:rPr>
              <w:t>26</w:t>
            </w:r>
            <w:r w:rsidR="0043587E" w:rsidRPr="0043587E">
              <w:rPr>
                <w:noProof/>
                <w:webHidden/>
              </w:rPr>
              <w:fldChar w:fldCharType="end"/>
            </w:r>
          </w:hyperlink>
        </w:p>
        <w:p w14:paraId="160E0966" w14:textId="12AADF5E" w:rsidR="0043587E" w:rsidRPr="0043587E" w:rsidRDefault="00722C76">
          <w:pPr>
            <w:pStyle w:val="TDC2"/>
            <w:rPr>
              <w:rFonts w:asciiTheme="minorHAnsi" w:eastAsiaTheme="minorEastAsia" w:hAnsiTheme="minorHAnsi" w:cstheme="minorBidi"/>
              <w:bCs w:val="0"/>
              <w:szCs w:val="22"/>
              <w:lang w:val="es-ES"/>
            </w:rPr>
          </w:pPr>
          <w:hyperlink w:anchor="_Toc429563196" w:history="1">
            <w:r w:rsidR="0043587E" w:rsidRPr="0043587E">
              <w:rPr>
                <w:rStyle w:val="Hipervnculo"/>
              </w:rPr>
              <w:t xml:space="preserve">1.3 </w:t>
            </w:r>
            <w:r w:rsidR="0043587E" w:rsidRPr="0043587E">
              <w:rPr>
                <w:rFonts w:asciiTheme="minorHAnsi" w:eastAsiaTheme="minorEastAsia" w:hAnsiTheme="minorHAnsi" w:cstheme="minorBidi"/>
                <w:bCs w:val="0"/>
                <w:szCs w:val="22"/>
                <w:lang w:val="es-ES"/>
              </w:rPr>
              <w:tab/>
            </w:r>
            <w:r w:rsidR="0043587E" w:rsidRPr="0043587E">
              <w:rPr>
                <w:rStyle w:val="Hipervnculo"/>
              </w:rPr>
              <w:t>Matriz de Articulación de Plan Presupuesto (MAPP).</w:t>
            </w:r>
            <w:r w:rsidR="0043587E" w:rsidRPr="0043587E">
              <w:rPr>
                <w:webHidden/>
              </w:rPr>
              <w:tab/>
            </w:r>
            <w:r w:rsidR="0043587E" w:rsidRPr="0043587E">
              <w:rPr>
                <w:webHidden/>
              </w:rPr>
              <w:fldChar w:fldCharType="begin"/>
            </w:r>
            <w:r w:rsidR="0043587E" w:rsidRPr="0043587E">
              <w:rPr>
                <w:webHidden/>
              </w:rPr>
              <w:instrText xml:space="preserve"> PAGEREF _Toc429563196 \h </w:instrText>
            </w:r>
            <w:r w:rsidR="0043587E" w:rsidRPr="0043587E">
              <w:rPr>
                <w:webHidden/>
              </w:rPr>
            </w:r>
            <w:r w:rsidR="0043587E" w:rsidRPr="0043587E">
              <w:rPr>
                <w:webHidden/>
              </w:rPr>
              <w:fldChar w:fldCharType="separate"/>
            </w:r>
            <w:r w:rsidR="00307BE6">
              <w:rPr>
                <w:webHidden/>
              </w:rPr>
              <w:t>30</w:t>
            </w:r>
            <w:r w:rsidR="0043587E" w:rsidRPr="0043587E">
              <w:rPr>
                <w:webHidden/>
              </w:rPr>
              <w:fldChar w:fldCharType="end"/>
            </w:r>
          </w:hyperlink>
        </w:p>
        <w:p w14:paraId="338B395D" w14:textId="4ECD17A8" w:rsidR="0043587E" w:rsidRPr="0043587E" w:rsidRDefault="00722C76" w:rsidP="0043587E">
          <w:pPr>
            <w:pStyle w:val="TDC1"/>
            <w:rPr>
              <w:b w:val="0"/>
            </w:rPr>
          </w:pPr>
          <w:hyperlink w:anchor="_Toc429563197" w:history="1">
            <w:r w:rsidR="0043587E" w:rsidRPr="0043587E">
              <w:rPr>
                <w:rStyle w:val="Hipervnculo"/>
                <w:b w:val="0"/>
              </w:rPr>
              <w:t xml:space="preserve">2. </w:t>
            </w:r>
            <w:r w:rsidR="0043587E" w:rsidRPr="0043587E">
              <w:rPr>
                <w:b w:val="0"/>
              </w:rPr>
              <w:tab/>
            </w:r>
            <w:r w:rsidR="0043587E" w:rsidRPr="0043587E">
              <w:rPr>
                <w:rStyle w:val="Hipervnculo"/>
                <w:b w:val="0"/>
              </w:rPr>
              <w:t>Plan Presupuesto</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_Toc429563197 \h </w:instrText>
            </w:r>
            <w:r w:rsidR="0043587E" w:rsidRPr="0043587E">
              <w:rPr>
                <w:b w:val="0"/>
                <w:webHidden/>
              </w:rPr>
            </w:r>
            <w:r w:rsidR="0043587E" w:rsidRPr="0043587E">
              <w:rPr>
                <w:b w:val="0"/>
                <w:webHidden/>
              </w:rPr>
              <w:fldChar w:fldCharType="separate"/>
            </w:r>
            <w:r w:rsidR="00307BE6">
              <w:rPr>
                <w:b w:val="0"/>
                <w:webHidden/>
              </w:rPr>
              <w:t>31</w:t>
            </w:r>
            <w:r w:rsidR="0043587E" w:rsidRPr="0043587E">
              <w:rPr>
                <w:b w:val="0"/>
                <w:webHidden/>
              </w:rPr>
              <w:fldChar w:fldCharType="end"/>
            </w:r>
          </w:hyperlink>
        </w:p>
        <w:p w14:paraId="7F247E2C" w14:textId="293CB0B3" w:rsidR="0043587E" w:rsidRPr="0043587E" w:rsidRDefault="00722C76">
          <w:pPr>
            <w:pStyle w:val="TDC2"/>
            <w:rPr>
              <w:rFonts w:asciiTheme="minorHAnsi" w:eastAsiaTheme="minorEastAsia" w:hAnsiTheme="minorHAnsi" w:cstheme="minorBidi"/>
              <w:bCs w:val="0"/>
              <w:szCs w:val="22"/>
              <w:lang w:val="es-ES"/>
            </w:rPr>
          </w:pPr>
          <w:hyperlink w:anchor="_Toc429563198" w:history="1">
            <w:r w:rsidR="0043587E" w:rsidRPr="0043587E">
              <w:rPr>
                <w:rStyle w:val="Hipervnculo"/>
              </w:rPr>
              <w:t xml:space="preserve">2.1 </w:t>
            </w:r>
            <w:r w:rsidR="0043587E" w:rsidRPr="0043587E">
              <w:rPr>
                <w:rFonts w:asciiTheme="minorHAnsi" w:eastAsiaTheme="minorEastAsia" w:hAnsiTheme="minorHAnsi" w:cstheme="minorBidi"/>
                <w:bCs w:val="0"/>
                <w:szCs w:val="22"/>
                <w:lang w:val="es-ES"/>
              </w:rPr>
              <w:tab/>
            </w:r>
            <w:r w:rsidR="0043587E" w:rsidRPr="0043587E">
              <w:rPr>
                <w:rStyle w:val="Hipervnculo"/>
              </w:rPr>
              <w:t>Presentación</w:t>
            </w:r>
            <w:r w:rsidR="0043587E" w:rsidRPr="0043587E">
              <w:rPr>
                <w:webHidden/>
              </w:rPr>
              <w:tab/>
            </w:r>
            <w:r w:rsidR="0043587E" w:rsidRPr="0043587E">
              <w:rPr>
                <w:webHidden/>
              </w:rPr>
              <w:fldChar w:fldCharType="begin"/>
            </w:r>
            <w:r w:rsidR="0043587E" w:rsidRPr="0043587E">
              <w:rPr>
                <w:webHidden/>
              </w:rPr>
              <w:instrText xml:space="preserve"> PAGEREF _Toc429563198 \h </w:instrText>
            </w:r>
            <w:r w:rsidR="0043587E" w:rsidRPr="0043587E">
              <w:rPr>
                <w:webHidden/>
              </w:rPr>
            </w:r>
            <w:r w:rsidR="0043587E" w:rsidRPr="0043587E">
              <w:rPr>
                <w:webHidden/>
              </w:rPr>
              <w:fldChar w:fldCharType="separate"/>
            </w:r>
            <w:r w:rsidR="00307BE6">
              <w:rPr>
                <w:webHidden/>
              </w:rPr>
              <w:t>31</w:t>
            </w:r>
            <w:r w:rsidR="0043587E" w:rsidRPr="0043587E">
              <w:rPr>
                <w:webHidden/>
              </w:rPr>
              <w:fldChar w:fldCharType="end"/>
            </w:r>
          </w:hyperlink>
        </w:p>
        <w:p w14:paraId="36095293" w14:textId="6CE8CBCA" w:rsidR="0043587E" w:rsidRPr="0043587E" w:rsidRDefault="00722C76">
          <w:pPr>
            <w:pStyle w:val="TDC2"/>
            <w:rPr>
              <w:rFonts w:asciiTheme="minorHAnsi" w:eastAsiaTheme="minorEastAsia" w:hAnsiTheme="minorHAnsi" w:cstheme="minorBidi"/>
              <w:bCs w:val="0"/>
              <w:szCs w:val="22"/>
              <w:lang w:val="es-ES"/>
            </w:rPr>
          </w:pPr>
          <w:hyperlink w:anchor="_Toc429563199" w:history="1">
            <w:r w:rsidR="0043587E" w:rsidRPr="0043587E">
              <w:rPr>
                <w:rStyle w:val="Hipervnculo"/>
              </w:rPr>
              <w:t>2.2</w:t>
            </w:r>
            <w:r w:rsidR="0043587E" w:rsidRPr="0043587E">
              <w:rPr>
                <w:rFonts w:asciiTheme="minorHAnsi" w:eastAsiaTheme="minorEastAsia" w:hAnsiTheme="minorHAnsi" w:cstheme="minorBidi"/>
                <w:bCs w:val="0"/>
                <w:szCs w:val="22"/>
                <w:lang w:val="es-ES"/>
              </w:rPr>
              <w:tab/>
            </w:r>
            <w:r w:rsidR="0043587E" w:rsidRPr="0043587E">
              <w:rPr>
                <w:rStyle w:val="Hipervnculo"/>
              </w:rPr>
              <w:t>Directrices para la Formulación del POI -Presupuesto</w:t>
            </w:r>
            <w:r w:rsidR="0043587E" w:rsidRPr="0043587E">
              <w:rPr>
                <w:webHidden/>
              </w:rPr>
              <w:tab/>
            </w:r>
            <w:r w:rsidR="0043587E" w:rsidRPr="0043587E">
              <w:rPr>
                <w:webHidden/>
              </w:rPr>
              <w:fldChar w:fldCharType="begin"/>
            </w:r>
            <w:r w:rsidR="0043587E" w:rsidRPr="0043587E">
              <w:rPr>
                <w:webHidden/>
              </w:rPr>
              <w:instrText xml:space="preserve"> PAGEREF _Toc429563199 \h </w:instrText>
            </w:r>
            <w:r w:rsidR="0043587E" w:rsidRPr="0043587E">
              <w:rPr>
                <w:webHidden/>
              </w:rPr>
            </w:r>
            <w:r w:rsidR="0043587E" w:rsidRPr="0043587E">
              <w:rPr>
                <w:webHidden/>
              </w:rPr>
              <w:fldChar w:fldCharType="separate"/>
            </w:r>
            <w:r w:rsidR="00307BE6">
              <w:rPr>
                <w:webHidden/>
              </w:rPr>
              <w:t>31</w:t>
            </w:r>
            <w:r w:rsidR="0043587E" w:rsidRPr="0043587E">
              <w:rPr>
                <w:webHidden/>
              </w:rPr>
              <w:fldChar w:fldCharType="end"/>
            </w:r>
          </w:hyperlink>
        </w:p>
        <w:p w14:paraId="1EB19D28" w14:textId="170208BA" w:rsidR="0043587E" w:rsidRPr="0043587E" w:rsidRDefault="00722C76">
          <w:pPr>
            <w:pStyle w:val="TDC2"/>
            <w:rPr>
              <w:rFonts w:asciiTheme="minorHAnsi" w:eastAsiaTheme="minorEastAsia" w:hAnsiTheme="minorHAnsi" w:cstheme="minorBidi"/>
              <w:bCs w:val="0"/>
              <w:szCs w:val="22"/>
              <w:lang w:val="es-ES"/>
            </w:rPr>
          </w:pPr>
          <w:hyperlink w:anchor="_Toc429563200" w:history="1">
            <w:r w:rsidR="0043587E" w:rsidRPr="0043587E">
              <w:rPr>
                <w:rStyle w:val="Hipervnculo"/>
              </w:rPr>
              <w:t>2.3</w:t>
            </w:r>
            <w:r w:rsidR="0043587E" w:rsidRPr="0043587E">
              <w:rPr>
                <w:rFonts w:asciiTheme="minorHAnsi" w:eastAsiaTheme="minorEastAsia" w:hAnsiTheme="minorHAnsi" w:cstheme="minorBidi"/>
                <w:bCs w:val="0"/>
                <w:szCs w:val="22"/>
                <w:lang w:val="es-ES"/>
              </w:rPr>
              <w:tab/>
            </w:r>
            <w:r w:rsidR="0043587E" w:rsidRPr="0043587E">
              <w:rPr>
                <w:rStyle w:val="Hipervnculo"/>
              </w:rPr>
              <w:t>Plan de Trabajo</w:t>
            </w:r>
            <w:r w:rsidR="0043587E" w:rsidRPr="0043587E">
              <w:rPr>
                <w:webHidden/>
              </w:rPr>
              <w:tab/>
            </w:r>
            <w:r w:rsidR="0043587E" w:rsidRPr="0043587E">
              <w:rPr>
                <w:webHidden/>
              </w:rPr>
              <w:fldChar w:fldCharType="begin"/>
            </w:r>
            <w:r w:rsidR="0043587E" w:rsidRPr="0043587E">
              <w:rPr>
                <w:webHidden/>
              </w:rPr>
              <w:instrText xml:space="preserve"> PAGEREF _Toc429563200 \h </w:instrText>
            </w:r>
            <w:r w:rsidR="0043587E" w:rsidRPr="0043587E">
              <w:rPr>
                <w:webHidden/>
              </w:rPr>
            </w:r>
            <w:r w:rsidR="0043587E" w:rsidRPr="0043587E">
              <w:rPr>
                <w:webHidden/>
              </w:rPr>
              <w:fldChar w:fldCharType="separate"/>
            </w:r>
            <w:r w:rsidR="00307BE6">
              <w:rPr>
                <w:webHidden/>
              </w:rPr>
              <w:t>31</w:t>
            </w:r>
            <w:r w:rsidR="0043587E" w:rsidRPr="0043587E">
              <w:rPr>
                <w:webHidden/>
              </w:rPr>
              <w:fldChar w:fldCharType="end"/>
            </w:r>
          </w:hyperlink>
        </w:p>
        <w:p w14:paraId="1EE6D383" w14:textId="0C8E64A7" w:rsidR="0043587E" w:rsidRPr="0043587E" w:rsidRDefault="00722C76" w:rsidP="00C03AF3">
          <w:pPr>
            <w:pStyle w:val="TDC3"/>
            <w:rPr>
              <w:noProof/>
            </w:rPr>
          </w:pPr>
          <w:hyperlink w:anchor="_Toc429563201" w:history="1">
            <w:r w:rsidR="0043587E" w:rsidRPr="0043587E">
              <w:rPr>
                <w:rStyle w:val="Hipervnculo"/>
                <w:rFonts w:asciiTheme="majorHAnsi" w:hAnsiTheme="majorHAnsi"/>
                <w:noProof/>
                <w:lang w:val="es-ES_tradnl"/>
              </w:rPr>
              <w:t>2.3.1.</w:t>
            </w:r>
            <w:r w:rsidR="0043587E" w:rsidRPr="0043587E">
              <w:rPr>
                <w:noProof/>
              </w:rPr>
              <w:tab/>
            </w:r>
            <w:r w:rsidR="0043587E" w:rsidRPr="0043587E">
              <w:rPr>
                <w:rStyle w:val="Hipervnculo"/>
                <w:rFonts w:asciiTheme="majorHAnsi" w:hAnsiTheme="majorHAnsi"/>
                <w:noProof/>
                <w:lang w:val="es-ES_tradnl"/>
              </w:rPr>
              <w:t>Objetivos y Metas de las Instancias  / Planificación Agregada.</w:t>
            </w:r>
            <w:r w:rsidR="0043587E" w:rsidRPr="0043587E">
              <w:rPr>
                <w:noProof/>
                <w:webHidden/>
              </w:rPr>
              <w:tab/>
            </w:r>
            <w:r w:rsidR="0043587E" w:rsidRPr="0043587E">
              <w:rPr>
                <w:noProof/>
                <w:webHidden/>
              </w:rPr>
              <w:fldChar w:fldCharType="begin"/>
            </w:r>
            <w:r w:rsidR="0043587E" w:rsidRPr="0043587E">
              <w:rPr>
                <w:noProof/>
                <w:webHidden/>
              </w:rPr>
              <w:instrText xml:space="preserve"> PAGEREF _Toc429563201 \h </w:instrText>
            </w:r>
            <w:r w:rsidR="0043587E" w:rsidRPr="0043587E">
              <w:rPr>
                <w:noProof/>
                <w:webHidden/>
              </w:rPr>
            </w:r>
            <w:r w:rsidR="0043587E" w:rsidRPr="0043587E">
              <w:rPr>
                <w:noProof/>
                <w:webHidden/>
              </w:rPr>
              <w:fldChar w:fldCharType="separate"/>
            </w:r>
            <w:r w:rsidR="00307BE6">
              <w:rPr>
                <w:noProof/>
                <w:webHidden/>
              </w:rPr>
              <w:t>31</w:t>
            </w:r>
            <w:r w:rsidR="0043587E" w:rsidRPr="0043587E">
              <w:rPr>
                <w:noProof/>
                <w:webHidden/>
              </w:rPr>
              <w:fldChar w:fldCharType="end"/>
            </w:r>
          </w:hyperlink>
        </w:p>
        <w:p w14:paraId="184D031D" w14:textId="726C2899" w:rsidR="0043587E" w:rsidRPr="0043587E" w:rsidRDefault="00722C76" w:rsidP="00C03AF3">
          <w:pPr>
            <w:pStyle w:val="TDC3"/>
            <w:rPr>
              <w:noProof/>
            </w:rPr>
          </w:pPr>
          <w:hyperlink w:anchor="_Toc429563202" w:history="1">
            <w:r w:rsidR="0043587E" w:rsidRPr="0043587E">
              <w:rPr>
                <w:rStyle w:val="Hipervnculo"/>
                <w:rFonts w:asciiTheme="majorHAnsi" w:hAnsiTheme="majorHAnsi"/>
                <w:noProof/>
                <w:lang w:val="es-ES_tradnl"/>
              </w:rPr>
              <w:t>2.3.2.</w:t>
            </w:r>
            <w:r w:rsidR="0043587E" w:rsidRPr="0043587E">
              <w:rPr>
                <w:noProof/>
              </w:rPr>
              <w:tab/>
            </w:r>
            <w:r w:rsidR="0043587E" w:rsidRPr="0043587E">
              <w:rPr>
                <w:rStyle w:val="Hipervnculo"/>
                <w:rFonts w:asciiTheme="majorHAnsi" w:hAnsiTheme="majorHAnsi"/>
                <w:noProof/>
                <w:lang w:val="es-ES_tradnl"/>
              </w:rPr>
              <w:t>Resumen de Metas Institucionales.</w:t>
            </w:r>
            <w:r w:rsidR="0043587E" w:rsidRPr="0043587E">
              <w:rPr>
                <w:noProof/>
                <w:webHidden/>
              </w:rPr>
              <w:tab/>
            </w:r>
            <w:r w:rsidR="0043587E" w:rsidRPr="0043587E">
              <w:rPr>
                <w:noProof/>
                <w:webHidden/>
              </w:rPr>
              <w:fldChar w:fldCharType="begin"/>
            </w:r>
            <w:r w:rsidR="0043587E" w:rsidRPr="0043587E">
              <w:rPr>
                <w:noProof/>
                <w:webHidden/>
              </w:rPr>
              <w:instrText xml:space="preserve"> PAGEREF _Toc429563202 \h </w:instrText>
            </w:r>
            <w:r w:rsidR="0043587E" w:rsidRPr="0043587E">
              <w:rPr>
                <w:noProof/>
                <w:webHidden/>
              </w:rPr>
            </w:r>
            <w:r w:rsidR="0043587E" w:rsidRPr="0043587E">
              <w:rPr>
                <w:noProof/>
                <w:webHidden/>
              </w:rPr>
              <w:fldChar w:fldCharType="separate"/>
            </w:r>
            <w:r w:rsidR="00307BE6">
              <w:rPr>
                <w:noProof/>
                <w:webHidden/>
              </w:rPr>
              <w:t>32</w:t>
            </w:r>
            <w:r w:rsidR="0043587E" w:rsidRPr="0043587E">
              <w:rPr>
                <w:noProof/>
                <w:webHidden/>
              </w:rPr>
              <w:fldChar w:fldCharType="end"/>
            </w:r>
          </w:hyperlink>
        </w:p>
        <w:p w14:paraId="5D7D1DB1" w14:textId="09A155E0" w:rsidR="0043587E" w:rsidRPr="0043587E" w:rsidRDefault="00722C76" w:rsidP="00C03AF3">
          <w:pPr>
            <w:pStyle w:val="TDC3"/>
            <w:rPr>
              <w:noProof/>
            </w:rPr>
          </w:pPr>
          <w:hyperlink w:anchor="_Toc429563203" w:history="1">
            <w:r w:rsidR="0043587E" w:rsidRPr="0043587E">
              <w:rPr>
                <w:rStyle w:val="Hipervnculo"/>
                <w:rFonts w:asciiTheme="majorHAnsi" w:hAnsiTheme="majorHAnsi"/>
                <w:noProof/>
                <w:lang w:val="es-ES_tradnl"/>
              </w:rPr>
              <w:t>2.3.3</w:t>
            </w:r>
            <w:r w:rsidR="0043587E" w:rsidRPr="0043587E">
              <w:rPr>
                <w:noProof/>
              </w:rPr>
              <w:tab/>
            </w:r>
            <w:r w:rsidR="0043587E" w:rsidRPr="0043587E">
              <w:rPr>
                <w:rStyle w:val="Hipervnculo"/>
                <w:rFonts w:asciiTheme="majorHAnsi" w:hAnsiTheme="majorHAnsi"/>
                <w:noProof/>
                <w:lang w:val="es-ES_tradnl"/>
              </w:rPr>
              <w:t>Indicadores de Gestión</w:t>
            </w:r>
            <w:r w:rsidR="0043587E" w:rsidRPr="0043587E">
              <w:rPr>
                <w:noProof/>
                <w:webHidden/>
              </w:rPr>
              <w:tab/>
            </w:r>
            <w:r w:rsidR="0043587E" w:rsidRPr="0043587E">
              <w:rPr>
                <w:noProof/>
                <w:webHidden/>
              </w:rPr>
              <w:fldChar w:fldCharType="begin"/>
            </w:r>
            <w:r w:rsidR="0043587E" w:rsidRPr="0043587E">
              <w:rPr>
                <w:noProof/>
                <w:webHidden/>
              </w:rPr>
              <w:instrText xml:space="preserve"> PAGEREF _Toc429563203 \h </w:instrText>
            </w:r>
            <w:r w:rsidR="0043587E" w:rsidRPr="0043587E">
              <w:rPr>
                <w:noProof/>
                <w:webHidden/>
              </w:rPr>
            </w:r>
            <w:r w:rsidR="0043587E" w:rsidRPr="0043587E">
              <w:rPr>
                <w:noProof/>
                <w:webHidden/>
              </w:rPr>
              <w:fldChar w:fldCharType="separate"/>
            </w:r>
            <w:r w:rsidR="00307BE6">
              <w:rPr>
                <w:noProof/>
                <w:webHidden/>
              </w:rPr>
              <w:t>33</w:t>
            </w:r>
            <w:r w:rsidR="0043587E" w:rsidRPr="0043587E">
              <w:rPr>
                <w:noProof/>
                <w:webHidden/>
              </w:rPr>
              <w:fldChar w:fldCharType="end"/>
            </w:r>
          </w:hyperlink>
        </w:p>
        <w:p w14:paraId="23E8E4F2" w14:textId="7EC25093" w:rsidR="0043587E" w:rsidRPr="0043587E" w:rsidRDefault="00722C76">
          <w:pPr>
            <w:pStyle w:val="TDC2"/>
            <w:rPr>
              <w:rFonts w:asciiTheme="minorHAnsi" w:eastAsiaTheme="minorEastAsia" w:hAnsiTheme="minorHAnsi" w:cstheme="minorBidi"/>
              <w:bCs w:val="0"/>
              <w:szCs w:val="22"/>
              <w:lang w:val="es-ES"/>
            </w:rPr>
          </w:pPr>
          <w:hyperlink w:anchor="_Toc429563204" w:history="1">
            <w:r w:rsidR="0043587E" w:rsidRPr="0043587E">
              <w:rPr>
                <w:rStyle w:val="Hipervnculo"/>
              </w:rPr>
              <w:t>2.4</w:t>
            </w:r>
            <w:r w:rsidR="0043587E" w:rsidRPr="0043587E">
              <w:rPr>
                <w:rFonts w:asciiTheme="minorHAnsi" w:eastAsiaTheme="minorEastAsia" w:hAnsiTheme="minorHAnsi" w:cstheme="minorBidi"/>
                <w:bCs w:val="0"/>
                <w:szCs w:val="22"/>
                <w:lang w:val="es-ES"/>
              </w:rPr>
              <w:tab/>
            </w:r>
            <w:r w:rsidR="0043587E" w:rsidRPr="0043587E">
              <w:rPr>
                <w:rStyle w:val="Hipervnculo"/>
              </w:rPr>
              <w:t>Presupuesto Expresión Financiera del Plan Operativo Institucional</w:t>
            </w:r>
            <w:r w:rsidR="0043587E" w:rsidRPr="0043587E">
              <w:rPr>
                <w:webHidden/>
              </w:rPr>
              <w:tab/>
            </w:r>
            <w:r w:rsidR="0043587E" w:rsidRPr="0043587E">
              <w:rPr>
                <w:webHidden/>
              </w:rPr>
              <w:fldChar w:fldCharType="begin"/>
            </w:r>
            <w:r w:rsidR="0043587E" w:rsidRPr="0043587E">
              <w:rPr>
                <w:webHidden/>
              </w:rPr>
              <w:instrText xml:space="preserve"> PAGEREF _Toc429563204 \h </w:instrText>
            </w:r>
            <w:r w:rsidR="0043587E" w:rsidRPr="0043587E">
              <w:rPr>
                <w:webHidden/>
              </w:rPr>
            </w:r>
            <w:r w:rsidR="0043587E" w:rsidRPr="0043587E">
              <w:rPr>
                <w:webHidden/>
              </w:rPr>
              <w:fldChar w:fldCharType="separate"/>
            </w:r>
            <w:r w:rsidR="00307BE6">
              <w:rPr>
                <w:webHidden/>
              </w:rPr>
              <w:t>38</w:t>
            </w:r>
            <w:r w:rsidR="0043587E" w:rsidRPr="0043587E">
              <w:rPr>
                <w:webHidden/>
              </w:rPr>
              <w:fldChar w:fldCharType="end"/>
            </w:r>
          </w:hyperlink>
        </w:p>
        <w:p w14:paraId="38A3E2FE" w14:textId="35B3A105" w:rsidR="0043587E" w:rsidRPr="0043587E" w:rsidRDefault="00722C76">
          <w:pPr>
            <w:pStyle w:val="TDC2"/>
            <w:rPr>
              <w:rFonts w:asciiTheme="minorHAnsi" w:eastAsiaTheme="minorEastAsia" w:hAnsiTheme="minorHAnsi" w:cstheme="minorBidi"/>
              <w:bCs w:val="0"/>
              <w:szCs w:val="22"/>
              <w:lang w:val="es-ES"/>
            </w:rPr>
          </w:pPr>
          <w:hyperlink w:anchor="_Toc429563205" w:history="1">
            <w:r w:rsidR="0043587E" w:rsidRPr="0043587E">
              <w:rPr>
                <w:rStyle w:val="Hipervnculo"/>
              </w:rPr>
              <w:t>2.5</w:t>
            </w:r>
            <w:r w:rsidR="0043587E" w:rsidRPr="0043587E">
              <w:rPr>
                <w:rFonts w:asciiTheme="minorHAnsi" w:eastAsiaTheme="minorEastAsia" w:hAnsiTheme="minorHAnsi" w:cstheme="minorBidi"/>
                <w:bCs w:val="0"/>
                <w:szCs w:val="22"/>
                <w:lang w:val="es-ES"/>
              </w:rPr>
              <w:tab/>
            </w:r>
            <w:r w:rsidR="0043587E" w:rsidRPr="0043587E">
              <w:rPr>
                <w:rStyle w:val="Hipervnculo"/>
              </w:rPr>
              <w:t>Plan de Inversiones y Justificación de Partidas.</w:t>
            </w:r>
            <w:r w:rsidR="0043587E" w:rsidRPr="0043587E">
              <w:rPr>
                <w:webHidden/>
              </w:rPr>
              <w:tab/>
            </w:r>
            <w:r w:rsidR="0043587E" w:rsidRPr="0043587E">
              <w:rPr>
                <w:webHidden/>
              </w:rPr>
              <w:fldChar w:fldCharType="begin"/>
            </w:r>
            <w:r w:rsidR="0043587E" w:rsidRPr="0043587E">
              <w:rPr>
                <w:webHidden/>
              </w:rPr>
              <w:instrText xml:space="preserve"> PAGEREF _Toc429563205 \h </w:instrText>
            </w:r>
            <w:r w:rsidR="0043587E" w:rsidRPr="0043587E">
              <w:rPr>
                <w:webHidden/>
              </w:rPr>
            </w:r>
            <w:r w:rsidR="0043587E" w:rsidRPr="0043587E">
              <w:rPr>
                <w:webHidden/>
              </w:rPr>
              <w:fldChar w:fldCharType="separate"/>
            </w:r>
            <w:r w:rsidR="00307BE6">
              <w:rPr>
                <w:webHidden/>
              </w:rPr>
              <w:t>40</w:t>
            </w:r>
            <w:r w:rsidR="0043587E" w:rsidRPr="0043587E">
              <w:rPr>
                <w:webHidden/>
              </w:rPr>
              <w:fldChar w:fldCharType="end"/>
            </w:r>
          </w:hyperlink>
        </w:p>
        <w:p w14:paraId="02480444" w14:textId="25692815" w:rsidR="0043587E" w:rsidRPr="0043587E" w:rsidRDefault="00722C76">
          <w:pPr>
            <w:pStyle w:val="TDC2"/>
            <w:rPr>
              <w:rFonts w:asciiTheme="minorHAnsi" w:eastAsiaTheme="minorEastAsia" w:hAnsiTheme="minorHAnsi" w:cstheme="minorBidi"/>
              <w:bCs w:val="0"/>
              <w:szCs w:val="22"/>
              <w:lang w:val="es-ES"/>
            </w:rPr>
          </w:pPr>
          <w:hyperlink w:anchor="_Toc429563206" w:history="1">
            <w:r w:rsidR="0043587E" w:rsidRPr="0043587E">
              <w:rPr>
                <w:rStyle w:val="Hipervnculo"/>
              </w:rPr>
              <w:t>2.6</w:t>
            </w:r>
            <w:r w:rsidR="0043587E" w:rsidRPr="0043587E">
              <w:rPr>
                <w:rFonts w:asciiTheme="minorHAnsi" w:eastAsiaTheme="minorEastAsia" w:hAnsiTheme="minorHAnsi" w:cstheme="minorBidi"/>
                <w:bCs w:val="0"/>
                <w:szCs w:val="22"/>
                <w:lang w:val="es-ES"/>
              </w:rPr>
              <w:tab/>
            </w:r>
            <w:r w:rsidR="0043587E" w:rsidRPr="0043587E">
              <w:rPr>
                <w:rStyle w:val="Hipervnculo"/>
              </w:rPr>
              <w:t>Plan de Capacitación Institucional.</w:t>
            </w:r>
            <w:r w:rsidR="0043587E" w:rsidRPr="0043587E">
              <w:rPr>
                <w:webHidden/>
              </w:rPr>
              <w:tab/>
            </w:r>
            <w:r w:rsidR="0043587E" w:rsidRPr="0043587E">
              <w:rPr>
                <w:webHidden/>
              </w:rPr>
              <w:fldChar w:fldCharType="begin"/>
            </w:r>
            <w:r w:rsidR="0043587E" w:rsidRPr="0043587E">
              <w:rPr>
                <w:webHidden/>
              </w:rPr>
              <w:instrText xml:space="preserve"> PAGEREF _Toc429563206 \h </w:instrText>
            </w:r>
            <w:r w:rsidR="0043587E" w:rsidRPr="0043587E">
              <w:rPr>
                <w:webHidden/>
              </w:rPr>
            </w:r>
            <w:r w:rsidR="0043587E" w:rsidRPr="0043587E">
              <w:rPr>
                <w:webHidden/>
              </w:rPr>
              <w:fldChar w:fldCharType="separate"/>
            </w:r>
            <w:r w:rsidR="00307BE6">
              <w:rPr>
                <w:webHidden/>
              </w:rPr>
              <w:t>41</w:t>
            </w:r>
            <w:r w:rsidR="0043587E" w:rsidRPr="0043587E">
              <w:rPr>
                <w:webHidden/>
              </w:rPr>
              <w:fldChar w:fldCharType="end"/>
            </w:r>
          </w:hyperlink>
        </w:p>
        <w:p w14:paraId="1FD85DF3" w14:textId="7D828B82" w:rsidR="0043587E" w:rsidRPr="0043587E" w:rsidRDefault="00722C76">
          <w:pPr>
            <w:pStyle w:val="TDC2"/>
            <w:rPr>
              <w:rFonts w:asciiTheme="minorHAnsi" w:eastAsiaTheme="minorEastAsia" w:hAnsiTheme="minorHAnsi" w:cstheme="minorBidi"/>
              <w:bCs w:val="0"/>
              <w:szCs w:val="22"/>
              <w:lang w:val="es-ES"/>
            </w:rPr>
          </w:pPr>
          <w:hyperlink w:anchor="_Toc429563207" w:history="1">
            <w:r w:rsidR="0043587E" w:rsidRPr="0043587E">
              <w:rPr>
                <w:rStyle w:val="Hipervnculo"/>
              </w:rPr>
              <w:t>2.7</w:t>
            </w:r>
            <w:r w:rsidR="0043587E" w:rsidRPr="0043587E">
              <w:rPr>
                <w:rFonts w:asciiTheme="minorHAnsi" w:eastAsiaTheme="minorEastAsia" w:hAnsiTheme="minorHAnsi" w:cstheme="minorBidi"/>
                <w:bCs w:val="0"/>
                <w:szCs w:val="22"/>
                <w:lang w:val="es-ES"/>
              </w:rPr>
              <w:tab/>
            </w:r>
            <w:r w:rsidR="0043587E" w:rsidRPr="0043587E">
              <w:rPr>
                <w:rStyle w:val="Hipervnculo"/>
              </w:rPr>
              <w:t>Plan Estratégico Informático con junto con la BCCR.</w:t>
            </w:r>
            <w:r w:rsidR="0043587E" w:rsidRPr="0043587E">
              <w:rPr>
                <w:webHidden/>
              </w:rPr>
              <w:tab/>
            </w:r>
            <w:r w:rsidR="0043587E" w:rsidRPr="0043587E">
              <w:rPr>
                <w:webHidden/>
              </w:rPr>
              <w:fldChar w:fldCharType="begin"/>
            </w:r>
            <w:r w:rsidR="0043587E" w:rsidRPr="0043587E">
              <w:rPr>
                <w:webHidden/>
              </w:rPr>
              <w:instrText xml:space="preserve"> PAGEREF _Toc429563207 \h </w:instrText>
            </w:r>
            <w:r w:rsidR="0043587E" w:rsidRPr="0043587E">
              <w:rPr>
                <w:webHidden/>
              </w:rPr>
            </w:r>
            <w:r w:rsidR="0043587E" w:rsidRPr="0043587E">
              <w:rPr>
                <w:webHidden/>
              </w:rPr>
              <w:fldChar w:fldCharType="separate"/>
            </w:r>
            <w:r w:rsidR="00307BE6">
              <w:rPr>
                <w:webHidden/>
              </w:rPr>
              <w:t>41</w:t>
            </w:r>
            <w:r w:rsidR="0043587E" w:rsidRPr="0043587E">
              <w:rPr>
                <w:webHidden/>
              </w:rPr>
              <w:fldChar w:fldCharType="end"/>
            </w:r>
          </w:hyperlink>
        </w:p>
        <w:p w14:paraId="4A99046D" w14:textId="518E5D63" w:rsidR="0043587E" w:rsidRPr="0043587E" w:rsidRDefault="00722C76">
          <w:pPr>
            <w:pStyle w:val="TDC2"/>
            <w:rPr>
              <w:rFonts w:asciiTheme="minorHAnsi" w:eastAsiaTheme="minorEastAsia" w:hAnsiTheme="minorHAnsi" w:cstheme="minorBidi"/>
              <w:bCs w:val="0"/>
              <w:szCs w:val="22"/>
              <w:lang w:val="es-ES"/>
            </w:rPr>
          </w:pPr>
          <w:hyperlink w:anchor="_Toc429563208" w:history="1">
            <w:r w:rsidR="0043587E" w:rsidRPr="0043587E">
              <w:rPr>
                <w:rStyle w:val="Hipervnculo"/>
              </w:rPr>
              <w:t>2.8</w:t>
            </w:r>
            <w:r w:rsidR="0043587E" w:rsidRPr="0043587E">
              <w:rPr>
                <w:rFonts w:asciiTheme="minorHAnsi" w:eastAsiaTheme="minorEastAsia" w:hAnsiTheme="minorHAnsi" w:cstheme="minorBidi"/>
                <w:bCs w:val="0"/>
                <w:szCs w:val="22"/>
                <w:lang w:val="es-ES"/>
              </w:rPr>
              <w:tab/>
            </w:r>
            <w:r w:rsidR="0043587E" w:rsidRPr="0043587E">
              <w:rPr>
                <w:rStyle w:val="Hipervnculo"/>
              </w:rPr>
              <w:t>Estructura de Puestos</w:t>
            </w:r>
            <w:r w:rsidR="0043587E" w:rsidRPr="0043587E">
              <w:rPr>
                <w:webHidden/>
              </w:rPr>
              <w:tab/>
            </w:r>
            <w:r w:rsidR="0043587E" w:rsidRPr="0043587E">
              <w:rPr>
                <w:webHidden/>
              </w:rPr>
              <w:fldChar w:fldCharType="begin"/>
            </w:r>
            <w:r w:rsidR="0043587E" w:rsidRPr="0043587E">
              <w:rPr>
                <w:webHidden/>
              </w:rPr>
              <w:instrText xml:space="preserve"> PAGEREF _Toc429563208 \h </w:instrText>
            </w:r>
            <w:r w:rsidR="0043587E" w:rsidRPr="0043587E">
              <w:rPr>
                <w:webHidden/>
              </w:rPr>
            </w:r>
            <w:r w:rsidR="0043587E" w:rsidRPr="0043587E">
              <w:rPr>
                <w:webHidden/>
              </w:rPr>
              <w:fldChar w:fldCharType="separate"/>
            </w:r>
            <w:r w:rsidR="00307BE6">
              <w:rPr>
                <w:webHidden/>
              </w:rPr>
              <w:t>41</w:t>
            </w:r>
            <w:r w:rsidR="0043587E" w:rsidRPr="0043587E">
              <w:rPr>
                <w:webHidden/>
              </w:rPr>
              <w:fldChar w:fldCharType="end"/>
            </w:r>
          </w:hyperlink>
        </w:p>
        <w:p w14:paraId="6B4BAF93" w14:textId="0FFF4E0F" w:rsidR="0043587E" w:rsidRPr="0043587E" w:rsidRDefault="00722C76">
          <w:pPr>
            <w:pStyle w:val="TDC2"/>
            <w:rPr>
              <w:rFonts w:asciiTheme="minorHAnsi" w:eastAsiaTheme="minorEastAsia" w:hAnsiTheme="minorHAnsi" w:cstheme="minorBidi"/>
              <w:bCs w:val="0"/>
              <w:szCs w:val="22"/>
              <w:lang w:val="es-ES"/>
            </w:rPr>
          </w:pPr>
          <w:hyperlink w:anchor="_Toc429563209" w:history="1">
            <w:r w:rsidR="0043587E" w:rsidRPr="0043587E">
              <w:rPr>
                <w:rStyle w:val="Hipervnculo"/>
              </w:rPr>
              <w:t>2.9</w:t>
            </w:r>
            <w:r w:rsidR="0043587E" w:rsidRPr="0043587E">
              <w:rPr>
                <w:rFonts w:asciiTheme="minorHAnsi" w:eastAsiaTheme="minorEastAsia" w:hAnsiTheme="minorHAnsi" w:cstheme="minorBidi"/>
                <w:bCs w:val="0"/>
                <w:szCs w:val="22"/>
                <w:lang w:val="es-ES"/>
              </w:rPr>
              <w:tab/>
            </w:r>
            <w:r w:rsidR="0043587E" w:rsidRPr="0043587E">
              <w:rPr>
                <w:rStyle w:val="Hipervnculo"/>
              </w:rPr>
              <w:t>Justificación pago de cuotas de afiliación a organismos internacionales.</w:t>
            </w:r>
            <w:r w:rsidR="0043587E" w:rsidRPr="0043587E">
              <w:rPr>
                <w:webHidden/>
              </w:rPr>
              <w:tab/>
            </w:r>
            <w:r w:rsidR="0043587E" w:rsidRPr="0043587E">
              <w:rPr>
                <w:webHidden/>
              </w:rPr>
              <w:fldChar w:fldCharType="begin"/>
            </w:r>
            <w:r w:rsidR="0043587E" w:rsidRPr="0043587E">
              <w:rPr>
                <w:webHidden/>
              </w:rPr>
              <w:instrText xml:space="preserve"> PAGEREF _Toc429563209 \h </w:instrText>
            </w:r>
            <w:r w:rsidR="0043587E" w:rsidRPr="0043587E">
              <w:rPr>
                <w:webHidden/>
              </w:rPr>
            </w:r>
            <w:r w:rsidR="0043587E" w:rsidRPr="0043587E">
              <w:rPr>
                <w:webHidden/>
              </w:rPr>
              <w:fldChar w:fldCharType="separate"/>
            </w:r>
            <w:r w:rsidR="00307BE6">
              <w:rPr>
                <w:webHidden/>
              </w:rPr>
              <w:t>44</w:t>
            </w:r>
            <w:r w:rsidR="0043587E" w:rsidRPr="0043587E">
              <w:rPr>
                <w:webHidden/>
              </w:rPr>
              <w:fldChar w:fldCharType="end"/>
            </w:r>
          </w:hyperlink>
        </w:p>
        <w:p w14:paraId="519B7C68" w14:textId="028BC21B" w:rsidR="0043587E" w:rsidRPr="0043587E" w:rsidRDefault="00722C76" w:rsidP="0043587E">
          <w:pPr>
            <w:pStyle w:val="TDC1"/>
            <w:rPr>
              <w:b w:val="0"/>
            </w:rPr>
          </w:pPr>
          <w:hyperlink w:anchor="_Toc429563210" w:history="1">
            <w:r w:rsidR="0043587E" w:rsidRPr="0043587E">
              <w:rPr>
                <w:rStyle w:val="Hipervnculo"/>
                <w:b w:val="0"/>
              </w:rPr>
              <w:t xml:space="preserve">3. </w:t>
            </w:r>
            <w:r w:rsidR="0043587E" w:rsidRPr="0043587E">
              <w:rPr>
                <w:b w:val="0"/>
              </w:rPr>
              <w:tab/>
            </w:r>
            <w:r w:rsidR="0043587E" w:rsidRPr="0043587E">
              <w:rPr>
                <w:rStyle w:val="Hipervnculo"/>
                <w:b w:val="0"/>
              </w:rPr>
              <w:t>Planes Operativos Institucionales</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_Toc429563210 \h </w:instrText>
            </w:r>
            <w:r w:rsidR="0043587E" w:rsidRPr="0043587E">
              <w:rPr>
                <w:b w:val="0"/>
                <w:webHidden/>
              </w:rPr>
            </w:r>
            <w:r w:rsidR="0043587E" w:rsidRPr="0043587E">
              <w:rPr>
                <w:b w:val="0"/>
                <w:webHidden/>
              </w:rPr>
              <w:fldChar w:fldCharType="separate"/>
            </w:r>
            <w:r w:rsidR="00307BE6">
              <w:rPr>
                <w:b w:val="0"/>
                <w:webHidden/>
              </w:rPr>
              <w:t>48</w:t>
            </w:r>
            <w:r w:rsidR="0043587E" w:rsidRPr="0043587E">
              <w:rPr>
                <w:b w:val="0"/>
                <w:webHidden/>
              </w:rPr>
              <w:fldChar w:fldCharType="end"/>
            </w:r>
          </w:hyperlink>
        </w:p>
        <w:p w14:paraId="55009219" w14:textId="35E980DA" w:rsidR="0043587E" w:rsidRPr="0043587E" w:rsidRDefault="00722C76" w:rsidP="0043587E">
          <w:pPr>
            <w:pStyle w:val="TDC1"/>
            <w:rPr>
              <w:b w:val="0"/>
            </w:rPr>
          </w:pPr>
          <w:hyperlink w:anchor="_Toc429563211" w:history="1">
            <w:r w:rsidR="0043587E" w:rsidRPr="0043587E">
              <w:rPr>
                <w:rStyle w:val="Hipervnculo"/>
                <w:b w:val="0"/>
              </w:rPr>
              <w:t xml:space="preserve">4. </w:t>
            </w:r>
            <w:r w:rsidR="0043587E" w:rsidRPr="0043587E">
              <w:rPr>
                <w:b w:val="0"/>
              </w:rPr>
              <w:tab/>
            </w:r>
            <w:r w:rsidR="0043587E" w:rsidRPr="0043587E">
              <w:rPr>
                <w:rStyle w:val="Hipervnculo"/>
                <w:b w:val="0"/>
              </w:rPr>
              <w:t>Cuadros de Presupuesto</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_Toc429563211 \h </w:instrText>
            </w:r>
            <w:r w:rsidR="0043587E" w:rsidRPr="0043587E">
              <w:rPr>
                <w:b w:val="0"/>
                <w:webHidden/>
              </w:rPr>
            </w:r>
            <w:r w:rsidR="0043587E" w:rsidRPr="0043587E">
              <w:rPr>
                <w:b w:val="0"/>
                <w:webHidden/>
              </w:rPr>
              <w:fldChar w:fldCharType="separate"/>
            </w:r>
            <w:r w:rsidR="00307BE6">
              <w:rPr>
                <w:b w:val="0"/>
                <w:webHidden/>
              </w:rPr>
              <w:t>63</w:t>
            </w:r>
            <w:r w:rsidR="0043587E" w:rsidRPr="0043587E">
              <w:rPr>
                <w:b w:val="0"/>
                <w:webHidden/>
              </w:rPr>
              <w:fldChar w:fldCharType="end"/>
            </w:r>
          </w:hyperlink>
        </w:p>
        <w:p w14:paraId="11F1ADA4" w14:textId="37E9F069" w:rsidR="0043587E" w:rsidRPr="0043587E" w:rsidRDefault="00722C76" w:rsidP="0043587E">
          <w:pPr>
            <w:pStyle w:val="TDC1"/>
            <w:rPr>
              <w:b w:val="0"/>
            </w:rPr>
          </w:pPr>
          <w:hyperlink w:anchor="_Toc429563212" w:history="1">
            <w:r w:rsidR="0043587E" w:rsidRPr="0043587E">
              <w:rPr>
                <w:rStyle w:val="Hipervnculo"/>
                <w:b w:val="0"/>
              </w:rPr>
              <w:t xml:space="preserve">5. </w:t>
            </w:r>
            <w:r w:rsidR="0043587E" w:rsidRPr="0043587E">
              <w:rPr>
                <w:b w:val="0"/>
              </w:rPr>
              <w:tab/>
            </w:r>
            <w:r w:rsidR="0043587E" w:rsidRPr="0043587E">
              <w:rPr>
                <w:rStyle w:val="Hipervnculo"/>
                <w:b w:val="0"/>
              </w:rPr>
              <w:t>Plan Estratégico 2016- 2020</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_Toc429563212 \h </w:instrText>
            </w:r>
            <w:r w:rsidR="0043587E" w:rsidRPr="0043587E">
              <w:rPr>
                <w:b w:val="0"/>
                <w:webHidden/>
              </w:rPr>
            </w:r>
            <w:r w:rsidR="0043587E" w:rsidRPr="0043587E">
              <w:rPr>
                <w:b w:val="0"/>
                <w:webHidden/>
              </w:rPr>
              <w:fldChar w:fldCharType="separate"/>
            </w:r>
            <w:r w:rsidR="00307BE6">
              <w:rPr>
                <w:b w:val="0"/>
                <w:webHidden/>
              </w:rPr>
              <w:t>82</w:t>
            </w:r>
            <w:r w:rsidR="0043587E" w:rsidRPr="0043587E">
              <w:rPr>
                <w:b w:val="0"/>
                <w:webHidden/>
              </w:rPr>
              <w:fldChar w:fldCharType="end"/>
            </w:r>
          </w:hyperlink>
        </w:p>
        <w:p w14:paraId="268D9E52" w14:textId="08FC4CEC" w:rsidR="0043587E" w:rsidRPr="0043587E" w:rsidRDefault="00722C76" w:rsidP="0043587E">
          <w:pPr>
            <w:pStyle w:val="TDC1"/>
            <w:rPr>
              <w:b w:val="0"/>
            </w:rPr>
          </w:pPr>
          <w:hyperlink w:anchor="_Toc429563241" w:history="1">
            <w:r w:rsidR="0043587E" w:rsidRPr="0043587E">
              <w:rPr>
                <w:rStyle w:val="Hipervnculo"/>
                <w:b w:val="0"/>
              </w:rPr>
              <w:t xml:space="preserve">6. </w:t>
            </w:r>
            <w:r w:rsidR="0043587E" w:rsidRPr="0043587E">
              <w:rPr>
                <w:b w:val="0"/>
              </w:rPr>
              <w:tab/>
            </w:r>
            <w:r w:rsidR="0043587E" w:rsidRPr="0043587E">
              <w:rPr>
                <w:rStyle w:val="Hipervnculo"/>
                <w:b w:val="0"/>
              </w:rPr>
              <w:t>Plan Estratégico Informático</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_Toc429563241 \h </w:instrText>
            </w:r>
            <w:r w:rsidR="0043587E" w:rsidRPr="0043587E">
              <w:rPr>
                <w:b w:val="0"/>
                <w:webHidden/>
              </w:rPr>
            </w:r>
            <w:r w:rsidR="0043587E" w:rsidRPr="0043587E">
              <w:rPr>
                <w:b w:val="0"/>
                <w:webHidden/>
              </w:rPr>
              <w:fldChar w:fldCharType="separate"/>
            </w:r>
            <w:r w:rsidR="00307BE6">
              <w:rPr>
                <w:b w:val="0"/>
                <w:webHidden/>
              </w:rPr>
              <w:t>96</w:t>
            </w:r>
            <w:r w:rsidR="0043587E" w:rsidRPr="0043587E">
              <w:rPr>
                <w:b w:val="0"/>
                <w:webHidden/>
              </w:rPr>
              <w:fldChar w:fldCharType="end"/>
            </w:r>
          </w:hyperlink>
        </w:p>
        <w:p w14:paraId="111C3EA3" w14:textId="598A5B29" w:rsidR="0043587E" w:rsidRPr="0043587E" w:rsidRDefault="00722C76" w:rsidP="0043587E">
          <w:pPr>
            <w:pStyle w:val="TDC1"/>
            <w:rPr>
              <w:b w:val="0"/>
            </w:rPr>
          </w:pPr>
          <w:hyperlink w:anchor="_Toc429563283" w:history="1">
            <w:r w:rsidR="0043587E" w:rsidRPr="0043587E">
              <w:rPr>
                <w:rStyle w:val="Hipervnculo"/>
                <w:b w:val="0"/>
              </w:rPr>
              <w:t xml:space="preserve">7. </w:t>
            </w:r>
            <w:r w:rsidR="0043587E" w:rsidRPr="0043587E">
              <w:rPr>
                <w:b w:val="0"/>
              </w:rPr>
              <w:tab/>
            </w:r>
            <w:r w:rsidR="0043587E" w:rsidRPr="0043587E">
              <w:rPr>
                <w:rStyle w:val="Hipervnculo"/>
                <w:b w:val="0"/>
              </w:rPr>
              <w:t>Plan de capacitación Institucional</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_Toc429563283 \h </w:instrText>
            </w:r>
            <w:r w:rsidR="0043587E" w:rsidRPr="0043587E">
              <w:rPr>
                <w:b w:val="0"/>
                <w:webHidden/>
              </w:rPr>
            </w:r>
            <w:r w:rsidR="0043587E" w:rsidRPr="0043587E">
              <w:rPr>
                <w:b w:val="0"/>
                <w:webHidden/>
              </w:rPr>
              <w:fldChar w:fldCharType="separate"/>
            </w:r>
            <w:r w:rsidR="00307BE6">
              <w:rPr>
                <w:b w:val="0"/>
                <w:webHidden/>
              </w:rPr>
              <w:t>142</w:t>
            </w:r>
            <w:r w:rsidR="0043587E" w:rsidRPr="0043587E">
              <w:rPr>
                <w:b w:val="0"/>
                <w:webHidden/>
              </w:rPr>
              <w:fldChar w:fldCharType="end"/>
            </w:r>
          </w:hyperlink>
        </w:p>
        <w:p w14:paraId="48A9B4BE" w14:textId="476C80E4" w:rsidR="0043587E" w:rsidRPr="0043587E" w:rsidRDefault="00722C76" w:rsidP="0043587E">
          <w:pPr>
            <w:pStyle w:val="TDC1"/>
            <w:rPr>
              <w:b w:val="0"/>
            </w:rPr>
          </w:pPr>
          <w:hyperlink w:anchor="_Toc429563289" w:history="1">
            <w:r w:rsidR="0043587E" w:rsidRPr="0043587E">
              <w:rPr>
                <w:rStyle w:val="Hipervnculo"/>
                <w:b w:val="0"/>
              </w:rPr>
              <w:t xml:space="preserve">8. </w:t>
            </w:r>
            <w:r w:rsidR="0043587E" w:rsidRPr="0043587E">
              <w:rPr>
                <w:b w:val="0"/>
              </w:rPr>
              <w:tab/>
            </w:r>
            <w:r w:rsidR="0043587E" w:rsidRPr="0043587E">
              <w:rPr>
                <w:rStyle w:val="Hipervnculo"/>
                <w:b w:val="0"/>
              </w:rPr>
              <w:t>Certificación de estar al día en el pago de las cuotas CCSS</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_Toc429563289 \h </w:instrText>
            </w:r>
            <w:r w:rsidR="0043587E" w:rsidRPr="0043587E">
              <w:rPr>
                <w:b w:val="0"/>
                <w:webHidden/>
              </w:rPr>
            </w:r>
            <w:r w:rsidR="0043587E" w:rsidRPr="0043587E">
              <w:rPr>
                <w:b w:val="0"/>
                <w:webHidden/>
              </w:rPr>
              <w:fldChar w:fldCharType="separate"/>
            </w:r>
            <w:r w:rsidR="00307BE6">
              <w:rPr>
                <w:b w:val="0"/>
                <w:webHidden/>
              </w:rPr>
              <w:t>152</w:t>
            </w:r>
            <w:r w:rsidR="0043587E" w:rsidRPr="0043587E">
              <w:rPr>
                <w:b w:val="0"/>
                <w:webHidden/>
              </w:rPr>
              <w:fldChar w:fldCharType="end"/>
            </w:r>
          </w:hyperlink>
        </w:p>
        <w:p w14:paraId="3187C6F9" w14:textId="1105B620" w:rsidR="0043587E" w:rsidRPr="0043587E" w:rsidRDefault="00722C76" w:rsidP="0043587E">
          <w:pPr>
            <w:pStyle w:val="TDC1"/>
            <w:rPr>
              <w:b w:val="0"/>
            </w:rPr>
          </w:pPr>
          <w:hyperlink w:anchor="_Toc429563290" w:history="1">
            <w:r w:rsidR="0043587E" w:rsidRPr="0043587E">
              <w:rPr>
                <w:rStyle w:val="Hipervnculo"/>
                <w:b w:val="0"/>
              </w:rPr>
              <w:t xml:space="preserve">9. </w:t>
            </w:r>
            <w:r w:rsidR="0043587E" w:rsidRPr="0043587E">
              <w:rPr>
                <w:b w:val="0"/>
              </w:rPr>
              <w:tab/>
            </w:r>
            <w:r w:rsidR="0043587E" w:rsidRPr="0043587E">
              <w:rPr>
                <w:rStyle w:val="Hipervnculo"/>
                <w:b w:val="0"/>
              </w:rPr>
              <w:t>Directrices para la Formul</w:t>
            </w:r>
            <w:r w:rsidR="00A47ACA">
              <w:rPr>
                <w:rStyle w:val="Hipervnculo"/>
                <w:b w:val="0"/>
              </w:rPr>
              <w:t>ación del POI – Presupuesto 2017</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_Toc429563290 \h </w:instrText>
            </w:r>
            <w:r w:rsidR="0043587E" w:rsidRPr="0043587E">
              <w:rPr>
                <w:b w:val="0"/>
                <w:webHidden/>
              </w:rPr>
            </w:r>
            <w:r w:rsidR="0043587E" w:rsidRPr="0043587E">
              <w:rPr>
                <w:b w:val="0"/>
                <w:webHidden/>
              </w:rPr>
              <w:fldChar w:fldCharType="separate"/>
            </w:r>
            <w:r w:rsidR="00307BE6">
              <w:rPr>
                <w:b w:val="0"/>
                <w:webHidden/>
              </w:rPr>
              <w:t>153</w:t>
            </w:r>
            <w:r w:rsidR="0043587E" w:rsidRPr="0043587E">
              <w:rPr>
                <w:b w:val="0"/>
                <w:webHidden/>
              </w:rPr>
              <w:fldChar w:fldCharType="end"/>
            </w:r>
          </w:hyperlink>
        </w:p>
        <w:p w14:paraId="40E91227" w14:textId="561BBB2B" w:rsidR="0043587E" w:rsidRPr="0043587E" w:rsidRDefault="00722C76" w:rsidP="0043587E">
          <w:pPr>
            <w:pStyle w:val="TDC1"/>
            <w:rPr>
              <w:b w:val="0"/>
            </w:rPr>
          </w:pPr>
          <w:hyperlink w:anchor="_Toc429563291" w:history="1">
            <w:r w:rsidR="0043587E" w:rsidRPr="0043587E">
              <w:rPr>
                <w:rStyle w:val="Hipervnculo"/>
                <w:b w:val="0"/>
              </w:rPr>
              <w:t xml:space="preserve">10. </w:t>
            </w:r>
            <w:r w:rsidR="0043587E" w:rsidRPr="0043587E">
              <w:rPr>
                <w:b w:val="0"/>
              </w:rPr>
              <w:tab/>
            </w:r>
            <w:r w:rsidR="0043587E" w:rsidRPr="0043587E">
              <w:rPr>
                <w:rStyle w:val="Hipervnculo"/>
                <w:b w:val="0"/>
              </w:rPr>
              <w:t>Certificación CGR</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_Toc429563291 \h </w:instrText>
            </w:r>
            <w:r w:rsidR="0043587E" w:rsidRPr="0043587E">
              <w:rPr>
                <w:b w:val="0"/>
                <w:webHidden/>
              </w:rPr>
            </w:r>
            <w:r w:rsidR="0043587E" w:rsidRPr="0043587E">
              <w:rPr>
                <w:b w:val="0"/>
                <w:webHidden/>
              </w:rPr>
              <w:fldChar w:fldCharType="separate"/>
            </w:r>
            <w:r w:rsidR="00307BE6">
              <w:rPr>
                <w:b w:val="0"/>
                <w:webHidden/>
              </w:rPr>
              <w:t>161</w:t>
            </w:r>
            <w:r w:rsidR="0043587E" w:rsidRPr="0043587E">
              <w:rPr>
                <w:b w:val="0"/>
                <w:webHidden/>
              </w:rPr>
              <w:fldChar w:fldCharType="end"/>
            </w:r>
          </w:hyperlink>
        </w:p>
        <w:p w14:paraId="486A37E3" w14:textId="0EEFDADA" w:rsidR="0043587E" w:rsidRPr="0043587E" w:rsidRDefault="00722C76" w:rsidP="0043587E">
          <w:pPr>
            <w:pStyle w:val="TDC1"/>
            <w:rPr>
              <w:b w:val="0"/>
            </w:rPr>
          </w:pPr>
          <w:hyperlink w:anchor="_Toc429563292" w:history="1">
            <w:r w:rsidR="0043587E" w:rsidRPr="0043587E">
              <w:rPr>
                <w:rStyle w:val="Hipervnculo"/>
                <w:b w:val="0"/>
              </w:rPr>
              <w:t xml:space="preserve">11. </w:t>
            </w:r>
            <w:r w:rsidR="0043587E" w:rsidRPr="0043587E">
              <w:rPr>
                <w:b w:val="0"/>
              </w:rPr>
              <w:tab/>
            </w:r>
            <w:r w:rsidR="0043587E" w:rsidRPr="0043587E">
              <w:rPr>
                <w:rStyle w:val="Hipervnculo"/>
                <w:b w:val="0"/>
              </w:rPr>
              <w:t>Certificación de requisitos de Presupuesto 201</w:t>
            </w:r>
            <w:r w:rsidR="00A47ACA">
              <w:rPr>
                <w:rStyle w:val="Hipervnculo"/>
                <w:b w:val="0"/>
              </w:rPr>
              <w:t>7</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_Toc429563292 \h </w:instrText>
            </w:r>
            <w:r w:rsidR="0043587E" w:rsidRPr="0043587E">
              <w:rPr>
                <w:b w:val="0"/>
                <w:webHidden/>
              </w:rPr>
            </w:r>
            <w:r w:rsidR="0043587E" w:rsidRPr="0043587E">
              <w:rPr>
                <w:b w:val="0"/>
                <w:webHidden/>
              </w:rPr>
              <w:fldChar w:fldCharType="separate"/>
            </w:r>
            <w:r w:rsidR="00307BE6">
              <w:rPr>
                <w:b w:val="0"/>
                <w:webHidden/>
              </w:rPr>
              <w:t>162</w:t>
            </w:r>
            <w:r w:rsidR="0043587E" w:rsidRPr="0043587E">
              <w:rPr>
                <w:b w:val="0"/>
                <w:webHidden/>
              </w:rPr>
              <w:fldChar w:fldCharType="end"/>
            </w:r>
          </w:hyperlink>
        </w:p>
        <w:p w14:paraId="2DEED183" w14:textId="66CE82C9" w:rsidR="0043587E" w:rsidRPr="0043587E" w:rsidRDefault="00722C76" w:rsidP="0043587E">
          <w:pPr>
            <w:pStyle w:val="TDC1"/>
            <w:rPr>
              <w:b w:val="0"/>
            </w:rPr>
          </w:pPr>
          <w:hyperlink w:anchor="_Toc429563293" w:history="1">
            <w:r w:rsidR="0043587E" w:rsidRPr="0043587E">
              <w:rPr>
                <w:rStyle w:val="Hipervnculo"/>
                <w:b w:val="0"/>
              </w:rPr>
              <w:t xml:space="preserve">14. </w:t>
            </w:r>
            <w:r w:rsidR="0043587E" w:rsidRPr="0043587E">
              <w:rPr>
                <w:b w:val="0"/>
              </w:rPr>
              <w:tab/>
            </w:r>
            <w:r w:rsidR="0043587E" w:rsidRPr="0043587E">
              <w:rPr>
                <w:rStyle w:val="Hipervnculo"/>
                <w:b w:val="0"/>
              </w:rPr>
              <w:t>Informe Técnico del Proceso</w:t>
            </w:r>
            <w:r w:rsidR="00A47ACA">
              <w:rPr>
                <w:rStyle w:val="Hipervnculo"/>
                <w:b w:val="0"/>
              </w:rPr>
              <w:t xml:space="preserve"> de Formulación de Salarios 2017</w:t>
            </w:r>
            <w:r w:rsidR="0043587E" w:rsidRPr="0043587E">
              <w:rPr>
                <w:rStyle w:val="Hipervnculo"/>
                <w:b w:val="0"/>
              </w:rPr>
              <w:t xml:space="preserve"> de BCCR y ODM</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_Toc429563293 \h </w:instrText>
            </w:r>
            <w:r w:rsidR="0043587E" w:rsidRPr="0043587E">
              <w:rPr>
                <w:b w:val="0"/>
                <w:webHidden/>
              </w:rPr>
            </w:r>
            <w:r w:rsidR="0043587E" w:rsidRPr="0043587E">
              <w:rPr>
                <w:b w:val="0"/>
                <w:webHidden/>
              </w:rPr>
              <w:fldChar w:fldCharType="separate"/>
            </w:r>
            <w:r w:rsidR="00307BE6">
              <w:rPr>
                <w:b w:val="0"/>
                <w:webHidden/>
              </w:rPr>
              <w:t>166</w:t>
            </w:r>
            <w:r w:rsidR="0043587E" w:rsidRPr="0043587E">
              <w:rPr>
                <w:b w:val="0"/>
                <w:webHidden/>
              </w:rPr>
              <w:fldChar w:fldCharType="end"/>
            </w:r>
          </w:hyperlink>
        </w:p>
        <w:p w14:paraId="3DE86475" w14:textId="733EF0DD" w:rsidR="0043587E" w:rsidRPr="0043587E" w:rsidRDefault="00722C76" w:rsidP="0043587E">
          <w:pPr>
            <w:pStyle w:val="TDC1"/>
            <w:rPr>
              <w:b w:val="0"/>
            </w:rPr>
          </w:pPr>
          <w:hyperlink w:anchor="_Toc429563294" w:history="1">
            <w:r w:rsidR="0043587E" w:rsidRPr="0043587E">
              <w:rPr>
                <w:rStyle w:val="Hipervnculo"/>
                <w:b w:val="0"/>
              </w:rPr>
              <w:t xml:space="preserve">15. </w:t>
            </w:r>
            <w:r w:rsidR="0043587E" w:rsidRPr="0043587E">
              <w:rPr>
                <w:b w:val="0"/>
              </w:rPr>
              <w:tab/>
            </w:r>
            <w:r w:rsidR="0043587E" w:rsidRPr="0043587E">
              <w:rPr>
                <w:rStyle w:val="Hipervnculo"/>
                <w:b w:val="0"/>
              </w:rPr>
              <w:t>Notas de Aprobación</w:t>
            </w:r>
            <w:r w:rsidR="0043587E" w:rsidRPr="0043587E">
              <w:rPr>
                <w:b w:val="0"/>
                <w:webHidden/>
              </w:rPr>
              <w:tab/>
            </w:r>
            <w:r w:rsidR="0043587E" w:rsidRPr="0043587E">
              <w:rPr>
                <w:b w:val="0"/>
                <w:webHidden/>
              </w:rPr>
              <w:fldChar w:fldCharType="begin"/>
            </w:r>
            <w:r w:rsidR="0043587E" w:rsidRPr="0043587E">
              <w:rPr>
                <w:b w:val="0"/>
                <w:webHidden/>
              </w:rPr>
              <w:instrText xml:space="preserve"> PAGEREF _Toc429563294 \h </w:instrText>
            </w:r>
            <w:r w:rsidR="0043587E" w:rsidRPr="0043587E">
              <w:rPr>
                <w:b w:val="0"/>
                <w:webHidden/>
              </w:rPr>
            </w:r>
            <w:r w:rsidR="0043587E" w:rsidRPr="0043587E">
              <w:rPr>
                <w:b w:val="0"/>
                <w:webHidden/>
              </w:rPr>
              <w:fldChar w:fldCharType="separate"/>
            </w:r>
            <w:r w:rsidR="00307BE6">
              <w:rPr>
                <w:b w:val="0"/>
                <w:webHidden/>
              </w:rPr>
              <w:t>174</w:t>
            </w:r>
            <w:r w:rsidR="0043587E" w:rsidRPr="0043587E">
              <w:rPr>
                <w:b w:val="0"/>
                <w:webHidden/>
              </w:rPr>
              <w:fldChar w:fldCharType="end"/>
            </w:r>
          </w:hyperlink>
        </w:p>
        <w:p w14:paraId="54136660" w14:textId="43708EA4" w:rsidR="008C5FF4" w:rsidRPr="0043587E" w:rsidRDefault="00CF5F35" w:rsidP="00BC1E3B">
          <w:pPr>
            <w:tabs>
              <w:tab w:val="left" w:pos="567"/>
            </w:tabs>
            <w:rPr>
              <w:rFonts w:asciiTheme="minorHAnsi" w:hAnsiTheme="minorHAnsi" w:cstheme="minorHAnsi"/>
              <w:sz w:val="20"/>
              <w:szCs w:val="20"/>
            </w:rPr>
          </w:pPr>
          <w:r w:rsidRPr="0043587E">
            <w:rPr>
              <w:rFonts w:asciiTheme="majorHAnsi" w:hAnsiTheme="majorHAnsi" w:cstheme="minorHAnsi"/>
              <w:bCs/>
              <w:sz w:val="22"/>
              <w:szCs w:val="22"/>
            </w:rPr>
            <w:fldChar w:fldCharType="end"/>
          </w:r>
        </w:p>
      </w:sdtContent>
    </w:sdt>
    <w:p w14:paraId="06A947FA" w14:textId="33941C6E" w:rsidR="00E26F24" w:rsidRPr="008C5FF4" w:rsidRDefault="009D034C" w:rsidP="009D034C">
      <w:pPr>
        <w:rPr>
          <w:rFonts w:asciiTheme="minorHAnsi" w:hAnsiTheme="minorHAnsi" w:cstheme="minorHAnsi"/>
          <w:sz w:val="20"/>
          <w:szCs w:val="20"/>
        </w:rPr>
      </w:pPr>
      <w:r w:rsidRPr="00060053">
        <w:rPr>
          <w:rFonts w:asciiTheme="majorHAnsi" w:hAnsiTheme="majorHAnsi"/>
          <w:b/>
          <w:sz w:val="22"/>
          <w:szCs w:val="22"/>
        </w:rPr>
        <w:br w:type="page"/>
      </w:r>
    </w:p>
    <w:p w14:paraId="06A947FB" w14:textId="5E661EB8" w:rsidR="009D034C" w:rsidRPr="00060053" w:rsidRDefault="00A37007" w:rsidP="00F32100">
      <w:pPr>
        <w:pStyle w:val="Ttulo1"/>
        <w:rPr>
          <w:rFonts w:asciiTheme="majorHAnsi" w:hAnsiTheme="majorHAnsi"/>
          <w:b w:val="0"/>
          <w:smallCaps/>
        </w:rPr>
      </w:pPr>
      <w:bookmarkStart w:id="0" w:name="_Toc429563189"/>
      <w:r w:rsidRPr="00060053">
        <w:rPr>
          <w:rFonts w:asciiTheme="majorHAnsi" w:hAnsiTheme="majorHAnsi"/>
          <w:smallCaps/>
        </w:rPr>
        <w:lastRenderedPageBreak/>
        <w:t>1.</w:t>
      </w:r>
      <w:r w:rsidRPr="00060053">
        <w:rPr>
          <w:rFonts w:asciiTheme="majorHAnsi" w:hAnsiTheme="majorHAnsi"/>
          <w:smallCaps/>
        </w:rPr>
        <w:tab/>
        <w:t>Plan Operativo</w:t>
      </w:r>
      <w:r w:rsidR="00C0086A" w:rsidRPr="00060053">
        <w:rPr>
          <w:rFonts w:asciiTheme="majorHAnsi" w:hAnsiTheme="majorHAnsi"/>
          <w:smallCaps/>
        </w:rPr>
        <w:t xml:space="preserve"> Institucional</w:t>
      </w:r>
      <w:r w:rsidRPr="00060053">
        <w:rPr>
          <w:rFonts w:asciiTheme="majorHAnsi" w:hAnsiTheme="majorHAnsi"/>
          <w:smallCaps/>
        </w:rPr>
        <w:t xml:space="preserve"> 20</w:t>
      </w:r>
      <w:r w:rsidR="002740BE" w:rsidRPr="00060053">
        <w:rPr>
          <w:rFonts w:asciiTheme="majorHAnsi" w:hAnsiTheme="majorHAnsi"/>
          <w:smallCaps/>
        </w:rPr>
        <w:t>1</w:t>
      </w:r>
      <w:bookmarkEnd w:id="0"/>
      <w:r w:rsidR="00D92585">
        <w:rPr>
          <w:rFonts w:asciiTheme="majorHAnsi" w:hAnsiTheme="majorHAnsi"/>
          <w:smallCaps/>
        </w:rPr>
        <w:t>7</w:t>
      </w:r>
    </w:p>
    <w:p w14:paraId="06A947FC" w14:textId="77777777" w:rsidR="00C71F1E" w:rsidRDefault="009612CE" w:rsidP="00547B19">
      <w:pPr>
        <w:pStyle w:val="Ttulo1"/>
        <w:numPr>
          <w:ilvl w:val="1"/>
          <w:numId w:val="12"/>
        </w:numPr>
        <w:rPr>
          <w:rFonts w:asciiTheme="majorHAnsi" w:hAnsiTheme="majorHAnsi"/>
          <w:sz w:val="22"/>
          <w:szCs w:val="22"/>
        </w:rPr>
      </w:pPr>
      <w:bookmarkStart w:id="1" w:name="_Toc429563190"/>
      <w:r w:rsidRPr="00F72E43">
        <w:rPr>
          <w:rFonts w:asciiTheme="majorHAnsi" w:hAnsiTheme="majorHAnsi"/>
          <w:sz w:val="22"/>
          <w:szCs w:val="22"/>
        </w:rPr>
        <w:t>Presentación:</w:t>
      </w:r>
      <w:bookmarkEnd w:id="1"/>
    </w:p>
    <w:p w14:paraId="0B68DBF6" w14:textId="77777777" w:rsidR="009212EF" w:rsidRPr="009212EF" w:rsidRDefault="009212EF" w:rsidP="009212EF"/>
    <w:p w14:paraId="06A947FD" w14:textId="48608B9B" w:rsidR="008E29AF" w:rsidRPr="00060053" w:rsidRDefault="008E29AF" w:rsidP="008E29AF">
      <w:pPr>
        <w:jc w:val="both"/>
        <w:rPr>
          <w:rFonts w:asciiTheme="majorHAnsi" w:hAnsiTheme="majorHAnsi" w:cs="Tahoma"/>
          <w:sz w:val="22"/>
          <w:szCs w:val="22"/>
          <w:lang w:val="es-CR"/>
        </w:rPr>
      </w:pPr>
      <w:r w:rsidRPr="00060053">
        <w:rPr>
          <w:rFonts w:asciiTheme="majorHAnsi" w:hAnsiTheme="majorHAnsi" w:cs="Tahoma"/>
          <w:sz w:val="22"/>
          <w:szCs w:val="22"/>
          <w:lang w:val="es-CR"/>
        </w:rPr>
        <w:t xml:space="preserve">Este documento tiene como objeto presentar el </w:t>
      </w:r>
      <w:r w:rsidR="00C0086A" w:rsidRPr="00060053">
        <w:rPr>
          <w:rFonts w:asciiTheme="majorHAnsi" w:hAnsiTheme="majorHAnsi" w:cs="Tahoma"/>
          <w:sz w:val="22"/>
          <w:szCs w:val="22"/>
          <w:lang w:val="es-CR"/>
        </w:rPr>
        <w:t xml:space="preserve">Plan Operativo Institucional </w:t>
      </w:r>
      <w:r w:rsidR="009D034C" w:rsidRPr="00060053">
        <w:rPr>
          <w:rFonts w:asciiTheme="majorHAnsi" w:hAnsiTheme="majorHAnsi" w:cs="Tahoma"/>
          <w:sz w:val="22"/>
          <w:szCs w:val="22"/>
          <w:lang w:val="es-CR"/>
        </w:rPr>
        <w:t>y el P</w:t>
      </w:r>
      <w:r w:rsidRPr="00060053">
        <w:rPr>
          <w:rFonts w:asciiTheme="majorHAnsi" w:hAnsiTheme="majorHAnsi" w:cs="Tahoma"/>
          <w:sz w:val="22"/>
          <w:szCs w:val="22"/>
          <w:lang w:val="es-CR"/>
        </w:rPr>
        <w:t>resupuesto</w:t>
      </w:r>
      <w:r w:rsidR="009D034C" w:rsidRPr="00060053">
        <w:rPr>
          <w:rFonts w:asciiTheme="majorHAnsi" w:hAnsiTheme="majorHAnsi" w:cs="Tahoma"/>
          <w:sz w:val="22"/>
          <w:szCs w:val="22"/>
          <w:lang w:val="es-CR"/>
        </w:rPr>
        <w:t xml:space="preserve"> de Ingresos y Gastos</w:t>
      </w:r>
      <w:r w:rsidRPr="00060053">
        <w:rPr>
          <w:rFonts w:asciiTheme="majorHAnsi" w:hAnsiTheme="majorHAnsi" w:cs="Tahoma"/>
          <w:sz w:val="22"/>
          <w:szCs w:val="22"/>
          <w:lang w:val="es-CR"/>
        </w:rPr>
        <w:t xml:space="preserve"> de la </w:t>
      </w:r>
      <w:r w:rsidR="00ED71E1" w:rsidRPr="00060053">
        <w:rPr>
          <w:rFonts w:asciiTheme="majorHAnsi" w:hAnsiTheme="majorHAnsi" w:cs="Tahoma"/>
          <w:sz w:val="22"/>
          <w:szCs w:val="22"/>
          <w:lang w:val="es-CR"/>
        </w:rPr>
        <w:t>Superintendencia de Pensiones</w:t>
      </w:r>
      <w:r w:rsidR="000572E7" w:rsidRPr="00060053">
        <w:rPr>
          <w:rFonts w:asciiTheme="majorHAnsi" w:hAnsiTheme="majorHAnsi" w:cs="Tahoma"/>
          <w:sz w:val="22"/>
          <w:szCs w:val="22"/>
          <w:lang w:val="es-CR"/>
        </w:rPr>
        <w:t xml:space="preserve"> </w:t>
      </w:r>
      <w:r w:rsidR="00A37007" w:rsidRPr="00060053">
        <w:rPr>
          <w:rFonts w:asciiTheme="majorHAnsi" w:hAnsiTheme="majorHAnsi" w:cs="Tahoma"/>
          <w:b/>
          <w:sz w:val="22"/>
          <w:szCs w:val="22"/>
          <w:lang w:val="es-CR"/>
        </w:rPr>
        <w:t>–</w:t>
      </w:r>
      <w:r w:rsidR="00D277D9">
        <w:rPr>
          <w:rFonts w:asciiTheme="majorHAnsi" w:hAnsiTheme="majorHAnsi" w:cs="Tahoma"/>
          <w:sz w:val="22"/>
          <w:szCs w:val="22"/>
          <w:lang w:val="es-CR"/>
        </w:rPr>
        <w:t>SUPEN</w:t>
      </w:r>
      <w:r w:rsidR="00A37007" w:rsidRPr="00060053">
        <w:rPr>
          <w:rFonts w:asciiTheme="majorHAnsi" w:hAnsiTheme="majorHAnsi" w:cs="Tahoma"/>
          <w:b/>
          <w:sz w:val="22"/>
          <w:szCs w:val="22"/>
          <w:lang w:val="es-CR"/>
        </w:rPr>
        <w:t>-</w:t>
      </w:r>
      <w:r w:rsidR="00A37007" w:rsidRPr="00060053">
        <w:rPr>
          <w:rFonts w:asciiTheme="majorHAnsi" w:hAnsiTheme="majorHAnsi" w:cs="Tahoma"/>
          <w:sz w:val="22"/>
          <w:szCs w:val="22"/>
          <w:lang w:val="es-CR"/>
        </w:rPr>
        <w:t>,</w:t>
      </w:r>
      <w:r w:rsidR="000572E7" w:rsidRPr="00060053">
        <w:rPr>
          <w:rFonts w:asciiTheme="majorHAnsi" w:hAnsiTheme="majorHAnsi" w:cs="Tahoma"/>
          <w:sz w:val="22"/>
          <w:szCs w:val="22"/>
          <w:lang w:val="es-CR"/>
        </w:rPr>
        <w:t xml:space="preserve"> </w:t>
      </w:r>
      <w:r w:rsidRPr="00060053">
        <w:rPr>
          <w:rFonts w:asciiTheme="majorHAnsi" w:hAnsiTheme="majorHAnsi" w:cs="Tahoma"/>
          <w:sz w:val="22"/>
          <w:szCs w:val="22"/>
          <w:lang w:val="es-CR"/>
        </w:rPr>
        <w:t>para el ejercicio económico correspondiente al 20</w:t>
      </w:r>
      <w:r w:rsidR="002740BE" w:rsidRPr="00060053">
        <w:rPr>
          <w:rFonts w:asciiTheme="majorHAnsi" w:hAnsiTheme="majorHAnsi" w:cs="Tahoma"/>
          <w:sz w:val="22"/>
          <w:szCs w:val="22"/>
          <w:lang w:val="es-CR"/>
        </w:rPr>
        <w:t>1</w:t>
      </w:r>
      <w:r w:rsidR="00D92585">
        <w:rPr>
          <w:rFonts w:asciiTheme="majorHAnsi" w:hAnsiTheme="majorHAnsi" w:cs="Tahoma"/>
          <w:sz w:val="22"/>
          <w:szCs w:val="22"/>
          <w:lang w:val="es-CR"/>
        </w:rPr>
        <w:t>7</w:t>
      </w:r>
      <w:r w:rsidR="00CA36C9">
        <w:rPr>
          <w:rFonts w:asciiTheme="majorHAnsi" w:hAnsiTheme="majorHAnsi" w:cs="Tahoma"/>
          <w:sz w:val="22"/>
          <w:szCs w:val="22"/>
          <w:lang w:val="es-CR"/>
        </w:rPr>
        <w:t>. S</w:t>
      </w:r>
      <w:r w:rsidR="00A37007" w:rsidRPr="00060053">
        <w:rPr>
          <w:rFonts w:asciiTheme="majorHAnsi" w:hAnsiTheme="majorHAnsi" w:cs="Tahoma"/>
          <w:sz w:val="22"/>
          <w:szCs w:val="22"/>
          <w:lang w:val="es-CR"/>
        </w:rPr>
        <w:t xml:space="preserve">e </w:t>
      </w:r>
      <w:r w:rsidRPr="00060053">
        <w:rPr>
          <w:rFonts w:asciiTheme="majorHAnsi" w:hAnsiTheme="majorHAnsi" w:cs="Tahoma"/>
          <w:sz w:val="22"/>
          <w:szCs w:val="22"/>
          <w:lang w:val="es-CR"/>
        </w:rPr>
        <w:t>realizó</w:t>
      </w:r>
      <w:r w:rsidR="009D034C" w:rsidRPr="00060053">
        <w:rPr>
          <w:rFonts w:asciiTheme="majorHAnsi" w:hAnsiTheme="majorHAnsi" w:cs="Tahoma"/>
          <w:sz w:val="22"/>
          <w:szCs w:val="22"/>
          <w:lang w:val="es-CR"/>
        </w:rPr>
        <w:t xml:space="preserve"> considerando </w:t>
      </w:r>
      <w:r w:rsidR="007D7EDA">
        <w:rPr>
          <w:rFonts w:asciiTheme="majorHAnsi" w:hAnsiTheme="majorHAnsi" w:cs="Tahoma"/>
          <w:sz w:val="22"/>
          <w:szCs w:val="22"/>
          <w:lang w:val="es-CR"/>
        </w:rPr>
        <w:t>necesidades de la I</w:t>
      </w:r>
      <w:r w:rsidR="00B66028" w:rsidRPr="00060053">
        <w:rPr>
          <w:rFonts w:asciiTheme="majorHAnsi" w:hAnsiTheme="majorHAnsi" w:cs="Tahoma"/>
          <w:sz w:val="22"/>
          <w:szCs w:val="22"/>
          <w:lang w:val="es-CR"/>
        </w:rPr>
        <w:t xml:space="preserve">nstitución, </w:t>
      </w:r>
      <w:r w:rsidR="004250DC">
        <w:rPr>
          <w:rFonts w:asciiTheme="majorHAnsi" w:hAnsiTheme="majorHAnsi" w:cs="Tahoma"/>
          <w:sz w:val="22"/>
          <w:szCs w:val="22"/>
          <w:lang w:val="es-CR"/>
        </w:rPr>
        <w:t xml:space="preserve">las obligaciones que </w:t>
      </w:r>
      <w:r w:rsidR="00CA36C9">
        <w:rPr>
          <w:rFonts w:asciiTheme="majorHAnsi" w:hAnsiTheme="majorHAnsi" w:cs="Tahoma"/>
          <w:sz w:val="22"/>
          <w:szCs w:val="22"/>
          <w:lang w:val="es-CR"/>
        </w:rPr>
        <w:t xml:space="preserve">se </w:t>
      </w:r>
      <w:r w:rsidR="004250DC">
        <w:rPr>
          <w:rFonts w:asciiTheme="majorHAnsi" w:hAnsiTheme="majorHAnsi" w:cs="Tahoma"/>
          <w:sz w:val="22"/>
          <w:szCs w:val="22"/>
          <w:lang w:val="es-CR"/>
        </w:rPr>
        <w:t>establece</w:t>
      </w:r>
      <w:r w:rsidR="00CA36C9">
        <w:rPr>
          <w:rFonts w:asciiTheme="majorHAnsi" w:hAnsiTheme="majorHAnsi" w:cs="Tahoma"/>
          <w:sz w:val="22"/>
          <w:szCs w:val="22"/>
          <w:lang w:val="es-CR"/>
        </w:rPr>
        <w:t>n la</w:t>
      </w:r>
      <w:r w:rsidR="007D7EDA">
        <w:rPr>
          <w:rFonts w:asciiTheme="majorHAnsi" w:hAnsiTheme="majorHAnsi" w:cs="Tahoma"/>
          <w:sz w:val="22"/>
          <w:szCs w:val="22"/>
          <w:lang w:val="es-CR"/>
        </w:rPr>
        <w:t>s</w:t>
      </w:r>
      <w:r w:rsidR="00CA36C9">
        <w:rPr>
          <w:rFonts w:asciiTheme="majorHAnsi" w:hAnsiTheme="majorHAnsi" w:cs="Tahoma"/>
          <w:sz w:val="22"/>
          <w:szCs w:val="22"/>
          <w:lang w:val="es-CR"/>
        </w:rPr>
        <w:t xml:space="preserve"> l</w:t>
      </w:r>
      <w:r w:rsidR="004250DC">
        <w:rPr>
          <w:rFonts w:asciiTheme="majorHAnsi" w:hAnsiTheme="majorHAnsi" w:cs="Tahoma"/>
          <w:sz w:val="22"/>
          <w:szCs w:val="22"/>
          <w:lang w:val="es-CR"/>
        </w:rPr>
        <w:t xml:space="preserve">eyes 7523 y 7983, </w:t>
      </w:r>
      <w:r w:rsidR="009D034C" w:rsidRPr="00060053">
        <w:rPr>
          <w:rFonts w:asciiTheme="majorHAnsi" w:hAnsiTheme="majorHAnsi" w:cs="Tahoma"/>
          <w:sz w:val="22"/>
          <w:szCs w:val="22"/>
          <w:lang w:val="es-CR"/>
        </w:rPr>
        <w:t>las directrices que para tal efecto emitió la Junta Directiva del Banco Central de Costa Rica</w:t>
      </w:r>
      <w:r w:rsidR="004733E4" w:rsidRPr="00060053">
        <w:rPr>
          <w:rFonts w:asciiTheme="majorHAnsi" w:hAnsiTheme="majorHAnsi" w:cs="Tahoma"/>
          <w:sz w:val="22"/>
          <w:szCs w:val="22"/>
          <w:lang w:val="es-CR"/>
        </w:rPr>
        <w:t xml:space="preserve"> </w:t>
      </w:r>
      <w:r w:rsidR="007D7EDA">
        <w:rPr>
          <w:rFonts w:asciiTheme="majorHAnsi" w:hAnsiTheme="majorHAnsi" w:cs="Tahoma"/>
          <w:sz w:val="22"/>
          <w:szCs w:val="22"/>
          <w:lang w:val="es-CR"/>
        </w:rPr>
        <w:t xml:space="preserve">–BCCR- </w:t>
      </w:r>
      <w:r w:rsidR="004733E4" w:rsidRPr="00060053">
        <w:rPr>
          <w:rFonts w:asciiTheme="majorHAnsi" w:hAnsiTheme="majorHAnsi" w:cs="Tahoma"/>
          <w:sz w:val="22"/>
          <w:szCs w:val="22"/>
          <w:lang w:val="es-CR"/>
        </w:rPr>
        <w:t>y el Consejo Nacional de Supervisión del Sistema Financiero</w:t>
      </w:r>
      <w:r w:rsidR="007D7EDA">
        <w:rPr>
          <w:rFonts w:asciiTheme="majorHAnsi" w:hAnsiTheme="majorHAnsi" w:cs="Tahoma"/>
          <w:sz w:val="22"/>
          <w:szCs w:val="22"/>
          <w:lang w:val="es-CR"/>
        </w:rPr>
        <w:t xml:space="preserve"> –CONASSIF-</w:t>
      </w:r>
      <w:r w:rsidRPr="00060053">
        <w:rPr>
          <w:rFonts w:asciiTheme="majorHAnsi" w:hAnsiTheme="majorHAnsi" w:cs="Tahoma"/>
          <w:sz w:val="22"/>
          <w:szCs w:val="22"/>
          <w:lang w:val="es-CR"/>
        </w:rPr>
        <w:t>.</w:t>
      </w:r>
    </w:p>
    <w:p w14:paraId="06A947FE" w14:textId="77C5D7C8" w:rsidR="009612CE" w:rsidRPr="00F72E43" w:rsidRDefault="009612CE" w:rsidP="00547B19">
      <w:pPr>
        <w:pStyle w:val="Ttulo1"/>
        <w:numPr>
          <w:ilvl w:val="1"/>
          <w:numId w:val="12"/>
        </w:numPr>
        <w:rPr>
          <w:rFonts w:asciiTheme="majorHAnsi" w:hAnsiTheme="majorHAnsi"/>
          <w:sz w:val="22"/>
          <w:szCs w:val="22"/>
        </w:rPr>
      </w:pPr>
      <w:bookmarkStart w:id="2" w:name="_Toc429563191"/>
      <w:r w:rsidRPr="00F72E43">
        <w:rPr>
          <w:rFonts w:asciiTheme="majorHAnsi" w:hAnsiTheme="majorHAnsi"/>
          <w:sz w:val="22"/>
          <w:szCs w:val="22"/>
        </w:rPr>
        <w:t>Antecedentes de la Institución</w:t>
      </w:r>
      <w:bookmarkEnd w:id="2"/>
    </w:p>
    <w:p w14:paraId="06A947FF" w14:textId="77777777" w:rsidR="000C058C" w:rsidRPr="00060053" w:rsidRDefault="000C058C" w:rsidP="000C058C">
      <w:pPr>
        <w:rPr>
          <w:rFonts w:asciiTheme="majorHAnsi" w:hAnsiTheme="majorHAnsi"/>
          <w:b/>
          <w:sz w:val="22"/>
          <w:szCs w:val="22"/>
        </w:rPr>
      </w:pPr>
    </w:p>
    <w:p w14:paraId="06A94800" w14:textId="4D4BCAE1" w:rsidR="008E29AF" w:rsidRPr="00F72E43" w:rsidRDefault="00F72E43" w:rsidP="00F72E43">
      <w:pPr>
        <w:pStyle w:val="Ttulo2"/>
        <w:ind w:left="360"/>
        <w:rPr>
          <w:rFonts w:asciiTheme="majorHAnsi" w:hAnsiTheme="majorHAnsi"/>
          <w:sz w:val="22"/>
          <w:szCs w:val="22"/>
        </w:rPr>
      </w:pPr>
      <w:bookmarkStart w:id="3" w:name="_Toc429563192"/>
      <w:r w:rsidRPr="00F72E43">
        <w:rPr>
          <w:rFonts w:asciiTheme="majorHAnsi" w:hAnsiTheme="majorHAnsi"/>
          <w:sz w:val="22"/>
          <w:szCs w:val="22"/>
        </w:rPr>
        <w:t>1.2.1</w:t>
      </w:r>
      <w:r w:rsidRPr="00F72E43">
        <w:rPr>
          <w:rFonts w:asciiTheme="majorHAnsi" w:hAnsiTheme="majorHAnsi"/>
          <w:sz w:val="22"/>
          <w:szCs w:val="22"/>
        </w:rPr>
        <w:tab/>
      </w:r>
      <w:r w:rsidR="008E29AF" w:rsidRPr="00F72E43">
        <w:rPr>
          <w:rFonts w:asciiTheme="majorHAnsi" w:hAnsiTheme="majorHAnsi"/>
          <w:sz w:val="22"/>
          <w:szCs w:val="22"/>
        </w:rPr>
        <w:t>Marco General Institucional</w:t>
      </w:r>
      <w:bookmarkEnd w:id="3"/>
    </w:p>
    <w:p w14:paraId="3AD8953F" w14:textId="77777777" w:rsidR="007D7EDA" w:rsidRDefault="007D7EDA" w:rsidP="000E79AF">
      <w:pPr>
        <w:ind w:left="540"/>
        <w:jc w:val="both"/>
        <w:rPr>
          <w:rFonts w:asciiTheme="majorHAnsi" w:hAnsiTheme="majorHAnsi"/>
          <w:sz w:val="22"/>
          <w:szCs w:val="22"/>
        </w:rPr>
      </w:pPr>
    </w:p>
    <w:p w14:paraId="06A94801" w14:textId="53723CD1" w:rsidR="000E79AF" w:rsidRPr="00060053" w:rsidRDefault="000E79AF" w:rsidP="000E79AF">
      <w:pPr>
        <w:ind w:left="540"/>
        <w:jc w:val="both"/>
        <w:rPr>
          <w:rFonts w:asciiTheme="majorHAnsi" w:hAnsiTheme="majorHAnsi"/>
          <w:iCs/>
          <w:sz w:val="22"/>
          <w:szCs w:val="22"/>
          <w:lang w:val="es-ES_tradnl"/>
        </w:rPr>
      </w:pPr>
      <w:r w:rsidRPr="00060053">
        <w:rPr>
          <w:rFonts w:asciiTheme="majorHAnsi" w:hAnsiTheme="majorHAnsi"/>
          <w:sz w:val="22"/>
          <w:szCs w:val="22"/>
        </w:rPr>
        <w:t xml:space="preserve">La </w:t>
      </w:r>
      <w:r w:rsidR="00D277D9">
        <w:rPr>
          <w:rFonts w:asciiTheme="majorHAnsi" w:hAnsiTheme="majorHAnsi"/>
          <w:sz w:val="22"/>
          <w:szCs w:val="22"/>
        </w:rPr>
        <w:t>SUPEN</w:t>
      </w:r>
      <w:r w:rsidR="00BF7BA4" w:rsidRPr="00060053">
        <w:rPr>
          <w:rFonts w:asciiTheme="majorHAnsi" w:hAnsiTheme="majorHAnsi"/>
          <w:sz w:val="22"/>
          <w:szCs w:val="22"/>
        </w:rPr>
        <w:t xml:space="preserve"> </w:t>
      </w:r>
      <w:r w:rsidRPr="00060053">
        <w:rPr>
          <w:rFonts w:asciiTheme="majorHAnsi" w:hAnsiTheme="majorHAnsi" w:cs="Tahoma"/>
          <w:sz w:val="22"/>
          <w:szCs w:val="22"/>
          <w:lang w:val="es-CR"/>
        </w:rPr>
        <w:t xml:space="preserve">es un órgano de máxima desconcentración adscrito al </w:t>
      </w:r>
      <w:r w:rsidR="004C31C8">
        <w:rPr>
          <w:rFonts w:asciiTheme="majorHAnsi" w:hAnsiTheme="majorHAnsi" w:cs="Tahoma"/>
          <w:sz w:val="22"/>
          <w:szCs w:val="22"/>
          <w:lang w:val="es-CR"/>
        </w:rPr>
        <w:t>BCCR</w:t>
      </w:r>
      <w:r w:rsidRPr="00060053">
        <w:rPr>
          <w:rFonts w:asciiTheme="majorHAnsi" w:hAnsiTheme="majorHAnsi" w:cs="Tahoma"/>
          <w:sz w:val="22"/>
          <w:szCs w:val="22"/>
          <w:lang w:val="es-CR"/>
        </w:rPr>
        <w:t xml:space="preserve">. Funciona bajo la dirección del CONASSIF. </w:t>
      </w:r>
      <w:r w:rsidRPr="00060053">
        <w:rPr>
          <w:rFonts w:asciiTheme="majorHAnsi" w:hAnsiTheme="majorHAnsi"/>
          <w:sz w:val="22"/>
          <w:szCs w:val="22"/>
        </w:rPr>
        <w:t xml:space="preserve">Conforme con la </w:t>
      </w:r>
      <w:r w:rsidRPr="00060053">
        <w:rPr>
          <w:rFonts w:asciiTheme="majorHAnsi" w:hAnsiTheme="majorHAnsi"/>
          <w:iCs/>
          <w:sz w:val="22"/>
          <w:szCs w:val="22"/>
          <w:lang w:val="es-ES_tradnl"/>
        </w:rPr>
        <w:t>estrategia corporativa y de calidad, definió el negocio, en</w:t>
      </w:r>
      <w:r w:rsidR="00B46808">
        <w:rPr>
          <w:rFonts w:asciiTheme="majorHAnsi" w:hAnsiTheme="majorHAnsi"/>
          <w:iCs/>
          <w:sz w:val="22"/>
          <w:szCs w:val="22"/>
          <w:lang w:val="es-ES_tradnl"/>
        </w:rPr>
        <w:t xml:space="preserve"> términos de: actividad básica </w:t>
      </w:r>
      <w:r w:rsidRPr="00060053">
        <w:rPr>
          <w:rFonts w:asciiTheme="majorHAnsi" w:hAnsiTheme="majorHAnsi"/>
          <w:iCs/>
          <w:sz w:val="22"/>
          <w:szCs w:val="22"/>
          <w:lang w:val="es-ES_tradnl"/>
        </w:rPr>
        <w:t>y clientes.</w:t>
      </w:r>
    </w:p>
    <w:p w14:paraId="06A94802" w14:textId="77777777" w:rsidR="000E79AF" w:rsidRPr="00060053" w:rsidRDefault="000E79AF" w:rsidP="000E79AF">
      <w:pPr>
        <w:widowControl w:val="0"/>
        <w:ind w:left="567"/>
        <w:rPr>
          <w:rFonts w:asciiTheme="majorHAnsi" w:hAnsiTheme="majorHAnsi"/>
          <w:iCs/>
          <w:sz w:val="22"/>
          <w:szCs w:val="22"/>
          <w:lang w:val="es-ES_tradnl"/>
        </w:rPr>
      </w:pPr>
    </w:p>
    <w:p w14:paraId="06A94803" w14:textId="77777777" w:rsidR="000E79AF" w:rsidRDefault="000E79AF" w:rsidP="000E79AF">
      <w:pPr>
        <w:widowControl w:val="0"/>
        <w:ind w:left="567"/>
        <w:rPr>
          <w:rFonts w:asciiTheme="majorHAnsi" w:hAnsiTheme="majorHAnsi"/>
          <w:b/>
          <w:bCs/>
          <w:sz w:val="22"/>
          <w:szCs w:val="22"/>
          <w:lang w:val="es-ES_tradnl"/>
        </w:rPr>
      </w:pPr>
      <w:r w:rsidRPr="00060053">
        <w:rPr>
          <w:rFonts w:asciiTheme="majorHAnsi" w:hAnsiTheme="majorHAnsi"/>
          <w:b/>
          <w:bCs/>
          <w:sz w:val="22"/>
          <w:szCs w:val="22"/>
          <w:lang w:val="es-ES_tradnl"/>
        </w:rPr>
        <w:t>Actividad Básica</w:t>
      </w:r>
    </w:p>
    <w:p w14:paraId="7BF3F895" w14:textId="77777777" w:rsidR="001A6E05" w:rsidRPr="00060053" w:rsidRDefault="001A6E05" w:rsidP="000E79AF">
      <w:pPr>
        <w:widowControl w:val="0"/>
        <w:ind w:left="567"/>
        <w:rPr>
          <w:rFonts w:asciiTheme="majorHAnsi" w:hAnsiTheme="majorHAnsi"/>
          <w:b/>
          <w:bCs/>
          <w:sz w:val="22"/>
          <w:szCs w:val="22"/>
          <w:lang w:val="es-ES_tradnl"/>
        </w:rPr>
      </w:pPr>
    </w:p>
    <w:p w14:paraId="06A94804" w14:textId="0FE8C822" w:rsidR="00905F1C" w:rsidRPr="00060053" w:rsidRDefault="00905F1C" w:rsidP="00905F1C">
      <w:pPr>
        <w:ind w:left="540"/>
        <w:jc w:val="both"/>
        <w:rPr>
          <w:rFonts w:asciiTheme="majorHAnsi" w:hAnsiTheme="majorHAnsi" w:cs="Arial"/>
          <w:sz w:val="22"/>
          <w:szCs w:val="22"/>
        </w:rPr>
      </w:pPr>
      <w:r w:rsidRPr="00060053">
        <w:rPr>
          <w:rFonts w:asciiTheme="majorHAnsi" w:hAnsiTheme="majorHAnsi" w:cs="Arial"/>
          <w:sz w:val="22"/>
          <w:szCs w:val="22"/>
        </w:rPr>
        <w:t xml:space="preserve">La </w:t>
      </w:r>
      <w:r w:rsidR="00D277D9">
        <w:rPr>
          <w:rFonts w:asciiTheme="majorHAnsi" w:hAnsiTheme="majorHAnsi" w:cs="Arial"/>
          <w:sz w:val="22"/>
          <w:szCs w:val="22"/>
        </w:rPr>
        <w:t>SUPEN</w:t>
      </w:r>
      <w:r w:rsidRPr="00060053">
        <w:rPr>
          <w:rFonts w:asciiTheme="majorHAnsi" w:hAnsiTheme="majorHAnsi" w:cs="Arial"/>
          <w:sz w:val="22"/>
          <w:szCs w:val="22"/>
        </w:rPr>
        <w:t xml:space="preserve"> es la institución encargada de supervisar el Sistema Nacional de Pensiones, específicamente tiene la función social de vigilar el desempeño</w:t>
      </w:r>
      <w:r w:rsidR="00415A07">
        <w:rPr>
          <w:rFonts w:asciiTheme="majorHAnsi" w:hAnsiTheme="majorHAnsi" w:cs="Arial"/>
          <w:sz w:val="22"/>
          <w:szCs w:val="22"/>
        </w:rPr>
        <w:t xml:space="preserve"> del sistema</w:t>
      </w:r>
      <w:r w:rsidRPr="00060053">
        <w:rPr>
          <w:rFonts w:asciiTheme="majorHAnsi" w:hAnsiTheme="majorHAnsi" w:cs="Arial"/>
          <w:sz w:val="22"/>
          <w:szCs w:val="22"/>
        </w:rPr>
        <w:t xml:space="preserve">, con el propósito de resguardar los intereses de los afiliados, </w:t>
      </w:r>
      <w:r w:rsidR="00050849" w:rsidRPr="00060053">
        <w:rPr>
          <w:rFonts w:asciiTheme="majorHAnsi" w:hAnsiTheme="majorHAnsi" w:cs="Arial"/>
          <w:sz w:val="22"/>
          <w:szCs w:val="22"/>
        </w:rPr>
        <w:t xml:space="preserve">que </w:t>
      </w:r>
      <w:r w:rsidRPr="00060053">
        <w:rPr>
          <w:rFonts w:asciiTheme="majorHAnsi" w:hAnsiTheme="majorHAnsi" w:cs="Arial"/>
          <w:sz w:val="22"/>
          <w:szCs w:val="22"/>
        </w:rPr>
        <w:t xml:space="preserve">dan en administración </w:t>
      </w:r>
      <w:r w:rsidR="00050849" w:rsidRPr="00060053">
        <w:rPr>
          <w:rFonts w:asciiTheme="majorHAnsi" w:hAnsiTheme="majorHAnsi" w:cs="Arial"/>
          <w:sz w:val="22"/>
          <w:szCs w:val="22"/>
        </w:rPr>
        <w:t>los</w:t>
      </w:r>
      <w:r w:rsidRPr="00060053">
        <w:rPr>
          <w:rFonts w:asciiTheme="majorHAnsi" w:hAnsiTheme="majorHAnsi" w:cs="Arial"/>
          <w:sz w:val="22"/>
          <w:szCs w:val="22"/>
        </w:rPr>
        <w:t xml:space="preserve"> recursos a los gestores de pensiones que en él participan</w:t>
      </w:r>
      <w:r w:rsidR="0071464F">
        <w:rPr>
          <w:rFonts w:asciiTheme="majorHAnsi" w:hAnsiTheme="majorHAnsi" w:cs="Arial"/>
          <w:sz w:val="22"/>
          <w:szCs w:val="22"/>
        </w:rPr>
        <w:t xml:space="preserve">, </w:t>
      </w:r>
      <w:r w:rsidR="0071464F" w:rsidRPr="000E5097">
        <w:rPr>
          <w:rFonts w:asciiTheme="majorHAnsi" w:hAnsiTheme="majorHAnsi" w:cs="Arial"/>
          <w:sz w:val="22"/>
          <w:szCs w:val="22"/>
        </w:rPr>
        <w:t>con la esperanza de tener acceso a una etapa de retiro que les permita mantener la calidad de vida</w:t>
      </w:r>
      <w:r w:rsidRPr="00060053">
        <w:rPr>
          <w:rFonts w:asciiTheme="majorHAnsi" w:hAnsiTheme="majorHAnsi" w:cs="Arial"/>
          <w:sz w:val="22"/>
          <w:szCs w:val="22"/>
        </w:rPr>
        <w:t xml:space="preserve">. </w:t>
      </w:r>
    </w:p>
    <w:p w14:paraId="06A94805" w14:textId="77777777" w:rsidR="009B142B" w:rsidRPr="00060053" w:rsidRDefault="009B142B" w:rsidP="00905F1C">
      <w:pPr>
        <w:ind w:left="540"/>
        <w:jc w:val="both"/>
        <w:rPr>
          <w:rFonts w:asciiTheme="majorHAnsi" w:hAnsiTheme="majorHAnsi" w:cs="Arial"/>
          <w:sz w:val="22"/>
          <w:szCs w:val="22"/>
        </w:rPr>
      </w:pPr>
    </w:p>
    <w:p w14:paraId="06A94806" w14:textId="0BB53102" w:rsidR="009B142B" w:rsidRPr="00060053" w:rsidRDefault="009B142B" w:rsidP="009B142B">
      <w:pPr>
        <w:ind w:left="540"/>
        <w:jc w:val="both"/>
        <w:rPr>
          <w:rFonts w:asciiTheme="majorHAnsi" w:hAnsiTheme="majorHAnsi" w:cs="Arial"/>
          <w:sz w:val="22"/>
          <w:szCs w:val="22"/>
        </w:rPr>
      </w:pPr>
      <w:r w:rsidRPr="00060053">
        <w:rPr>
          <w:rFonts w:asciiTheme="majorHAnsi" w:hAnsiTheme="majorHAnsi" w:cs="Arial"/>
          <w:sz w:val="22"/>
          <w:szCs w:val="22"/>
        </w:rPr>
        <w:t xml:space="preserve">Es de esa manera </w:t>
      </w:r>
      <w:r w:rsidR="00415A07">
        <w:rPr>
          <w:rFonts w:asciiTheme="majorHAnsi" w:hAnsiTheme="majorHAnsi" w:cs="Arial"/>
          <w:sz w:val="22"/>
          <w:szCs w:val="22"/>
        </w:rPr>
        <w:t>para cumplir con es</w:t>
      </w:r>
      <w:r w:rsidRPr="00060053">
        <w:rPr>
          <w:rFonts w:asciiTheme="majorHAnsi" w:hAnsiTheme="majorHAnsi" w:cs="Arial"/>
          <w:sz w:val="22"/>
          <w:szCs w:val="22"/>
        </w:rPr>
        <w:t xml:space="preserve">a tarea, la </w:t>
      </w:r>
      <w:r w:rsidR="00D277D9">
        <w:rPr>
          <w:rFonts w:asciiTheme="majorHAnsi" w:hAnsiTheme="majorHAnsi" w:cs="Arial"/>
          <w:sz w:val="22"/>
          <w:szCs w:val="22"/>
        </w:rPr>
        <w:t>SUPEN</w:t>
      </w:r>
      <w:r w:rsidRPr="00060053">
        <w:rPr>
          <w:rFonts w:asciiTheme="majorHAnsi" w:hAnsiTheme="majorHAnsi" w:cs="Arial"/>
          <w:sz w:val="22"/>
          <w:szCs w:val="22"/>
        </w:rPr>
        <w:t xml:space="preserve"> estableció </w:t>
      </w:r>
      <w:r w:rsidR="008D71BC">
        <w:rPr>
          <w:rFonts w:asciiTheme="majorHAnsi" w:hAnsiTheme="majorHAnsi" w:cs="Arial"/>
          <w:sz w:val="22"/>
          <w:szCs w:val="22"/>
        </w:rPr>
        <w:t>tres</w:t>
      </w:r>
      <w:r w:rsidRPr="00060053">
        <w:rPr>
          <w:rFonts w:asciiTheme="majorHAnsi" w:hAnsiTheme="majorHAnsi" w:cs="Arial"/>
          <w:sz w:val="22"/>
          <w:szCs w:val="22"/>
        </w:rPr>
        <w:t xml:space="preserve"> diferentes </w:t>
      </w:r>
      <w:r w:rsidR="00D92585">
        <w:rPr>
          <w:rFonts w:asciiTheme="majorHAnsi" w:hAnsiTheme="majorHAnsi" w:cs="Arial"/>
          <w:sz w:val="22"/>
          <w:szCs w:val="22"/>
        </w:rPr>
        <w:t>objetivos</w:t>
      </w:r>
      <w:r w:rsidRPr="00060053">
        <w:rPr>
          <w:rFonts w:asciiTheme="majorHAnsi" w:hAnsiTheme="majorHAnsi" w:cs="Arial"/>
          <w:sz w:val="22"/>
          <w:szCs w:val="22"/>
        </w:rPr>
        <w:t>:</w:t>
      </w:r>
    </w:p>
    <w:p w14:paraId="06A94807" w14:textId="77777777" w:rsidR="009B142B" w:rsidRPr="00060053" w:rsidRDefault="009B142B" w:rsidP="009B142B">
      <w:pPr>
        <w:ind w:left="540"/>
        <w:jc w:val="both"/>
        <w:rPr>
          <w:rFonts w:asciiTheme="majorHAnsi" w:hAnsiTheme="majorHAnsi" w:cs="Arial"/>
          <w:sz w:val="22"/>
          <w:szCs w:val="22"/>
        </w:rPr>
      </w:pPr>
    </w:p>
    <w:p w14:paraId="06A94808" w14:textId="338F4C3A" w:rsidR="009B142B" w:rsidRPr="008D71BC" w:rsidRDefault="009B142B" w:rsidP="009B142B">
      <w:pPr>
        <w:tabs>
          <w:tab w:val="left" w:pos="851"/>
        </w:tabs>
        <w:ind w:left="1985" w:hanging="1445"/>
        <w:jc w:val="both"/>
        <w:rPr>
          <w:rFonts w:asciiTheme="majorHAnsi" w:hAnsiTheme="majorHAnsi" w:cs="Arial"/>
          <w:sz w:val="22"/>
          <w:szCs w:val="22"/>
        </w:rPr>
      </w:pPr>
      <w:r w:rsidRPr="008D71BC">
        <w:rPr>
          <w:rFonts w:asciiTheme="majorHAnsi" w:hAnsiTheme="majorHAnsi" w:cs="Arial"/>
          <w:sz w:val="22"/>
          <w:szCs w:val="22"/>
        </w:rPr>
        <w:t>•</w:t>
      </w:r>
      <w:r w:rsidRPr="008D71BC">
        <w:rPr>
          <w:rFonts w:asciiTheme="majorHAnsi" w:hAnsiTheme="majorHAnsi" w:cs="Arial"/>
          <w:sz w:val="22"/>
          <w:szCs w:val="22"/>
        </w:rPr>
        <w:tab/>
      </w:r>
      <w:r w:rsidR="00D92585" w:rsidRPr="00D92585">
        <w:rPr>
          <w:rFonts w:asciiTheme="majorHAnsi" w:hAnsiTheme="majorHAnsi" w:cs="Arial"/>
          <w:b/>
          <w:i/>
          <w:sz w:val="22"/>
          <w:szCs w:val="22"/>
        </w:rPr>
        <w:t>Objetivo 1: Vigilar a los participantes en el S</w:t>
      </w:r>
      <w:r w:rsidR="00D92585">
        <w:rPr>
          <w:rFonts w:asciiTheme="majorHAnsi" w:hAnsiTheme="majorHAnsi" w:cs="Arial"/>
          <w:b/>
          <w:i/>
          <w:sz w:val="22"/>
          <w:szCs w:val="22"/>
        </w:rPr>
        <w:t xml:space="preserve">istema </w:t>
      </w:r>
      <w:r w:rsidR="00D92585" w:rsidRPr="00D92585">
        <w:rPr>
          <w:rFonts w:asciiTheme="majorHAnsi" w:hAnsiTheme="majorHAnsi" w:cs="Arial"/>
          <w:b/>
          <w:i/>
          <w:sz w:val="22"/>
          <w:szCs w:val="22"/>
        </w:rPr>
        <w:t>N</w:t>
      </w:r>
      <w:r w:rsidR="00D92585">
        <w:rPr>
          <w:rFonts w:asciiTheme="majorHAnsi" w:hAnsiTheme="majorHAnsi" w:cs="Arial"/>
          <w:b/>
          <w:i/>
          <w:sz w:val="22"/>
          <w:szCs w:val="22"/>
        </w:rPr>
        <w:t xml:space="preserve">acional de </w:t>
      </w:r>
      <w:r w:rsidR="00D92585" w:rsidRPr="00D92585">
        <w:rPr>
          <w:rFonts w:asciiTheme="majorHAnsi" w:hAnsiTheme="majorHAnsi" w:cs="Arial"/>
          <w:b/>
          <w:i/>
          <w:sz w:val="22"/>
          <w:szCs w:val="22"/>
        </w:rPr>
        <w:t>P</w:t>
      </w:r>
      <w:r w:rsidR="00D92585">
        <w:rPr>
          <w:rFonts w:asciiTheme="majorHAnsi" w:hAnsiTheme="majorHAnsi" w:cs="Arial"/>
          <w:b/>
          <w:i/>
          <w:sz w:val="22"/>
          <w:szCs w:val="22"/>
        </w:rPr>
        <w:t>ensiones</w:t>
      </w:r>
      <w:r w:rsidRPr="008D71BC">
        <w:rPr>
          <w:rFonts w:asciiTheme="majorHAnsi" w:hAnsiTheme="majorHAnsi" w:cs="Arial"/>
          <w:sz w:val="22"/>
          <w:szCs w:val="22"/>
        </w:rPr>
        <w:t xml:space="preserve">: </w:t>
      </w:r>
      <w:r w:rsidR="000E5097" w:rsidRPr="000E5097">
        <w:rPr>
          <w:rFonts w:asciiTheme="majorHAnsi" w:hAnsiTheme="majorHAnsi" w:cs="Arial"/>
          <w:sz w:val="22"/>
          <w:szCs w:val="22"/>
        </w:rPr>
        <w:t>La SUPEN</w:t>
      </w:r>
      <w:r w:rsidR="0071464F">
        <w:rPr>
          <w:rFonts w:asciiTheme="majorHAnsi" w:hAnsiTheme="majorHAnsi" w:cs="Arial"/>
          <w:sz w:val="22"/>
          <w:szCs w:val="22"/>
        </w:rPr>
        <w:t xml:space="preserve"> p</w:t>
      </w:r>
      <w:r w:rsidR="000E5097" w:rsidRPr="000E5097">
        <w:rPr>
          <w:rFonts w:asciiTheme="majorHAnsi" w:hAnsiTheme="majorHAnsi" w:cs="Arial"/>
          <w:sz w:val="22"/>
          <w:szCs w:val="22"/>
        </w:rPr>
        <w:t>ara cumplir con esta tarea tiene el compromiso de identificar, evaluar y calificar los diferentes riesgos a que pueden ser expuestos los distin</w:t>
      </w:r>
      <w:r w:rsidR="000E5097">
        <w:rPr>
          <w:rFonts w:asciiTheme="majorHAnsi" w:hAnsiTheme="majorHAnsi" w:cs="Arial"/>
          <w:sz w:val="22"/>
          <w:szCs w:val="22"/>
        </w:rPr>
        <w:t>tos regímenes de pensiones esta</w:t>
      </w:r>
      <w:r w:rsidR="000E5097" w:rsidRPr="000E5097">
        <w:rPr>
          <w:rFonts w:asciiTheme="majorHAnsi" w:hAnsiTheme="majorHAnsi" w:cs="Arial"/>
          <w:sz w:val="22"/>
          <w:szCs w:val="22"/>
        </w:rPr>
        <w:t>blecidos por ley, que pudieran afectar la administra</w:t>
      </w:r>
      <w:r w:rsidR="000E5097">
        <w:rPr>
          <w:rFonts w:asciiTheme="majorHAnsi" w:hAnsiTheme="majorHAnsi" w:cs="Arial"/>
          <w:sz w:val="22"/>
          <w:szCs w:val="22"/>
        </w:rPr>
        <w:t>ción de los recursos de los afi</w:t>
      </w:r>
      <w:r w:rsidR="000E5097" w:rsidRPr="000E5097">
        <w:rPr>
          <w:rFonts w:asciiTheme="majorHAnsi" w:hAnsiTheme="majorHAnsi" w:cs="Arial"/>
          <w:sz w:val="22"/>
          <w:szCs w:val="22"/>
        </w:rPr>
        <w:t>liados y por ende menoscabar el disfrute de los beneficios ofrecidos. A través de asesoría y la formulación de normativa la S</w:t>
      </w:r>
      <w:r w:rsidR="000E5097">
        <w:rPr>
          <w:rFonts w:asciiTheme="majorHAnsi" w:hAnsiTheme="majorHAnsi" w:cs="Arial"/>
          <w:sz w:val="22"/>
          <w:szCs w:val="22"/>
        </w:rPr>
        <w:t>UPEN propone los cambios que de</w:t>
      </w:r>
      <w:r w:rsidR="000E5097" w:rsidRPr="000E5097">
        <w:rPr>
          <w:rFonts w:asciiTheme="majorHAnsi" w:hAnsiTheme="majorHAnsi" w:cs="Arial"/>
          <w:sz w:val="22"/>
          <w:szCs w:val="22"/>
        </w:rPr>
        <w:t>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r w:rsidRPr="008D71BC">
        <w:rPr>
          <w:rFonts w:asciiTheme="majorHAnsi" w:hAnsiTheme="majorHAnsi" w:cs="Arial"/>
          <w:sz w:val="22"/>
          <w:szCs w:val="22"/>
        </w:rPr>
        <w:t xml:space="preserve"> </w:t>
      </w:r>
    </w:p>
    <w:p w14:paraId="06A9480B" w14:textId="77777777" w:rsidR="009B142B" w:rsidRPr="00B604B9" w:rsidRDefault="009B142B" w:rsidP="008D71BC">
      <w:pPr>
        <w:tabs>
          <w:tab w:val="left" w:pos="851"/>
        </w:tabs>
        <w:jc w:val="both"/>
        <w:rPr>
          <w:rFonts w:asciiTheme="majorHAnsi" w:hAnsiTheme="majorHAnsi" w:cs="Arial"/>
          <w:sz w:val="22"/>
          <w:szCs w:val="22"/>
          <w:highlight w:val="yellow"/>
        </w:rPr>
      </w:pPr>
    </w:p>
    <w:p w14:paraId="06A9480C" w14:textId="44AA2681" w:rsidR="009B142B" w:rsidRPr="00F23600" w:rsidRDefault="009B142B" w:rsidP="0071464F">
      <w:pPr>
        <w:tabs>
          <w:tab w:val="left" w:pos="851"/>
        </w:tabs>
        <w:ind w:left="1985" w:hanging="1445"/>
        <w:jc w:val="both"/>
        <w:rPr>
          <w:rFonts w:asciiTheme="majorHAnsi" w:hAnsiTheme="majorHAnsi" w:cs="Arial"/>
          <w:sz w:val="22"/>
          <w:szCs w:val="22"/>
        </w:rPr>
      </w:pPr>
      <w:r w:rsidRPr="00F23600">
        <w:rPr>
          <w:rFonts w:asciiTheme="majorHAnsi" w:hAnsiTheme="majorHAnsi" w:cs="Arial"/>
          <w:sz w:val="22"/>
          <w:szCs w:val="22"/>
        </w:rPr>
        <w:t>•</w:t>
      </w:r>
      <w:r w:rsidRPr="00F23600">
        <w:rPr>
          <w:rFonts w:asciiTheme="majorHAnsi" w:hAnsiTheme="majorHAnsi" w:cs="Arial"/>
          <w:sz w:val="22"/>
          <w:szCs w:val="22"/>
        </w:rPr>
        <w:tab/>
      </w:r>
      <w:r w:rsidR="000E5097" w:rsidRPr="000E5097">
        <w:rPr>
          <w:rFonts w:asciiTheme="majorHAnsi" w:hAnsiTheme="majorHAnsi" w:cs="Arial"/>
          <w:b/>
          <w:i/>
          <w:sz w:val="22"/>
          <w:szCs w:val="22"/>
        </w:rPr>
        <w:t>Objetivo 2: Fortalecer el sistema de pensiones y ahorro laboral</w:t>
      </w:r>
      <w:r w:rsidRPr="00F23600">
        <w:rPr>
          <w:rFonts w:asciiTheme="majorHAnsi" w:hAnsiTheme="majorHAnsi" w:cs="Arial"/>
          <w:sz w:val="22"/>
          <w:szCs w:val="22"/>
        </w:rPr>
        <w:t>:</w:t>
      </w:r>
      <w:r w:rsidR="0071464F">
        <w:rPr>
          <w:rFonts w:asciiTheme="majorHAnsi" w:hAnsiTheme="majorHAnsi" w:cs="Arial"/>
          <w:sz w:val="22"/>
          <w:szCs w:val="22"/>
        </w:rPr>
        <w:t xml:space="preserve"> </w:t>
      </w:r>
      <w:r w:rsidR="000E5097" w:rsidRPr="000E5097">
        <w:rPr>
          <w:rFonts w:asciiTheme="majorHAnsi" w:hAnsiTheme="majorHAnsi" w:cs="Arial"/>
          <w:sz w:val="22"/>
          <w:szCs w:val="22"/>
        </w:rPr>
        <w:t>Este objetivo parte de la necesidad de crear un diálogo nacional mediante el cual se propongan los cambios que trasciendan el campo de acción del supervisor, pero</w:t>
      </w:r>
      <w:r w:rsidR="009A7290">
        <w:rPr>
          <w:rFonts w:asciiTheme="majorHAnsi" w:hAnsiTheme="majorHAnsi" w:cs="Arial"/>
          <w:sz w:val="22"/>
          <w:szCs w:val="22"/>
        </w:rPr>
        <w:t>,</w:t>
      </w:r>
      <w:r w:rsidR="000E5097" w:rsidRPr="000E5097">
        <w:rPr>
          <w:rFonts w:asciiTheme="majorHAnsi" w:hAnsiTheme="majorHAnsi" w:cs="Arial"/>
          <w:sz w:val="22"/>
          <w:szCs w:val="22"/>
        </w:rPr>
        <w:t xml:space="preserve"> en el que pueda ser un facilitador, desde su perspectiva</w:t>
      </w:r>
      <w:r w:rsidR="000E5097">
        <w:rPr>
          <w:rFonts w:asciiTheme="majorHAnsi" w:hAnsiTheme="majorHAnsi" w:cs="Arial"/>
          <w:sz w:val="22"/>
          <w:szCs w:val="22"/>
        </w:rPr>
        <w:t xml:space="preserve"> técnica. De tal ma</w:t>
      </w:r>
      <w:r w:rsidR="000E5097" w:rsidRPr="000E5097">
        <w:rPr>
          <w:rFonts w:asciiTheme="majorHAnsi" w:hAnsiTheme="majorHAnsi" w:cs="Arial"/>
          <w:sz w:val="22"/>
          <w:szCs w:val="22"/>
        </w:rPr>
        <w:t xml:space="preserve">nera que los diferentes agentes que representan a los gestores, al Estado, a los patronos y </w:t>
      </w:r>
      <w:r w:rsidR="000E5097" w:rsidRPr="000E5097">
        <w:rPr>
          <w:rFonts w:asciiTheme="majorHAnsi" w:hAnsiTheme="majorHAnsi" w:cs="Arial"/>
          <w:sz w:val="22"/>
          <w:szCs w:val="22"/>
        </w:rPr>
        <w:lastRenderedPageBreak/>
        <w:t>a los trabajadores, puedan compartir y diseñar con suficiente tiempo los cambios que eviten problemas futuros al sistema como un todo</w:t>
      </w:r>
      <w:r w:rsidRPr="00F23600">
        <w:rPr>
          <w:rFonts w:asciiTheme="majorHAnsi" w:hAnsiTheme="majorHAnsi" w:cs="Arial"/>
          <w:sz w:val="22"/>
          <w:szCs w:val="22"/>
        </w:rPr>
        <w:t>.</w:t>
      </w:r>
    </w:p>
    <w:p w14:paraId="06A9480D" w14:textId="77777777" w:rsidR="009B142B" w:rsidRPr="00B604B9" w:rsidRDefault="009B142B" w:rsidP="009B142B">
      <w:pPr>
        <w:tabs>
          <w:tab w:val="left" w:pos="851"/>
        </w:tabs>
        <w:ind w:left="1985" w:hanging="1445"/>
        <w:jc w:val="both"/>
        <w:rPr>
          <w:rFonts w:asciiTheme="majorHAnsi" w:hAnsiTheme="majorHAnsi" w:cs="Arial"/>
          <w:sz w:val="22"/>
          <w:szCs w:val="22"/>
          <w:highlight w:val="yellow"/>
        </w:rPr>
      </w:pPr>
    </w:p>
    <w:p w14:paraId="06A9480E" w14:textId="6256A2CF" w:rsidR="009B142B" w:rsidRPr="00060053" w:rsidRDefault="009B142B" w:rsidP="009B142B">
      <w:pPr>
        <w:tabs>
          <w:tab w:val="left" w:pos="851"/>
        </w:tabs>
        <w:ind w:left="1985" w:hanging="1445"/>
        <w:jc w:val="both"/>
        <w:rPr>
          <w:rFonts w:asciiTheme="majorHAnsi" w:hAnsiTheme="majorHAnsi" w:cs="Arial"/>
          <w:sz w:val="22"/>
          <w:szCs w:val="22"/>
        </w:rPr>
      </w:pPr>
      <w:r w:rsidRPr="00F23600">
        <w:rPr>
          <w:rFonts w:asciiTheme="majorHAnsi" w:hAnsiTheme="majorHAnsi" w:cs="Arial"/>
          <w:sz w:val="22"/>
          <w:szCs w:val="22"/>
        </w:rPr>
        <w:t>•</w:t>
      </w:r>
      <w:r w:rsidRPr="00F23600">
        <w:rPr>
          <w:rFonts w:asciiTheme="majorHAnsi" w:hAnsiTheme="majorHAnsi" w:cs="Arial"/>
          <w:sz w:val="22"/>
          <w:szCs w:val="22"/>
        </w:rPr>
        <w:tab/>
      </w:r>
      <w:r w:rsidR="000E5097" w:rsidRPr="000E5097">
        <w:rPr>
          <w:rFonts w:asciiTheme="majorHAnsi" w:hAnsiTheme="majorHAnsi" w:cs="Arial"/>
          <w:b/>
          <w:i/>
          <w:sz w:val="22"/>
          <w:szCs w:val="22"/>
        </w:rPr>
        <w:t>Objetivo 3: Empoderar al afiliado</w:t>
      </w:r>
      <w:r w:rsidRPr="00F23600">
        <w:rPr>
          <w:rFonts w:asciiTheme="majorHAnsi" w:hAnsiTheme="majorHAnsi" w:cs="Arial"/>
          <w:sz w:val="22"/>
          <w:szCs w:val="22"/>
        </w:rPr>
        <w:t xml:space="preserve">: </w:t>
      </w:r>
      <w:r w:rsidR="000E5097" w:rsidRPr="000E5097">
        <w:rPr>
          <w:rFonts w:asciiTheme="majorHAnsi" w:hAnsiTheme="majorHAnsi" w:cs="Arial"/>
          <w:sz w:val="22"/>
          <w:szCs w:val="22"/>
        </w:rPr>
        <w:t>Este plan estratégico propone un eje que apunte hacia la mejora de los procesos del S</w:t>
      </w:r>
      <w:r w:rsidR="009A7290">
        <w:rPr>
          <w:rFonts w:asciiTheme="majorHAnsi" w:hAnsiTheme="majorHAnsi" w:cs="Arial"/>
          <w:sz w:val="22"/>
          <w:szCs w:val="22"/>
        </w:rPr>
        <w:t xml:space="preserve">istema </w:t>
      </w:r>
      <w:r w:rsidR="000E5097" w:rsidRPr="000E5097">
        <w:rPr>
          <w:rFonts w:asciiTheme="majorHAnsi" w:hAnsiTheme="majorHAnsi" w:cs="Arial"/>
          <w:sz w:val="22"/>
          <w:szCs w:val="22"/>
        </w:rPr>
        <w:t>N</w:t>
      </w:r>
      <w:r w:rsidR="009A7290">
        <w:rPr>
          <w:rFonts w:asciiTheme="majorHAnsi" w:hAnsiTheme="majorHAnsi" w:cs="Arial"/>
          <w:sz w:val="22"/>
          <w:szCs w:val="22"/>
        </w:rPr>
        <w:t xml:space="preserve">acional de </w:t>
      </w:r>
      <w:r w:rsidR="000E5097" w:rsidRPr="000E5097">
        <w:rPr>
          <w:rFonts w:asciiTheme="majorHAnsi" w:hAnsiTheme="majorHAnsi" w:cs="Arial"/>
          <w:sz w:val="22"/>
          <w:szCs w:val="22"/>
        </w:rPr>
        <w:t>P</w:t>
      </w:r>
      <w:r w:rsidR="009A7290">
        <w:rPr>
          <w:rFonts w:asciiTheme="majorHAnsi" w:hAnsiTheme="majorHAnsi" w:cs="Arial"/>
          <w:sz w:val="22"/>
          <w:szCs w:val="22"/>
        </w:rPr>
        <w:t>ensiones</w:t>
      </w:r>
      <w:r w:rsidR="000E5097" w:rsidRPr="000E5097">
        <w:rPr>
          <w:rFonts w:asciiTheme="majorHAnsi" w:hAnsiTheme="majorHAnsi" w:cs="Arial"/>
          <w:sz w:val="22"/>
          <w:szCs w:val="22"/>
        </w:rPr>
        <w:t xml:space="preserve"> de cara al afiliado. En este caso la S</w:t>
      </w:r>
      <w:r w:rsidR="000E5097">
        <w:rPr>
          <w:rFonts w:asciiTheme="majorHAnsi" w:hAnsiTheme="majorHAnsi" w:cs="Arial"/>
          <w:sz w:val="22"/>
          <w:szCs w:val="22"/>
        </w:rPr>
        <w:t>UPEN ha identificado varios cam</w:t>
      </w:r>
      <w:r w:rsidR="000E5097" w:rsidRPr="000E5097">
        <w:rPr>
          <w:rFonts w:asciiTheme="majorHAnsi" w:hAnsiTheme="majorHAnsi" w:cs="Arial"/>
          <w:sz w:val="22"/>
          <w:szCs w:val="22"/>
        </w:rPr>
        <w:t>bios que mejorarían significativamente la calidad de los servicios que se brindan. Como visión estratégica se pretende volcar el é</w:t>
      </w:r>
      <w:r w:rsidR="000E5097">
        <w:rPr>
          <w:rFonts w:asciiTheme="majorHAnsi" w:hAnsiTheme="majorHAnsi" w:cs="Arial"/>
          <w:sz w:val="22"/>
          <w:szCs w:val="22"/>
        </w:rPr>
        <w:t>nfasis del manejo de la supervi</w:t>
      </w:r>
      <w:r w:rsidR="000E5097" w:rsidRPr="000E5097">
        <w:rPr>
          <w:rFonts w:asciiTheme="majorHAnsi" w:hAnsiTheme="majorHAnsi" w:cs="Arial"/>
          <w:sz w:val="22"/>
          <w:szCs w:val="22"/>
        </w:rPr>
        <w:t>sión y trasladarlo no solamente al fondo de pensiones sino a las personas, promoviendo el entendimiento en los afiliados de t</w:t>
      </w:r>
      <w:r w:rsidR="000E5097">
        <w:rPr>
          <w:rFonts w:asciiTheme="majorHAnsi" w:hAnsiTheme="majorHAnsi" w:cs="Arial"/>
          <w:sz w:val="22"/>
          <w:szCs w:val="22"/>
        </w:rPr>
        <w:t>odos los productos que les ofre</w:t>
      </w:r>
      <w:r w:rsidR="000E5097" w:rsidRPr="000E5097">
        <w:rPr>
          <w:rFonts w:asciiTheme="majorHAnsi" w:hAnsiTheme="majorHAnsi" w:cs="Arial"/>
          <w:sz w:val="22"/>
          <w:szCs w:val="22"/>
        </w:rPr>
        <w:t>cen los administradores, procurando en todo momento que este conocimiento del afiliado le permita la toma de mejores decisiones y la demanda por servicios de mayor calidad, las cuales deben adaptarse a las necesidades siempre cambiantes de los afiliados</w:t>
      </w:r>
      <w:r w:rsidRPr="00F23600">
        <w:rPr>
          <w:rFonts w:asciiTheme="majorHAnsi" w:hAnsiTheme="majorHAnsi" w:cs="Arial"/>
          <w:sz w:val="22"/>
          <w:szCs w:val="22"/>
        </w:rPr>
        <w:t>.</w:t>
      </w:r>
    </w:p>
    <w:p w14:paraId="0A47D582" w14:textId="77777777" w:rsidR="001A6E05" w:rsidRDefault="001A6E05" w:rsidP="00F23600">
      <w:pPr>
        <w:jc w:val="both"/>
        <w:rPr>
          <w:rFonts w:asciiTheme="majorHAnsi" w:hAnsiTheme="majorHAnsi" w:cs="Arial"/>
          <w:sz w:val="22"/>
          <w:szCs w:val="22"/>
        </w:rPr>
      </w:pPr>
    </w:p>
    <w:p w14:paraId="06A94810" w14:textId="5D90BEDA" w:rsidR="000E79AF" w:rsidRDefault="000E79AF" w:rsidP="000E79AF">
      <w:pPr>
        <w:widowControl w:val="0"/>
        <w:ind w:left="567"/>
        <w:rPr>
          <w:rFonts w:asciiTheme="majorHAnsi" w:hAnsiTheme="majorHAnsi"/>
          <w:b/>
          <w:bCs/>
          <w:sz w:val="22"/>
          <w:szCs w:val="22"/>
          <w:lang w:val="es-ES_tradnl"/>
        </w:rPr>
      </w:pPr>
      <w:r w:rsidRPr="00060053">
        <w:rPr>
          <w:rFonts w:asciiTheme="majorHAnsi" w:hAnsiTheme="majorHAnsi"/>
          <w:b/>
          <w:bCs/>
          <w:sz w:val="22"/>
          <w:szCs w:val="22"/>
          <w:lang w:val="es-ES_tradnl"/>
        </w:rPr>
        <w:t>Clientes</w:t>
      </w:r>
    </w:p>
    <w:p w14:paraId="14F68917" w14:textId="77777777" w:rsidR="001A6E05" w:rsidRPr="00060053" w:rsidRDefault="001A6E05" w:rsidP="000E79AF">
      <w:pPr>
        <w:widowControl w:val="0"/>
        <w:ind w:left="567"/>
        <w:rPr>
          <w:rFonts w:asciiTheme="majorHAnsi" w:hAnsiTheme="majorHAnsi"/>
          <w:b/>
          <w:bCs/>
          <w:sz w:val="22"/>
          <w:szCs w:val="22"/>
          <w:lang w:val="es-ES_tradnl"/>
        </w:rPr>
      </w:pPr>
    </w:p>
    <w:p w14:paraId="06A94811" w14:textId="77777777" w:rsidR="000E79AF" w:rsidRPr="00060053" w:rsidRDefault="000E79AF" w:rsidP="00DA5C23">
      <w:pPr>
        <w:widowControl w:val="0"/>
        <w:numPr>
          <w:ilvl w:val="0"/>
          <w:numId w:val="1"/>
        </w:numPr>
        <w:tabs>
          <w:tab w:val="clear" w:pos="1134"/>
          <w:tab w:val="num" w:pos="2127"/>
        </w:tabs>
        <w:ind w:left="2127" w:hanging="1560"/>
        <w:jc w:val="both"/>
        <w:rPr>
          <w:rFonts w:asciiTheme="majorHAnsi" w:hAnsiTheme="majorHAnsi"/>
          <w:sz w:val="22"/>
          <w:szCs w:val="22"/>
          <w:lang w:val="es-ES_tradnl"/>
        </w:rPr>
      </w:pPr>
      <w:r w:rsidRPr="00060053">
        <w:rPr>
          <w:rFonts w:asciiTheme="majorHAnsi" w:hAnsiTheme="majorHAnsi"/>
          <w:sz w:val="22"/>
          <w:szCs w:val="22"/>
          <w:lang w:val="es-ES_tradnl"/>
        </w:rPr>
        <w:t>Afiliados</w:t>
      </w:r>
    </w:p>
    <w:p w14:paraId="06A94812" w14:textId="77777777" w:rsidR="000E79AF" w:rsidRPr="00060053" w:rsidRDefault="000E79AF" w:rsidP="00DA5C23">
      <w:pPr>
        <w:widowControl w:val="0"/>
        <w:numPr>
          <w:ilvl w:val="0"/>
          <w:numId w:val="1"/>
        </w:numPr>
        <w:tabs>
          <w:tab w:val="clear" w:pos="1134"/>
          <w:tab w:val="num" w:pos="2127"/>
        </w:tabs>
        <w:ind w:left="2127" w:hanging="1560"/>
        <w:jc w:val="both"/>
        <w:rPr>
          <w:rFonts w:asciiTheme="majorHAnsi" w:hAnsiTheme="majorHAnsi"/>
          <w:sz w:val="22"/>
          <w:szCs w:val="22"/>
          <w:lang w:val="es-ES_tradnl"/>
        </w:rPr>
      </w:pPr>
      <w:r w:rsidRPr="00060053">
        <w:rPr>
          <w:rFonts w:asciiTheme="majorHAnsi" w:hAnsiTheme="majorHAnsi"/>
          <w:sz w:val="22"/>
          <w:szCs w:val="22"/>
          <w:lang w:val="es-ES_tradnl"/>
        </w:rPr>
        <w:t>Beneficiarios</w:t>
      </w:r>
    </w:p>
    <w:p w14:paraId="06A94813" w14:textId="77777777" w:rsidR="000E79AF" w:rsidRPr="00060053" w:rsidRDefault="000E79AF" w:rsidP="00DA5C23">
      <w:pPr>
        <w:widowControl w:val="0"/>
        <w:numPr>
          <w:ilvl w:val="0"/>
          <w:numId w:val="1"/>
        </w:numPr>
        <w:tabs>
          <w:tab w:val="clear" w:pos="1134"/>
          <w:tab w:val="num" w:pos="2127"/>
        </w:tabs>
        <w:ind w:left="2127" w:hanging="1560"/>
        <w:jc w:val="both"/>
        <w:rPr>
          <w:rFonts w:asciiTheme="majorHAnsi" w:hAnsiTheme="majorHAnsi"/>
          <w:sz w:val="22"/>
          <w:szCs w:val="22"/>
          <w:lang w:val="es-ES_tradnl"/>
        </w:rPr>
      </w:pPr>
      <w:r w:rsidRPr="00060053">
        <w:rPr>
          <w:rFonts w:asciiTheme="majorHAnsi" w:hAnsiTheme="majorHAnsi"/>
          <w:sz w:val="22"/>
          <w:szCs w:val="22"/>
          <w:lang w:val="es-ES_tradnl"/>
        </w:rPr>
        <w:t xml:space="preserve">Pensionados </w:t>
      </w:r>
    </w:p>
    <w:p w14:paraId="06A94814" w14:textId="77777777" w:rsidR="001F7F1F" w:rsidRPr="00060053" w:rsidRDefault="001F7F1F" w:rsidP="008E29AF">
      <w:pPr>
        <w:ind w:left="360"/>
        <w:rPr>
          <w:rFonts w:asciiTheme="majorHAnsi" w:hAnsiTheme="majorHAnsi"/>
          <w:sz w:val="22"/>
          <w:szCs w:val="22"/>
        </w:rPr>
      </w:pPr>
    </w:p>
    <w:p w14:paraId="06A94815" w14:textId="00D69075" w:rsidR="008E29AF" w:rsidRPr="00F72E43" w:rsidRDefault="00F72E43" w:rsidP="00F72E43">
      <w:pPr>
        <w:pStyle w:val="Ttulo2"/>
        <w:ind w:left="360"/>
        <w:rPr>
          <w:rFonts w:asciiTheme="majorHAnsi" w:hAnsiTheme="majorHAnsi"/>
          <w:sz w:val="22"/>
          <w:szCs w:val="22"/>
        </w:rPr>
      </w:pPr>
      <w:bookmarkStart w:id="4" w:name="_Toc429563193"/>
      <w:r>
        <w:rPr>
          <w:rFonts w:asciiTheme="majorHAnsi" w:hAnsiTheme="majorHAnsi"/>
          <w:sz w:val="22"/>
          <w:szCs w:val="22"/>
        </w:rPr>
        <w:t>1.2.2.</w:t>
      </w:r>
      <w:r>
        <w:rPr>
          <w:rFonts w:asciiTheme="majorHAnsi" w:hAnsiTheme="majorHAnsi"/>
          <w:sz w:val="22"/>
          <w:szCs w:val="22"/>
        </w:rPr>
        <w:tab/>
      </w:r>
      <w:r w:rsidR="008E29AF" w:rsidRPr="00F72E43">
        <w:rPr>
          <w:rFonts w:asciiTheme="majorHAnsi" w:hAnsiTheme="majorHAnsi"/>
          <w:sz w:val="22"/>
          <w:szCs w:val="22"/>
        </w:rPr>
        <w:t>Panorama Institucional</w:t>
      </w:r>
      <w:bookmarkEnd w:id="4"/>
    </w:p>
    <w:p w14:paraId="06A94816" w14:textId="77777777" w:rsidR="0030723E" w:rsidRPr="00060053" w:rsidRDefault="0030723E" w:rsidP="0030723E">
      <w:pPr>
        <w:ind w:left="360"/>
        <w:rPr>
          <w:rFonts w:asciiTheme="majorHAnsi" w:hAnsiTheme="majorHAnsi"/>
          <w:b/>
          <w:sz w:val="22"/>
          <w:szCs w:val="22"/>
        </w:rPr>
      </w:pPr>
    </w:p>
    <w:p w14:paraId="45F74FEF" w14:textId="77777777" w:rsidR="000A6BBA" w:rsidRPr="005F2CD8" w:rsidRDefault="000A6BBA" w:rsidP="000A6BBA">
      <w:pPr>
        <w:ind w:left="1134"/>
        <w:rPr>
          <w:rFonts w:ascii="Cambria" w:hAnsi="Cambria"/>
          <w:b/>
          <w:bCs/>
          <w:sz w:val="22"/>
          <w:szCs w:val="22"/>
        </w:rPr>
      </w:pPr>
      <w:r w:rsidRPr="005F2CD8">
        <w:rPr>
          <w:rFonts w:ascii="Cambria" w:hAnsi="Cambria"/>
          <w:b/>
          <w:bCs/>
          <w:sz w:val="22"/>
          <w:szCs w:val="22"/>
        </w:rPr>
        <w:t>Marco Jurídico Institucional</w:t>
      </w:r>
    </w:p>
    <w:p w14:paraId="3BC25BA4" w14:textId="77777777" w:rsidR="000A6BBA" w:rsidRPr="005F2CD8" w:rsidRDefault="000A6BBA" w:rsidP="000A6BBA">
      <w:pPr>
        <w:pStyle w:val="Textoindependiente"/>
        <w:ind w:left="360"/>
        <w:jc w:val="both"/>
        <w:rPr>
          <w:rFonts w:ascii="Cambria" w:hAnsi="Cambria"/>
          <w:color w:val="auto"/>
          <w:sz w:val="22"/>
          <w:szCs w:val="22"/>
          <w:lang w:val="es-ES_tradnl"/>
        </w:rPr>
      </w:pPr>
    </w:p>
    <w:p w14:paraId="2A4277EC" w14:textId="77777777" w:rsidR="000A6BBA" w:rsidRPr="005F2CD8" w:rsidRDefault="000A6BBA" w:rsidP="000A6BBA">
      <w:pPr>
        <w:pStyle w:val="Textoindependiente"/>
        <w:spacing w:line="240" w:lineRule="auto"/>
        <w:ind w:firstLine="360"/>
        <w:jc w:val="both"/>
        <w:rPr>
          <w:rFonts w:ascii="Cambria" w:hAnsi="Cambria"/>
          <w:color w:val="auto"/>
          <w:sz w:val="22"/>
          <w:szCs w:val="22"/>
          <w:lang w:val="es-ES_tradnl"/>
        </w:rPr>
      </w:pPr>
      <w:r w:rsidRPr="005F2CD8">
        <w:rPr>
          <w:rFonts w:ascii="Cambria" w:hAnsi="Cambria"/>
          <w:color w:val="auto"/>
          <w:sz w:val="22"/>
          <w:szCs w:val="22"/>
          <w:lang w:val="es-ES_tradnl"/>
        </w:rPr>
        <w:t>El marco jurídico que rige la Institución se establece en las siguientes leyes:</w:t>
      </w:r>
    </w:p>
    <w:p w14:paraId="52FF6E4D"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2C376A73" w14:textId="77777777" w:rsidR="000A6BBA" w:rsidRPr="005F2CD8"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7523, Ley del Régimen Privado de Pensiones Complementarias y sus reformas.</w:t>
      </w:r>
    </w:p>
    <w:p w14:paraId="64FB7586" w14:textId="77777777" w:rsidR="000A6BBA" w:rsidRPr="005F2CD8" w:rsidRDefault="000A6BBA" w:rsidP="00C914C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7983, Ley de Protección al Trabajador.</w:t>
      </w:r>
    </w:p>
    <w:p w14:paraId="1B6E2FAA" w14:textId="77777777" w:rsidR="00BD2C6A" w:rsidRPr="00BD2C6A" w:rsidRDefault="000A6BB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BD2C6A">
        <w:rPr>
          <w:rFonts w:ascii="Cambria" w:hAnsi="Cambria"/>
          <w:color w:val="auto"/>
          <w:sz w:val="22"/>
          <w:szCs w:val="22"/>
          <w:lang w:val="es-ES_tradnl"/>
        </w:rPr>
        <w:t>Ley 7732, Ley Reguladora del Mercado de Valores.</w:t>
      </w:r>
      <w:r w:rsidR="00BD2C6A" w:rsidRPr="00BD2C6A">
        <w:rPr>
          <w:rFonts w:ascii="Cambria" w:hAnsi="Cambria"/>
          <w:color w:val="auto"/>
          <w:sz w:val="22"/>
          <w:szCs w:val="22"/>
          <w:lang w:val="es-ES_tradnl"/>
        </w:rPr>
        <w:t xml:space="preserve"> </w:t>
      </w:r>
    </w:p>
    <w:p w14:paraId="776A9260" w14:textId="6D2752D0" w:rsidR="00BD2C6A" w:rsidRPr="00BD2C6A" w:rsidRDefault="00BD2C6A" w:rsidP="00BD2C6A">
      <w:pPr>
        <w:pStyle w:val="Textoindependiente"/>
        <w:widowControl/>
        <w:numPr>
          <w:ilvl w:val="0"/>
          <w:numId w:val="1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mbria" w:hAnsi="Cambria"/>
          <w:color w:val="auto"/>
          <w:sz w:val="22"/>
          <w:szCs w:val="22"/>
          <w:lang w:val="es-ES_tradnl"/>
        </w:rPr>
      </w:pPr>
      <w:r w:rsidRPr="00BD2C6A">
        <w:rPr>
          <w:rFonts w:ascii="Cambria" w:hAnsi="Cambria"/>
          <w:color w:val="auto"/>
          <w:sz w:val="22"/>
          <w:szCs w:val="22"/>
          <w:lang w:val="es-ES_tradnl"/>
        </w:rPr>
        <w:t xml:space="preserve">Ley 8343, Ley de Contingencia Fiscal. </w:t>
      </w:r>
    </w:p>
    <w:p w14:paraId="140A09AE" w14:textId="77777777" w:rsidR="000A6BBA" w:rsidRPr="005F2CD8" w:rsidRDefault="000A6BBA" w:rsidP="00BD2C6A">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jc w:val="both"/>
        <w:textAlignment w:val="auto"/>
        <w:rPr>
          <w:rFonts w:ascii="Cambria" w:hAnsi="Cambria"/>
          <w:color w:val="auto"/>
          <w:sz w:val="22"/>
          <w:szCs w:val="22"/>
          <w:lang w:val="es-ES_tradnl"/>
        </w:rPr>
      </w:pPr>
    </w:p>
    <w:p w14:paraId="169CDFCD" w14:textId="68C0C95A"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t>La Ley del Régimen Privado de Pensiones Comp</w:t>
      </w:r>
      <w:r w:rsidR="00676859">
        <w:rPr>
          <w:rFonts w:ascii="Cambria" w:hAnsi="Cambria"/>
          <w:color w:val="auto"/>
          <w:sz w:val="22"/>
          <w:szCs w:val="22"/>
          <w:lang w:val="es-ES_tradnl"/>
        </w:rPr>
        <w:t>lementarias y sus reformas, N°</w:t>
      </w:r>
      <w:r w:rsidRPr="005F2CD8">
        <w:rPr>
          <w:rFonts w:ascii="Cambria" w:hAnsi="Cambria"/>
          <w:color w:val="auto"/>
          <w:sz w:val="22"/>
          <w:szCs w:val="22"/>
          <w:lang w:val="es-ES_tradnl"/>
        </w:rPr>
        <w:t xml:space="preserve">7523 publicada en el Diario </w:t>
      </w:r>
      <w:r w:rsidRPr="009212EF">
        <w:rPr>
          <w:rFonts w:ascii="Cambria" w:hAnsi="Cambria"/>
          <w:color w:val="auto"/>
          <w:sz w:val="22"/>
          <w:szCs w:val="22"/>
          <w:lang w:val="es-ES_tradnl"/>
        </w:rPr>
        <w:t xml:space="preserve">Oficial </w:t>
      </w:r>
      <w:r w:rsidR="009212EF">
        <w:rPr>
          <w:rFonts w:ascii="Cambria" w:hAnsi="Cambria"/>
          <w:color w:val="auto"/>
          <w:sz w:val="22"/>
          <w:szCs w:val="22"/>
          <w:lang w:val="es-ES_tradnl"/>
        </w:rPr>
        <w:t>La Gaceta</w:t>
      </w:r>
      <w:r w:rsidRPr="009212EF">
        <w:rPr>
          <w:rFonts w:ascii="Cambria" w:hAnsi="Cambria"/>
          <w:color w:val="auto"/>
          <w:sz w:val="22"/>
          <w:szCs w:val="22"/>
          <w:lang w:val="es-ES_tradnl"/>
        </w:rPr>
        <w:t xml:space="preserve"> </w:t>
      </w:r>
      <w:r w:rsidR="009212EF">
        <w:rPr>
          <w:rFonts w:ascii="Cambria" w:hAnsi="Cambria"/>
          <w:color w:val="auto"/>
          <w:sz w:val="22"/>
          <w:szCs w:val="22"/>
          <w:lang w:val="es-ES_tradnl"/>
        </w:rPr>
        <w:t>N°</w:t>
      </w:r>
      <w:r w:rsidRPr="009212EF">
        <w:rPr>
          <w:rFonts w:ascii="Cambria" w:hAnsi="Cambria"/>
          <w:color w:val="auto"/>
          <w:sz w:val="22"/>
          <w:szCs w:val="22"/>
          <w:lang w:val="es-ES_tradnl"/>
        </w:rPr>
        <w:t>156 del 18</w:t>
      </w:r>
      <w:r w:rsidRPr="005F2CD8">
        <w:rPr>
          <w:rFonts w:ascii="Cambria" w:hAnsi="Cambria"/>
          <w:color w:val="auto"/>
          <w:sz w:val="22"/>
          <w:szCs w:val="22"/>
          <w:lang w:val="es-ES_tradnl"/>
        </w:rPr>
        <w:t xml:space="preserve"> de agosto de 1995, autorizó la creación de los sistemas o planes privados de pensiones complementarias y de ahorro individual, destinados a brindar a los beneficiarios protección complementaria ante los riesgos de la vejez y muerte. Dicha ley creó la </w:t>
      </w:r>
      <w:r w:rsidRPr="005F2CD8">
        <w:rPr>
          <w:rFonts w:ascii="Cambria" w:hAnsi="Cambria"/>
          <w:b/>
          <w:bCs/>
          <w:smallCaps/>
          <w:color w:val="auto"/>
          <w:sz w:val="22"/>
          <w:szCs w:val="22"/>
          <w:lang w:val="es-ES_tradnl"/>
        </w:rPr>
        <w:t>Superintendencia de Pensiones</w:t>
      </w:r>
      <w:r w:rsidRPr="005F2CD8">
        <w:rPr>
          <w:rFonts w:ascii="Cambria" w:hAnsi="Cambria"/>
          <w:color w:val="auto"/>
          <w:sz w:val="22"/>
          <w:szCs w:val="22"/>
          <w:lang w:val="es-ES_tradnl"/>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Pr>
          <w:rFonts w:ascii="Cambria" w:hAnsi="Cambria"/>
          <w:color w:val="auto"/>
          <w:sz w:val="22"/>
          <w:szCs w:val="22"/>
          <w:lang w:val="es-ES_tradnl"/>
        </w:rPr>
        <w:t>Operadoras de Pensiones C</w:t>
      </w:r>
      <w:r w:rsidRPr="005F2CD8">
        <w:rPr>
          <w:rFonts w:ascii="Cambria" w:hAnsi="Cambria"/>
          <w:color w:val="auto"/>
          <w:sz w:val="22"/>
          <w:szCs w:val="22"/>
          <w:lang w:val="es-ES_tradnl"/>
        </w:rPr>
        <w:t>omplementarias (OPC).</w:t>
      </w:r>
    </w:p>
    <w:p w14:paraId="1B426FDA"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5EC9B065" w14:textId="595759DE" w:rsidR="000A6BBA" w:rsidRPr="005F2CD8" w:rsidRDefault="007D7EDA" w:rsidP="000A6BBA">
      <w:pPr>
        <w:pStyle w:val="Textoindependiente"/>
        <w:spacing w:line="240" w:lineRule="auto"/>
        <w:jc w:val="both"/>
        <w:rPr>
          <w:rFonts w:ascii="Cambria" w:hAnsi="Cambria"/>
          <w:color w:val="auto"/>
          <w:sz w:val="22"/>
          <w:szCs w:val="22"/>
          <w:lang w:val="es-ES_tradnl"/>
        </w:rPr>
      </w:pPr>
      <w:r>
        <w:rPr>
          <w:rFonts w:ascii="Cambria" w:hAnsi="Cambria"/>
          <w:color w:val="auto"/>
          <w:sz w:val="22"/>
          <w:szCs w:val="22"/>
          <w:lang w:val="es-ES_tradnl"/>
        </w:rPr>
        <w:t>Con</w:t>
      </w:r>
      <w:r w:rsidR="000A6BBA" w:rsidRPr="005F2CD8">
        <w:rPr>
          <w:rFonts w:ascii="Cambria" w:hAnsi="Cambria"/>
          <w:color w:val="auto"/>
          <w:sz w:val="22"/>
          <w:szCs w:val="22"/>
          <w:lang w:val="es-ES_tradnl"/>
        </w:rPr>
        <w:t xml:space="preserve"> la aprobación de la Ley d</w:t>
      </w:r>
      <w:r w:rsidR="00676859">
        <w:rPr>
          <w:rFonts w:ascii="Cambria" w:hAnsi="Cambria"/>
          <w:color w:val="auto"/>
          <w:sz w:val="22"/>
          <w:szCs w:val="22"/>
          <w:lang w:val="es-ES_tradnl"/>
        </w:rPr>
        <w:t xml:space="preserve">e Protección al </w:t>
      </w:r>
      <w:r w:rsidR="00A45792">
        <w:rPr>
          <w:rFonts w:ascii="Cambria" w:hAnsi="Cambria"/>
          <w:color w:val="auto"/>
          <w:sz w:val="22"/>
          <w:szCs w:val="22"/>
          <w:lang w:val="es-ES_tradnl"/>
        </w:rPr>
        <w:t>Trabajador, N</w:t>
      </w:r>
      <w:r w:rsidR="009371AC">
        <w:rPr>
          <w:rFonts w:ascii="Cambria" w:hAnsi="Cambria"/>
          <w:color w:val="auto"/>
          <w:sz w:val="22"/>
          <w:szCs w:val="22"/>
          <w:lang w:val="es-ES_tradnl"/>
        </w:rPr>
        <w:t>°</w:t>
      </w:r>
      <w:r w:rsidR="000A6BBA" w:rsidRPr="005F2CD8">
        <w:rPr>
          <w:rFonts w:ascii="Cambria" w:hAnsi="Cambria"/>
          <w:color w:val="auto"/>
          <w:sz w:val="22"/>
          <w:szCs w:val="22"/>
          <w:lang w:val="es-ES_tradnl"/>
        </w:rPr>
        <w:t xml:space="preserve"> 7983, publicada en el Alcance</w:t>
      </w:r>
      <w:r w:rsidR="009212EF">
        <w:rPr>
          <w:rFonts w:ascii="Cambria" w:hAnsi="Cambria"/>
          <w:color w:val="auto"/>
          <w:sz w:val="22"/>
          <w:szCs w:val="22"/>
          <w:lang w:val="es-ES_tradnl"/>
        </w:rPr>
        <w:t xml:space="preserve"> N°</w:t>
      </w:r>
      <w:r w:rsidR="000A6BBA" w:rsidRPr="005F2CD8">
        <w:rPr>
          <w:rFonts w:ascii="Cambria" w:hAnsi="Cambria"/>
          <w:color w:val="auto"/>
          <w:sz w:val="22"/>
          <w:szCs w:val="22"/>
          <w:lang w:val="es-ES_tradnl"/>
        </w:rPr>
        <w:t xml:space="preserve">11 </w:t>
      </w:r>
      <w:r w:rsidR="000A6BBA" w:rsidRPr="009212EF">
        <w:rPr>
          <w:rFonts w:ascii="Cambria" w:hAnsi="Cambria"/>
          <w:color w:val="auto"/>
          <w:sz w:val="22"/>
          <w:szCs w:val="22"/>
          <w:lang w:val="es-ES_tradnl"/>
        </w:rPr>
        <w:t xml:space="preserve">a La Gaceta </w:t>
      </w:r>
      <w:r w:rsidR="009212EF">
        <w:rPr>
          <w:rFonts w:ascii="Cambria" w:hAnsi="Cambria"/>
          <w:color w:val="auto"/>
          <w:sz w:val="22"/>
          <w:szCs w:val="22"/>
          <w:lang w:val="es-ES_tradnl"/>
        </w:rPr>
        <w:t>N°</w:t>
      </w:r>
      <w:r w:rsidR="000A6BBA" w:rsidRPr="009212EF">
        <w:rPr>
          <w:rFonts w:ascii="Cambria" w:hAnsi="Cambria"/>
          <w:color w:val="auto"/>
          <w:sz w:val="22"/>
          <w:szCs w:val="22"/>
          <w:lang w:val="es-ES_tradnl"/>
        </w:rPr>
        <w:t>35, del</w:t>
      </w:r>
      <w:r w:rsidR="000A6BBA" w:rsidRPr="005F2CD8">
        <w:rPr>
          <w:rFonts w:ascii="Cambria" w:hAnsi="Cambria"/>
          <w:color w:val="auto"/>
          <w:sz w:val="22"/>
          <w:szCs w:val="22"/>
          <w:lang w:val="es-ES_tradnl"/>
        </w:rPr>
        <w:t xml:space="preserve"> 18 de febrero de 2000, el ámbito de acción de la Superintendencia varió considerablemente. Quedaron bajo la supervisión de la </w:t>
      </w:r>
      <w:r w:rsidR="000A6BBA" w:rsidRPr="005F2CD8">
        <w:rPr>
          <w:rFonts w:ascii="Cambria" w:hAnsi="Cambria"/>
          <w:caps/>
          <w:color w:val="auto"/>
          <w:sz w:val="22"/>
          <w:szCs w:val="22"/>
          <w:lang w:val="es-ES_tradnl"/>
        </w:rPr>
        <w:t>SUPEN</w:t>
      </w:r>
      <w:r w:rsidR="000A6BBA" w:rsidRPr="005F2CD8">
        <w:rPr>
          <w:rFonts w:ascii="Cambria" w:hAnsi="Cambria"/>
          <w:b/>
          <w:bCs/>
          <w:caps/>
          <w:color w:val="auto"/>
          <w:sz w:val="22"/>
          <w:szCs w:val="22"/>
          <w:lang w:val="es-ES_tradnl"/>
        </w:rPr>
        <w:t xml:space="preserve"> </w:t>
      </w:r>
      <w:r w:rsidR="000A6BBA" w:rsidRPr="005F2CD8">
        <w:rPr>
          <w:rFonts w:ascii="Cambria" w:hAnsi="Cambria"/>
          <w:color w:val="auto"/>
          <w:sz w:val="22"/>
          <w:szCs w:val="22"/>
          <w:lang w:val="es-ES_tradnl"/>
        </w:rPr>
        <w:t>los regímenes básicos de pensiones, tanto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7A81075A"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430400C8" w14:textId="78EF6890"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t xml:space="preserve">A la </w:t>
      </w:r>
      <w:r w:rsidRPr="005F2CD8">
        <w:rPr>
          <w:rFonts w:ascii="Cambria" w:hAnsi="Cambria"/>
          <w:caps/>
          <w:color w:val="auto"/>
          <w:sz w:val="22"/>
          <w:szCs w:val="22"/>
          <w:lang w:val="es-ES_tradnl"/>
        </w:rPr>
        <w:t>SUPEN</w:t>
      </w:r>
      <w:r w:rsidRPr="005F2CD8">
        <w:rPr>
          <w:rFonts w:ascii="Cambria" w:hAnsi="Cambria"/>
          <w:b/>
          <w:bCs/>
          <w:caps/>
          <w:color w:val="auto"/>
          <w:sz w:val="22"/>
          <w:szCs w:val="22"/>
          <w:lang w:val="es-ES_tradnl"/>
        </w:rPr>
        <w:t xml:space="preserve"> </w:t>
      </w:r>
      <w:r w:rsidRPr="005F2CD8">
        <w:rPr>
          <w:rFonts w:ascii="Cambria" w:hAnsi="Cambria"/>
          <w:color w:val="auto"/>
          <w:sz w:val="22"/>
          <w:szCs w:val="22"/>
          <w:lang w:val="es-ES_tradnl"/>
        </w:rPr>
        <w:t>le fue encargada la regulación y supervisión de los regímenes que creó la L</w:t>
      </w:r>
      <w:r w:rsidR="007D7EDA">
        <w:rPr>
          <w:rFonts w:ascii="Cambria" w:hAnsi="Cambria"/>
          <w:color w:val="auto"/>
          <w:sz w:val="22"/>
          <w:szCs w:val="22"/>
          <w:lang w:val="es-ES_tradnl"/>
        </w:rPr>
        <w:t xml:space="preserve">ey de Protección al Trabajador: </w:t>
      </w:r>
      <w:r w:rsidRPr="005F2CD8">
        <w:rPr>
          <w:rFonts w:ascii="Cambria" w:hAnsi="Cambria"/>
          <w:color w:val="auto"/>
          <w:sz w:val="22"/>
          <w:szCs w:val="22"/>
          <w:lang w:val="es-ES_tradnl"/>
        </w:rPr>
        <w:t>el Régimen Obligatorio de Pensiones Complementarias conocido como el ROPC y los Fondos de Capitalización Laboral FCL,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0B9EC084" w14:textId="77777777" w:rsidR="000A6BBA" w:rsidRPr="005F2CD8" w:rsidRDefault="000A6BBA" w:rsidP="000A6BBA">
      <w:pPr>
        <w:pStyle w:val="Textoindependiente"/>
        <w:spacing w:line="240" w:lineRule="auto"/>
        <w:jc w:val="both"/>
        <w:rPr>
          <w:rFonts w:ascii="Cambria" w:hAnsi="Cambria"/>
          <w:color w:val="auto"/>
          <w:sz w:val="22"/>
          <w:szCs w:val="22"/>
          <w:lang w:val="es-ES_tradnl"/>
        </w:rPr>
      </w:pPr>
    </w:p>
    <w:p w14:paraId="4E83B217" w14:textId="00AF8570" w:rsidR="00BD2C6A" w:rsidRDefault="00BD2C6A" w:rsidP="000A6BBA">
      <w:pPr>
        <w:pStyle w:val="Textoindependiente"/>
        <w:spacing w:line="240" w:lineRule="auto"/>
        <w:jc w:val="both"/>
        <w:rPr>
          <w:rFonts w:ascii="Cambria" w:hAnsi="Cambria"/>
          <w:color w:val="auto"/>
          <w:sz w:val="22"/>
          <w:szCs w:val="22"/>
          <w:lang w:val="es-ES_tradnl"/>
        </w:rPr>
      </w:pPr>
      <w:r w:rsidRPr="00BD2C6A">
        <w:rPr>
          <w:rFonts w:ascii="Cambria" w:hAnsi="Cambria"/>
          <w:color w:val="auto"/>
          <w:sz w:val="22"/>
          <w:szCs w:val="22"/>
          <w:lang w:val="es-ES_tradnl"/>
        </w:rPr>
        <w:t xml:space="preserve">La Ley Reguladora del Mercado de Valores, Ley N°7732 reformada por la Ley de Protección al Trabajador establece las potestades del </w:t>
      </w:r>
      <w:r w:rsidR="007D7EDA">
        <w:rPr>
          <w:rFonts w:ascii="Cambria" w:hAnsi="Cambria"/>
          <w:color w:val="auto"/>
          <w:sz w:val="22"/>
          <w:szCs w:val="22"/>
          <w:lang w:val="es-ES_tradnl"/>
        </w:rPr>
        <w:t>CONASSIF</w:t>
      </w:r>
      <w:r w:rsidRPr="00BD2C6A">
        <w:rPr>
          <w:rFonts w:ascii="Cambria" w:hAnsi="Cambria"/>
          <w:color w:val="auto"/>
          <w:sz w:val="22"/>
          <w:szCs w:val="22"/>
          <w:lang w:val="es-ES_tradnl"/>
        </w:rPr>
        <w:t xml:space="preserve"> como órgano de dirección de la </w:t>
      </w:r>
      <w:r w:rsidR="007D7EDA">
        <w:rPr>
          <w:rFonts w:ascii="Cambria" w:hAnsi="Cambria"/>
          <w:color w:val="auto"/>
          <w:sz w:val="22"/>
          <w:szCs w:val="22"/>
          <w:lang w:val="es-ES_tradnl"/>
        </w:rPr>
        <w:t>SUPEN</w:t>
      </w:r>
      <w:r w:rsidRPr="00BD2C6A">
        <w:rPr>
          <w:rFonts w:ascii="Cambria" w:hAnsi="Cambria"/>
          <w:color w:val="auto"/>
          <w:sz w:val="22"/>
          <w:szCs w:val="22"/>
          <w:lang w:val="es-ES_tradnl"/>
        </w:rPr>
        <w:t>, particularmente la de aprobar las normas que resguarden la solidez financiera de los regímenes de pensiones del Poder Judicial y cualquier otro creado por ley o convención colectiva.</w:t>
      </w:r>
    </w:p>
    <w:p w14:paraId="2D5402A2" w14:textId="77777777" w:rsidR="00BD2C6A" w:rsidRDefault="00BD2C6A" w:rsidP="000A6BBA">
      <w:pPr>
        <w:pStyle w:val="Textoindependiente"/>
        <w:spacing w:line="240" w:lineRule="auto"/>
        <w:jc w:val="both"/>
        <w:rPr>
          <w:rFonts w:ascii="Cambria" w:hAnsi="Cambria"/>
          <w:color w:val="auto"/>
          <w:sz w:val="22"/>
          <w:szCs w:val="22"/>
          <w:lang w:val="es-ES_tradnl"/>
        </w:rPr>
      </w:pPr>
    </w:p>
    <w:p w14:paraId="644C42D8" w14:textId="55A96FD5" w:rsidR="000A6BBA" w:rsidRPr="005F2CD8" w:rsidRDefault="000A6BBA" w:rsidP="000A6BBA">
      <w:pPr>
        <w:pStyle w:val="Textoindependiente"/>
        <w:spacing w:line="240" w:lineRule="auto"/>
        <w:jc w:val="both"/>
        <w:rPr>
          <w:rFonts w:ascii="Cambria" w:hAnsi="Cambria"/>
          <w:color w:val="auto"/>
          <w:sz w:val="22"/>
          <w:szCs w:val="22"/>
          <w:lang w:val="es-ES_tradnl"/>
        </w:rPr>
      </w:pPr>
      <w:r w:rsidRPr="005F2CD8">
        <w:rPr>
          <w:rFonts w:ascii="Cambria" w:hAnsi="Cambria"/>
          <w:color w:val="auto"/>
          <w:sz w:val="22"/>
          <w:szCs w:val="22"/>
          <w:lang w:val="es-ES_tradnl"/>
        </w:rPr>
        <w:t>La Ley de Contingencia Fis</w:t>
      </w:r>
      <w:r w:rsidR="00676859">
        <w:rPr>
          <w:rFonts w:ascii="Cambria" w:hAnsi="Cambria"/>
          <w:color w:val="auto"/>
          <w:sz w:val="22"/>
          <w:szCs w:val="22"/>
          <w:lang w:val="es-ES_tradnl"/>
        </w:rPr>
        <w:t>cal, Ley N</w:t>
      </w:r>
      <w:r w:rsidRPr="005F2CD8">
        <w:rPr>
          <w:rFonts w:ascii="Cambria" w:hAnsi="Cambria"/>
          <w:color w:val="auto"/>
          <w:sz w:val="22"/>
          <w:szCs w:val="22"/>
          <w:lang w:val="es-ES_tradnl"/>
        </w:rPr>
        <w:t xml:space="preserve">°8343, publicada en el Diario Oficial </w:t>
      </w:r>
      <w:r w:rsidRPr="005F2CD8">
        <w:rPr>
          <w:rFonts w:ascii="Cambria" w:hAnsi="Cambria"/>
          <w:i/>
          <w:color w:val="auto"/>
          <w:sz w:val="22"/>
          <w:szCs w:val="22"/>
          <w:lang w:val="es-ES_tradnl"/>
        </w:rPr>
        <w:t>“La Gaceta”</w:t>
      </w:r>
      <w:r w:rsidRPr="005F2CD8">
        <w:rPr>
          <w:rFonts w:ascii="Cambria" w:hAnsi="Cambria"/>
          <w:color w:val="auto"/>
          <w:sz w:val="22"/>
          <w:szCs w:val="22"/>
          <w:lang w:val="es-ES_tradnl"/>
        </w:rPr>
        <w:t xml:space="preserve"> 250, del 27 de diciembre de 2002, modificó la Ley </w:t>
      </w:r>
      <w:r w:rsidR="00676859">
        <w:rPr>
          <w:rFonts w:ascii="Cambria" w:hAnsi="Cambria"/>
          <w:color w:val="auto"/>
          <w:sz w:val="22"/>
          <w:szCs w:val="22"/>
          <w:lang w:val="es-ES_tradnl"/>
        </w:rPr>
        <w:t>N°</w:t>
      </w:r>
      <w:r w:rsidRPr="005F2CD8">
        <w:rPr>
          <w:rFonts w:ascii="Cambria" w:hAnsi="Cambria"/>
          <w:color w:val="auto"/>
          <w:sz w:val="22"/>
          <w:szCs w:val="22"/>
          <w:lang w:val="es-ES_tradnl"/>
        </w:rPr>
        <w:t xml:space="preserve">7523, para encargar a la </w:t>
      </w:r>
      <w:r w:rsidRPr="005F2CD8">
        <w:rPr>
          <w:rFonts w:ascii="Cambria" w:hAnsi="Cambria"/>
          <w:caps/>
          <w:color w:val="auto"/>
          <w:sz w:val="22"/>
          <w:szCs w:val="22"/>
          <w:lang w:val="es-ES_tradnl"/>
        </w:rPr>
        <w:t>SUPEN</w:t>
      </w:r>
      <w:r w:rsidRPr="005F2CD8">
        <w:rPr>
          <w:rFonts w:ascii="Cambria" w:hAnsi="Cambria"/>
          <w:b/>
          <w:bCs/>
          <w:caps/>
          <w:color w:val="auto"/>
          <w:sz w:val="22"/>
          <w:szCs w:val="22"/>
          <w:lang w:val="es-ES_tradnl"/>
        </w:rPr>
        <w:t xml:space="preserve"> </w:t>
      </w:r>
      <w:r w:rsidRPr="005F2CD8">
        <w:rPr>
          <w:rFonts w:ascii="Cambria" w:hAnsi="Cambria"/>
          <w:color w:val="auto"/>
          <w:sz w:val="22"/>
          <w:szCs w:val="22"/>
          <w:lang w:val="es-ES_tradnl"/>
        </w:rPr>
        <w:t>la fiscalización y supervisión de la labor realizada por la Dirección Nacional de Pensiones del Ministerio de Trabajo y Seguridad Social, en el otorgamiento</w:t>
      </w:r>
      <w:r w:rsidR="00676859">
        <w:rPr>
          <w:rFonts w:ascii="Cambria" w:hAnsi="Cambria"/>
          <w:color w:val="auto"/>
          <w:sz w:val="22"/>
          <w:szCs w:val="22"/>
          <w:lang w:val="es-ES_tradnl"/>
        </w:rPr>
        <w:t xml:space="preserve"> de las pensiones con cargo al Presupuesto N</w:t>
      </w:r>
      <w:r w:rsidRPr="005F2CD8">
        <w:rPr>
          <w:rFonts w:ascii="Cambria" w:hAnsi="Cambria"/>
          <w:color w:val="auto"/>
          <w:sz w:val="22"/>
          <w:szCs w:val="22"/>
          <w:lang w:val="es-ES_tradnl"/>
        </w:rPr>
        <w:t xml:space="preserve">acional, en relación con la legalidad y oportunidad de las resoluciones y en lo relativo a las modificaciones y revalorizaciones de las pensiones que son competencia de la mencionada Dirección. </w:t>
      </w:r>
    </w:p>
    <w:p w14:paraId="2518A482" w14:textId="77777777" w:rsidR="009371AC" w:rsidRPr="005F2CD8" w:rsidRDefault="009371AC" w:rsidP="000A6BBA">
      <w:pPr>
        <w:pStyle w:val="Textoindependiente"/>
        <w:spacing w:line="240" w:lineRule="auto"/>
        <w:jc w:val="both"/>
        <w:rPr>
          <w:rFonts w:ascii="Cambria" w:hAnsi="Cambria"/>
          <w:color w:val="auto"/>
          <w:sz w:val="22"/>
          <w:szCs w:val="22"/>
          <w:lang w:val="es-ES_tradnl"/>
        </w:rPr>
      </w:pPr>
    </w:p>
    <w:p w14:paraId="336D5F1C"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Leyes de los Regímenes de Pensiones Complementarias</w:t>
      </w:r>
    </w:p>
    <w:p w14:paraId="05E68174" w14:textId="77777777" w:rsidR="000A6BBA" w:rsidRPr="005F2CD8" w:rsidRDefault="000A6BBA" w:rsidP="000A6BBA">
      <w:pPr>
        <w:autoSpaceDE w:val="0"/>
        <w:autoSpaceDN w:val="0"/>
        <w:ind w:left="567"/>
        <w:jc w:val="both"/>
        <w:rPr>
          <w:rFonts w:ascii="Cambria" w:hAnsi="Cambria"/>
          <w:sz w:val="22"/>
          <w:szCs w:val="22"/>
        </w:rPr>
      </w:pPr>
    </w:p>
    <w:p w14:paraId="7700EF2B" w14:textId="37BBF8DE"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del Régimen Privado de Pensiones Complementarias y sus reforma</w:t>
      </w:r>
      <w:r w:rsidR="00676859">
        <w:rPr>
          <w:rFonts w:ascii="Cambria" w:hAnsi="Cambria"/>
          <w:color w:val="auto"/>
          <w:sz w:val="22"/>
          <w:szCs w:val="22"/>
          <w:lang w:val="es-ES_tradnl"/>
        </w:rPr>
        <w:t>s, N</w:t>
      </w:r>
      <w:r w:rsidR="009371AC">
        <w:rPr>
          <w:rFonts w:ascii="Cambria" w:hAnsi="Cambria"/>
          <w:color w:val="auto"/>
          <w:sz w:val="22"/>
          <w:szCs w:val="22"/>
          <w:lang w:val="es-ES_tradnl"/>
        </w:rPr>
        <w:t xml:space="preserve">° </w:t>
      </w:r>
      <w:r w:rsidRPr="005F2CD8">
        <w:rPr>
          <w:rFonts w:ascii="Cambria" w:hAnsi="Cambria"/>
          <w:color w:val="auto"/>
          <w:sz w:val="22"/>
          <w:szCs w:val="22"/>
          <w:lang w:val="es-ES_tradnl"/>
        </w:rPr>
        <w:t>7523.</w:t>
      </w:r>
    </w:p>
    <w:p w14:paraId="79E42F04" w14:textId="63B76E71"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 xml:space="preserve">Ley </w:t>
      </w:r>
      <w:r w:rsidR="00676859">
        <w:rPr>
          <w:rFonts w:ascii="Cambria" w:hAnsi="Cambria"/>
          <w:color w:val="auto"/>
          <w:sz w:val="22"/>
          <w:szCs w:val="22"/>
          <w:lang w:val="es-ES_tradnl"/>
        </w:rPr>
        <w:t>de Protección al Trabajador, N</w:t>
      </w:r>
      <w:r w:rsidR="009371AC">
        <w:rPr>
          <w:rFonts w:ascii="Cambria" w:hAnsi="Cambria"/>
          <w:color w:val="auto"/>
          <w:sz w:val="22"/>
          <w:szCs w:val="22"/>
          <w:lang w:val="es-ES_tradnl"/>
        </w:rPr>
        <w:t xml:space="preserve">° </w:t>
      </w:r>
      <w:r w:rsidRPr="005F2CD8">
        <w:rPr>
          <w:rFonts w:ascii="Cambria" w:hAnsi="Cambria"/>
          <w:color w:val="auto"/>
          <w:sz w:val="22"/>
          <w:szCs w:val="22"/>
          <w:lang w:val="es-ES_tradnl"/>
        </w:rPr>
        <w:t>7983.</w:t>
      </w:r>
    </w:p>
    <w:p w14:paraId="72EC1708" w14:textId="77777777" w:rsidR="009371AC" w:rsidRPr="005F2CD8" w:rsidRDefault="009371AC" w:rsidP="000A6BBA">
      <w:pPr>
        <w:autoSpaceDE w:val="0"/>
        <w:autoSpaceDN w:val="0"/>
        <w:ind w:left="567"/>
        <w:jc w:val="both"/>
        <w:rPr>
          <w:rFonts w:ascii="Cambria" w:hAnsi="Cambria"/>
          <w:sz w:val="22"/>
          <w:szCs w:val="22"/>
        </w:rPr>
      </w:pPr>
    </w:p>
    <w:p w14:paraId="2F40FF6F"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Leyes de los Regímenes Básicos y Fondos Creados por Ley Especial</w:t>
      </w:r>
    </w:p>
    <w:p w14:paraId="6B942096" w14:textId="77777777" w:rsidR="000A6BBA" w:rsidRPr="005F2CD8" w:rsidRDefault="000A6BBA" w:rsidP="000A6BBA">
      <w:pPr>
        <w:autoSpaceDE w:val="0"/>
        <w:autoSpaceDN w:val="0"/>
        <w:ind w:left="567"/>
        <w:jc w:val="both"/>
        <w:rPr>
          <w:rFonts w:ascii="Cambria" w:hAnsi="Cambria"/>
          <w:sz w:val="22"/>
          <w:szCs w:val="22"/>
        </w:rPr>
      </w:pPr>
    </w:p>
    <w:p w14:paraId="2CB2FD79" w14:textId="1379298F" w:rsidR="000A6BBA" w:rsidRPr="00675AB9"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675AB9">
        <w:rPr>
          <w:rFonts w:ascii="Cambria" w:hAnsi="Cambria"/>
          <w:color w:val="auto"/>
          <w:sz w:val="22"/>
          <w:szCs w:val="22"/>
          <w:lang w:val="es-ES_tradnl"/>
        </w:rPr>
        <w:t xml:space="preserve">Ley Orgánica del Sistema Bancario Nacional, </w:t>
      </w:r>
      <w:r w:rsidR="00BF3FFA" w:rsidRPr="00675AB9">
        <w:rPr>
          <w:rFonts w:ascii="Cambria" w:hAnsi="Cambria"/>
          <w:color w:val="auto"/>
          <w:sz w:val="22"/>
          <w:szCs w:val="22"/>
          <w:lang w:val="es-ES_tradnl"/>
        </w:rPr>
        <w:t xml:space="preserve">N°1655, </w:t>
      </w:r>
      <w:r w:rsidRPr="00675AB9">
        <w:rPr>
          <w:rFonts w:ascii="Cambria" w:hAnsi="Cambria"/>
          <w:color w:val="auto"/>
          <w:sz w:val="22"/>
          <w:szCs w:val="22"/>
          <w:lang w:val="es-ES_tradnl"/>
        </w:rPr>
        <w:t>Artículo 55</w:t>
      </w:r>
      <w:r w:rsidR="000A6BBA" w:rsidRPr="00675AB9">
        <w:rPr>
          <w:rFonts w:ascii="Cambria" w:hAnsi="Cambria"/>
          <w:color w:val="auto"/>
          <w:sz w:val="22"/>
          <w:szCs w:val="22"/>
          <w:lang w:val="es-ES_tradnl"/>
        </w:rPr>
        <w:t>.</w:t>
      </w:r>
    </w:p>
    <w:p w14:paraId="69B2E2D8" w14:textId="3D199F22" w:rsidR="000A6BBA" w:rsidRPr="005F2CD8"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Código Notarial, N°</w:t>
      </w:r>
      <w:r w:rsidR="000A6BBA" w:rsidRPr="005F2CD8">
        <w:rPr>
          <w:rFonts w:ascii="Cambria" w:hAnsi="Cambria"/>
          <w:color w:val="auto"/>
          <w:sz w:val="22"/>
          <w:szCs w:val="22"/>
          <w:lang w:val="es-ES_tradnl"/>
        </w:rPr>
        <w:t>7764.</w:t>
      </w:r>
    </w:p>
    <w:p w14:paraId="0EB57B26" w14:textId="4778C9A4" w:rsidR="000A6BBA" w:rsidRPr="005F2CD8"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Ley de Creación de la CCSS, N</w:t>
      </w:r>
      <w:r w:rsidR="009371AC">
        <w:rPr>
          <w:rFonts w:ascii="Cambria" w:hAnsi="Cambria"/>
          <w:color w:val="auto"/>
          <w:sz w:val="22"/>
          <w:szCs w:val="22"/>
          <w:lang w:val="es-ES_tradnl"/>
        </w:rPr>
        <w:t xml:space="preserve">° </w:t>
      </w:r>
      <w:r w:rsidR="000A6BBA" w:rsidRPr="005F2CD8">
        <w:rPr>
          <w:rFonts w:ascii="Cambria" w:hAnsi="Cambria"/>
          <w:color w:val="auto"/>
          <w:sz w:val="22"/>
          <w:szCs w:val="22"/>
          <w:lang w:val="es-ES_tradnl"/>
        </w:rPr>
        <w:t>17.</w:t>
      </w:r>
    </w:p>
    <w:p w14:paraId="63420BE3" w14:textId="1EFA6AFE"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Crea</w:t>
      </w:r>
      <w:r w:rsidR="00676859">
        <w:rPr>
          <w:rFonts w:ascii="Cambria" w:hAnsi="Cambria"/>
          <w:color w:val="auto"/>
          <w:sz w:val="22"/>
          <w:szCs w:val="22"/>
          <w:lang w:val="es-ES_tradnl"/>
        </w:rPr>
        <w:t>ción del Fondo del ICE, N°</w:t>
      </w:r>
      <w:r w:rsidRPr="005F2CD8">
        <w:rPr>
          <w:rFonts w:ascii="Cambria" w:hAnsi="Cambria"/>
          <w:color w:val="auto"/>
          <w:sz w:val="22"/>
          <w:szCs w:val="22"/>
          <w:lang w:val="es-ES_tradnl"/>
        </w:rPr>
        <w:t>3625.</w:t>
      </w:r>
    </w:p>
    <w:p w14:paraId="77CEEE4F" w14:textId="2DCA4619"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Desarrollo Social</w:t>
      </w:r>
      <w:r w:rsidR="007D7EDA">
        <w:rPr>
          <w:rFonts w:ascii="Cambria" w:hAnsi="Cambria"/>
          <w:color w:val="auto"/>
          <w:sz w:val="22"/>
          <w:szCs w:val="22"/>
          <w:lang w:val="es-ES_tradnl"/>
        </w:rPr>
        <w:t xml:space="preserve"> y Asignaciones Familiares, </w:t>
      </w:r>
      <w:r w:rsidR="00676859">
        <w:rPr>
          <w:rFonts w:ascii="Cambria" w:hAnsi="Cambria"/>
          <w:color w:val="auto"/>
          <w:sz w:val="22"/>
          <w:szCs w:val="22"/>
          <w:lang w:val="es-ES_tradnl"/>
        </w:rPr>
        <w:t>N°</w:t>
      </w:r>
      <w:r w:rsidRPr="005F2CD8">
        <w:rPr>
          <w:rFonts w:ascii="Cambria" w:hAnsi="Cambria"/>
          <w:color w:val="auto"/>
          <w:sz w:val="22"/>
          <w:szCs w:val="22"/>
          <w:lang w:val="es-ES_tradnl"/>
        </w:rPr>
        <w:t>5662.</w:t>
      </w:r>
    </w:p>
    <w:p w14:paraId="58994DA6" w14:textId="07E6E9F0" w:rsidR="000A6BBA" w:rsidRPr="00BD2C6A"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BD2C6A">
        <w:rPr>
          <w:rFonts w:ascii="Cambria" w:hAnsi="Cambria"/>
          <w:color w:val="auto"/>
          <w:sz w:val="22"/>
          <w:szCs w:val="22"/>
          <w:lang w:val="es-ES_tradnl"/>
        </w:rPr>
        <w:t>Ley de Jubilación Miembros Perm</w:t>
      </w:r>
      <w:r w:rsidR="00676859" w:rsidRPr="00BD2C6A">
        <w:rPr>
          <w:rFonts w:ascii="Cambria" w:hAnsi="Cambria"/>
          <w:color w:val="auto"/>
          <w:sz w:val="22"/>
          <w:szCs w:val="22"/>
          <w:lang w:val="es-ES_tradnl"/>
        </w:rPr>
        <w:t>anentes Cuerpo Bomberos INS, N</w:t>
      </w:r>
      <w:r w:rsidR="009371AC" w:rsidRPr="00BD2C6A">
        <w:rPr>
          <w:rFonts w:ascii="Cambria" w:hAnsi="Cambria"/>
          <w:color w:val="auto"/>
          <w:sz w:val="22"/>
          <w:szCs w:val="22"/>
          <w:lang w:val="es-ES_tradnl"/>
        </w:rPr>
        <w:t>°</w:t>
      </w:r>
      <w:r w:rsidRPr="00BD2C6A">
        <w:rPr>
          <w:rFonts w:ascii="Cambria" w:hAnsi="Cambria"/>
          <w:color w:val="auto"/>
          <w:sz w:val="22"/>
          <w:szCs w:val="22"/>
          <w:lang w:val="es-ES_tradnl"/>
        </w:rPr>
        <w:t>6170.</w:t>
      </w:r>
    </w:p>
    <w:p w14:paraId="0C44CA60" w14:textId="6B3AA3BD"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Pensiones y Jubilacio</w:t>
      </w:r>
      <w:r w:rsidR="00676859">
        <w:rPr>
          <w:rFonts w:ascii="Cambria" w:hAnsi="Cambria"/>
          <w:color w:val="auto"/>
          <w:sz w:val="22"/>
          <w:szCs w:val="22"/>
          <w:lang w:val="es-ES_tradnl"/>
        </w:rPr>
        <w:t>nes del Magisterio Nacional, N°</w:t>
      </w:r>
      <w:r w:rsidRPr="005F2CD8">
        <w:rPr>
          <w:rFonts w:ascii="Cambria" w:hAnsi="Cambria"/>
          <w:color w:val="auto"/>
          <w:sz w:val="22"/>
          <w:szCs w:val="22"/>
          <w:lang w:val="es-ES_tradnl"/>
        </w:rPr>
        <w:t>2248.</w:t>
      </w:r>
    </w:p>
    <w:p w14:paraId="46147C06" w14:textId="33AC75CF"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Orgánica del I</w:t>
      </w:r>
      <w:r w:rsidR="00676859">
        <w:rPr>
          <w:rFonts w:ascii="Cambria" w:hAnsi="Cambria"/>
          <w:color w:val="auto"/>
          <w:sz w:val="22"/>
          <w:szCs w:val="22"/>
          <w:lang w:val="es-ES_tradnl"/>
        </w:rPr>
        <w:t xml:space="preserve">nstituto </w:t>
      </w:r>
      <w:r w:rsidRPr="005F2CD8">
        <w:rPr>
          <w:rFonts w:ascii="Cambria" w:hAnsi="Cambria"/>
          <w:color w:val="auto"/>
          <w:sz w:val="22"/>
          <w:szCs w:val="22"/>
          <w:lang w:val="es-ES_tradnl"/>
        </w:rPr>
        <w:t>C</w:t>
      </w:r>
      <w:r w:rsidR="00676859">
        <w:rPr>
          <w:rFonts w:ascii="Cambria" w:hAnsi="Cambria"/>
          <w:color w:val="auto"/>
          <w:sz w:val="22"/>
          <w:szCs w:val="22"/>
          <w:lang w:val="es-ES_tradnl"/>
        </w:rPr>
        <w:t xml:space="preserve">ostarricense de </w:t>
      </w:r>
      <w:r w:rsidRPr="005F2CD8">
        <w:rPr>
          <w:rFonts w:ascii="Cambria" w:hAnsi="Cambria"/>
          <w:color w:val="auto"/>
          <w:sz w:val="22"/>
          <w:szCs w:val="22"/>
          <w:lang w:val="es-ES_tradnl"/>
        </w:rPr>
        <w:t>T</w:t>
      </w:r>
      <w:r w:rsidR="00676859">
        <w:rPr>
          <w:rFonts w:ascii="Cambria" w:hAnsi="Cambria"/>
          <w:color w:val="auto"/>
          <w:sz w:val="22"/>
          <w:szCs w:val="22"/>
          <w:lang w:val="es-ES_tradnl"/>
        </w:rPr>
        <w:t>urismo</w:t>
      </w:r>
      <w:r w:rsidRPr="005F2CD8">
        <w:rPr>
          <w:rFonts w:ascii="Cambria" w:hAnsi="Cambria"/>
          <w:color w:val="auto"/>
          <w:sz w:val="22"/>
          <w:szCs w:val="22"/>
          <w:lang w:val="es-ES_tradnl"/>
        </w:rPr>
        <w:t xml:space="preserve">, </w:t>
      </w:r>
      <w:r w:rsidR="00676859">
        <w:rPr>
          <w:rFonts w:ascii="Cambria" w:hAnsi="Cambria"/>
          <w:color w:val="auto"/>
          <w:sz w:val="22"/>
          <w:szCs w:val="22"/>
          <w:lang w:val="es-ES_tradnl"/>
        </w:rPr>
        <w:t>N°</w:t>
      </w:r>
      <w:r w:rsidRPr="005F2CD8">
        <w:rPr>
          <w:rFonts w:ascii="Cambria" w:hAnsi="Cambria"/>
          <w:color w:val="auto"/>
          <w:sz w:val="22"/>
          <w:szCs w:val="22"/>
          <w:lang w:val="es-ES_tradnl"/>
        </w:rPr>
        <w:t>1917.</w:t>
      </w:r>
    </w:p>
    <w:p w14:paraId="1AE6C008" w14:textId="102F76A2" w:rsidR="000A6BBA" w:rsidRPr="005F2CD8" w:rsidRDefault="009371AC"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Ley Orgánica del I</w:t>
      </w:r>
      <w:r w:rsidR="00676859">
        <w:rPr>
          <w:rFonts w:ascii="Cambria" w:hAnsi="Cambria"/>
          <w:color w:val="auto"/>
          <w:sz w:val="22"/>
          <w:szCs w:val="22"/>
          <w:lang w:val="es-ES_tradnl"/>
        </w:rPr>
        <w:t xml:space="preserve">nstituto </w:t>
      </w:r>
      <w:r>
        <w:rPr>
          <w:rFonts w:ascii="Cambria" w:hAnsi="Cambria"/>
          <w:color w:val="auto"/>
          <w:sz w:val="22"/>
          <w:szCs w:val="22"/>
          <w:lang w:val="es-ES_tradnl"/>
        </w:rPr>
        <w:t>N</w:t>
      </w:r>
      <w:r w:rsidR="00676859">
        <w:rPr>
          <w:rFonts w:ascii="Cambria" w:hAnsi="Cambria"/>
          <w:color w:val="auto"/>
          <w:sz w:val="22"/>
          <w:szCs w:val="22"/>
          <w:lang w:val="es-ES_tradnl"/>
        </w:rPr>
        <w:t xml:space="preserve">acional de </w:t>
      </w:r>
      <w:r>
        <w:rPr>
          <w:rFonts w:ascii="Cambria" w:hAnsi="Cambria"/>
          <w:color w:val="auto"/>
          <w:sz w:val="22"/>
          <w:szCs w:val="22"/>
          <w:lang w:val="es-ES_tradnl"/>
        </w:rPr>
        <w:t>V</w:t>
      </w:r>
      <w:r w:rsidR="00676859">
        <w:rPr>
          <w:rFonts w:ascii="Cambria" w:hAnsi="Cambria"/>
          <w:color w:val="auto"/>
          <w:sz w:val="22"/>
          <w:szCs w:val="22"/>
          <w:lang w:val="es-ES_tradnl"/>
        </w:rPr>
        <w:t xml:space="preserve">ivienda y </w:t>
      </w:r>
      <w:r>
        <w:rPr>
          <w:rFonts w:ascii="Cambria" w:hAnsi="Cambria"/>
          <w:color w:val="auto"/>
          <w:sz w:val="22"/>
          <w:szCs w:val="22"/>
          <w:lang w:val="es-ES_tradnl"/>
        </w:rPr>
        <w:t>U</w:t>
      </w:r>
      <w:r w:rsidR="00676859">
        <w:rPr>
          <w:rFonts w:ascii="Cambria" w:hAnsi="Cambria"/>
          <w:color w:val="auto"/>
          <w:sz w:val="22"/>
          <w:szCs w:val="22"/>
          <w:lang w:val="es-ES_tradnl"/>
        </w:rPr>
        <w:t>rbanismo, N</w:t>
      </w:r>
      <w:r>
        <w:rPr>
          <w:rFonts w:ascii="Cambria" w:hAnsi="Cambria"/>
          <w:color w:val="auto"/>
          <w:sz w:val="22"/>
          <w:szCs w:val="22"/>
          <w:lang w:val="es-ES_tradnl"/>
        </w:rPr>
        <w:t>°</w:t>
      </w:r>
      <w:r w:rsidR="000A6BBA" w:rsidRPr="005F2CD8">
        <w:rPr>
          <w:rFonts w:ascii="Cambria" w:hAnsi="Cambria"/>
          <w:color w:val="auto"/>
          <w:sz w:val="22"/>
          <w:szCs w:val="22"/>
          <w:lang w:val="es-ES_tradnl"/>
        </w:rPr>
        <w:t>1788.</w:t>
      </w:r>
    </w:p>
    <w:p w14:paraId="2161C22F" w14:textId="6A0C0B2F"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 xml:space="preserve">Ley </w:t>
      </w:r>
      <w:r w:rsidR="00676859">
        <w:rPr>
          <w:rFonts w:ascii="Cambria" w:hAnsi="Cambria"/>
          <w:color w:val="auto"/>
          <w:sz w:val="22"/>
          <w:szCs w:val="22"/>
          <w:lang w:val="es-ES_tradnl"/>
        </w:rPr>
        <w:t>Orgánica del Poder Judicial, N</w:t>
      </w:r>
      <w:r w:rsidR="009371AC">
        <w:rPr>
          <w:rFonts w:ascii="Cambria" w:hAnsi="Cambria"/>
          <w:color w:val="auto"/>
          <w:sz w:val="22"/>
          <w:szCs w:val="22"/>
          <w:lang w:val="es-ES_tradnl"/>
        </w:rPr>
        <w:t>°</w:t>
      </w:r>
      <w:r w:rsidRPr="005F2CD8">
        <w:rPr>
          <w:rFonts w:ascii="Cambria" w:hAnsi="Cambria"/>
          <w:color w:val="auto"/>
          <w:sz w:val="22"/>
          <w:szCs w:val="22"/>
          <w:lang w:val="es-ES_tradnl"/>
        </w:rPr>
        <w:t>7333.</w:t>
      </w:r>
    </w:p>
    <w:p w14:paraId="3E633F4B" w14:textId="474D3AB3"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de Creación del Régimen General de Pensiones con ca</w:t>
      </w:r>
      <w:r w:rsidR="00676859">
        <w:rPr>
          <w:rFonts w:ascii="Cambria" w:hAnsi="Cambria"/>
          <w:color w:val="auto"/>
          <w:sz w:val="22"/>
          <w:szCs w:val="22"/>
          <w:lang w:val="es-ES_tradnl"/>
        </w:rPr>
        <w:t>rgo al Presupuesto Nacional, N</w:t>
      </w:r>
      <w:r w:rsidR="009371AC">
        <w:rPr>
          <w:rFonts w:ascii="Cambria" w:hAnsi="Cambria"/>
          <w:color w:val="auto"/>
          <w:sz w:val="22"/>
          <w:szCs w:val="22"/>
          <w:lang w:val="es-ES_tradnl"/>
        </w:rPr>
        <w:t xml:space="preserve">° </w:t>
      </w:r>
      <w:r w:rsidRPr="005F2CD8">
        <w:rPr>
          <w:rFonts w:ascii="Cambria" w:hAnsi="Cambria"/>
          <w:color w:val="auto"/>
          <w:sz w:val="22"/>
          <w:szCs w:val="22"/>
          <w:lang w:val="es-ES_tradnl"/>
        </w:rPr>
        <w:t>7302.</w:t>
      </w:r>
    </w:p>
    <w:p w14:paraId="007FFF42" w14:textId="68A2B049"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Reforma Integral del Sistema de Pensiones</w:t>
      </w:r>
      <w:r w:rsidR="007D7EDA">
        <w:rPr>
          <w:rFonts w:ascii="Cambria" w:hAnsi="Cambria"/>
          <w:color w:val="auto"/>
          <w:sz w:val="22"/>
          <w:szCs w:val="22"/>
          <w:lang w:val="es-ES_tradnl"/>
        </w:rPr>
        <w:t xml:space="preserve"> y Jubilaciones del Magisterio,</w:t>
      </w:r>
      <w:r w:rsidRPr="005F2CD8">
        <w:rPr>
          <w:rFonts w:ascii="Cambria" w:hAnsi="Cambria"/>
          <w:color w:val="auto"/>
          <w:sz w:val="22"/>
          <w:szCs w:val="22"/>
          <w:lang w:val="es-ES_tradnl"/>
        </w:rPr>
        <w:t xml:space="preserve"> Ley N</w:t>
      </w:r>
      <w:r w:rsidR="009371AC">
        <w:rPr>
          <w:rFonts w:ascii="Cambria" w:hAnsi="Cambria"/>
          <w:color w:val="auto"/>
          <w:sz w:val="22"/>
          <w:szCs w:val="22"/>
          <w:lang w:val="es-ES_tradnl"/>
        </w:rPr>
        <w:t>°</w:t>
      </w:r>
      <w:r w:rsidRPr="005F2CD8">
        <w:rPr>
          <w:rFonts w:ascii="Cambria" w:hAnsi="Cambria"/>
          <w:color w:val="auto"/>
          <w:sz w:val="22"/>
          <w:szCs w:val="22"/>
          <w:lang w:val="es-ES_tradnl"/>
        </w:rPr>
        <w:t xml:space="preserve"> 7531.</w:t>
      </w:r>
    </w:p>
    <w:p w14:paraId="497046BE" w14:textId="4866A554" w:rsidR="000A6BBA" w:rsidRPr="005F2CD8" w:rsidRDefault="00676859"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Ley General de Pensiones, N</w:t>
      </w:r>
      <w:r w:rsidR="000A6BBA" w:rsidRPr="005F2CD8">
        <w:rPr>
          <w:rFonts w:ascii="Cambria" w:hAnsi="Cambria"/>
          <w:color w:val="auto"/>
          <w:sz w:val="22"/>
          <w:szCs w:val="22"/>
          <w:lang w:val="es-ES_tradnl"/>
        </w:rPr>
        <w:t>°14</w:t>
      </w:r>
      <w:r w:rsidR="009371AC">
        <w:rPr>
          <w:rFonts w:ascii="Cambria" w:hAnsi="Cambria"/>
          <w:color w:val="auto"/>
          <w:sz w:val="22"/>
          <w:szCs w:val="22"/>
          <w:lang w:val="es-ES_tradnl"/>
        </w:rPr>
        <w:t>.</w:t>
      </w:r>
    </w:p>
    <w:p w14:paraId="26284010" w14:textId="77777777" w:rsidR="009371AC" w:rsidRPr="005F2CD8" w:rsidRDefault="009371AC" w:rsidP="000A6BBA">
      <w:pPr>
        <w:pStyle w:val="Prrafodelista"/>
        <w:autoSpaceDE w:val="0"/>
        <w:autoSpaceDN w:val="0"/>
        <w:ind w:left="1287"/>
        <w:rPr>
          <w:rFonts w:ascii="Cambria" w:hAnsi="Cambria"/>
          <w:sz w:val="22"/>
        </w:rPr>
      </w:pPr>
    </w:p>
    <w:p w14:paraId="2F402D7C"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 xml:space="preserve">Otras Leyes </w:t>
      </w:r>
    </w:p>
    <w:p w14:paraId="4C1DB4EE" w14:textId="77777777" w:rsidR="000A6BBA" w:rsidRPr="005F2CD8" w:rsidRDefault="000A6BBA" w:rsidP="000A6BBA">
      <w:pPr>
        <w:rPr>
          <w:rFonts w:ascii="Cambria" w:hAnsi="Cambria"/>
          <w:sz w:val="22"/>
          <w:szCs w:val="22"/>
        </w:rPr>
      </w:pPr>
    </w:p>
    <w:p w14:paraId="2AB2E1DC" w14:textId="2E210D5C"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Ley sobre Estupefacientes, Sustancias Psicotrópicas, Drogas de Uso No Autorizado, Legitimación de Ca</w:t>
      </w:r>
      <w:r w:rsidR="00B33957">
        <w:rPr>
          <w:rFonts w:ascii="Cambria" w:hAnsi="Cambria"/>
          <w:color w:val="auto"/>
          <w:sz w:val="22"/>
          <w:szCs w:val="22"/>
          <w:lang w:val="es-ES_tradnl"/>
        </w:rPr>
        <w:t>pitales y Actividades Conexas, N°</w:t>
      </w:r>
      <w:r w:rsidRPr="005F2CD8">
        <w:rPr>
          <w:rFonts w:ascii="Cambria" w:hAnsi="Cambria"/>
          <w:color w:val="auto"/>
          <w:sz w:val="22"/>
          <w:szCs w:val="22"/>
          <w:lang w:val="es-ES_tradnl"/>
        </w:rPr>
        <w:t>8204.</w:t>
      </w:r>
    </w:p>
    <w:p w14:paraId="2B8F6EC5" w14:textId="2B65A566"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 xml:space="preserve">Ley Reguladora del Mercado de Seguros, </w:t>
      </w:r>
      <w:r w:rsidR="00B33957">
        <w:rPr>
          <w:rFonts w:ascii="Cambria" w:hAnsi="Cambria"/>
          <w:color w:val="auto"/>
          <w:sz w:val="22"/>
          <w:szCs w:val="22"/>
          <w:lang w:val="es-ES_tradnl"/>
        </w:rPr>
        <w:t>N°</w:t>
      </w:r>
      <w:r w:rsidRPr="005F2CD8">
        <w:rPr>
          <w:rFonts w:ascii="Cambria" w:hAnsi="Cambria"/>
          <w:color w:val="auto"/>
          <w:sz w:val="22"/>
          <w:szCs w:val="22"/>
          <w:lang w:val="es-ES_tradnl"/>
        </w:rPr>
        <w:t>8653</w:t>
      </w:r>
      <w:r w:rsidR="009371AC">
        <w:rPr>
          <w:rFonts w:ascii="Cambria" w:hAnsi="Cambria"/>
          <w:color w:val="auto"/>
          <w:sz w:val="22"/>
          <w:szCs w:val="22"/>
          <w:lang w:val="es-ES_tradnl"/>
        </w:rPr>
        <w:t>.</w:t>
      </w:r>
    </w:p>
    <w:p w14:paraId="3946E2F6" w14:textId="77777777" w:rsidR="009371AC" w:rsidRDefault="009371AC" w:rsidP="000A6BBA">
      <w:pPr>
        <w:autoSpaceDE w:val="0"/>
        <w:autoSpaceDN w:val="0"/>
        <w:ind w:left="567"/>
        <w:jc w:val="both"/>
        <w:rPr>
          <w:rFonts w:ascii="Cambria" w:hAnsi="Cambria"/>
          <w:sz w:val="22"/>
          <w:szCs w:val="22"/>
        </w:rPr>
      </w:pPr>
    </w:p>
    <w:p w14:paraId="30B0CA59" w14:textId="77777777" w:rsidR="001529C7" w:rsidRPr="005F2CD8" w:rsidRDefault="001529C7" w:rsidP="000A6BBA">
      <w:pPr>
        <w:autoSpaceDE w:val="0"/>
        <w:autoSpaceDN w:val="0"/>
        <w:ind w:left="567"/>
        <w:jc w:val="both"/>
        <w:rPr>
          <w:rFonts w:ascii="Cambria" w:hAnsi="Cambria"/>
          <w:sz w:val="22"/>
          <w:szCs w:val="22"/>
        </w:rPr>
      </w:pPr>
    </w:p>
    <w:p w14:paraId="68FBFBAA"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Reglamentos</w:t>
      </w:r>
    </w:p>
    <w:p w14:paraId="25F296D4" w14:textId="77777777" w:rsidR="000A6BBA" w:rsidRPr="005F2CD8" w:rsidRDefault="000A6BBA" w:rsidP="000A6BBA">
      <w:pPr>
        <w:rPr>
          <w:rFonts w:ascii="Cambria" w:hAnsi="Cambria"/>
          <w:b/>
          <w:bCs/>
          <w:smallCaps/>
          <w:sz w:val="22"/>
          <w:szCs w:val="22"/>
        </w:rPr>
      </w:pPr>
    </w:p>
    <w:p w14:paraId="66911655" w14:textId="5D8641F7"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para calificar la situación financiera de los fondos administrados</w:t>
      </w:r>
      <w:r w:rsidR="009371AC">
        <w:rPr>
          <w:rFonts w:ascii="Cambria" w:hAnsi="Cambria"/>
          <w:sz w:val="22"/>
          <w:szCs w:val="22"/>
          <w:lang w:val="es-ES_tradnl"/>
        </w:rPr>
        <w:t>.</w:t>
      </w:r>
    </w:p>
    <w:p w14:paraId="6712BA7B" w14:textId="18E24C79"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beneficios del régimen de capitalización individual</w:t>
      </w:r>
      <w:r w:rsidR="009371AC">
        <w:rPr>
          <w:rFonts w:ascii="Cambria" w:hAnsi="Cambria"/>
          <w:sz w:val="22"/>
          <w:szCs w:val="22"/>
          <w:lang w:val="es-ES_tradnl"/>
        </w:rPr>
        <w:t>.</w:t>
      </w:r>
    </w:p>
    <w:p w14:paraId="5488E756" w14:textId="4096E611"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Inversiones de las Entidades Reguladas</w:t>
      </w:r>
      <w:r w:rsidR="009371AC">
        <w:rPr>
          <w:rFonts w:ascii="Cambria" w:hAnsi="Cambria"/>
          <w:sz w:val="22"/>
          <w:szCs w:val="22"/>
          <w:lang w:val="es-ES_tradnl"/>
        </w:rPr>
        <w:t>.</w:t>
      </w:r>
    </w:p>
    <w:p w14:paraId="231FA23D" w14:textId="77777777"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tablas de mortalidad</w:t>
      </w:r>
    </w:p>
    <w:p w14:paraId="0F9FC964" w14:textId="7587091A"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regímenes de pensiones creados por leyes especiales y regímenes sustitutos al IVM</w:t>
      </w:r>
      <w:r w:rsidR="009371AC">
        <w:rPr>
          <w:rFonts w:ascii="Cambria" w:hAnsi="Cambria"/>
          <w:sz w:val="22"/>
          <w:szCs w:val="22"/>
          <w:lang w:val="es-ES_tradnl"/>
        </w:rPr>
        <w:t>.</w:t>
      </w:r>
    </w:p>
    <w:p w14:paraId="7FFDC2E3" w14:textId="3EDE595A" w:rsidR="000A6BBA" w:rsidRPr="005F2CD8" w:rsidRDefault="000A6BBA" w:rsidP="00547B19">
      <w:pPr>
        <w:numPr>
          <w:ilvl w:val="0"/>
          <w:numId w:val="22"/>
        </w:numPr>
        <w:jc w:val="both"/>
        <w:rPr>
          <w:rFonts w:ascii="Cambria" w:hAnsi="Cambria"/>
          <w:sz w:val="22"/>
          <w:szCs w:val="22"/>
          <w:lang w:val="es-ES_tradnl"/>
        </w:rPr>
      </w:pPr>
      <w:r w:rsidRPr="005F2CD8">
        <w:rPr>
          <w:rFonts w:ascii="Cambria" w:hAnsi="Cambria"/>
          <w:sz w:val="22"/>
          <w:szCs w:val="22"/>
          <w:lang w:val="es-ES_tradnl"/>
        </w:rPr>
        <w:t>Reglamento de apertura y funcionamiento de las entidades autorizadas y el funcionamiento de los fondos de pensiones, capitalización laboral y ahorro voluntario</w:t>
      </w:r>
      <w:r w:rsidR="009371AC">
        <w:rPr>
          <w:rFonts w:ascii="Cambria" w:hAnsi="Cambria"/>
          <w:sz w:val="22"/>
          <w:szCs w:val="22"/>
          <w:lang w:val="es-ES_tradnl"/>
        </w:rPr>
        <w:t xml:space="preserve"> </w:t>
      </w:r>
      <w:r w:rsidRPr="005F2CD8">
        <w:rPr>
          <w:rFonts w:ascii="Cambria" w:hAnsi="Cambria"/>
          <w:sz w:val="22"/>
          <w:szCs w:val="22"/>
          <w:lang w:val="es-ES_tradnl"/>
        </w:rPr>
        <w:t xml:space="preserve">previsto en la </w:t>
      </w:r>
      <w:r w:rsidR="009371AC">
        <w:rPr>
          <w:rFonts w:ascii="Cambria" w:hAnsi="Cambria"/>
          <w:sz w:val="22"/>
          <w:szCs w:val="22"/>
          <w:lang w:val="es-ES_tradnl"/>
        </w:rPr>
        <w:t>Ley de Protección al Trabajador.</w:t>
      </w:r>
    </w:p>
    <w:p w14:paraId="452A7C32" w14:textId="493F19A7" w:rsidR="000A6BBA" w:rsidRPr="005F2CD8" w:rsidRDefault="000A6BBA" w:rsidP="00547B19">
      <w:pPr>
        <w:numPr>
          <w:ilvl w:val="0"/>
          <w:numId w:val="23"/>
        </w:numPr>
        <w:jc w:val="both"/>
        <w:rPr>
          <w:rFonts w:ascii="Cambria" w:hAnsi="Cambria"/>
          <w:sz w:val="22"/>
          <w:szCs w:val="22"/>
          <w:lang w:val="es-ES_tradnl"/>
        </w:rPr>
      </w:pPr>
      <w:r w:rsidRPr="005F2CD8">
        <w:rPr>
          <w:rFonts w:ascii="Cambria" w:hAnsi="Cambria"/>
          <w:sz w:val="22"/>
          <w:szCs w:val="22"/>
          <w:lang w:val="es-ES_tradnl"/>
        </w:rPr>
        <w:t>Reglamento actuarial para regímenes de pensiones de leyes especiales y públicos sustitutos</w:t>
      </w:r>
      <w:r w:rsidR="009371AC">
        <w:rPr>
          <w:rFonts w:ascii="Cambria" w:hAnsi="Cambria"/>
          <w:sz w:val="22"/>
          <w:szCs w:val="22"/>
          <w:lang w:val="es-ES_tradnl"/>
        </w:rPr>
        <w:t>.</w:t>
      </w:r>
      <w:r w:rsidRPr="005F2CD8">
        <w:rPr>
          <w:rFonts w:ascii="Cambria" w:hAnsi="Cambria"/>
          <w:sz w:val="22"/>
          <w:szCs w:val="22"/>
          <w:lang w:val="es-ES_tradnl"/>
        </w:rPr>
        <w:t xml:space="preserve"> </w:t>
      </w:r>
    </w:p>
    <w:p w14:paraId="10274FB3" w14:textId="77777777" w:rsidR="009371AC" w:rsidRPr="005F2CD8" w:rsidRDefault="009371AC" w:rsidP="000A6BBA">
      <w:pPr>
        <w:rPr>
          <w:rFonts w:ascii="Cambria" w:hAnsi="Cambria"/>
          <w:sz w:val="22"/>
          <w:szCs w:val="22"/>
          <w:lang w:val="es-ES_tradnl"/>
        </w:rPr>
      </w:pPr>
    </w:p>
    <w:p w14:paraId="253D597D" w14:textId="77777777" w:rsidR="000A6BBA" w:rsidRPr="005F2CD8" w:rsidRDefault="000A6BBA" w:rsidP="000A6BBA">
      <w:pPr>
        <w:jc w:val="both"/>
        <w:rPr>
          <w:rFonts w:ascii="Cambria" w:hAnsi="Cambria"/>
          <w:b/>
          <w:sz w:val="22"/>
          <w:szCs w:val="22"/>
          <w:lang w:val="es-ES_tradnl"/>
        </w:rPr>
      </w:pPr>
      <w:r w:rsidRPr="005F2CD8">
        <w:rPr>
          <w:rFonts w:ascii="Cambria" w:hAnsi="Cambria"/>
          <w:b/>
          <w:sz w:val="22"/>
          <w:szCs w:val="22"/>
          <w:lang w:val="es-ES_tradnl"/>
        </w:rPr>
        <w:t>OTROS REGLAMENTOS RELACIONADOS CON LOS REGÍMENES DE PENSIONES COMPLEMENTARIOS</w:t>
      </w:r>
    </w:p>
    <w:p w14:paraId="3D9ECA08" w14:textId="77777777" w:rsidR="000A6BBA" w:rsidRPr="005F2CD8" w:rsidRDefault="000A6BBA" w:rsidP="000A6BBA">
      <w:pPr>
        <w:rPr>
          <w:rFonts w:ascii="Cambria" w:hAnsi="Cambria"/>
          <w:b/>
          <w:sz w:val="22"/>
          <w:szCs w:val="22"/>
          <w:lang w:val="es-ES_tradnl"/>
        </w:rPr>
      </w:pPr>
    </w:p>
    <w:p w14:paraId="0FB96289" w14:textId="0D48A6A8"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relativo a la información financiera de ent</w:t>
      </w:r>
      <w:r w:rsidR="00DC6B58">
        <w:rPr>
          <w:rFonts w:ascii="Cambria" w:hAnsi="Cambria"/>
          <w:sz w:val="22"/>
          <w:szCs w:val="22"/>
          <w:lang w:val="es-ES_tradnl"/>
        </w:rPr>
        <w:t>idades, grupos y conglomerados f</w:t>
      </w:r>
      <w:r w:rsidRPr="005F2CD8">
        <w:rPr>
          <w:rFonts w:ascii="Cambria" w:hAnsi="Cambria"/>
          <w:sz w:val="22"/>
          <w:szCs w:val="22"/>
          <w:lang w:val="es-ES_tradnl"/>
        </w:rPr>
        <w:t>inancieros</w:t>
      </w:r>
    </w:p>
    <w:p w14:paraId="5605DC23"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para regular la participación de los sujetos fiscalizados en el financiamiento del presupuesto de las Superintendencias</w:t>
      </w:r>
    </w:p>
    <w:p w14:paraId="39DB17A9"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de Gobierno Corporativo</w:t>
      </w:r>
    </w:p>
    <w:p w14:paraId="25278C48"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Reglamento de auditores externos aplicable a fiscalizados por SUGEF-SUGEVAL-SUPEN-SUGESE</w:t>
      </w:r>
    </w:p>
    <w:p w14:paraId="793D707B" w14:textId="372E32B4"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 xml:space="preserve">Normativa para el cumplimiento de la Ley </w:t>
      </w:r>
      <w:r w:rsidR="00DC6B58">
        <w:rPr>
          <w:rFonts w:ascii="Cambria" w:hAnsi="Cambria"/>
          <w:sz w:val="22"/>
          <w:szCs w:val="22"/>
          <w:lang w:val="es-ES_tradnl"/>
        </w:rPr>
        <w:t>N°</w:t>
      </w:r>
      <w:r w:rsidRPr="005F2CD8">
        <w:rPr>
          <w:rFonts w:ascii="Cambria" w:hAnsi="Cambria"/>
          <w:sz w:val="22"/>
          <w:szCs w:val="22"/>
          <w:lang w:val="es-ES_tradnl"/>
        </w:rPr>
        <w:t>8204</w:t>
      </w:r>
    </w:p>
    <w:p w14:paraId="45112614" w14:textId="77777777" w:rsidR="000A6BBA" w:rsidRPr="005F2CD8" w:rsidRDefault="000A6BBA" w:rsidP="00547B19">
      <w:pPr>
        <w:numPr>
          <w:ilvl w:val="0"/>
          <w:numId w:val="24"/>
        </w:numPr>
        <w:jc w:val="both"/>
        <w:rPr>
          <w:rFonts w:ascii="Cambria" w:hAnsi="Cambria"/>
          <w:sz w:val="22"/>
          <w:szCs w:val="22"/>
          <w:lang w:val="es-ES_tradnl"/>
        </w:rPr>
      </w:pPr>
      <w:r w:rsidRPr="005F2CD8">
        <w:rPr>
          <w:rFonts w:ascii="Cambria" w:hAnsi="Cambria"/>
          <w:sz w:val="22"/>
          <w:szCs w:val="22"/>
          <w:lang w:val="es-ES_tradnl"/>
        </w:rPr>
        <w:t>Normativa contable aplicable a los entes supervisados por SUGEF, SUGEVAL, SUPEN SUGESE</w:t>
      </w:r>
    </w:p>
    <w:p w14:paraId="3DEEAFCC" w14:textId="77777777" w:rsidR="000A6BBA" w:rsidRPr="005F2CD8" w:rsidRDefault="000A6BBA" w:rsidP="000A6BBA">
      <w:pPr>
        <w:rPr>
          <w:rFonts w:ascii="Cambria" w:hAnsi="Cambria"/>
          <w:b/>
          <w:bCs/>
          <w:smallCaps/>
          <w:sz w:val="22"/>
          <w:szCs w:val="22"/>
        </w:rPr>
      </w:pPr>
    </w:p>
    <w:p w14:paraId="08DAF97B" w14:textId="77777777" w:rsidR="000A6BBA" w:rsidRPr="005F2CD8" w:rsidRDefault="000A6BBA" w:rsidP="000A6BBA">
      <w:pPr>
        <w:rPr>
          <w:rFonts w:ascii="Cambria" w:hAnsi="Cambria"/>
          <w:b/>
          <w:bCs/>
          <w:smallCaps/>
          <w:sz w:val="22"/>
          <w:szCs w:val="22"/>
        </w:rPr>
      </w:pPr>
      <w:r w:rsidRPr="005F2CD8">
        <w:rPr>
          <w:rFonts w:ascii="Cambria" w:hAnsi="Cambria"/>
          <w:b/>
          <w:bCs/>
          <w:smallCaps/>
          <w:sz w:val="22"/>
          <w:szCs w:val="22"/>
        </w:rPr>
        <w:t>Reglamentos Regímenes Básicos y Fondos Creados por Ley Especial</w:t>
      </w:r>
    </w:p>
    <w:p w14:paraId="53A1AB64" w14:textId="77777777" w:rsidR="000A6BBA" w:rsidRPr="005F2CD8" w:rsidRDefault="000A6BBA" w:rsidP="000A6BBA">
      <w:pPr>
        <w:autoSpaceDE w:val="0"/>
        <w:autoSpaceDN w:val="0"/>
        <w:ind w:left="567"/>
        <w:jc w:val="both"/>
        <w:rPr>
          <w:rFonts w:ascii="Cambria" w:hAnsi="Cambria"/>
          <w:sz w:val="22"/>
          <w:szCs w:val="22"/>
        </w:rPr>
      </w:pPr>
    </w:p>
    <w:p w14:paraId="7C38EEA5"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Normas para el establecimiento y operación del Fondo de Garantías y Ahorro de los Empleados Permanentes del Instituto Costarricense de Electricidad.</w:t>
      </w:r>
    </w:p>
    <w:p w14:paraId="2F282F8C" w14:textId="01A4381A"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a la Ley del Sistema de Pensiones y Jubilacion</w:t>
      </w:r>
      <w:r w:rsidR="00DC6B58">
        <w:rPr>
          <w:rFonts w:ascii="Cambria" w:hAnsi="Cambria"/>
          <w:color w:val="auto"/>
          <w:sz w:val="22"/>
          <w:szCs w:val="22"/>
          <w:lang w:val="es-ES_tradnl"/>
        </w:rPr>
        <w:t>es del Magisterio Nacional, N°</w:t>
      </w:r>
      <w:r w:rsidRPr="005F2CD8">
        <w:rPr>
          <w:rFonts w:ascii="Cambria" w:hAnsi="Cambria"/>
          <w:color w:val="auto"/>
          <w:sz w:val="22"/>
          <w:szCs w:val="22"/>
          <w:lang w:val="es-ES_tradnl"/>
        </w:rPr>
        <w:t>7531.</w:t>
      </w:r>
    </w:p>
    <w:p w14:paraId="33B4CE39"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al Régimen de Pensión Complementaria de los Empleados del Banco Crédito Agrícola de Cartago y Normas para la operación.</w:t>
      </w:r>
    </w:p>
    <w:p w14:paraId="3A583BAC"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Garantías y Jubilaciones de los Empleados del Banco de Costa Rica.</w:t>
      </w:r>
    </w:p>
    <w:p w14:paraId="65F5FC97"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Garantías y Jubilaciones de los Empleados del Banco Nacional de Costa Rica.</w:t>
      </w:r>
    </w:p>
    <w:p w14:paraId="28E81528"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Garantías y Jubilaciones del Personal del Instituto Costarricense de Turismo.</w:t>
      </w:r>
    </w:p>
    <w:p w14:paraId="6A807360"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Pensiones y Jubilaciones para los Miembros del Benemérito Cuerpo de Bomberos de Costa Rica.</w:t>
      </w:r>
    </w:p>
    <w:p w14:paraId="5CD70D87"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Fondo de Retiro de los Empleados de la Caja Costarricense del Seguro Social (FRE)</w:t>
      </w:r>
    </w:p>
    <w:p w14:paraId="412EE436"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lastRenderedPageBreak/>
        <w:t>Reglamento del Seguro de Invalidez, Vejez y Muerte de la Caja Costarricense del Seguro Social.</w:t>
      </w:r>
    </w:p>
    <w:p w14:paraId="3EF5C23C" w14:textId="229D52EB"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General del Régimen de Capitalización estableci</w:t>
      </w:r>
      <w:r w:rsidR="00DC6B58">
        <w:rPr>
          <w:rFonts w:ascii="Cambria" w:hAnsi="Cambria"/>
          <w:color w:val="auto"/>
          <w:sz w:val="22"/>
          <w:szCs w:val="22"/>
          <w:lang w:val="es-ES_tradnl"/>
        </w:rPr>
        <w:t>do en el Título II de la Ley N</w:t>
      </w:r>
      <w:r w:rsidR="009371AC">
        <w:rPr>
          <w:rFonts w:ascii="Cambria" w:hAnsi="Cambria"/>
          <w:color w:val="auto"/>
          <w:sz w:val="22"/>
          <w:szCs w:val="22"/>
          <w:lang w:val="es-ES_tradnl"/>
        </w:rPr>
        <w:t>°</w:t>
      </w:r>
      <w:r w:rsidRPr="005F2CD8">
        <w:rPr>
          <w:rFonts w:ascii="Cambria" w:hAnsi="Cambria"/>
          <w:color w:val="auto"/>
          <w:sz w:val="22"/>
          <w:szCs w:val="22"/>
          <w:lang w:val="es-ES_tradnl"/>
        </w:rPr>
        <w:t xml:space="preserve"> 7531.</w:t>
      </w:r>
    </w:p>
    <w:p w14:paraId="752950BC"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Régimen de Pensión Complementaria de los Empleados del Instituto Costarricense de Electricidad.</w:t>
      </w:r>
    </w:p>
    <w:p w14:paraId="4D0B2D70" w14:textId="1561BF6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para la regulación del Retiro Anticipado</w:t>
      </w:r>
      <w:r w:rsidR="00DC6B58">
        <w:rPr>
          <w:rFonts w:ascii="Cambria" w:hAnsi="Cambria"/>
          <w:color w:val="auto"/>
          <w:sz w:val="22"/>
          <w:szCs w:val="22"/>
          <w:lang w:val="es-ES_tradnl"/>
        </w:rPr>
        <w:t xml:space="preserve"> del RIVM, N</w:t>
      </w:r>
      <w:r w:rsidRPr="005F2CD8">
        <w:rPr>
          <w:rFonts w:ascii="Cambria" w:hAnsi="Cambria"/>
          <w:color w:val="auto"/>
          <w:sz w:val="22"/>
          <w:szCs w:val="22"/>
          <w:lang w:val="es-ES_tradnl"/>
        </w:rPr>
        <w:t>°7699.</w:t>
      </w:r>
    </w:p>
    <w:p w14:paraId="40DB0651" w14:textId="1732687C"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del programa del Régim</w:t>
      </w:r>
      <w:r w:rsidR="00DC6B58">
        <w:rPr>
          <w:rFonts w:ascii="Cambria" w:hAnsi="Cambria"/>
          <w:color w:val="auto"/>
          <w:sz w:val="22"/>
          <w:szCs w:val="22"/>
          <w:lang w:val="es-ES_tradnl"/>
        </w:rPr>
        <w:t>en No Contributivo de Pensiones.</w:t>
      </w:r>
    </w:p>
    <w:p w14:paraId="2D8E2918" w14:textId="77777777" w:rsidR="000A6BBA" w:rsidRPr="005F2CD8" w:rsidRDefault="000A6BBA" w:rsidP="000A6BBA">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5"/>
        <w:jc w:val="both"/>
        <w:textAlignment w:val="auto"/>
        <w:rPr>
          <w:rFonts w:ascii="Cambria" w:hAnsi="Cambria"/>
          <w:color w:val="auto"/>
          <w:sz w:val="22"/>
          <w:szCs w:val="22"/>
          <w:lang w:val="es-ES_tradnl"/>
        </w:rPr>
      </w:pPr>
      <w:r w:rsidRPr="005F2CD8">
        <w:rPr>
          <w:rFonts w:ascii="Cambria" w:hAnsi="Cambria"/>
          <w:color w:val="auto"/>
          <w:sz w:val="22"/>
          <w:szCs w:val="22"/>
          <w:lang w:val="es-ES_tradnl"/>
        </w:rPr>
        <w:t>Reglamento General del Régimen de Capitalización Colectiva del Sistema de Pensiones y Jubilaciones del Magisterio Nacional.</w:t>
      </w:r>
    </w:p>
    <w:p w14:paraId="06A9486A" w14:textId="04FD3934" w:rsidR="000334EE" w:rsidRPr="00323385" w:rsidRDefault="00DC6B58" w:rsidP="00323385">
      <w:pPr>
        <w:pStyle w:val="Textoindependiente"/>
        <w:widowControl/>
        <w:numPr>
          <w:ilvl w:val="0"/>
          <w:numId w:val="2"/>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56"/>
        </w:tabs>
        <w:adjustRightInd/>
        <w:spacing w:line="240" w:lineRule="auto"/>
        <w:ind w:left="1135"/>
        <w:jc w:val="both"/>
        <w:textAlignment w:val="auto"/>
        <w:rPr>
          <w:rFonts w:ascii="Cambria" w:hAnsi="Cambria"/>
          <w:color w:val="auto"/>
          <w:sz w:val="22"/>
          <w:szCs w:val="22"/>
          <w:lang w:val="es-ES_tradnl"/>
        </w:rPr>
      </w:pPr>
      <w:r>
        <w:rPr>
          <w:rFonts w:ascii="Cambria" w:hAnsi="Cambria"/>
          <w:color w:val="auto"/>
          <w:sz w:val="22"/>
          <w:szCs w:val="22"/>
          <w:lang w:val="es-ES_tradnl"/>
        </w:rPr>
        <w:t>Reglamento a la Ley N</w:t>
      </w:r>
      <w:r w:rsidR="009371AC">
        <w:rPr>
          <w:rFonts w:ascii="Cambria" w:hAnsi="Cambria"/>
          <w:color w:val="auto"/>
          <w:sz w:val="22"/>
          <w:szCs w:val="22"/>
          <w:lang w:val="es-ES_tradnl"/>
        </w:rPr>
        <w:t xml:space="preserve">° </w:t>
      </w:r>
      <w:r w:rsidR="000A6BBA" w:rsidRPr="005F2CD8">
        <w:rPr>
          <w:rFonts w:ascii="Cambria" w:hAnsi="Cambria"/>
          <w:color w:val="auto"/>
          <w:sz w:val="22"/>
          <w:szCs w:val="22"/>
          <w:lang w:val="es-ES_tradnl"/>
        </w:rPr>
        <w:t>7302, Ley de creación del Régimen General de Pensiones</w:t>
      </w:r>
      <w:r w:rsidR="00323385">
        <w:rPr>
          <w:rFonts w:ascii="Cambria" w:hAnsi="Cambria"/>
          <w:color w:val="auto"/>
          <w:sz w:val="22"/>
          <w:szCs w:val="22"/>
          <w:lang w:val="es-ES_tradnl"/>
        </w:rPr>
        <w:t xml:space="preserve"> con cargo </w:t>
      </w:r>
      <w:r>
        <w:rPr>
          <w:rFonts w:ascii="Cambria" w:hAnsi="Cambria"/>
          <w:color w:val="auto"/>
          <w:sz w:val="22"/>
          <w:szCs w:val="22"/>
          <w:lang w:val="es-ES_tradnl"/>
        </w:rPr>
        <w:t xml:space="preserve">al </w:t>
      </w:r>
      <w:r w:rsidR="00323385">
        <w:rPr>
          <w:rFonts w:ascii="Cambria" w:hAnsi="Cambria"/>
          <w:color w:val="auto"/>
          <w:sz w:val="22"/>
          <w:szCs w:val="22"/>
          <w:lang w:val="es-ES_tradnl"/>
        </w:rPr>
        <w:t>Presupuesto Nacional</w:t>
      </w:r>
      <w:r w:rsidR="000334EE" w:rsidRPr="00323385">
        <w:rPr>
          <w:rFonts w:asciiTheme="majorHAnsi" w:hAnsiTheme="majorHAnsi" w:cs="Arial"/>
          <w:color w:val="auto"/>
          <w:sz w:val="22"/>
          <w:szCs w:val="22"/>
          <w:lang w:val="es-ES_tradnl"/>
        </w:rPr>
        <w:t>.</w:t>
      </w:r>
    </w:p>
    <w:p w14:paraId="62A5ABAB" w14:textId="77777777" w:rsidR="004F01DC" w:rsidRDefault="004F01DC" w:rsidP="00F82B1C">
      <w:pPr>
        <w:rPr>
          <w:rFonts w:asciiTheme="majorHAnsi" w:hAnsiTheme="majorHAnsi"/>
          <w:b/>
          <w:sz w:val="22"/>
          <w:szCs w:val="22"/>
          <w:lang w:val="es-CR"/>
        </w:rPr>
      </w:pPr>
    </w:p>
    <w:p w14:paraId="06A9486C" w14:textId="266AD0C1" w:rsidR="0030723E" w:rsidRPr="00060053" w:rsidRDefault="00DC6B58" w:rsidP="00F82B1C">
      <w:pPr>
        <w:rPr>
          <w:rFonts w:asciiTheme="majorHAnsi" w:hAnsiTheme="majorHAnsi"/>
          <w:b/>
          <w:sz w:val="22"/>
          <w:szCs w:val="22"/>
          <w:lang w:val="es-CR"/>
        </w:rPr>
      </w:pPr>
      <w:r>
        <w:rPr>
          <w:rFonts w:asciiTheme="majorHAnsi" w:hAnsiTheme="majorHAnsi"/>
          <w:b/>
          <w:sz w:val="22"/>
          <w:szCs w:val="22"/>
          <w:lang w:val="es-CR"/>
        </w:rPr>
        <w:t>Estructura Organizacional</w:t>
      </w:r>
    </w:p>
    <w:p w14:paraId="06A9486D" w14:textId="77777777" w:rsidR="008B03DB" w:rsidRPr="00060053" w:rsidRDefault="008B03DB" w:rsidP="002248DE">
      <w:pPr>
        <w:jc w:val="both"/>
        <w:rPr>
          <w:rFonts w:asciiTheme="majorHAnsi" w:hAnsiTheme="majorHAnsi"/>
          <w:b/>
          <w:sz w:val="22"/>
          <w:szCs w:val="22"/>
          <w:lang w:val="es-CR"/>
        </w:rPr>
      </w:pPr>
    </w:p>
    <w:p w14:paraId="06A9486E" w14:textId="08DB6665" w:rsidR="008B03DB" w:rsidRPr="00060053" w:rsidRDefault="008B03DB" w:rsidP="002248DE">
      <w:pPr>
        <w:widowControl w:val="0"/>
        <w:autoSpaceDE w:val="0"/>
        <w:autoSpaceDN w:val="0"/>
        <w:adjustRightInd w:val="0"/>
        <w:jc w:val="both"/>
        <w:rPr>
          <w:rFonts w:asciiTheme="majorHAnsi" w:hAnsiTheme="majorHAnsi" w:cs="Arial"/>
          <w:bCs/>
          <w:sz w:val="22"/>
          <w:szCs w:val="22"/>
        </w:rPr>
      </w:pPr>
      <w:r w:rsidRPr="00060053">
        <w:rPr>
          <w:rFonts w:asciiTheme="majorHAnsi" w:hAnsiTheme="majorHAnsi" w:cs="Arial"/>
          <w:bCs/>
          <w:sz w:val="22"/>
          <w:szCs w:val="22"/>
        </w:rPr>
        <w:t xml:space="preserve">La estructura organizacional de la </w:t>
      </w:r>
      <w:r w:rsidR="00D277D9">
        <w:rPr>
          <w:rFonts w:asciiTheme="majorHAnsi" w:hAnsiTheme="majorHAnsi" w:cs="Arial"/>
          <w:bCs/>
          <w:sz w:val="22"/>
          <w:szCs w:val="22"/>
        </w:rPr>
        <w:t>SUPEN</w:t>
      </w:r>
      <w:r w:rsidRPr="00060053">
        <w:rPr>
          <w:rFonts w:asciiTheme="majorHAnsi" w:hAnsiTheme="majorHAnsi" w:cs="Arial"/>
          <w:bCs/>
          <w:sz w:val="22"/>
          <w:szCs w:val="22"/>
        </w:rPr>
        <w:t xml:space="preserve"> está conformada por las siguientes unidades organizacionales.</w:t>
      </w:r>
    </w:p>
    <w:p w14:paraId="06A9486F" w14:textId="77777777" w:rsidR="008B03DB" w:rsidRPr="00060053" w:rsidRDefault="008B03DB" w:rsidP="002248DE">
      <w:pPr>
        <w:widowControl w:val="0"/>
        <w:autoSpaceDE w:val="0"/>
        <w:autoSpaceDN w:val="0"/>
        <w:adjustRightInd w:val="0"/>
        <w:ind w:left="567"/>
        <w:jc w:val="both"/>
        <w:rPr>
          <w:rFonts w:asciiTheme="majorHAnsi" w:hAnsiTheme="majorHAnsi" w:cs="Arial"/>
          <w:sz w:val="22"/>
          <w:szCs w:val="22"/>
        </w:rPr>
      </w:pPr>
    </w:p>
    <w:p w14:paraId="06A94870" w14:textId="77777777" w:rsidR="008B03DB" w:rsidRPr="00060053" w:rsidRDefault="008B03DB" w:rsidP="00DA5C23">
      <w:pPr>
        <w:widowControl w:val="0"/>
        <w:numPr>
          <w:ilvl w:val="0"/>
          <w:numId w:val="4"/>
        </w:numPr>
        <w:jc w:val="both"/>
        <w:rPr>
          <w:rFonts w:asciiTheme="majorHAnsi" w:hAnsiTheme="majorHAnsi" w:cs="Arial"/>
          <w:b/>
          <w:bCs/>
          <w:smallCaps/>
          <w:sz w:val="22"/>
          <w:szCs w:val="22"/>
        </w:rPr>
      </w:pPr>
      <w:r w:rsidRPr="00060053">
        <w:rPr>
          <w:rFonts w:asciiTheme="majorHAnsi" w:hAnsiTheme="majorHAnsi" w:cs="Arial"/>
          <w:b/>
          <w:bCs/>
          <w:smallCaps/>
          <w:sz w:val="22"/>
          <w:szCs w:val="22"/>
        </w:rPr>
        <w:t>Nivel Superior</w:t>
      </w:r>
    </w:p>
    <w:p w14:paraId="16363612" w14:textId="77777777" w:rsidR="003700A0" w:rsidRPr="003700A0" w:rsidRDefault="008B03DB" w:rsidP="00DA5C23">
      <w:pPr>
        <w:widowControl w:val="0"/>
        <w:numPr>
          <w:ilvl w:val="1"/>
          <w:numId w:val="3"/>
        </w:numPr>
        <w:jc w:val="both"/>
        <w:rPr>
          <w:rFonts w:asciiTheme="majorHAnsi" w:hAnsiTheme="majorHAnsi" w:cs="Arial"/>
          <w:color w:val="1F497D" w:themeColor="text2"/>
          <w:sz w:val="22"/>
          <w:szCs w:val="22"/>
        </w:rPr>
      </w:pPr>
      <w:r w:rsidRPr="00060053">
        <w:rPr>
          <w:rFonts w:asciiTheme="majorHAnsi" w:hAnsiTheme="majorHAnsi" w:cs="Arial"/>
          <w:sz w:val="22"/>
          <w:szCs w:val="22"/>
        </w:rPr>
        <w:t>Despacho de</w:t>
      </w:r>
      <w:r w:rsidR="002A5CCD" w:rsidRPr="00060053">
        <w:rPr>
          <w:rFonts w:asciiTheme="majorHAnsi" w:hAnsiTheme="majorHAnsi" w:cs="Arial"/>
          <w:sz w:val="22"/>
          <w:szCs w:val="22"/>
        </w:rPr>
        <w:t>l</w:t>
      </w:r>
      <w:r w:rsidRPr="00060053">
        <w:rPr>
          <w:rFonts w:asciiTheme="majorHAnsi" w:hAnsiTheme="majorHAnsi" w:cs="Arial"/>
          <w:sz w:val="22"/>
          <w:szCs w:val="22"/>
        </w:rPr>
        <w:t xml:space="preserve"> Superintenden</w:t>
      </w:r>
      <w:r w:rsidR="002A5CCD" w:rsidRPr="00060053">
        <w:rPr>
          <w:rFonts w:asciiTheme="majorHAnsi" w:hAnsiTheme="majorHAnsi" w:cs="Arial"/>
          <w:sz w:val="22"/>
          <w:szCs w:val="22"/>
        </w:rPr>
        <w:t>te</w:t>
      </w:r>
      <w:r w:rsidRPr="00060053">
        <w:rPr>
          <w:rFonts w:asciiTheme="majorHAnsi" w:hAnsiTheme="majorHAnsi" w:cs="Arial"/>
          <w:sz w:val="22"/>
          <w:szCs w:val="22"/>
        </w:rPr>
        <w:t>.</w:t>
      </w:r>
      <w:r w:rsidR="00DC6B58">
        <w:rPr>
          <w:rFonts w:asciiTheme="majorHAnsi" w:hAnsiTheme="majorHAnsi" w:cs="Arial"/>
          <w:sz w:val="22"/>
          <w:szCs w:val="22"/>
        </w:rPr>
        <w:t xml:space="preserve"> </w:t>
      </w:r>
    </w:p>
    <w:p w14:paraId="06A94871" w14:textId="520E280A" w:rsidR="008B03DB" w:rsidRPr="00675AB9" w:rsidRDefault="003700A0" w:rsidP="00DA5C23">
      <w:pPr>
        <w:widowControl w:val="0"/>
        <w:numPr>
          <w:ilvl w:val="1"/>
          <w:numId w:val="3"/>
        </w:numPr>
        <w:jc w:val="both"/>
        <w:rPr>
          <w:rFonts w:asciiTheme="majorHAnsi" w:hAnsiTheme="majorHAnsi" w:cs="Arial"/>
          <w:sz w:val="22"/>
          <w:szCs w:val="22"/>
        </w:rPr>
      </w:pPr>
      <w:r w:rsidRPr="00675AB9">
        <w:rPr>
          <w:rFonts w:asciiTheme="majorHAnsi" w:hAnsiTheme="majorHAnsi" w:cs="Arial"/>
          <w:sz w:val="22"/>
          <w:szCs w:val="22"/>
        </w:rPr>
        <w:t>Despacho del Intendente.</w:t>
      </w:r>
    </w:p>
    <w:p w14:paraId="06A94872" w14:textId="77777777" w:rsidR="008B03DB" w:rsidRPr="00060053" w:rsidRDefault="008B03DB" w:rsidP="002248DE">
      <w:pPr>
        <w:widowControl w:val="0"/>
        <w:ind w:left="1134"/>
        <w:jc w:val="both"/>
        <w:rPr>
          <w:rFonts w:asciiTheme="majorHAnsi" w:hAnsiTheme="majorHAnsi" w:cs="Arial"/>
          <w:sz w:val="22"/>
          <w:szCs w:val="22"/>
        </w:rPr>
      </w:pPr>
    </w:p>
    <w:p w14:paraId="06A94873" w14:textId="77777777" w:rsidR="008B03DB" w:rsidRPr="00060053" w:rsidRDefault="008B03DB" w:rsidP="00DA5C23">
      <w:pPr>
        <w:widowControl w:val="0"/>
        <w:numPr>
          <w:ilvl w:val="0"/>
          <w:numId w:val="4"/>
        </w:numPr>
        <w:tabs>
          <w:tab w:val="clear" w:pos="1134"/>
          <w:tab w:val="left" w:pos="1080"/>
        </w:tabs>
        <w:ind w:left="1080" w:hanging="513"/>
        <w:jc w:val="both"/>
        <w:rPr>
          <w:rFonts w:asciiTheme="majorHAnsi" w:hAnsiTheme="majorHAnsi" w:cs="Arial"/>
          <w:b/>
          <w:bCs/>
          <w:smallCaps/>
          <w:sz w:val="22"/>
          <w:szCs w:val="22"/>
        </w:rPr>
      </w:pPr>
      <w:r w:rsidRPr="00060053">
        <w:rPr>
          <w:rFonts w:asciiTheme="majorHAnsi" w:hAnsiTheme="majorHAnsi" w:cs="Arial"/>
          <w:b/>
          <w:bCs/>
          <w:smallCaps/>
          <w:sz w:val="22"/>
          <w:szCs w:val="22"/>
        </w:rPr>
        <w:t>División</w:t>
      </w:r>
    </w:p>
    <w:p w14:paraId="06A94874" w14:textId="77777777" w:rsidR="008B03DB" w:rsidRPr="00060053" w:rsidRDefault="008B03DB"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Planificación y Normativa.</w:t>
      </w:r>
    </w:p>
    <w:p w14:paraId="06A94875" w14:textId="77777777" w:rsidR="008B03DB" w:rsidRPr="00060053" w:rsidRDefault="008B03DB"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Supervisión Regímenes de Capitalización Individual.</w:t>
      </w:r>
    </w:p>
    <w:p w14:paraId="06A94876" w14:textId="77777777" w:rsidR="008B03DB" w:rsidRPr="00060053" w:rsidRDefault="008B03DB"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Supervisión Regímenes Colectivos.</w:t>
      </w:r>
    </w:p>
    <w:p w14:paraId="06A94877" w14:textId="77777777" w:rsidR="00EC583B" w:rsidRPr="00060053" w:rsidRDefault="0021651E" w:rsidP="007D2E79">
      <w:pPr>
        <w:widowControl w:val="0"/>
        <w:numPr>
          <w:ilvl w:val="0"/>
          <w:numId w:val="7"/>
        </w:numPr>
        <w:jc w:val="both"/>
        <w:rPr>
          <w:rFonts w:asciiTheme="majorHAnsi" w:hAnsiTheme="majorHAnsi" w:cs="Arial"/>
          <w:sz w:val="22"/>
          <w:szCs w:val="22"/>
        </w:rPr>
      </w:pPr>
      <w:r w:rsidRPr="00060053">
        <w:rPr>
          <w:rFonts w:asciiTheme="majorHAnsi" w:hAnsiTheme="majorHAnsi" w:cs="Arial"/>
          <w:sz w:val="22"/>
          <w:szCs w:val="22"/>
        </w:rPr>
        <w:t>Jurídica</w:t>
      </w:r>
      <w:r w:rsidR="003F1D42">
        <w:rPr>
          <w:rFonts w:asciiTheme="majorHAnsi" w:hAnsiTheme="majorHAnsi" w:cs="Arial"/>
          <w:sz w:val="22"/>
          <w:szCs w:val="22"/>
        </w:rPr>
        <w:t>.</w:t>
      </w:r>
    </w:p>
    <w:p w14:paraId="06A94878" w14:textId="77777777" w:rsidR="008B03DB" w:rsidRPr="00060053" w:rsidRDefault="008B03DB" w:rsidP="002248DE">
      <w:pPr>
        <w:widowControl w:val="0"/>
        <w:ind w:left="1134"/>
        <w:jc w:val="both"/>
        <w:rPr>
          <w:rFonts w:asciiTheme="majorHAnsi" w:hAnsiTheme="majorHAnsi" w:cs="Arial"/>
          <w:sz w:val="22"/>
          <w:szCs w:val="22"/>
        </w:rPr>
      </w:pPr>
    </w:p>
    <w:p w14:paraId="06A9487C" w14:textId="77777777" w:rsidR="00431225" w:rsidRPr="00060053" w:rsidRDefault="00431225" w:rsidP="00DA5C23">
      <w:pPr>
        <w:widowControl w:val="0"/>
        <w:numPr>
          <w:ilvl w:val="0"/>
          <w:numId w:val="4"/>
        </w:numPr>
        <w:jc w:val="both"/>
        <w:rPr>
          <w:rFonts w:asciiTheme="majorHAnsi" w:hAnsiTheme="majorHAnsi" w:cs="Arial"/>
          <w:b/>
          <w:bCs/>
          <w:smallCaps/>
          <w:sz w:val="22"/>
          <w:szCs w:val="22"/>
        </w:rPr>
      </w:pPr>
      <w:r w:rsidRPr="00060053">
        <w:rPr>
          <w:rFonts w:asciiTheme="majorHAnsi" w:hAnsiTheme="majorHAnsi" w:cs="Arial"/>
          <w:b/>
          <w:bCs/>
          <w:smallCaps/>
          <w:sz w:val="22"/>
          <w:szCs w:val="22"/>
        </w:rPr>
        <w:t>Área</w:t>
      </w:r>
    </w:p>
    <w:p w14:paraId="06A9487D" w14:textId="77777777" w:rsidR="008B03DB" w:rsidRPr="00060053" w:rsidRDefault="005A6458" w:rsidP="00C914CA">
      <w:pPr>
        <w:widowControl w:val="0"/>
        <w:numPr>
          <w:ilvl w:val="0"/>
          <w:numId w:val="8"/>
        </w:numPr>
        <w:jc w:val="both"/>
        <w:rPr>
          <w:rFonts w:asciiTheme="majorHAnsi" w:hAnsiTheme="majorHAnsi" w:cs="Arial"/>
          <w:sz w:val="22"/>
          <w:szCs w:val="22"/>
        </w:rPr>
      </w:pPr>
      <w:r w:rsidRPr="00060053">
        <w:rPr>
          <w:rFonts w:asciiTheme="majorHAnsi" w:hAnsiTheme="majorHAnsi" w:cs="Arial"/>
          <w:sz w:val="22"/>
          <w:szCs w:val="22"/>
        </w:rPr>
        <w:t>Comunicación y Servicios</w:t>
      </w:r>
      <w:r w:rsidR="008B03DB" w:rsidRPr="00060053">
        <w:rPr>
          <w:rFonts w:asciiTheme="majorHAnsi" w:hAnsiTheme="majorHAnsi" w:cs="Arial"/>
          <w:sz w:val="22"/>
          <w:szCs w:val="22"/>
        </w:rPr>
        <w:t>.</w:t>
      </w:r>
    </w:p>
    <w:p w14:paraId="06A9487F" w14:textId="77777777" w:rsidR="003F1D42" w:rsidRDefault="003F1D42" w:rsidP="002248DE">
      <w:pPr>
        <w:rPr>
          <w:rFonts w:asciiTheme="majorHAnsi" w:hAnsiTheme="majorHAnsi"/>
          <w:b/>
          <w:sz w:val="22"/>
          <w:szCs w:val="22"/>
          <w:lang w:val="es-CR"/>
        </w:rPr>
      </w:pPr>
    </w:p>
    <w:p w14:paraId="06A94880" w14:textId="1F4938C5" w:rsidR="0030723E" w:rsidRPr="00295B19" w:rsidRDefault="0030723E" w:rsidP="002248DE">
      <w:pPr>
        <w:rPr>
          <w:rFonts w:asciiTheme="majorHAnsi" w:hAnsiTheme="majorHAnsi"/>
          <w:b/>
          <w:szCs w:val="22"/>
          <w:lang w:val="es-CR"/>
        </w:rPr>
      </w:pPr>
      <w:r w:rsidRPr="00295B19">
        <w:rPr>
          <w:rFonts w:asciiTheme="majorHAnsi" w:hAnsiTheme="majorHAnsi"/>
          <w:b/>
          <w:szCs w:val="22"/>
          <w:lang w:val="es-CR"/>
        </w:rPr>
        <w:t>Funciones</w:t>
      </w:r>
      <w:r w:rsidR="00E26F24" w:rsidRPr="00295B19">
        <w:rPr>
          <w:rFonts w:asciiTheme="majorHAnsi" w:hAnsiTheme="majorHAnsi"/>
          <w:b/>
          <w:szCs w:val="22"/>
          <w:lang w:val="es-CR"/>
        </w:rPr>
        <w:t xml:space="preserve"> de las unidades organizacionales</w:t>
      </w:r>
      <w:r w:rsidR="003B1C05" w:rsidRPr="00295B19">
        <w:rPr>
          <w:rFonts w:asciiTheme="majorHAnsi" w:hAnsiTheme="majorHAnsi"/>
          <w:b/>
          <w:szCs w:val="22"/>
          <w:lang w:val="es-CR"/>
        </w:rPr>
        <w:t xml:space="preserve"> de la </w:t>
      </w:r>
      <w:r w:rsidR="00D277D9" w:rsidRPr="00295B19">
        <w:rPr>
          <w:rFonts w:asciiTheme="majorHAnsi" w:hAnsiTheme="majorHAnsi"/>
          <w:b/>
          <w:szCs w:val="22"/>
          <w:lang w:val="es-CR"/>
        </w:rPr>
        <w:t>SUPEN</w:t>
      </w:r>
    </w:p>
    <w:p w14:paraId="06A94881" w14:textId="77777777" w:rsidR="002248DE" w:rsidRPr="00060053" w:rsidRDefault="002248DE" w:rsidP="002248DE">
      <w:pPr>
        <w:rPr>
          <w:rFonts w:asciiTheme="majorHAnsi" w:hAnsiTheme="majorHAnsi"/>
          <w:b/>
          <w:sz w:val="22"/>
          <w:szCs w:val="22"/>
          <w:lang w:val="es-CR"/>
        </w:rPr>
      </w:pPr>
    </w:p>
    <w:p w14:paraId="06A94882" w14:textId="63DC2FA7" w:rsidR="004033F4" w:rsidRDefault="0030723E" w:rsidP="00E9521C">
      <w:pPr>
        <w:widowControl w:val="0"/>
        <w:jc w:val="both"/>
        <w:rPr>
          <w:rFonts w:asciiTheme="majorHAnsi" w:hAnsiTheme="majorHAnsi"/>
          <w:sz w:val="22"/>
          <w:szCs w:val="22"/>
          <w:lang w:val="es-CR"/>
        </w:rPr>
      </w:pPr>
      <w:r w:rsidRPr="00060053">
        <w:rPr>
          <w:rFonts w:asciiTheme="majorHAnsi" w:hAnsiTheme="majorHAnsi"/>
          <w:b/>
          <w:sz w:val="22"/>
          <w:szCs w:val="22"/>
          <w:lang w:val="es-CR"/>
        </w:rPr>
        <w:t>Despacho del Superintendente</w:t>
      </w:r>
      <w:r w:rsidR="00E9521C" w:rsidRPr="00060053">
        <w:rPr>
          <w:rFonts w:asciiTheme="majorHAnsi" w:hAnsiTheme="majorHAnsi"/>
          <w:b/>
          <w:sz w:val="22"/>
          <w:szCs w:val="22"/>
          <w:lang w:val="es-CR"/>
        </w:rPr>
        <w:t xml:space="preserve"> e Intendente</w:t>
      </w:r>
    </w:p>
    <w:p w14:paraId="111CF755" w14:textId="77777777" w:rsidR="00DC6B58" w:rsidRDefault="00DC6B58" w:rsidP="00E9521C">
      <w:pPr>
        <w:widowControl w:val="0"/>
        <w:jc w:val="both"/>
        <w:rPr>
          <w:rFonts w:asciiTheme="majorHAnsi" w:hAnsiTheme="majorHAnsi"/>
          <w:sz w:val="22"/>
          <w:szCs w:val="22"/>
          <w:lang w:val="es-CR"/>
        </w:rPr>
      </w:pPr>
    </w:p>
    <w:p w14:paraId="06A94884" w14:textId="5DBD8526" w:rsidR="008450E8" w:rsidRPr="00060053" w:rsidRDefault="008450E8" w:rsidP="008450E8">
      <w:pPr>
        <w:widowControl w:val="0"/>
        <w:ind w:left="567"/>
        <w:jc w:val="both"/>
        <w:rPr>
          <w:rFonts w:asciiTheme="majorHAnsi" w:hAnsiTheme="majorHAnsi" w:cs="Arial"/>
          <w:sz w:val="22"/>
          <w:szCs w:val="22"/>
        </w:rPr>
      </w:pPr>
      <w:r w:rsidRPr="00060053">
        <w:rPr>
          <w:rFonts w:asciiTheme="majorHAnsi" w:hAnsiTheme="majorHAnsi" w:cs="Arial"/>
          <w:sz w:val="22"/>
          <w:szCs w:val="22"/>
        </w:rPr>
        <w:t xml:space="preserve">Tiene a cargo planificar, dirigir y coordinar todas aquellas actividades relacionadas con la organización, funcionamiento y coordinación de las dependencias de la Institución, con apoyo de las leyes, reglamentos y resoluciones del </w:t>
      </w:r>
      <w:r w:rsidR="007D7EDA">
        <w:rPr>
          <w:rFonts w:asciiTheme="majorHAnsi" w:hAnsiTheme="majorHAnsi" w:cs="Arial"/>
          <w:sz w:val="22"/>
          <w:szCs w:val="22"/>
        </w:rPr>
        <w:t>CONASSIF</w:t>
      </w:r>
      <w:r w:rsidRPr="00060053">
        <w:rPr>
          <w:rFonts w:asciiTheme="majorHAnsi" w:hAnsiTheme="majorHAnsi" w:cs="Arial"/>
          <w:sz w:val="22"/>
          <w:szCs w:val="22"/>
        </w:rPr>
        <w:t>.</w:t>
      </w:r>
    </w:p>
    <w:p w14:paraId="06A94885" w14:textId="77777777" w:rsidR="008450E8" w:rsidRPr="00060053" w:rsidRDefault="008450E8" w:rsidP="008450E8">
      <w:pPr>
        <w:widowControl w:val="0"/>
        <w:ind w:left="567"/>
        <w:jc w:val="both"/>
        <w:rPr>
          <w:rFonts w:asciiTheme="majorHAnsi" w:hAnsiTheme="majorHAnsi" w:cs="Arial"/>
          <w:sz w:val="22"/>
          <w:szCs w:val="22"/>
        </w:rPr>
      </w:pPr>
    </w:p>
    <w:p w14:paraId="06A94886" w14:textId="17101B19" w:rsidR="008450E8" w:rsidRPr="00060053" w:rsidRDefault="003026C3" w:rsidP="008450E8">
      <w:pPr>
        <w:widowControl w:val="0"/>
        <w:ind w:left="567"/>
        <w:jc w:val="both"/>
        <w:rPr>
          <w:rFonts w:asciiTheme="majorHAnsi" w:hAnsiTheme="majorHAnsi" w:cs="Arial"/>
          <w:sz w:val="22"/>
          <w:szCs w:val="22"/>
        </w:rPr>
      </w:pPr>
      <w:r>
        <w:rPr>
          <w:rFonts w:asciiTheme="majorHAnsi" w:hAnsiTheme="majorHAnsi" w:cs="Arial"/>
          <w:sz w:val="22"/>
          <w:szCs w:val="22"/>
        </w:rPr>
        <w:t>De igual forma gestiona</w:t>
      </w:r>
      <w:r w:rsidR="008450E8" w:rsidRPr="00060053">
        <w:rPr>
          <w:rFonts w:asciiTheme="majorHAnsi" w:hAnsiTheme="majorHAnsi" w:cs="Arial"/>
          <w:sz w:val="22"/>
          <w:szCs w:val="22"/>
        </w:rPr>
        <w:t xml:space="preserve"> el cumplimiento</w:t>
      </w:r>
      <w:r w:rsidR="000D761A">
        <w:rPr>
          <w:rFonts w:asciiTheme="majorHAnsi" w:hAnsiTheme="majorHAnsi" w:cs="Arial"/>
          <w:sz w:val="22"/>
          <w:szCs w:val="22"/>
        </w:rPr>
        <w:t xml:space="preserve"> de los objetivos estratégicos y de calidad</w:t>
      </w:r>
      <w:r w:rsidR="008450E8" w:rsidRPr="00060053">
        <w:rPr>
          <w:rFonts w:asciiTheme="majorHAnsi" w:hAnsiTheme="majorHAnsi" w:cs="Arial"/>
          <w:sz w:val="22"/>
          <w:szCs w:val="22"/>
        </w:rPr>
        <w:t xml:space="preserve"> de la </w:t>
      </w:r>
      <w:r w:rsidR="00D277D9">
        <w:rPr>
          <w:rFonts w:asciiTheme="majorHAnsi" w:hAnsiTheme="majorHAnsi" w:cs="Arial"/>
          <w:sz w:val="22"/>
          <w:szCs w:val="22"/>
        </w:rPr>
        <w:t>SUPEN</w:t>
      </w:r>
      <w:r w:rsidR="008450E8" w:rsidRPr="00060053">
        <w:rPr>
          <w:rFonts w:asciiTheme="majorHAnsi" w:hAnsiTheme="majorHAnsi" w:cs="Arial"/>
          <w:sz w:val="22"/>
          <w:szCs w:val="22"/>
        </w:rPr>
        <w:t xml:space="preserve"> y los objetivos tácticos de cada dependencia.</w:t>
      </w:r>
    </w:p>
    <w:p w14:paraId="06A94887" w14:textId="77777777" w:rsidR="008450E8" w:rsidRPr="00060053" w:rsidRDefault="008450E8" w:rsidP="008450E8">
      <w:pPr>
        <w:widowControl w:val="0"/>
        <w:ind w:left="567"/>
        <w:jc w:val="both"/>
        <w:rPr>
          <w:rFonts w:asciiTheme="majorHAnsi" w:hAnsiTheme="majorHAnsi" w:cs="Arial"/>
          <w:sz w:val="22"/>
          <w:szCs w:val="22"/>
        </w:rPr>
      </w:pPr>
    </w:p>
    <w:p w14:paraId="06A94888" w14:textId="6AD740AC" w:rsidR="004033F4" w:rsidRDefault="0030723E" w:rsidP="002248DE">
      <w:pPr>
        <w:rPr>
          <w:rFonts w:asciiTheme="majorHAnsi" w:hAnsiTheme="majorHAnsi"/>
          <w:sz w:val="22"/>
          <w:szCs w:val="22"/>
          <w:lang w:val="es-CR"/>
        </w:rPr>
      </w:pPr>
      <w:r w:rsidRPr="00060053">
        <w:rPr>
          <w:rFonts w:asciiTheme="majorHAnsi" w:hAnsiTheme="majorHAnsi"/>
          <w:b/>
          <w:sz w:val="22"/>
          <w:szCs w:val="22"/>
          <w:lang w:val="es-CR"/>
        </w:rPr>
        <w:t xml:space="preserve">División de </w:t>
      </w:r>
      <w:r w:rsidR="00B9786D" w:rsidRPr="00060053">
        <w:rPr>
          <w:rFonts w:asciiTheme="majorHAnsi" w:hAnsiTheme="majorHAnsi"/>
          <w:b/>
          <w:sz w:val="22"/>
          <w:szCs w:val="22"/>
          <w:lang w:val="es-CR"/>
        </w:rPr>
        <w:t>Regímenes de Capitalizaci</w:t>
      </w:r>
      <w:r w:rsidR="008B03DB" w:rsidRPr="00060053">
        <w:rPr>
          <w:rFonts w:asciiTheme="majorHAnsi" w:hAnsiTheme="majorHAnsi"/>
          <w:b/>
          <w:sz w:val="22"/>
          <w:szCs w:val="22"/>
          <w:lang w:val="es-CR"/>
        </w:rPr>
        <w:t>ón Individu</w:t>
      </w:r>
      <w:r w:rsidR="00B9786D" w:rsidRPr="00060053">
        <w:rPr>
          <w:rFonts w:asciiTheme="majorHAnsi" w:hAnsiTheme="majorHAnsi"/>
          <w:b/>
          <w:sz w:val="22"/>
          <w:szCs w:val="22"/>
          <w:lang w:val="es-CR"/>
        </w:rPr>
        <w:t>al</w:t>
      </w:r>
    </w:p>
    <w:p w14:paraId="5ED8E80A" w14:textId="77777777" w:rsidR="00DC6B58" w:rsidRDefault="00DC6B58" w:rsidP="002248DE">
      <w:pPr>
        <w:rPr>
          <w:rFonts w:asciiTheme="majorHAnsi" w:hAnsiTheme="majorHAnsi"/>
          <w:sz w:val="22"/>
          <w:szCs w:val="22"/>
          <w:lang w:val="es-CR"/>
        </w:rPr>
      </w:pPr>
    </w:p>
    <w:p w14:paraId="06A9488A" w14:textId="04E8C50C" w:rsidR="00B9786D" w:rsidRPr="00060053" w:rsidRDefault="002B488E" w:rsidP="000D6AF2">
      <w:pPr>
        <w:ind w:left="567"/>
        <w:jc w:val="both"/>
        <w:rPr>
          <w:rFonts w:asciiTheme="majorHAnsi" w:hAnsiTheme="majorHAnsi" w:cs="Arial"/>
          <w:sz w:val="22"/>
          <w:szCs w:val="22"/>
        </w:rPr>
      </w:pPr>
      <w:r w:rsidRPr="00060053">
        <w:rPr>
          <w:rFonts w:asciiTheme="majorHAnsi" w:hAnsiTheme="majorHAnsi" w:cs="Arial"/>
          <w:sz w:val="22"/>
          <w:szCs w:val="22"/>
        </w:rPr>
        <w:t xml:space="preserve">Tiene a cargo planificar, dirigir, coordinar, ejecutar y controlar las acciones de supervisión tanto </w:t>
      </w:r>
      <w:r w:rsidRPr="00761F9B">
        <w:rPr>
          <w:rFonts w:asciiTheme="majorHAnsi" w:hAnsiTheme="majorHAnsi" w:cs="Arial"/>
          <w:i/>
          <w:sz w:val="22"/>
          <w:szCs w:val="22"/>
        </w:rPr>
        <w:t>in situ</w:t>
      </w:r>
      <w:r w:rsidRPr="00060053">
        <w:rPr>
          <w:rFonts w:asciiTheme="majorHAnsi" w:hAnsiTheme="majorHAnsi" w:cs="Arial"/>
          <w:sz w:val="22"/>
          <w:szCs w:val="22"/>
        </w:rPr>
        <w:t xml:space="preserve"> como </w:t>
      </w:r>
      <w:r w:rsidRPr="00761F9B">
        <w:rPr>
          <w:rFonts w:asciiTheme="majorHAnsi" w:hAnsiTheme="majorHAnsi" w:cs="Arial"/>
          <w:i/>
          <w:sz w:val="22"/>
          <w:szCs w:val="22"/>
        </w:rPr>
        <w:t>extra situ</w:t>
      </w:r>
      <w:r w:rsidRPr="00060053">
        <w:rPr>
          <w:rFonts w:asciiTheme="majorHAnsi" w:hAnsiTheme="majorHAnsi" w:cs="Arial"/>
          <w:sz w:val="22"/>
          <w:szCs w:val="22"/>
        </w:rPr>
        <w:t xml:space="preserve"> tendientes a fiscalizar, supervisar el funcionamiento de las principales áreas, operaciones y riesgos de los fondos de pensiones y de las entidades que </w:t>
      </w:r>
      <w:r w:rsidRPr="00060053">
        <w:rPr>
          <w:rFonts w:asciiTheme="majorHAnsi" w:hAnsiTheme="majorHAnsi" w:cs="Arial"/>
          <w:sz w:val="22"/>
          <w:szCs w:val="22"/>
        </w:rPr>
        <w:lastRenderedPageBreak/>
        <w:t>los administran, procurando la mejora continua de los procesos y procedimientos, dentro de un sistema de gestión de la calidad</w:t>
      </w:r>
      <w:r w:rsidR="00DC3627" w:rsidRPr="00060053">
        <w:rPr>
          <w:rFonts w:asciiTheme="majorHAnsi" w:hAnsiTheme="majorHAnsi" w:cs="Arial"/>
          <w:sz w:val="22"/>
          <w:szCs w:val="22"/>
        </w:rPr>
        <w:t>.</w:t>
      </w:r>
    </w:p>
    <w:p w14:paraId="06A9488B" w14:textId="77777777" w:rsidR="00DC3627" w:rsidRPr="00060053" w:rsidRDefault="00DC3627" w:rsidP="002248DE">
      <w:pPr>
        <w:jc w:val="both"/>
        <w:rPr>
          <w:rFonts w:asciiTheme="majorHAnsi" w:hAnsiTheme="majorHAnsi" w:cs="Arial"/>
          <w:sz w:val="22"/>
          <w:szCs w:val="22"/>
        </w:rPr>
      </w:pPr>
    </w:p>
    <w:p w14:paraId="06A9488C" w14:textId="424AB4A7" w:rsidR="004033F4" w:rsidRDefault="0030723E" w:rsidP="002248DE">
      <w:pPr>
        <w:jc w:val="both"/>
        <w:rPr>
          <w:rFonts w:asciiTheme="majorHAnsi" w:hAnsiTheme="majorHAnsi"/>
          <w:b/>
          <w:sz w:val="22"/>
          <w:szCs w:val="22"/>
          <w:lang w:val="es-CR"/>
        </w:rPr>
      </w:pPr>
      <w:r w:rsidRPr="00060053">
        <w:rPr>
          <w:rFonts w:asciiTheme="majorHAnsi" w:hAnsiTheme="majorHAnsi"/>
          <w:b/>
          <w:sz w:val="22"/>
          <w:szCs w:val="22"/>
          <w:lang w:val="es-CR"/>
        </w:rPr>
        <w:t xml:space="preserve">División de Regímenes </w:t>
      </w:r>
      <w:r w:rsidR="008B03DB" w:rsidRPr="00060053">
        <w:rPr>
          <w:rFonts w:asciiTheme="majorHAnsi" w:hAnsiTheme="majorHAnsi"/>
          <w:b/>
          <w:sz w:val="22"/>
          <w:szCs w:val="22"/>
          <w:lang w:val="es-CR"/>
        </w:rPr>
        <w:t>Colectivos</w:t>
      </w:r>
    </w:p>
    <w:p w14:paraId="47014F85" w14:textId="77777777" w:rsidR="00DC6B58" w:rsidRDefault="00DC6B58" w:rsidP="002248DE">
      <w:pPr>
        <w:jc w:val="both"/>
        <w:rPr>
          <w:rFonts w:asciiTheme="majorHAnsi" w:hAnsiTheme="majorHAnsi"/>
          <w:b/>
          <w:sz w:val="22"/>
          <w:szCs w:val="22"/>
          <w:lang w:val="es-CR"/>
        </w:rPr>
      </w:pPr>
    </w:p>
    <w:p w14:paraId="06A9488E" w14:textId="6FBB3884" w:rsidR="00DC3627" w:rsidRPr="00060053" w:rsidRDefault="002B488E" w:rsidP="000D6AF2">
      <w:pPr>
        <w:widowControl w:val="0"/>
        <w:ind w:left="567"/>
        <w:jc w:val="both"/>
        <w:rPr>
          <w:rFonts w:asciiTheme="majorHAnsi" w:hAnsiTheme="majorHAnsi" w:cs="Arial"/>
          <w:sz w:val="22"/>
          <w:szCs w:val="22"/>
        </w:rPr>
      </w:pPr>
      <w:r w:rsidRPr="00060053">
        <w:rPr>
          <w:rFonts w:asciiTheme="majorHAnsi" w:hAnsiTheme="majorHAnsi" w:cs="Arial"/>
          <w:sz w:val="22"/>
          <w:szCs w:val="22"/>
        </w:rPr>
        <w:t xml:space="preserve">Tiene a su cargo planificar, dirigir, coordinar, ejecutar y controlar las acciones de supervisión tanto </w:t>
      </w:r>
      <w:r w:rsidRPr="00761F9B">
        <w:rPr>
          <w:rFonts w:asciiTheme="majorHAnsi" w:hAnsiTheme="majorHAnsi" w:cs="Arial"/>
          <w:i/>
          <w:sz w:val="22"/>
          <w:szCs w:val="22"/>
        </w:rPr>
        <w:t>in situ</w:t>
      </w:r>
      <w:r w:rsidRPr="00060053">
        <w:rPr>
          <w:rFonts w:asciiTheme="majorHAnsi" w:hAnsiTheme="majorHAnsi" w:cs="Arial"/>
          <w:sz w:val="22"/>
          <w:szCs w:val="22"/>
        </w:rPr>
        <w:t xml:space="preserve"> como </w:t>
      </w:r>
      <w:r w:rsidRPr="00761F9B">
        <w:rPr>
          <w:rFonts w:asciiTheme="majorHAnsi" w:hAnsiTheme="majorHAnsi" w:cs="Arial"/>
          <w:i/>
          <w:sz w:val="22"/>
          <w:szCs w:val="22"/>
        </w:rPr>
        <w:t>extra situ</w:t>
      </w:r>
      <w:r w:rsidRPr="00060053">
        <w:rPr>
          <w:rFonts w:asciiTheme="majorHAnsi" w:hAnsiTheme="majorHAnsi" w:cs="Arial"/>
          <w:sz w:val="22"/>
          <w:szCs w:val="22"/>
        </w:rPr>
        <w:t xml:space="preserve"> tendientes a fiscalizar, supervisar el funcionamiento de las principales áreas, operaciones y riesgos de los Regímenes Colectivos conformados por los Regímenes Básicos y los Fondos Complementarios Especiales</w:t>
      </w:r>
      <w:r w:rsidR="00DC3627" w:rsidRPr="00060053">
        <w:rPr>
          <w:rFonts w:asciiTheme="majorHAnsi" w:hAnsiTheme="majorHAnsi" w:cs="Arial"/>
          <w:sz w:val="22"/>
          <w:szCs w:val="22"/>
        </w:rPr>
        <w:t>.</w:t>
      </w:r>
    </w:p>
    <w:p w14:paraId="06A9488F" w14:textId="77777777" w:rsidR="004236CC" w:rsidRPr="00060053" w:rsidRDefault="004236CC" w:rsidP="002248DE">
      <w:pPr>
        <w:widowControl w:val="0"/>
        <w:jc w:val="both"/>
        <w:rPr>
          <w:rFonts w:asciiTheme="majorHAnsi" w:hAnsiTheme="majorHAnsi" w:cs="Arial"/>
          <w:sz w:val="22"/>
          <w:szCs w:val="22"/>
        </w:rPr>
      </w:pPr>
    </w:p>
    <w:p w14:paraId="06A94890" w14:textId="18548DE4" w:rsidR="004033F4" w:rsidRDefault="00B9786D" w:rsidP="002248DE">
      <w:pPr>
        <w:jc w:val="both"/>
        <w:rPr>
          <w:rFonts w:asciiTheme="majorHAnsi" w:hAnsiTheme="majorHAnsi"/>
          <w:b/>
          <w:sz w:val="22"/>
          <w:szCs w:val="22"/>
          <w:lang w:val="es-CR"/>
        </w:rPr>
      </w:pPr>
      <w:r w:rsidRPr="00060053">
        <w:rPr>
          <w:rFonts w:asciiTheme="majorHAnsi" w:hAnsiTheme="majorHAnsi"/>
          <w:b/>
          <w:sz w:val="22"/>
          <w:szCs w:val="22"/>
          <w:lang w:val="es-CR"/>
        </w:rPr>
        <w:t>División de Planificación y Normativa</w:t>
      </w:r>
    </w:p>
    <w:p w14:paraId="7ED41EDE" w14:textId="77777777" w:rsidR="00DC6B58" w:rsidRDefault="00DC6B58" w:rsidP="002248DE">
      <w:pPr>
        <w:jc w:val="both"/>
        <w:rPr>
          <w:rFonts w:asciiTheme="majorHAnsi" w:hAnsiTheme="majorHAnsi"/>
          <w:b/>
          <w:sz w:val="22"/>
          <w:szCs w:val="22"/>
          <w:lang w:val="es-CR"/>
        </w:rPr>
      </w:pPr>
    </w:p>
    <w:p w14:paraId="06A94892" w14:textId="3FA20874" w:rsidR="00DC3627" w:rsidRPr="00060053" w:rsidRDefault="008450E8" w:rsidP="000D6AF2">
      <w:pPr>
        <w:ind w:left="567"/>
        <w:jc w:val="both"/>
        <w:rPr>
          <w:rFonts w:asciiTheme="majorHAnsi" w:hAnsiTheme="majorHAnsi" w:cs="Arial"/>
          <w:sz w:val="22"/>
          <w:szCs w:val="22"/>
        </w:rPr>
      </w:pPr>
      <w:r w:rsidRPr="00060053">
        <w:rPr>
          <w:rFonts w:asciiTheme="majorHAnsi" w:hAnsiTheme="majorHAnsi" w:cs="Arial"/>
          <w:sz w:val="22"/>
          <w:szCs w:val="22"/>
        </w:rPr>
        <w:t>Tiene a cargo planificar, dirigir, coordinar, ejecutar y controlar las actividades relacionadas con la modernización permanente del Modelo de Supervisión del Sistema Nacional de Pensiones.  Asimismo, determinar y dictar las normas y disposiciones legales que regulan la organización, funcionamiento y operación del Sistema Nacional de Pensiones, así como emitir los acuerdos de las autorizaciones que se soliciten para la operación y funcionamiento por parte de los participantes del Sistema Nacional de Pensiones</w:t>
      </w:r>
      <w:r w:rsidR="00DC3627" w:rsidRPr="00060053">
        <w:rPr>
          <w:rFonts w:asciiTheme="majorHAnsi" w:hAnsiTheme="majorHAnsi" w:cs="Arial"/>
          <w:sz w:val="22"/>
          <w:szCs w:val="22"/>
        </w:rPr>
        <w:t>.</w:t>
      </w:r>
    </w:p>
    <w:p w14:paraId="06A94893" w14:textId="77777777" w:rsidR="0030723E" w:rsidRPr="00060053" w:rsidRDefault="0030723E" w:rsidP="002248DE">
      <w:pPr>
        <w:ind w:left="709"/>
        <w:jc w:val="both"/>
        <w:rPr>
          <w:rFonts w:asciiTheme="majorHAnsi" w:hAnsiTheme="majorHAnsi"/>
          <w:sz w:val="22"/>
          <w:szCs w:val="22"/>
        </w:rPr>
      </w:pPr>
    </w:p>
    <w:p w14:paraId="06A94894" w14:textId="2CEF247A" w:rsidR="00EC583B" w:rsidRDefault="00DC6B58" w:rsidP="00EC583B">
      <w:pPr>
        <w:widowControl w:val="0"/>
        <w:jc w:val="both"/>
        <w:rPr>
          <w:rFonts w:asciiTheme="majorHAnsi" w:hAnsiTheme="majorHAnsi"/>
          <w:b/>
          <w:sz w:val="22"/>
          <w:szCs w:val="22"/>
          <w:lang w:val="es-CR"/>
        </w:rPr>
      </w:pPr>
      <w:r>
        <w:rPr>
          <w:rFonts w:asciiTheme="majorHAnsi" w:hAnsiTheme="majorHAnsi"/>
          <w:b/>
          <w:sz w:val="22"/>
          <w:szCs w:val="22"/>
          <w:lang w:val="es-CR"/>
        </w:rPr>
        <w:t>División Jurídica</w:t>
      </w:r>
    </w:p>
    <w:p w14:paraId="6A893625" w14:textId="77777777" w:rsidR="00DC6B58" w:rsidRDefault="00DC6B58" w:rsidP="00EC583B">
      <w:pPr>
        <w:widowControl w:val="0"/>
        <w:jc w:val="both"/>
        <w:rPr>
          <w:rFonts w:asciiTheme="majorHAnsi" w:hAnsiTheme="majorHAnsi"/>
          <w:b/>
          <w:sz w:val="22"/>
          <w:szCs w:val="22"/>
          <w:lang w:val="es-CR"/>
        </w:rPr>
      </w:pPr>
    </w:p>
    <w:p w14:paraId="06A94896" w14:textId="34A71D63" w:rsidR="00EC583B" w:rsidRPr="00060053" w:rsidRDefault="008450E8" w:rsidP="000D6AF2">
      <w:pPr>
        <w:widowControl w:val="0"/>
        <w:ind w:left="567"/>
        <w:jc w:val="both"/>
        <w:rPr>
          <w:rFonts w:asciiTheme="majorHAnsi" w:hAnsiTheme="majorHAnsi" w:cs="Arial"/>
          <w:sz w:val="22"/>
          <w:szCs w:val="22"/>
        </w:rPr>
      </w:pPr>
      <w:r w:rsidRPr="00060053">
        <w:rPr>
          <w:rFonts w:asciiTheme="majorHAnsi" w:hAnsiTheme="majorHAnsi" w:cs="Arial"/>
          <w:sz w:val="22"/>
          <w:szCs w:val="22"/>
          <w:lang w:val="es-CR"/>
        </w:rPr>
        <w:t xml:space="preserve">Asesorar a la institución en materia jurídica de forma oportuna, con el </w:t>
      </w:r>
      <w:r w:rsidR="00761F9B">
        <w:rPr>
          <w:rFonts w:asciiTheme="majorHAnsi" w:hAnsiTheme="majorHAnsi" w:cs="Arial"/>
          <w:sz w:val="22"/>
          <w:szCs w:val="22"/>
          <w:lang w:val="es-CR"/>
        </w:rPr>
        <w:t>propósito</w:t>
      </w:r>
      <w:r w:rsidRPr="00060053">
        <w:rPr>
          <w:rFonts w:asciiTheme="majorHAnsi" w:hAnsiTheme="majorHAnsi" w:cs="Arial"/>
          <w:sz w:val="22"/>
          <w:szCs w:val="22"/>
          <w:lang w:val="es-CR"/>
        </w:rPr>
        <w:t xml:space="preserve"> de coadyuvar en el proceso de toma de decisiones y garantizar que ejecuta sus funciones con estricto apego al ordenamiento jurídico</w:t>
      </w:r>
      <w:r w:rsidR="002A5CCD" w:rsidRPr="00060053">
        <w:rPr>
          <w:rFonts w:asciiTheme="majorHAnsi" w:hAnsiTheme="majorHAnsi" w:cs="Arial"/>
          <w:sz w:val="22"/>
          <w:szCs w:val="22"/>
        </w:rPr>
        <w:t>.</w:t>
      </w:r>
    </w:p>
    <w:p w14:paraId="06A94897" w14:textId="77777777" w:rsidR="00EC583B" w:rsidRPr="00060053" w:rsidRDefault="00EC583B" w:rsidP="000D6AF2">
      <w:pPr>
        <w:ind w:left="567"/>
        <w:jc w:val="both"/>
        <w:rPr>
          <w:rFonts w:asciiTheme="majorHAnsi" w:hAnsiTheme="majorHAnsi"/>
          <w:sz w:val="22"/>
          <w:szCs w:val="22"/>
        </w:rPr>
      </w:pPr>
    </w:p>
    <w:p w14:paraId="06A94898" w14:textId="0ACDC7A2" w:rsidR="00750847" w:rsidRDefault="00750847" w:rsidP="002248DE">
      <w:pPr>
        <w:jc w:val="both"/>
        <w:rPr>
          <w:rFonts w:asciiTheme="majorHAnsi" w:hAnsiTheme="majorHAnsi"/>
          <w:b/>
          <w:sz w:val="22"/>
          <w:szCs w:val="22"/>
          <w:lang w:val="es-CR"/>
        </w:rPr>
      </w:pPr>
      <w:r w:rsidRPr="00B63F01">
        <w:rPr>
          <w:rFonts w:asciiTheme="majorHAnsi" w:hAnsiTheme="majorHAnsi"/>
          <w:b/>
          <w:sz w:val="22"/>
          <w:szCs w:val="22"/>
          <w:lang w:val="es-CR"/>
        </w:rPr>
        <w:t>Tecnologías de Información</w:t>
      </w:r>
      <w:r w:rsidR="006D62FA">
        <w:rPr>
          <w:rFonts w:asciiTheme="majorHAnsi" w:hAnsiTheme="majorHAnsi"/>
          <w:b/>
          <w:sz w:val="22"/>
          <w:szCs w:val="22"/>
          <w:lang w:val="es-CR"/>
        </w:rPr>
        <w:t xml:space="preserve"> </w:t>
      </w:r>
      <w:r w:rsidR="006D62FA">
        <w:rPr>
          <w:rStyle w:val="Refdenotaalpie"/>
          <w:rFonts w:asciiTheme="majorHAnsi" w:hAnsiTheme="majorHAnsi"/>
          <w:b/>
          <w:sz w:val="22"/>
          <w:szCs w:val="22"/>
          <w:lang w:val="es-CR"/>
        </w:rPr>
        <w:footnoteReference w:id="1"/>
      </w:r>
    </w:p>
    <w:p w14:paraId="417B85F8" w14:textId="77777777" w:rsidR="00DC6B58" w:rsidRPr="00B63F01" w:rsidRDefault="00DC6B58" w:rsidP="002248DE">
      <w:pPr>
        <w:jc w:val="both"/>
        <w:rPr>
          <w:rFonts w:asciiTheme="majorHAnsi" w:hAnsiTheme="majorHAnsi"/>
          <w:b/>
          <w:sz w:val="22"/>
          <w:szCs w:val="22"/>
          <w:lang w:val="es-CR"/>
        </w:rPr>
      </w:pPr>
    </w:p>
    <w:p w14:paraId="06A9489A" w14:textId="3ACF55D5" w:rsidR="002B488E" w:rsidRPr="00B63F01" w:rsidRDefault="00B63F01" w:rsidP="002B488E">
      <w:pPr>
        <w:ind w:left="567"/>
        <w:jc w:val="both"/>
        <w:rPr>
          <w:rFonts w:asciiTheme="majorHAnsi" w:hAnsiTheme="majorHAnsi" w:cs="Arial"/>
          <w:sz w:val="22"/>
          <w:szCs w:val="22"/>
        </w:rPr>
      </w:pPr>
      <w:r>
        <w:rPr>
          <w:rFonts w:asciiTheme="majorHAnsi" w:hAnsiTheme="majorHAnsi" w:cs="Arial"/>
          <w:sz w:val="22"/>
          <w:szCs w:val="22"/>
        </w:rPr>
        <w:t xml:space="preserve">Este </w:t>
      </w:r>
      <w:r w:rsidR="002A68A2">
        <w:rPr>
          <w:rFonts w:asciiTheme="majorHAnsi" w:hAnsiTheme="majorHAnsi" w:cs="Arial"/>
          <w:sz w:val="22"/>
          <w:szCs w:val="22"/>
        </w:rPr>
        <w:t xml:space="preserve">servicio es suministrado por el área encargada del Banco Central </w:t>
      </w:r>
      <w:r w:rsidR="00DC6B58">
        <w:rPr>
          <w:rFonts w:asciiTheme="majorHAnsi" w:hAnsiTheme="majorHAnsi" w:cs="Arial"/>
          <w:sz w:val="22"/>
          <w:szCs w:val="22"/>
        </w:rPr>
        <w:t xml:space="preserve">de Costa Rica </w:t>
      </w:r>
      <w:r w:rsidR="002A68A2">
        <w:rPr>
          <w:rFonts w:asciiTheme="majorHAnsi" w:hAnsiTheme="majorHAnsi" w:cs="Arial"/>
          <w:sz w:val="22"/>
          <w:szCs w:val="22"/>
        </w:rPr>
        <w:t>mediante acuerdos de nivel de servicios</w:t>
      </w:r>
      <w:r w:rsidR="000201FD">
        <w:rPr>
          <w:rFonts w:asciiTheme="majorHAnsi" w:hAnsiTheme="majorHAnsi" w:cs="Arial"/>
          <w:sz w:val="22"/>
          <w:szCs w:val="22"/>
        </w:rPr>
        <w:t xml:space="preserve"> internos</w:t>
      </w:r>
      <w:r w:rsidR="002A68A2">
        <w:rPr>
          <w:rFonts w:asciiTheme="majorHAnsi" w:hAnsiTheme="majorHAnsi" w:cs="Arial"/>
          <w:sz w:val="22"/>
          <w:szCs w:val="22"/>
        </w:rPr>
        <w:t>. Es responsable de</w:t>
      </w:r>
      <w:r w:rsidR="002B488E" w:rsidRPr="00B63F01">
        <w:rPr>
          <w:rFonts w:asciiTheme="majorHAnsi" w:hAnsiTheme="majorHAnsi" w:cs="Arial"/>
          <w:sz w:val="22"/>
          <w:szCs w:val="22"/>
        </w:rPr>
        <w:t xml:space="preserve"> planificar, coordinar, ejecutar, controlar y supervisar todos los aspectos de tecnología informática que requiere la Superintendencia de Pensiones.</w:t>
      </w:r>
    </w:p>
    <w:p w14:paraId="06A9489B" w14:textId="77777777" w:rsidR="002B488E" w:rsidRPr="00B63F01" w:rsidRDefault="002B488E" w:rsidP="002B488E">
      <w:pPr>
        <w:ind w:left="567"/>
        <w:jc w:val="both"/>
        <w:rPr>
          <w:rFonts w:asciiTheme="majorHAnsi" w:hAnsiTheme="majorHAnsi" w:cs="Arial"/>
          <w:sz w:val="22"/>
          <w:szCs w:val="22"/>
        </w:rPr>
      </w:pPr>
    </w:p>
    <w:p w14:paraId="06A9489C" w14:textId="06AFD036" w:rsidR="00DC3627" w:rsidRPr="00060053" w:rsidRDefault="002B488E" w:rsidP="002B488E">
      <w:pPr>
        <w:ind w:left="567"/>
        <w:jc w:val="both"/>
        <w:rPr>
          <w:rFonts w:asciiTheme="majorHAnsi" w:hAnsiTheme="majorHAnsi" w:cs="Arial"/>
          <w:sz w:val="22"/>
          <w:szCs w:val="22"/>
        </w:rPr>
      </w:pPr>
      <w:r w:rsidRPr="00B63F01">
        <w:rPr>
          <w:rFonts w:asciiTheme="majorHAnsi" w:hAnsiTheme="majorHAnsi" w:cs="Arial"/>
          <w:sz w:val="22"/>
          <w:szCs w:val="22"/>
        </w:rPr>
        <w:t xml:space="preserve">Apoyar los procesos de la </w:t>
      </w:r>
      <w:r w:rsidR="00D277D9" w:rsidRPr="00B63F01">
        <w:rPr>
          <w:rFonts w:asciiTheme="majorHAnsi" w:hAnsiTheme="majorHAnsi" w:cs="Arial"/>
          <w:sz w:val="22"/>
          <w:szCs w:val="22"/>
        </w:rPr>
        <w:t>SUPEN</w:t>
      </w:r>
      <w:r w:rsidRPr="00B63F01">
        <w:rPr>
          <w:rFonts w:asciiTheme="majorHAnsi" w:hAnsiTheme="majorHAnsi" w:cs="Arial"/>
          <w:sz w:val="22"/>
          <w:szCs w:val="22"/>
        </w:rPr>
        <w:t>, mediante la administración de la infraestructura tecnológica, la cual soporta sus recursos de información.</w:t>
      </w:r>
    </w:p>
    <w:p w14:paraId="06A9489D" w14:textId="77777777" w:rsidR="00DC3627" w:rsidRPr="00060053" w:rsidRDefault="00DC3627" w:rsidP="002248DE">
      <w:pPr>
        <w:jc w:val="both"/>
        <w:rPr>
          <w:rFonts w:asciiTheme="majorHAnsi" w:hAnsiTheme="majorHAnsi"/>
          <w:sz w:val="22"/>
          <w:szCs w:val="22"/>
        </w:rPr>
      </w:pPr>
    </w:p>
    <w:p w14:paraId="06A9489E" w14:textId="54DE650F" w:rsidR="00750847" w:rsidRDefault="0028737A" w:rsidP="00E9521C">
      <w:pPr>
        <w:tabs>
          <w:tab w:val="left" w:pos="0"/>
          <w:tab w:val="left" w:pos="540"/>
        </w:tabs>
        <w:jc w:val="both"/>
        <w:rPr>
          <w:rFonts w:asciiTheme="majorHAnsi" w:hAnsiTheme="majorHAnsi"/>
          <w:b/>
          <w:sz w:val="22"/>
          <w:szCs w:val="22"/>
          <w:lang w:val="es-CR"/>
        </w:rPr>
      </w:pPr>
      <w:r w:rsidRPr="00060053">
        <w:rPr>
          <w:rFonts w:asciiTheme="majorHAnsi" w:hAnsiTheme="majorHAnsi"/>
          <w:b/>
          <w:sz w:val="22"/>
          <w:szCs w:val="22"/>
          <w:lang w:val="es-CR"/>
        </w:rPr>
        <w:t xml:space="preserve">Área </w:t>
      </w:r>
      <w:r w:rsidR="008B03DB" w:rsidRPr="00060053">
        <w:rPr>
          <w:rFonts w:asciiTheme="majorHAnsi" w:hAnsiTheme="majorHAnsi"/>
          <w:b/>
          <w:sz w:val="22"/>
          <w:szCs w:val="22"/>
          <w:lang w:val="es-CR"/>
        </w:rPr>
        <w:t>Comunicación y Servicios</w:t>
      </w:r>
    </w:p>
    <w:p w14:paraId="72D7D646" w14:textId="77777777" w:rsidR="00DA6BAF" w:rsidRDefault="00DA6BAF" w:rsidP="00E9521C">
      <w:pPr>
        <w:tabs>
          <w:tab w:val="left" w:pos="0"/>
          <w:tab w:val="left" w:pos="540"/>
        </w:tabs>
        <w:jc w:val="both"/>
        <w:rPr>
          <w:rFonts w:asciiTheme="majorHAnsi" w:hAnsiTheme="majorHAnsi"/>
          <w:b/>
          <w:sz w:val="22"/>
          <w:szCs w:val="22"/>
          <w:lang w:val="es-CR"/>
        </w:rPr>
      </w:pPr>
    </w:p>
    <w:p w14:paraId="06A948A0" w14:textId="77777777" w:rsidR="002B488E" w:rsidRPr="00060053" w:rsidRDefault="002B488E" w:rsidP="002B488E">
      <w:pPr>
        <w:tabs>
          <w:tab w:val="left" w:pos="0"/>
        </w:tabs>
        <w:ind w:left="567"/>
        <w:jc w:val="both"/>
        <w:rPr>
          <w:rFonts w:asciiTheme="majorHAnsi" w:hAnsiTheme="majorHAnsi" w:cs="Arial"/>
          <w:sz w:val="22"/>
          <w:szCs w:val="22"/>
        </w:rPr>
      </w:pPr>
      <w:r w:rsidRPr="00060053">
        <w:rPr>
          <w:rFonts w:asciiTheme="majorHAnsi" w:hAnsiTheme="majorHAnsi" w:cs="Arial"/>
          <w:sz w:val="22"/>
          <w:szCs w:val="22"/>
        </w:rPr>
        <w:t>Facilitar y apoyar el desarrollo de la Institución en su conjunto, proveyendo en cantidad, calidad y oportunidad necesaria los servicios de apoyo para su desarrollo, basado en un proceso de modernización permanente y mejoramiento continuo, que facilite la adecuación a los cambios del entorno y cumplimiento de las metas de manera eficaz y responsable.</w:t>
      </w:r>
    </w:p>
    <w:p w14:paraId="06A948A1" w14:textId="77777777" w:rsidR="002B488E" w:rsidRPr="00060053" w:rsidRDefault="002B488E" w:rsidP="002B488E">
      <w:pPr>
        <w:tabs>
          <w:tab w:val="left" w:pos="0"/>
        </w:tabs>
        <w:ind w:left="567"/>
        <w:jc w:val="both"/>
        <w:rPr>
          <w:rFonts w:asciiTheme="majorHAnsi" w:hAnsiTheme="majorHAnsi" w:cs="Arial"/>
          <w:sz w:val="22"/>
          <w:szCs w:val="22"/>
        </w:rPr>
      </w:pPr>
    </w:p>
    <w:p w14:paraId="06A948A2" w14:textId="427D4EDC" w:rsidR="002B488E" w:rsidRPr="00060053" w:rsidRDefault="002B488E" w:rsidP="002B488E">
      <w:pPr>
        <w:tabs>
          <w:tab w:val="left" w:pos="0"/>
        </w:tabs>
        <w:ind w:left="567"/>
        <w:jc w:val="both"/>
        <w:rPr>
          <w:rFonts w:asciiTheme="majorHAnsi" w:hAnsiTheme="majorHAnsi" w:cs="Arial"/>
          <w:sz w:val="22"/>
          <w:szCs w:val="22"/>
        </w:rPr>
      </w:pPr>
      <w:r w:rsidRPr="00060053">
        <w:rPr>
          <w:rFonts w:asciiTheme="majorHAnsi" w:hAnsiTheme="majorHAnsi" w:cs="Arial"/>
          <w:sz w:val="22"/>
          <w:szCs w:val="22"/>
        </w:rPr>
        <w:t>Planificar, dirigir, coordinar y evaluar las estrate</w:t>
      </w:r>
      <w:r w:rsidR="0011674C">
        <w:rPr>
          <w:rFonts w:asciiTheme="majorHAnsi" w:hAnsiTheme="majorHAnsi" w:cs="Arial"/>
          <w:sz w:val="22"/>
          <w:szCs w:val="22"/>
        </w:rPr>
        <w:t>gias de comunicación encaminada</w:t>
      </w:r>
      <w:r w:rsidRPr="00060053">
        <w:rPr>
          <w:rFonts w:asciiTheme="majorHAnsi" w:hAnsiTheme="majorHAnsi" w:cs="Arial"/>
          <w:sz w:val="22"/>
          <w:szCs w:val="22"/>
        </w:rPr>
        <w:t xml:space="preserve"> a crear una cultura previsional y a la proyección y entendimiento de las funciones de la </w:t>
      </w:r>
      <w:r w:rsidR="00D277D9">
        <w:rPr>
          <w:rFonts w:asciiTheme="majorHAnsi" w:hAnsiTheme="majorHAnsi" w:cs="Arial"/>
          <w:sz w:val="22"/>
          <w:szCs w:val="22"/>
        </w:rPr>
        <w:t>SUPEN</w:t>
      </w:r>
      <w:r w:rsidRPr="00060053">
        <w:rPr>
          <w:rFonts w:asciiTheme="majorHAnsi" w:hAnsiTheme="majorHAnsi" w:cs="Arial"/>
          <w:sz w:val="22"/>
          <w:szCs w:val="22"/>
        </w:rPr>
        <w:t>.</w:t>
      </w:r>
    </w:p>
    <w:p w14:paraId="06A948A3" w14:textId="77777777" w:rsidR="002B488E" w:rsidRPr="00060053" w:rsidRDefault="002B488E" w:rsidP="002B488E">
      <w:pPr>
        <w:tabs>
          <w:tab w:val="left" w:pos="0"/>
        </w:tabs>
        <w:ind w:left="567"/>
        <w:jc w:val="both"/>
        <w:rPr>
          <w:rFonts w:asciiTheme="majorHAnsi" w:hAnsiTheme="majorHAnsi" w:cs="Arial"/>
          <w:sz w:val="22"/>
          <w:szCs w:val="22"/>
        </w:rPr>
      </w:pPr>
    </w:p>
    <w:p w14:paraId="06A948A5" w14:textId="551219D5" w:rsidR="003F1D42" w:rsidRDefault="002B488E" w:rsidP="001529C7">
      <w:pPr>
        <w:tabs>
          <w:tab w:val="left" w:pos="0"/>
        </w:tabs>
        <w:ind w:left="567"/>
        <w:jc w:val="both"/>
        <w:rPr>
          <w:rFonts w:asciiTheme="majorHAnsi" w:hAnsiTheme="majorHAnsi" w:cs="Arial"/>
          <w:sz w:val="22"/>
          <w:szCs w:val="22"/>
          <w:lang w:val="es-CR"/>
        </w:rPr>
      </w:pPr>
      <w:r w:rsidRPr="00060053">
        <w:rPr>
          <w:rFonts w:asciiTheme="majorHAnsi" w:hAnsiTheme="majorHAnsi" w:cs="Arial"/>
          <w:sz w:val="22"/>
          <w:szCs w:val="22"/>
        </w:rPr>
        <w:lastRenderedPageBreak/>
        <w:t>Asimismo, tiene a cargo la formulación de planes y presupuestos institucionales, así como su ejecución, seguimiento y evaluación. Además, la consolidación de estadísticas y la elaboración de publicaciones periódicas que informen a los afiliados y público en general sobre el comportamiento y evolución de las variables más relevantes del Sistema Nacional de Pensiones</w:t>
      </w:r>
      <w:r w:rsidR="00DC3627" w:rsidRPr="00060053">
        <w:rPr>
          <w:rFonts w:asciiTheme="majorHAnsi" w:hAnsiTheme="majorHAnsi" w:cs="Arial"/>
          <w:sz w:val="22"/>
          <w:szCs w:val="22"/>
          <w:lang w:val="es-CR"/>
        </w:rPr>
        <w:t>.</w:t>
      </w:r>
      <w:r w:rsidR="006D62FA">
        <w:rPr>
          <w:rFonts w:asciiTheme="majorHAnsi" w:hAnsiTheme="majorHAnsi" w:cs="Arial"/>
          <w:sz w:val="22"/>
          <w:szCs w:val="22"/>
          <w:lang w:val="es-CR"/>
        </w:rPr>
        <w:t xml:space="preserve"> </w:t>
      </w:r>
    </w:p>
    <w:p w14:paraId="3275EE60" w14:textId="77777777" w:rsidR="006D62FA" w:rsidRDefault="006D62FA" w:rsidP="001529C7">
      <w:pPr>
        <w:tabs>
          <w:tab w:val="left" w:pos="0"/>
        </w:tabs>
        <w:ind w:left="567"/>
        <w:jc w:val="both"/>
        <w:rPr>
          <w:rFonts w:asciiTheme="majorHAnsi" w:hAnsiTheme="majorHAnsi" w:cs="Arial"/>
          <w:sz w:val="22"/>
          <w:szCs w:val="22"/>
          <w:lang w:val="es-CR"/>
        </w:rPr>
      </w:pPr>
    </w:p>
    <w:p w14:paraId="06A948A6" w14:textId="77777777" w:rsidR="00750847" w:rsidRPr="00060053" w:rsidRDefault="00F82B1C" w:rsidP="00F82B1C">
      <w:pPr>
        <w:rPr>
          <w:rFonts w:asciiTheme="majorHAnsi" w:hAnsiTheme="majorHAnsi"/>
          <w:b/>
          <w:sz w:val="22"/>
          <w:szCs w:val="22"/>
          <w:lang w:val="es-CR"/>
        </w:rPr>
      </w:pPr>
      <w:r w:rsidRPr="00060053">
        <w:rPr>
          <w:rFonts w:asciiTheme="majorHAnsi" w:hAnsiTheme="majorHAnsi"/>
          <w:b/>
          <w:sz w:val="22"/>
          <w:szCs w:val="22"/>
          <w:lang w:val="es-CR"/>
        </w:rPr>
        <w:t>Organigrama</w:t>
      </w:r>
    </w:p>
    <w:p w14:paraId="06A948A7" w14:textId="77777777" w:rsidR="000765F5" w:rsidRPr="00060053" w:rsidRDefault="000765F5" w:rsidP="002248DE">
      <w:pPr>
        <w:ind w:left="360"/>
        <w:rPr>
          <w:rFonts w:asciiTheme="majorHAnsi" w:hAnsiTheme="majorHAnsi"/>
          <w:sz w:val="22"/>
          <w:szCs w:val="22"/>
          <w:lang w:val="es-CR"/>
        </w:rPr>
      </w:pPr>
    </w:p>
    <w:p w14:paraId="06A948A8" w14:textId="71D2F3FD" w:rsidR="000765F5" w:rsidRPr="00060053" w:rsidRDefault="009C6970" w:rsidP="000765F5">
      <w:pPr>
        <w:rPr>
          <w:rFonts w:asciiTheme="majorHAnsi" w:hAnsiTheme="majorHAnsi"/>
          <w:sz w:val="22"/>
          <w:szCs w:val="22"/>
          <w:lang w:val="es-CR"/>
        </w:rPr>
      </w:pPr>
      <w:r w:rsidRPr="00060053">
        <w:rPr>
          <w:rFonts w:asciiTheme="majorHAnsi" w:hAnsiTheme="majorHAnsi"/>
          <w:sz w:val="22"/>
          <w:szCs w:val="22"/>
          <w:lang w:val="es-CR"/>
        </w:rPr>
        <w:t xml:space="preserve">La </w:t>
      </w:r>
      <w:r w:rsidR="008B5E05">
        <w:rPr>
          <w:rFonts w:asciiTheme="majorHAnsi" w:hAnsiTheme="majorHAnsi"/>
          <w:sz w:val="22"/>
          <w:szCs w:val="22"/>
          <w:lang w:val="es-CR"/>
        </w:rPr>
        <w:t xml:space="preserve">siguiente </w:t>
      </w:r>
      <w:r w:rsidRPr="00060053">
        <w:rPr>
          <w:rFonts w:asciiTheme="majorHAnsi" w:hAnsiTheme="majorHAnsi"/>
          <w:sz w:val="22"/>
          <w:szCs w:val="22"/>
          <w:lang w:val="es-CR"/>
        </w:rPr>
        <w:t xml:space="preserve">figura muestra </w:t>
      </w:r>
      <w:r w:rsidR="007D7EDA">
        <w:rPr>
          <w:rFonts w:asciiTheme="majorHAnsi" w:hAnsiTheme="majorHAnsi"/>
          <w:sz w:val="22"/>
          <w:szCs w:val="22"/>
          <w:lang w:val="es-CR"/>
        </w:rPr>
        <w:t>co</w:t>
      </w:r>
      <w:r w:rsidR="008B5E05">
        <w:rPr>
          <w:rFonts w:asciiTheme="majorHAnsi" w:hAnsiTheme="majorHAnsi"/>
          <w:sz w:val="22"/>
          <w:szCs w:val="22"/>
          <w:lang w:val="es-CR"/>
        </w:rPr>
        <w:t xml:space="preserve">mo está </w:t>
      </w:r>
      <w:r w:rsidR="005C3F6A">
        <w:rPr>
          <w:rFonts w:asciiTheme="majorHAnsi" w:hAnsiTheme="majorHAnsi"/>
          <w:sz w:val="22"/>
          <w:szCs w:val="22"/>
          <w:lang w:val="es-CR"/>
        </w:rPr>
        <w:t>conformada la organización</w:t>
      </w:r>
      <w:r w:rsidRPr="00060053">
        <w:rPr>
          <w:rFonts w:asciiTheme="majorHAnsi" w:hAnsiTheme="majorHAnsi"/>
          <w:sz w:val="22"/>
          <w:szCs w:val="22"/>
          <w:lang w:val="es-CR"/>
        </w:rPr>
        <w:t>.</w:t>
      </w:r>
    </w:p>
    <w:p w14:paraId="06A948A9" w14:textId="77777777" w:rsidR="009C6970" w:rsidRPr="00060053" w:rsidRDefault="009C6970" w:rsidP="000765F5">
      <w:pPr>
        <w:rPr>
          <w:rFonts w:asciiTheme="majorHAnsi" w:hAnsiTheme="majorHAnsi"/>
          <w:sz w:val="22"/>
          <w:szCs w:val="22"/>
          <w:lang w:val="es-CR"/>
        </w:rPr>
      </w:pPr>
    </w:p>
    <w:p w14:paraId="06A948AA" w14:textId="77777777" w:rsidR="00884A53" w:rsidRPr="00060053" w:rsidRDefault="009C6970" w:rsidP="009C6970">
      <w:pPr>
        <w:widowControl w:val="0"/>
        <w:autoSpaceDE w:val="0"/>
        <w:autoSpaceDN w:val="0"/>
        <w:adjustRightInd w:val="0"/>
        <w:jc w:val="center"/>
        <w:rPr>
          <w:rFonts w:asciiTheme="majorHAnsi" w:hAnsiTheme="majorHAnsi" w:cs="Arial"/>
          <w:b/>
          <w:smallCaps/>
          <w:sz w:val="22"/>
          <w:szCs w:val="22"/>
        </w:rPr>
      </w:pPr>
      <w:r w:rsidRPr="00060053">
        <w:rPr>
          <w:rFonts w:asciiTheme="majorHAnsi" w:hAnsiTheme="majorHAnsi" w:cs="Arial"/>
          <w:b/>
          <w:smallCaps/>
          <w:sz w:val="22"/>
          <w:szCs w:val="22"/>
        </w:rPr>
        <w:t>Figura 1</w:t>
      </w:r>
    </w:p>
    <w:p w14:paraId="06A948AB" w14:textId="77777777" w:rsidR="00ED71E1" w:rsidRPr="00060053" w:rsidRDefault="00ED71E1" w:rsidP="009C6970">
      <w:pPr>
        <w:widowControl w:val="0"/>
        <w:autoSpaceDE w:val="0"/>
        <w:autoSpaceDN w:val="0"/>
        <w:adjustRightInd w:val="0"/>
        <w:jc w:val="center"/>
        <w:rPr>
          <w:rFonts w:asciiTheme="majorHAnsi" w:hAnsiTheme="majorHAnsi" w:cs="Arial"/>
          <w:b/>
          <w:smallCaps/>
          <w:sz w:val="22"/>
          <w:szCs w:val="22"/>
        </w:rPr>
      </w:pPr>
      <w:r w:rsidRPr="00060053">
        <w:rPr>
          <w:rFonts w:asciiTheme="majorHAnsi" w:hAnsiTheme="majorHAnsi" w:cs="Arial"/>
          <w:b/>
          <w:smallCaps/>
          <w:sz w:val="22"/>
          <w:szCs w:val="22"/>
        </w:rPr>
        <w:t>Organigrama Superintendencia de Pensiones</w:t>
      </w:r>
    </w:p>
    <w:p w14:paraId="06A948AC" w14:textId="0C70BC1A" w:rsidR="00ED71E1" w:rsidRPr="00060053" w:rsidRDefault="00EE052B" w:rsidP="009C6970">
      <w:pPr>
        <w:widowControl w:val="0"/>
        <w:autoSpaceDE w:val="0"/>
        <w:autoSpaceDN w:val="0"/>
        <w:adjustRightInd w:val="0"/>
        <w:jc w:val="center"/>
        <w:rPr>
          <w:rFonts w:asciiTheme="majorHAnsi" w:hAnsiTheme="majorHAnsi" w:cs="Arial"/>
          <w:b/>
          <w:smallCaps/>
          <w:sz w:val="22"/>
          <w:szCs w:val="22"/>
        </w:rPr>
      </w:pPr>
      <w:r w:rsidRPr="00060053">
        <w:rPr>
          <w:rFonts w:asciiTheme="majorHAnsi" w:hAnsiTheme="majorHAnsi" w:cs="Arial"/>
          <w:b/>
          <w:smallCaps/>
          <w:sz w:val="22"/>
          <w:szCs w:val="22"/>
        </w:rPr>
        <w:t>20</w:t>
      </w:r>
      <w:r w:rsidR="00B46808">
        <w:rPr>
          <w:rFonts w:asciiTheme="majorHAnsi" w:hAnsiTheme="majorHAnsi" w:cs="Arial"/>
          <w:b/>
          <w:smallCaps/>
          <w:sz w:val="22"/>
          <w:szCs w:val="22"/>
        </w:rPr>
        <w:t>1</w:t>
      </w:r>
      <w:r w:rsidR="001529C7">
        <w:rPr>
          <w:rFonts w:asciiTheme="majorHAnsi" w:hAnsiTheme="majorHAnsi" w:cs="Arial"/>
          <w:b/>
          <w:smallCaps/>
          <w:sz w:val="22"/>
          <w:szCs w:val="22"/>
        </w:rPr>
        <w:t>6</w:t>
      </w:r>
    </w:p>
    <w:p w14:paraId="06A948AD" w14:textId="1041EFC2" w:rsidR="006170A1" w:rsidRPr="00060053" w:rsidRDefault="00B63F01" w:rsidP="009C6970">
      <w:pPr>
        <w:widowControl w:val="0"/>
        <w:autoSpaceDE w:val="0"/>
        <w:autoSpaceDN w:val="0"/>
        <w:adjustRightInd w:val="0"/>
        <w:jc w:val="center"/>
        <w:rPr>
          <w:rFonts w:asciiTheme="majorHAnsi" w:hAnsiTheme="majorHAnsi" w:cs="Arial"/>
          <w:b/>
          <w:smallCaps/>
          <w:sz w:val="22"/>
          <w:szCs w:val="22"/>
        </w:rPr>
      </w:pPr>
      <w:r w:rsidRPr="00B63F01">
        <w:rPr>
          <w:noProof/>
        </w:rPr>
        <w:drawing>
          <wp:inline distT="0" distB="0" distL="0" distR="0" wp14:anchorId="7545C324" wp14:editId="242ED555">
            <wp:extent cx="4462818" cy="5041586"/>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79641" cy="5060591"/>
                    </a:xfrm>
                    <a:prstGeom prst="rect">
                      <a:avLst/>
                    </a:prstGeom>
                    <a:noFill/>
                    <a:ln>
                      <a:noFill/>
                    </a:ln>
                  </pic:spPr>
                </pic:pic>
              </a:graphicData>
            </a:graphic>
          </wp:inline>
        </w:drawing>
      </w:r>
    </w:p>
    <w:p w14:paraId="06A948AF" w14:textId="77777777" w:rsidR="003B1C05" w:rsidRDefault="003B1C05" w:rsidP="004033F4">
      <w:pPr>
        <w:widowControl w:val="0"/>
        <w:autoSpaceDE w:val="0"/>
        <w:autoSpaceDN w:val="0"/>
        <w:adjustRightInd w:val="0"/>
        <w:jc w:val="both"/>
        <w:rPr>
          <w:rFonts w:asciiTheme="majorHAnsi" w:hAnsiTheme="majorHAnsi" w:cs="Arial"/>
          <w:sz w:val="22"/>
          <w:szCs w:val="22"/>
        </w:rPr>
      </w:pPr>
    </w:p>
    <w:p w14:paraId="06A948B0" w14:textId="7A6E6A9E" w:rsidR="004033F4" w:rsidRDefault="007E6755" w:rsidP="004033F4">
      <w:pPr>
        <w:widowControl w:val="0"/>
        <w:autoSpaceDE w:val="0"/>
        <w:autoSpaceDN w:val="0"/>
        <w:adjustRightInd w:val="0"/>
        <w:jc w:val="both"/>
        <w:rPr>
          <w:rFonts w:asciiTheme="majorHAnsi" w:hAnsiTheme="majorHAnsi" w:cs="Arial"/>
          <w:sz w:val="22"/>
          <w:szCs w:val="22"/>
        </w:rPr>
      </w:pPr>
      <w:r>
        <w:rPr>
          <w:rFonts w:asciiTheme="majorHAnsi" w:hAnsiTheme="majorHAnsi" w:cs="Arial"/>
          <w:sz w:val="22"/>
          <w:szCs w:val="22"/>
        </w:rPr>
        <w:t>La estructura organizacional de la SUPEN se fundament</w:t>
      </w:r>
      <w:r w:rsidR="000B3817">
        <w:rPr>
          <w:rFonts w:asciiTheme="majorHAnsi" w:hAnsiTheme="majorHAnsi" w:cs="Arial"/>
          <w:sz w:val="22"/>
          <w:szCs w:val="22"/>
        </w:rPr>
        <w:t>a bajo un modelo</w:t>
      </w:r>
      <w:r w:rsidR="00F36E42">
        <w:rPr>
          <w:rFonts w:asciiTheme="majorHAnsi" w:hAnsiTheme="majorHAnsi" w:cs="Arial"/>
          <w:sz w:val="22"/>
          <w:szCs w:val="22"/>
        </w:rPr>
        <w:t xml:space="preserve"> de procesos</w:t>
      </w:r>
      <w:r w:rsidR="004033F4" w:rsidRPr="00060053">
        <w:rPr>
          <w:rFonts w:asciiTheme="majorHAnsi" w:hAnsiTheme="majorHAnsi" w:cs="Arial"/>
          <w:sz w:val="22"/>
          <w:szCs w:val="22"/>
        </w:rPr>
        <w:t xml:space="preserve">.  En </w:t>
      </w:r>
      <w:r w:rsidR="00A07F37" w:rsidRPr="00060053">
        <w:rPr>
          <w:rFonts w:asciiTheme="majorHAnsi" w:hAnsiTheme="majorHAnsi" w:cs="Arial"/>
          <w:sz w:val="22"/>
          <w:szCs w:val="22"/>
        </w:rPr>
        <w:t>este</w:t>
      </w:r>
      <w:r w:rsidR="004033F4" w:rsidRPr="00060053">
        <w:rPr>
          <w:rFonts w:asciiTheme="majorHAnsi" w:hAnsiTheme="majorHAnsi" w:cs="Arial"/>
          <w:sz w:val="22"/>
          <w:szCs w:val="22"/>
        </w:rPr>
        <w:t xml:space="preserve"> modelo se definen los procesos sustantivos y de apoyo sobre los que se orientarán todas las actividades de la organización, con el </w:t>
      </w:r>
      <w:r w:rsidR="00222F64" w:rsidRPr="00060053">
        <w:rPr>
          <w:rFonts w:asciiTheme="majorHAnsi" w:hAnsiTheme="majorHAnsi" w:cs="Arial"/>
          <w:sz w:val="22"/>
          <w:szCs w:val="22"/>
        </w:rPr>
        <w:t>objeto</w:t>
      </w:r>
      <w:r w:rsidR="004033F4" w:rsidRPr="00060053">
        <w:rPr>
          <w:rFonts w:asciiTheme="majorHAnsi" w:hAnsiTheme="majorHAnsi" w:cs="Arial"/>
          <w:sz w:val="22"/>
          <w:szCs w:val="22"/>
        </w:rPr>
        <w:t xml:space="preserve"> de facilitar el</w:t>
      </w:r>
      <w:r w:rsidR="0083556A" w:rsidRPr="00060053">
        <w:rPr>
          <w:rFonts w:asciiTheme="majorHAnsi" w:hAnsiTheme="majorHAnsi" w:cs="Arial"/>
          <w:sz w:val="22"/>
          <w:szCs w:val="22"/>
        </w:rPr>
        <w:t xml:space="preserve"> </w:t>
      </w:r>
      <w:r w:rsidR="004033F4" w:rsidRPr="00060053">
        <w:rPr>
          <w:rFonts w:asciiTheme="majorHAnsi" w:hAnsiTheme="majorHAnsi" w:cs="Arial"/>
          <w:sz w:val="22"/>
          <w:szCs w:val="22"/>
        </w:rPr>
        <w:t xml:space="preserve">logro de la misión, visión y cumplir las </w:t>
      </w:r>
      <w:r w:rsidR="004033F4" w:rsidRPr="00060053">
        <w:rPr>
          <w:rFonts w:asciiTheme="majorHAnsi" w:hAnsiTheme="majorHAnsi" w:cs="Arial"/>
          <w:sz w:val="22"/>
          <w:szCs w:val="22"/>
        </w:rPr>
        <w:lastRenderedPageBreak/>
        <w:t>atribuciones que le otorga la legislación vigente</w:t>
      </w:r>
      <w:r w:rsidR="004033F4" w:rsidRPr="009C0766">
        <w:rPr>
          <w:rFonts w:asciiTheme="majorHAnsi" w:hAnsiTheme="majorHAnsi" w:cs="Arial"/>
          <w:color w:val="1F497D" w:themeColor="text2"/>
          <w:sz w:val="22"/>
          <w:szCs w:val="22"/>
        </w:rPr>
        <w:t>.</w:t>
      </w:r>
      <w:r w:rsidRPr="009C0766">
        <w:rPr>
          <w:rFonts w:asciiTheme="majorHAnsi" w:hAnsiTheme="majorHAnsi" w:cs="Arial"/>
          <w:color w:val="1F497D" w:themeColor="text2"/>
          <w:sz w:val="22"/>
          <w:szCs w:val="22"/>
        </w:rPr>
        <w:t xml:space="preserve"> </w:t>
      </w:r>
      <w:r w:rsidRPr="00675AB9">
        <w:rPr>
          <w:rFonts w:asciiTheme="majorHAnsi" w:hAnsiTheme="majorHAnsi" w:cs="Arial"/>
          <w:sz w:val="22"/>
          <w:szCs w:val="22"/>
        </w:rPr>
        <w:t>En el caso de Tecnologías de Informa</w:t>
      </w:r>
      <w:r w:rsidR="009C0766" w:rsidRPr="00675AB9">
        <w:rPr>
          <w:rFonts w:asciiTheme="majorHAnsi" w:hAnsiTheme="majorHAnsi" w:cs="Arial"/>
          <w:sz w:val="22"/>
          <w:szCs w:val="22"/>
        </w:rPr>
        <w:t>ción los servicios son de apoyo</w:t>
      </w:r>
      <w:r w:rsidRPr="00675AB9">
        <w:rPr>
          <w:rFonts w:asciiTheme="majorHAnsi" w:hAnsiTheme="majorHAnsi" w:cs="Arial"/>
          <w:sz w:val="22"/>
          <w:szCs w:val="22"/>
        </w:rPr>
        <w:t xml:space="preserve"> y proporcionados directamente por el área encargada del Banco Central</w:t>
      </w:r>
      <w:r w:rsidR="00F36E42" w:rsidRPr="00675AB9">
        <w:rPr>
          <w:rFonts w:asciiTheme="majorHAnsi" w:hAnsiTheme="majorHAnsi" w:cs="Arial"/>
          <w:sz w:val="22"/>
          <w:szCs w:val="22"/>
        </w:rPr>
        <w:t xml:space="preserve"> de Costa Rica</w:t>
      </w:r>
      <w:r w:rsidRPr="00675AB9">
        <w:rPr>
          <w:rFonts w:asciiTheme="majorHAnsi" w:hAnsiTheme="majorHAnsi" w:cs="Arial"/>
          <w:sz w:val="22"/>
          <w:szCs w:val="22"/>
        </w:rPr>
        <w:t>.</w:t>
      </w:r>
    </w:p>
    <w:p w14:paraId="3E3D7F6E" w14:textId="77777777" w:rsidR="006D62FA" w:rsidRPr="00675AB9" w:rsidRDefault="006D62FA" w:rsidP="004033F4">
      <w:pPr>
        <w:widowControl w:val="0"/>
        <w:autoSpaceDE w:val="0"/>
        <w:autoSpaceDN w:val="0"/>
        <w:adjustRightInd w:val="0"/>
        <w:jc w:val="both"/>
        <w:rPr>
          <w:rFonts w:asciiTheme="majorHAnsi" w:hAnsiTheme="majorHAnsi" w:cs="Arial"/>
          <w:sz w:val="22"/>
          <w:szCs w:val="22"/>
        </w:rPr>
      </w:pPr>
    </w:p>
    <w:p w14:paraId="06A948B2" w14:textId="77777777" w:rsidR="004033F4" w:rsidRPr="00060053" w:rsidRDefault="004033F4" w:rsidP="00ED71E1">
      <w:pPr>
        <w:widowControl w:val="0"/>
        <w:autoSpaceDE w:val="0"/>
        <w:autoSpaceDN w:val="0"/>
        <w:adjustRightInd w:val="0"/>
        <w:ind w:left="180" w:right="-700"/>
        <w:jc w:val="center"/>
        <w:rPr>
          <w:rFonts w:asciiTheme="majorHAnsi" w:hAnsiTheme="majorHAnsi" w:cs="Arial"/>
          <w:b/>
          <w:smallCaps/>
          <w:sz w:val="22"/>
          <w:szCs w:val="22"/>
        </w:rPr>
      </w:pPr>
      <w:r w:rsidRPr="00060053">
        <w:rPr>
          <w:rFonts w:asciiTheme="majorHAnsi" w:hAnsiTheme="majorHAnsi" w:cs="Arial"/>
          <w:b/>
          <w:smallCaps/>
          <w:sz w:val="22"/>
          <w:szCs w:val="22"/>
        </w:rPr>
        <w:t xml:space="preserve">Figura </w:t>
      </w:r>
      <w:r w:rsidR="006170A1" w:rsidRPr="00060053">
        <w:rPr>
          <w:rFonts w:asciiTheme="majorHAnsi" w:hAnsiTheme="majorHAnsi" w:cs="Arial"/>
          <w:b/>
          <w:smallCaps/>
          <w:sz w:val="22"/>
          <w:szCs w:val="22"/>
        </w:rPr>
        <w:t>2</w:t>
      </w:r>
    </w:p>
    <w:p w14:paraId="06A948B4" w14:textId="77777777" w:rsidR="004033F4" w:rsidRPr="00060053" w:rsidRDefault="004033F4" w:rsidP="00ED71E1">
      <w:pPr>
        <w:widowControl w:val="0"/>
        <w:autoSpaceDE w:val="0"/>
        <w:autoSpaceDN w:val="0"/>
        <w:adjustRightInd w:val="0"/>
        <w:ind w:left="180" w:right="-700"/>
        <w:jc w:val="center"/>
        <w:rPr>
          <w:rFonts w:asciiTheme="majorHAnsi" w:hAnsiTheme="majorHAnsi" w:cs="Arial"/>
          <w:b/>
          <w:caps/>
        </w:rPr>
      </w:pPr>
      <w:r w:rsidRPr="00060053">
        <w:rPr>
          <w:rFonts w:asciiTheme="majorHAnsi" w:hAnsiTheme="majorHAnsi" w:cs="Arial"/>
          <w:b/>
          <w:caps/>
        </w:rPr>
        <w:t>modelo de procesos</w:t>
      </w:r>
    </w:p>
    <w:p w14:paraId="06A948B5" w14:textId="77777777" w:rsidR="00501112" w:rsidRPr="00060053" w:rsidRDefault="001A3DAB" w:rsidP="00ED71E1">
      <w:pPr>
        <w:ind w:left="180" w:right="-700"/>
        <w:jc w:val="center"/>
        <w:rPr>
          <w:rFonts w:asciiTheme="majorHAnsi" w:hAnsiTheme="majorHAnsi"/>
          <w:b/>
        </w:rPr>
      </w:pPr>
      <w:r w:rsidRPr="00060053">
        <w:rPr>
          <w:rFonts w:asciiTheme="majorHAnsi" w:hAnsiTheme="majorHAnsi"/>
          <w:b/>
        </w:rPr>
        <w:t>SISTEMA DE GESTIÓN DE LA CALIDAD</w:t>
      </w:r>
    </w:p>
    <w:p w14:paraId="06A948B6" w14:textId="4C1D29DC" w:rsidR="00ED71E1" w:rsidRPr="00060053" w:rsidRDefault="00ED71E1" w:rsidP="00ED71E1">
      <w:pPr>
        <w:ind w:left="180" w:right="-700"/>
        <w:jc w:val="center"/>
        <w:rPr>
          <w:rFonts w:asciiTheme="majorHAnsi" w:hAnsiTheme="majorHAnsi"/>
          <w:b/>
        </w:rPr>
      </w:pPr>
      <w:r w:rsidRPr="00060053">
        <w:rPr>
          <w:rFonts w:asciiTheme="majorHAnsi" w:hAnsiTheme="majorHAnsi"/>
          <w:b/>
        </w:rPr>
        <w:t>20</w:t>
      </w:r>
      <w:r w:rsidR="00B46808">
        <w:rPr>
          <w:rFonts w:asciiTheme="majorHAnsi" w:hAnsiTheme="majorHAnsi"/>
          <w:b/>
        </w:rPr>
        <w:t>1</w:t>
      </w:r>
      <w:r w:rsidR="00AB3DF2">
        <w:rPr>
          <w:rFonts w:asciiTheme="majorHAnsi" w:hAnsiTheme="majorHAnsi"/>
          <w:b/>
        </w:rPr>
        <w:t>6</w:t>
      </w:r>
    </w:p>
    <w:p w14:paraId="06A948B8" w14:textId="29A55EAF" w:rsidR="00FD08A0" w:rsidRPr="00060053" w:rsidRDefault="00563B77" w:rsidP="00881C0C">
      <w:pPr>
        <w:ind w:left="180" w:right="-700"/>
        <w:jc w:val="center"/>
        <w:rPr>
          <w:rFonts w:asciiTheme="majorHAnsi" w:hAnsiTheme="majorHAnsi"/>
          <w:b/>
          <w:sz w:val="22"/>
          <w:szCs w:val="22"/>
        </w:rPr>
      </w:pPr>
      <w:r>
        <w:rPr>
          <w:noProof/>
        </w:rPr>
        <w:drawing>
          <wp:inline distT="0" distB="0" distL="0" distR="0" wp14:anchorId="00F751AE" wp14:editId="5D0ED6AB">
            <wp:extent cx="5108318" cy="3410585"/>
            <wp:effectExtent l="19050" t="19050" r="16510" b="184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119631" cy="3418138"/>
                    </a:xfrm>
                    <a:prstGeom prst="rect">
                      <a:avLst/>
                    </a:prstGeom>
                    <a:noFill/>
                    <a:ln>
                      <a:solidFill>
                        <a:schemeClr val="accent1"/>
                      </a:solidFill>
                    </a:ln>
                  </pic:spPr>
                </pic:pic>
              </a:graphicData>
            </a:graphic>
          </wp:inline>
        </w:drawing>
      </w:r>
    </w:p>
    <w:p w14:paraId="06A948BC" w14:textId="44B993F2" w:rsidR="008E29AF" w:rsidRPr="004A04B8" w:rsidRDefault="00F72E43" w:rsidP="00F72E43">
      <w:pPr>
        <w:pStyle w:val="Ttulo3"/>
        <w:rPr>
          <w:rFonts w:asciiTheme="majorHAnsi" w:hAnsiTheme="majorHAnsi"/>
          <w:sz w:val="24"/>
          <w:szCs w:val="24"/>
        </w:rPr>
      </w:pPr>
      <w:bookmarkStart w:id="5" w:name="_Toc429563194"/>
      <w:r w:rsidRPr="004A04B8">
        <w:rPr>
          <w:rFonts w:asciiTheme="majorHAnsi" w:hAnsiTheme="majorHAnsi"/>
          <w:sz w:val="24"/>
          <w:szCs w:val="24"/>
        </w:rPr>
        <w:t>1.2.3.</w:t>
      </w:r>
      <w:r w:rsidRPr="004A04B8">
        <w:rPr>
          <w:rFonts w:asciiTheme="majorHAnsi" w:hAnsiTheme="majorHAnsi"/>
          <w:sz w:val="24"/>
          <w:szCs w:val="24"/>
        </w:rPr>
        <w:tab/>
      </w:r>
      <w:r w:rsidR="008E29AF" w:rsidRPr="004A04B8">
        <w:rPr>
          <w:rFonts w:asciiTheme="majorHAnsi" w:hAnsiTheme="majorHAnsi"/>
          <w:sz w:val="24"/>
          <w:szCs w:val="24"/>
        </w:rPr>
        <w:t>Diagnóstico Institucional</w:t>
      </w:r>
      <w:bookmarkEnd w:id="5"/>
    </w:p>
    <w:p w14:paraId="06A948BD" w14:textId="77777777" w:rsidR="00080F2E" w:rsidRPr="00060053" w:rsidRDefault="00080F2E" w:rsidP="00426B8C">
      <w:pPr>
        <w:rPr>
          <w:rFonts w:asciiTheme="majorHAnsi" w:hAnsiTheme="majorHAnsi"/>
          <w:b/>
          <w:sz w:val="22"/>
          <w:szCs w:val="22"/>
        </w:rPr>
      </w:pPr>
    </w:p>
    <w:p w14:paraId="06A948BE" w14:textId="44E7305D" w:rsidR="00911AEE" w:rsidRPr="00060053" w:rsidRDefault="00B01CDE" w:rsidP="00060053">
      <w:pPr>
        <w:jc w:val="both"/>
        <w:rPr>
          <w:rFonts w:asciiTheme="majorHAnsi" w:hAnsiTheme="majorHAnsi"/>
          <w:sz w:val="22"/>
          <w:szCs w:val="22"/>
        </w:rPr>
      </w:pPr>
      <w:r w:rsidRPr="00060053">
        <w:rPr>
          <w:rFonts w:asciiTheme="majorHAnsi" w:hAnsiTheme="majorHAnsi"/>
          <w:sz w:val="22"/>
          <w:szCs w:val="22"/>
        </w:rPr>
        <w:t>Las</w:t>
      </w:r>
      <w:r w:rsidR="003966D9" w:rsidRPr="00060053">
        <w:rPr>
          <w:rFonts w:asciiTheme="majorHAnsi" w:hAnsiTheme="majorHAnsi"/>
          <w:sz w:val="22"/>
          <w:szCs w:val="22"/>
        </w:rPr>
        <w:t xml:space="preserve"> </w:t>
      </w:r>
      <w:r w:rsidRPr="00060053">
        <w:rPr>
          <w:rFonts w:asciiTheme="majorHAnsi" w:hAnsiTheme="majorHAnsi"/>
          <w:sz w:val="22"/>
          <w:szCs w:val="22"/>
        </w:rPr>
        <w:t>obligaciones</w:t>
      </w:r>
      <w:r w:rsidR="00911AEE" w:rsidRPr="00060053">
        <w:rPr>
          <w:rFonts w:asciiTheme="majorHAnsi" w:hAnsiTheme="majorHAnsi"/>
          <w:sz w:val="22"/>
          <w:szCs w:val="22"/>
        </w:rPr>
        <w:t xml:space="preserve"> de la </w:t>
      </w:r>
      <w:r w:rsidR="00D277D9">
        <w:rPr>
          <w:rFonts w:asciiTheme="majorHAnsi" w:hAnsiTheme="majorHAnsi"/>
          <w:sz w:val="22"/>
          <w:szCs w:val="22"/>
        </w:rPr>
        <w:t>SUPEN</w:t>
      </w:r>
      <w:r w:rsidR="00911AEE" w:rsidRPr="00060053">
        <w:rPr>
          <w:rFonts w:asciiTheme="majorHAnsi" w:hAnsiTheme="majorHAnsi"/>
          <w:sz w:val="22"/>
          <w:szCs w:val="22"/>
        </w:rPr>
        <w:t xml:space="preserve"> puede</w:t>
      </w:r>
      <w:r w:rsidR="00C5137B" w:rsidRPr="00060053">
        <w:rPr>
          <w:rFonts w:asciiTheme="majorHAnsi" w:hAnsiTheme="majorHAnsi"/>
          <w:sz w:val="22"/>
          <w:szCs w:val="22"/>
        </w:rPr>
        <w:t>n verse afectadas</w:t>
      </w:r>
      <w:r w:rsidR="00911AEE" w:rsidRPr="00060053">
        <w:rPr>
          <w:rFonts w:asciiTheme="majorHAnsi" w:hAnsiTheme="majorHAnsi"/>
          <w:sz w:val="22"/>
          <w:szCs w:val="22"/>
        </w:rPr>
        <w:t xml:space="preserve"> por situaciones de índole económico, social, político o tecnológico. A efecto de poder considerar la posible influencia que pudiera</w:t>
      </w:r>
      <w:r w:rsidR="009C0766">
        <w:rPr>
          <w:rFonts w:asciiTheme="majorHAnsi" w:hAnsiTheme="majorHAnsi"/>
          <w:sz w:val="22"/>
          <w:szCs w:val="22"/>
        </w:rPr>
        <w:t>n</w:t>
      </w:r>
      <w:r w:rsidR="00911AEE" w:rsidRPr="00060053">
        <w:rPr>
          <w:rFonts w:asciiTheme="majorHAnsi" w:hAnsiTheme="majorHAnsi"/>
          <w:sz w:val="22"/>
          <w:szCs w:val="22"/>
        </w:rPr>
        <w:t xml:space="preserve"> tener estas situaciones en los proyectos de mediano plazo de la institución, a continuación</w:t>
      </w:r>
      <w:r w:rsidR="007D7EDA">
        <w:rPr>
          <w:rFonts w:asciiTheme="majorHAnsi" w:hAnsiTheme="majorHAnsi"/>
          <w:sz w:val="22"/>
          <w:szCs w:val="22"/>
        </w:rPr>
        <w:t>,</w:t>
      </w:r>
      <w:r w:rsidR="00911AEE" w:rsidRPr="00060053">
        <w:rPr>
          <w:rFonts w:asciiTheme="majorHAnsi" w:hAnsiTheme="majorHAnsi"/>
          <w:sz w:val="22"/>
          <w:szCs w:val="22"/>
        </w:rPr>
        <w:t xml:space="preserve"> se presenta un resumen de los diagnósticos para cada uno de los entornos</w:t>
      </w:r>
      <w:r w:rsidR="009936AC" w:rsidRPr="00060053">
        <w:rPr>
          <w:rFonts w:asciiTheme="majorHAnsi" w:hAnsiTheme="majorHAnsi"/>
          <w:sz w:val="22"/>
          <w:szCs w:val="22"/>
        </w:rPr>
        <w:t xml:space="preserve"> relevantes para la Institución.</w:t>
      </w:r>
    </w:p>
    <w:p w14:paraId="06A948BF" w14:textId="77777777" w:rsidR="00E227A0" w:rsidRPr="00060053" w:rsidRDefault="00E227A0" w:rsidP="008E638C">
      <w:pPr>
        <w:pStyle w:val="Textoindependiente"/>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jc w:val="both"/>
        <w:rPr>
          <w:rFonts w:asciiTheme="majorHAnsi" w:hAnsiTheme="majorHAnsi"/>
          <w:color w:val="auto"/>
          <w:sz w:val="22"/>
          <w:szCs w:val="22"/>
        </w:rPr>
      </w:pPr>
    </w:p>
    <w:p w14:paraId="06A948C0" w14:textId="77777777" w:rsidR="002343C4" w:rsidRDefault="002343C4" w:rsidP="00E227A0">
      <w:pPr>
        <w:rPr>
          <w:rFonts w:asciiTheme="majorHAnsi" w:hAnsiTheme="majorHAnsi"/>
          <w:b/>
        </w:rPr>
      </w:pPr>
      <w:bookmarkStart w:id="6" w:name="_Toc267660839"/>
      <w:r w:rsidRPr="000326B9">
        <w:rPr>
          <w:rFonts w:asciiTheme="majorHAnsi" w:hAnsiTheme="majorHAnsi"/>
          <w:b/>
        </w:rPr>
        <w:t>Evolución reciente de la economía</w:t>
      </w:r>
      <w:bookmarkEnd w:id="6"/>
    </w:p>
    <w:p w14:paraId="320EB3BF" w14:textId="77777777" w:rsidR="009C0766" w:rsidRPr="000326B9" w:rsidRDefault="009C0766" w:rsidP="00E227A0">
      <w:pPr>
        <w:rPr>
          <w:rFonts w:asciiTheme="majorHAnsi" w:hAnsiTheme="majorHAnsi"/>
          <w:b/>
        </w:rPr>
      </w:pPr>
    </w:p>
    <w:p w14:paraId="33085041" w14:textId="77777777" w:rsidR="00CE411E" w:rsidRPr="00CE411E" w:rsidRDefault="00CE411E" w:rsidP="00CE411E">
      <w:pPr>
        <w:jc w:val="both"/>
        <w:rPr>
          <w:rFonts w:asciiTheme="majorHAnsi" w:hAnsiTheme="majorHAnsi"/>
          <w:sz w:val="22"/>
          <w:szCs w:val="22"/>
        </w:rPr>
      </w:pPr>
      <w:r w:rsidRPr="00CE411E">
        <w:rPr>
          <w:rFonts w:asciiTheme="majorHAnsi" w:hAnsiTheme="majorHAnsi"/>
          <w:sz w:val="22"/>
          <w:szCs w:val="22"/>
        </w:rPr>
        <w:t>Durante el primer semestre de 2016 el ritmo de crecimiento de la economía mundial fue moderado, aunque heterogéneo entre países y regiones. En ese contexto, los organismos financieros internacionales (entre ellos el Fondo Monetario Internacional, FMI) y los bancos centrales de distintos países revisaron sus proyecciones de crecimiento a la baja.</w:t>
      </w:r>
    </w:p>
    <w:p w14:paraId="26C37E65" w14:textId="77777777" w:rsidR="00881C0C" w:rsidRDefault="00881C0C" w:rsidP="00CE411E">
      <w:pPr>
        <w:jc w:val="both"/>
        <w:rPr>
          <w:rFonts w:asciiTheme="majorHAnsi" w:hAnsiTheme="majorHAnsi"/>
          <w:sz w:val="22"/>
          <w:szCs w:val="22"/>
        </w:rPr>
      </w:pPr>
    </w:p>
    <w:p w14:paraId="60FBADF8" w14:textId="26A0BC0C" w:rsidR="00CE411E" w:rsidRDefault="00CE411E" w:rsidP="00CE411E">
      <w:pPr>
        <w:jc w:val="both"/>
        <w:rPr>
          <w:rFonts w:asciiTheme="majorHAnsi" w:hAnsiTheme="majorHAnsi"/>
          <w:sz w:val="22"/>
          <w:szCs w:val="22"/>
        </w:rPr>
      </w:pPr>
      <w:r w:rsidRPr="00CE411E">
        <w:rPr>
          <w:rFonts w:asciiTheme="majorHAnsi" w:hAnsiTheme="majorHAnsi"/>
          <w:sz w:val="22"/>
          <w:szCs w:val="22"/>
        </w:rPr>
        <w:lastRenderedPageBreak/>
        <w:t>En las economías avanzadas</w:t>
      </w:r>
      <w:r>
        <w:rPr>
          <w:rStyle w:val="Refdenotaalpie"/>
          <w:rFonts w:asciiTheme="majorHAnsi" w:hAnsiTheme="majorHAnsi"/>
          <w:sz w:val="22"/>
          <w:szCs w:val="22"/>
        </w:rPr>
        <w:footnoteReference w:id="2"/>
      </w:r>
      <w:r w:rsidRPr="00CE411E">
        <w:rPr>
          <w:rFonts w:asciiTheme="majorHAnsi" w:hAnsiTheme="majorHAnsi"/>
          <w:sz w:val="22"/>
          <w:szCs w:val="22"/>
        </w:rPr>
        <w:t xml:space="preserve">, si bien la estadounidense lideró la recuperación, dominó un alto grado de incertidumbre ante los resultados recientes en crecimiento y el temor a las implicaciones negativas de un alza prematura en las tasas de interés del Sistema de la Reserva Federal de ese país. Además, incidió el bajo desempeño de la Zona del </w:t>
      </w:r>
      <w:r w:rsidR="00827B75">
        <w:rPr>
          <w:rFonts w:asciiTheme="majorHAnsi" w:hAnsiTheme="majorHAnsi"/>
          <w:sz w:val="22"/>
          <w:szCs w:val="22"/>
        </w:rPr>
        <w:t>E</w:t>
      </w:r>
      <w:r w:rsidRPr="00CE411E">
        <w:rPr>
          <w:rFonts w:asciiTheme="majorHAnsi" w:hAnsiTheme="majorHAnsi"/>
          <w:sz w:val="22"/>
          <w:szCs w:val="22"/>
        </w:rPr>
        <w:t>uro y Japón y, hacia finales del semestre, la salida de Reino Unido de la Unión Europea, que sorprendió a los mercados financieros internacionales.</w:t>
      </w:r>
    </w:p>
    <w:p w14:paraId="2752A88A" w14:textId="77777777" w:rsidR="00CE411E" w:rsidRPr="00CE411E" w:rsidRDefault="00CE411E" w:rsidP="00CE411E">
      <w:pPr>
        <w:jc w:val="both"/>
        <w:rPr>
          <w:rFonts w:asciiTheme="majorHAnsi" w:hAnsiTheme="majorHAnsi"/>
          <w:sz w:val="22"/>
          <w:szCs w:val="22"/>
        </w:rPr>
      </w:pPr>
    </w:p>
    <w:p w14:paraId="324DF390" w14:textId="5884AD41" w:rsidR="00CE411E" w:rsidRDefault="00CE411E" w:rsidP="00CE411E">
      <w:pPr>
        <w:jc w:val="both"/>
        <w:rPr>
          <w:rFonts w:asciiTheme="majorHAnsi" w:hAnsiTheme="majorHAnsi"/>
          <w:sz w:val="22"/>
          <w:szCs w:val="22"/>
        </w:rPr>
      </w:pPr>
      <w:r w:rsidRPr="00CE411E">
        <w:rPr>
          <w:rFonts w:asciiTheme="majorHAnsi" w:hAnsiTheme="majorHAnsi"/>
          <w:sz w:val="22"/>
          <w:szCs w:val="22"/>
        </w:rPr>
        <w:t>Particularmente, al segundo trimestre de 2016 Estados Unidos creció 1,2% en términos anualizados (0,8% el trimestre previo), dado el dinamismo del consumo de los hogares (4,2% contra 1,6% en el primer trimestre) y de las exportaciones, principalmente de bie</w:t>
      </w:r>
      <w:r w:rsidR="00A51ABF">
        <w:rPr>
          <w:rFonts w:asciiTheme="majorHAnsi" w:hAnsiTheme="majorHAnsi"/>
          <w:sz w:val="22"/>
          <w:szCs w:val="22"/>
        </w:rPr>
        <w:t>nes. La Zona del E</w:t>
      </w:r>
      <w:r w:rsidRPr="00CE411E">
        <w:rPr>
          <w:rFonts w:asciiTheme="majorHAnsi" w:hAnsiTheme="majorHAnsi"/>
          <w:sz w:val="22"/>
          <w:szCs w:val="22"/>
        </w:rPr>
        <w:t>uro registró una variación interanual de 1,6% (relativamente estable en relación con las tasas de trimestres previos).</w:t>
      </w:r>
    </w:p>
    <w:p w14:paraId="1AC9D50F" w14:textId="77777777" w:rsidR="00A51ABF" w:rsidRPr="00CE411E" w:rsidRDefault="00A51ABF" w:rsidP="00CE411E">
      <w:pPr>
        <w:jc w:val="both"/>
        <w:rPr>
          <w:rFonts w:asciiTheme="majorHAnsi" w:hAnsiTheme="majorHAnsi"/>
          <w:sz w:val="22"/>
          <w:szCs w:val="22"/>
        </w:rPr>
      </w:pPr>
    </w:p>
    <w:p w14:paraId="144574E6" w14:textId="7385A770" w:rsidR="00CE411E" w:rsidRDefault="00CE411E" w:rsidP="00CE411E">
      <w:pPr>
        <w:jc w:val="both"/>
        <w:rPr>
          <w:rFonts w:asciiTheme="majorHAnsi" w:hAnsiTheme="majorHAnsi"/>
          <w:sz w:val="22"/>
          <w:szCs w:val="22"/>
        </w:rPr>
      </w:pPr>
      <w:r w:rsidRPr="00CE411E">
        <w:rPr>
          <w:rFonts w:asciiTheme="majorHAnsi" w:hAnsiTheme="majorHAnsi"/>
          <w:sz w:val="22"/>
          <w:szCs w:val="22"/>
        </w:rPr>
        <w:t>Por su parte, las economías de mercados emergentes y en desarrollo aminoraron su ritmo de crecimiento, aunque los indicadores de corto plazo dan indicios de que esta desaceleración ha moderado, en parte por políticas de estímulo en países como China y Rusia y el incremento reciente en los precios de materias primas.</w:t>
      </w:r>
    </w:p>
    <w:p w14:paraId="3532AA8E" w14:textId="77777777" w:rsidR="00A51ABF" w:rsidRDefault="00A51ABF" w:rsidP="00CE411E">
      <w:pPr>
        <w:jc w:val="both"/>
        <w:rPr>
          <w:rFonts w:asciiTheme="majorHAnsi" w:hAnsiTheme="majorHAnsi"/>
          <w:sz w:val="22"/>
          <w:szCs w:val="22"/>
        </w:rPr>
      </w:pPr>
    </w:p>
    <w:p w14:paraId="349332C2" w14:textId="77777777" w:rsidR="00A51ABF" w:rsidRDefault="00A51ABF" w:rsidP="00A51ABF">
      <w:pPr>
        <w:jc w:val="both"/>
        <w:rPr>
          <w:rFonts w:asciiTheme="majorHAnsi" w:hAnsiTheme="majorHAnsi"/>
          <w:sz w:val="22"/>
          <w:szCs w:val="22"/>
        </w:rPr>
      </w:pPr>
      <w:r w:rsidRPr="00A51ABF">
        <w:rPr>
          <w:rFonts w:asciiTheme="majorHAnsi" w:hAnsiTheme="majorHAnsi"/>
          <w:sz w:val="22"/>
          <w:szCs w:val="22"/>
        </w:rPr>
        <w:t>Las economías latinoamericanas y del Caribe presentaron mayor heterogeneidad en crecimiento que en años previos. Aquellas productoras de materias primas continuaron el proceso de ajuste, ante el choque negativo en sus términos de intercambio (Chile, Perú y Colombia, por ejemplo); ello llevó a menor crecimiento, más inflación y depreciación de sus monedas. Estas consecuencias, presentes también en Brasil, fueron exacerbadas por problemas políticos; la contracción económica fue de 5,4% al primer trimestre del año. Por su parte, Centro América, cuya tasa media de crecimiento fue de 4%, continuó beneficiándose de los bajos precios de materias primas y del impulso de la economía estadounidense.</w:t>
      </w:r>
    </w:p>
    <w:p w14:paraId="5C162549" w14:textId="77777777" w:rsidR="00A51ABF" w:rsidRPr="00A51ABF" w:rsidRDefault="00A51ABF" w:rsidP="00A51ABF">
      <w:pPr>
        <w:jc w:val="both"/>
        <w:rPr>
          <w:rFonts w:asciiTheme="majorHAnsi" w:hAnsiTheme="majorHAnsi"/>
          <w:sz w:val="22"/>
          <w:szCs w:val="22"/>
        </w:rPr>
      </w:pPr>
    </w:p>
    <w:p w14:paraId="0E0F17D1" w14:textId="3BD3D114" w:rsidR="00A51ABF" w:rsidRDefault="00A51ABF" w:rsidP="00A51ABF">
      <w:pPr>
        <w:jc w:val="both"/>
        <w:rPr>
          <w:rFonts w:asciiTheme="majorHAnsi" w:hAnsiTheme="majorHAnsi"/>
          <w:sz w:val="22"/>
          <w:szCs w:val="22"/>
        </w:rPr>
      </w:pPr>
      <w:r w:rsidRPr="00A51ABF">
        <w:rPr>
          <w:rFonts w:asciiTheme="majorHAnsi" w:hAnsiTheme="majorHAnsi"/>
          <w:sz w:val="22"/>
          <w:szCs w:val="22"/>
        </w:rPr>
        <w:t>En materia de inflación, la desaceleración de la demanda externa aunada a los bajos precios de materias primas (en especial hidrocarburos y granos básicos) explica la ausencia de presiones inflacionarias a nivel mundial. Así, los bancos centrales de economías avanzadas mantuvieron la política monetaria laxa. Por el contrario, el deterioro en los términos de intercambio en países latinoamericanos productores de materias primas depreció sus monedas, con la consecuente aceleración en la inflación; en estas circunstancias aplicaron medidas monetarias restrictivas.</w:t>
      </w:r>
    </w:p>
    <w:p w14:paraId="4808BE03" w14:textId="77777777" w:rsidR="00A51ABF" w:rsidRPr="00A51ABF" w:rsidRDefault="00A51ABF" w:rsidP="00A51ABF">
      <w:pPr>
        <w:jc w:val="both"/>
        <w:rPr>
          <w:rFonts w:asciiTheme="majorHAnsi" w:hAnsiTheme="majorHAnsi"/>
          <w:sz w:val="22"/>
          <w:szCs w:val="22"/>
        </w:rPr>
      </w:pPr>
    </w:p>
    <w:p w14:paraId="73C5DAA8" w14:textId="2E6A5AE2" w:rsidR="00A51ABF" w:rsidRDefault="00A51ABF" w:rsidP="00A51ABF">
      <w:pPr>
        <w:jc w:val="both"/>
        <w:rPr>
          <w:rFonts w:asciiTheme="majorHAnsi" w:hAnsiTheme="majorHAnsi"/>
          <w:sz w:val="22"/>
          <w:szCs w:val="22"/>
        </w:rPr>
      </w:pPr>
      <w:r w:rsidRPr="00A51ABF">
        <w:rPr>
          <w:rFonts w:asciiTheme="majorHAnsi" w:hAnsiTheme="majorHAnsi"/>
          <w:sz w:val="22"/>
          <w:szCs w:val="22"/>
        </w:rPr>
        <w:t>Particularmente los principales socios comerciales de Costa Rica promediaron una inflación interanual de 1,8% en el lapso enero-mayo de 2016, 2,3 p.p. superior a la tasa me</w:t>
      </w:r>
      <w:r>
        <w:rPr>
          <w:rFonts w:asciiTheme="majorHAnsi" w:hAnsiTheme="majorHAnsi"/>
          <w:sz w:val="22"/>
          <w:szCs w:val="22"/>
        </w:rPr>
        <w:t>dia de inflación local (-0,53%)</w:t>
      </w:r>
    </w:p>
    <w:p w14:paraId="5315B324" w14:textId="77777777" w:rsidR="00EA2A58" w:rsidRDefault="00EA2A58" w:rsidP="00761F9B">
      <w:pPr>
        <w:jc w:val="both"/>
        <w:rPr>
          <w:rFonts w:asciiTheme="majorHAnsi" w:hAnsiTheme="majorHAnsi"/>
          <w:sz w:val="22"/>
          <w:szCs w:val="22"/>
        </w:rPr>
      </w:pPr>
    </w:p>
    <w:p w14:paraId="06A948D2" w14:textId="74373893" w:rsidR="00060053" w:rsidRDefault="00060053" w:rsidP="00E227A0">
      <w:pPr>
        <w:rPr>
          <w:b/>
        </w:rPr>
      </w:pPr>
      <w:bookmarkStart w:id="7" w:name="_Toc294168413"/>
      <w:r w:rsidRPr="00C60E6C">
        <w:rPr>
          <w:b/>
        </w:rPr>
        <w:t>II</w:t>
      </w:r>
      <w:r w:rsidR="007D7EDA">
        <w:rPr>
          <w:b/>
        </w:rPr>
        <w:t>-</w:t>
      </w:r>
      <w:r w:rsidRPr="00C60E6C">
        <w:rPr>
          <w:b/>
        </w:rPr>
        <w:t xml:space="preserve">  Sistema Nacional de Pensiones</w:t>
      </w:r>
      <w:bookmarkEnd w:id="7"/>
    </w:p>
    <w:p w14:paraId="57CA70ED" w14:textId="77777777" w:rsidR="00D178DA" w:rsidRPr="004A04B8" w:rsidRDefault="00D178DA" w:rsidP="00E227A0">
      <w:pPr>
        <w:rPr>
          <w:rFonts w:asciiTheme="majorHAnsi" w:hAnsiTheme="majorHAnsi"/>
          <w:b/>
        </w:rPr>
      </w:pPr>
    </w:p>
    <w:p w14:paraId="3ECC8EFB" w14:textId="5E24262E" w:rsidR="00D178DA" w:rsidRDefault="00CD6443" w:rsidP="00D178DA">
      <w:pPr>
        <w:jc w:val="both"/>
        <w:rPr>
          <w:rFonts w:asciiTheme="majorHAnsi" w:hAnsiTheme="majorHAnsi"/>
          <w:sz w:val="22"/>
          <w:szCs w:val="22"/>
        </w:rPr>
      </w:pPr>
      <w:r>
        <w:rPr>
          <w:rFonts w:asciiTheme="majorHAnsi" w:hAnsiTheme="majorHAnsi"/>
          <w:sz w:val="22"/>
          <w:szCs w:val="22"/>
        </w:rPr>
        <w:t>E</w:t>
      </w:r>
      <w:r w:rsidR="00D178DA" w:rsidRPr="00D178DA">
        <w:rPr>
          <w:rFonts w:asciiTheme="majorHAnsi" w:hAnsiTheme="majorHAnsi"/>
          <w:sz w:val="22"/>
          <w:szCs w:val="22"/>
        </w:rPr>
        <w:t>l Sistema Nacional de Pensiones más el Fondo de Capitalización Laboral</w:t>
      </w:r>
      <w:r w:rsidR="00D178DA">
        <w:rPr>
          <w:rFonts w:asciiTheme="majorHAnsi" w:hAnsiTheme="majorHAnsi"/>
          <w:sz w:val="22"/>
          <w:szCs w:val="22"/>
        </w:rPr>
        <w:t xml:space="preserve"> </w:t>
      </w:r>
      <w:r w:rsidR="00881C0C" w:rsidRPr="00D735CA">
        <w:rPr>
          <w:rFonts w:cs="Courier New"/>
          <w:color w:val="000000"/>
        </w:rPr>
        <w:t>administran</w:t>
      </w:r>
      <w:r w:rsidR="00881C0C">
        <w:rPr>
          <w:rFonts w:cs="Courier New"/>
          <w:color w:val="000000"/>
        </w:rPr>
        <w:t xml:space="preserve"> 9,96 billones de colones, en otras palabras, el </w:t>
      </w:r>
      <w:r w:rsidR="00881C0C" w:rsidRPr="009A2555">
        <w:rPr>
          <w:rFonts w:cs="Courier New"/>
          <w:color w:val="000000"/>
        </w:rPr>
        <w:t>3</w:t>
      </w:r>
      <w:r w:rsidR="00881C0C">
        <w:rPr>
          <w:rFonts w:cs="Courier New"/>
          <w:color w:val="000000"/>
        </w:rPr>
        <w:t>2,17</w:t>
      </w:r>
      <w:r w:rsidR="00881C0C" w:rsidRPr="009A2555">
        <w:rPr>
          <w:rFonts w:cs="Courier New"/>
          <w:color w:val="000000"/>
        </w:rPr>
        <w:t>% del</w:t>
      </w:r>
      <w:r w:rsidR="00881C0C" w:rsidRPr="00D735CA">
        <w:rPr>
          <w:rFonts w:cs="Courier New"/>
          <w:color w:val="000000"/>
        </w:rPr>
        <w:t xml:space="preserve"> Producto Interno Bruto</w:t>
      </w:r>
      <w:r w:rsidR="00881C0C">
        <w:rPr>
          <w:rFonts w:cs="Courier New"/>
          <w:color w:val="000000"/>
        </w:rPr>
        <w:t xml:space="preserve"> (PIB)</w:t>
      </w:r>
      <w:r w:rsidR="00881C0C">
        <w:rPr>
          <w:rStyle w:val="Refdenotaalpie"/>
          <w:rFonts w:cs="Courier New"/>
        </w:rPr>
        <w:footnoteReference w:id="3"/>
      </w:r>
      <w:r w:rsidR="00D178DA" w:rsidRPr="00D178DA">
        <w:rPr>
          <w:rFonts w:asciiTheme="majorHAnsi" w:hAnsiTheme="majorHAnsi"/>
          <w:sz w:val="22"/>
          <w:szCs w:val="22"/>
        </w:rPr>
        <w:t>.</w:t>
      </w:r>
    </w:p>
    <w:p w14:paraId="2E2B3071" w14:textId="77777777" w:rsidR="00881C0C" w:rsidRDefault="00881C0C" w:rsidP="00D178DA">
      <w:pPr>
        <w:jc w:val="both"/>
        <w:rPr>
          <w:rFonts w:asciiTheme="majorHAnsi" w:hAnsiTheme="majorHAnsi"/>
          <w:sz w:val="22"/>
          <w:szCs w:val="22"/>
        </w:rPr>
      </w:pPr>
    </w:p>
    <w:p w14:paraId="12CBBA3D" w14:textId="6BCD3803" w:rsidR="00881C0C" w:rsidRPr="00881C0C" w:rsidRDefault="00881C0C" w:rsidP="00881C0C">
      <w:pPr>
        <w:jc w:val="center"/>
        <w:rPr>
          <w:rFonts w:asciiTheme="majorHAnsi" w:hAnsiTheme="majorHAnsi"/>
          <w:b/>
          <w:sz w:val="22"/>
          <w:szCs w:val="22"/>
        </w:rPr>
      </w:pPr>
      <w:r w:rsidRPr="00563B77">
        <w:rPr>
          <w:rFonts w:asciiTheme="majorHAnsi" w:hAnsiTheme="majorHAnsi"/>
          <w:b/>
          <w:sz w:val="22"/>
          <w:szCs w:val="22"/>
        </w:rPr>
        <w:t xml:space="preserve">Gráfico </w:t>
      </w:r>
      <w:r w:rsidR="00563B77" w:rsidRPr="00563B77">
        <w:rPr>
          <w:rFonts w:asciiTheme="majorHAnsi" w:hAnsiTheme="majorHAnsi"/>
          <w:b/>
          <w:sz w:val="22"/>
          <w:szCs w:val="22"/>
        </w:rPr>
        <w:t>1</w:t>
      </w:r>
      <w:r w:rsidR="00DF5C36">
        <w:rPr>
          <w:rFonts w:asciiTheme="majorHAnsi" w:hAnsiTheme="majorHAnsi"/>
          <w:b/>
          <w:sz w:val="22"/>
          <w:szCs w:val="22"/>
        </w:rPr>
        <w:t>:</w:t>
      </w:r>
      <w:r w:rsidRPr="00563B77">
        <w:rPr>
          <w:rFonts w:asciiTheme="majorHAnsi" w:hAnsiTheme="majorHAnsi"/>
          <w:b/>
          <w:sz w:val="22"/>
          <w:szCs w:val="22"/>
        </w:rPr>
        <w:t xml:space="preserve"> Sistema Nacional de Pensiones</w:t>
      </w:r>
    </w:p>
    <w:p w14:paraId="075EC3EF" w14:textId="2CB47B05" w:rsidR="00881C0C" w:rsidRDefault="00881C0C" w:rsidP="00881C0C">
      <w:pPr>
        <w:jc w:val="center"/>
        <w:rPr>
          <w:rFonts w:asciiTheme="majorHAnsi" w:hAnsiTheme="majorHAnsi"/>
          <w:sz w:val="22"/>
          <w:szCs w:val="22"/>
        </w:rPr>
      </w:pPr>
      <w:r w:rsidRPr="00881C0C">
        <w:rPr>
          <w:rFonts w:asciiTheme="majorHAnsi" w:hAnsiTheme="majorHAnsi"/>
          <w:sz w:val="22"/>
          <w:szCs w:val="22"/>
        </w:rPr>
        <w:t>Activos Administrados</w:t>
      </w:r>
    </w:p>
    <w:p w14:paraId="345DCD21" w14:textId="0FA8CA1D" w:rsidR="00881C0C" w:rsidRDefault="00881C0C" w:rsidP="00881C0C">
      <w:pPr>
        <w:jc w:val="center"/>
        <w:rPr>
          <w:rFonts w:asciiTheme="majorHAnsi" w:hAnsiTheme="majorHAnsi"/>
          <w:sz w:val="22"/>
          <w:szCs w:val="22"/>
        </w:rPr>
      </w:pPr>
      <w:r>
        <w:rPr>
          <w:rFonts w:asciiTheme="majorHAnsi" w:hAnsiTheme="majorHAnsi"/>
          <w:noProof/>
          <w:sz w:val="22"/>
          <w:szCs w:val="22"/>
        </w:rPr>
        <w:drawing>
          <wp:inline distT="0" distB="0" distL="0" distR="0" wp14:anchorId="595E6DEF" wp14:editId="5F204635">
            <wp:extent cx="3759200" cy="230078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3778" cy="2303587"/>
                    </a:xfrm>
                    <a:prstGeom prst="rect">
                      <a:avLst/>
                    </a:prstGeom>
                    <a:noFill/>
                  </pic:spPr>
                </pic:pic>
              </a:graphicData>
            </a:graphic>
          </wp:inline>
        </w:drawing>
      </w:r>
    </w:p>
    <w:p w14:paraId="309F53DA" w14:textId="77777777" w:rsidR="00D178DA" w:rsidRPr="00D178DA" w:rsidRDefault="00D178DA" w:rsidP="00D178DA">
      <w:pPr>
        <w:jc w:val="both"/>
        <w:rPr>
          <w:rFonts w:asciiTheme="majorHAnsi" w:hAnsiTheme="majorHAnsi"/>
          <w:sz w:val="22"/>
          <w:szCs w:val="22"/>
        </w:rPr>
      </w:pPr>
    </w:p>
    <w:p w14:paraId="6F32A7D7" w14:textId="240ADAF0" w:rsidR="00D178DA" w:rsidRDefault="00D178DA" w:rsidP="00D178DA">
      <w:pPr>
        <w:jc w:val="both"/>
        <w:rPr>
          <w:rFonts w:asciiTheme="majorHAnsi" w:hAnsiTheme="majorHAnsi"/>
          <w:sz w:val="22"/>
          <w:szCs w:val="22"/>
        </w:rPr>
      </w:pPr>
      <w:r w:rsidRPr="00D178DA">
        <w:rPr>
          <w:rFonts w:asciiTheme="majorHAnsi" w:hAnsiTheme="majorHAnsi"/>
          <w:sz w:val="22"/>
          <w:szCs w:val="22"/>
        </w:rPr>
        <w:t>El crecimiento promedio anual de todos estos recursos es de 14% al año, con una</w:t>
      </w:r>
      <w:r>
        <w:rPr>
          <w:rFonts w:asciiTheme="majorHAnsi" w:hAnsiTheme="majorHAnsi"/>
          <w:sz w:val="22"/>
          <w:szCs w:val="22"/>
        </w:rPr>
        <w:t xml:space="preserve"> </w:t>
      </w:r>
      <w:r w:rsidRPr="00D178DA">
        <w:rPr>
          <w:rFonts w:asciiTheme="majorHAnsi" w:hAnsiTheme="majorHAnsi"/>
          <w:sz w:val="22"/>
          <w:szCs w:val="22"/>
        </w:rPr>
        <w:t>relativa estabilidad producto de patrones de aportación y rendimientos, los cuales</w:t>
      </w:r>
      <w:r>
        <w:rPr>
          <w:rFonts w:asciiTheme="majorHAnsi" w:hAnsiTheme="majorHAnsi"/>
          <w:sz w:val="22"/>
          <w:szCs w:val="22"/>
        </w:rPr>
        <w:t xml:space="preserve"> </w:t>
      </w:r>
      <w:r w:rsidR="00881C0C">
        <w:rPr>
          <w:rFonts w:asciiTheme="majorHAnsi" w:hAnsiTheme="majorHAnsi"/>
          <w:sz w:val="22"/>
          <w:szCs w:val="22"/>
        </w:rPr>
        <w:t>tienen poca volatilidad</w:t>
      </w:r>
      <w:r w:rsidRPr="00D178DA">
        <w:rPr>
          <w:rFonts w:asciiTheme="majorHAnsi" w:hAnsiTheme="majorHAnsi"/>
          <w:sz w:val="22"/>
          <w:szCs w:val="22"/>
        </w:rPr>
        <w:t>.</w:t>
      </w:r>
    </w:p>
    <w:p w14:paraId="3A64FDBE" w14:textId="77777777" w:rsidR="00D178DA" w:rsidRPr="00D178DA" w:rsidRDefault="00D178DA" w:rsidP="00D178DA">
      <w:pPr>
        <w:jc w:val="both"/>
        <w:rPr>
          <w:rFonts w:asciiTheme="majorHAnsi" w:hAnsiTheme="majorHAnsi"/>
          <w:sz w:val="22"/>
          <w:szCs w:val="22"/>
        </w:rPr>
      </w:pPr>
    </w:p>
    <w:p w14:paraId="64AC76C9" w14:textId="5A2D9D8E" w:rsidR="00DD12E9" w:rsidRDefault="00DD12E9" w:rsidP="00D178DA">
      <w:pPr>
        <w:jc w:val="both"/>
        <w:rPr>
          <w:rFonts w:asciiTheme="majorHAnsi" w:hAnsiTheme="majorHAnsi"/>
          <w:sz w:val="22"/>
          <w:szCs w:val="22"/>
        </w:rPr>
      </w:pPr>
      <w:r w:rsidRPr="00DD12E9">
        <w:rPr>
          <w:rFonts w:asciiTheme="majorHAnsi" w:hAnsiTheme="majorHAnsi"/>
          <w:sz w:val="22"/>
          <w:szCs w:val="22"/>
        </w:rPr>
        <w:t>En cuanto a la composición por productos, el S</w:t>
      </w:r>
      <w:r>
        <w:rPr>
          <w:rFonts w:asciiTheme="majorHAnsi" w:hAnsiTheme="majorHAnsi"/>
          <w:sz w:val="22"/>
          <w:szCs w:val="22"/>
        </w:rPr>
        <w:t xml:space="preserve">istema Nacional de Pensiones –SNP- </w:t>
      </w:r>
      <w:r w:rsidRPr="00DD12E9">
        <w:rPr>
          <w:rFonts w:asciiTheme="majorHAnsi" w:hAnsiTheme="majorHAnsi"/>
          <w:sz w:val="22"/>
          <w:szCs w:val="22"/>
        </w:rPr>
        <w:t>descansa sobre los dos pilares obligatorios, el básico denominado I Pilar, en el cual se encuentran los regímenes de IVM, Poder Judicial, Capitalización Colectiva del Magisterio y Cuerpo de Bomberos, quienes en total administran 4,33 billones de colones, lo que representa 43% del total de activos. Por su parte el II Pilar, conformado por el ROP más los fondos complementarios creados por leyes especiales como el Fondo de Empleados del ICE, de RECOPE, del Banco Nacional de Costa Rica, de los Vendedores de Lotería y el FRE de la CCSS, administra 4,95 billones de colones, es decir 50% del total de activos.</w:t>
      </w:r>
    </w:p>
    <w:p w14:paraId="47847507" w14:textId="77777777" w:rsidR="00DD12E9" w:rsidRDefault="00DD12E9" w:rsidP="00D178DA">
      <w:pPr>
        <w:jc w:val="both"/>
        <w:rPr>
          <w:rFonts w:asciiTheme="majorHAnsi" w:hAnsiTheme="majorHAnsi"/>
          <w:sz w:val="22"/>
          <w:szCs w:val="22"/>
        </w:rPr>
      </w:pPr>
    </w:p>
    <w:p w14:paraId="055689A1" w14:textId="7127854D" w:rsidR="009A4E67" w:rsidRDefault="00DD12E9" w:rsidP="00D178DA">
      <w:pPr>
        <w:jc w:val="both"/>
        <w:rPr>
          <w:rFonts w:asciiTheme="majorHAnsi" w:hAnsiTheme="majorHAnsi"/>
          <w:sz w:val="22"/>
          <w:szCs w:val="22"/>
        </w:rPr>
      </w:pPr>
      <w:r w:rsidRPr="00DD12E9">
        <w:rPr>
          <w:rFonts w:asciiTheme="majorHAnsi" w:hAnsiTheme="majorHAnsi"/>
          <w:sz w:val="22"/>
          <w:szCs w:val="22"/>
        </w:rPr>
        <w:t>En cuanto al III Pilar, el Régimen Voluntario de Pensiones Complementarias administra 0,27 billones de colones o 3% del total de activos administrados. Por otra parte, el FCL, aun cuando no es producto asociado a pensiones (sino ahorro laboral), administra 0,41 billones de colones, lo cual representa 4% del total de activos del sistema</w:t>
      </w:r>
      <w:r>
        <w:rPr>
          <w:rFonts w:asciiTheme="majorHAnsi" w:hAnsiTheme="majorHAnsi"/>
          <w:sz w:val="22"/>
          <w:szCs w:val="22"/>
        </w:rPr>
        <w:t>.</w:t>
      </w:r>
    </w:p>
    <w:p w14:paraId="2E182407" w14:textId="77777777" w:rsidR="00D178DA" w:rsidRPr="00D178DA" w:rsidRDefault="00D178DA" w:rsidP="00D178DA">
      <w:pPr>
        <w:pStyle w:val="Default"/>
        <w:rPr>
          <w:rFonts w:asciiTheme="majorHAnsi" w:hAnsiTheme="majorHAnsi"/>
          <w:sz w:val="22"/>
          <w:szCs w:val="22"/>
        </w:rPr>
      </w:pPr>
    </w:p>
    <w:p w14:paraId="5E58B8D5" w14:textId="40EAA8D1" w:rsidR="00D178DA" w:rsidRPr="00D178DA" w:rsidRDefault="007C24E4" w:rsidP="00D178DA">
      <w:pPr>
        <w:pStyle w:val="Default"/>
        <w:jc w:val="center"/>
        <w:rPr>
          <w:rFonts w:asciiTheme="majorHAnsi" w:hAnsiTheme="majorHAnsi"/>
          <w:b/>
          <w:color w:val="auto"/>
          <w:sz w:val="22"/>
          <w:szCs w:val="22"/>
        </w:rPr>
      </w:pPr>
      <w:r>
        <w:rPr>
          <w:rFonts w:asciiTheme="majorHAnsi" w:hAnsiTheme="majorHAnsi"/>
          <w:b/>
          <w:color w:val="auto"/>
          <w:sz w:val="22"/>
          <w:szCs w:val="22"/>
        </w:rPr>
        <w:t xml:space="preserve">Cuadro 1: </w:t>
      </w:r>
      <w:r w:rsidR="00D178DA" w:rsidRPr="00D178DA">
        <w:rPr>
          <w:rFonts w:asciiTheme="majorHAnsi" w:hAnsiTheme="majorHAnsi"/>
          <w:b/>
          <w:color w:val="auto"/>
          <w:sz w:val="22"/>
          <w:szCs w:val="22"/>
        </w:rPr>
        <w:t>Activos Administrados</w:t>
      </w:r>
      <w:r w:rsidR="00563B77">
        <w:rPr>
          <w:rFonts w:asciiTheme="majorHAnsi" w:hAnsiTheme="majorHAnsi"/>
          <w:b/>
          <w:color w:val="auto"/>
          <w:sz w:val="22"/>
          <w:szCs w:val="22"/>
        </w:rPr>
        <w:t xml:space="preserve"> </w:t>
      </w:r>
      <w:r w:rsidR="00D178DA" w:rsidRPr="00D178DA">
        <w:rPr>
          <w:rFonts w:asciiTheme="majorHAnsi" w:hAnsiTheme="majorHAnsi"/>
          <w:b/>
          <w:color w:val="auto"/>
          <w:sz w:val="22"/>
          <w:szCs w:val="22"/>
        </w:rPr>
        <w:t>Sistema Nacional de Pensiones y FCL</w:t>
      </w:r>
    </w:p>
    <w:p w14:paraId="1A0E8D44" w14:textId="635D22E1" w:rsidR="00D178DA" w:rsidRPr="00D178DA" w:rsidRDefault="00D178DA" w:rsidP="00D178DA">
      <w:pPr>
        <w:pStyle w:val="Default"/>
        <w:jc w:val="center"/>
        <w:rPr>
          <w:rFonts w:asciiTheme="majorHAnsi" w:hAnsiTheme="majorHAnsi"/>
          <w:b/>
          <w:color w:val="auto"/>
          <w:sz w:val="20"/>
          <w:szCs w:val="22"/>
        </w:rPr>
      </w:pPr>
      <w:r w:rsidRPr="00D178DA">
        <w:rPr>
          <w:rFonts w:asciiTheme="majorHAnsi" w:hAnsiTheme="majorHAnsi"/>
          <w:b/>
          <w:color w:val="auto"/>
          <w:sz w:val="20"/>
          <w:szCs w:val="22"/>
        </w:rPr>
        <w:t xml:space="preserve">Billones de Colones- </w:t>
      </w:r>
      <w:r w:rsidR="007E4824">
        <w:rPr>
          <w:rFonts w:asciiTheme="majorHAnsi" w:hAnsiTheme="majorHAnsi"/>
          <w:b/>
          <w:color w:val="auto"/>
          <w:sz w:val="20"/>
          <w:szCs w:val="22"/>
        </w:rPr>
        <w:t>Junio</w:t>
      </w:r>
      <w:r w:rsidRPr="00D178DA">
        <w:rPr>
          <w:rFonts w:asciiTheme="majorHAnsi" w:hAnsiTheme="majorHAnsi"/>
          <w:b/>
          <w:color w:val="auto"/>
          <w:sz w:val="20"/>
          <w:szCs w:val="22"/>
        </w:rPr>
        <w:t xml:space="preserve"> 2016*</w:t>
      </w:r>
    </w:p>
    <w:tbl>
      <w:tblPr>
        <w:tblStyle w:val="Tablabsica1"/>
        <w:tblW w:w="8140" w:type="dxa"/>
        <w:tblInd w:w="567" w:type="dxa"/>
        <w:tblLook w:val="04A0" w:firstRow="1" w:lastRow="0" w:firstColumn="1" w:lastColumn="0" w:noHBand="0" w:noVBand="1"/>
      </w:tblPr>
      <w:tblGrid>
        <w:gridCol w:w="1157"/>
        <w:gridCol w:w="982"/>
        <w:gridCol w:w="595"/>
        <w:gridCol w:w="982"/>
        <w:gridCol w:w="595"/>
        <w:gridCol w:w="934"/>
        <w:gridCol w:w="484"/>
        <w:gridCol w:w="828"/>
        <w:gridCol w:w="484"/>
        <w:gridCol w:w="1099"/>
      </w:tblGrid>
      <w:tr w:rsidR="00563B77" w:rsidRPr="007E4824" w14:paraId="42663564" w14:textId="77777777" w:rsidTr="00563B77">
        <w:trPr>
          <w:cnfStyle w:val="100000000000" w:firstRow="1" w:lastRow="0" w:firstColumn="0" w:lastColumn="0" w:oddVBand="0" w:evenVBand="0" w:oddHBand="0" w:evenHBand="0" w:firstRowFirstColumn="0" w:firstRowLastColumn="0" w:lastRowFirstColumn="0" w:lastRowLastColumn="0"/>
          <w:trHeight w:val="159"/>
          <w:tblHeader/>
        </w:trPr>
        <w:tc>
          <w:tcPr>
            <w:tcW w:w="1157" w:type="dxa"/>
            <w:noWrap/>
            <w:vAlign w:val="center"/>
            <w:hideMark/>
          </w:tcPr>
          <w:p w14:paraId="0EEAAAB8"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Fecha </w:t>
            </w:r>
          </w:p>
        </w:tc>
        <w:tc>
          <w:tcPr>
            <w:tcW w:w="982" w:type="dxa"/>
            <w:noWrap/>
            <w:vAlign w:val="center"/>
            <w:hideMark/>
          </w:tcPr>
          <w:p w14:paraId="5BA41A00"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I Pilar </w:t>
            </w:r>
          </w:p>
        </w:tc>
        <w:tc>
          <w:tcPr>
            <w:tcW w:w="595" w:type="dxa"/>
            <w:noWrap/>
            <w:vAlign w:val="center"/>
            <w:hideMark/>
          </w:tcPr>
          <w:p w14:paraId="418664F1"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w:t>
            </w:r>
          </w:p>
        </w:tc>
        <w:tc>
          <w:tcPr>
            <w:tcW w:w="982" w:type="dxa"/>
            <w:noWrap/>
            <w:vAlign w:val="center"/>
            <w:hideMark/>
          </w:tcPr>
          <w:p w14:paraId="5BDB3D74" w14:textId="48472D23"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II Pilar </w:t>
            </w:r>
          </w:p>
        </w:tc>
        <w:tc>
          <w:tcPr>
            <w:tcW w:w="595" w:type="dxa"/>
            <w:noWrap/>
            <w:vAlign w:val="center"/>
            <w:hideMark/>
          </w:tcPr>
          <w:p w14:paraId="04D1650F"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w:t>
            </w:r>
          </w:p>
        </w:tc>
        <w:tc>
          <w:tcPr>
            <w:tcW w:w="934" w:type="dxa"/>
            <w:noWrap/>
            <w:vAlign w:val="center"/>
            <w:hideMark/>
          </w:tcPr>
          <w:p w14:paraId="701EA2B9"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III Pilar </w:t>
            </w:r>
          </w:p>
        </w:tc>
        <w:tc>
          <w:tcPr>
            <w:tcW w:w="484" w:type="dxa"/>
            <w:noWrap/>
            <w:vAlign w:val="center"/>
            <w:hideMark/>
          </w:tcPr>
          <w:p w14:paraId="62558ED6"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w:t>
            </w:r>
          </w:p>
        </w:tc>
        <w:tc>
          <w:tcPr>
            <w:tcW w:w="828" w:type="dxa"/>
            <w:noWrap/>
            <w:vAlign w:val="center"/>
            <w:hideMark/>
          </w:tcPr>
          <w:p w14:paraId="07559CDC"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FCL </w:t>
            </w:r>
          </w:p>
        </w:tc>
        <w:tc>
          <w:tcPr>
            <w:tcW w:w="484" w:type="dxa"/>
            <w:noWrap/>
            <w:vAlign w:val="center"/>
            <w:hideMark/>
          </w:tcPr>
          <w:p w14:paraId="7A6F53B9"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w:t>
            </w:r>
          </w:p>
        </w:tc>
        <w:tc>
          <w:tcPr>
            <w:tcW w:w="1099" w:type="dxa"/>
            <w:noWrap/>
            <w:vAlign w:val="center"/>
            <w:hideMark/>
          </w:tcPr>
          <w:p w14:paraId="1BEBDC11" w14:textId="77777777" w:rsidR="00DD12E9" w:rsidRPr="007E4824" w:rsidRDefault="00DD12E9" w:rsidP="00A45792">
            <w:pPr>
              <w:rPr>
                <w:rFonts w:ascii="Calibri Light" w:hAnsi="Calibri Light"/>
                <w:b/>
                <w:bCs/>
                <w:color w:val="000000"/>
                <w:sz w:val="22"/>
                <w:szCs w:val="22"/>
              </w:rPr>
            </w:pPr>
            <w:r w:rsidRPr="007E4824">
              <w:rPr>
                <w:rFonts w:ascii="Calibri Light" w:hAnsi="Calibri Light"/>
                <w:b/>
                <w:bCs/>
                <w:color w:val="000000"/>
                <w:sz w:val="22"/>
                <w:szCs w:val="22"/>
              </w:rPr>
              <w:t xml:space="preserve"> TOTAL</w:t>
            </w:r>
          </w:p>
        </w:tc>
      </w:tr>
      <w:tr w:rsidR="007E4824" w:rsidRPr="007E4824" w14:paraId="440B5CFB" w14:textId="77777777" w:rsidTr="00563B77">
        <w:trPr>
          <w:trHeight w:val="159"/>
        </w:trPr>
        <w:tc>
          <w:tcPr>
            <w:tcW w:w="1157" w:type="dxa"/>
            <w:noWrap/>
            <w:hideMark/>
          </w:tcPr>
          <w:p w14:paraId="661B2687"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2011</w:t>
            </w:r>
          </w:p>
        </w:tc>
        <w:tc>
          <w:tcPr>
            <w:tcW w:w="982" w:type="dxa"/>
            <w:noWrap/>
            <w:hideMark/>
          </w:tcPr>
          <w:p w14:paraId="3AA1E3C8"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2,68</w:t>
            </w:r>
          </w:p>
        </w:tc>
        <w:tc>
          <w:tcPr>
            <w:tcW w:w="595" w:type="dxa"/>
            <w:noWrap/>
            <w:hideMark/>
          </w:tcPr>
          <w:p w14:paraId="6FAC4838"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49%</w:t>
            </w:r>
          </w:p>
        </w:tc>
        <w:tc>
          <w:tcPr>
            <w:tcW w:w="982" w:type="dxa"/>
            <w:noWrap/>
            <w:hideMark/>
          </w:tcPr>
          <w:p w14:paraId="3F5B8102"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2,30</w:t>
            </w:r>
          </w:p>
        </w:tc>
        <w:tc>
          <w:tcPr>
            <w:tcW w:w="595" w:type="dxa"/>
            <w:noWrap/>
            <w:hideMark/>
          </w:tcPr>
          <w:p w14:paraId="3470FC86"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42%</w:t>
            </w:r>
          </w:p>
        </w:tc>
        <w:tc>
          <w:tcPr>
            <w:tcW w:w="934" w:type="dxa"/>
            <w:noWrap/>
            <w:hideMark/>
          </w:tcPr>
          <w:p w14:paraId="6D946F80"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0,18</w:t>
            </w:r>
          </w:p>
        </w:tc>
        <w:tc>
          <w:tcPr>
            <w:tcW w:w="484" w:type="dxa"/>
            <w:noWrap/>
            <w:hideMark/>
          </w:tcPr>
          <w:p w14:paraId="728684F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w:t>
            </w:r>
          </w:p>
        </w:tc>
        <w:tc>
          <w:tcPr>
            <w:tcW w:w="828" w:type="dxa"/>
            <w:noWrap/>
            <w:hideMark/>
          </w:tcPr>
          <w:p w14:paraId="2DA92273"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0,30</w:t>
            </w:r>
          </w:p>
        </w:tc>
        <w:tc>
          <w:tcPr>
            <w:tcW w:w="484" w:type="dxa"/>
            <w:noWrap/>
            <w:hideMark/>
          </w:tcPr>
          <w:p w14:paraId="4C9B5A56"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6%</w:t>
            </w:r>
          </w:p>
        </w:tc>
        <w:tc>
          <w:tcPr>
            <w:tcW w:w="1099" w:type="dxa"/>
            <w:noWrap/>
            <w:hideMark/>
          </w:tcPr>
          <w:p w14:paraId="7EE576C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5,46</w:t>
            </w:r>
          </w:p>
        </w:tc>
      </w:tr>
      <w:tr w:rsidR="00DD12E9" w:rsidRPr="007E4824" w14:paraId="09671AD4" w14:textId="77777777" w:rsidTr="00563B77">
        <w:trPr>
          <w:trHeight w:val="159"/>
        </w:trPr>
        <w:tc>
          <w:tcPr>
            <w:tcW w:w="1157" w:type="dxa"/>
            <w:noWrap/>
            <w:hideMark/>
          </w:tcPr>
          <w:p w14:paraId="02FAE02E"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2012</w:t>
            </w:r>
          </w:p>
        </w:tc>
        <w:tc>
          <w:tcPr>
            <w:tcW w:w="982" w:type="dxa"/>
            <w:noWrap/>
            <w:hideMark/>
          </w:tcPr>
          <w:p w14:paraId="6D76F3C3"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3,01</w:t>
            </w:r>
          </w:p>
        </w:tc>
        <w:tc>
          <w:tcPr>
            <w:tcW w:w="595" w:type="dxa"/>
            <w:noWrap/>
            <w:hideMark/>
          </w:tcPr>
          <w:p w14:paraId="077282B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47%</w:t>
            </w:r>
          </w:p>
        </w:tc>
        <w:tc>
          <w:tcPr>
            <w:tcW w:w="982" w:type="dxa"/>
            <w:noWrap/>
            <w:hideMark/>
          </w:tcPr>
          <w:p w14:paraId="4F0E8A04"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2,77</w:t>
            </w:r>
          </w:p>
        </w:tc>
        <w:tc>
          <w:tcPr>
            <w:tcW w:w="595" w:type="dxa"/>
            <w:noWrap/>
            <w:hideMark/>
          </w:tcPr>
          <w:p w14:paraId="7BD190DE"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44%</w:t>
            </w:r>
          </w:p>
        </w:tc>
        <w:tc>
          <w:tcPr>
            <w:tcW w:w="934" w:type="dxa"/>
            <w:noWrap/>
            <w:hideMark/>
          </w:tcPr>
          <w:p w14:paraId="31AF978D"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0,18</w:t>
            </w:r>
          </w:p>
        </w:tc>
        <w:tc>
          <w:tcPr>
            <w:tcW w:w="484" w:type="dxa"/>
            <w:noWrap/>
            <w:hideMark/>
          </w:tcPr>
          <w:p w14:paraId="3855BC4A"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w:t>
            </w:r>
          </w:p>
        </w:tc>
        <w:tc>
          <w:tcPr>
            <w:tcW w:w="828" w:type="dxa"/>
            <w:noWrap/>
            <w:hideMark/>
          </w:tcPr>
          <w:p w14:paraId="4C2521F9"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0,38</w:t>
            </w:r>
          </w:p>
        </w:tc>
        <w:tc>
          <w:tcPr>
            <w:tcW w:w="484" w:type="dxa"/>
            <w:noWrap/>
            <w:hideMark/>
          </w:tcPr>
          <w:p w14:paraId="4795250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6%</w:t>
            </w:r>
          </w:p>
        </w:tc>
        <w:tc>
          <w:tcPr>
            <w:tcW w:w="1099" w:type="dxa"/>
            <w:noWrap/>
            <w:hideMark/>
          </w:tcPr>
          <w:p w14:paraId="3FBB2429"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6,34</w:t>
            </w:r>
          </w:p>
        </w:tc>
      </w:tr>
      <w:tr w:rsidR="007E4824" w:rsidRPr="007E4824" w14:paraId="2CCA0ACA" w14:textId="77777777" w:rsidTr="00563B77">
        <w:trPr>
          <w:trHeight w:val="159"/>
        </w:trPr>
        <w:tc>
          <w:tcPr>
            <w:tcW w:w="1157" w:type="dxa"/>
            <w:noWrap/>
            <w:hideMark/>
          </w:tcPr>
          <w:p w14:paraId="537CFA00"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2013</w:t>
            </w:r>
          </w:p>
        </w:tc>
        <w:tc>
          <w:tcPr>
            <w:tcW w:w="982" w:type="dxa"/>
            <w:noWrap/>
            <w:hideMark/>
          </w:tcPr>
          <w:p w14:paraId="7C8FBAA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3,32</w:t>
            </w:r>
          </w:p>
        </w:tc>
        <w:tc>
          <w:tcPr>
            <w:tcW w:w="595" w:type="dxa"/>
            <w:noWrap/>
            <w:hideMark/>
          </w:tcPr>
          <w:p w14:paraId="30F94F2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45%</w:t>
            </w:r>
          </w:p>
        </w:tc>
        <w:tc>
          <w:tcPr>
            <w:tcW w:w="982" w:type="dxa"/>
            <w:noWrap/>
            <w:hideMark/>
          </w:tcPr>
          <w:p w14:paraId="675F1A08"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3,36</w:t>
            </w:r>
          </w:p>
        </w:tc>
        <w:tc>
          <w:tcPr>
            <w:tcW w:w="595" w:type="dxa"/>
            <w:noWrap/>
            <w:hideMark/>
          </w:tcPr>
          <w:p w14:paraId="467696F2"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46%</w:t>
            </w:r>
          </w:p>
        </w:tc>
        <w:tc>
          <w:tcPr>
            <w:tcW w:w="934" w:type="dxa"/>
            <w:noWrap/>
            <w:hideMark/>
          </w:tcPr>
          <w:p w14:paraId="4E89AD49"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0,20</w:t>
            </w:r>
          </w:p>
        </w:tc>
        <w:tc>
          <w:tcPr>
            <w:tcW w:w="484" w:type="dxa"/>
            <w:noWrap/>
            <w:hideMark/>
          </w:tcPr>
          <w:p w14:paraId="12C9AE87"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w:t>
            </w:r>
          </w:p>
        </w:tc>
        <w:tc>
          <w:tcPr>
            <w:tcW w:w="828" w:type="dxa"/>
            <w:noWrap/>
            <w:hideMark/>
          </w:tcPr>
          <w:p w14:paraId="5E391ED3"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0,46</w:t>
            </w:r>
          </w:p>
        </w:tc>
        <w:tc>
          <w:tcPr>
            <w:tcW w:w="484" w:type="dxa"/>
            <w:noWrap/>
            <w:hideMark/>
          </w:tcPr>
          <w:p w14:paraId="50605DD1"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6%</w:t>
            </w:r>
          </w:p>
        </w:tc>
        <w:tc>
          <w:tcPr>
            <w:tcW w:w="1099" w:type="dxa"/>
            <w:noWrap/>
            <w:hideMark/>
          </w:tcPr>
          <w:p w14:paraId="1BFBFA9D"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7,35</w:t>
            </w:r>
          </w:p>
        </w:tc>
      </w:tr>
      <w:tr w:rsidR="00DD12E9" w:rsidRPr="007E4824" w14:paraId="33093743" w14:textId="77777777" w:rsidTr="00563B77">
        <w:trPr>
          <w:trHeight w:val="159"/>
        </w:trPr>
        <w:tc>
          <w:tcPr>
            <w:tcW w:w="1157" w:type="dxa"/>
            <w:noWrap/>
            <w:hideMark/>
          </w:tcPr>
          <w:p w14:paraId="5E0CB23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2014</w:t>
            </w:r>
          </w:p>
        </w:tc>
        <w:tc>
          <w:tcPr>
            <w:tcW w:w="982" w:type="dxa"/>
            <w:noWrap/>
            <w:hideMark/>
          </w:tcPr>
          <w:p w14:paraId="281E933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3,66</w:t>
            </w:r>
          </w:p>
        </w:tc>
        <w:tc>
          <w:tcPr>
            <w:tcW w:w="595" w:type="dxa"/>
            <w:noWrap/>
            <w:hideMark/>
          </w:tcPr>
          <w:p w14:paraId="38039D7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44%</w:t>
            </w:r>
          </w:p>
        </w:tc>
        <w:tc>
          <w:tcPr>
            <w:tcW w:w="982" w:type="dxa"/>
            <w:noWrap/>
            <w:hideMark/>
          </w:tcPr>
          <w:p w14:paraId="7DBDE128"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3,89</w:t>
            </w:r>
          </w:p>
        </w:tc>
        <w:tc>
          <w:tcPr>
            <w:tcW w:w="595" w:type="dxa"/>
            <w:noWrap/>
            <w:hideMark/>
          </w:tcPr>
          <w:p w14:paraId="7873BB6E"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47%</w:t>
            </w:r>
          </w:p>
        </w:tc>
        <w:tc>
          <w:tcPr>
            <w:tcW w:w="934" w:type="dxa"/>
            <w:noWrap/>
            <w:hideMark/>
          </w:tcPr>
          <w:p w14:paraId="0AEA6D91"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0,22</w:t>
            </w:r>
          </w:p>
        </w:tc>
        <w:tc>
          <w:tcPr>
            <w:tcW w:w="484" w:type="dxa"/>
            <w:noWrap/>
            <w:hideMark/>
          </w:tcPr>
          <w:p w14:paraId="5E79F7DD"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w:t>
            </w:r>
          </w:p>
        </w:tc>
        <w:tc>
          <w:tcPr>
            <w:tcW w:w="828" w:type="dxa"/>
            <w:noWrap/>
            <w:hideMark/>
          </w:tcPr>
          <w:p w14:paraId="0826CF3A"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0,53</w:t>
            </w:r>
          </w:p>
        </w:tc>
        <w:tc>
          <w:tcPr>
            <w:tcW w:w="484" w:type="dxa"/>
            <w:noWrap/>
            <w:hideMark/>
          </w:tcPr>
          <w:p w14:paraId="53E893C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6%</w:t>
            </w:r>
          </w:p>
        </w:tc>
        <w:tc>
          <w:tcPr>
            <w:tcW w:w="1099" w:type="dxa"/>
            <w:noWrap/>
            <w:hideMark/>
          </w:tcPr>
          <w:p w14:paraId="1C7AEE00"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8,30</w:t>
            </w:r>
          </w:p>
        </w:tc>
      </w:tr>
      <w:tr w:rsidR="007E4824" w:rsidRPr="007E4824" w14:paraId="2D64721B" w14:textId="77777777" w:rsidTr="00563B77">
        <w:trPr>
          <w:trHeight w:val="159"/>
        </w:trPr>
        <w:tc>
          <w:tcPr>
            <w:tcW w:w="1157" w:type="dxa"/>
            <w:noWrap/>
            <w:hideMark/>
          </w:tcPr>
          <w:p w14:paraId="0399E733"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2015</w:t>
            </w:r>
          </w:p>
        </w:tc>
        <w:tc>
          <w:tcPr>
            <w:tcW w:w="982" w:type="dxa"/>
            <w:noWrap/>
            <w:hideMark/>
          </w:tcPr>
          <w:p w14:paraId="42474B8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4,08</w:t>
            </w:r>
          </w:p>
        </w:tc>
        <w:tc>
          <w:tcPr>
            <w:tcW w:w="595" w:type="dxa"/>
            <w:noWrap/>
            <w:hideMark/>
          </w:tcPr>
          <w:p w14:paraId="442A004B"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43%</w:t>
            </w:r>
          </w:p>
        </w:tc>
        <w:tc>
          <w:tcPr>
            <w:tcW w:w="982" w:type="dxa"/>
            <w:noWrap/>
            <w:hideMark/>
          </w:tcPr>
          <w:p w14:paraId="1A5A0D32"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4,62</w:t>
            </w:r>
          </w:p>
        </w:tc>
        <w:tc>
          <w:tcPr>
            <w:tcW w:w="595" w:type="dxa"/>
            <w:noWrap/>
            <w:hideMark/>
          </w:tcPr>
          <w:p w14:paraId="0BB909BD"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48%</w:t>
            </w:r>
          </w:p>
        </w:tc>
        <w:tc>
          <w:tcPr>
            <w:tcW w:w="934" w:type="dxa"/>
            <w:noWrap/>
            <w:hideMark/>
          </w:tcPr>
          <w:p w14:paraId="54B75194"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0,25</w:t>
            </w:r>
          </w:p>
        </w:tc>
        <w:tc>
          <w:tcPr>
            <w:tcW w:w="484" w:type="dxa"/>
            <w:noWrap/>
            <w:hideMark/>
          </w:tcPr>
          <w:p w14:paraId="17C18444"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w:t>
            </w:r>
          </w:p>
        </w:tc>
        <w:tc>
          <w:tcPr>
            <w:tcW w:w="828" w:type="dxa"/>
            <w:noWrap/>
            <w:hideMark/>
          </w:tcPr>
          <w:p w14:paraId="75FBF4F3"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0,63</w:t>
            </w:r>
          </w:p>
        </w:tc>
        <w:tc>
          <w:tcPr>
            <w:tcW w:w="484" w:type="dxa"/>
            <w:noWrap/>
            <w:hideMark/>
          </w:tcPr>
          <w:p w14:paraId="5DF0FCB8"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7%</w:t>
            </w:r>
          </w:p>
        </w:tc>
        <w:tc>
          <w:tcPr>
            <w:tcW w:w="1099" w:type="dxa"/>
            <w:noWrap/>
            <w:hideMark/>
          </w:tcPr>
          <w:p w14:paraId="011C1529"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9,57</w:t>
            </w:r>
          </w:p>
        </w:tc>
      </w:tr>
      <w:tr w:rsidR="00DD12E9" w:rsidRPr="007E4824" w14:paraId="103878C9" w14:textId="77777777" w:rsidTr="00563B77">
        <w:trPr>
          <w:trHeight w:val="159"/>
        </w:trPr>
        <w:tc>
          <w:tcPr>
            <w:tcW w:w="1157" w:type="dxa"/>
            <w:noWrap/>
            <w:hideMark/>
          </w:tcPr>
          <w:p w14:paraId="017A2FB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Jun 2016*</w:t>
            </w:r>
          </w:p>
        </w:tc>
        <w:tc>
          <w:tcPr>
            <w:tcW w:w="982" w:type="dxa"/>
            <w:noWrap/>
            <w:hideMark/>
          </w:tcPr>
          <w:p w14:paraId="4785E792"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4,33</w:t>
            </w:r>
          </w:p>
        </w:tc>
        <w:tc>
          <w:tcPr>
            <w:tcW w:w="595" w:type="dxa"/>
            <w:noWrap/>
            <w:hideMark/>
          </w:tcPr>
          <w:p w14:paraId="7711AAE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43%</w:t>
            </w:r>
          </w:p>
        </w:tc>
        <w:tc>
          <w:tcPr>
            <w:tcW w:w="982" w:type="dxa"/>
            <w:noWrap/>
            <w:hideMark/>
          </w:tcPr>
          <w:p w14:paraId="7BD78D2E"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4,95</w:t>
            </w:r>
          </w:p>
        </w:tc>
        <w:tc>
          <w:tcPr>
            <w:tcW w:w="595" w:type="dxa"/>
            <w:noWrap/>
            <w:hideMark/>
          </w:tcPr>
          <w:p w14:paraId="17500F61"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50%</w:t>
            </w:r>
          </w:p>
        </w:tc>
        <w:tc>
          <w:tcPr>
            <w:tcW w:w="934" w:type="dxa"/>
            <w:noWrap/>
            <w:hideMark/>
          </w:tcPr>
          <w:p w14:paraId="756AC4D7"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0,27</w:t>
            </w:r>
          </w:p>
        </w:tc>
        <w:tc>
          <w:tcPr>
            <w:tcW w:w="484" w:type="dxa"/>
            <w:noWrap/>
            <w:hideMark/>
          </w:tcPr>
          <w:p w14:paraId="1C0E6CA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3%</w:t>
            </w:r>
          </w:p>
        </w:tc>
        <w:tc>
          <w:tcPr>
            <w:tcW w:w="828" w:type="dxa"/>
            <w:noWrap/>
            <w:hideMark/>
          </w:tcPr>
          <w:p w14:paraId="706C43B9"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0,41</w:t>
            </w:r>
          </w:p>
        </w:tc>
        <w:tc>
          <w:tcPr>
            <w:tcW w:w="484" w:type="dxa"/>
            <w:noWrap/>
            <w:hideMark/>
          </w:tcPr>
          <w:p w14:paraId="046EFB5C"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4%</w:t>
            </w:r>
          </w:p>
        </w:tc>
        <w:tc>
          <w:tcPr>
            <w:tcW w:w="1099" w:type="dxa"/>
            <w:noWrap/>
            <w:hideMark/>
          </w:tcPr>
          <w:p w14:paraId="30ADA24F" w14:textId="77777777" w:rsidR="00DD12E9" w:rsidRPr="007E4824" w:rsidRDefault="00DD12E9" w:rsidP="00A45792">
            <w:pPr>
              <w:jc w:val="center"/>
              <w:rPr>
                <w:rFonts w:ascii="Calibri Light" w:hAnsi="Calibri Light"/>
                <w:color w:val="000000"/>
                <w:sz w:val="22"/>
                <w:szCs w:val="22"/>
              </w:rPr>
            </w:pPr>
            <w:r w:rsidRPr="007E4824">
              <w:rPr>
                <w:rFonts w:ascii="Calibri Light" w:hAnsi="Calibri Light"/>
                <w:color w:val="000000"/>
                <w:sz w:val="22"/>
                <w:szCs w:val="22"/>
              </w:rPr>
              <w:t>9,96</w:t>
            </w:r>
          </w:p>
        </w:tc>
      </w:tr>
    </w:tbl>
    <w:p w14:paraId="007EF698" w14:textId="77777777" w:rsidR="007E4824" w:rsidRPr="007E4824" w:rsidRDefault="007E4824" w:rsidP="007E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eastAsia="Arial Unicode MS" w:hAnsi="Calibri Light" w:cs="Arial Unicode MS"/>
          <w:color w:val="000000"/>
          <w:sz w:val="18"/>
          <w:szCs w:val="22"/>
        </w:rPr>
      </w:pPr>
      <w:r w:rsidRPr="007E4824">
        <w:rPr>
          <w:rFonts w:ascii="Calibri Light" w:eastAsia="Arial Unicode MS" w:hAnsi="Calibri Light" w:cs="Arial Unicode MS"/>
          <w:color w:val="000000"/>
          <w:sz w:val="18"/>
          <w:szCs w:val="22"/>
        </w:rPr>
        <w:tab/>
        <w:t>* Los datos del IMV están al 31 de mayo 2016</w:t>
      </w:r>
    </w:p>
    <w:p w14:paraId="6D9B803D" w14:textId="77777777" w:rsidR="00DD12E9" w:rsidRPr="00D178DA" w:rsidRDefault="00DD12E9" w:rsidP="00D178DA">
      <w:pPr>
        <w:jc w:val="both"/>
        <w:rPr>
          <w:rFonts w:asciiTheme="majorHAnsi" w:hAnsiTheme="majorHAnsi"/>
          <w:sz w:val="22"/>
          <w:szCs w:val="22"/>
        </w:rPr>
      </w:pPr>
    </w:p>
    <w:p w14:paraId="5C44498C" w14:textId="77777777" w:rsidR="0096655A" w:rsidRDefault="0096655A" w:rsidP="00D178DA">
      <w:pPr>
        <w:jc w:val="both"/>
        <w:rPr>
          <w:rFonts w:asciiTheme="majorHAnsi" w:hAnsiTheme="majorHAnsi"/>
          <w:sz w:val="22"/>
          <w:szCs w:val="22"/>
        </w:rPr>
      </w:pPr>
    </w:p>
    <w:p w14:paraId="1898B5A8" w14:textId="40417ED4" w:rsidR="00D178DA" w:rsidRPr="002E3461" w:rsidRDefault="00881C0C" w:rsidP="00D178DA">
      <w:pPr>
        <w:jc w:val="both"/>
        <w:rPr>
          <w:rFonts w:asciiTheme="majorHAnsi" w:hAnsiTheme="majorHAnsi"/>
          <w:sz w:val="22"/>
          <w:szCs w:val="22"/>
        </w:rPr>
      </w:pPr>
      <w:r w:rsidRPr="00881C0C">
        <w:rPr>
          <w:rFonts w:asciiTheme="majorHAnsi" w:hAnsiTheme="majorHAnsi"/>
          <w:sz w:val="22"/>
          <w:szCs w:val="22"/>
        </w:rPr>
        <w:lastRenderedPageBreak/>
        <w:t xml:space="preserve">Desde el año 2013 los activos administrados del segundo pilar son superiores a los del primero. Esta tendencia continuará hasta tanto el Régimen Complementario no madure, es decir, cuando el grueso de la población afiliada a este pilar se empiece a pensionar y por lo tanto requiera sus ahorros. Por otra </w:t>
      </w:r>
      <w:r w:rsidR="0096655A" w:rsidRPr="00881C0C">
        <w:rPr>
          <w:rFonts w:asciiTheme="majorHAnsi" w:hAnsiTheme="majorHAnsi"/>
          <w:sz w:val="22"/>
          <w:szCs w:val="22"/>
        </w:rPr>
        <w:t>parte,</w:t>
      </w:r>
      <w:r w:rsidRPr="00881C0C">
        <w:rPr>
          <w:rFonts w:asciiTheme="majorHAnsi" w:hAnsiTheme="majorHAnsi"/>
          <w:sz w:val="22"/>
          <w:szCs w:val="22"/>
        </w:rPr>
        <w:t xml:space="preserve"> los modelos de financiamiento son distintos, por lo que la comparación debe tener en consideración estos elementos</w:t>
      </w:r>
      <w:r w:rsidR="00D178DA" w:rsidRPr="002E3461">
        <w:rPr>
          <w:rFonts w:asciiTheme="majorHAnsi" w:hAnsiTheme="majorHAnsi"/>
          <w:sz w:val="22"/>
          <w:szCs w:val="22"/>
        </w:rPr>
        <w:t>.</w:t>
      </w:r>
    </w:p>
    <w:p w14:paraId="1A860CC3" w14:textId="77777777" w:rsidR="002E3461" w:rsidRPr="002E3461" w:rsidRDefault="002E3461" w:rsidP="00D178DA">
      <w:pPr>
        <w:jc w:val="both"/>
        <w:rPr>
          <w:rFonts w:asciiTheme="majorHAnsi" w:hAnsiTheme="majorHAnsi"/>
          <w:sz w:val="22"/>
          <w:szCs w:val="22"/>
        </w:rPr>
      </w:pPr>
    </w:p>
    <w:p w14:paraId="23A454AE" w14:textId="38CB3C9C" w:rsidR="002E3461" w:rsidRPr="00BC2D93" w:rsidRDefault="0096655A" w:rsidP="002E3461">
      <w:pPr>
        <w:jc w:val="center"/>
        <w:rPr>
          <w:rFonts w:asciiTheme="majorHAnsi" w:hAnsiTheme="majorHAnsi"/>
          <w:b/>
          <w:sz w:val="22"/>
          <w:szCs w:val="22"/>
        </w:rPr>
      </w:pPr>
      <w:r>
        <w:rPr>
          <w:rFonts w:asciiTheme="majorHAnsi" w:hAnsiTheme="majorHAnsi"/>
          <w:b/>
          <w:sz w:val="22"/>
          <w:szCs w:val="22"/>
        </w:rPr>
        <w:t>Gráfico 2</w:t>
      </w:r>
      <w:r w:rsidR="00DF5C36">
        <w:rPr>
          <w:rFonts w:asciiTheme="majorHAnsi" w:hAnsiTheme="majorHAnsi"/>
          <w:b/>
          <w:sz w:val="22"/>
          <w:szCs w:val="22"/>
        </w:rPr>
        <w:t xml:space="preserve">: </w:t>
      </w:r>
      <w:r w:rsidR="002E3461" w:rsidRPr="00BC2D93">
        <w:rPr>
          <w:rFonts w:asciiTheme="majorHAnsi" w:hAnsiTheme="majorHAnsi"/>
          <w:b/>
          <w:sz w:val="22"/>
          <w:szCs w:val="22"/>
        </w:rPr>
        <w:t>Tendencia del Régimen Básico y Complementario</w:t>
      </w:r>
    </w:p>
    <w:p w14:paraId="4587346C" w14:textId="15AC0530" w:rsidR="00D178DA" w:rsidRPr="00BC2D93" w:rsidRDefault="00881C0C" w:rsidP="006222F6">
      <w:pPr>
        <w:jc w:val="center"/>
        <w:rPr>
          <w:rFonts w:asciiTheme="majorHAnsi" w:hAnsiTheme="majorHAnsi"/>
          <w:i/>
          <w:sz w:val="22"/>
          <w:szCs w:val="22"/>
        </w:rPr>
      </w:pPr>
      <w:r>
        <w:rPr>
          <w:rFonts w:asciiTheme="majorHAnsi" w:hAnsiTheme="majorHAnsi"/>
          <w:i/>
          <w:noProof/>
          <w:sz w:val="22"/>
          <w:szCs w:val="22"/>
        </w:rPr>
        <w:drawing>
          <wp:inline distT="0" distB="0" distL="0" distR="0" wp14:anchorId="034FB0AC" wp14:editId="2DDAC1FB">
            <wp:extent cx="3907790" cy="2359660"/>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07790" cy="2359660"/>
                    </a:xfrm>
                    <a:prstGeom prst="rect">
                      <a:avLst/>
                    </a:prstGeom>
                    <a:noFill/>
                  </pic:spPr>
                </pic:pic>
              </a:graphicData>
            </a:graphic>
          </wp:inline>
        </w:drawing>
      </w:r>
    </w:p>
    <w:p w14:paraId="145506FB" w14:textId="77777777" w:rsidR="002E3461" w:rsidRPr="006222F6" w:rsidRDefault="002E3461" w:rsidP="006222F6">
      <w:pPr>
        <w:jc w:val="both"/>
        <w:rPr>
          <w:rFonts w:asciiTheme="majorHAnsi" w:hAnsiTheme="majorHAnsi"/>
          <w:sz w:val="22"/>
          <w:szCs w:val="22"/>
        </w:rPr>
      </w:pPr>
    </w:p>
    <w:p w14:paraId="00D81964" w14:textId="77777777" w:rsidR="007E4824" w:rsidRPr="007E4824" w:rsidRDefault="007E4824" w:rsidP="007E4824">
      <w:pPr>
        <w:jc w:val="both"/>
        <w:rPr>
          <w:rFonts w:asciiTheme="majorHAnsi" w:hAnsiTheme="majorHAnsi"/>
          <w:sz w:val="22"/>
          <w:szCs w:val="22"/>
        </w:rPr>
      </w:pPr>
      <w:r w:rsidRPr="007E4824">
        <w:rPr>
          <w:rFonts w:asciiTheme="majorHAnsi" w:hAnsiTheme="majorHAnsi"/>
          <w:sz w:val="22"/>
          <w:szCs w:val="22"/>
        </w:rPr>
        <w:t>En el caso del caso del segundo pilar, aunque mayoritariamente (84,39%) está conformado por el Régimen Obligatorio de Pensiones Complementarias (ROP) existen otros fondos de carácter ocupacional a los cuales hay que consignar por su importancia relativa. A ellos se les denomina fondos ocupacionales, por estar determinados en su conformación por una relación con un empleador en particular. Estos fondos ocupacionales representan en este momento un 15,61% del segundo pilar.</w:t>
      </w:r>
    </w:p>
    <w:p w14:paraId="7D52C759" w14:textId="77777777" w:rsidR="007E4824" w:rsidRPr="007E4824" w:rsidRDefault="007E4824" w:rsidP="007E4824">
      <w:pPr>
        <w:jc w:val="both"/>
        <w:rPr>
          <w:rFonts w:asciiTheme="majorHAnsi" w:hAnsiTheme="majorHAnsi"/>
          <w:sz w:val="22"/>
          <w:szCs w:val="22"/>
        </w:rPr>
      </w:pPr>
    </w:p>
    <w:p w14:paraId="6BB6A01C" w14:textId="01FCB9CD" w:rsidR="007E4824" w:rsidRPr="007E4824" w:rsidRDefault="007E4824" w:rsidP="007E4824">
      <w:pPr>
        <w:jc w:val="both"/>
        <w:rPr>
          <w:rFonts w:asciiTheme="majorHAnsi" w:hAnsiTheme="majorHAnsi"/>
          <w:sz w:val="22"/>
          <w:szCs w:val="22"/>
        </w:rPr>
      </w:pPr>
      <w:r w:rsidRPr="007E4824">
        <w:rPr>
          <w:rFonts w:asciiTheme="majorHAnsi" w:hAnsiTheme="majorHAnsi"/>
          <w:sz w:val="22"/>
          <w:szCs w:val="22"/>
        </w:rPr>
        <w:t>La protección que otorgan los fondos ocupacionales se complementa además con el Régimen Obligatorio, es decir, los trabajadores que tienen participación en el fondo ocupacional, además de los recursos propios con sus patronos también disponen de parte del ROP. Su ROP en este caso sólo estará constituido por los traslados anuales (recursos provenientes del FCL y del Banco Popular y de Desarrollo Comunal) los c</w:t>
      </w:r>
      <w:r>
        <w:rPr>
          <w:rFonts w:asciiTheme="majorHAnsi" w:hAnsiTheme="majorHAnsi"/>
          <w:sz w:val="22"/>
          <w:szCs w:val="22"/>
        </w:rPr>
        <w:t>uales son un 2,75% del salario.</w:t>
      </w:r>
    </w:p>
    <w:p w14:paraId="58294470" w14:textId="77777777" w:rsidR="007E4824" w:rsidRPr="007E4824" w:rsidRDefault="007E4824" w:rsidP="007E4824">
      <w:pPr>
        <w:jc w:val="both"/>
        <w:rPr>
          <w:rFonts w:asciiTheme="majorHAnsi" w:hAnsiTheme="majorHAnsi"/>
          <w:sz w:val="22"/>
          <w:szCs w:val="22"/>
        </w:rPr>
      </w:pPr>
    </w:p>
    <w:p w14:paraId="5DB94B6D" w14:textId="454AFBA7" w:rsidR="00BC2D93" w:rsidRDefault="007E4824" w:rsidP="007E4824">
      <w:pPr>
        <w:jc w:val="both"/>
        <w:rPr>
          <w:rFonts w:asciiTheme="majorHAnsi" w:hAnsiTheme="majorHAnsi"/>
          <w:sz w:val="22"/>
          <w:szCs w:val="22"/>
        </w:rPr>
      </w:pPr>
      <w:r w:rsidRPr="007E4824">
        <w:rPr>
          <w:rFonts w:asciiTheme="majorHAnsi" w:hAnsiTheme="majorHAnsi"/>
          <w:sz w:val="22"/>
          <w:szCs w:val="22"/>
        </w:rPr>
        <w:t xml:space="preserve">Los fondos ocupacionales tienen dos sistemas de financiamiento, para el caso de los fondos de empleados del Banco Nacional de Costa Rica, Instituto Costarricense de Electricidad, Empleados de la Caja Costarricense de Seguro Social y Vendedores de Lotería las prestaciones son de beneficios definido (el caso de los empleados del Banco Nacional de Costa Rica, puede considerarse como mixto). Los fondos de empleados de Banco de Costa Rica, Banco Crédito Agrícola de Cartago y el Instituto Costarricense de Turismo son de capitalización individual, es </w:t>
      </w:r>
      <w:r>
        <w:rPr>
          <w:rFonts w:asciiTheme="majorHAnsi" w:hAnsiTheme="majorHAnsi"/>
          <w:sz w:val="22"/>
          <w:szCs w:val="22"/>
        </w:rPr>
        <w:t>decir, de contribución definida</w:t>
      </w:r>
      <w:r w:rsidR="00BC2D93" w:rsidRPr="00BC2D93">
        <w:rPr>
          <w:rFonts w:asciiTheme="majorHAnsi" w:hAnsiTheme="majorHAnsi"/>
          <w:sz w:val="22"/>
          <w:szCs w:val="22"/>
        </w:rPr>
        <w:t>.</w:t>
      </w:r>
    </w:p>
    <w:p w14:paraId="69716B9C" w14:textId="02EE8E0E" w:rsidR="00DF5C36" w:rsidRDefault="00DF5C36">
      <w:pPr>
        <w:rPr>
          <w:rFonts w:asciiTheme="majorHAnsi" w:hAnsiTheme="majorHAnsi"/>
          <w:sz w:val="22"/>
          <w:szCs w:val="22"/>
        </w:rPr>
      </w:pPr>
      <w:r>
        <w:rPr>
          <w:rFonts w:asciiTheme="majorHAnsi" w:hAnsiTheme="majorHAnsi"/>
          <w:sz w:val="22"/>
          <w:szCs w:val="22"/>
        </w:rPr>
        <w:br w:type="page"/>
      </w:r>
    </w:p>
    <w:p w14:paraId="14CC72C0" w14:textId="77777777" w:rsidR="00D178DA" w:rsidRDefault="00D178DA" w:rsidP="00D178DA">
      <w:pPr>
        <w:jc w:val="both"/>
        <w:rPr>
          <w:rFonts w:asciiTheme="majorHAnsi" w:hAnsiTheme="majorHAnsi"/>
          <w:sz w:val="22"/>
          <w:szCs w:val="22"/>
        </w:rPr>
      </w:pPr>
    </w:p>
    <w:p w14:paraId="5E6DECB0" w14:textId="4D48F512" w:rsidR="003926E7" w:rsidRPr="003926E7" w:rsidRDefault="00DF5C36" w:rsidP="00DF5C36">
      <w:pPr>
        <w:jc w:val="center"/>
        <w:rPr>
          <w:rFonts w:asciiTheme="majorHAnsi" w:hAnsiTheme="majorHAnsi"/>
          <w:sz w:val="22"/>
          <w:szCs w:val="22"/>
        </w:rPr>
      </w:pPr>
      <w:r>
        <w:rPr>
          <w:rFonts w:asciiTheme="majorHAnsi" w:hAnsiTheme="majorHAnsi"/>
          <w:b/>
          <w:sz w:val="22"/>
          <w:szCs w:val="22"/>
        </w:rPr>
        <w:t xml:space="preserve">Gráfico 3: </w:t>
      </w:r>
      <w:r w:rsidR="003926E7" w:rsidRPr="003926E7">
        <w:rPr>
          <w:rFonts w:asciiTheme="majorHAnsi" w:hAnsiTheme="majorHAnsi"/>
          <w:sz w:val="22"/>
          <w:szCs w:val="22"/>
        </w:rPr>
        <w:t>Activos administrados por pilar</w:t>
      </w:r>
    </w:p>
    <w:p w14:paraId="1F5371DC" w14:textId="32F75057" w:rsidR="003926E7" w:rsidRDefault="003926E7" w:rsidP="003926E7">
      <w:pPr>
        <w:jc w:val="center"/>
        <w:rPr>
          <w:rFonts w:asciiTheme="majorHAnsi" w:hAnsiTheme="majorHAnsi"/>
          <w:sz w:val="22"/>
          <w:szCs w:val="22"/>
        </w:rPr>
      </w:pPr>
      <w:r w:rsidRPr="003926E7">
        <w:rPr>
          <w:rFonts w:asciiTheme="majorHAnsi" w:hAnsiTheme="majorHAnsi"/>
          <w:sz w:val="22"/>
          <w:szCs w:val="22"/>
        </w:rPr>
        <w:t xml:space="preserve">Cifras a </w:t>
      </w:r>
      <w:r w:rsidR="007E4824">
        <w:rPr>
          <w:rFonts w:asciiTheme="majorHAnsi" w:hAnsiTheme="majorHAnsi"/>
          <w:sz w:val="22"/>
          <w:szCs w:val="22"/>
        </w:rPr>
        <w:t>junio</w:t>
      </w:r>
      <w:r w:rsidRPr="003926E7">
        <w:rPr>
          <w:rFonts w:asciiTheme="majorHAnsi" w:hAnsiTheme="majorHAnsi"/>
          <w:sz w:val="22"/>
          <w:szCs w:val="22"/>
        </w:rPr>
        <w:t xml:space="preserve"> 2016</w:t>
      </w:r>
    </w:p>
    <w:p w14:paraId="4D0A1AB1" w14:textId="295E99A4" w:rsidR="007E4824" w:rsidRDefault="007E4824" w:rsidP="003926E7">
      <w:pPr>
        <w:jc w:val="center"/>
        <w:rPr>
          <w:rFonts w:asciiTheme="majorHAnsi" w:hAnsiTheme="majorHAnsi"/>
          <w:sz w:val="22"/>
          <w:szCs w:val="22"/>
        </w:rPr>
      </w:pPr>
      <w:r>
        <w:rPr>
          <w:rFonts w:ascii="Calibri" w:eastAsia="Arial Unicode MS" w:hAnsi="Calibri" w:cs="Arial Unicode MS"/>
          <w:noProof/>
          <w:color w:val="000000"/>
        </w:rPr>
        <w:drawing>
          <wp:inline distT="0" distB="0" distL="0" distR="0" wp14:anchorId="2D38DF21" wp14:editId="79D4B174">
            <wp:extent cx="5610225" cy="33813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3381375"/>
                    </a:xfrm>
                    <a:prstGeom prst="rect">
                      <a:avLst/>
                    </a:prstGeom>
                    <a:noFill/>
                    <a:ln>
                      <a:noFill/>
                    </a:ln>
                  </pic:spPr>
                </pic:pic>
              </a:graphicData>
            </a:graphic>
          </wp:inline>
        </w:drawing>
      </w:r>
    </w:p>
    <w:p w14:paraId="17AED643" w14:textId="77777777" w:rsidR="007E4824" w:rsidRDefault="007E4824" w:rsidP="003926E7">
      <w:pPr>
        <w:jc w:val="center"/>
        <w:rPr>
          <w:rFonts w:asciiTheme="majorHAnsi" w:hAnsiTheme="majorHAnsi"/>
          <w:sz w:val="22"/>
          <w:szCs w:val="22"/>
        </w:rPr>
      </w:pPr>
    </w:p>
    <w:p w14:paraId="7D338A44" w14:textId="77777777" w:rsidR="003926E7" w:rsidRDefault="003926E7" w:rsidP="00D178DA">
      <w:pPr>
        <w:jc w:val="both"/>
        <w:rPr>
          <w:rFonts w:asciiTheme="majorHAnsi" w:hAnsiTheme="majorHAnsi"/>
          <w:sz w:val="22"/>
          <w:szCs w:val="22"/>
        </w:rPr>
      </w:pPr>
    </w:p>
    <w:p w14:paraId="6FA3B63D" w14:textId="0A94129C" w:rsidR="007E4824" w:rsidRDefault="0006243B" w:rsidP="001859A8">
      <w:pPr>
        <w:jc w:val="both"/>
        <w:rPr>
          <w:sz w:val="23"/>
          <w:szCs w:val="23"/>
        </w:rPr>
      </w:pPr>
      <w:r w:rsidRPr="007E4824">
        <w:rPr>
          <w:sz w:val="23"/>
          <w:szCs w:val="23"/>
        </w:rPr>
        <w:t>Finalmente,</w:t>
      </w:r>
      <w:r w:rsidR="007E4824" w:rsidRPr="007E4824">
        <w:rPr>
          <w:sz w:val="23"/>
          <w:szCs w:val="23"/>
        </w:rPr>
        <w:t xml:space="preserve"> en el caso del FCL, corresponde a recursos de ahorro laboral y por lo tanto no forma parte del SNP lo cual hace que deba separarse en el análisis. Actualmente el fondo administra 0,41 billones de colones.</w:t>
      </w:r>
    </w:p>
    <w:p w14:paraId="2E6694ED" w14:textId="77777777" w:rsidR="007E4824" w:rsidRDefault="007E4824" w:rsidP="001859A8">
      <w:pPr>
        <w:jc w:val="both"/>
        <w:rPr>
          <w:rFonts w:asciiTheme="majorHAnsi" w:hAnsiTheme="majorHAnsi"/>
          <w:sz w:val="22"/>
          <w:szCs w:val="22"/>
        </w:rPr>
      </w:pPr>
    </w:p>
    <w:p w14:paraId="79EB3301" w14:textId="77777777" w:rsidR="00C9018E" w:rsidRPr="00F8652C" w:rsidRDefault="00C9018E" w:rsidP="0011091F">
      <w:pPr>
        <w:rPr>
          <w:rFonts w:asciiTheme="majorHAnsi" w:hAnsiTheme="majorHAnsi"/>
          <w:b/>
          <w:sz w:val="22"/>
          <w:szCs w:val="22"/>
        </w:rPr>
      </w:pPr>
      <w:bookmarkStart w:id="8" w:name="_Toc363657141"/>
      <w:r w:rsidRPr="00F8652C">
        <w:rPr>
          <w:rFonts w:asciiTheme="majorHAnsi" w:hAnsiTheme="majorHAnsi"/>
          <w:b/>
          <w:sz w:val="22"/>
          <w:szCs w:val="22"/>
        </w:rPr>
        <w:t>Rentabilidades</w:t>
      </w:r>
      <w:bookmarkEnd w:id="8"/>
    </w:p>
    <w:p w14:paraId="5B9B9176" w14:textId="77777777" w:rsidR="00C60E6C" w:rsidRPr="00C60E6C" w:rsidRDefault="00C60E6C" w:rsidP="00C60E6C">
      <w:pPr>
        <w:jc w:val="both"/>
        <w:rPr>
          <w:sz w:val="23"/>
          <w:szCs w:val="23"/>
        </w:rPr>
      </w:pPr>
    </w:p>
    <w:p w14:paraId="5D26207A" w14:textId="77777777" w:rsidR="000E281E" w:rsidRPr="000E281E" w:rsidRDefault="000E281E" w:rsidP="000E281E">
      <w:pPr>
        <w:jc w:val="both"/>
        <w:rPr>
          <w:sz w:val="23"/>
          <w:szCs w:val="23"/>
        </w:rPr>
      </w:pPr>
      <w:r w:rsidRPr="000E281E">
        <w:rPr>
          <w:sz w:val="23"/>
          <w:szCs w:val="23"/>
        </w:rPr>
        <w:t xml:space="preserve">Las rentabilidades a un año plazo desde el 2010 muestran variaciones importantes durante el período, tal y como se aprecia en los siguientes gráficos. El cálculo de la rentabilidad es sensible a cambios en los niveles internos de tasas de interés debido a la afectación de estas al ser expresados según su valor razonable a precios de mercado. </w:t>
      </w:r>
    </w:p>
    <w:p w14:paraId="1AB8CC0D" w14:textId="77777777" w:rsidR="000E281E" w:rsidRPr="000E281E" w:rsidRDefault="000E281E" w:rsidP="000E281E">
      <w:pPr>
        <w:jc w:val="both"/>
        <w:rPr>
          <w:sz w:val="23"/>
          <w:szCs w:val="23"/>
        </w:rPr>
      </w:pPr>
    </w:p>
    <w:p w14:paraId="3E78DF7F" w14:textId="77777777" w:rsidR="000E281E" w:rsidRPr="000E281E" w:rsidRDefault="000E281E" w:rsidP="000E281E">
      <w:pPr>
        <w:jc w:val="both"/>
        <w:rPr>
          <w:sz w:val="23"/>
          <w:szCs w:val="23"/>
        </w:rPr>
      </w:pPr>
      <w:r w:rsidRPr="000E281E">
        <w:rPr>
          <w:sz w:val="23"/>
          <w:szCs w:val="23"/>
        </w:rPr>
        <w:t>Los fondos con inversiones en valores extranjeros son los que presentan mayores variaciones, con respecto al comportamiento de un mes a otro y con respecto a los demás fondos similares.</w:t>
      </w:r>
    </w:p>
    <w:p w14:paraId="3E22DDA2" w14:textId="77777777" w:rsidR="000E281E" w:rsidRPr="000E281E" w:rsidRDefault="000E281E" w:rsidP="000E281E">
      <w:pPr>
        <w:jc w:val="both"/>
        <w:rPr>
          <w:sz w:val="23"/>
          <w:szCs w:val="23"/>
        </w:rPr>
      </w:pPr>
    </w:p>
    <w:p w14:paraId="190A38C7" w14:textId="5A9D692A" w:rsidR="00C60E6C" w:rsidRDefault="000E281E" w:rsidP="000E281E">
      <w:pPr>
        <w:jc w:val="both"/>
        <w:rPr>
          <w:sz w:val="23"/>
          <w:szCs w:val="23"/>
        </w:rPr>
      </w:pPr>
      <w:r w:rsidRPr="000E281E">
        <w:rPr>
          <w:sz w:val="23"/>
          <w:szCs w:val="23"/>
        </w:rPr>
        <w:t>Según se puede apreciar en la siguiente ilustración, las rentabilidades reales anuales han venido en descenso desde principio de año, principalmente por disminución en el valor de las carteras. El fondo voluntario B colones presenta menor tamaño, en cuanto a fondos administrados, sin embargo, muestra rentabilidades reales más altas.</w:t>
      </w:r>
    </w:p>
    <w:p w14:paraId="63D85DE0" w14:textId="33B1CC83" w:rsidR="00DF5C36" w:rsidRDefault="00DF5C36">
      <w:pPr>
        <w:rPr>
          <w:sz w:val="23"/>
          <w:szCs w:val="23"/>
        </w:rPr>
      </w:pPr>
      <w:r>
        <w:rPr>
          <w:sz w:val="23"/>
          <w:szCs w:val="23"/>
        </w:rPr>
        <w:br w:type="page"/>
      </w:r>
    </w:p>
    <w:p w14:paraId="46FF8166" w14:textId="77777777" w:rsidR="000E281E" w:rsidRDefault="000E281E" w:rsidP="000E281E">
      <w:pPr>
        <w:jc w:val="both"/>
        <w:rPr>
          <w:sz w:val="23"/>
          <w:szCs w:val="23"/>
        </w:rPr>
      </w:pPr>
    </w:p>
    <w:p w14:paraId="3307CC43" w14:textId="73EBAF52" w:rsidR="000E281E" w:rsidRPr="000E281E" w:rsidRDefault="00DF5C36" w:rsidP="000E281E">
      <w:pPr>
        <w:jc w:val="center"/>
        <w:rPr>
          <w:b/>
          <w:sz w:val="23"/>
          <w:szCs w:val="23"/>
        </w:rPr>
      </w:pPr>
      <w:r>
        <w:rPr>
          <w:b/>
          <w:sz w:val="23"/>
          <w:szCs w:val="23"/>
        </w:rPr>
        <w:t>Gráfico 4</w:t>
      </w:r>
      <w:r w:rsidR="007C24E4" w:rsidRPr="00070E47">
        <w:rPr>
          <w:b/>
          <w:sz w:val="23"/>
          <w:szCs w:val="23"/>
        </w:rPr>
        <w:t xml:space="preserve">: </w:t>
      </w:r>
      <w:r w:rsidR="000E281E" w:rsidRPr="000E281E">
        <w:rPr>
          <w:b/>
          <w:sz w:val="23"/>
          <w:szCs w:val="23"/>
        </w:rPr>
        <w:t>Rentabilidades Real Anual de Fondos Colones</w:t>
      </w:r>
    </w:p>
    <w:p w14:paraId="597812AF" w14:textId="4D33F025" w:rsidR="00C60E6C" w:rsidRPr="00070E47" w:rsidRDefault="000E281E" w:rsidP="000E281E">
      <w:pPr>
        <w:jc w:val="center"/>
        <w:rPr>
          <w:b/>
          <w:sz w:val="23"/>
          <w:szCs w:val="23"/>
        </w:rPr>
      </w:pPr>
      <w:r w:rsidRPr="000E281E">
        <w:rPr>
          <w:b/>
          <w:sz w:val="23"/>
          <w:szCs w:val="23"/>
        </w:rPr>
        <w:t>Ene-2010 a Jun-2016</w:t>
      </w:r>
    </w:p>
    <w:p w14:paraId="6D7E412C" w14:textId="3820CBA1" w:rsidR="00C60E6C" w:rsidRDefault="00F91115" w:rsidP="00C60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color w:val="000000"/>
          <w:sz w:val="22"/>
          <w:szCs w:val="22"/>
          <w:highlight w:val="yellow"/>
        </w:rPr>
      </w:pPr>
      <w:r>
        <w:rPr>
          <w:rFonts w:asciiTheme="majorHAnsi" w:hAnsiTheme="majorHAnsi" w:cs="Courier New"/>
          <w:noProof/>
          <w:color w:val="000000"/>
          <w:sz w:val="22"/>
          <w:szCs w:val="22"/>
        </w:rPr>
        <w:drawing>
          <wp:inline distT="0" distB="0" distL="0" distR="0" wp14:anchorId="5D30B3B5" wp14:editId="16C81139">
            <wp:extent cx="4165600" cy="2376480"/>
            <wp:effectExtent l="0" t="0" r="635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74858" cy="2381762"/>
                    </a:xfrm>
                    <a:prstGeom prst="rect">
                      <a:avLst/>
                    </a:prstGeom>
                    <a:noFill/>
                  </pic:spPr>
                </pic:pic>
              </a:graphicData>
            </a:graphic>
          </wp:inline>
        </w:drawing>
      </w:r>
    </w:p>
    <w:p w14:paraId="6980736B" w14:textId="77777777" w:rsidR="000E281E" w:rsidRDefault="000E281E" w:rsidP="00C60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color w:val="000000"/>
          <w:sz w:val="22"/>
          <w:szCs w:val="22"/>
          <w:highlight w:val="yellow"/>
        </w:rPr>
      </w:pPr>
    </w:p>
    <w:p w14:paraId="5C1A4442" w14:textId="77777777" w:rsidR="000E281E" w:rsidRDefault="000E281E" w:rsidP="00C60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color w:val="000000"/>
          <w:sz w:val="22"/>
          <w:szCs w:val="22"/>
          <w:highlight w:val="yellow"/>
        </w:rPr>
      </w:pPr>
    </w:p>
    <w:p w14:paraId="4860BC02" w14:textId="6560B5FF" w:rsidR="000E281E" w:rsidRPr="00DF5C36"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b/>
          <w:color w:val="000000"/>
          <w:sz w:val="22"/>
          <w:szCs w:val="22"/>
        </w:rPr>
      </w:pPr>
      <w:r w:rsidRPr="00DF5C36">
        <w:rPr>
          <w:rFonts w:asciiTheme="majorHAnsi" w:hAnsiTheme="majorHAnsi" w:cs="Courier New"/>
          <w:b/>
          <w:color w:val="000000"/>
          <w:sz w:val="22"/>
          <w:szCs w:val="22"/>
        </w:rPr>
        <w:t>Gr</w:t>
      </w:r>
      <w:r w:rsidR="00DF5C36" w:rsidRPr="00DF5C36">
        <w:rPr>
          <w:rFonts w:asciiTheme="majorHAnsi" w:hAnsiTheme="majorHAnsi" w:cs="Courier New"/>
          <w:b/>
          <w:color w:val="000000"/>
          <w:sz w:val="22"/>
          <w:szCs w:val="22"/>
        </w:rPr>
        <w:t>áfico 5</w:t>
      </w:r>
      <w:r w:rsidRPr="00DF5C36">
        <w:rPr>
          <w:rFonts w:asciiTheme="majorHAnsi" w:hAnsiTheme="majorHAnsi" w:cs="Courier New"/>
          <w:b/>
          <w:color w:val="000000"/>
          <w:sz w:val="22"/>
          <w:szCs w:val="22"/>
        </w:rPr>
        <w:t>: Rentabilidades Históricas Fondos Dólares</w:t>
      </w:r>
    </w:p>
    <w:p w14:paraId="7127D5A2" w14:textId="395CD2DC" w:rsidR="000E281E" w:rsidRPr="00DF5C36"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b/>
          <w:color w:val="000000"/>
          <w:sz w:val="22"/>
          <w:szCs w:val="22"/>
          <w:highlight w:val="yellow"/>
        </w:rPr>
      </w:pPr>
      <w:r w:rsidRPr="00DF5C36">
        <w:rPr>
          <w:rFonts w:asciiTheme="majorHAnsi" w:hAnsiTheme="majorHAnsi" w:cs="Courier New"/>
          <w:b/>
          <w:color w:val="000000"/>
          <w:sz w:val="22"/>
          <w:szCs w:val="22"/>
        </w:rPr>
        <w:t xml:space="preserve">Ene-2010 a </w:t>
      </w:r>
      <w:r w:rsidR="00F91115">
        <w:rPr>
          <w:rFonts w:asciiTheme="majorHAnsi" w:hAnsiTheme="majorHAnsi" w:cs="Courier New"/>
          <w:b/>
          <w:color w:val="000000"/>
          <w:sz w:val="22"/>
          <w:szCs w:val="22"/>
        </w:rPr>
        <w:t>Jun</w:t>
      </w:r>
      <w:r w:rsidRPr="00DF5C36">
        <w:rPr>
          <w:rFonts w:asciiTheme="majorHAnsi" w:hAnsiTheme="majorHAnsi" w:cs="Courier New"/>
          <w:b/>
          <w:color w:val="000000"/>
          <w:sz w:val="22"/>
          <w:szCs w:val="22"/>
        </w:rPr>
        <w:t>-2016</w:t>
      </w:r>
    </w:p>
    <w:p w14:paraId="295ACD7A" w14:textId="373838F6" w:rsidR="000E281E" w:rsidRDefault="00F91115" w:rsidP="00C60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color w:val="000000"/>
          <w:sz w:val="22"/>
          <w:szCs w:val="22"/>
          <w:highlight w:val="yellow"/>
        </w:rPr>
      </w:pPr>
      <w:r>
        <w:rPr>
          <w:rFonts w:asciiTheme="majorHAnsi" w:hAnsiTheme="majorHAnsi" w:cs="Courier New"/>
          <w:noProof/>
          <w:color w:val="000000"/>
          <w:sz w:val="22"/>
          <w:szCs w:val="22"/>
        </w:rPr>
        <w:drawing>
          <wp:inline distT="0" distB="0" distL="0" distR="0" wp14:anchorId="02EE0D69" wp14:editId="08557951">
            <wp:extent cx="4038600" cy="2255351"/>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46377" cy="2259694"/>
                    </a:xfrm>
                    <a:prstGeom prst="rect">
                      <a:avLst/>
                    </a:prstGeom>
                    <a:noFill/>
                  </pic:spPr>
                </pic:pic>
              </a:graphicData>
            </a:graphic>
          </wp:inline>
        </w:drawing>
      </w:r>
    </w:p>
    <w:p w14:paraId="1B898043" w14:textId="77777777" w:rsidR="000E281E" w:rsidRDefault="000E281E" w:rsidP="00C60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Courier New"/>
          <w:color w:val="000000"/>
          <w:sz w:val="22"/>
          <w:szCs w:val="22"/>
          <w:highlight w:val="yellow"/>
        </w:rPr>
      </w:pPr>
    </w:p>
    <w:p w14:paraId="76BB9042" w14:textId="0395CA15" w:rsidR="00036346" w:rsidRPr="00677AF5" w:rsidRDefault="00036346" w:rsidP="00036346">
      <w:pPr>
        <w:pStyle w:val="Descripcin"/>
        <w:spacing w:before="0" w:after="0"/>
        <w:jc w:val="center"/>
        <w:rPr>
          <w:sz w:val="22"/>
          <w:szCs w:val="22"/>
        </w:rPr>
      </w:pPr>
      <w:bookmarkStart w:id="9" w:name="_Toc426449336"/>
      <w:r w:rsidRPr="007C24E4">
        <w:rPr>
          <w:sz w:val="22"/>
          <w:szCs w:val="22"/>
        </w:rPr>
        <w:t xml:space="preserve">Cuadro </w:t>
      </w:r>
      <w:r w:rsidR="007C24E4" w:rsidRPr="007C24E4">
        <w:rPr>
          <w:sz w:val="22"/>
          <w:szCs w:val="22"/>
        </w:rPr>
        <w:t>2</w:t>
      </w:r>
      <w:r w:rsidRPr="007C24E4">
        <w:rPr>
          <w:sz w:val="22"/>
          <w:szCs w:val="22"/>
        </w:rPr>
        <w:t>: Portafolios por Sector. Cifras Porcentuales</w:t>
      </w:r>
      <w:bookmarkEnd w:id="9"/>
    </w:p>
    <w:p w14:paraId="149A2831" w14:textId="0BB46538" w:rsidR="00036346" w:rsidRPr="005C6548" w:rsidRDefault="005C6548" w:rsidP="00036346">
      <w:pPr>
        <w:pStyle w:val="Descripcin"/>
        <w:spacing w:before="0" w:after="0"/>
        <w:jc w:val="center"/>
        <w:rPr>
          <w:sz w:val="22"/>
          <w:szCs w:val="22"/>
          <w:lang w:eastAsia="es-ES"/>
        </w:rPr>
      </w:pPr>
      <w:r w:rsidRPr="005C6548">
        <w:rPr>
          <w:sz w:val="22"/>
          <w:szCs w:val="22"/>
        </w:rPr>
        <w:t>30 de junio 2016</w:t>
      </w:r>
    </w:p>
    <w:tbl>
      <w:tblPr>
        <w:tblW w:w="6070" w:type="dxa"/>
        <w:jc w:val="center"/>
        <w:tblCellMar>
          <w:left w:w="70" w:type="dxa"/>
          <w:right w:w="70" w:type="dxa"/>
        </w:tblCellMar>
        <w:tblLook w:val="04A0" w:firstRow="1" w:lastRow="0" w:firstColumn="1" w:lastColumn="0" w:noHBand="0" w:noVBand="1"/>
      </w:tblPr>
      <w:tblGrid>
        <w:gridCol w:w="2410"/>
        <w:gridCol w:w="869"/>
        <w:gridCol w:w="869"/>
        <w:gridCol w:w="1231"/>
        <w:gridCol w:w="1231"/>
      </w:tblGrid>
      <w:tr w:rsidR="00036346" w:rsidRPr="00E17B39" w14:paraId="1F344B57" w14:textId="77777777" w:rsidTr="00F52DA2">
        <w:trPr>
          <w:trHeight w:val="149"/>
          <w:jc w:val="center"/>
        </w:trPr>
        <w:tc>
          <w:tcPr>
            <w:tcW w:w="2410" w:type="dxa"/>
            <w:tcBorders>
              <w:top w:val="single" w:sz="4" w:space="0" w:color="auto"/>
              <w:left w:val="nil"/>
              <w:bottom w:val="single" w:sz="4" w:space="0" w:color="auto"/>
              <w:right w:val="nil"/>
            </w:tcBorders>
            <w:shd w:val="clear" w:color="000000" w:fill="FFFFFF"/>
            <w:noWrap/>
            <w:vAlign w:val="center"/>
            <w:hideMark/>
          </w:tcPr>
          <w:p w14:paraId="7904AF26" w14:textId="77777777" w:rsidR="00036346" w:rsidRPr="00E17B39" w:rsidRDefault="00036346" w:rsidP="003D2E9C">
            <w:pPr>
              <w:rPr>
                <w:rFonts w:asciiTheme="majorHAnsi" w:eastAsia="Arial Unicode MS" w:hAnsiTheme="majorHAnsi" w:cs="Arial Unicode MS"/>
                <w:b/>
                <w:bCs/>
                <w:color w:val="000000"/>
                <w:sz w:val="22"/>
                <w:szCs w:val="22"/>
              </w:rPr>
            </w:pPr>
            <w:r w:rsidRPr="00E17B39">
              <w:rPr>
                <w:rFonts w:asciiTheme="majorHAnsi" w:eastAsia="Arial Unicode MS" w:hAnsiTheme="majorHAnsi" w:cs="Arial Unicode MS"/>
                <w:b/>
                <w:bCs/>
                <w:color w:val="000000"/>
                <w:sz w:val="22"/>
                <w:szCs w:val="22"/>
              </w:rPr>
              <w:t> </w:t>
            </w:r>
          </w:p>
        </w:tc>
        <w:tc>
          <w:tcPr>
            <w:tcW w:w="869" w:type="dxa"/>
            <w:tcBorders>
              <w:top w:val="single" w:sz="4" w:space="0" w:color="auto"/>
              <w:left w:val="nil"/>
              <w:bottom w:val="single" w:sz="4" w:space="0" w:color="auto"/>
              <w:right w:val="nil"/>
            </w:tcBorders>
            <w:shd w:val="clear" w:color="000000" w:fill="FFFFFF"/>
            <w:noWrap/>
            <w:vAlign w:val="center"/>
            <w:hideMark/>
          </w:tcPr>
          <w:p w14:paraId="43C02C5B" w14:textId="50CCDF9D" w:rsidR="00036346" w:rsidRPr="00E17B39" w:rsidRDefault="007C24E4" w:rsidP="00E17B39">
            <w:pPr>
              <w:spacing w:line="276" w:lineRule="auto"/>
              <w:jc w:val="center"/>
              <w:rPr>
                <w:rFonts w:asciiTheme="majorHAnsi" w:eastAsia="Arial Unicode MS" w:hAnsiTheme="majorHAnsi" w:cs="Arial Unicode MS"/>
                <w:b/>
                <w:bCs/>
                <w:color w:val="000000"/>
                <w:sz w:val="22"/>
                <w:szCs w:val="22"/>
              </w:rPr>
            </w:pPr>
            <w:r>
              <w:rPr>
                <w:rFonts w:asciiTheme="majorHAnsi" w:eastAsia="Arial Unicode MS" w:hAnsiTheme="majorHAnsi" w:cs="Arial Unicode MS"/>
                <w:b/>
                <w:bCs/>
                <w:color w:val="000000"/>
                <w:sz w:val="22"/>
                <w:szCs w:val="22"/>
              </w:rPr>
              <w:t>FCL</w:t>
            </w:r>
          </w:p>
        </w:tc>
        <w:tc>
          <w:tcPr>
            <w:tcW w:w="869" w:type="dxa"/>
            <w:tcBorders>
              <w:top w:val="single" w:sz="4" w:space="0" w:color="auto"/>
              <w:left w:val="nil"/>
              <w:bottom w:val="single" w:sz="4" w:space="0" w:color="auto"/>
              <w:right w:val="nil"/>
            </w:tcBorders>
            <w:shd w:val="clear" w:color="000000" w:fill="FFFFFF"/>
            <w:noWrap/>
            <w:vAlign w:val="center"/>
            <w:hideMark/>
          </w:tcPr>
          <w:p w14:paraId="3E727A19" w14:textId="58C9CD11" w:rsidR="00036346" w:rsidRPr="00E17B39" w:rsidRDefault="007C24E4" w:rsidP="00E17B39">
            <w:pPr>
              <w:spacing w:line="276" w:lineRule="auto"/>
              <w:jc w:val="center"/>
              <w:rPr>
                <w:rFonts w:asciiTheme="majorHAnsi" w:eastAsia="Arial Unicode MS" w:hAnsiTheme="majorHAnsi" w:cs="Arial Unicode MS"/>
                <w:b/>
                <w:bCs/>
                <w:color w:val="000000"/>
                <w:sz w:val="22"/>
                <w:szCs w:val="22"/>
              </w:rPr>
            </w:pPr>
            <w:r>
              <w:rPr>
                <w:rFonts w:asciiTheme="majorHAnsi" w:eastAsia="Arial Unicode MS" w:hAnsiTheme="majorHAnsi" w:cs="Arial Unicode MS"/>
                <w:b/>
                <w:bCs/>
                <w:color w:val="000000"/>
                <w:sz w:val="22"/>
                <w:szCs w:val="22"/>
              </w:rPr>
              <w:t>ROP</w:t>
            </w:r>
          </w:p>
        </w:tc>
        <w:tc>
          <w:tcPr>
            <w:tcW w:w="961" w:type="dxa"/>
            <w:tcBorders>
              <w:top w:val="single" w:sz="4" w:space="0" w:color="auto"/>
              <w:left w:val="nil"/>
              <w:bottom w:val="single" w:sz="4" w:space="0" w:color="auto"/>
              <w:right w:val="nil"/>
            </w:tcBorders>
            <w:shd w:val="clear" w:color="000000" w:fill="FFFFFF"/>
            <w:noWrap/>
            <w:vAlign w:val="center"/>
            <w:hideMark/>
          </w:tcPr>
          <w:p w14:paraId="48C2DF28" w14:textId="151CF9CD" w:rsidR="00036346" w:rsidRPr="00E17B39" w:rsidRDefault="007C24E4" w:rsidP="007C24E4">
            <w:pPr>
              <w:spacing w:line="276" w:lineRule="auto"/>
              <w:rPr>
                <w:rFonts w:asciiTheme="majorHAnsi" w:eastAsia="Arial Unicode MS" w:hAnsiTheme="majorHAnsi" w:cs="Arial Unicode MS"/>
                <w:b/>
                <w:bCs/>
                <w:color w:val="000000"/>
                <w:sz w:val="22"/>
                <w:szCs w:val="22"/>
              </w:rPr>
            </w:pPr>
            <w:r>
              <w:rPr>
                <w:rFonts w:asciiTheme="majorHAnsi" w:eastAsia="Arial Unicode MS" w:hAnsiTheme="majorHAnsi" w:cs="Arial Unicode MS"/>
                <w:b/>
                <w:bCs/>
                <w:color w:val="000000"/>
                <w:sz w:val="22"/>
                <w:szCs w:val="22"/>
              </w:rPr>
              <w:t>V</w:t>
            </w:r>
            <w:r w:rsidR="00036346" w:rsidRPr="00E17B39">
              <w:rPr>
                <w:rFonts w:asciiTheme="majorHAnsi" w:eastAsia="Arial Unicode MS" w:hAnsiTheme="majorHAnsi" w:cs="Arial Unicode MS"/>
                <w:b/>
                <w:bCs/>
                <w:color w:val="000000"/>
                <w:sz w:val="22"/>
                <w:szCs w:val="22"/>
              </w:rPr>
              <w:t>ol</w:t>
            </w:r>
            <w:r>
              <w:rPr>
                <w:rFonts w:asciiTheme="majorHAnsi" w:eastAsia="Arial Unicode MS" w:hAnsiTheme="majorHAnsi" w:cs="Arial Unicode MS"/>
                <w:b/>
                <w:bCs/>
                <w:color w:val="000000"/>
                <w:sz w:val="22"/>
                <w:szCs w:val="22"/>
              </w:rPr>
              <w:t>untario</w:t>
            </w:r>
            <w:r w:rsidR="00036346" w:rsidRPr="00E17B39">
              <w:rPr>
                <w:rFonts w:asciiTheme="majorHAnsi" w:eastAsia="Arial Unicode MS" w:hAnsiTheme="majorHAnsi" w:cs="Arial Unicode MS"/>
                <w:b/>
                <w:bCs/>
                <w:color w:val="000000"/>
                <w:sz w:val="22"/>
                <w:szCs w:val="22"/>
              </w:rPr>
              <w:t xml:space="preserve"> Col</w:t>
            </w:r>
            <w:r>
              <w:rPr>
                <w:rFonts w:asciiTheme="majorHAnsi" w:eastAsia="Arial Unicode MS" w:hAnsiTheme="majorHAnsi" w:cs="Arial Unicode MS"/>
                <w:b/>
                <w:bCs/>
                <w:color w:val="000000"/>
                <w:sz w:val="22"/>
                <w:szCs w:val="22"/>
              </w:rPr>
              <w:t>ones</w:t>
            </w:r>
          </w:p>
        </w:tc>
        <w:tc>
          <w:tcPr>
            <w:tcW w:w="961" w:type="dxa"/>
            <w:tcBorders>
              <w:top w:val="single" w:sz="4" w:space="0" w:color="auto"/>
              <w:left w:val="nil"/>
              <w:bottom w:val="single" w:sz="4" w:space="0" w:color="auto"/>
              <w:right w:val="nil"/>
            </w:tcBorders>
            <w:shd w:val="clear" w:color="000000" w:fill="FFFFFF"/>
            <w:noWrap/>
            <w:vAlign w:val="center"/>
            <w:hideMark/>
          </w:tcPr>
          <w:p w14:paraId="76F7E5B5" w14:textId="13A7DF9A" w:rsidR="00036346" w:rsidRPr="00E17B39" w:rsidRDefault="00036346" w:rsidP="00E17B39">
            <w:pPr>
              <w:spacing w:line="276" w:lineRule="auto"/>
              <w:jc w:val="center"/>
              <w:rPr>
                <w:rFonts w:asciiTheme="majorHAnsi" w:eastAsia="Arial Unicode MS" w:hAnsiTheme="majorHAnsi" w:cs="Arial Unicode MS"/>
                <w:b/>
                <w:bCs/>
                <w:color w:val="000000"/>
                <w:sz w:val="22"/>
                <w:szCs w:val="22"/>
              </w:rPr>
            </w:pPr>
            <w:r w:rsidRPr="00E17B39">
              <w:rPr>
                <w:rFonts w:asciiTheme="majorHAnsi" w:eastAsia="Arial Unicode MS" w:hAnsiTheme="majorHAnsi" w:cs="Arial Unicode MS"/>
                <w:b/>
                <w:bCs/>
                <w:color w:val="000000"/>
                <w:sz w:val="22"/>
                <w:szCs w:val="22"/>
              </w:rPr>
              <w:t>Vol</w:t>
            </w:r>
            <w:r w:rsidR="007C24E4">
              <w:rPr>
                <w:rFonts w:asciiTheme="majorHAnsi" w:eastAsia="Arial Unicode MS" w:hAnsiTheme="majorHAnsi" w:cs="Arial Unicode MS"/>
                <w:b/>
                <w:bCs/>
                <w:color w:val="000000"/>
                <w:sz w:val="22"/>
                <w:szCs w:val="22"/>
              </w:rPr>
              <w:t>untario Dólares</w:t>
            </w:r>
          </w:p>
        </w:tc>
      </w:tr>
      <w:tr w:rsidR="005A774B" w:rsidRPr="00E17B39" w14:paraId="75EAB496" w14:textId="77777777" w:rsidTr="00E17B39">
        <w:trPr>
          <w:trHeight w:val="149"/>
          <w:jc w:val="center"/>
        </w:trPr>
        <w:tc>
          <w:tcPr>
            <w:tcW w:w="2410" w:type="dxa"/>
            <w:tcBorders>
              <w:top w:val="nil"/>
              <w:left w:val="nil"/>
              <w:bottom w:val="nil"/>
              <w:right w:val="nil"/>
            </w:tcBorders>
            <w:shd w:val="clear" w:color="000000" w:fill="FFFFFF"/>
            <w:noWrap/>
            <w:vAlign w:val="center"/>
            <w:hideMark/>
          </w:tcPr>
          <w:p w14:paraId="343B0260" w14:textId="77777777" w:rsidR="005A774B" w:rsidRPr="00E17B39" w:rsidRDefault="005A774B" w:rsidP="00E17B39">
            <w:pPr>
              <w:spacing w:line="276" w:lineRule="auto"/>
              <w:rPr>
                <w:rFonts w:asciiTheme="majorHAnsi" w:eastAsia="Arial Unicode MS" w:hAnsiTheme="majorHAnsi" w:cs="Arial Unicode MS"/>
                <w:color w:val="000000"/>
                <w:sz w:val="22"/>
                <w:szCs w:val="22"/>
              </w:rPr>
            </w:pPr>
            <w:r w:rsidRPr="00E17B39">
              <w:rPr>
                <w:rFonts w:asciiTheme="majorHAnsi" w:eastAsia="Arial Unicode MS" w:hAnsiTheme="majorHAnsi" w:cs="Arial Unicode MS"/>
                <w:color w:val="000000"/>
                <w:sz w:val="22"/>
                <w:szCs w:val="22"/>
              </w:rPr>
              <w:t xml:space="preserve">Extranjero  </w:t>
            </w:r>
          </w:p>
        </w:tc>
        <w:tc>
          <w:tcPr>
            <w:tcW w:w="869" w:type="dxa"/>
            <w:tcBorders>
              <w:top w:val="nil"/>
              <w:left w:val="nil"/>
              <w:bottom w:val="nil"/>
              <w:right w:val="nil"/>
            </w:tcBorders>
            <w:shd w:val="clear" w:color="000000" w:fill="FFFFFF"/>
            <w:noWrap/>
            <w:hideMark/>
          </w:tcPr>
          <w:p w14:paraId="56D6F870" w14:textId="63796347"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0,73%</w:t>
            </w:r>
          </w:p>
        </w:tc>
        <w:tc>
          <w:tcPr>
            <w:tcW w:w="869" w:type="dxa"/>
            <w:tcBorders>
              <w:top w:val="nil"/>
              <w:left w:val="nil"/>
              <w:bottom w:val="nil"/>
              <w:right w:val="nil"/>
            </w:tcBorders>
            <w:shd w:val="clear" w:color="000000" w:fill="FFFFFF"/>
            <w:noWrap/>
            <w:hideMark/>
          </w:tcPr>
          <w:p w14:paraId="1005B92E" w14:textId="05C0AF98"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8,27%</w:t>
            </w:r>
          </w:p>
        </w:tc>
        <w:tc>
          <w:tcPr>
            <w:tcW w:w="961" w:type="dxa"/>
            <w:tcBorders>
              <w:top w:val="nil"/>
              <w:left w:val="nil"/>
              <w:bottom w:val="nil"/>
              <w:right w:val="nil"/>
            </w:tcBorders>
            <w:shd w:val="clear" w:color="000000" w:fill="FFFFFF"/>
            <w:noWrap/>
            <w:hideMark/>
          </w:tcPr>
          <w:p w14:paraId="469DE10B" w14:textId="130D670B"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0,32%</w:t>
            </w:r>
          </w:p>
        </w:tc>
        <w:tc>
          <w:tcPr>
            <w:tcW w:w="961" w:type="dxa"/>
            <w:tcBorders>
              <w:top w:val="nil"/>
              <w:left w:val="nil"/>
              <w:bottom w:val="nil"/>
              <w:right w:val="nil"/>
            </w:tcBorders>
            <w:shd w:val="clear" w:color="000000" w:fill="FFFFFF"/>
            <w:noWrap/>
            <w:hideMark/>
          </w:tcPr>
          <w:p w14:paraId="31CF39D7" w14:textId="46B709A0"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0,63%</w:t>
            </w:r>
          </w:p>
        </w:tc>
      </w:tr>
      <w:tr w:rsidR="005A774B" w:rsidRPr="00E17B39" w14:paraId="60E4078E" w14:textId="77777777" w:rsidTr="00E17B39">
        <w:trPr>
          <w:trHeight w:val="149"/>
          <w:jc w:val="center"/>
        </w:trPr>
        <w:tc>
          <w:tcPr>
            <w:tcW w:w="2410" w:type="dxa"/>
            <w:tcBorders>
              <w:top w:val="nil"/>
              <w:left w:val="nil"/>
              <w:bottom w:val="nil"/>
              <w:right w:val="nil"/>
            </w:tcBorders>
            <w:shd w:val="clear" w:color="000000" w:fill="FFFFFF"/>
            <w:noWrap/>
            <w:vAlign w:val="center"/>
            <w:hideMark/>
          </w:tcPr>
          <w:p w14:paraId="481EC345" w14:textId="77777777" w:rsidR="005A774B" w:rsidRPr="00E17B39" w:rsidRDefault="005A774B" w:rsidP="00E17B39">
            <w:pPr>
              <w:spacing w:line="276" w:lineRule="auto"/>
              <w:rPr>
                <w:rFonts w:asciiTheme="majorHAnsi" w:eastAsia="Arial Unicode MS" w:hAnsiTheme="majorHAnsi" w:cs="Arial Unicode MS"/>
                <w:color w:val="000000"/>
                <w:sz w:val="22"/>
                <w:szCs w:val="22"/>
              </w:rPr>
            </w:pPr>
            <w:r w:rsidRPr="00E17B39">
              <w:rPr>
                <w:rFonts w:asciiTheme="majorHAnsi" w:eastAsia="Arial Unicode MS" w:hAnsiTheme="majorHAnsi" w:cs="Arial Unicode MS"/>
                <w:color w:val="000000"/>
                <w:sz w:val="22"/>
                <w:szCs w:val="22"/>
              </w:rPr>
              <w:t xml:space="preserve">Pública no financiera   </w:t>
            </w:r>
          </w:p>
        </w:tc>
        <w:tc>
          <w:tcPr>
            <w:tcW w:w="869" w:type="dxa"/>
            <w:tcBorders>
              <w:top w:val="nil"/>
              <w:left w:val="nil"/>
              <w:bottom w:val="nil"/>
              <w:right w:val="nil"/>
            </w:tcBorders>
            <w:shd w:val="clear" w:color="000000" w:fill="FFFFFF"/>
            <w:noWrap/>
            <w:hideMark/>
          </w:tcPr>
          <w:p w14:paraId="5F3613BE" w14:textId="4DA14901"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1,72%</w:t>
            </w:r>
          </w:p>
        </w:tc>
        <w:tc>
          <w:tcPr>
            <w:tcW w:w="869" w:type="dxa"/>
            <w:tcBorders>
              <w:top w:val="nil"/>
              <w:left w:val="nil"/>
              <w:bottom w:val="nil"/>
              <w:right w:val="nil"/>
            </w:tcBorders>
            <w:shd w:val="clear" w:color="000000" w:fill="FFFFFF"/>
            <w:noWrap/>
            <w:hideMark/>
          </w:tcPr>
          <w:p w14:paraId="38A04C85" w14:textId="5C435751"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3,14%</w:t>
            </w:r>
          </w:p>
        </w:tc>
        <w:tc>
          <w:tcPr>
            <w:tcW w:w="961" w:type="dxa"/>
            <w:tcBorders>
              <w:top w:val="nil"/>
              <w:left w:val="nil"/>
              <w:bottom w:val="nil"/>
              <w:right w:val="nil"/>
            </w:tcBorders>
            <w:shd w:val="clear" w:color="000000" w:fill="FFFFFF"/>
            <w:noWrap/>
            <w:hideMark/>
          </w:tcPr>
          <w:p w14:paraId="78A464C0" w14:textId="3CC4587E"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2,86%</w:t>
            </w:r>
          </w:p>
        </w:tc>
        <w:tc>
          <w:tcPr>
            <w:tcW w:w="961" w:type="dxa"/>
            <w:tcBorders>
              <w:top w:val="nil"/>
              <w:left w:val="nil"/>
              <w:bottom w:val="nil"/>
              <w:right w:val="nil"/>
            </w:tcBorders>
            <w:shd w:val="clear" w:color="000000" w:fill="FFFFFF"/>
            <w:noWrap/>
            <w:hideMark/>
          </w:tcPr>
          <w:p w14:paraId="55BA232B" w14:textId="7DA86A0D"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4,38%</w:t>
            </w:r>
          </w:p>
        </w:tc>
      </w:tr>
      <w:tr w:rsidR="005A774B" w:rsidRPr="00E17B39" w14:paraId="64E83045" w14:textId="77777777" w:rsidTr="00E17B39">
        <w:trPr>
          <w:trHeight w:val="149"/>
          <w:jc w:val="center"/>
        </w:trPr>
        <w:tc>
          <w:tcPr>
            <w:tcW w:w="2410" w:type="dxa"/>
            <w:tcBorders>
              <w:top w:val="nil"/>
              <w:left w:val="nil"/>
              <w:bottom w:val="nil"/>
              <w:right w:val="nil"/>
            </w:tcBorders>
            <w:shd w:val="clear" w:color="000000" w:fill="FFFFFF"/>
            <w:noWrap/>
            <w:vAlign w:val="center"/>
            <w:hideMark/>
          </w:tcPr>
          <w:p w14:paraId="2702B1BF" w14:textId="77777777" w:rsidR="005A774B" w:rsidRPr="00E17B39" w:rsidRDefault="005A774B" w:rsidP="00E17B39">
            <w:pPr>
              <w:spacing w:line="276" w:lineRule="auto"/>
              <w:rPr>
                <w:rFonts w:asciiTheme="majorHAnsi" w:eastAsia="Arial Unicode MS" w:hAnsiTheme="majorHAnsi" w:cs="Arial Unicode MS"/>
                <w:color w:val="000000"/>
                <w:sz w:val="22"/>
                <w:szCs w:val="22"/>
              </w:rPr>
            </w:pPr>
            <w:r w:rsidRPr="00E17B39">
              <w:rPr>
                <w:rFonts w:asciiTheme="majorHAnsi" w:eastAsia="Arial Unicode MS" w:hAnsiTheme="majorHAnsi" w:cs="Arial Unicode MS"/>
                <w:color w:val="000000"/>
                <w:sz w:val="22"/>
                <w:szCs w:val="22"/>
              </w:rPr>
              <w:t xml:space="preserve">Pública financiera  </w:t>
            </w:r>
          </w:p>
        </w:tc>
        <w:tc>
          <w:tcPr>
            <w:tcW w:w="869" w:type="dxa"/>
            <w:tcBorders>
              <w:top w:val="nil"/>
              <w:left w:val="nil"/>
              <w:bottom w:val="nil"/>
              <w:right w:val="nil"/>
            </w:tcBorders>
            <w:shd w:val="clear" w:color="000000" w:fill="FFFFFF"/>
            <w:noWrap/>
            <w:hideMark/>
          </w:tcPr>
          <w:p w14:paraId="2D69BA17" w14:textId="3AA05585"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15,41%</w:t>
            </w:r>
          </w:p>
        </w:tc>
        <w:tc>
          <w:tcPr>
            <w:tcW w:w="869" w:type="dxa"/>
            <w:tcBorders>
              <w:top w:val="nil"/>
              <w:left w:val="nil"/>
              <w:bottom w:val="nil"/>
              <w:right w:val="nil"/>
            </w:tcBorders>
            <w:shd w:val="clear" w:color="000000" w:fill="FFFFFF"/>
            <w:noWrap/>
            <w:hideMark/>
          </w:tcPr>
          <w:p w14:paraId="4C14C5B1" w14:textId="26380ABB"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11,68%</w:t>
            </w:r>
          </w:p>
        </w:tc>
        <w:tc>
          <w:tcPr>
            <w:tcW w:w="961" w:type="dxa"/>
            <w:tcBorders>
              <w:top w:val="nil"/>
              <w:left w:val="nil"/>
              <w:bottom w:val="nil"/>
              <w:right w:val="nil"/>
            </w:tcBorders>
            <w:shd w:val="clear" w:color="000000" w:fill="FFFFFF"/>
            <w:noWrap/>
            <w:hideMark/>
          </w:tcPr>
          <w:p w14:paraId="53F10020" w14:textId="5D6629CE"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14,69%</w:t>
            </w:r>
          </w:p>
        </w:tc>
        <w:tc>
          <w:tcPr>
            <w:tcW w:w="961" w:type="dxa"/>
            <w:tcBorders>
              <w:top w:val="nil"/>
              <w:left w:val="nil"/>
              <w:bottom w:val="nil"/>
              <w:right w:val="nil"/>
            </w:tcBorders>
            <w:shd w:val="clear" w:color="000000" w:fill="FFFFFF"/>
            <w:noWrap/>
            <w:hideMark/>
          </w:tcPr>
          <w:p w14:paraId="5F9EA9E2" w14:textId="50F61A75"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14,42%</w:t>
            </w:r>
          </w:p>
        </w:tc>
      </w:tr>
      <w:tr w:rsidR="005A774B" w:rsidRPr="00E17B39" w14:paraId="3E2053A2" w14:textId="77777777" w:rsidTr="00E17B39">
        <w:trPr>
          <w:trHeight w:val="149"/>
          <w:jc w:val="center"/>
        </w:trPr>
        <w:tc>
          <w:tcPr>
            <w:tcW w:w="2410" w:type="dxa"/>
            <w:tcBorders>
              <w:top w:val="nil"/>
              <w:left w:val="nil"/>
              <w:bottom w:val="nil"/>
              <w:right w:val="nil"/>
            </w:tcBorders>
            <w:shd w:val="clear" w:color="000000" w:fill="FFFFFF"/>
            <w:noWrap/>
            <w:vAlign w:val="center"/>
            <w:hideMark/>
          </w:tcPr>
          <w:p w14:paraId="3A90B9DB" w14:textId="77777777" w:rsidR="005A774B" w:rsidRPr="00E17B39" w:rsidRDefault="005A774B" w:rsidP="00E17B39">
            <w:pPr>
              <w:spacing w:line="276" w:lineRule="auto"/>
              <w:rPr>
                <w:rFonts w:asciiTheme="majorHAnsi" w:eastAsia="Arial Unicode MS" w:hAnsiTheme="majorHAnsi" w:cs="Arial Unicode MS"/>
                <w:color w:val="000000"/>
                <w:sz w:val="22"/>
                <w:szCs w:val="22"/>
              </w:rPr>
            </w:pPr>
            <w:r w:rsidRPr="00E17B39">
              <w:rPr>
                <w:rFonts w:asciiTheme="majorHAnsi" w:eastAsia="Arial Unicode MS" w:hAnsiTheme="majorHAnsi" w:cs="Arial Unicode MS"/>
                <w:color w:val="000000"/>
                <w:sz w:val="22"/>
                <w:szCs w:val="22"/>
              </w:rPr>
              <w:t xml:space="preserve">Gobierno y BCCR </w:t>
            </w:r>
          </w:p>
        </w:tc>
        <w:tc>
          <w:tcPr>
            <w:tcW w:w="869" w:type="dxa"/>
            <w:tcBorders>
              <w:top w:val="nil"/>
              <w:left w:val="nil"/>
              <w:bottom w:val="nil"/>
              <w:right w:val="nil"/>
            </w:tcBorders>
            <w:shd w:val="clear" w:color="000000" w:fill="FFFFFF"/>
            <w:noWrap/>
            <w:hideMark/>
          </w:tcPr>
          <w:p w14:paraId="5D36EAE3" w14:textId="20E81C76"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48,16%</w:t>
            </w:r>
          </w:p>
        </w:tc>
        <w:tc>
          <w:tcPr>
            <w:tcW w:w="869" w:type="dxa"/>
            <w:tcBorders>
              <w:top w:val="nil"/>
              <w:left w:val="nil"/>
              <w:bottom w:val="nil"/>
              <w:right w:val="nil"/>
            </w:tcBorders>
            <w:shd w:val="clear" w:color="000000" w:fill="FFFFFF"/>
            <w:noWrap/>
            <w:hideMark/>
          </w:tcPr>
          <w:p w14:paraId="1EDDE8A0" w14:textId="10AD5FB8"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58,89%</w:t>
            </w:r>
          </w:p>
        </w:tc>
        <w:tc>
          <w:tcPr>
            <w:tcW w:w="961" w:type="dxa"/>
            <w:tcBorders>
              <w:top w:val="nil"/>
              <w:left w:val="nil"/>
              <w:bottom w:val="nil"/>
              <w:right w:val="nil"/>
            </w:tcBorders>
            <w:shd w:val="clear" w:color="000000" w:fill="FFFFFF"/>
            <w:noWrap/>
            <w:hideMark/>
          </w:tcPr>
          <w:p w14:paraId="4231F3A7" w14:textId="6C0AB8D4"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51,37%</w:t>
            </w:r>
          </w:p>
        </w:tc>
        <w:tc>
          <w:tcPr>
            <w:tcW w:w="961" w:type="dxa"/>
            <w:tcBorders>
              <w:top w:val="nil"/>
              <w:left w:val="nil"/>
              <w:bottom w:val="nil"/>
              <w:right w:val="nil"/>
            </w:tcBorders>
            <w:shd w:val="clear" w:color="000000" w:fill="FFFFFF"/>
            <w:noWrap/>
            <w:hideMark/>
          </w:tcPr>
          <w:p w14:paraId="115D29FC" w14:textId="23D6B62B"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36,40%</w:t>
            </w:r>
          </w:p>
        </w:tc>
      </w:tr>
      <w:tr w:rsidR="005A774B" w:rsidRPr="00E17B39" w14:paraId="491723BC" w14:textId="77777777" w:rsidTr="00E17B39">
        <w:trPr>
          <w:trHeight w:val="149"/>
          <w:jc w:val="center"/>
        </w:trPr>
        <w:tc>
          <w:tcPr>
            <w:tcW w:w="2410" w:type="dxa"/>
            <w:tcBorders>
              <w:top w:val="nil"/>
              <w:left w:val="nil"/>
              <w:bottom w:val="single" w:sz="4" w:space="0" w:color="auto"/>
              <w:right w:val="nil"/>
            </w:tcBorders>
            <w:shd w:val="clear" w:color="000000" w:fill="FFFFFF"/>
            <w:noWrap/>
            <w:vAlign w:val="center"/>
            <w:hideMark/>
          </w:tcPr>
          <w:p w14:paraId="79353255" w14:textId="77777777" w:rsidR="005A774B" w:rsidRPr="00E17B39" w:rsidRDefault="005A774B" w:rsidP="00E17B39">
            <w:pPr>
              <w:spacing w:line="276" w:lineRule="auto"/>
              <w:rPr>
                <w:rFonts w:asciiTheme="majorHAnsi" w:eastAsia="Arial Unicode MS" w:hAnsiTheme="majorHAnsi" w:cs="Arial Unicode MS"/>
                <w:color w:val="000000"/>
                <w:sz w:val="22"/>
                <w:szCs w:val="22"/>
              </w:rPr>
            </w:pPr>
            <w:r w:rsidRPr="00E17B39">
              <w:rPr>
                <w:rFonts w:asciiTheme="majorHAnsi" w:eastAsia="Arial Unicode MS" w:hAnsiTheme="majorHAnsi" w:cs="Arial Unicode MS"/>
                <w:color w:val="000000"/>
                <w:sz w:val="22"/>
                <w:szCs w:val="22"/>
              </w:rPr>
              <w:t xml:space="preserve">Privado </w:t>
            </w:r>
          </w:p>
        </w:tc>
        <w:tc>
          <w:tcPr>
            <w:tcW w:w="869" w:type="dxa"/>
            <w:tcBorders>
              <w:top w:val="nil"/>
              <w:left w:val="nil"/>
              <w:bottom w:val="single" w:sz="4" w:space="0" w:color="auto"/>
              <w:right w:val="nil"/>
            </w:tcBorders>
            <w:shd w:val="clear" w:color="000000" w:fill="FFFFFF"/>
            <w:noWrap/>
            <w:hideMark/>
          </w:tcPr>
          <w:p w14:paraId="08D8E7D6" w14:textId="3BB7D945"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33,98%</w:t>
            </w:r>
          </w:p>
        </w:tc>
        <w:tc>
          <w:tcPr>
            <w:tcW w:w="869" w:type="dxa"/>
            <w:tcBorders>
              <w:top w:val="nil"/>
              <w:left w:val="nil"/>
              <w:bottom w:val="single" w:sz="4" w:space="0" w:color="auto"/>
              <w:right w:val="nil"/>
            </w:tcBorders>
            <w:shd w:val="clear" w:color="000000" w:fill="FFFFFF"/>
            <w:noWrap/>
            <w:hideMark/>
          </w:tcPr>
          <w:p w14:paraId="0442A116" w14:textId="6910E98A"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18,03%</w:t>
            </w:r>
          </w:p>
        </w:tc>
        <w:tc>
          <w:tcPr>
            <w:tcW w:w="961" w:type="dxa"/>
            <w:tcBorders>
              <w:top w:val="nil"/>
              <w:left w:val="nil"/>
              <w:bottom w:val="single" w:sz="4" w:space="0" w:color="auto"/>
              <w:right w:val="nil"/>
            </w:tcBorders>
            <w:shd w:val="clear" w:color="000000" w:fill="FFFFFF"/>
            <w:noWrap/>
            <w:hideMark/>
          </w:tcPr>
          <w:p w14:paraId="0B2A8025" w14:textId="427F5514"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30,75%</w:t>
            </w:r>
          </w:p>
        </w:tc>
        <w:tc>
          <w:tcPr>
            <w:tcW w:w="961" w:type="dxa"/>
            <w:tcBorders>
              <w:top w:val="nil"/>
              <w:left w:val="nil"/>
              <w:bottom w:val="single" w:sz="4" w:space="0" w:color="auto"/>
              <w:right w:val="nil"/>
            </w:tcBorders>
            <w:shd w:val="clear" w:color="000000" w:fill="FFFFFF"/>
            <w:noWrap/>
            <w:hideMark/>
          </w:tcPr>
          <w:p w14:paraId="7882B2ED" w14:textId="69B592A8" w:rsidR="005A774B" w:rsidRPr="00E17B39" w:rsidRDefault="005A774B" w:rsidP="00E17B39">
            <w:pPr>
              <w:spacing w:line="276" w:lineRule="auto"/>
              <w:jc w:val="center"/>
              <w:rPr>
                <w:rFonts w:asciiTheme="majorHAnsi" w:eastAsia="Arial Unicode MS" w:hAnsiTheme="majorHAnsi" w:cs="Arial Unicode MS"/>
                <w:color w:val="000000"/>
                <w:sz w:val="22"/>
                <w:szCs w:val="22"/>
              </w:rPr>
            </w:pPr>
            <w:r w:rsidRPr="00E17B39">
              <w:rPr>
                <w:rFonts w:asciiTheme="majorHAnsi" w:hAnsiTheme="majorHAnsi"/>
                <w:sz w:val="22"/>
                <w:szCs w:val="22"/>
              </w:rPr>
              <w:t>44,16%</w:t>
            </w:r>
          </w:p>
        </w:tc>
      </w:tr>
    </w:tbl>
    <w:p w14:paraId="17C2C408" w14:textId="635134B8" w:rsidR="00036346"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Arial Unicode MS" w:hAnsiTheme="majorHAnsi" w:cs="Arial Unicode MS"/>
          <w:color w:val="000000"/>
          <w:sz w:val="16"/>
          <w:szCs w:val="16"/>
        </w:rPr>
      </w:pPr>
      <w:r w:rsidRPr="00036346">
        <w:rPr>
          <w:rFonts w:asciiTheme="majorHAnsi" w:eastAsia="Arial Unicode MS" w:hAnsiTheme="majorHAnsi" w:cs="Arial Unicode MS"/>
          <w:color w:val="000000"/>
          <w:sz w:val="20"/>
          <w:szCs w:val="20"/>
        </w:rPr>
        <w:tab/>
      </w:r>
      <w:r w:rsidRPr="00BA7ADB">
        <w:rPr>
          <w:rFonts w:asciiTheme="majorHAnsi" w:eastAsia="Arial Unicode MS" w:hAnsiTheme="majorHAnsi" w:cs="Arial Unicode MS"/>
          <w:color w:val="000000"/>
          <w:sz w:val="16"/>
          <w:szCs w:val="16"/>
        </w:rPr>
        <w:t xml:space="preserve">             </w:t>
      </w:r>
      <w:r w:rsidR="00BA7ADB">
        <w:rPr>
          <w:rFonts w:asciiTheme="majorHAnsi" w:eastAsia="Arial Unicode MS" w:hAnsiTheme="majorHAnsi" w:cs="Arial Unicode MS"/>
          <w:color w:val="000000"/>
          <w:sz w:val="16"/>
          <w:szCs w:val="16"/>
        </w:rPr>
        <w:tab/>
      </w:r>
      <w:r w:rsidRPr="00BA7ADB">
        <w:rPr>
          <w:rFonts w:asciiTheme="majorHAnsi" w:eastAsia="Arial Unicode MS" w:hAnsiTheme="majorHAnsi" w:cs="Arial Unicode MS"/>
          <w:color w:val="000000"/>
          <w:sz w:val="16"/>
          <w:szCs w:val="16"/>
        </w:rPr>
        <w:t>Fuente: Elaboración propia con datos suministrados por entidades</w:t>
      </w:r>
    </w:p>
    <w:p w14:paraId="0E29685A" w14:textId="499670E0" w:rsidR="00E17B39" w:rsidRPr="00BA7ADB" w:rsidRDefault="00E17B39" w:rsidP="00E17B39">
      <w:pPr>
        <w:tabs>
          <w:tab w:val="left" w:pos="241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Arial Unicode MS" w:hAnsiTheme="majorHAnsi" w:cs="Arial Unicode MS"/>
          <w:sz w:val="16"/>
          <w:szCs w:val="16"/>
        </w:rPr>
      </w:pPr>
      <w:r>
        <w:rPr>
          <w:rFonts w:asciiTheme="majorHAnsi" w:eastAsia="Arial Unicode MS" w:hAnsiTheme="majorHAnsi" w:cs="Arial Unicode MS"/>
          <w:color w:val="000000"/>
          <w:sz w:val="16"/>
          <w:szCs w:val="16"/>
        </w:rPr>
        <w:tab/>
        <w:t xml:space="preserve">Incluye erróneos </w:t>
      </w:r>
    </w:p>
    <w:p w14:paraId="25E72D7E" w14:textId="77777777" w:rsidR="00036346" w:rsidRPr="002D1B39"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000000"/>
          <w:sz w:val="22"/>
          <w:szCs w:val="22"/>
        </w:rPr>
      </w:pPr>
    </w:p>
    <w:p w14:paraId="38D20A96" w14:textId="1D32FADB" w:rsidR="000E281E" w:rsidRPr="000E281E"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000000"/>
          <w:sz w:val="22"/>
          <w:szCs w:val="22"/>
        </w:rPr>
      </w:pPr>
      <w:r w:rsidRPr="000E281E">
        <w:rPr>
          <w:rFonts w:asciiTheme="majorHAnsi" w:hAnsiTheme="majorHAnsi" w:cs="Courier New"/>
          <w:color w:val="000000"/>
          <w:sz w:val="22"/>
          <w:szCs w:val="22"/>
        </w:rPr>
        <w:t xml:space="preserve">A nivel de producto, concentrando los detalles particulares en el ROP y el FCL, en el Cuadro </w:t>
      </w:r>
      <w:r>
        <w:rPr>
          <w:rFonts w:asciiTheme="majorHAnsi" w:hAnsiTheme="majorHAnsi" w:cs="Courier New"/>
          <w:color w:val="000000"/>
          <w:sz w:val="22"/>
          <w:szCs w:val="22"/>
        </w:rPr>
        <w:t>3</w:t>
      </w:r>
      <w:r w:rsidRPr="000E281E">
        <w:rPr>
          <w:rFonts w:asciiTheme="majorHAnsi" w:hAnsiTheme="majorHAnsi" w:cs="Courier New"/>
          <w:color w:val="000000"/>
          <w:sz w:val="22"/>
          <w:szCs w:val="22"/>
        </w:rPr>
        <w:t xml:space="preserve"> se muestran las rentabilidades nominales y comisiones particulares ofrecidas por los gestores. </w:t>
      </w:r>
    </w:p>
    <w:p w14:paraId="6CECFF18" w14:textId="77777777" w:rsidR="000E281E" w:rsidRPr="000E281E"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s="Courier New"/>
          <w:color w:val="000000"/>
          <w:sz w:val="22"/>
          <w:szCs w:val="22"/>
        </w:rPr>
      </w:pPr>
    </w:p>
    <w:p w14:paraId="40173338" w14:textId="47CE7528" w:rsidR="00036346" w:rsidRPr="00036346"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color w:val="000000"/>
          <w:sz w:val="22"/>
          <w:szCs w:val="22"/>
        </w:rPr>
      </w:pPr>
      <w:r w:rsidRPr="000E281E">
        <w:rPr>
          <w:rFonts w:asciiTheme="majorHAnsi" w:hAnsiTheme="majorHAnsi" w:cs="Courier New"/>
          <w:color w:val="000000"/>
          <w:sz w:val="22"/>
          <w:szCs w:val="22"/>
        </w:rPr>
        <w:t>En virtud de los plazos de las inversiones y las condiciones que imperan en los mercados financieros las rentabilidades anuales están por debajo de las históricas. A nivel histórico en promedio, el ROP y el FCL rentan un poco menos del 13% nominal.</w:t>
      </w:r>
      <w:r w:rsidR="002D1B39">
        <w:rPr>
          <w:rFonts w:asciiTheme="majorHAnsi" w:hAnsiTheme="majorHAnsi"/>
          <w:color w:val="000000"/>
          <w:sz w:val="22"/>
          <w:szCs w:val="22"/>
        </w:rPr>
        <w:t xml:space="preserve">  </w:t>
      </w:r>
    </w:p>
    <w:p w14:paraId="5514CDCC" w14:textId="77777777" w:rsidR="00036346" w:rsidRPr="002D1B39" w:rsidRDefault="00036346" w:rsidP="00036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b/>
          <w:bCs/>
        </w:rPr>
      </w:pPr>
    </w:p>
    <w:p w14:paraId="1A27FEE0" w14:textId="13CC5268" w:rsidR="00036346" w:rsidRDefault="00036346" w:rsidP="00FF25E3">
      <w:pPr>
        <w:pStyle w:val="Descripcin"/>
        <w:spacing w:before="0" w:after="0"/>
        <w:jc w:val="center"/>
        <w:rPr>
          <w:sz w:val="22"/>
          <w:szCs w:val="22"/>
        </w:rPr>
      </w:pPr>
      <w:bookmarkStart w:id="10" w:name="_Toc426449337"/>
      <w:r w:rsidRPr="0013662A">
        <w:rPr>
          <w:sz w:val="22"/>
          <w:szCs w:val="22"/>
        </w:rPr>
        <w:t xml:space="preserve">Cuadro </w:t>
      </w:r>
      <w:r w:rsidR="007C24E4">
        <w:rPr>
          <w:sz w:val="22"/>
          <w:szCs w:val="22"/>
        </w:rPr>
        <w:t>3</w:t>
      </w:r>
      <w:r w:rsidRPr="0013662A">
        <w:rPr>
          <w:sz w:val="22"/>
          <w:szCs w:val="22"/>
        </w:rPr>
        <w:t xml:space="preserve">: Rentabilidad </w:t>
      </w:r>
      <w:r w:rsidR="000E281E">
        <w:rPr>
          <w:sz w:val="22"/>
          <w:szCs w:val="22"/>
        </w:rPr>
        <w:t xml:space="preserve">y Comisiones. </w:t>
      </w:r>
      <w:r w:rsidRPr="0013662A">
        <w:rPr>
          <w:sz w:val="22"/>
          <w:szCs w:val="22"/>
        </w:rPr>
        <w:t>Fondos Obligatorios</w:t>
      </w:r>
      <w:bookmarkEnd w:id="10"/>
      <w:r w:rsidR="002D1B39">
        <w:rPr>
          <w:sz w:val="22"/>
          <w:szCs w:val="22"/>
        </w:rPr>
        <w:t xml:space="preserve"> de Pensiones</w:t>
      </w:r>
    </w:p>
    <w:p w14:paraId="0B69A335" w14:textId="17D593C7" w:rsidR="00036346" w:rsidRDefault="00036346" w:rsidP="00FF25E3">
      <w:pPr>
        <w:pStyle w:val="Descripcin"/>
        <w:spacing w:before="0" w:after="0"/>
        <w:jc w:val="center"/>
        <w:rPr>
          <w:rFonts w:asciiTheme="minorHAnsi" w:hAnsiTheme="minorHAnsi"/>
          <w:sz w:val="22"/>
          <w:szCs w:val="22"/>
        </w:rPr>
      </w:pPr>
      <w:r w:rsidRPr="00FF25E3">
        <w:rPr>
          <w:rFonts w:asciiTheme="minorHAnsi" w:hAnsiTheme="minorHAnsi"/>
          <w:sz w:val="22"/>
          <w:szCs w:val="22"/>
        </w:rPr>
        <w:t xml:space="preserve">30 de </w:t>
      </w:r>
      <w:r w:rsidR="000E281E">
        <w:rPr>
          <w:rFonts w:asciiTheme="minorHAnsi" w:hAnsiTheme="minorHAnsi"/>
          <w:sz w:val="22"/>
          <w:szCs w:val="22"/>
        </w:rPr>
        <w:t>junio</w:t>
      </w:r>
      <w:r w:rsidR="002D1B39">
        <w:rPr>
          <w:rFonts w:asciiTheme="minorHAnsi" w:hAnsiTheme="minorHAnsi"/>
          <w:sz w:val="22"/>
          <w:szCs w:val="22"/>
        </w:rPr>
        <w:t xml:space="preserve"> 2016</w:t>
      </w:r>
    </w:p>
    <w:tbl>
      <w:tblPr>
        <w:tblStyle w:val="Tablabsica1"/>
        <w:tblW w:w="7784" w:type="dxa"/>
        <w:tblInd w:w="993" w:type="dxa"/>
        <w:tblLook w:val="04A0" w:firstRow="1" w:lastRow="0" w:firstColumn="1" w:lastColumn="0" w:noHBand="0" w:noVBand="1"/>
      </w:tblPr>
      <w:tblGrid>
        <w:gridCol w:w="1418"/>
        <w:gridCol w:w="1139"/>
        <w:gridCol w:w="935"/>
        <w:gridCol w:w="1109"/>
        <w:gridCol w:w="1139"/>
        <w:gridCol w:w="935"/>
        <w:gridCol w:w="1109"/>
      </w:tblGrid>
      <w:tr w:rsidR="000E281E" w:rsidRPr="00267D53" w14:paraId="6CB7ED04" w14:textId="77777777" w:rsidTr="000E281E">
        <w:trPr>
          <w:cnfStyle w:val="100000000000" w:firstRow="1" w:lastRow="0" w:firstColumn="0" w:lastColumn="0" w:oddVBand="0" w:evenVBand="0" w:oddHBand="0" w:evenHBand="0" w:firstRowFirstColumn="0" w:firstRowLastColumn="0" w:lastRowFirstColumn="0" w:lastRowLastColumn="0"/>
          <w:trHeight w:val="300"/>
        </w:trPr>
        <w:tc>
          <w:tcPr>
            <w:tcW w:w="1418" w:type="dxa"/>
            <w:vMerge w:val="restart"/>
            <w:noWrap/>
            <w:vAlign w:val="center"/>
            <w:hideMark/>
          </w:tcPr>
          <w:p w14:paraId="68884C1C" w14:textId="137BCF43" w:rsidR="000E281E" w:rsidRPr="00267D53" w:rsidRDefault="000E281E" w:rsidP="00A45792">
            <w:pPr>
              <w:rPr>
                <w:rFonts w:ascii="Calibri" w:hAnsi="Calibri"/>
                <w:b/>
                <w:bCs/>
                <w:color w:val="000000"/>
                <w:sz w:val="22"/>
                <w:szCs w:val="22"/>
              </w:rPr>
            </w:pPr>
            <w:r w:rsidRPr="00267D53">
              <w:rPr>
                <w:rFonts w:ascii="Calibri" w:hAnsi="Calibri"/>
                <w:b/>
                <w:bCs/>
                <w:color w:val="000000"/>
                <w:sz w:val="22"/>
                <w:szCs w:val="22"/>
              </w:rPr>
              <w:t>OPC</w:t>
            </w:r>
          </w:p>
        </w:tc>
        <w:tc>
          <w:tcPr>
            <w:tcW w:w="3183" w:type="dxa"/>
            <w:gridSpan w:val="3"/>
            <w:tcBorders>
              <w:top w:val="single" w:sz="12" w:space="0" w:color="008000"/>
              <w:bottom w:val="single" w:sz="4" w:space="0" w:color="auto"/>
            </w:tcBorders>
            <w:noWrap/>
            <w:hideMark/>
          </w:tcPr>
          <w:p w14:paraId="4FDCB68C"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ROP</w:t>
            </w:r>
          </w:p>
        </w:tc>
        <w:tc>
          <w:tcPr>
            <w:tcW w:w="3183" w:type="dxa"/>
            <w:gridSpan w:val="3"/>
            <w:tcBorders>
              <w:top w:val="single" w:sz="12" w:space="0" w:color="008000"/>
              <w:bottom w:val="single" w:sz="4" w:space="0" w:color="auto"/>
            </w:tcBorders>
            <w:noWrap/>
            <w:hideMark/>
          </w:tcPr>
          <w:p w14:paraId="6153F3AC"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FCL</w:t>
            </w:r>
          </w:p>
        </w:tc>
      </w:tr>
      <w:tr w:rsidR="000E281E" w:rsidRPr="00267D53" w14:paraId="7BD29D9B" w14:textId="77777777" w:rsidTr="000E281E">
        <w:trPr>
          <w:trHeight w:val="75"/>
        </w:trPr>
        <w:tc>
          <w:tcPr>
            <w:tcW w:w="1418" w:type="dxa"/>
            <w:vMerge/>
            <w:noWrap/>
            <w:hideMark/>
          </w:tcPr>
          <w:p w14:paraId="670CA2FE" w14:textId="77777777" w:rsidR="000E281E" w:rsidRPr="00267D53" w:rsidRDefault="000E281E" w:rsidP="00A45792">
            <w:pPr>
              <w:rPr>
                <w:rFonts w:ascii="Calibri" w:hAnsi="Calibri"/>
                <w:b/>
                <w:bCs/>
                <w:color w:val="000000"/>
                <w:sz w:val="22"/>
                <w:szCs w:val="22"/>
              </w:rPr>
            </w:pPr>
          </w:p>
        </w:tc>
        <w:tc>
          <w:tcPr>
            <w:tcW w:w="1139" w:type="dxa"/>
            <w:tcBorders>
              <w:top w:val="single" w:sz="4" w:space="0" w:color="auto"/>
              <w:bottom w:val="nil"/>
            </w:tcBorders>
            <w:noWrap/>
            <w:hideMark/>
          </w:tcPr>
          <w:p w14:paraId="6AD5E3E1" w14:textId="77777777" w:rsidR="000E281E" w:rsidRPr="00267D53" w:rsidRDefault="000E281E" w:rsidP="00A45792">
            <w:pPr>
              <w:rPr>
                <w:rFonts w:ascii="Calibri" w:hAnsi="Calibri"/>
                <w:b/>
                <w:bCs/>
                <w:color w:val="000000"/>
                <w:sz w:val="22"/>
                <w:szCs w:val="22"/>
              </w:rPr>
            </w:pPr>
            <w:r w:rsidRPr="00267D53">
              <w:rPr>
                <w:rFonts w:ascii="Calibri" w:hAnsi="Calibri"/>
                <w:b/>
                <w:bCs/>
                <w:color w:val="000000"/>
                <w:sz w:val="22"/>
                <w:szCs w:val="22"/>
              </w:rPr>
              <w:t>Comisión</w:t>
            </w:r>
          </w:p>
        </w:tc>
        <w:tc>
          <w:tcPr>
            <w:tcW w:w="2044" w:type="dxa"/>
            <w:gridSpan w:val="2"/>
            <w:tcBorders>
              <w:top w:val="single" w:sz="4" w:space="0" w:color="auto"/>
              <w:bottom w:val="nil"/>
            </w:tcBorders>
            <w:noWrap/>
            <w:hideMark/>
          </w:tcPr>
          <w:p w14:paraId="2A942760"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Rendimientos</w:t>
            </w:r>
          </w:p>
        </w:tc>
        <w:tc>
          <w:tcPr>
            <w:tcW w:w="1139" w:type="dxa"/>
            <w:tcBorders>
              <w:top w:val="single" w:sz="4" w:space="0" w:color="auto"/>
              <w:bottom w:val="nil"/>
            </w:tcBorders>
            <w:noWrap/>
            <w:hideMark/>
          </w:tcPr>
          <w:p w14:paraId="10B75270" w14:textId="77777777" w:rsidR="000E281E" w:rsidRPr="00267D53" w:rsidRDefault="000E281E" w:rsidP="00A45792">
            <w:pPr>
              <w:rPr>
                <w:rFonts w:ascii="Calibri" w:hAnsi="Calibri"/>
                <w:b/>
                <w:bCs/>
                <w:color w:val="000000"/>
                <w:sz w:val="22"/>
                <w:szCs w:val="22"/>
              </w:rPr>
            </w:pPr>
            <w:r w:rsidRPr="00267D53">
              <w:rPr>
                <w:rFonts w:ascii="Calibri" w:hAnsi="Calibri"/>
                <w:b/>
                <w:bCs/>
                <w:color w:val="000000"/>
                <w:sz w:val="22"/>
                <w:szCs w:val="22"/>
              </w:rPr>
              <w:t>Comisión</w:t>
            </w:r>
          </w:p>
        </w:tc>
        <w:tc>
          <w:tcPr>
            <w:tcW w:w="2044" w:type="dxa"/>
            <w:gridSpan w:val="2"/>
            <w:tcBorders>
              <w:top w:val="single" w:sz="4" w:space="0" w:color="auto"/>
              <w:bottom w:val="nil"/>
            </w:tcBorders>
            <w:noWrap/>
            <w:hideMark/>
          </w:tcPr>
          <w:p w14:paraId="63E24DE1"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Rendimientos</w:t>
            </w:r>
          </w:p>
        </w:tc>
      </w:tr>
      <w:tr w:rsidR="000E281E" w:rsidRPr="00267D53" w14:paraId="3800CC27" w14:textId="77777777" w:rsidTr="000E281E">
        <w:trPr>
          <w:trHeight w:val="75"/>
        </w:trPr>
        <w:tc>
          <w:tcPr>
            <w:tcW w:w="1418" w:type="dxa"/>
            <w:vMerge/>
            <w:noWrap/>
            <w:hideMark/>
          </w:tcPr>
          <w:p w14:paraId="59F54096" w14:textId="77777777" w:rsidR="000E281E" w:rsidRPr="00267D53" w:rsidRDefault="000E281E" w:rsidP="00A45792">
            <w:pPr>
              <w:rPr>
                <w:rFonts w:ascii="Calibri" w:hAnsi="Calibri"/>
                <w:b/>
                <w:bCs/>
                <w:color w:val="000000"/>
                <w:sz w:val="22"/>
                <w:szCs w:val="22"/>
              </w:rPr>
            </w:pPr>
          </w:p>
        </w:tc>
        <w:tc>
          <w:tcPr>
            <w:tcW w:w="1139" w:type="dxa"/>
            <w:tcBorders>
              <w:top w:val="nil"/>
              <w:bottom w:val="single" w:sz="4" w:space="0" w:color="auto"/>
            </w:tcBorders>
            <w:noWrap/>
            <w:hideMark/>
          </w:tcPr>
          <w:p w14:paraId="30BBAF4F" w14:textId="77777777" w:rsidR="000E281E" w:rsidRPr="00267D53" w:rsidRDefault="000E281E" w:rsidP="00A45792">
            <w:pPr>
              <w:rPr>
                <w:rFonts w:ascii="Calibri" w:hAnsi="Calibri"/>
                <w:b/>
                <w:bCs/>
                <w:color w:val="000000"/>
                <w:sz w:val="22"/>
                <w:szCs w:val="22"/>
              </w:rPr>
            </w:pPr>
          </w:p>
        </w:tc>
        <w:tc>
          <w:tcPr>
            <w:tcW w:w="935" w:type="dxa"/>
            <w:tcBorders>
              <w:top w:val="nil"/>
              <w:bottom w:val="single" w:sz="4" w:space="0" w:color="auto"/>
            </w:tcBorders>
            <w:noWrap/>
            <w:hideMark/>
          </w:tcPr>
          <w:p w14:paraId="2B4123FF"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Anual</w:t>
            </w:r>
          </w:p>
        </w:tc>
        <w:tc>
          <w:tcPr>
            <w:tcW w:w="1109" w:type="dxa"/>
            <w:tcBorders>
              <w:top w:val="nil"/>
              <w:bottom w:val="single" w:sz="4" w:space="0" w:color="auto"/>
            </w:tcBorders>
            <w:noWrap/>
            <w:hideMark/>
          </w:tcPr>
          <w:p w14:paraId="7D0EAD3F"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Histórico</w:t>
            </w:r>
          </w:p>
        </w:tc>
        <w:tc>
          <w:tcPr>
            <w:tcW w:w="1139" w:type="dxa"/>
            <w:tcBorders>
              <w:top w:val="nil"/>
              <w:bottom w:val="single" w:sz="4" w:space="0" w:color="auto"/>
            </w:tcBorders>
            <w:noWrap/>
            <w:hideMark/>
          </w:tcPr>
          <w:p w14:paraId="37195242" w14:textId="77777777" w:rsidR="000E281E" w:rsidRPr="00267D53" w:rsidRDefault="000E281E" w:rsidP="00A45792">
            <w:pPr>
              <w:jc w:val="center"/>
              <w:rPr>
                <w:rFonts w:ascii="Calibri" w:hAnsi="Calibri"/>
                <w:b/>
                <w:bCs/>
                <w:color w:val="000000"/>
                <w:sz w:val="22"/>
                <w:szCs w:val="22"/>
              </w:rPr>
            </w:pPr>
          </w:p>
        </w:tc>
        <w:tc>
          <w:tcPr>
            <w:tcW w:w="935" w:type="dxa"/>
            <w:tcBorders>
              <w:top w:val="nil"/>
              <w:bottom w:val="single" w:sz="4" w:space="0" w:color="auto"/>
            </w:tcBorders>
            <w:noWrap/>
            <w:hideMark/>
          </w:tcPr>
          <w:p w14:paraId="617577EE"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Anual</w:t>
            </w:r>
          </w:p>
        </w:tc>
        <w:tc>
          <w:tcPr>
            <w:tcW w:w="1109" w:type="dxa"/>
            <w:tcBorders>
              <w:top w:val="nil"/>
              <w:bottom w:val="single" w:sz="4" w:space="0" w:color="auto"/>
            </w:tcBorders>
            <w:noWrap/>
            <w:hideMark/>
          </w:tcPr>
          <w:p w14:paraId="7286CA03" w14:textId="77777777" w:rsidR="000E281E" w:rsidRPr="00267D53" w:rsidRDefault="000E281E" w:rsidP="00A45792">
            <w:pPr>
              <w:jc w:val="center"/>
              <w:rPr>
                <w:rFonts w:ascii="Calibri" w:hAnsi="Calibri"/>
                <w:b/>
                <w:bCs/>
                <w:color w:val="000000"/>
                <w:sz w:val="22"/>
                <w:szCs w:val="22"/>
              </w:rPr>
            </w:pPr>
            <w:r w:rsidRPr="00267D53">
              <w:rPr>
                <w:rFonts w:ascii="Calibri" w:hAnsi="Calibri"/>
                <w:b/>
                <w:bCs/>
                <w:color w:val="000000"/>
                <w:sz w:val="22"/>
                <w:szCs w:val="22"/>
              </w:rPr>
              <w:t>Histórico</w:t>
            </w:r>
          </w:p>
        </w:tc>
      </w:tr>
      <w:tr w:rsidR="00267D53" w:rsidRPr="00267D53" w14:paraId="4C06318D" w14:textId="77777777" w:rsidTr="000E281E">
        <w:trPr>
          <w:trHeight w:val="65"/>
        </w:trPr>
        <w:tc>
          <w:tcPr>
            <w:tcW w:w="1418" w:type="dxa"/>
            <w:noWrap/>
            <w:hideMark/>
          </w:tcPr>
          <w:p w14:paraId="11A4BFC6" w14:textId="77777777" w:rsidR="000E281E" w:rsidRPr="00267D53" w:rsidRDefault="000E281E" w:rsidP="00A45792">
            <w:pPr>
              <w:rPr>
                <w:rFonts w:ascii="Calibri" w:hAnsi="Calibri"/>
                <w:color w:val="000000"/>
                <w:sz w:val="22"/>
                <w:szCs w:val="22"/>
              </w:rPr>
            </w:pPr>
            <w:r w:rsidRPr="00267D53">
              <w:rPr>
                <w:rFonts w:ascii="Calibri" w:hAnsi="Calibri"/>
                <w:color w:val="000000"/>
                <w:sz w:val="22"/>
                <w:szCs w:val="22"/>
              </w:rPr>
              <w:t>BAC-SJ</w:t>
            </w:r>
          </w:p>
        </w:tc>
        <w:tc>
          <w:tcPr>
            <w:tcW w:w="1139" w:type="dxa"/>
            <w:tcBorders>
              <w:top w:val="single" w:sz="4" w:space="0" w:color="auto"/>
            </w:tcBorders>
            <w:noWrap/>
            <w:hideMark/>
          </w:tcPr>
          <w:p w14:paraId="785DCCF8"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0,70%</w:t>
            </w:r>
          </w:p>
        </w:tc>
        <w:tc>
          <w:tcPr>
            <w:tcW w:w="935" w:type="dxa"/>
            <w:tcBorders>
              <w:top w:val="single" w:sz="4" w:space="0" w:color="auto"/>
            </w:tcBorders>
            <w:noWrap/>
            <w:hideMark/>
          </w:tcPr>
          <w:p w14:paraId="418D2F38"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10,42%</w:t>
            </w:r>
          </w:p>
        </w:tc>
        <w:tc>
          <w:tcPr>
            <w:tcW w:w="1109" w:type="dxa"/>
            <w:tcBorders>
              <w:top w:val="single" w:sz="4" w:space="0" w:color="auto"/>
            </w:tcBorders>
            <w:noWrap/>
            <w:hideMark/>
          </w:tcPr>
          <w:p w14:paraId="60594B30"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12,61%</w:t>
            </w:r>
          </w:p>
        </w:tc>
        <w:tc>
          <w:tcPr>
            <w:tcW w:w="1139" w:type="dxa"/>
            <w:tcBorders>
              <w:top w:val="single" w:sz="4" w:space="0" w:color="auto"/>
            </w:tcBorders>
            <w:noWrap/>
            <w:hideMark/>
          </w:tcPr>
          <w:p w14:paraId="5CA65417"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2,00%</w:t>
            </w:r>
          </w:p>
        </w:tc>
        <w:tc>
          <w:tcPr>
            <w:tcW w:w="935" w:type="dxa"/>
            <w:tcBorders>
              <w:top w:val="single" w:sz="4" w:space="0" w:color="auto"/>
            </w:tcBorders>
            <w:noWrap/>
            <w:hideMark/>
          </w:tcPr>
          <w:p w14:paraId="73F4E685"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10,04%</w:t>
            </w:r>
          </w:p>
        </w:tc>
        <w:tc>
          <w:tcPr>
            <w:tcW w:w="1109" w:type="dxa"/>
            <w:tcBorders>
              <w:top w:val="single" w:sz="4" w:space="0" w:color="auto"/>
            </w:tcBorders>
            <w:noWrap/>
            <w:hideMark/>
          </w:tcPr>
          <w:p w14:paraId="153C794D"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12,89%</w:t>
            </w:r>
          </w:p>
        </w:tc>
      </w:tr>
      <w:tr w:rsidR="000E281E" w:rsidRPr="00267D53" w14:paraId="4E6E1160" w14:textId="77777777" w:rsidTr="000E281E">
        <w:trPr>
          <w:trHeight w:val="75"/>
        </w:trPr>
        <w:tc>
          <w:tcPr>
            <w:tcW w:w="1418" w:type="dxa"/>
            <w:noWrap/>
            <w:hideMark/>
          </w:tcPr>
          <w:p w14:paraId="24A7B901" w14:textId="77777777" w:rsidR="000E281E" w:rsidRPr="00267D53" w:rsidRDefault="000E281E" w:rsidP="00A45792">
            <w:pPr>
              <w:rPr>
                <w:rFonts w:ascii="Calibri" w:hAnsi="Calibri"/>
                <w:color w:val="000000"/>
                <w:sz w:val="22"/>
                <w:szCs w:val="22"/>
              </w:rPr>
            </w:pPr>
            <w:r w:rsidRPr="00267D53">
              <w:rPr>
                <w:rFonts w:ascii="Calibri" w:hAnsi="Calibri"/>
                <w:color w:val="000000"/>
                <w:sz w:val="22"/>
                <w:szCs w:val="22"/>
              </w:rPr>
              <w:t>BCR Pensión</w:t>
            </w:r>
          </w:p>
        </w:tc>
        <w:tc>
          <w:tcPr>
            <w:tcW w:w="1139" w:type="dxa"/>
            <w:noWrap/>
            <w:hideMark/>
          </w:tcPr>
          <w:p w14:paraId="5171197A"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0,70%</w:t>
            </w:r>
          </w:p>
        </w:tc>
        <w:tc>
          <w:tcPr>
            <w:tcW w:w="935" w:type="dxa"/>
            <w:noWrap/>
            <w:hideMark/>
          </w:tcPr>
          <w:p w14:paraId="7AEB4D69"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11,32%</w:t>
            </w:r>
          </w:p>
        </w:tc>
        <w:tc>
          <w:tcPr>
            <w:tcW w:w="1109" w:type="dxa"/>
            <w:noWrap/>
            <w:hideMark/>
          </w:tcPr>
          <w:p w14:paraId="3005AB28"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12,82%</w:t>
            </w:r>
          </w:p>
        </w:tc>
        <w:tc>
          <w:tcPr>
            <w:tcW w:w="1139" w:type="dxa"/>
            <w:noWrap/>
            <w:hideMark/>
          </w:tcPr>
          <w:p w14:paraId="6483FAAA"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2,00%</w:t>
            </w:r>
          </w:p>
        </w:tc>
        <w:tc>
          <w:tcPr>
            <w:tcW w:w="935" w:type="dxa"/>
            <w:noWrap/>
            <w:hideMark/>
          </w:tcPr>
          <w:p w14:paraId="3634437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10,01%</w:t>
            </w:r>
          </w:p>
        </w:tc>
        <w:tc>
          <w:tcPr>
            <w:tcW w:w="1109" w:type="dxa"/>
            <w:noWrap/>
            <w:hideMark/>
          </w:tcPr>
          <w:p w14:paraId="0E0E1CA8"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12,58%</w:t>
            </w:r>
          </w:p>
        </w:tc>
      </w:tr>
      <w:tr w:rsidR="000E281E" w:rsidRPr="00267D53" w14:paraId="736330DA" w14:textId="77777777" w:rsidTr="000E281E">
        <w:trPr>
          <w:trHeight w:val="75"/>
        </w:trPr>
        <w:tc>
          <w:tcPr>
            <w:tcW w:w="1418" w:type="dxa"/>
            <w:noWrap/>
            <w:hideMark/>
          </w:tcPr>
          <w:p w14:paraId="6F9D807D" w14:textId="77777777" w:rsidR="000E281E" w:rsidRPr="00267D53" w:rsidRDefault="000E281E" w:rsidP="00A45792">
            <w:pPr>
              <w:rPr>
                <w:rFonts w:ascii="Calibri" w:hAnsi="Calibri"/>
                <w:color w:val="000000"/>
                <w:sz w:val="22"/>
                <w:szCs w:val="22"/>
              </w:rPr>
            </w:pPr>
            <w:r w:rsidRPr="00267D53">
              <w:rPr>
                <w:rFonts w:ascii="Calibri" w:hAnsi="Calibri"/>
                <w:color w:val="000000"/>
                <w:sz w:val="22"/>
                <w:szCs w:val="22"/>
              </w:rPr>
              <w:t>BN-Vital</w:t>
            </w:r>
          </w:p>
        </w:tc>
        <w:tc>
          <w:tcPr>
            <w:tcW w:w="1139" w:type="dxa"/>
            <w:noWrap/>
            <w:hideMark/>
          </w:tcPr>
          <w:p w14:paraId="08573BD7"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0,70%</w:t>
            </w:r>
          </w:p>
        </w:tc>
        <w:tc>
          <w:tcPr>
            <w:tcW w:w="935" w:type="dxa"/>
            <w:noWrap/>
            <w:hideMark/>
          </w:tcPr>
          <w:p w14:paraId="159F6779"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10,43%</w:t>
            </w:r>
          </w:p>
        </w:tc>
        <w:tc>
          <w:tcPr>
            <w:tcW w:w="1109" w:type="dxa"/>
            <w:noWrap/>
            <w:hideMark/>
          </w:tcPr>
          <w:p w14:paraId="1F51418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12,68%</w:t>
            </w:r>
          </w:p>
        </w:tc>
        <w:tc>
          <w:tcPr>
            <w:tcW w:w="1139" w:type="dxa"/>
            <w:noWrap/>
            <w:hideMark/>
          </w:tcPr>
          <w:p w14:paraId="0B4CD20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2,00%</w:t>
            </w:r>
          </w:p>
        </w:tc>
        <w:tc>
          <w:tcPr>
            <w:tcW w:w="935" w:type="dxa"/>
            <w:noWrap/>
            <w:hideMark/>
          </w:tcPr>
          <w:p w14:paraId="1D234B63"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9,64%</w:t>
            </w:r>
          </w:p>
        </w:tc>
        <w:tc>
          <w:tcPr>
            <w:tcW w:w="1109" w:type="dxa"/>
            <w:noWrap/>
            <w:hideMark/>
          </w:tcPr>
          <w:p w14:paraId="6E0FE8C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12,33%</w:t>
            </w:r>
          </w:p>
        </w:tc>
      </w:tr>
      <w:tr w:rsidR="000E281E" w:rsidRPr="00267D53" w14:paraId="798E733A" w14:textId="77777777" w:rsidTr="000E281E">
        <w:trPr>
          <w:trHeight w:val="75"/>
        </w:trPr>
        <w:tc>
          <w:tcPr>
            <w:tcW w:w="1418" w:type="dxa"/>
            <w:noWrap/>
            <w:hideMark/>
          </w:tcPr>
          <w:p w14:paraId="3F560B83" w14:textId="77777777" w:rsidR="000E281E" w:rsidRPr="00267D53" w:rsidRDefault="000E281E" w:rsidP="00A45792">
            <w:pPr>
              <w:rPr>
                <w:rFonts w:ascii="Calibri" w:hAnsi="Calibri"/>
                <w:color w:val="000000"/>
                <w:sz w:val="22"/>
                <w:szCs w:val="22"/>
              </w:rPr>
            </w:pPr>
            <w:r w:rsidRPr="00267D53">
              <w:rPr>
                <w:rFonts w:ascii="Calibri" w:hAnsi="Calibri"/>
                <w:color w:val="000000"/>
                <w:sz w:val="22"/>
                <w:szCs w:val="22"/>
              </w:rPr>
              <w:t>CCSSOPC</w:t>
            </w:r>
          </w:p>
        </w:tc>
        <w:tc>
          <w:tcPr>
            <w:tcW w:w="1139" w:type="dxa"/>
            <w:noWrap/>
            <w:hideMark/>
          </w:tcPr>
          <w:p w14:paraId="63048537"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0,68%</w:t>
            </w:r>
          </w:p>
        </w:tc>
        <w:tc>
          <w:tcPr>
            <w:tcW w:w="935" w:type="dxa"/>
            <w:noWrap/>
            <w:hideMark/>
          </w:tcPr>
          <w:p w14:paraId="3F778D03"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13,07%</w:t>
            </w:r>
          </w:p>
        </w:tc>
        <w:tc>
          <w:tcPr>
            <w:tcW w:w="1109" w:type="dxa"/>
            <w:noWrap/>
            <w:hideMark/>
          </w:tcPr>
          <w:p w14:paraId="6869737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13,78%</w:t>
            </w:r>
          </w:p>
        </w:tc>
        <w:tc>
          <w:tcPr>
            <w:tcW w:w="1139" w:type="dxa"/>
            <w:noWrap/>
            <w:hideMark/>
          </w:tcPr>
          <w:p w14:paraId="3080ACF3"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2,10%</w:t>
            </w:r>
          </w:p>
        </w:tc>
        <w:tc>
          <w:tcPr>
            <w:tcW w:w="935" w:type="dxa"/>
            <w:noWrap/>
            <w:hideMark/>
          </w:tcPr>
          <w:p w14:paraId="5377A9A3"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11,69%</w:t>
            </w:r>
          </w:p>
        </w:tc>
        <w:tc>
          <w:tcPr>
            <w:tcW w:w="1109" w:type="dxa"/>
            <w:noWrap/>
            <w:hideMark/>
          </w:tcPr>
          <w:p w14:paraId="30B3B75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12,92%</w:t>
            </w:r>
          </w:p>
        </w:tc>
      </w:tr>
      <w:tr w:rsidR="000E281E" w:rsidRPr="00267D53" w14:paraId="5B0D9380" w14:textId="77777777" w:rsidTr="000E281E">
        <w:trPr>
          <w:trHeight w:val="75"/>
        </w:trPr>
        <w:tc>
          <w:tcPr>
            <w:tcW w:w="1418" w:type="dxa"/>
            <w:noWrap/>
            <w:hideMark/>
          </w:tcPr>
          <w:p w14:paraId="68E76F5B" w14:textId="77777777" w:rsidR="000E281E" w:rsidRPr="00267D53" w:rsidRDefault="000E281E" w:rsidP="00A45792">
            <w:pPr>
              <w:rPr>
                <w:rFonts w:ascii="Calibri" w:hAnsi="Calibri"/>
                <w:color w:val="000000"/>
                <w:sz w:val="22"/>
                <w:szCs w:val="22"/>
              </w:rPr>
            </w:pPr>
            <w:r w:rsidRPr="00267D53">
              <w:rPr>
                <w:rFonts w:ascii="Calibri" w:hAnsi="Calibri"/>
                <w:color w:val="000000"/>
                <w:sz w:val="22"/>
                <w:szCs w:val="22"/>
              </w:rPr>
              <w:t>Popular</w:t>
            </w:r>
          </w:p>
        </w:tc>
        <w:tc>
          <w:tcPr>
            <w:tcW w:w="1139" w:type="dxa"/>
            <w:noWrap/>
            <w:hideMark/>
          </w:tcPr>
          <w:p w14:paraId="11A7D67F"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0,70%</w:t>
            </w:r>
          </w:p>
        </w:tc>
        <w:tc>
          <w:tcPr>
            <w:tcW w:w="935" w:type="dxa"/>
            <w:noWrap/>
            <w:hideMark/>
          </w:tcPr>
          <w:p w14:paraId="6EDC70D8"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8,81%</w:t>
            </w:r>
          </w:p>
        </w:tc>
        <w:tc>
          <w:tcPr>
            <w:tcW w:w="1109" w:type="dxa"/>
            <w:noWrap/>
            <w:hideMark/>
          </w:tcPr>
          <w:p w14:paraId="19E1FCD7"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12,37%</w:t>
            </w:r>
          </w:p>
        </w:tc>
        <w:tc>
          <w:tcPr>
            <w:tcW w:w="1139" w:type="dxa"/>
            <w:noWrap/>
            <w:hideMark/>
          </w:tcPr>
          <w:p w14:paraId="0DAD8D04"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2,00%</w:t>
            </w:r>
          </w:p>
        </w:tc>
        <w:tc>
          <w:tcPr>
            <w:tcW w:w="935" w:type="dxa"/>
            <w:noWrap/>
            <w:hideMark/>
          </w:tcPr>
          <w:p w14:paraId="56077BD0"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8,43%</w:t>
            </w:r>
          </w:p>
        </w:tc>
        <w:tc>
          <w:tcPr>
            <w:tcW w:w="1109" w:type="dxa"/>
            <w:noWrap/>
            <w:hideMark/>
          </w:tcPr>
          <w:p w14:paraId="7825BE97"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12,22%</w:t>
            </w:r>
          </w:p>
        </w:tc>
      </w:tr>
      <w:tr w:rsidR="00267D53" w:rsidRPr="00267D53" w14:paraId="5B358D8B" w14:textId="77777777" w:rsidTr="000E281E">
        <w:trPr>
          <w:trHeight w:val="75"/>
        </w:trPr>
        <w:tc>
          <w:tcPr>
            <w:tcW w:w="1418" w:type="dxa"/>
            <w:tcBorders>
              <w:bottom w:val="single" w:sz="4" w:space="0" w:color="auto"/>
            </w:tcBorders>
            <w:noWrap/>
            <w:hideMark/>
          </w:tcPr>
          <w:p w14:paraId="32E07E07" w14:textId="77777777" w:rsidR="000E281E" w:rsidRPr="00267D53" w:rsidRDefault="000E281E" w:rsidP="00A45792">
            <w:pPr>
              <w:rPr>
                <w:rFonts w:ascii="Calibri" w:hAnsi="Calibri"/>
                <w:color w:val="000000"/>
                <w:sz w:val="22"/>
                <w:szCs w:val="22"/>
              </w:rPr>
            </w:pPr>
            <w:r w:rsidRPr="00267D53">
              <w:rPr>
                <w:rFonts w:ascii="Calibri" w:hAnsi="Calibri"/>
                <w:color w:val="000000"/>
                <w:sz w:val="22"/>
                <w:szCs w:val="22"/>
              </w:rPr>
              <w:t>Vida Plena</w:t>
            </w:r>
          </w:p>
        </w:tc>
        <w:tc>
          <w:tcPr>
            <w:tcW w:w="1139" w:type="dxa"/>
            <w:tcBorders>
              <w:bottom w:val="single" w:sz="4" w:space="0" w:color="auto"/>
            </w:tcBorders>
            <w:noWrap/>
            <w:hideMark/>
          </w:tcPr>
          <w:p w14:paraId="694F94ED"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0,70%</w:t>
            </w:r>
          </w:p>
        </w:tc>
        <w:tc>
          <w:tcPr>
            <w:tcW w:w="935" w:type="dxa"/>
            <w:tcBorders>
              <w:bottom w:val="single" w:sz="4" w:space="0" w:color="auto"/>
            </w:tcBorders>
            <w:noWrap/>
            <w:hideMark/>
          </w:tcPr>
          <w:p w14:paraId="2D1145C1"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8,24%</w:t>
            </w:r>
          </w:p>
        </w:tc>
        <w:tc>
          <w:tcPr>
            <w:tcW w:w="1109" w:type="dxa"/>
            <w:tcBorders>
              <w:bottom w:val="single" w:sz="4" w:space="0" w:color="auto"/>
            </w:tcBorders>
            <w:noWrap/>
            <w:hideMark/>
          </w:tcPr>
          <w:p w14:paraId="0AADC80C"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13,31%</w:t>
            </w:r>
          </w:p>
        </w:tc>
        <w:tc>
          <w:tcPr>
            <w:tcW w:w="1139" w:type="dxa"/>
            <w:tcBorders>
              <w:bottom w:val="single" w:sz="4" w:space="0" w:color="auto"/>
            </w:tcBorders>
            <w:noWrap/>
            <w:hideMark/>
          </w:tcPr>
          <w:p w14:paraId="47E01A0C"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2,00%</w:t>
            </w:r>
          </w:p>
        </w:tc>
        <w:tc>
          <w:tcPr>
            <w:tcW w:w="935" w:type="dxa"/>
            <w:tcBorders>
              <w:bottom w:val="single" w:sz="4" w:space="0" w:color="auto"/>
            </w:tcBorders>
            <w:noWrap/>
            <w:hideMark/>
          </w:tcPr>
          <w:p w14:paraId="7B542635"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7,34%</w:t>
            </w:r>
          </w:p>
        </w:tc>
        <w:tc>
          <w:tcPr>
            <w:tcW w:w="1109" w:type="dxa"/>
            <w:tcBorders>
              <w:bottom w:val="single" w:sz="4" w:space="0" w:color="auto"/>
            </w:tcBorders>
            <w:noWrap/>
            <w:hideMark/>
          </w:tcPr>
          <w:p w14:paraId="664AB603" w14:textId="77777777" w:rsidR="000E281E" w:rsidRPr="00267D53" w:rsidRDefault="000E281E" w:rsidP="00A45792">
            <w:pPr>
              <w:jc w:val="center"/>
              <w:rPr>
                <w:rFonts w:ascii="Calibri" w:hAnsi="Calibri"/>
                <w:color w:val="000000"/>
                <w:sz w:val="22"/>
                <w:szCs w:val="22"/>
              </w:rPr>
            </w:pPr>
            <w:r w:rsidRPr="00267D53">
              <w:rPr>
                <w:rFonts w:ascii="Calibri" w:hAnsi="Calibri"/>
                <w:color w:val="000000"/>
                <w:sz w:val="22"/>
                <w:szCs w:val="22"/>
              </w:rPr>
              <w:t>12,82%</w:t>
            </w:r>
          </w:p>
        </w:tc>
      </w:tr>
      <w:tr w:rsidR="000E281E" w:rsidRPr="00267D53" w14:paraId="53408AB3" w14:textId="77777777" w:rsidTr="000E281E">
        <w:trPr>
          <w:trHeight w:val="75"/>
        </w:trPr>
        <w:tc>
          <w:tcPr>
            <w:tcW w:w="1418" w:type="dxa"/>
            <w:tcBorders>
              <w:top w:val="single" w:sz="4" w:space="0" w:color="auto"/>
              <w:bottom w:val="single" w:sz="12" w:space="0" w:color="008000"/>
            </w:tcBorders>
            <w:noWrap/>
            <w:hideMark/>
          </w:tcPr>
          <w:p w14:paraId="30840263" w14:textId="77777777" w:rsidR="000E281E" w:rsidRPr="00267D53" w:rsidRDefault="000E281E" w:rsidP="00A45792">
            <w:pPr>
              <w:rPr>
                <w:rFonts w:ascii="Calibri" w:hAnsi="Calibri"/>
                <w:b/>
                <w:color w:val="000000"/>
                <w:sz w:val="22"/>
                <w:szCs w:val="22"/>
              </w:rPr>
            </w:pPr>
            <w:r w:rsidRPr="00267D53">
              <w:rPr>
                <w:rFonts w:ascii="Calibri" w:hAnsi="Calibri"/>
                <w:b/>
                <w:color w:val="000000"/>
                <w:sz w:val="22"/>
                <w:szCs w:val="22"/>
              </w:rPr>
              <w:t>Promedio</w:t>
            </w:r>
          </w:p>
        </w:tc>
        <w:tc>
          <w:tcPr>
            <w:tcW w:w="1139" w:type="dxa"/>
            <w:tcBorders>
              <w:top w:val="single" w:sz="4" w:space="0" w:color="auto"/>
              <w:bottom w:val="single" w:sz="12" w:space="0" w:color="008000"/>
            </w:tcBorders>
            <w:noWrap/>
            <w:hideMark/>
          </w:tcPr>
          <w:p w14:paraId="535C513A" w14:textId="77777777" w:rsidR="000E281E" w:rsidRPr="00267D53" w:rsidRDefault="000E281E" w:rsidP="00A45792">
            <w:pPr>
              <w:jc w:val="center"/>
              <w:rPr>
                <w:rFonts w:ascii="Calibri" w:hAnsi="Calibri"/>
                <w:b/>
                <w:color w:val="000000"/>
                <w:sz w:val="22"/>
                <w:szCs w:val="22"/>
              </w:rPr>
            </w:pPr>
            <w:r w:rsidRPr="00267D53">
              <w:rPr>
                <w:rFonts w:ascii="Calibri" w:hAnsi="Calibri"/>
                <w:b/>
                <w:color w:val="000000"/>
                <w:sz w:val="22"/>
                <w:szCs w:val="22"/>
              </w:rPr>
              <w:t>0,70%</w:t>
            </w:r>
          </w:p>
        </w:tc>
        <w:tc>
          <w:tcPr>
            <w:tcW w:w="935" w:type="dxa"/>
            <w:tcBorders>
              <w:top w:val="single" w:sz="4" w:space="0" w:color="auto"/>
              <w:bottom w:val="single" w:sz="12" w:space="0" w:color="008000"/>
            </w:tcBorders>
            <w:noWrap/>
            <w:hideMark/>
          </w:tcPr>
          <w:p w14:paraId="17A4FFEE" w14:textId="77777777" w:rsidR="000E281E" w:rsidRPr="00267D53" w:rsidRDefault="000E281E" w:rsidP="00A45792">
            <w:pPr>
              <w:jc w:val="center"/>
              <w:rPr>
                <w:rFonts w:ascii="Calibri" w:hAnsi="Calibri"/>
                <w:b/>
                <w:color w:val="000000"/>
                <w:sz w:val="22"/>
                <w:szCs w:val="22"/>
              </w:rPr>
            </w:pPr>
            <w:r w:rsidRPr="00267D53">
              <w:rPr>
                <w:rFonts w:ascii="Calibri" w:hAnsi="Calibri"/>
                <w:b/>
                <w:color w:val="000000"/>
                <w:sz w:val="22"/>
                <w:szCs w:val="22"/>
              </w:rPr>
              <w:t>9,81%</w:t>
            </w:r>
          </w:p>
        </w:tc>
        <w:tc>
          <w:tcPr>
            <w:tcW w:w="1109" w:type="dxa"/>
            <w:tcBorders>
              <w:top w:val="single" w:sz="4" w:space="0" w:color="auto"/>
              <w:bottom w:val="single" w:sz="12" w:space="0" w:color="008000"/>
            </w:tcBorders>
            <w:noWrap/>
            <w:hideMark/>
          </w:tcPr>
          <w:p w14:paraId="2FFB097B" w14:textId="77777777" w:rsidR="000E281E" w:rsidRPr="00267D53" w:rsidRDefault="000E281E" w:rsidP="00A45792">
            <w:pPr>
              <w:jc w:val="center"/>
              <w:rPr>
                <w:rFonts w:ascii="Calibri" w:hAnsi="Calibri"/>
                <w:b/>
                <w:color w:val="000000"/>
                <w:sz w:val="22"/>
                <w:szCs w:val="22"/>
              </w:rPr>
            </w:pPr>
            <w:r w:rsidRPr="00267D53">
              <w:rPr>
                <w:rFonts w:ascii="Calibri" w:hAnsi="Calibri"/>
                <w:b/>
                <w:color w:val="000000"/>
                <w:sz w:val="22"/>
                <w:szCs w:val="22"/>
              </w:rPr>
              <w:t>12,69%</w:t>
            </w:r>
          </w:p>
        </w:tc>
        <w:tc>
          <w:tcPr>
            <w:tcW w:w="1139" w:type="dxa"/>
            <w:tcBorders>
              <w:top w:val="single" w:sz="4" w:space="0" w:color="auto"/>
              <w:bottom w:val="single" w:sz="12" w:space="0" w:color="008000"/>
            </w:tcBorders>
            <w:noWrap/>
            <w:hideMark/>
          </w:tcPr>
          <w:p w14:paraId="4CA77A1E" w14:textId="77777777" w:rsidR="000E281E" w:rsidRPr="00267D53" w:rsidRDefault="000E281E" w:rsidP="00A45792">
            <w:pPr>
              <w:jc w:val="center"/>
              <w:rPr>
                <w:rFonts w:ascii="Calibri" w:hAnsi="Calibri"/>
                <w:b/>
                <w:color w:val="000000"/>
                <w:sz w:val="22"/>
                <w:szCs w:val="22"/>
              </w:rPr>
            </w:pPr>
            <w:r w:rsidRPr="00267D53">
              <w:rPr>
                <w:rFonts w:ascii="Calibri" w:hAnsi="Calibri"/>
                <w:b/>
                <w:color w:val="000000"/>
                <w:sz w:val="22"/>
                <w:szCs w:val="22"/>
              </w:rPr>
              <w:t>2,02%</w:t>
            </w:r>
          </w:p>
        </w:tc>
        <w:tc>
          <w:tcPr>
            <w:tcW w:w="935" w:type="dxa"/>
            <w:tcBorders>
              <w:top w:val="single" w:sz="4" w:space="0" w:color="auto"/>
              <w:bottom w:val="single" w:sz="12" w:space="0" w:color="008000"/>
            </w:tcBorders>
            <w:noWrap/>
            <w:hideMark/>
          </w:tcPr>
          <w:p w14:paraId="5004A0D9" w14:textId="77777777" w:rsidR="000E281E" w:rsidRPr="00267D53" w:rsidRDefault="000E281E" w:rsidP="00A45792">
            <w:pPr>
              <w:jc w:val="center"/>
              <w:rPr>
                <w:rFonts w:ascii="Calibri" w:hAnsi="Calibri"/>
                <w:b/>
                <w:color w:val="000000"/>
                <w:sz w:val="22"/>
                <w:szCs w:val="22"/>
              </w:rPr>
            </w:pPr>
            <w:r w:rsidRPr="00267D53">
              <w:rPr>
                <w:rFonts w:ascii="Calibri" w:hAnsi="Calibri"/>
                <w:b/>
                <w:color w:val="000000"/>
                <w:sz w:val="22"/>
                <w:szCs w:val="22"/>
              </w:rPr>
              <w:t>9,76%</w:t>
            </w:r>
          </w:p>
        </w:tc>
        <w:tc>
          <w:tcPr>
            <w:tcW w:w="1109" w:type="dxa"/>
            <w:tcBorders>
              <w:top w:val="single" w:sz="4" w:space="0" w:color="auto"/>
              <w:bottom w:val="single" w:sz="12" w:space="0" w:color="008000"/>
            </w:tcBorders>
            <w:noWrap/>
            <w:hideMark/>
          </w:tcPr>
          <w:p w14:paraId="5C9B7767" w14:textId="77777777" w:rsidR="000E281E" w:rsidRPr="00267D53" w:rsidRDefault="000E281E" w:rsidP="00A45792">
            <w:pPr>
              <w:jc w:val="center"/>
              <w:rPr>
                <w:rFonts w:ascii="Calibri" w:hAnsi="Calibri"/>
                <w:b/>
                <w:color w:val="000000"/>
                <w:sz w:val="22"/>
                <w:szCs w:val="22"/>
              </w:rPr>
            </w:pPr>
            <w:r w:rsidRPr="00267D53">
              <w:rPr>
                <w:rFonts w:ascii="Calibri" w:hAnsi="Calibri"/>
                <w:b/>
                <w:color w:val="000000"/>
                <w:sz w:val="22"/>
                <w:szCs w:val="22"/>
              </w:rPr>
              <w:t>12,60%</w:t>
            </w:r>
          </w:p>
        </w:tc>
      </w:tr>
    </w:tbl>
    <w:p w14:paraId="6E15DE86" w14:textId="77777777" w:rsidR="000E281E" w:rsidRPr="00267D53"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Arial Unicode MS" w:hAnsi="Calibri" w:cs="Arial Unicode MS"/>
          <w:color w:val="000000"/>
          <w:sz w:val="18"/>
          <w:szCs w:val="20"/>
        </w:rPr>
      </w:pPr>
      <w:r w:rsidRPr="00267D53">
        <w:rPr>
          <w:rFonts w:ascii="Arial Unicode MS" w:eastAsia="Arial Unicode MS" w:hAnsi="Arial Unicode MS" w:cs="Arial Unicode MS"/>
          <w:color w:val="000000"/>
          <w:sz w:val="14"/>
          <w:szCs w:val="20"/>
        </w:rPr>
        <w:t xml:space="preserve">     </w:t>
      </w:r>
      <w:r w:rsidRPr="00267D53">
        <w:rPr>
          <w:rFonts w:ascii="Arial Unicode MS" w:eastAsia="Arial Unicode MS" w:hAnsi="Arial Unicode MS" w:cs="Arial Unicode MS"/>
          <w:color w:val="000000"/>
          <w:sz w:val="14"/>
          <w:szCs w:val="20"/>
        </w:rPr>
        <w:tab/>
      </w:r>
      <w:r w:rsidRPr="00267D53">
        <w:rPr>
          <w:rFonts w:ascii="Calibri" w:eastAsia="Arial Unicode MS" w:hAnsi="Calibri" w:cs="Arial Unicode MS"/>
          <w:color w:val="000000"/>
          <w:sz w:val="18"/>
          <w:szCs w:val="20"/>
        </w:rPr>
        <w:t xml:space="preserve">     Fuente: Elaboración propia con datos suministrados por entidades</w:t>
      </w:r>
    </w:p>
    <w:p w14:paraId="5806B14A" w14:textId="77777777" w:rsidR="000E281E" w:rsidRPr="00267D53" w:rsidRDefault="000E281E" w:rsidP="000E2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Arial Unicode MS" w:hAnsi="Calibri" w:cs="Arial Unicode MS"/>
          <w:color w:val="000000"/>
          <w:sz w:val="18"/>
          <w:szCs w:val="20"/>
        </w:rPr>
      </w:pPr>
      <w:r w:rsidRPr="00267D53">
        <w:rPr>
          <w:rFonts w:ascii="Calibri" w:eastAsia="Arial Unicode MS" w:hAnsi="Calibri" w:cs="Arial Unicode MS"/>
          <w:color w:val="000000"/>
          <w:sz w:val="18"/>
          <w:szCs w:val="20"/>
        </w:rPr>
        <w:t xml:space="preserve">   </w:t>
      </w:r>
      <w:r w:rsidRPr="00267D53">
        <w:rPr>
          <w:rFonts w:ascii="Calibri" w:eastAsia="Arial Unicode MS" w:hAnsi="Calibri" w:cs="Arial Unicode MS"/>
          <w:color w:val="000000"/>
          <w:sz w:val="18"/>
          <w:szCs w:val="20"/>
        </w:rPr>
        <w:tab/>
        <w:t xml:space="preserve">     Nota: Comisión sobre Saldo y Rendimientos Nominales</w:t>
      </w:r>
    </w:p>
    <w:p w14:paraId="7792F010" w14:textId="77777777" w:rsidR="000E281E" w:rsidRPr="00267D53" w:rsidRDefault="000E281E" w:rsidP="000E281E">
      <w:pPr>
        <w:rPr>
          <w:sz w:val="22"/>
          <w:lang w:eastAsia="es-ES_tradnl"/>
        </w:rPr>
      </w:pPr>
    </w:p>
    <w:p w14:paraId="179741A0" w14:textId="77777777" w:rsidR="000E281E" w:rsidRPr="000E281E" w:rsidRDefault="000E281E" w:rsidP="000E281E">
      <w:pPr>
        <w:rPr>
          <w:lang w:val="es-ES_tradnl" w:eastAsia="es-ES_tradnl"/>
        </w:rPr>
      </w:pPr>
    </w:p>
    <w:p w14:paraId="06A9490F" w14:textId="230C5023" w:rsidR="007343BE" w:rsidRDefault="007343BE" w:rsidP="00452C71">
      <w:pPr>
        <w:rPr>
          <w:rFonts w:asciiTheme="majorHAnsi" w:hAnsiTheme="majorHAnsi" w:cs="Arial"/>
          <w:b/>
          <w:bCs/>
          <w:sz w:val="22"/>
          <w:szCs w:val="22"/>
        </w:rPr>
      </w:pPr>
      <w:r w:rsidRPr="00CC5050">
        <w:rPr>
          <w:rFonts w:asciiTheme="majorHAnsi" w:hAnsiTheme="majorHAnsi" w:cs="Arial"/>
          <w:b/>
          <w:bCs/>
          <w:sz w:val="22"/>
          <w:szCs w:val="22"/>
        </w:rPr>
        <w:t xml:space="preserve">Análisis </w:t>
      </w:r>
      <w:r w:rsidR="00836014">
        <w:rPr>
          <w:rFonts w:asciiTheme="majorHAnsi" w:hAnsiTheme="majorHAnsi" w:cs="Arial"/>
          <w:b/>
          <w:bCs/>
          <w:sz w:val="22"/>
          <w:szCs w:val="22"/>
        </w:rPr>
        <w:t>del Entorno</w:t>
      </w:r>
    </w:p>
    <w:p w14:paraId="470BB739" w14:textId="77777777" w:rsidR="00BA7ADB" w:rsidRPr="00060053" w:rsidRDefault="00BA7ADB" w:rsidP="00452C71">
      <w:pPr>
        <w:rPr>
          <w:rFonts w:asciiTheme="majorHAnsi" w:hAnsiTheme="majorHAnsi" w:cs="Arial"/>
          <w:b/>
          <w:bCs/>
          <w:sz w:val="22"/>
          <w:szCs w:val="22"/>
        </w:rPr>
      </w:pPr>
    </w:p>
    <w:p w14:paraId="06A94911" w14:textId="29EF1121" w:rsidR="007343BE" w:rsidRPr="00060053" w:rsidRDefault="007343BE" w:rsidP="00CC5050">
      <w:pPr>
        <w:jc w:val="both"/>
        <w:rPr>
          <w:rFonts w:asciiTheme="majorHAnsi" w:hAnsiTheme="majorHAnsi" w:cs="Arial"/>
          <w:sz w:val="22"/>
          <w:szCs w:val="22"/>
        </w:rPr>
      </w:pPr>
      <w:r w:rsidRPr="00060053">
        <w:rPr>
          <w:rFonts w:asciiTheme="majorHAnsi" w:hAnsiTheme="majorHAnsi" w:cs="Arial"/>
          <w:sz w:val="22"/>
          <w:szCs w:val="22"/>
        </w:rPr>
        <w:t xml:space="preserve">Las variables consideradas para la elaboración del presupuesto institucional que están fuera del control de la </w:t>
      </w:r>
      <w:r w:rsidR="0006243B">
        <w:rPr>
          <w:rFonts w:asciiTheme="majorHAnsi" w:hAnsiTheme="majorHAnsi" w:cs="Arial"/>
          <w:sz w:val="22"/>
          <w:szCs w:val="22"/>
        </w:rPr>
        <w:t>SUPEN</w:t>
      </w:r>
      <w:r w:rsidRPr="00060053">
        <w:rPr>
          <w:rFonts w:asciiTheme="majorHAnsi" w:hAnsiTheme="majorHAnsi" w:cs="Arial"/>
          <w:sz w:val="22"/>
          <w:szCs w:val="22"/>
        </w:rPr>
        <w:t xml:space="preserve"> </w:t>
      </w:r>
      <w:r w:rsidR="00CC5050">
        <w:rPr>
          <w:rFonts w:asciiTheme="majorHAnsi" w:hAnsiTheme="majorHAnsi" w:cs="Arial"/>
          <w:sz w:val="22"/>
          <w:szCs w:val="22"/>
        </w:rPr>
        <w:t>son dos, a saber</w:t>
      </w:r>
      <w:r w:rsidRPr="00060053">
        <w:rPr>
          <w:rFonts w:asciiTheme="majorHAnsi" w:hAnsiTheme="majorHAnsi" w:cs="Arial"/>
          <w:sz w:val="22"/>
          <w:szCs w:val="22"/>
        </w:rPr>
        <w:t>:</w:t>
      </w:r>
    </w:p>
    <w:p w14:paraId="06A94912" w14:textId="3ECE9EA2" w:rsidR="007343BE" w:rsidRPr="00060053" w:rsidRDefault="007343BE" w:rsidP="00452C71">
      <w:pPr>
        <w:rPr>
          <w:rFonts w:asciiTheme="majorHAnsi" w:hAnsiTheme="majorHAnsi" w:cs="Arial"/>
          <w:sz w:val="22"/>
          <w:szCs w:val="22"/>
        </w:rPr>
      </w:pPr>
    </w:p>
    <w:p w14:paraId="06A94913" w14:textId="14B3DF0E" w:rsidR="007343BE" w:rsidRPr="00C75828" w:rsidRDefault="00BA7ADB" w:rsidP="00547B19">
      <w:pPr>
        <w:pStyle w:val="Prrafodelista"/>
        <w:numPr>
          <w:ilvl w:val="0"/>
          <w:numId w:val="13"/>
        </w:numPr>
        <w:rPr>
          <w:rFonts w:asciiTheme="majorHAnsi" w:hAnsiTheme="majorHAnsi" w:cs="Arial"/>
          <w:sz w:val="22"/>
        </w:rPr>
      </w:pPr>
      <w:r>
        <w:rPr>
          <w:rFonts w:asciiTheme="majorHAnsi" w:hAnsiTheme="majorHAnsi" w:cs="Arial"/>
          <w:sz w:val="22"/>
        </w:rPr>
        <w:t>Tipo de cambio</w:t>
      </w:r>
    </w:p>
    <w:p w14:paraId="06A94914" w14:textId="0EF56102" w:rsidR="007343BE" w:rsidRDefault="00BA7ADB" w:rsidP="00547B19">
      <w:pPr>
        <w:pStyle w:val="Prrafodelista"/>
        <w:numPr>
          <w:ilvl w:val="0"/>
          <w:numId w:val="13"/>
        </w:numPr>
        <w:rPr>
          <w:rFonts w:asciiTheme="majorHAnsi" w:hAnsiTheme="majorHAnsi" w:cs="Arial"/>
          <w:sz w:val="22"/>
        </w:rPr>
      </w:pPr>
      <w:r>
        <w:rPr>
          <w:rFonts w:asciiTheme="majorHAnsi" w:hAnsiTheme="majorHAnsi" w:cs="Arial"/>
          <w:sz w:val="22"/>
        </w:rPr>
        <w:t>Inflación</w:t>
      </w:r>
    </w:p>
    <w:p w14:paraId="06A94915" w14:textId="13635E7B" w:rsidR="007343BE" w:rsidRPr="00060053" w:rsidRDefault="007343BE" w:rsidP="00452C71">
      <w:pPr>
        <w:rPr>
          <w:rFonts w:asciiTheme="majorHAnsi" w:hAnsiTheme="majorHAnsi" w:cs="Arial"/>
          <w:sz w:val="22"/>
          <w:szCs w:val="22"/>
        </w:rPr>
      </w:pPr>
    </w:p>
    <w:p w14:paraId="0C503A71" w14:textId="7E6563E7" w:rsidR="0032357E" w:rsidRPr="00CE7665" w:rsidRDefault="0032357E" w:rsidP="00CC5050">
      <w:pPr>
        <w:jc w:val="both"/>
        <w:rPr>
          <w:rFonts w:asciiTheme="majorHAnsi" w:hAnsiTheme="majorHAnsi" w:cs="Arial"/>
          <w:sz w:val="22"/>
          <w:szCs w:val="22"/>
        </w:rPr>
      </w:pPr>
      <w:r w:rsidRPr="00CE7665">
        <w:rPr>
          <w:rFonts w:asciiTheme="majorHAnsi" w:hAnsiTheme="majorHAnsi" w:cs="Arial"/>
          <w:sz w:val="22"/>
          <w:szCs w:val="22"/>
        </w:rPr>
        <w:t xml:space="preserve">En relación con la estimación de gastos e inversión se consideraron las necesidades institucionales, y las directrices que para tal efecto dictó la Junta Directiva del </w:t>
      </w:r>
      <w:r w:rsidR="001B1EFF">
        <w:rPr>
          <w:rFonts w:asciiTheme="majorHAnsi" w:hAnsiTheme="majorHAnsi" w:cs="Arial"/>
          <w:sz w:val="22"/>
          <w:szCs w:val="22"/>
        </w:rPr>
        <w:t>BCCR</w:t>
      </w:r>
      <w:r w:rsidRPr="00CE7665">
        <w:rPr>
          <w:rFonts w:asciiTheme="majorHAnsi" w:hAnsiTheme="majorHAnsi" w:cs="Arial"/>
          <w:sz w:val="22"/>
          <w:szCs w:val="22"/>
        </w:rPr>
        <w:t xml:space="preserve"> y el CONASSIF.</w:t>
      </w:r>
    </w:p>
    <w:p w14:paraId="076A0917" w14:textId="77777777" w:rsidR="0032357E" w:rsidRPr="00CE7665" w:rsidRDefault="0032357E" w:rsidP="00CC5050">
      <w:pPr>
        <w:jc w:val="both"/>
        <w:rPr>
          <w:rFonts w:asciiTheme="majorHAnsi" w:hAnsiTheme="majorHAnsi" w:cs="Arial"/>
          <w:sz w:val="22"/>
          <w:szCs w:val="22"/>
        </w:rPr>
      </w:pPr>
    </w:p>
    <w:p w14:paraId="06A94916" w14:textId="4FE094B3" w:rsidR="007343BE" w:rsidRPr="00CE7665" w:rsidRDefault="00CC5050" w:rsidP="00CC5050">
      <w:pPr>
        <w:jc w:val="both"/>
        <w:rPr>
          <w:rFonts w:asciiTheme="majorHAnsi" w:hAnsiTheme="majorHAnsi" w:cs="Arial"/>
          <w:sz w:val="22"/>
          <w:szCs w:val="22"/>
        </w:rPr>
      </w:pPr>
      <w:r w:rsidRPr="00CE7665">
        <w:rPr>
          <w:rFonts w:asciiTheme="majorHAnsi" w:hAnsiTheme="majorHAnsi" w:cs="Arial"/>
          <w:sz w:val="22"/>
          <w:szCs w:val="22"/>
        </w:rPr>
        <w:t>Por lo tanto, p</w:t>
      </w:r>
      <w:r w:rsidR="007343BE" w:rsidRPr="00CE7665">
        <w:rPr>
          <w:rFonts w:asciiTheme="majorHAnsi" w:hAnsiTheme="majorHAnsi" w:cs="Arial"/>
          <w:sz w:val="22"/>
          <w:szCs w:val="22"/>
        </w:rPr>
        <w:t xml:space="preserve">ara </w:t>
      </w:r>
      <w:r w:rsidR="00186E87" w:rsidRPr="00CE7665">
        <w:rPr>
          <w:rFonts w:asciiTheme="majorHAnsi" w:hAnsiTheme="majorHAnsi" w:cs="Arial"/>
          <w:sz w:val="22"/>
          <w:szCs w:val="22"/>
        </w:rPr>
        <w:t>presupuestar los</w:t>
      </w:r>
      <w:r w:rsidR="007343BE" w:rsidRPr="00CE7665">
        <w:rPr>
          <w:rFonts w:asciiTheme="majorHAnsi" w:hAnsiTheme="majorHAnsi" w:cs="Arial"/>
          <w:sz w:val="22"/>
          <w:szCs w:val="22"/>
        </w:rPr>
        <w:t xml:space="preserve"> colones de los requerimientos</w:t>
      </w:r>
      <w:r w:rsidR="00C75828" w:rsidRPr="00CE7665">
        <w:rPr>
          <w:rFonts w:asciiTheme="majorHAnsi" w:hAnsiTheme="majorHAnsi" w:cs="Arial"/>
          <w:sz w:val="22"/>
          <w:szCs w:val="22"/>
        </w:rPr>
        <w:t xml:space="preserve"> y compromisos </w:t>
      </w:r>
      <w:r w:rsidR="007343BE" w:rsidRPr="00CE7665">
        <w:rPr>
          <w:rFonts w:asciiTheme="majorHAnsi" w:hAnsiTheme="majorHAnsi" w:cs="Arial"/>
          <w:sz w:val="22"/>
          <w:szCs w:val="22"/>
        </w:rPr>
        <w:t xml:space="preserve">cuyos costos están dados en dólares, se está utilizando el tipo de cambio, proyectado de </w:t>
      </w:r>
      <w:r w:rsidR="00CE7665" w:rsidRPr="00CE7665">
        <w:rPr>
          <w:rFonts w:asciiTheme="majorHAnsi" w:hAnsiTheme="majorHAnsi" w:cs="Arial"/>
          <w:sz w:val="22"/>
          <w:szCs w:val="22"/>
        </w:rPr>
        <w:t>565,09</w:t>
      </w:r>
      <w:r w:rsidR="00927EEF" w:rsidRPr="00CE7665">
        <w:rPr>
          <w:rFonts w:asciiTheme="majorHAnsi" w:hAnsiTheme="majorHAnsi" w:cs="Arial"/>
          <w:sz w:val="22"/>
          <w:szCs w:val="22"/>
        </w:rPr>
        <w:t>,</w:t>
      </w:r>
      <w:r w:rsidR="007343BE" w:rsidRPr="00CE7665">
        <w:rPr>
          <w:rFonts w:asciiTheme="majorHAnsi" w:hAnsiTheme="majorHAnsi" w:cs="Arial"/>
          <w:sz w:val="22"/>
          <w:szCs w:val="22"/>
        </w:rPr>
        <w:t xml:space="preserve"> colones por dólar de los Estados Unidos de América.</w:t>
      </w:r>
    </w:p>
    <w:p w14:paraId="06A94917" w14:textId="40DF4AAC" w:rsidR="007343BE" w:rsidRPr="00CE7665" w:rsidRDefault="007343BE" w:rsidP="00452C71">
      <w:pPr>
        <w:rPr>
          <w:rFonts w:asciiTheme="majorHAnsi" w:hAnsiTheme="majorHAnsi" w:cs="Arial"/>
          <w:sz w:val="22"/>
          <w:szCs w:val="22"/>
        </w:rPr>
      </w:pPr>
    </w:p>
    <w:p w14:paraId="4B2061D1" w14:textId="2CE06921" w:rsidR="00CE7665" w:rsidRDefault="00CE7665" w:rsidP="00CE7665">
      <w:pPr>
        <w:jc w:val="both"/>
        <w:rPr>
          <w:rFonts w:asciiTheme="majorHAnsi" w:hAnsiTheme="majorHAnsi" w:cs="Arial"/>
          <w:sz w:val="22"/>
          <w:szCs w:val="22"/>
        </w:rPr>
      </w:pPr>
      <w:r w:rsidRPr="00CE7665">
        <w:rPr>
          <w:rFonts w:asciiTheme="majorHAnsi" w:hAnsiTheme="majorHAnsi" w:cs="Arial"/>
          <w:sz w:val="22"/>
          <w:szCs w:val="22"/>
        </w:rPr>
        <w:t xml:space="preserve">En junio de 2016 la inflación fue -0,9%, medida con la variación interanual del Índice </w:t>
      </w:r>
      <w:r w:rsidR="002D1B39">
        <w:rPr>
          <w:rFonts w:asciiTheme="majorHAnsi" w:hAnsiTheme="majorHAnsi" w:cs="Arial"/>
          <w:sz w:val="22"/>
          <w:szCs w:val="22"/>
        </w:rPr>
        <w:t>de Precios al C</w:t>
      </w:r>
      <w:r>
        <w:rPr>
          <w:rFonts w:asciiTheme="majorHAnsi" w:hAnsiTheme="majorHAnsi" w:cs="Arial"/>
          <w:sz w:val="22"/>
          <w:szCs w:val="22"/>
        </w:rPr>
        <w:t>onsumidor (IPC)</w:t>
      </w:r>
      <w:r w:rsidRPr="00CE7665">
        <w:rPr>
          <w:rFonts w:asciiTheme="majorHAnsi" w:hAnsiTheme="majorHAnsi" w:cs="Arial"/>
          <w:sz w:val="22"/>
          <w:szCs w:val="22"/>
        </w:rPr>
        <w:t>, registrando así 12 meses consecutivos co</w:t>
      </w:r>
      <w:r>
        <w:rPr>
          <w:rFonts w:asciiTheme="majorHAnsi" w:hAnsiTheme="majorHAnsi" w:cs="Arial"/>
          <w:sz w:val="22"/>
          <w:szCs w:val="22"/>
        </w:rPr>
        <w:t>n tasas de variación negativas</w:t>
      </w:r>
      <w:r w:rsidRPr="00CE7665">
        <w:rPr>
          <w:rFonts w:asciiTheme="majorHAnsi" w:hAnsiTheme="majorHAnsi" w:cs="Arial"/>
          <w:sz w:val="22"/>
          <w:szCs w:val="22"/>
        </w:rPr>
        <w:t>.</w:t>
      </w:r>
    </w:p>
    <w:p w14:paraId="59FAD32B" w14:textId="77777777" w:rsidR="00CE7665" w:rsidRPr="00CE7665" w:rsidRDefault="00CE7665" w:rsidP="00CE7665">
      <w:pPr>
        <w:jc w:val="both"/>
        <w:rPr>
          <w:rFonts w:asciiTheme="majorHAnsi" w:hAnsiTheme="majorHAnsi" w:cs="Arial"/>
          <w:sz w:val="22"/>
          <w:szCs w:val="22"/>
        </w:rPr>
      </w:pPr>
    </w:p>
    <w:p w14:paraId="174D054F" w14:textId="4501394C" w:rsidR="00CE7665" w:rsidRDefault="00CE7665" w:rsidP="00CE7665">
      <w:pPr>
        <w:jc w:val="both"/>
        <w:rPr>
          <w:rFonts w:asciiTheme="majorHAnsi" w:hAnsiTheme="majorHAnsi" w:cs="Arial"/>
          <w:sz w:val="22"/>
          <w:szCs w:val="22"/>
        </w:rPr>
      </w:pPr>
      <w:r w:rsidRPr="00CE7665">
        <w:rPr>
          <w:rFonts w:asciiTheme="majorHAnsi" w:hAnsiTheme="majorHAnsi" w:cs="Arial"/>
          <w:sz w:val="22"/>
          <w:szCs w:val="22"/>
        </w:rPr>
        <w:t xml:space="preserve">Valores por debajo del rango meta de inflación (3% ±1 p.p.) fueron previstos en la formulación del Programa Macroeconómico 2016-2017, en el tanto </w:t>
      </w:r>
      <w:r w:rsidR="0006243B">
        <w:rPr>
          <w:rFonts w:asciiTheme="majorHAnsi" w:hAnsiTheme="majorHAnsi" w:cs="Arial"/>
          <w:sz w:val="22"/>
          <w:szCs w:val="22"/>
        </w:rPr>
        <w:t>el BCCR</w:t>
      </w:r>
      <w:r w:rsidRPr="00CE7665">
        <w:rPr>
          <w:rFonts w:asciiTheme="majorHAnsi" w:hAnsiTheme="majorHAnsi" w:cs="Arial"/>
          <w:sz w:val="22"/>
          <w:szCs w:val="22"/>
        </w:rPr>
        <w:t xml:space="preserve"> reconoció la existencia de efectos asociados a los bajos precios internacionales de materias primas (inflación importada12). </w:t>
      </w:r>
    </w:p>
    <w:p w14:paraId="7A5BC240" w14:textId="77777777" w:rsidR="00CE7665" w:rsidRDefault="00CE7665" w:rsidP="00CE7665">
      <w:pPr>
        <w:jc w:val="both"/>
        <w:rPr>
          <w:rFonts w:asciiTheme="majorHAnsi" w:hAnsiTheme="majorHAnsi" w:cs="Arial"/>
          <w:sz w:val="22"/>
          <w:szCs w:val="22"/>
        </w:rPr>
      </w:pPr>
    </w:p>
    <w:p w14:paraId="5D001B9A" w14:textId="0A284554" w:rsidR="00BE3EA5" w:rsidRDefault="00CE7665" w:rsidP="00CE7665">
      <w:pPr>
        <w:jc w:val="both"/>
        <w:rPr>
          <w:rFonts w:asciiTheme="majorHAnsi" w:hAnsiTheme="majorHAnsi" w:cs="Arial"/>
          <w:sz w:val="22"/>
          <w:szCs w:val="22"/>
        </w:rPr>
      </w:pPr>
      <w:r w:rsidRPr="00CE7665">
        <w:rPr>
          <w:rFonts w:asciiTheme="majorHAnsi" w:hAnsiTheme="majorHAnsi" w:cs="Arial"/>
          <w:sz w:val="22"/>
          <w:szCs w:val="22"/>
        </w:rPr>
        <w:lastRenderedPageBreak/>
        <w:t>Además, en la primera mitad del año, disminuyó el precio de los bienes y servicios regulados (combustibles para vehículo) y hubo una relativa estabilidad cambiaria. Así, el resultado de la inflación en este lapso respondió a choques de oferta y no a medidas rest</w:t>
      </w:r>
      <w:r>
        <w:rPr>
          <w:rFonts w:asciiTheme="majorHAnsi" w:hAnsiTheme="majorHAnsi" w:cs="Arial"/>
          <w:sz w:val="22"/>
          <w:szCs w:val="22"/>
        </w:rPr>
        <w:t>rictivas de política monetaria.</w:t>
      </w:r>
    </w:p>
    <w:p w14:paraId="45F85B97" w14:textId="77777777" w:rsidR="00E578DA" w:rsidRDefault="00E578DA" w:rsidP="00CE7665">
      <w:pPr>
        <w:jc w:val="both"/>
        <w:rPr>
          <w:rFonts w:asciiTheme="majorHAnsi" w:hAnsiTheme="majorHAnsi" w:cs="Arial"/>
          <w:sz w:val="22"/>
          <w:szCs w:val="22"/>
        </w:rPr>
      </w:pPr>
    </w:p>
    <w:p w14:paraId="4DACE381" w14:textId="01451F0F" w:rsidR="00CE7665" w:rsidRPr="00CE7665" w:rsidRDefault="00CE7665" w:rsidP="00CE7665">
      <w:pPr>
        <w:jc w:val="both"/>
        <w:rPr>
          <w:rFonts w:asciiTheme="majorHAnsi" w:hAnsiTheme="majorHAnsi" w:cs="Arial"/>
          <w:sz w:val="22"/>
          <w:szCs w:val="22"/>
        </w:rPr>
      </w:pPr>
      <w:r w:rsidRPr="00CE7665">
        <w:rPr>
          <w:rFonts w:asciiTheme="majorHAnsi" w:hAnsiTheme="majorHAnsi" w:cs="Arial"/>
          <w:sz w:val="22"/>
          <w:szCs w:val="22"/>
        </w:rPr>
        <w:t>La inflación subyacente, indicador de la inflación de largo plazo y sobre el cual la política monetaria tiene influencia, fue de 0,4% en promedio en el lapso enero-junio 2016 (2,1% en el 2015), lo cual es señal de ausencia de presiones de demanda sobre los precios.</w:t>
      </w:r>
    </w:p>
    <w:p w14:paraId="167C284E" w14:textId="77777777" w:rsidR="00CE7665" w:rsidRDefault="00CE7665" w:rsidP="00CE7665">
      <w:pPr>
        <w:jc w:val="both"/>
        <w:rPr>
          <w:rFonts w:asciiTheme="majorHAnsi" w:hAnsiTheme="majorHAnsi" w:cs="Arial"/>
          <w:sz w:val="22"/>
          <w:szCs w:val="22"/>
        </w:rPr>
      </w:pPr>
    </w:p>
    <w:p w14:paraId="7CA0B98E" w14:textId="60CDF34E" w:rsidR="00CE7665" w:rsidRPr="00CE7665" w:rsidRDefault="00CE7665" w:rsidP="00CE7665">
      <w:pPr>
        <w:jc w:val="both"/>
        <w:rPr>
          <w:rFonts w:asciiTheme="majorHAnsi" w:hAnsiTheme="majorHAnsi" w:cs="Arial"/>
          <w:sz w:val="22"/>
          <w:szCs w:val="22"/>
        </w:rPr>
      </w:pPr>
      <w:r w:rsidRPr="00CE7665">
        <w:rPr>
          <w:rFonts w:asciiTheme="majorHAnsi" w:hAnsiTheme="majorHAnsi" w:cs="Arial"/>
          <w:sz w:val="22"/>
          <w:szCs w:val="22"/>
        </w:rPr>
        <w:t xml:space="preserve">Por su parte, las expectativas de inflación han estado por 15 meses consecutivos dentro del rango objetivo, lo cual denota la mejora en la credibilidad de los agentes económicos en las medidas monetarias del </w:t>
      </w:r>
      <w:r w:rsidR="00827141">
        <w:rPr>
          <w:rFonts w:asciiTheme="majorHAnsi" w:hAnsiTheme="majorHAnsi" w:cs="Arial"/>
          <w:sz w:val="22"/>
          <w:szCs w:val="22"/>
        </w:rPr>
        <w:t>BCCR</w:t>
      </w:r>
      <w:r w:rsidRPr="00CE7665">
        <w:rPr>
          <w:rFonts w:asciiTheme="majorHAnsi" w:hAnsiTheme="majorHAnsi" w:cs="Arial"/>
          <w:sz w:val="22"/>
          <w:szCs w:val="22"/>
        </w:rPr>
        <w:t>.</w:t>
      </w:r>
    </w:p>
    <w:p w14:paraId="3422FDB8" w14:textId="77777777" w:rsidR="00CE7665" w:rsidRDefault="00CE7665" w:rsidP="00CE7665">
      <w:pPr>
        <w:jc w:val="both"/>
        <w:rPr>
          <w:rFonts w:asciiTheme="majorHAnsi" w:hAnsiTheme="majorHAnsi" w:cs="Arial"/>
          <w:sz w:val="22"/>
          <w:szCs w:val="22"/>
        </w:rPr>
      </w:pPr>
    </w:p>
    <w:p w14:paraId="2D3804F1" w14:textId="7593FA7D" w:rsidR="00CE7665" w:rsidRDefault="00CE7665" w:rsidP="00CE7665">
      <w:pPr>
        <w:jc w:val="both"/>
        <w:rPr>
          <w:rFonts w:asciiTheme="majorHAnsi" w:hAnsiTheme="majorHAnsi" w:cs="Arial"/>
          <w:sz w:val="22"/>
          <w:szCs w:val="22"/>
        </w:rPr>
      </w:pPr>
      <w:r w:rsidRPr="00CE7665">
        <w:rPr>
          <w:rFonts w:asciiTheme="majorHAnsi" w:hAnsiTheme="majorHAnsi" w:cs="Arial"/>
          <w:sz w:val="22"/>
          <w:szCs w:val="22"/>
        </w:rPr>
        <w:t xml:space="preserve">De manera prospectiva, en el tanto disminuyan los efectos de la baja inflación importada, los determinantes de la inflación de largo plazo (agregados monetarios y crediticios) y de corto plazo (expectativas de inflación y brecha del producto) evolucionan de manera coherente con la convergencia gradual de la inflación al rango meta definido en este Programa. El </w:t>
      </w:r>
      <w:r w:rsidR="00827141">
        <w:rPr>
          <w:rFonts w:asciiTheme="majorHAnsi" w:hAnsiTheme="majorHAnsi" w:cs="Arial"/>
          <w:sz w:val="22"/>
          <w:szCs w:val="22"/>
        </w:rPr>
        <w:t>BCCR</w:t>
      </w:r>
      <w:r w:rsidRPr="00CE7665">
        <w:rPr>
          <w:rFonts w:asciiTheme="majorHAnsi" w:hAnsiTheme="majorHAnsi" w:cs="Arial"/>
          <w:sz w:val="22"/>
          <w:szCs w:val="22"/>
        </w:rPr>
        <w:t xml:space="preserve"> no anticipa tensiones adicionales de demanda. Las estimaciones señalan que existe una alta probabilidad de que la inflación presente valores interanuales positivos, pero bajos, en el segundo semestre de 2016, y que retorne al rango meta hasta inicios del próximo año.</w:t>
      </w:r>
    </w:p>
    <w:p w14:paraId="682FBD4F" w14:textId="77777777" w:rsidR="00BE3EA5" w:rsidRDefault="00BE3EA5" w:rsidP="00452C71">
      <w:pPr>
        <w:rPr>
          <w:rFonts w:asciiTheme="majorHAnsi" w:hAnsiTheme="majorHAnsi" w:cs="Arial"/>
          <w:sz w:val="22"/>
          <w:szCs w:val="22"/>
        </w:rPr>
      </w:pPr>
    </w:p>
    <w:p w14:paraId="06A9491C" w14:textId="2AEB1422" w:rsidR="00C67008" w:rsidRDefault="00C67008" w:rsidP="00145B06">
      <w:pPr>
        <w:rPr>
          <w:rFonts w:asciiTheme="majorHAnsi" w:hAnsiTheme="majorHAnsi"/>
          <w:b/>
          <w:sz w:val="22"/>
          <w:szCs w:val="22"/>
        </w:rPr>
      </w:pPr>
      <w:r w:rsidRPr="00EE0A1A">
        <w:rPr>
          <w:rFonts w:asciiTheme="majorHAnsi" w:hAnsiTheme="majorHAnsi"/>
          <w:b/>
          <w:sz w:val="22"/>
          <w:szCs w:val="22"/>
        </w:rPr>
        <w:t>Análisis de</w:t>
      </w:r>
      <w:r w:rsidR="00F8652C">
        <w:rPr>
          <w:rFonts w:asciiTheme="majorHAnsi" w:hAnsiTheme="majorHAnsi"/>
          <w:b/>
          <w:sz w:val="22"/>
          <w:szCs w:val="22"/>
        </w:rPr>
        <w:t xml:space="preserve"> </w:t>
      </w:r>
      <w:r w:rsidR="001E3772">
        <w:rPr>
          <w:rFonts w:asciiTheme="majorHAnsi" w:hAnsiTheme="majorHAnsi"/>
          <w:b/>
          <w:sz w:val="22"/>
          <w:szCs w:val="22"/>
        </w:rPr>
        <w:t xml:space="preserve">fortalezas </w:t>
      </w:r>
      <w:r w:rsidR="00F8652C">
        <w:rPr>
          <w:rFonts w:asciiTheme="majorHAnsi" w:hAnsiTheme="majorHAnsi"/>
          <w:b/>
          <w:sz w:val="22"/>
          <w:szCs w:val="22"/>
        </w:rPr>
        <w:t>oportunidades</w:t>
      </w:r>
      <w:r w:rsidR="001E3772">
        <w:rPr>
          <w:rFonts w:asciiTheme="majorHAnsi" w:hAnsiTheme="majorHAnsi"/>
          <w:b/>
          <w:sz w:val="22"/>
          <w:szCs w:val="22"/>
        </w:rPr>
        <w:t>, debilidades y amenazas</w:t>
      </w:r>
      <w:r w:rsidR="00812DE9">
        <w:rPr>
          <w:rFonts w:asciiTheme="majorHAnsi" w:hAnsiTheme="majorHAnsi"/>
          <w:b/>
          <w:sz w:val="22"/>
          <w:szCs w:val="22"/>
        </w:rPr>
        <w:t xml:space="preserve"> </w:t>
      </w:r>
      <w:r w:rsidR="00812DE9">
        <w:rPr>
          <w:rStyle w:val="Refdenotaalpie"/>
          <w:rFonts w:asciiTheme="majorHAnsi" w:hAnsiTheme="majorHAnsi"/>
          <w:b/>
          <w:sz w:val="22"/>
          <w:szCs w:val="22"/>
        </w:rPr>
        <w:footnoteReference w:id="4"/>
      </w:r>
      <w:r w:rsidR="00812DE9">
        <w:rPr>
          <w:rFonts w:asciiTheme="majorHAnsi" w:hAnsiTheme="majorHAnsi"/>
          <w:b/>
          <w:sz w:val="22"/>
          <w:szCs w:val="22"/>
        </w:rPr>
        <w:t xml:space="preserve"> </w:t>
      </w:r>
    </w:p>
    <w:p w14:paraId="325829A4" w14:textId="77777777" w:rsidR="00106F09" w:rsidRPr="00EE0A1A" w:rsidRDefault="00106F09" w:rsidP="00145B06">
      <w:pPr>
        <w:rPr>
          <w:rFonts w:asciiTheme="majorHAnsi" w:hAnsiTheme="majorHAnsi"/>
          <w:b/>
          <w:sz w:val="22"/>
          <w:szCs w:val="22"/>
        </w:rPr>
      </w:pPr>
    </w:p>
    <w:p w14:paraId="34BEB921" w14:textId="7DF21882" w:rsidR="001B7A26" w:rsidRDefault="001B7A26" w:rsidP="001B7A26">
      <w:pPr>
        <w:widowControl w:val="0"/>
        <w:jc w:val="both"/>
        <w:rPr>
          <w:rFonts w:asciiTheme="majorHAnsi" w:hAnsiTheme="majorHAnsi"/>
          <w:iCs/>
          <w:sz w:val="22"/>
          <w:szCs w:val="22"/>
        </w:rPr>
      </w:pPr>
      <w:r>
        <w:rPr>
          <w:rFonts w:asciiTheme="majorHAnsi" w:hAnsiTheme="majorHAnsi"/>
          <w:iCs/>
          <w:sz w:val="22"/>
          <w:szCs w:val="22"/>
        </w:rPr>
        <w:t>Para este apartado en la SUPEN</w:t>
      </w:r>
      <w:r w:rsidR="001B6E70">
        <w:rPr>
          <w:rFonts w:asciiTheme="majorHAnsi" w:hAnsiTheme="majorHAnsi"/>
          <w:iCs/>
          <w:sz w:val="22"/>
          <w:szCs w:val="22"/>
        </w:rPr>
        <w:t>, en vez de hacer un análisis FODA</w:t>
      </w:r>
      <w:r>
        <w:rPr>
          <w:rFonts w:asciiTheme="majorHAnsi" w:hAnsiTheme="majorHAnsi"/>
          <w:iCs/>
          <w:sz w:val="22"/>
          <w:szCs w:val="22"/>
        </w:rPr>
        <w:t xml:space="preserve"> se realizó un </w:t>
      </w:r>
      <w:r w:rsidR="001B6E70">
        <w:rPr>
          <w:rFonts w:asciiTheme="majorHAnsi" w:hAnsiTheme="majorHAnsi"/>
          <w:iCs/>
          <w:sz w:val="22"/>
          <w:szCs w:val="22"/>
        </w:rPr>
        <w:t>estudio</w:t>
      </w:r>
      <w:r>
        <w:rPr>
          <w:rFonts w:asciiTheme="majorHAnsi" w:hAnsiTheme="majorHAnsi"/>
          <w:iCs/>
          <w:sz w:val="22"/>
          <w:szCs w:val="22"/>
        </w:rPr>
        <w:t xml:space="preserve"> a nivel micro, aplicado para cada objetivo estratégico</w:t>
      </w:r>
      <w:r w:rsidR="00E00BA6">
        <w:rPr>
          <w:rFonts w:asciiTheme="majorHAnsi" w:hAnsiTheme="majorHAnsi"/>
          <w:iCs/>
          <w:sz w:val="22"/>
          <w:szCs w:val="22"/>
        </w:rPr>
        <w:t xml:space="preserve"> en específico</w:t>
      </w:r>
      <w:r>
        <w:rPr>
          <w:rFonts w:asciiTheme="majorHAnsi" w:hAnsiTheme="majorHAnsi"/>
          <w:iCs/>
          <w:sz w:val="22"/>
          <w:szCs w:val="22"/>
        </w:rPr>
        <w:t xml:space="preserve">, de esa manera se determinan los retos </w:t>
      </w:r>
      <w:r w:rsidR="00F8652C">
        <w:rPr>
          <w:rFonts w:asciiTheme="majorHAnsi" w:hAnsiTheme="majorHAnsi"/>
          <w:iCs/>
          <w:sz w:val="22"/>
          <w:szCs w:val="22"/>
        </w:rPr>
        <w:t>que conlleva</w:t>
      </w:r>
      <w:r>
        <w:rPr>
          <w:rFonts w:asciiTheme="majorHAnsi" w:hAnsiTheme="majorHAnsi"/>
          <w:iCs/>
          <w:sz w:val="22"/>
          <w:szCs w:val="22"/>
        </w:rPr>
        <w:t xml:space="preserve"> cada uno</w:t>
      </w:r>
      <w:r w:rsidR="002D482E">
        <w:rPr>
          <w:rFonts w:asciiTheme="majorHAnsi" w:hAnsiTheme="majorHAnsi"/>
          <w:iCs/>
          <w:sz w:val="22"/>
          <w:szCs w:val="22"/>
        </w:rPr>
        <w:t xml:space="preserve"> </w:t>
      </w:r>
      <w:r w:rsidR="00F8652C">
        <w:rPr>
          <w:rFonts w:asciiTheme="majorHAnsi" w:hAnsiTheme="majorHAnsi"/>
          <w:iCs/>
          <w:sz w:val="22"/>
          <w:szCs w:val="22"/>
        </w:rPr>
        <w:t>para lograr la meta programada</w:t>
      </w:r>
      <w:r>
        <w:rPr>
          <w:rFonts w:asciiTheme="majorHAnsi" w:hAnsiTheme="majorHAnsi"/>
          <w:iCs/>
          <w:sz w:val="22"/>
          <w:szCs w:val="22"/>
        </w:rPr>
        <w:t xml:space="preserve">.  </w:t>
      </w:r>
      <w:r w:rsidR="00F8652C">
        <w:rPr>
          <w:rFonts w:asciiTheme="majorHAnsi" w:hAnsiTheme="majorHAnsi"/>
          <w:iCs/>
          <w:sz w:val="22"/>
          <w:szCs w:val="22"/>
        </w:rPr>
        <w:t>Los r</w:t>
      </w:r>
      <w:r w:rsidR="002B0C80">
        <w:rPr>
          <w:rFonts w:asciiTheme="majorHAnsi" w:hAnsiTheme="majorHAnsi"/>
          <w:iCs/>
          <w:sz w:val="22"/>
          <w:szCs w:val="22"/>
        </w:rPr>
        <w:t xml:space="preserve">etos </w:t>
      </w:r>
      <w:r w:rsidR="00F8652C">
        <w:rPr>
          <w:rFonts w:asciiTheme="majorHAnsi" w:hAnsiTheme="majorHAnsi"/>
          <w:iCs/>
          <w:sz w:val="22"/>
          <w:szCs w:val="22"/>
        </w:rPr>
        <w:t>detectados</w:t>
      </w:r>
      <w:r w:rsidR="002B0C80">
        <w:rPr>
          <w:rFonts w:asciiTheme="majorHAnsi" w:hAnsiTheme="majorHAnsi"/>
          <w:iCs/>
          <w:sz w:val="22"/>
          <w:szCs w:val="22"/>
        </w:rPr>
        <w:t xml:space="preserve"> viene</w:t>
      </w:r>
      <w:r w:rsidR="00F8652C">
        <w:rPr>
          <w:rFonts w:asciiTheme="majorHAnsi" w:hAnsiTheme="majorHAnsi"/>
          <w:iCs/>
          <w:sz w:val="22"/>
          <w:szCs w:val="22"/>
        </w:rPr>
        <w:t>n</w:t>
      </w:r>
      <w:r w:rsidR="002B0C80">
        <w:rPr>
          <w:rFonts w:asciiTheme="majorHAnsi" w:hAnsiTheme="majorHAnsi"/>
          <w:iCs/>
          <w:sz w:val="22"/>
          <w:szCs w:val="22"/>
        </w:rPr>
        <w:t xml:space="preserve"> a representar de una forma diferente las fortalezas, oportunidades, debilidades y amenazas que desde nuestra perspectiva pueden influir </w:t>
      </w:r>
      <w:r w:rsidR="000965BF">
        <w:rPr>
          <w:rFonts w:asciiTheme="majorHAnsi" w:hAnsiTheme="majorHAnsi"/>
          <w:iCs/>
          <w:sz w:val="22"/>
          <w:szCs w:val="22"/>
        </w:rPr>
        <w:t xml:space="preserve">en la ejecución del plan estratégico y </w:t>
      </w:r>
      <w:r w:rsidR="002B0C80">
        <w:rPr>
          <w:rFonts w:asciiTheme="majorHAnsi" w:hAnsiTheme="majorHAnsi"/>
          <w:iCs/>
          <w:sz w:val="22"/>
          <w:szCs w:val="22"/>
        </w:rPr>
        <w:t xml:space="preserve">el éxito </w:t>
      </w:r>
      <w:r w:rsidR="00F8652C">
        <w:rPr>
          <w:rFonts w:asciiTheme="majorHAnsi" w:hAnsiTheme="majorHAnsi"/>
          <w:iCs/>
          <w:sz w:val="22"/>
          <w:szCs w:val="22"/>
        </w:rPr>
        <w:t>institucional</w:t>
      </w:r>
      <w:r w:rsidR="002B0C80">
        <w:rPr>
          <w:rFonts w:asciiTheme="majorHAnsi" w:hAnsiTheme="majorHAnsi"/>
          <w:iCs/>
          <w:sz w:val="22"/>
          <w:szCs w:val="22"/>
        </w:rPr>
        <w:t xml:space="preserve">. </w:t>
      </w:r>
    </w:p>
    <w:p w14:paraId="13D0EBC7" w14:textId="77777777" w:rsidR="001B7A26" w:rsidRDefault="001B7A26" w:rsidP="00B44062">
      <w:pPr>
        <w:widowControl w:val="0"/>
        <w:jc w:val="both"/>
        <w:rPr>
          <w:rFonts w:asciiTheme="majorHAnsi" w:hAnsiTheme="majorHAnsi"/>
          <w:iCs/>
          <w:sz w:val="22"/>
          <w:szCs w:val="22"/>
        </w:rPr>
      </w:pPr>
    </w:p>
    <w:p w14:paraId="49349A9A" w14:textId="01B0EEB3" w:rsidR="005A774B" w:rsidRDefault="001B7A26" w:rsidP="00B44062">
      <w:pPr>
        <w:widowControl w:val="0"/>
        <w:jc w:val="both"/>
        <w:rPr>
          <w:rFonts w:asciiTheme="majorHAnsi" w:hAnsiTheme="majorHAnsi"/>
          <w:iCs/>
          <w:sz w:val="22"/>
          <w:szCs w:val="22"/>
        </w:rPr>
      </w:pPr>
      <w:r>
        <w:rPr>
          <w:rFonts w:asciiTheme="majorHAnsi" w:hAnsiTheme="majorHAnsi"/>
          <w:iCs/>
          <w:sz w:val="22"/>
          <w:szCs w:val="22"/>
        </w:rPr>
        <w:t xml:space="preserve">Este cambio se debe </w:t>
      </w:r>
      <w:r w:rsidR="000965BF">
        <w:rPr>
          <w:rFonts w:asciiTheme="majorHAnsi" w:hAnsiTheme="majorHAnsi"/>
          <w:iCs/>
          <w:sz w:val="22"/>
          <w:szCs w:val="22"/>
        </w:rPr>
        <w:t xml:space="preserve">principalmente </w:t>
      </w:r>
      <w:r>
        <w:rPr>
          <w:rFonts w:asciiTheme="majorHAnsi" w:hAnsiTheme="majorHAnsi"/>
          <w:iCs/>
          <w:sz w:val="22"/>
          <w:szCs w:val="22"/>
        </w:rPr>
        <w:t xml:space="preserve">a </w:t>
      </w:r>
      <w:r w:rsidR="006A107C">
        <w:rPr>
          <w:rFonts w:asciiTheme="majorHAnsi" w:hAnsiTheme="majorHAnsi"/>
          <w:iCs/>
          <w:sz w:val="22"/>
          <w:szCs w:val="22"/>
        </w:rPr>
        <w:t xml:space="preserve">que un análisis FODA </w:t>
      </w:r>
      <w:r w:rsidR="005A774B" w:rsidRPr="005A774B">
        <w:rPr>
          <w:rFonts w:asciiTheme="majorHAnsi" w:hAnsiTheme="majorHAnsi"/>
          <w:iCs/>
          <w:sz w:val="22"/>
          <w:szCs w:val="22"/>
        </w:rPr>
        <w:t xml:space="preserve">es simple en </w:t>
      </w:r>
      <w:r w:rsidR="000965BF">
        <w:rPr>
          <w:rFonts w:asciiTheme="majorHAnsi" w:hAnsiTheme="majorHAnsi"/>
          <w:iCs/>
          <w:sz w:val="22"/>
          <w:szCs w:val="22"/>
        </w:rPr>
        <w:t>primera instancia</w:t>
      </w:r>
      <w:r w:rsidR="005A774B" w:rsidRPr="005A774B">
        <w:rPr>
          <w:rFonts w:asciiTheme="majorHAnsi" w:hAnsiTheme="majorHAnsi"/>
          <w:iCs/>
          <w:sz w:val="22"/>
          <w:szCs w:val="22"/>
        </w:rPr>
        <w:t>, no se presenta para una consideración crítica</w:t>
      </w:r>
      <w:r w:rsidR="000965BF">
        <w:rPr>
          <w:rFonts w:asciiTheme="majorHAnsi" w:hAnsiTheme="majorHAnsi"/>
          <w:iCs/>
          <w:sz w:val="22"/>
          <w:szCs w:val="22"/>
        </w:rPr>
        <w:t xml:space="preserve"> en específico</w:t>
      </w:r>
      <w:r w:rsidR="005A774B" w:rsidRPr="005A774B">
        <w:rPr>
          <w:rFonts w:asciiTheme="majorHAnsi" w:hAnsiTheme="majorHAnsi"/>
          <w:iCs/>
          <w:sz w:val="22"/>
          <w:szCs w:val="22"/>
        </w:rPr>
        <w:t xml:space="preserve">. </w:t>
      </w:r>
      <w:r w:rsidR="000965BF">
        <w:rPr>
          <w:rFonts w:asciiTheme="majorHAnsi" w:hAnsiTheme="majorHAnsi"/>
          <w:iCs/>
          <w:sz w:val="22"/>
          <w:szCs w:val="22"/>
        </w:rPr>
        <w:t>Por otra parte, s</w:t>
      </w:r>
      <w:r w:rsidR="005A774B" w:rsidRPr="005A774B">
        <w:rPr>
          <w:rFonts w:asciiTheme="majorHAnsi" w:hAnsiTheme="majorHAnsi"/>
          <w:iCs/>
          <w:sz w:val="22"/>
          <w:szCs w:val="22"/>
        </w:rPr>
        <w:t xml:space="preserve">i la </w:t>
      </w:r>
      <w:r w:rsidR="00E17B39">
        <w:rPr>
          <w:rFonts w:asciiTheme="majorHAnsi" w:hAnsiTheme="majorHAnsi"/>
          <w:iCs/>
          <w:sz w:val="22"/>
          <w:szCs w:val="22"/>
        </w:rPr>
        <w:t>organización</w:t>
      </w:r>
      <w:r w:rsidR="00CB0ED1">
        <w:rPr>
          <w:rFonts w:asciiTheme="majorHAnsi" w:hAnsiTheme="majorHAnsi"/>
          <w:iCs/>
          <w:sz w:val="22"/>
          <w:szCs w:val="22"/>
        </w:rPr>
        <w:t xml:space="preserve"> se </w:t>
      </w:r>
      <w:r w:rsidR="005A774B" w:rsidRPr="005A774B">
        <w:rPr>
          <w:rFonts w:asciiTheme="majorHAnsi" w:hAnsiTheme="majorHAnsi"/>
          <w:iCs/>
          <w:sz w:val="22"/>
          <w:szCs w:val="22"/>
        </w:rPr>
        <w:t xml:space="preserve">centra sólo en la elaboración de listas, puede que no esté lo suficientemente centrada en las formas de lograr sus objetivos. </w:t>
      </w:r>
      <w:r>
        <w:rPr>
          <w:rFonts w:asciiTheme="majorHAnsi" w:hAnsiTheme="majorHAnsi"/>
          <w:iCs/>
          <w:sz w:val="22"/>
          <w:szCs w:val="22"/>
        </w:rPr>
        <w:t>Además, cabe la posibilidad de</w:t>
      </w:r>
      <w:r w:rsidR="005A774B" w:rsidRPr="005A774B">
        <w:rPr>
          <w:rFonts w:asciiTheme="majorHAnsi" w:hAnsiTheme="majorHAnsi"/>
          <w:iCs/>
          <w:sz w:val="22"/>
          <w:szCs w:val="22"/>
        </w:rPr>
        <w:t xml:space="preserve"> que los puntos pueden no estar adecuadamente priorizados</w:t>
      </w:r>
      <w:r w:rsidR="000965BF">
        <w:rPr>
          <w:rFonts w:asciiTheme="majorHAnsi" w:hAnsiTheme="majorHAnsi"/>
          <w:iCs/>
          <w:sz w:val="22"/>
          <w:szCs w:val="22"/>
        </w:rPr>
        <w:t xml:space="preserve"> y focalizados</w:t>
      </w:r>
      <w:r w:rsidR="005A774B" w:rsidRPr="005A774B">
        <w:rPr>
          <w:rFonts w:asciiTheme="majorHAnsi" w:hAnsiTheme="majorHAnsi"/>
          <w:iCs/>
          <w:sz w:val="22"/>
          <w:szCs w:val="22"/>
        </w:rPr>
        <w:t xml:space="preserve">. </w:t>
      </w:r>
      <w:r w:rsidR="001E3772">
        <w:rPr>
          <w:rFonts w:asciiTheme="majorHAnsi" w:hAnsiTheme="majorHAnsi"/>
          <w:iCs/>
          <w:sz w:val="22"/>
          <w:szCs w:val="22"/>
        </w:rPr>
        <w:t>Asimismo, h</w:t>
      </w:r>
      <w:r>
        <w:rPr>
          <w:rFonts w:asciiTheme="majorHAnsi" w:hAnsiTheme="majorHAnsi"/>
          <w:iCs/>
          <w:sz w:val="22"/>
          <w:szCs w:val="22"/>
        </w:rPr>
        <w:t>ay que tomar en consideración que u</w:t>
      </w:r>
      <w:r w:rsidR="005A774B" w:rsidRPr="005A774B">
        <w:rPr>
          <w:rFonts w:asciiTheme="majorHAnsi" w:hAnsiTheme="majorHAnsi"/>
          <w:iCs/>
          <w:sz w:val="22"/>
          <w:szCs w:val="22"/>
        </w:rPr>
        <w:t>na larga lista de deficiencias, puede parecer que ha sido cancelada por una lista aún más larga de las fortalezas, incluso si las debilidades son significativas y deben ser tratadas.</w:t>
      </w:r>
    </w:p>
    <w:p w14:paraId="3BF46F60" w14:textId="77777777" w:rsidR="009767D2" w:rsidRDefault="009767D2" w:rsidP="00B44062">
      <w:pPr>
        <w:widowControl w:val="0"/>
        <w:jc w:val="both"/>
        <w:rPr>
          <w:rFonts w:asciiTheme="majorHAnsi" w:hAnsiTheme="majorHAnsi"/>
          <w:iCs/>
          <w:sz w:val="22"/>
          <w:szCs w:val="22"/>
        </w:rPr>
      </w:pPr>
    </w:p>
    <w:p w14:paraId="2B619CE7" w14:textId="7BD9D47E" w:rsidR="009767D2" w:rsidRDefault="009767D2" w:rsidP="00B44062">
      <w:pPr>
        <w:widowControl w:val="0"/>
        <w:jc w:val="both"/>
        <w:rPr>
          <w:rFonts w:asciiTheme="majorHAnsi" w:hAnsiTheme="majorHAnsi"/>
          <w:iCs/>
          <w:sz w:val="22"/>
          <w:szCs w:val="22"/>
        </w:rPr>
      </w:pPr>
      <w:r>
        <w:rPr>
          <w:rFonts w:asciiTheme="majorHAnsi" w:hAnsiTheme="majorHAnsi"/>
          <w:iCs/>
          <w:sz w:val="22"/>
          <w:szCs w:val="22"/>
        </w:rPr>
        <w:t xml:space="preserve">Dado lo anterior, seguidamente se presentan por cada objetivo estratégico los retos </w:t>
      </w:r>
      <w:r w:rsidR="001E3772">
        <w:rPr>
          <w:rFonts w:asciiTheme="majorHAnsi" w:hAnsiTheme="majorHAnsi"/>
          <w:iCs/>
          <w:sz w:val="22"/>
          <w:szCs w:val="22"/>
        </w:rPr>
        <w:t>que lo acompañan, para la consecución del objetivo previsto:</w:t>
      </w:r>
    </w:p>
    <w:p w14:paraId="5A5CBB92" w14:textId="7E127BAA" w:rsidR="005C6548" w:rsidRDefault="005C6548" w:rsidP="00B44062">
      <w:pPr>
        <w:widowControl w:val="0"/>
        <w:jc w:val="both"/>
        <w:rPr>
          <w:rFonts w:asciiTheme="majorHAnsi" w:hAnsiTheme="majorHAnsi"/>
          <w:iCs/>
          <w:sz w:val="22"/>
          <w:szCs w:val="22"/>
        </w:rPr>
      </w:pPr>
    </w:p>
    <w:p w14:paraId="3796D720" w14:textId="77777777" w:rsidR="001B7A26" w:rsidRPr="00CB0ED1" w:rsidRDefault="001B7A26" w:rsidP="002B0C80">
      <w:pPr>
        <w:widowControl w:val="0"/>
        <w:jc w:val="both"/>
        <w:rPr>
          <w:rFonts w:asciiTheme="majorHAnsi" w:hAnsiTheme="majorHAnsi"/>
          <w:iCs/>
          <w:sz w:val="22"/>
          <w:szCs w:val="22"/>
        </w:rPr>
      </w:pPr>
    </w:p>
    <w:p w14:paraId="04B2392F" w14:textId="003F09CB" w:rsidR="005A774B" w:rsidRPr="00CB0ED1" w:rsidRDefault="00CB0ED1" w:rsidP="002B0C80">
      <w:pPr>
        <w:widowControl w:val="0"/>
        <w:jc w:val="both"/>
        <w:rPr>
          <w:rFonts w:asciiTheme="majorHAnsi" w:hAnsiTheme="majorHAnsi"/>
          <w:b/>
          <w:iCs/>
          <w:sz w:val="22"/>
          <w:szCs w:val="22"/>
        </w:rPr>
      </w:pPr>
      <w:r w:rsidRPr="00CB0ED1">
        <w:rPr>
          <w:rFonts w:asciiTheme="majorHAnsi" w:hAnsiTheme="majorHAnsi"/>
          <w:b/>
          <w:iCs/>
          <w:sz w:val="22"/>
          <w:szCs w:val="22"/>
        </w:rPr>
        <w:t>Objetivo 1: Vigilar a los participantes en el S</w:t>
      </w:r>
      <w:r w:rsidR="008B3D21">
        <w:rPr>
          <w:rFonts w:asciiTheme="majorHAnsi" w:hAnsiTheme="majorHAnsi"/>
          <w:b/>
          <w:iCs/>
          <w:sz w:val="22"/>
          <w:szCs w:val="22"/>
        </w:rPr>
        <w:t xml:space="preserve">istema </w:t>
      </w:r>
      <w:r w:rsidRPr="00CB0ED1">
        <w:rPr>
          <w:rFonts w:asciiTheme="majorHAnsi" w:hAnsiTheme="majorHAnsi"/>
          <w:b/>
          <w:iCs/>
          <w:sz w:val="22"/>
          <w:szCs w:val="22"/>
        </w:rPr>
        <w:t>N</w:t>
      </w:r>
      <w:r w:rsidR="008B3D21">
        <w:rPr>
          <w:rFonts w:asciiTheme="majorHAnsi" w:hAnsiTheme="majorHAnsi"/>
          <w:b/>
          <w:iCs/>
          <w:sz w:val="22"/>
          <w:szCs w:val="22"/>
        </w:rPr>
        <w:t xml:space="preserve">acional de </w:t>
      </w:r>
      <w:r w:rsidRPr="00CB0ED1">
        <w:rPr>
          <w:rFonts w:asciiTheme="majorHAnsi" w:hAnsiTheme="majorHAnsi"/>
          <w:b/>
          <w:iCs/>
          <w:sz w:val="22"/>
          <w:szCs w:val="22"/>
        </w:rPr>
        <w:t>P</w:t>
      </w:r>
      <w:r w:rsidR="008B3D21">
        <w:rPr>
          <w:rFonts w:asciiTheme="majorHAnsi" w:hAnsiTheme="majorHAnsi"/>
          <w:b/>
          <w:iCs/>
          <w:sz w:val="22"/>
          <w:szCs w:val="22"/>
        </w:rPr>
        <w:t>ensiones</w:t>
      </w:r>
    </w:p>
    <w:p w14:paraId="56457BEE" w14:textId="77777777" w:rsidR="00EE0A1A" w:rsidRPr="00CB0ED1" w:rsidRDefault="00EE0A1A" w:rsidP="002B0C80">
      <w:pPr>
        <w:rPr>
          <w:rFonts w:asciiTheme="majorHAnsi" w:hAnsiTheme="majorHAnsi"/>
          <w:sz w:val="22"/>
          <w:szCs w:val="22"/>
        </w:rPr>
      </w:pPr>
    </w:p>
    <w:p w14:paraId="59284006" w14:textId="77777777" w:rsidR="00CB0ED1" w:rsidRPr="00CB0ED1" w:rsidRDefault="00CB0ED1" w:rsidP="002B0C80">
      <w:pPr>
        <w:ind w:firstLine="360"/>
        <w:rPr>
          <w:rFonts w:asciiTheme="majorHAnsi" w:hAnsiTheme="majorHAnsi"/>
          <w:b/>
          <w:sz w:val="22"/>
          <w:szCs w:val="22"/>
        </w:rPr>
      </w:pPr>
      <w:r w:rsidRPr="00CB0ED1">
        <w:rPr>
          <w:rFonts w:asciiTheme="majorHAnsi" w:hAnsiTheme="majorHAnsi"/>
          <w:b/>
          <w:sz w:val="22"/>
          <w:szCs w:val="22"/>
        </w:rPr>
        <w:t>Retos actuales</w:t>
      </w:r>
    </w:p>
    <w:p w14:paraId="713E534C" w14:textId="23F3CEF6" w:rsidR="00CB0ED1" w:rsidRPr="00CB0ED1" w:rsidRDefault="00527AA1" w:rsidP="002B0C80">
      <w:pPr>
        <w:pStyle w:val="Prrafodelista"/>
        <w:numPr>
          <w:ilvl w:val="0"/>
          <w:numId w:val="62"/>
        </w:numPr>
        <w:spacing w:after="200"/>
        <w:rPr>
          <w:rFonts w:asciiTheme="majorHAnsi" w:hAnsiTheme="majorHAnsi"/>
          <w:sz w:val="22"/>
        </w:rPr>
      </w:pPr>
      <w:r>
        <w:rPr>
          <w:rFonts w:asciiTheme="majorHAnsi" w:hAnsiTheme="majorHAnsi"/>
          <w:sz w:val="22"/>
        </w:rPr>
        <w:t>A</w:t>
      </w:r>
      <w:r w:rsidR="00CB0ED1" w:rsidRPr="00CB0ED1">
        <w:rPr>
          <w:rFonts w:asciiTheme="majorHAnsi" w:hAnsiTheme="majorHAnsi"/>
          <w:sz w:val="22"/>
        </w:rPr>
        <w:t>plicar el modelo de supervisión recientemente desarrollado por el supervisor a todos los participantes en el Sistema Nacional de Pensiones, de tal ma</w:t>
      </w:r>
      <w:r w:rsidR="00827141">
        <w:rPr>
          <w:rFonts w:asciiTheme="majorHAnsi" w:hAnsiTheme="majorHAnsi"/>
          <w:sz w:val="22"/>
        </w:rPr>
        <w:t>nera que se amplíe</w:t>
      </w:r>
      <w:r w:rsidR="00CB0ED1" w:rsidRPr="00CB0ED1">
        <w:rPr>
          <w:rFonts w:asciiTheme="majorHAnsi" w:hAnsiTheme="majorHAnsi"/>
          <w:sz w:val="22"/>
        </w:rPr>
        <w:t xml:space="preserve"> el marco </w:t>
      </w:r>
      <w:r w:rsidR="00CB0ED1" w:rsidRPr="00CB0ED1">
        <w:rPr>
          <w:rFonts w:asciiTheme="majorHAnsi" w:hAnsiTheme="majorHAnsi"/>
          <w:sz w:val="22"/>
        </w:rPr>
        <w:lastRenderedPageBreak/>
        <w:t>de diagnóstico mediante el cual se identifican y priorizan las mejoras que el gestor debe incluir en sus procesos, a efecto de que cumpla con la misión de proteger y potenciar el ahorro de los trabajadores de cara a las pensiones.</w:t>
      </w:r>
    </w:p>
    <w:p w14:paraId="129E2658" w14:textId="46817845" w:rsidR="00CB0ED1" w:rsidRDefault="00527AA1" w:rsidP="002B0C80">
      <w:pPr>
        <w:pStyle w:val="Prrafodelista"/>
        <w:numPr>
          <w:ilvl w:val="0"/>
          <w:numId w:val="62"/>
        </w:numPr>
        <w:rPr>
          <w:rFonts w:asciiTheme="majorHAnsi" w:hAnsiTheme="majorHAnsi"/>
          <w:sz w:val="22"/>
        </w:rPr>
      </w:pPr>
      <w:r>
        <w:rPr>
          <w:rFonts w:asciiTheme="majorHAnsi" w:hAnsiTheme="majorHAnsi"/>
          <w:sz w:val="22"/>
        </w:rPr>
        <w:t>Remozar</w:t>
      </w:r>
      <w:r w:rsidR="00CB0ED1" w:rsidRPr="00CB0ED1">
        <w:rPr>
          <w:rFonts w:asciiTheme="majorHAnsi" w:hAnsiTheme="majorHAnsi"/>
          <w:sz w:val="22"/>
        </w:rPr>
        <w:t xml:space="preserve"> el marco regulatorio para que se adapte al nuevo modelo de supervisión, ya que en la actualidad los reglamentos, acuerdos y manuales se ha</w:t>
      </w:r>
      <w:r>
        <w:rPr>
          <w:rFonts w:asciiTheme="majorHAnsi" w:hAnsiTheme="majorHAnsi"/>
          <w:sz w:val="22"/>
        </w:rPr>
        <w:t>n</w:t>
      </w:r>
      <w:r w:rsidR="00CB0ED1" w:rsidRPr="00CB0ED1">
        <w:rPr>
          <w:rFonts w:asciiTheme="majorHAnsi" w:hAnsiTheme="majorHAnsi"/>
          <w:sz w:val="22"/>
        </w:rPr>
        <w:t xml:space="preserve"> desarrollado en diferentes momentos en el tiempo, lo que ha hecho que algunos se adapten mejor que otros a la visión de la nueva supervisión. Se hace necesario entrar en un proceso integral de revisión que no sólo actualice, sino que desregule aquello que por madurez o estándar de gestión ya no sea necesario establecer, de tal manera que se simplifique y alinee su entendimiento para todos los participantes.</w:t>
      </w:r>
    </w:p>
    <w:p w14:paraId="0E86EDB6" w14:textId="77777777" w:rsidR="00527AA1" w:rsidRDefault="00527AA1" w:rsidP="002B0C80">
      <w:pPr>
        <w:pStyle w:val="Prrafodelista"/>
        <w:numPr>
          <w:ilvl w:val="0"/>
          <w:numId w:val="62"/>
        </w:numPr>
        <w:rPr>
          <w:rFonts w:asciiTheme="majorHAnsi" w:hAnsiTheme="majorHAnsi"/>
          <w:sz w:val="22"/>
        </w:rPr>
      </w:pPr>
      <w:r>
        <w:rPr>
          <w:rFonts w:asciiTheme="majorHAnsi" w:hAnsiTheme="majorHAnsi"/>
          <w:sz w:val="22"/>
        </w:rPr>
        <w:t>Promover</w:t>
      </w:r>
      <w:r w:rsidR="00CB0ED1" w:rsidRPr="00CB0ED1">
        <w:rPr>
          <w:rFonts w:asciiTheme="majorHAnsi" w:hAnsiTheme="majorHAnsi"/>
          <w:sz w:val="22"/>
        </w:rPr>
        <w:t xml:space="preserve"> el mejoramiento de la industria previsional, en el sentido de que pueda atender mejor las necesidades de los clientes y pueda optimizar procesos de cara a la gestión que se exige en ámbitos de competencia o de tr</w:t>
      </w:r>
      <w:r>
        <w:rPr>
          <w:rFonts w:asciiTheme="majorHAnsi" w:hAnsiTheme="majorHAnsi"/>
          <w:sz w:val="22"/>
        </w:rPr>
        <w:t>ansparencia para los afiliados.</w:t>
      </w:r>
    </w:p>
    <w:p w14:paraId="42B04582" w14:textId="695A11EB" w:rsidR="00EE0A1A" w:rsidRPr="00CB0ED1" w:rsidRDefault="00527AA1" w:rsidP="002B0C80">
      <w:pPr>
        <w:pStyle w:val="Prrafodelista"/>
        <w:numPr>
          <w:ilvl w:val="0"/>
          <w:numId w:val="62"/>
        </w:numPr>
        <w:rPr>
          <w:rFonts w:asciiTheme="majorHAnsi" w:hAnsiTheme="majorHAnsi"/>
          <w:sz w:val="22"/>
        </w:rPr>
      </w:pPr>
      <w:r>
        <w:rPr>
          <w:rFonts w:asciiTheme="majorHAnsi" w:hAnsiTheme="majorHAnsi"/>
          <w:sz w:val="22"/>
        </w:rPr>
        <w:t>Fomentar</w:t>
      </w:r>
      <w:r w:rsidR="00CB0ED1" w:rsidRPr="00CB0ED1">
        <w:rPr>
          <w:rFonts w:asciiTheme="majorHAnsi" w:hAnsiTheme="majorHAnsi"/>
          <w:sz w:val="22"/>
        </w:rPr>
        <w:t xml:space="preserve"> la creación de más y mejores servicios para los afiliados, así como la posibilidad de eliminar los controles establecidos vía regulación que generan gastos y que no son acompañados necesariamente con la generación de valor para quienes los poseen.</w:t>
      </w:r>
    </w:p>
    <w:p w14:paraId="4B70F01D" w14:textId="77777777" w:rsidR="00E578DA" w:rsidRPr="00CB0ED1" w:rsidRDefault="00E578DA" w:rsidP="002B0C80">
      <w:pPr>
        <w:rPr>
          <w:rFonts w:asciiTheme="majorHAnsi" w:hAnsiTheme="majorHAnsi"/>
          <w:sz w:val="22"/>
          <w:szCs w:val="22"/>
        </w:rPr>
      </w:pPr>
    </w:p>
    <w:p w14:paraId="46B864B2" w14:textId="5395A269" w:rsidR="00E578DA" w:rsidRPr="002B0C80" w:rsidRDefault="002B0C80" w:rsidP="002B0C80">
      <w:pPr>
        <w:rPr>
          <w:rFonts w:asciiTheme="majorHAnsi" w:hAnsiTheme="majorHAnsi"/>
          <w:b/>
          <w:sz w:val="22"/>
          <w:szCs w:val="22"/>
        </w:rPr>
      </w:pPr>
      <w:r w:rsidRPr="002B0C80">
        <w:rPr>
          <w:rFonts w:asciiTheme="majorHAnsi" w:hAnsiTheme="majorHAnsi"/>
          <w:b/>
          <w:sz w:val="22"/>
          <w:szCs w:val="22"/>
        </w:rPr>
        <w:t>Objetivo 2: Fortalecer el sistema de pensiones y ahorro laboral</w:t>
      </w:r>
    </w:p>
    <w:p w14:paraId="1EC2A897" w14:textId="77777777" w:rsidR="00EE0A1A" w:rsidRDefault="00EE0A1A" w:rsidP="002B0C80">
      <w:pPr>
        <w:pStyle w:val="Textoindependiente"/>
        <w:spacing w:line="240" w:lineRule="auto"/>
        <w:rPr>
          <w:rFonts w:asciiTheme="majorHAnsi" w:hAnsiTheme="majorHAnsi"/>
          <w:b/>
          <w:sz w:val="22"/>
          <w:szCs w:val="22"/>
        </w:rPr>
      </w:pPr>
    </w:p>
    <w:p w14:paraId="71C2C3EC" w14:textId="77777777" w:rsidR="002B0C80" w:rsidRPr="002B0C80" w:rsidRDefault="002B0C80" w:rsidP="002B0C80">
      <w:pPr>
        <w:pStyle w:val="Ttulo2"/>
        <w:rPr>
          <w:rFonts w:asciiTheme="majorHAnsi" w:hAnsiTheme="majorHAnsi"/>
          <w:sz w:val="22"/>
          <w:szCs w:val="22"/>
        </w:rPr>
      </w:pPr>
      <w:r w:rsidRPr="002B0C80">
        <w:rPr>
          <w:rFonts w:asciiTheme="majorHAnsi" w:hAnsiTheme="majorHAnsi"/>
          <w:sz w:val="22"/>
          <w:szCs w:val="22"/>
        </w:rPr>
        <w:t>Retos actuales</w:t>
      </w:r>
    </w:p>
    <w:p w14:paraId="4926C521" w14:textId="77777777" w:rsidR="00527AA1" w:rsidRDefault="00527AA1" w:rsidP="00527AA1">
      <w:pPr>
        <w:pStyle w:val="Prrafodelista"/>
        <w:numPr>
          <w:ilvl w:val="0"/>
          <w:numId w:val="60"/>
        </w:numPr>
        <w:spacing w:after="200"/>
        <w:rPr>
          <w:rFonts w:asciiTheme="majorHAnsi" w:hAnsiTheme="majorHAnsi"/>
          <w:sz w:val="22"/>
        </w:rPr>
      </w:pPr>
      <w:r w:rsidRPr="00527AA1">
        <w:rPr>
          <w:rFonts w:asciiTheme="majorHAnsi" w:hAnsiTheme="majorHAnsi"/>
          <w:sz w:val="22"/>
          <w:lang w:val="es-ES_tradnl"/>
        </w:rPr>
        <w:t>Iniciar</w:t>
      </w:r>
      <w:r w:rsidRPr="00527AA1">
        <w:rPr>
          <w:rFonts w:asciiTheme="majorHAnsi" w:hAnsiTheme="majorHAnsi"/>
          <w:sz w:val="22"/>
        </w:rPr>
        <w:t xml:space="preserve"> un debate nacional que transparente los problemas existentes y evitar que alguno de los fondos de pensión entre en estado de insolvencia. Esto debido a que a</w:t>
      </w:r>
      <w:r w:rsidR="002B0C80" w:rsidRPr="00527AA1">
        <w:rPr>
          <w:rFonts w:asciiTheme="majorHAnsi" w:hAnsiTheme="majorHAnsi"/>
          <w:sz w:val="22"/>
        </w:rPr>
        <w:t xml:space="preserve">lgunos planes de pensión tienen problemas de diseño, porque los beneficios que se otorgan no son sostenibles en el largo plazo, </w:t>
      </w:r>
      <w:r>
        <w:rPr>
          <w:rFonts w:asciiTheme="majorHAnsi" w:hAnsiTheme="majorHAnsi"/>
          <w:sz w:val="22"/>
        </w:rPr>
        <w:t>porque</w:t>
      </w:r>
      <w:r w:rsidR="002B0C80" w:rsidRPr="00527AA1">
        <w:rPr>
          <w:rFonts w:asciiTheme="majorHAnsi" w:hAnsiTheme="majorHAnsi"/>
          <w:sz w:val="22"/>
        </w:rPr>
        <w:t xml:space="preserve"> fueron </w:t>
      </w:r>
      <w:r>
        <w:rPr>
          <w:rFonts w:asciiTheme="majorHAnsi" w:hAnsiTheme="majorHAnsi"/>
          <w:sz w:val="22"/>
        </w:rPr>
        <w:t>diseñados</w:t>
      </w:r>
      <w:r w:rsidR="002B0C80" w:rsidRPr="00527AA1">
        <w:rPr>
          <w:rFonts w:asciiTheme="majorHAnsi" w:hAnsiTheme="majorHAnsi"/>
          <w:sz w:val="22"/>
        </w:rPr>
        <w:t xml:space="preserve"> en épocas y con condiciones diferentes. </w:t>
      </w:r>
    </w:p>
    <w:p w14:paraId="40BAE0CC" w14:textId="0BAF6F96" w:rsidR="002B0C80" w:rsidRPr="00527AA1" w:rsidRDefault="00527AA1" w:rsidP="00527AA1">
      <w:pPr>
        <w:pStyle w:val="Prrafodelista"/>
        <w:numPr>
          <w:ilvl w:val="0"/>
          <w:numId w:val="60"/>
        </w:numPr>
        <w:spacing w:after="200"/>
        <w:rPr>
          <w:rFonts w:asciiTheme="majorHAnsi" w:hAnsiTheme="majorHAnsi"/>
          <w:sz w:val="22"/>
        </w:rPr>
      </w:pPr>
      <w:r>
        <w:rPr>
          <w:rFonts w:asciiTheme="majorHAnsi" w:hAnsiTheme="majorHAnsi"/>
          <w:sz w:val="22"/>
        </w:rPr>
        <w:t>Formular</w:t>
      </w:r>
      <w:r w:rsidR="002B0C80" w:rsidRPr="00527AA1">
        <w:rPr>
          <w:rFonts w:asciiTheme="majorHAnsi" w:hAnsiTheme="majorHAnsi"/>
          <w:sz w:val="22"/>
        </w:rPr>
        <w:t xml:space="preserve"> una propuesta </w:t>
      </w:r>
      <w:r w:rsidRPr="00527AA1">
        <w:rPr>
          <w:rFonts w:asciiTheme="majorHAnsi" w:hAnsiTheme="majorHAnsi"/>
          <w:sz w:val="22"/>
        </w:rPr>
        <w:t xml:space="preserve">políticamente viable </w:t>
      </w:r>
      <w:r w:rsidR="002B0C80" w:rsidRPr="00527AA1">
        <w:rPr>
          <w:rFonts w:asciiTheme="majorHAnsi" w:hAnsiTheme="majorHAnsi"/>
          <w:sz w:val="22"/>
        </w:rPr>
        <w:t>de ajuste a los sistemas</w:t>
      </w:r>
      <w:r>
        <w:rPr>
          <w:rFonts w:asciiTheme="majorHAnsi" w:hAnsiTheme="majorHAnsi"/>
          <w:sz w:val="22"/>
        </w:rPr>
        <w:t xml:space="preserve"> de pensiones</w:t>
      </w:r>
      <w:r w:rsidR="002B0C80" w:rsidRPr="00527AA1">
        <w:rPr>
          <w:rFonts w:asciiTheme="majorHAnsi" w:hAnsiTheme="majorHAnsi"/>
          <w:sz w:val="22"/>
        </w:rPr>
        <w:t>, que establezca una agenda de reformas legales en beneficio de los afiliados, con un horizonte de largo plazo.</w:t>
      </w:r>
    </w:p>
    <w:p w14:paraId="0977CBA9" w14:textId="290261F6" w:rsidR="005732BF" w:rsidRDefault="005732BF" w:rsidP="002B0C80">
      <w:pPr>
        <w:pStyle w:val="Prrafodelista"/>
        <w:numPr>
          <w:ilvl w:val="0"/>
          <w:numId w:val="60"/>
        </w:numPr>
        <w:spacing w:after="200"/>
        <w:rPr>
          <w:rFonts w:asciiTheme="majorHAnsi" w:hAnsiTheme="majorHAnsi"/>
          <w:sz w:val="22"/>
        </w:rPr>
      </w:pPr>
      <w:r>
        <w:rPr>
          <w:rFonts w:asciiTheme="majorHAnsi" w:hAnsiTheme="majorHAnsi"/>
          <w:sz w:val="22"/>
        </w:rPr>
        <w:t>E</w:t>
      </w:r>
      <w:r w:rsidRPr="002B0C80">
        <w:rPr>
          <w:rFonts w:asciiTheme="majorHAnsi" w:hAnsiTheme="majorHAnsi"/>
          <w:sz w:val="22"/>
        </w:rPr>
        <w:t xml:space="preserve">stablecer los mecanismos </w:t>
      </w:r>
      <w:r>
        <w:rPr>
          <w:rFonts w:asciiTheme="majorHAnsi" w:hAnsiTheme="majorHAnsi"/>
          <w:sz w:val="22"/>
        </w:rPr>
        <w:t xml:space="preserve">que promuevan </w:t>
      </w:r>
      <w:r w:rsidRPr="002B0C80">
        <w:rPr>
          <w:rFonts w:asciiTheme="majorHAnsi" w:hAnsiTheme="majorHAnsi"/>
          <w:sz w:val="22"/>
        </w:rPr>
        <w:t>los productos previsionales</w:t>
      </w:r>
      <w:r>
        <w:rPr>
          <w:rFonts w:asciiTheme="majorHAnsi" w:hAnsiTheme="majorHAnsi"/>
          <w:sz w:val="22"/>
        </w:rPr>
        <w:t>, para lograr</w:t>
      </w:r>
      <w:r w:rsidRPr="002B0C80">
        <w:rPr>
          <w:rFonts w:asciiTheme="majorHAnsi" w:hAnsiTheme="majorHAnsi"/>
          <w:sz w:val="22"/>
        </w:rPr>
        <w:t xml:space="preserve"> cubrir los vacíos en cotización de </w:t>
      </w:r>
      <w:r>
        <w:rPr>
          <w:rFonts w:asciiTheme="majorHAnsi" w:hAnsiTheme="majorHAnsi"/>
          <w:sz w:val="22"/>
        </w:rPr>
        <w:t>la población</w:t>
      </w:r>
      <w:r w:rsidRPr="002B0C80">
        <w:rPr>
          <w:rFonts w:asciiTheme="majorHAnsi" w:hAnsiTheme="majorHAnsi"/>
          <w:sz w:val="22"/>
        </w:rPr>
        <w:t>.</w:t>
      </w:r>
      <w:r>
        <w:rPr>
          <w:rFonts w:asciiTheme="majorHAnsi" w:hAnsiTheme="majorHAnsi"/>
          <w:sz w:val="22"/>
        </w:rPr>
        <w:t xml:space="preserve"> </w:t>
      </w:r>
    </w:p>
    <w:p w14:paraId="54B9A90B" w14:textId="41CA18F3" w:rsidR="002B0C80" w:rsidRPr="002B0C80" w:rsidRDefault="005732BF" w:rsidP="002B0C80">
      <w:pPr>
        <w:pStyle w:val="Prrafodelista"/>
        <w:numPr>
          <w:ilvl w:val="0"/>
          <w:numId w:val="60"/>
        </w:numPr>
        <w:spacing w:after="200"/>
        <w:rPr>
          <w:rFonts w:asciiTheme="majorHAnsi" w:hAnsiTheme="majorHAnsi"/>
          <w:sz w:val="22"/>
        </w:rPr>
      </w:pPr>
      <w:r>
        <w:rPr>
          <w:rFonts w:asciiTheme="majorHAnsi" w:hAnsiTheme="majorHAnsi"/>
          <w:sz w:val="22"/>
        </w:rPr>
        <w:t>P</w:t>
      </w:r>
      <w:r w:rsidR="002B0C80" w:rsidRPr="002B0C80">
        <w:rPr>
          <w:rFonts w:asciiTheme="majorHAnsi" w:hAnsiTheme="majorHAnsi"/>
          <w:sz w:val="22"/>
        </w:rPr>
        <w:t xml:space="preserve">romover </w:t>
      </w:r>
      <w:r>
        <w:rPr>
          <w:rFonts w:asciiTheme="majorHAnsi" w:hAnsiTheme="majorHAnsi"/>
          <w:sz w:val="22"/>
        </w:rPr>
        <w:t xml:space="preserve">a nivel nacional </w:t>
      </w:r>
      <w:r w:rsidR="002B0C80" w:rsidRPr="002B0C80">
        <w:rPr>
          <w:rFonts w:asciiTheme="majorHAnsi" w:hAnsiTheme="majorHAnsi"/>
          <w:sz w:val="22"/>
        </w:rPr>
        <w:t>la aplicación de la universalización de pensiones y aspectos de la calidad del servicio que están dentro de la regulación.</w:t>
      </w:r>
    </w:p>
    <w:p w14:paraId="5B4E9BFB" w14:textId="6A73B535" w:rsidR="002B0C80" w:rsidRDefault="002B0C80" w:rsidP="002B0C80">
      <w:pPr>
        <w:pStyle w:val="Textoindependiente"/>
        <w:spacing w:line="240" w:lineRule="auto"/>
        <w:rPr>
          <w:rFonts w:asciiTheme="majorHAnsi" w:hAnsiTheme="majorHAnsi"/>
          <w:b/>
          <w:sz w:val="22"/>
          <w:szCs w:val="22"/>
        </w:rPr>
      </w:pPr>
      <w:r w:rsidRPr="002B0C80">
        <w:rPr>
          <w:rFonts w:asciiTheme="majorHAnsi" w:hAnsiTheme="majorHAnsi"/>
          <w:b/>
          <w:sz w:val="22"/>
          <w:szCs w:val="22"/>
        </w:rPr>
        <w:t>Objetivo 3: Empoderar al afiliado</w:t>
      </w:r>
    </w:p>
    <w:p w14:paraId="4642DC37" w14:textId="77777777" w:rsidR="002B0C80" w:rsidRPr="002B0C80" w:rsidRDefault="002B0C80" w:rsidP="002B0C80">
      <w:pPr>
        <w:pStyle w:val="Textoindependiente"/>
        <w:spacing w:line="240" w:lineRule="auto"/>
        <w:rPr>
          <w:rFonts w:asciiTheme="majorHAnsi" w:hAnsiTheme="majorHAnsi"/>
          <w:b/>
          <w:sz w:val="22"/>
          <w:szCs w:val="22"/>
        </w:rPr>
      </w:pPr>
    </w:p>
    <w:p w14:paraId="5562890D" w14:textId="77777777" w:rsidR="002B0C80" w:rsidRPr="002B0C80" w:rsidRDefault="002B0C80" w:rsidP="002B0C80">
      <w:pPr>
        <w:pStyle w:val="Ttulo2"/>
        <w:rPr>
          <w:rFonts w:asciiTheme="majorHAnsi" w:hAnsiTheme="majorHAnsi"/>
          <w:sz w:val="22"/>
          <w:szCs w:val="22"/>
        </w:rPr>
      </w:pPr>
      <w:r w:rsidRPr="002B0C80">
        <w:rPr>
          <w:rFonts w:asciiTheme="majorHAnsi" w:hAnsiTheme="majorHAnsi"/>
          <w:sz w:val="22"/>
          <w:szCs w:val="22"/>
        </w:rPr>
        <w:t>Retos actuales</w:t>
      </w:r>
    </w:p>
    <w:p w14:paraId="2543F0D8" w14:textId="70D49AD4" w:rsidR="002B0C80" w:rsidRPr="002B0C80" w:rsidRDefault="002B2859" w:rsidP="002B0C80">
      <w:pPr>
        <w:pStyle w:val="Prrafodelista"/>
        <w:numPr>
          <w:ilvl w:val="0"/>
          <w:numId w:val="64"/>
        </w:numPr>
        <w:spacing w:after="200"/>
        <w:rPr>
          <w:rFonts w:asciiTheme="majorHAnsi" w:hAnsiTheme="majorHAnsi"/>
          <w:sz w:val="22"/>
        </w:rPr>
      </w:pPr>
      <w:r>
        <w:rPr>
          <w:rFonts w:asciiTheme="majorHAnsi" w:hAnsiTheme="majorHAnsi"/>
          <w:sz w:val="22"/>
        </w:rPr>
        <w:t>D</w:t>
      </w:r>
      <w:r w:rsidR="002B0C80" w:rsidRPr="002B0C80">
        <w:rPr>
          <w:rFonts w:asciiTheme="majorHAnsi" w:hAnsiTheme="majorHAnsi"/>
          <w:sz w:val="22"/>
        </w:rPr>
        <w:t>esarrollar a nivel de industria 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den en condiciones de mercado justo entre todos los participantes.</w:t>
      </w:r>
    </w:p>
    <w:p w14:paraId="6F599B73" w14:textId="58BACD6E" w:rsidR="005C05AA" w:rsidRDefault="005C05AA" w:rsidP="002B0C80">
      <w:pPr>
        <w:pStyle w:val="Prrafodelista"/>
        <w:numPr>
          <w:ilvl w:val="0"/>
          <w:numId w:val="64"/>
        </w:numPr>
        <w:spacing w:after="200"/>
        <w:rPr>
          <w:rFonts w:asciiTheme="majorHAnsi" w:hAnsiTheme="majorHAnsi"/>
          <w:sz w:val="22"/>
        </w:rPr>
      </w:pPr>
      <w:r>
        <w:rPr>
          <w:rFonts w:asciiTheme="majorHAnsi" w:hAnsiTheme="majorHAnsi"/>
          <w:sz w:val="22"/>
        </w:rPr>
        <w:t>C</w:t>
      </w:r>
      <w:r w:rsidRPr="002B0C80">
        <w:rPr>
          <w:rFonts w:asciiTheme="majorHAnsi" w:hAnsiTheme="majorHAnsi"/>
          <w:sz w:val="22"/>
        </w:rPr>
        <w:t>rear componentes que orienten</w:t>
      </w:r>
      <w:r>
        <w:rPr>
          <w:rFonts w:asciiTheme="majorHAnsi" w:hAnsiTheme="majorHAnsi"/>
          <w:sz w:val="22"/>
        </w:rPr>
        <w:t xml:space="preserve"> la toma decisiones y la educación financiera. </w:t>
      </w:r>
    </w:p>
    <w:p w14:paraId="293B48F2" w14:textId="3340D50A" w:rsidR="002B0C80" w:rsidRPr="00233E46" w:rsidRDefault="00233E46" w:rsidP="00D474C2">
      <w:pPr>
        <w:pStyle w:val="Prrafodelista"/>
        <w:numPr>
          <w:ilvl w:val="0"/>
          <w:numId w:val="64"/>
        </w:numPr>
        <w:spacing w:after="200"/>
        <w:rPr>
          <w:rFonts w:asciiTheme="majorHAnsi" w:hAnsiTheme="majorHAnsi"/>
          <w:sz w:val="22"/>
        </w:rPr>
      </w:pPr>
      <w:r w:rsidRPr="00233E46">
        <w:rPr>
          <w:rFonts w:asciiTheme="majorHAnsi" w:hAnsiTheme="majorHAnsi"/>
          <w:sz w:val="22"/>
        </w:rPr>
        <w:t xml:space="preserve">Integrar las bases de datos de los diferentes participantes en una única plataforma de gestión de las cuentas de los trabajadores, aprovechando </w:t>
      </w:r>
      <w:r>
        <w:rPr>
          <w:rFonts w:asciiTheme="majorHAnsi" w:hAnsiTheme="majorHAnsi"/>
          <w:sz w:val="22"/>
        </w:rPr>
        <w:t>l</w:t>
      </w:r>
      <w:r w:rsidR="002B0C80" w:rsidRPr="00233E46">
        <w:rPr>
          <w:rFonts w:asciiTheme="majorHAnsi" w:hAnsiTheme="majorHAnsi"/>
          <w:sz w:val="22"/>
        </w:rPr>
        <w:t xml:space="preserve">as </w:t>
      </w:r>
      <w:r>
        <w:rPr>
          <w:rFonts w:asciiTheme="majorHAnsi" w:hAnsiTheme="majorHAnsi"/>
          <w:sz w:val="22"/>
        </w:rPr>
        <w:t xml:space="preserve">facilidades de </w:t>
      </w:r>
      <w:r w:rsidR="002B0C80" w:rsidRPr="00233E46">
        <w:rPr>
          <w:rFonts w:asciiTheme="majorHAnsi" w:hAnsiTheme="majorHAnsi"/>
          <w:sz w:val="22"/>
        </w:rPr>
        <w:t xml:space="preserve">tecnologías de información </w:t>
      </w:r>
      <w:r>
        <w:rPr>
          <w:rFonts w:asciiTheme="majorHAnsi" w:hAnsiTheme="majorHAnsi"/>
          <w:sz w:val="22"/>
        </w:rPr>
        <w:t>para</w:t>
      </w:r>
      <w:r w:rsidR="002B0C80" w:rsidRPr="00233E46">
        <w:rPr>
          <w:rFonts w:asciiTheme="majorHAnsi" w:hAnsiTheme="majorHAnsi"/>
          <w:sz w:val="22"/>
        </w:rPr>
        <w:t xml:space="preserve"> </w:t>
      </w:r>
      <w:r>
        <w:rPr>
          <w:rFonts w:asciiTheme="majorHAnsi" w:hAnsiTheme="majorHAnsi"/>
          <w:sz w:val="22"/>
        </w:rPr>
        <w:t>utilizar</w:t>
      </w:r>
      <w:r w:rsidR="002B0C80" w:rsidRPr="00233E46">
        <w:rPr>
          <w:rFonts w:asciiTheme="majorHAnsi" w:hAnsiTheme="majorHAnsi"/>
          <w:sz w:val="22"/>
        </w:rPr>
        <w:t xml:space="preserve"> de una mejor manera los datos que se generan en el Sistema </w:t>
      </w:r>
      <w:r>
        <w:rPr>
          <w:rFonts w:asciiTheme="majorHAnsi" w:hAnsiTheme="majorHAnsi"/>
          <w:sz w:val="22"/>
        </w:rPr>
        <w:t>de Pensiones</w:t>
      </w:r>
      <w:r w:rsidR="002B0C80" w:rsidRPr="00233E46">
        <w:rPr>
          <w:rFonts w:asciiTheme="majorHAnsi" w:hAnsiTheme="majorHAnsi"/>
          <w:sz w:val="22"/>
        </w:rPr>
        <w:t xml:space="preserve">. Actualmente la no integración hace difícil saber cuántos y cuáles productos consume un trabajador, su frecuencia de aportación, si existen o no inconsistencias de la </w:t>
      </w:r>
      <w:r w:rsidR="002B0C80" w:rsidRPr="00233E46">
        <w:rPr>
          <w:rFonts w:asciiTheme="majorHAnsi" w:hAnsiTheme="majorHAnsi"/>
          <w:sz w:val="22"/>
        </w:rPr>
        <w:lastRenderedPageBreak/>
        <w:t>información que se reporta. Con la creación de una plataforma de esta magnitud se favorecería la validación de los datos y se abriría la posibilidad de realizar estudios particulares que tengan la visión integral del sistema.</w:t>
      </w:r>
    </w:p>
    <w:p w14:paraId="626A2EAC" w14:textId="15C51B42" w:rsidR="002B0C80" w:rsidRPr="002B0C80" w:rsidRDefault="00233E46" w:rsidP="002B0C80">
      <w:pPr>
        <w:pStyle w:val="Prrafodelista"/>
        <w:numPr>
          <w:ilvl w:val="0"/>
          <w:numId w:val="64"/>
        </w:numPr>
        <w:spacing w:after="200"/>
        <w:rPr>
          <w:rFonts w:asciiTheme="majorHAnsi" w:hAnsiTheme="majorHAnsi"/>
          <w:sz w:val="22"/>
        </w:rPr>
      </w:pPr>
      <w:r>
        <w:rPr>
          <w:rFonts w:asciiTheme="majorHAnsi" w:hAnsiTheme="majorHAnsi"/>
          <w:sz w:val="22"/>
        </w:rPr>
        <w:t>Fomentar la participación del afiliado dentro del Sistema Nacional de Pensiones. E</w:t>
      </w:r>
      <w:r w:rsidR="002B0C80" w:rsidRPr="002B0C80">
        <w:rPr>
          <w:rFonts w:asciiTheme="majorHAnsi" w:hAnsiTheme="majorHAnsi"/>
          <w:sz w:val="22"/>
        </w:rPr>
        <w:t xml:space="preserve">l afiliado </w:t>
      </w:r>
      <w:r>
        <w:rPr>
          <w:rFonts w:asciiTheme="majorHAnsi" w:hAnsiTheme="majorHAnsi"/>
          <w:sz w:val="22"/>
        </w:rPr>
        <w:t>debe ser</w:t>
      </w:r>
      <w:r w:rsidR="002B0C80" w:rsidRPr="002B0C80">
        <w:rPr>
          <w:rFonts w:asciiTheme="majorHAnsi" w:hAnsiTheme="majorHAnsi"/>
          <w:sz w:val="22"/>
        </w:rPr>
        <w:t xml:space="preserve"> el primer supervisor de sus recursos, </w:t>
      </w:r>
      <w:r>
        <w:rPr>
          <w:rFonts w:asciiTheme="majorHAnsi" w:hAnsiTheme="majorHAnsi"/>
          <w:sz w:val="22"/>
        </w:rPr>
        <w:t xml:space="preserve">deberá ser dotado del </w:t>
      </w:r>
      <w:r w:rsidR="002B0C80" w:rsidRPr="002B0C80">
        <w:rPr>
          <w:rFonts w:asciiTheme="majorHAnsi" w:hAnsiTheme="majorHAnsi"/>
          <w:sz w:val="22"/>
        </w:rPr>
        <w:t xml:space="preserve">conocimiento necesario para verificar las condiciones asociadas a los derechos que posee, </w:t>
      </w:r>
      <w:r>
        <w:rPr>
          <w:rFonts w:asciiTheme="majorHAnsi" w:hAnsiTheme="majorHAnsi"/>
          <w:sz w:val="22"/>
        </w:rPr>
        <w:t>y</w:t>
      </w:r>
      <w:r w:rsidR="002B0C80" w:rsidRPr="002B0C80">
        <w:rPr>
          <w:rFonts w:asciiTheme="majorHAnsi" w:hAnsiTheme="majorHAnsi"/>
          <w:sz w:val="22"/>
        </w:rPr>
        <w:t xml:space="preserve"> ten</w:t>
      </w:r>
      <w:r>
        <w:rPr>
          <w:rFonts w:asciiTheme="majorHAnsi" w:hAnsiTheme="majorHAnsi"/>
          <w:sz w:val="22"/>
        </w:rPr>
        <w:t>drá</w:t>
      </w:r>
      <w:r w:rsidR="002B0C80" w:rsidRPr="002B0C80">
        <w:rPr>
          <w:rFonts w:asciiTheme="majorHAnsi" w:hAnsiTheme="majorHAnsi"/>
          <w:sz w:val="22"/>
        </w:rPr>
        <w:t xml:space="preserve"> información oportuna, veraz y útil para respaldar las decisiones tomadas. </w:t>
      </w:r>
    </w:p>
    <w:p w14:paraId="1E8D769F" w14:textId="1CAB3310" w:rsidR="002B0C80" w:rsidRDefault="00233E46" w:rsidP="002B0C80">
      <w:pPr>
        <w:pStyle w:val="Prrafodelista"/>
        <w:numPr>
          <w:ilvl w:val="0"/>
          <w:numId w:val="64"/>
        </w:numPr>
        <w:spacing w:after="200"/>
        <w:rPr>
          <w:rFonts w:asciiTheme="majorHAnsi" w:hAnsiTheme="majorHAnsi"/>
          <w:sz w:val="22"/>
        </w:rPr>
      </w:pPr>
      <w:r>
        <w:rPr>
          <w:rFonts w:asciiTheme="majorHAnsi" w:hAnsiTheme="majorHAnsi"/>
          <w:sz w:val="22"/>
        </w:rPr>
        <w:t>D</w:t>
      </w:r>
      <w:r w:rsidRPr="002B0C80">
        <w:rPr>
          <w:rFonts w:asciiTheme="majorHAnsi" w:hAnsiTheme="majorHAnsi"/>
          <w:sz w:val="22"/>
        </w:rPr>
        <w:t>iseñar nuevos servicios</w:t>
      </w:r>
      <w:r>
        <w:rPr>
          <w:rFonts w:asciiTheme="majorHAnsi" w:hAnsiTheme="majorHAnsi"/>
          <w:sz w:val="22"/>
        </w:rPr>
        <w:t xml:space="preserve"> o productos</w:t>
      </w:r>
      <w:r w:rsidRPr="002B0C80">
        <w:rPr>
          <w:rFonts w:asciiTheme="majorHAnsi" w:hAnsiTheme="majorHAnsi"/>
          <w:sz w:val="22"/>
        </w:rPr>
        <w:t xml:space="preserve"> que mantendrán la calidad de vida de los afiliados y </w:t>
      </w:r>
      <w:r w:rsidR="00C845A2">
        <w:rPr>
          <w:rFonts w:asciiTheme="majorHAnsi" w:hAnsiTheme="majorHAnsi"/>
          <w:sz w:val="22"/>
        </w:rPr>
        <w:t>evitar</w:t>
      </w:r>
      <w:r w:rsidRPr="002B0C80">
        <w:rPr>
          <w:rFonts w:asciiTheme="majorHAnsi" w:hAnsiTheme="majorHAnsi"/>
          <w:sz w:val="22"/>
        </w:rPr>
        <w:t xml:space="preserve"> depender de la masa activa </w:t>
      </w:r>
      <w:r w:rsidR="00C845A2">
        <w:rPr>
          <w:rFonts w:asciiTheme="majorHAnsi" w:hAnsiTheme="majorHAnsi"/>
          <w:sz w:val="22"/>
        </w:rPr>
        <w:t xml:space="preserve">de trabajadores </w:t>
      </w:r>
      <w:r w:rsidRPr="002B0C80">
        <w:rPr>
          <w:rFonts w:asciiTheme="majorHAnsi" w:hAnsiTheme="majorHAnsi"/>
          <w:sz w:val="22"/>
        </w:rPr>
        <w:t>para el financiamiento de las pensiones</w:t>
      </w:r>
      <w:r w:rsidR="002B0C80" w:rsidRPr="002B0C80">
        <w:rPr>
          <w:rFonts w:asciiTheme="majorHAnsi" w:hAnsiTheme="majorHAnsi"/>
          <w:sz w:val="22"/>
        </w:rPr>
        <w:t>.</w:t>
      </w:r>
    </w:p>
    <w:p w14:paraId="09C67475" w14:textId="77777777" w:rsidR="00A178EE" w:rsidRPr="00A178EE" w:rsidRDefault="00A178EE" w:rsidP="00A178EE">
      <w:pPr>
        <w:spacing w:after="200"/>
        <w:ind w:left="360"/>
        <w:rPr>
          <w:rFonts w:asciiTheme="majorHAnsi" w:hAnsiTheme="majorHAnsi"/>
          <w:sz w:val="22"/>
        </w:rPr>
      </w:pPr>
    </w:p>
    <w:p w14:paraId="06A9494E" w14:textId="7255EA78" w:rsidR="00AF43BF" w:rsidRDefault="00AF43BF" w:rsidP="00F338C4">
      <w:pPr>
        <w:rPr>
          <w:rFonts w:asciiTheme="majorHAnsi" w:hAnsiTheme="majorHAnsi"/>
          <w:b/>
          <w:sz w:val="22"/>
          <w:szCs w:val="22"/>
          <w:lang w:val="es-CR"/>
        </w:rPr>
      </w:pPr>
      <w:r w:rsidRPr="004141D5">
        <w:rPr>
          <w:rFonts w:asciiTheme="majorHAnsi" w:hAnsiTheme="majorHAnsi"/>
          <w:b/>
          <w:sz w:val="22"/>
          <w:szCs w:val="22"/>
          <w:lang w:val="es-CR"/>
        </w:rPr>
        <w:t xml:space="preserve">Análisis de Riesgo para la </w:t>
      </w:r>
      <w:r w:rsidR="00D277D9">
        <w:rPr>
          <w:rFonts w:asciiTheme="majorHAnsi" w:hAnsiTheme="majorHAnsi"/>
          <w:b/>
          <w:sz w:val="22"/>
          <w:szCs w:val="22"/>
          <w:lang w:val="es-CR"/>
        </w:rPr>
        <w:t>SUPEN</w:t>
      </w:r>
      <w:r w:rsidR="00935F97">
        <w:rPr>
          <w:rFonts w:asciiTheme="majorHAnsi" w:hAnsiTheme="majorHAnsi"/>
          <w:b/>
          <w:sz w:val="22"/>
          <w:szCs w:val="22"/>
          <w:lang w:val="es-CR"/>
        </w:rPr>
        <w:t xml:space="preserve"> –Resultados al mes de </w:t>
      </w:r>
      <w:r w:rsidR="009E074D">
        <w:rPr>
          <w:rFonts w:asciiTheme="majorHAnsi" w:hAnsiTheme="majorHAnsi"/>
          <w:b/>
          <w:sz w:val="22"/>
          <w:szCs w:val="22"/>
          <w:lang w:val="es-CR"/>
        </w:rPr>
        <w:t>octubre</w:t>
      </w:r>
      <w:r w:rsidR="00935F97">
        <w:rPr>
          <w:rFonts w:asciiTheme="majorHAnsi" w:hAnsiTheme="majorHAnsi"/>
          <w:b/>
          <w:sz w:val="22"/>
          <w:szCs w:val="22"/>
          <w:lang w:val="es-CR"/>
        </w:rPr>
        <w:t xml:space="preserve"> del 2015-</w:t>
      </w:r>
    </w:p>
    <w:p w14:paraId="052A02ED" w14:textId="77777777" w:rsidR="00895277" w:rsidRDefault="00895277" w:rsidP="00F338C4">
      <w:pPr>
        <w:rPr>
          <w:rFonts w:asciiTheme="majorHAnsi" w:hAnsiTheme="majorHAnsi"/>
          <w:b/>
          <w:sz w:val="22"/>
          <w:szCs w:val="22"/>
          <w:lang w:val="es-CR"/>
        </w:rPr>
      </w:pPr>
    </w:p>
    <w:p w14:paraId="5C5EED6F" w14:textId="252BEC47" w:rsidR="00786ECA" w:rsidRDefault="00786ECA" w:rsidP="00357777">
      <w:pPr>
        <w:pStyle w:val="Descripcin"/>
        <w:spacing w:before="0"/>
        <w:jc w:val="both"/>
        <w:rPr>
          <w:rFonts w:asciiTheme="majorHAnsi" w:hAnsiTheme="majorHAnsi"/>
          <w:b w:val="0"/>
          <w:bCs w:val="0"/>
          <w:sz w:val="22"/>
          <w:szCs w:val="22"/>
          <w:lang w:val="es-CR" w:eastAsia="es-ES"/>
        </w:rPr>
      </w:pPr>
      <w:bookmarkStart w:id="11" w:name="_Toc64708415"/>
      <w:bookmarkStart w:id="12" w:name="_Toc64709428"/>
      <w:bookmarkStart w:id="13" w:name="_Toc75247794"/>
      <w:r w:rsidRPr="00786ECA">
        <w:rPr>
          <w:rFonts w:asciiTheme="majorHAnsi" w:hAnsiTheme="majorHAnsi"/>
          <w:b w:val="0"/>
          <w:bCs w:val="0"/>
          <w:sz w:val="22"/>
          <w:szCs w:val="22"/>
          <w:lang w:val="es-CR" w:eastAsia="es-ES"/>
        </w:rPr>
        <w:t xml:space="preserve">De acuerdo con las normas establecidas para la administración de riesgos, los resultados de la evaluación deben indicar aquellos riesgos denominados no aceptables y que corresponden a los que la institución les dará atención en forma prioritaria.  Se consideran riesgos no aceptables aquellos que tengan un impacto medio o alto y con una probabilidad media o alta.  En términos del mapa de riesgos serían aquellos cuyas valoraciones medias de impacto y probabilidad, los ubican en los tres cuadrantes superiores derechos, señalados con rojo en el </w:t>
      </w:r>
      <w:r w:rsidR="00675AB9">
        <w:rPr>
          <w:rFonts w:asciiTheme="majorHAnsi" w:hAnsiTheme="majorHAnsi"/>
          <w:b w:val="0"/>
          <w:bCs w:val="0"/>
          <w:sz w:val="22"/>
          <w:szCs w:val="22"/>
          <w:lang w:val="es-CR" w:eastAsia="es-ES"/>
        </w:rPr>
        <w:t>cuadro</w:t>
      </w:r>
      <w:r w:rsidRPr="00786ECA">
        <w:rPr>
          <w:rFonts w:asciiTheme="majorHAnsi" w:hAnsiTheme="majorHAnsi"/>
          <w:b w:val="0"/>
          <w:bCs w:val="0"/>
          <w:sz w:val="22"/>
          <w:szCs w:val="22"/>
          <w:lang w:val="es-CR" w:eastAsia="es-ES"/>
        </w:rPr>
        <w:t xml:space="preserve"> adjunto.</w:t>
      </w:r>
    </w:p>
    <w:p w14:paraId="3540FCED" w14:textId="77777777" w:rsidR="00935F97" w:rsidRPr="00895277" w:rsidRDefault="00935F97">
      <w:pPr>
        <w:rPr>
          <w:color w:val="1F497D" w:themeColor="text2"/>
          <w:lang w:val="es-CR"/>
        </w:rPr>
      </w:pPr>
    </w:p>
    <w:p w14:paraId="365E8421" w14:textId="7ABD84F7" w:rsidR="000B3817" w:rsidRPr="00675AB9" w:rsidRDefault="0013662A" w:rsidP="000B3817">
      <w:pPr>
        <w:jc w:val="center"/>
        <w:rPr>
          <w:lang w:val="es-CR"/>
        </w:rPr>
      </w:pPr>
      <w:r w:rsidRPr="00070E47">
        <w:rPr>
          <w:lang w:val="es-CR"/>
        </w:rPr>
        <w:t>Cuadro 4</w:t>
      </w:r>
    </w:p>
    <w:p w14:paraId="6F60091A" w14:textId="1BEA2BF8" w:rsidR="000B3817" w:rsidRDefault="000B3817" w:rsidP="000B3817">
      <w:pPr>
        <w:jc w:val="center"/>
        <w:rPr>
          <w:lang w:val="es-CR"/>
        </w:rPr>
      </w:pPr>
      <w:r>
        <w:rPr>
          <w:noProof/>
          <w:szCs w:val="22"/>
        </w:rPr>
        <w:drawing>
          <wp:inline distT="0" distB="0" distL="0" distR="0" wp14:anchorId="01A59A52" wp14:editId="491DEB5E">
            <wp:extent cx="3000375" cy="2028825"/>
            <wp:effectExtent l="0" t="0" r="9525" b="952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0375" cy="2028825"/>
                    </a:xfrm>
                    <a:prstGeom prst="rect">
                      <a:avLst/>
                    </a:prstGeom>
                    <a:noFill/>
                    <a:ln>
                      <a:noFill/>
                    </a:ln>
                  </pic:spPr>
                </pic:pic>
              </a:graphicData>
            </a:graphic>
          </wp:inline>
        </w:drawing>
      </w:r>
    </w:p>
    <w:p w14:paraId="4923EADF" w14:textId="77777777" w:rsidR="00354BDB" w:rsidRPr="000B3817" w:rsidRDefault="00354BDB" w:rsidP="000B3817">
      <w:pPr>
        <w:jc w:val="center"/>
        <w:rPr>
          <w:lang w:val="es-CR"/>
        </w:rPr>
      </w:pPr>
    </w:p>
    <w:p w14:paraId="6DF656D5" w14:textId="77777777" w:rsidR="00786ECA" w:rsidRPr="00786ECA" w:rsidRDefault="00786ECA" w:rsidP="00786ECA">
      <w:pPr>
        <w:jc w:val="both"/>
        <w:rPr>
          <w:rFonts w:asciiTheme="majorHAnsi" w:hAnsiTheme="majorHAnsi"/>
          <w:sz w:val="22"/>
          <w:lang w:val="es-CR"/>
        </w:rPr>
      </w:pPr>
      <w:r w:rsidRPr="00786ECA">
        <w:rPr>
          <w:rFonts w:asciiTheme="majorHAnsi" w:hAnsiTheme="majorHAnsi"/>
          <w:sz w:val="22"/>
          <w:lang w:val="es-CR"/>
        </w:rPr>
        <w:t>De acuerdo con lo anterior los riesgos serán clasificados de la siguiente forma:</w:t>
      </w:r>
    </w:p>
    <w:p w14:paraId="1E6E2709" w14:textId="77777777" w:rsidR="00786ECA" w:rsidRPr="00786ECA" w:rsidRDefault="00786ECA" w:rsidP="00786ECA">
      <w:pPr>
        <w:jc w:val="both"/>
        <w:rPr>
          <w:rFonts w:asciiTheme="majorHAnsi" w:hAnsiTheme="majorHAnsi"/>
          <w:sz w:val="22"/>
          <w:lang w:val="es-CR"/>
        </w:rPr>
      </w:pPr>
    </w:p>
    <w:p w14:paraId="02DC4F47" w14:textId="55A87943" w:rsidR="00786ECA" w:rsidRPr="00786ECA" w:rsidRDefault="00786ECA" w:rsidP="00547B19">
      <w:pPr>
        <w:numPr>
          <w:ilvl w:val="1"/>
          <w:numId w:val="21"/>
        </w:numPr>
        <w:tabs>
          <w:tab w:val="left" w:pos="2410"/>
        </w:tabs>
        <w:ind w:hanging="447"/>
        <w:jc w:val="both"/>
        <w:rPr>
          <w:rFonts w:asciiTheme="majorHAnsi" w:hAnsiTheme="majorHAnsi"/>
          <w:sz w:val="22"/>
          <w:lang w:val="es-CR"/>
        </w:rPr>
      </w:pPr>
      <w:r w:rsidRPr="00786ECA">
        <w:rPr>
          <w:rFonts w:asciiTheme="majorHAnsi" w:hAnsiTheme="majorHAnsi"/>
          <w:b/>
          <w:sz w:val="22"/>
          <w:lang w:val="es-CR"/>
        </w:rPr>
        <w:t>Crítico</w:t>
      </w:r>
      <w:r w:rsidR="00D35C71">
        <w:rPr>
          <w:rFonts w:asciiTheme="majorHAnsi" w:hAnsiTheme="majorHAnsi"/>
          <w:sz w:val="22"/>
          <w:lang w:val="es-CR"/>
        </w:rPr>
        <w:t>:</w:t>
      </w:r>
      <w:r w:rsidR="00D35C71">
        <w:rPr>
          <w:rFonts w:asciiTheme="majorHAnsi" w:hAnsiTheme="majorHAnsi"/>
          <w:sz w:val="22"/>
          <w:lang w:val="es-CR"/>
        </w:rPr>
        <w:tab/>
      </w:r>
      <w:r w:rsidRPr="00786ECA">
        <w:rPr>
          <w:rFonts w:asciiTheme="majorHAnsi" w:hAnsiTheme="majorHAnsi"/>
          <w:sz w:val="22"/>
          <w:lang w:val="es-CR"/>
        </w:rPr>
        <w:t>No aceptable, requiere administración de riesgos con prioridad.</w:t>
      </w:r>
    </w:p>
    <w:p w14:paraId="58DA0373" w14:textId="422EC781" w:rsidR="00786ECA" w:rsidRPr="00786ECA" w:rsidRDefault="00786ECA" w:rsidP="00547B19">
      <w:pPr>
        <w:numPr>
          <w:ilvl w:val="1"/>
          <w:numId w:val="21"/>
        </w:numPr>
        <w:tabs>
          <w:tab w:val="left" w:pos="2410"/>
        </w:tabs>
        <w:ind w:left="2410" w:hanging="1417"/>
        <w:jc w:val="both"/>
        <w:rPr>
          <w:rFonts w:asciiTheme="majorHAnsi" w:hAnsiTheme="majorHAnsi"/>
          <w:sz w:val="22"/>
          <w:lang w:val="es-CR"/>
        </w:rPr>
      </w:pPr>
      <w:r w:rsidRPr="00786ECA">
        <w:rPr>
          <w:rFonts w:asciiTheme="majorHAnsi" w:hAnsiTheme="majorHAnsi"/>
          <w:b/>
          <w:sz w:val="22"/>
          <w:lang w:val="es-CR"/>
        </w:rPr>
        <w:t>Medio</w:t>
      </w:r>
      <w:r w:rsidR="00D35C71">
        <w:rPr>
          <w:rFonts w:asciiTheme="majorHAnsi" w:hAnsiTheme="majorHAnsi"/>
          <w:sz w:val="22"/>
          <w:lang w:val="es-CR"/>
        </w:rPr>
        <w:t>:</w:t>
      </w:r>
      <w:r w:rsidR="00D35C71">
        <w:rPr>
          <w:rFonts w:asciiTheme="majorHAnsi" w:hAnsiTheme="majorHAnsi"/>
          <w:sz w:val="22"/>
          <w:lang w:val="es-CR"/>
        </w:rPr>
        <w:tab/>
      </w:r>
      <w:r w:rsidRPr="00786ECA">
        <w:rPr>
          <w:rFonts w:asciiTheme="majorHAnsi" w:hAnsiTheme="majorHAnsi"/>
          <w:sz w:val="22"/>
          <w:lang w:val="es-CR"/>
        </w:rPr>
        <w:t xml:space="preserve">Riesgo que debe ser vigilado y en caso de que se estime conveniente, se deben definir medidas para su administración. </w:t>
      </w:r>
    </w:p>
    <w:p w14:paraId="3EC33682" w14:textId="5DEEF653" w:rsidR="00786ECA" w:rsidRPr="00786ECA" w:rsidRDefault="00786ECA" w:rsidP="00547B19">
      <w:pPr>
        <w:numPr>
          <w:ilvl w:val="1"/>
          <w:numId w:val="21"/>
        </w:numPr>
        <w:tabs>
          <w:tab w:val="left" w:pos="2410"/>
        </w:tabs>
        <w:ind w:hanging="447"/>
        <w:jc w:val="both"/>
        <w:rPr>
          <w:rFonts w:asciiTheme="majorHAnsi" w:hAnsiTheme="majorHAnsi"/>
          <w:sz w:val="22"/>
          <w:lang w:val="es-CR"/>
        </w:rPr>
      </w:pPr>
      <w:r w:rsidRPr="00786ECA">
        <w:rPr>
          <w:rFonts w:asciiTheme="majorHAnsi" w:hAnsiTheme="majorHAnsi"/>
          <w:b/>
          <w:sz w:val="22"/>
          <w:lang w:val="es-CR"/>
        </w:rPr>
        <w:t>Normal</w:t>
      </w:r>
      <w:r w:rsidR="00D35C71">
        <w:rPr>
          <w:rFonts w:asciiTheme="majorHAnsi" w:hAnsiTheme="majorHAnsi"/>
          <w:sz w:val="22"/>
          <w:lang w:val="es-CR"/>
        </w:rPr>
        <w:t>:</w:t>
      </w:r>
      <w:r w:rsidR="00D35C71">
        <w:rPr>
          <w:rFonts w:asciiTheme="majorHAnsi" w:hAnsiTheme="majorHAnsi"/>
          <w:sz w:val="22"/>
          <w:lang w:val="es-CR"/>
        </w:rPr>
        <w:tab/>
      </w:r>
      <w:r w:rsidRPr="00786ECA">
        <w:rPr>
          <w:rFonts w:asciiTheme="majorHAnsi" w:hAnsiTheme="majorHAnsi"/>
          <w:sz w:val="22"/>
          <w:lang w:val="es-CR"/>
        </w:rPr>
        <w:t>Riesgo aceptable.</w:t>
      </w:r>
    </w:p>
    <w:p w14:paraId="1B092BFD" w14:textId="77777777" w:rsidR="00786ECA" w:rsidRPr="003B2E5D" w:rsidRDefault="00786ECA" w:rsidP="003B2E5D">
      <w:pPr>
        <w:jc w:val="both"/>
        <w:rPr>
          <w:rFonts w:asciiTheme="majorHAnsi" w:hAnsiTheme="majorHAnsi"/>
          <w:sz w:val="22"/>
          <w:szCs w:val="22"/>
          <w:lang w:val="es-CR"/>
        </w:rPr>
      </w:pPr>
    </w:p>
    <w:p w14:paraId="74865BCD" w14:textId="44646EE1" w:rsidR="003B2E5D" w:rsidRPr="003B2E5D" w:rsidRDefault="003B2E5D" w:rsidP="003B2E5D">
      <w:pPr>
        <w:pStyle w:val="Textoindependiente"/>
        <w:spacing w:line="240" w:lineRule="auto"/>
        <w:jc w:val="both"/>
        <w:rPr>
          <w:rFonts w:asciiTheme="majorHAnsi" w:hAnsiTheme="majorHAnsi"/>
          <w:sz w:val="22"/>
          <w:szCs w:val="22"/>
        </w:rPr>
      </w:pPr>
      <w:r w:rsidRPr="003B2E5D">
        <w:rPr>
          <w:rFonts w:asciiTheme="majorHAnsi" w:hAnsiTheme="majorHAnsi"/>
          <w:sz w:val="22"/>
          <w:szCs w:val="22"/>
        </w:rPr>
        <w:t xml:space="preserve">La evaluación de riesgos permitió establecer el nivel de riesgo para las categorías específicas de riesgo: personas, procesos, tecnología de la información, legal, eventos externos y estratégicos, para cada uno de los procesos evaluados. Posteriormente, se analiza los riesgos considerados </w:t>
      </w:r>
      <w:r w:rsidRPr="003B2E5D">
        <w:rPr>
          <w:rFonts w:asciiTheme="majorHAnsi" w:hAnsiTheme="majorHAnsi"/>
          <w:i/>
          <w:sz w:val="22"/>
          <w:szCs w:val="22"/>
        </w:rPr>
        <w:t>no aceptables</w:t>
      </w:r>
      <w:r w:rsidRPr="003B2E5D">
        <w:rPr>
          <w:rFonts w:asciiTheme="majorHAnsi" w:hAnsiTheme="majorHAnsi"/>
          <w:sz w:val="22"/>
          <w:szCs w:val="22"/>
        </w:rPr>
        <w:t xml:space="preserve">, según la norma establecida para la </w:t>
      </w:r>
      <w:r w:rsidR="00827141">
        <w:rPr>
          <w:rFonts w:asciiTheme="majorHAnsi" w:hAnsiTheme="majorHAnsi"/>
          <w:sz w:val="22"/>
          <w:szCs w:val="22"/>
        </w:rPr>
        <w:t>SUPEN</w:t>
      </w:r>
      <w:r w:rsidRPr="003B2E5D">
        <w:rPr>
          <w:rFonts w:asciiTheme="majorHAnsi" w:hAnsiTheme="majorHAnsi"/>
          <w:sz w:val="22"/>
          <w:szCs w:val="22"/>
        </w:rPr>
        <w:t xml:space="preserve">.  </w:t>
      </w:r>
    </w:p>
    <w:p w14:paraId="617CAB5A" w14:textId="77777777" w:rsidR="003B2E5D" w:rsidRPr="003B2E5D" w:rsidRDefault="003B2E5D" w:rsidP="003B2E5D">
      <w:pPr>
        <w:pStyle w:val="Textoindependiente"/>
        <w:spacing w:line="240" w:lineRule="auto"/>
        <w:jc w:val="both"/>
        <w:rPr>
          <w:rFonts w:asciiTheme="majorHAnsi" w:hAnsiTheme="majorHAnsi"/>
          <w:sz w:val="22"/>
          <w:szCs w:val="22"/>
        </w:rPr>
      </w:pPr>
    </w:p>
    <w:p w14:paraId="06C67A7C" w14:textId="77777777" w:rsidR="003B2E5D" w:rsidRPr="003B2E5D" w:rsidRDefault="003B2E5D" w:rsidP="003B2E5D">
      <w:pPr>
        <w:pStyle w:val="Textoindependiente"/>
        <w:spacing w:line="240" w:lineRule="auto"/>
        <w:jc w:val="both"/>
        <w:rPr>
          <w:rFonts w:asciiTheme="majorHAnsi" w:hAnsiTheme="majorHAnsi"/>
          <w:sz w:val="22"/>
          <w:szCs w:val="22"/>
        </w:rPr>
      </w:pPr>
      <w:r w:rsidRPr="003B2E5D">
        <w:rPr>
          <w:rFonts w:asciiTheme="majorHAnsi" w:hAnsiTheme="majorHAnsi"/>
          <w:sz w:val="22"/>
          <w:szCs w:val="22"/>
        </w:rPr>
        <w:lastRenderedPageBreak/>
        <w:t>Las prioridades de recuperación para casos de emergencias han sido establecidas por el Comité Ejecutivo en el Plan de Contingencias vigente, que fue aprobado en sesión del 1 de noviembre de 2012.</w:t>
      </w:r>
    </w:p>
    <w:p w14:paraId="075591E9" w14:textId="77777777" w:rsidR="003B2E5D" w:rsidRPr="003B2E5D" w:rsidRDefault="003B2E5D" w:rsidP="003B2E5D">
      <w:pPr>
        <w:pStyle w:val="Textoindependiente"/>
        <w:spacing w:line="240" w:lineRule="auto"/>
        <w:jc w:val="both"/>
        <w:rPr>
          <w:rFonts w:asciiTheme="majorHAnsi" w:hAnsiTheme="majorHAnsi"/>
          <w:sz w:val="22"/>
          <w:szCs w:val="22"/>
        </w:rPr>
      </w:pPr>
    </w:p>
    <w:p w14:paraId="78CB4739" w14:textId="77777777" w:rsidR="003B2E5D" w:rsidRPr="003B2E5D" w:rsidRDefault="003B2E5D" w:rsidP="003B2E5D">
      <w:pPr>
        <w:pStyle w:val="Textoindependiente"/>
        <w:spacing w:line="240" w:lineRule="auto"/>
        <w:jc w:val="both"/>
        <w:rPr>
          <w:rFonts w:asciiTheme="majorHAnsi" w:hAnsiTheme="majorHAnsi"/>
          <w:sz w:val="22"/>
          <w:szCs w:val="22"/>
          <w:highlight w:val="magenta"/>
        </w:rPr>
      </w:pPr>
      <w:r w:rsidRPr="003B2E5D">
        <w:rPr>
          <w:rFonts w:asciiTheme="majorHAnsi" w:hAnsiTheme="majorHAnsi"/>
          <w:sz w:val="22"/>
          <w:szCs w:val="22"/>
        </w:rPr>
        <w:t>En los apartados siguientes se detallan principalmente los riesgos no aceptables, según la metodología descrita anteriormente. En caso que las categorías de riesgos calificadas como normales tengan eventos de riesgo definidos con probabilidad e impacto medio o alto, los Encargados de cada proceso validan las medidas de mitigación pertinentes.</w:t>
      </w:r>
    </w:p>
    <w:p w14:paraId="2BC39C8E" w14:textId="3441FC7F" w:rsidR="000A0C08" w:rsidRPr="003B2E5D" w:rsidRDefault="000A0C08" w:rsidP="003B2E5D">
      <w:pPr>
        <w:pStyle w:val="Descripcin"/>
        <w:spacing w:before="0" w:after="0"/>
        <w:jc w:val="both"/>
        <w:rPr>
          <w:rFonts w:asciiTheme="majorHAnsi" w:hAnsiTheme="majorHAnsi"/>
          <w:b w:val="0"/>
          <w:bCs w:val="0"/>
          <w:sz w:val="22"/>
          <w:szCs w:val="22"/>
          <w:lang w:val="es-CR" w:eastAsia="es-ES"/>
        </w:rPr>
      </w:pPr>
    </w:p>
    <w:p w14:paraId="0EB8B649" w14:textId="77777777" w:rsidR="00A178EE" w:rsidRDefault="00A178EE" w:rsidP="00512AC4">
      <w:pPr>
        <w:rPr>
          <w:rFonts w:asciiTheme="majorHAnsi" w:hAnsiTheme="majorHAnsi"/>
          <w:b/>
          <w:sz w:val="22"/>
        </w:rPr>
      </w:pPr>
    </w:p>
    <w:p w14:paraId="69A79C82" w14:textId="77777777" w:rsidR="003B2E5D" w:rsidRPr="00070E47" w:rsidRDefault="003B2E5D" w:rsidP="00512AC4">
      <w:pPr>
        <w:rPr>
          <w:rFonts w:asciiTheme="majorHAnsi" w:hAnsiTheme="majorHAnsi"/>
          <w:b/>
          <w:sz w:val="22"/>
        </w:rPr>
      </w:pPr>
      <w:r w:rsidRPr="00070E47">
        <w:rPr>
          <w:rFonts w:asciiTheme="majorHAnsi" w:hAnsiTheme="majorHAnsi"/>
          <w:b/>
          <w:sz w:val="22"/>
        </w:rPr>
        <w:t>Procesos de Planificación y Normativa</w:t>
      </w:r>
    </w:p>
    <w:p w14:paraId="5E2C2807" w14:textId="77777777" w:rsidR="003B2E5D" w:rsidRPr="003B2E5D" w:rsidRDefault="003B2E5D" w:rsidP="003B2E5D">
      <w:pPr>
        <w:rPr>
          <w:rFonts w:asciiTheme="majorHAnsi" w:hAnsiTheme="majorHAnsi"/>
          <w:sz w:val="22"/>
          <w:lang w:val="es-CR"/>
        </w:rPr>
      </w:pPr>
    </w:p>
    <w:p w14:paraId="5F087799" w14:textId="29444EAF" w:rsidR="003B2E5D" w:rsidRPr="00070E47" w:rsidRDefault="003B2E5D" w:rsidP="003B2E5D">
      <w:pPr>
        <w:pStyle w:val="Descripcin"/>
        <w:jc w:val="center"/>
        <w:rPr>
          <w:rFonts w:asciiTheme="majorHAnsi" w:hAnsiTheme="majorHAnsi" w:cs="Arial"/>
          <w:b w:val="0"/>
          <w:smallCaps/>
          <w:sz w:val="24"/>
          <w:szCs w:val="24"/>
        </w:rPr>
      </w:pPr>
      <w:r w:rsidRPr="00070E47">
        <w:rPr>
          <w:rFonts w:asciiTheme="majorHAnsi" w:hAnsiTheme="majorHAnsi" w:cs="Arial"/>
          <w:b w:val="0"/>
          <w:smallCaps/>
          <w:sz w:val="24"/>
          <w:szCs w:val="24"/>
        </w:rPr>
        <w:t xml:space="preserve">Gráfico </w:t>
      </w:r>
      <w:r w:rsidR="00EA1AF6">
        <w:rPr>
          <w:rFonts w:asciiTheme="majorHAnsi" w:hAnsiTheme="majorHAnsi" w:cs="Arial"/>
          <w:b w:val="0"/>
          <w:smallCaps/>
          <w:sz w:val="24"/>
          <w:szCs w:val="24"/>
        </w:rPr>
        <w:t>5</w:t>
      </w:r>
      <w:r w:rsidRPr="00070E47">
        <w:rPr>
          <w:rFonts w:asciiTheme="majorHAnsi" w:hAnsiTheme="majorHAnsi" w:cs="Arial"/>
          <w:b w:val="0"/>
          <w:smallCaps/>
          <w:sz w:val="24"/>
          <w:szCs w:val="24"/>
        </w:rPr>
        <w:t>: Mapa de riesgos inherentes PyN</w:t>
      </w:r>
    </w:p>
    <w:p w14:paraId="62E1075D" w14:textId="77777777" w:rsidR="003B2E5D" w:rsidRDefault="003B2E5D" w:rsidP="003B2E5D">
      <w:pPr>
        <w:pStyle w:val="Descripcin"/>
        <w:jc w:val="center"/>
        <w:rPr>
          <w:rFonts w:ascii="Arial (W1)" w:hAnsi="Arial (W1)" w:cs="Arial"/>
          <w:smallCaps/>
          <w:sz w:val="24"/>
          <w:szCs w:val="24"/>
        </w:rPr>
      </w:pPr>
      <w:r w:rsidRPr="00E8654D">
        <w:rPr>
          <w:noProof/>
          <w:lang w:val="es-ES" w:eastAsia="es-ES"/>
        </w:rPr>
        <w:drawing>
          <wp:inline distT="0" distB="0" distL="0" distR="0" wp14:anchorId="511A4719" wp14:editId="3473E3C1">
            <wp:extent cx="2939544" cy="1881444"/>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7811" cy="1893136"/>
                    </a:xfrm>
                    <a:prstGeom prst="rect">
                      <a:avLst/>
                    </a:prstGeom>
                    <a:noFill/>
                    <a:ln>
                      <a:noFill/>
                    </a:ln>
                  </pic:spPr>
                </pic:pic>
              </a:graphicData>
            </a:graphic>
          </wp:inline>
        </w:drawing>
      </w:r>
    </w:p>
    <w:p w14:paraId="5E0BF97A" w14:textId="77777777" w:rsidR="003B2E5D" w:rsidRPr="003B2E5D" w:rsidRDefault="003B2E5D" w:rsidP="003B2E5D">
      <w:pPr>
        <w:rPr>
          <w:lang w:val="es-ES_tradnl" w:eastAsia="es-ES_tradnl"/>
        </w:rPr>
      </w:pPr>
    </w:p>
    <w:p w14:paraId="6DE4725E" w14:textId="47194A11" w:rsidR="003B2E5D" w:rsidRPr="00070E47" w:rsidRDefault="003B2E5D" w:rsidP="003B2E5D">
      <w:pPr>
        <w:pStyle w:val="Descripcin"/>
        <w:jc w:val="center"/>
        <w:rPr>
          <w:rFonts w:asciiTheme="majorHAnsi" w:hAnsiTheme="majorHAnsi" w:cs="Arial"/>
          <w:b w:val="0"/>
          <w:smallCaps/>
          <w:sz w:val="24"/>
          <w:szCs w:val="24"/>
        </w:rPr>
      </w:pPr>
      <w:r w:rsidRPr="00070E47">
        <w:rPr>
          <w:rFonts w:asciiTheme="majorHAnsi" w:hAnsiTheme="majorHAnsi" w:cs="Arial"/>
          <w:b w:val="0"/>
          <w:smallCaps/>
          <w:sz w:val="24"/>
          <w:szCs w:val="24"/>
        </w:rPr>
        <w:t xml:space="preserve">Gráfico </w:t>
      </w:r>
      <w:r w:rsidR="00EA1AF6">
        <w:rPr>
          <w:rFonts w:asciiTheme="majorHAnsi" w:hAnsiTheme="majorHAnsi" w:cs="Arial"/>
          <w:b w:val="0"/>
          <w:smallCaps/>
          <w:sz w:val="24"/>
          <w:szCs w:val="24"/>
        </w:rPr>
        <w:t>7</w:t>
      </w:r>
      <w:r w:rsidRPr="00070E47">
        <w:rPr>
          <w:rFonts w:asciiTheme="majorHAnsi" w:hAnsiTheme="majorHAnsi" w:cs="Arial"/>
          <w:b w:val="0"/>
          <w:smallCaps/>
          <w:sz w:val="24"/>
          <w:szCs w:val="24"/>
        </w:rPr>
        <w:t>: Mapa de riesgos residuales PyN</w:t>
      </w:r>
    </w:p>
    <w:p w14:paraId="70047C74" w14:textId="77777777" w:rsidR="003B2E5D" w:rsidRPr="00E8654D" w:rsidRDefault="003B2E5D" w:rsidP="003B2E5D">
      <w:pPr>
        <w:pStyle w:val="Textoindependiente"/>
        <w:jc w:val="center"/>
        <w:rPr>
          <w:szCs w:val="22"/>
          <w:lang w:val="es-ES_tradnl"/>
        </w:rPr>
      </w:pPr>
      <w:r w:rsidRPr="00E8654D">
        <w:rPr>
          <w:noProof/>
          <w:lang w:val="es-ES"/>
        </w:rPr>
        <w:drawing>
          <wp:inline distT="0" distB="0" distL="0" distR="0" wp14:anchorId="72A933DA" wp14:editId="300108E5">
            <wp:extent cx="2900275" cy="185631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6805" cy="1866890"/>
                    </a:xfrm>
                    <a:prstGeom prst="rect">
                      <a:avLst/>
                    </a:prstGeom>
                    <a:noFill/>
                    <a:ln>
                      <a:noFill/>
                    </a:ln>
                  </pic:spPr>
                </pic:pic>
              </a:graphicData>
            </a:graphic>
          </wp:inline>
        </w:drawing>
      </w:r>
    </w:p>
    <w:p w14:paraId="7727552A" w14:textId="77777777" w:rsidR="003B2E5D" w:rsidRDefault="003B2E5D" w:rsidP="003B2E5D">
      <w:pPr>
        <w:jc w:val="both"/>
        <w:rPr>
          <w:rFonts w:asciiTheme="majorHAnsi" w:hAnsiTheme="majorHAnsi" w:cs="Arial"/>
          <w:sz w:val="22"/>
          <w:szCs w:val="22"/>
        </w:rPr>
      </w:pPr>
    </w:p>
    <w:p w14:paraId="4A5020E1" w14:textId="77777777" w:rsidR="00A178EE" w:rsidRDefault="00A178EE" w:rsidP="003B2E5D">
      <w:pPr>
        <w:jc w:val="both"/>
        <w:rPr>
          <w:rFonts w:asciiTheme="majorHAnsi" w:hAnsiTheme="majorHAnsi" w:cs="Arial"/>
          <w:sz w:val="22"/>
          <w:szCs w:val="22"/>
        </w:rPr>
      </w:pPr>
    </w:p>
    <w:p w14:paraId="5F35BD7F" w14:textId="7F0A40EF" w:rsidR="00A178EE" w:rsidRDefault="00A178EE">
      <w:pPr>
        <w:rPr>
          <w:rFonts w:asciiTheme="majorHAnsi" w:hAnsiTheme="majorHAnsi" w:cs="Arial"/>
          <w:sz w:val="22"/>
          <w:szCs w:val="22"/>
        </w:rPr>
      </w:pPr>
      <w:r>
        <w:rPr>
          <w:rFonts w:asciiTheme="majorHAnsi" w:hAnsiTheme="majorHAnsi" w:cs="Arial"/>
          <w:sz w:val="22"/>
          <w:szCs w:val="22"/>
        </w:rPr>
        <w:br w:type="page"/>
      </w:r>
    </w:p>
    <w:p w14:paraId="4F810CA6" w14:textId="403D331F" w:rsidR="003B2E5D" w:rsidRPr="00827141" w:rsidRDefault="003B2E5D" w:rsidP="00512AC4">
      <w:pPr>
        <w:rPr>
          <w:rFonts w:asciiTheme="majorHAnsi" w:hAnsiTheme="majorHAnsi"/>
          <w:b/>
          <w:sz w:val="22"/>
          <w:szCs w:val="22"/>
        </w:rPr>
      </w:pPr>
      <w:bookmarkStart w:id="14" w:name="_Toc64708417"/>
      <w:bookmarkStart w:id="15" w:name="_Toc64709430"/>
      <w:bookmarkStart w:id="16" w:name="_Toc75247796"/>
      <w:bookmarkStart w:id="17" w:name="_Toc178502591"/>
      <w:bookmarkStart w:id="18" w:name="_Toc342574244"/>
      <w:r w:rsidRPr="00827141">
        <w:rPr>
          <w:rFonts w:asciiTheme="majorHAnsi" w:hAnsiTheme="majorHAnsi"/>
          <w:b/>
          <w:sz w:val="22"/>
          <w:szCs w:val="22"/>
        </w:rPr>
        <w:lastRenderedPageBreak/>
        <w:t>Proceso de Supervisión de Regímenes de Capitalización Individual</w:t>
      </w:r>
      <w:bookmarkEnd w:id="14"/>
      <w:bookmarkEnd w:id="15"/>
      <w:bookmarkEnd w:id="16"/>
      <w:bookmarkEnd w:id="17"/>
      <w:bookmarkEnd w:id="18"/>
      <w:r w:rsidRPr="00827141">
        <w:rPr>
          <w:rFonts w:asciiTheme="majorHAnsi" w:hAnsiTheme="majorHAnsi"/>
          <w:b/>
          <w:sz w:val="22"/>
          <w:szCs w:val="22"/>
        </w:rPr>
        <w:t xml:space="preserve"> </w:t>
      </w:r>
    </w:p>
    <w:p w14:paraId="24CF28F4" w14:textId="77777777" w:rsidR="003B2E5D" w:rsidRPr="00512AC4" w:rsidRDefault="003B2E5D" w:rsidP="003B2E5D">
      <w:pPr>
        <w:pStyle w:val="Textoindependiente"/>
        <w:rPr>
          <w:rFonts w:asciiTheme="majorHAnsi" w:hAnsiTheme="majorHAnsi"/>
          <w:sz w:val="22"/>
          <w:szCs w:val="22"/>
        </w:rPr>
      </w:pPr>
    </w:p>
    <w:p w14:paraId="3A62DAA7" w14:textId="6AF0AE06" w:rsidR="003B2E5D" w:rsidRPr="00070E47" w:rsidRDefault="00EA1AF6" w:rsidP="003B2E5D">
      <w:pPr>
        <w:pStyle w:val="Descripcin"/>
        <w:jc w:val="center"/>
        <w:rPr>
          <w:rFonts w:asciiTheme="majorHAnsi" w:hAnsiTheme="majorHAnsi" w:cs="Arial"/>
          <w:b w:val="0"/>
          <w:smallCaps/>
          <w:sz w:val="22"/>
          <w:szCs w:val="22"/>
        </w:rPr>
      </w:pPr>
      <w:bookmarkStart w:id="19" w:name="_Toc75247797"/>
      <w:bookmarkStart w:id="20" w:name="_Toc178502592"/>
      <w:r>
        <w:rPr>
          <w:rFonts w:asciiTheme="majorHAnsi" w:hAnsiTheme="majorHAnsi" w:cs="Arial"/>
          <w:b w:val="0"/>
          <w:smallCaps/>
          <w:sz w:val="22"/>
          <w:szCs w:val="22"/>
        </w:rPr>
        <w:t>Gráfico 8</w:t>
      </w:r>
      <w:r w:rsidR="003B2E5D" w:rsidRPr="00070E47">
        <w:rPr>
          <w:rFonts w:asciiTheme="majorHAnsi" w:hAnsiTheme="majorHAnsi" w:cs="Arial"/>
          <w:b w:val="0"/>
          <w:smallCaps/>
          <w:sz w:val="22"/>
          <w:szCs w:val="22"/>
        </w:rPr>
        <w:t>: Mapa de riesgos inherentes RCI</w:t>
      </w:r>
    </w:p>
    <w:p w14:paraId="7D6B137A" w14:textId="77777777" w:rsidR="003B2E5D" w:rsidRPr="00A12DAD" w:rsidRDefault="003B2E5D" w:rsidP="003B2E5D">
      <w:pPr>
        <w:jc w:val="center"/>
      </w:pPr>
      <w:r w:rsidRPr="00DB328D">
        <w:rPr>
          <w:noProof/>
        </w:rPr>
        <w:drawing>
          <wp:inline distT="0" distB="0" distL="0" distR="0" wp14:anchorId="4186B9F0" wp14:editId="586D9B85">
            <wp:extent cx="2890126" cy="1859734"/>
            <wp:effectExtent l="0" t="0" r="5715" b="7620"/>
            <wp:docPr id="80463" name="Imagen 80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2579" cy="1880617"/>
                    </a:xfrm>
                    <a:prstGeom prst="rect">
                      <a:avLst/>
                    </a:prstGeom>
                    <a:noFill/>
                    <a:ln>
                      <a:noFill/>
                    </a:ln>
                  </pic:spPr>
                </pic:pic>
              </a:graphicData>
            </a:graphic>
          </wp:inline>
        </w:drawing>
      </w:r>
    </w:p>
    <w:p w14:paraId="4E216F99" w14:textId="77777777" w:rsidR="003B2E5D" w:rsidRPr="00A12DAD" w:rsidRDefault="003B2E5D" w:rsidP="003B2E5D">
      <w:pPr>
        <w:jc w:val="center"/>
      </w:pPr>
    </w:p>
    <w:p w14:paraId="1EE21285" w14:textId="74E39993" w:rsidR="003B2E5D" w:rsidRPr="00070E47" w:rsidRDefault="003B2E5D" w:rsidP="003B2E5D">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9</w:t>
      </w:r>
      <w:r w:rsidRPr="00070E47">
        <w:rPr>
          <w:rFonts w:asciiTheme="majorHAnsi" w:hAnsiTheme="majorHAnsi" w:cs="Arial"/>
          <w:b w:val="0"/>
          <w:smallCaps/>
          <w:sz w:val="22"/>
          <w:szCs w:val="22"/>
        </w:rPr>
        <w:t>: Mapa de riesgos residuales RCI</w:t>
      </w:r>
    </w:p>
    <w:p w14:paraId="61ED456A" w14:textId="77777777" w:rsidR="003B2E5D" w:rsidRPr="003D5D6C" w:rsidRDefault="003B2E5D" w:rsidP="003B2E5D">
      <w:pPr>
        <w:jc w:val="center"/>
      </w:pPr>
      <w:r w:rsidRPr="00DB328D">
        <w:rPr>
          <w:noProof/>
        </w:rPr>
        <w:drawing>
          <wp:inline distT="0" distB="0" distL="0" distR="0" wp14:anchorId="2C03A284" wp14:editId="0487523B">
            <wp:extent cx="2815901" cy="1811970"/>
            <wp:effectExtent l="0" t="0" r="3810" b="0"/>
            <wp:docPr id="80464" name="Imagen 8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38339" cy="1826409"/>
                    </a:xfrm>
                    <a:prstGeom prst="rect">
                      <a:avLst/>
                    </a:prstGeom>
                    <a:noFill/>
                    <a:ln>
                      <a:noFill/>
                    </a:ln>
                  </pic:spPr>
                </pic:pic>
              </a:graphicData>
            </a:graphic>
          </wp:inline>
        </w:drawing>
      </w:r>
    </w:p>
    <w:p w14:paraId="668CF030" w14:textId="77777777" w:rsidR="003B2E5D" w:rsidRPr="00512AC4" w:rsidRDefault="003B2E5D" w:rsidP="00512AC4">
      <w:pPr>
        <w:pStyle w:val="Textoindependiente"/>
        <w:spacing w:line="240" w:lineRule="auto"/>
        <w:jc w:val="center"/>
        <w:rPr>
          <w:rFonts w:asciiTheme="majorHAnsi" w:hAnsiTheme="majorHAnsi"/>
          <w:sz w:val="22"/>
          <w:szCs w:val="22"/>
        </w:rPr>
      </w:pPr>
    </w:p>
    <w:p w14:paraId="61C0F3E4" w14:textId="77777777" w:rsidR="003B2E5D" w:rsidRPr="00070E47" w:rsidRDefault="003B2E5D" w:rsidP="00512AC4">
      <w:pPr>
        <w:rPr>
          <w:rFonts w:asciiTheme="majorHAnsi" w:hAnsiTheme="majorHAnsi"/>
          <w:b/>
          <w:sz w:val="22"/>
          <w:szCs w:val="22"/>
        </w:rPr>
      </w:pPr>
      <w:bookmarkStart w:id="21" w:name="_Toc342574245"/>
      <w:r w:rsidRPr="00070E47">
        <w:rPr>
          <w:rFonts w:asciiTheme="majorHAnsi" w:hAnsiTheme="majorHAnsi"/>
          <w:b/>
          <w:sz w:val="22"/>
          <w:szCs w:val="22"/>
        </w:rPr>
        <w:t>Proceso de Supervisión de Regímenes de Capitalización Colectiva</w:t>
      </w:r>
      <w:bookmarkEnd w:id="19"/>
      <w:bookmarkEnd w:id="20"/>
      <w:bookmarkEnd w:id="21"/>
    </w:p>
    <w:p w14:paraId="42596DC2" w14:textId="77777777" w:rsidR="003B2E5D" w:rsidRPr="00512AC4" w:rsidRDefault="003B2E5D" w:rsidP="00512AC4">
      <w:pPr>
        <w:pStyle w:val="Textoindependiente"/>
        <w:spacing w:line="240" w:lineRule="auto"/>
        <w:rPr>
          <w:rFonts w:asciiTheme="majorHAnsi" w:hAnsiTheme="majorHAnsi"/>
          <w:sz w:val="22"/>
          <w:szCs w:val="22"/>
        </w:rPr>
      </w:pPr>
    </w:p>
    <w:p w14:paraId="7BD495F2" w14:textId="1F089E10" w:rsidR="003B2E5D" w:rsidRPr="00070E47" w:rsidRDefault="003B2E5D" w:rsidP="00512AC4">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10</w:t>
      </w:r>
      <w:r w:rsidRPr="00070E47">
        <w:rPr>
          <w:rFonts w:asciiTheme="majorHAnsi" w:hAnsiTheme="majorHAnsi" w:cs="Arial"/>
          <w:b w:val="0"/>
          <w:smallCaps/>
          <w:sz w:val="22"/>
          <w:szCs w:val="22"/>
        </w:rPr>
        <w:t>: Mapa de riesgos inherentes RC</w:t>
      </w:r>
    </w:p>
    <w:p w14:paraId="25896964" w14:textId="77777777" w:rsidR="003B2E5D" w:rsidRPr="00512AC4" w:rsidRDefault="003B2E5D" w:rsidP="00512AC4">
      <w:pPr>
        <w:jc w:val="center"/>
        <w:rPr>
          <w:rFonts w:asciiTheme="majorHAnsi" w:hAnsiTheme="majorHAnsi" w:cs="Arial"/>
          <w:b/>
          <w:bCs/>
          <w:smallCaps/>
          <w:sz w:val="22"/>
          <w:szCs w:val="22"/>
        </w:rPr>
      </w:pPr>
      <w:r w:rsidRPr="00512AC4">
        <w:rPr>
          <w:rFonts w:asciiTheme="majorHAnsi" w:hAnsiTheme="majorHAnsi"/>
          <w:noProof/>
          <w:sz w:val="22"/>
          <w:szCs w:val="22"/>
        </w:rPr>
        <w:drawing>
          <wp:inline distT="0" distB="0" distL="0" distR="0" wp14:anchorId="68FB50F1" wp14:editId="4B68804A">
            <wp:extent cx="2920302" cy="187377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36434" cy="1884127"/>
                    </a:xfrm>
                    <a:prstGeom prst="rect">
                      <a:avLst/>
                    </a:prstGeom>
                    <a:noFill/>
                    <a:ln>
                      <a:noFill/>
                    </a:ln>
                  </pic:spPr>
                </pic:pic>
              </a:graphicData>
            </a:graphic>
          </wp:inline>
        </w:drawing>
      </w:r>
    </w:p>
    <w:p w14:paraId="239CDA33" w14:textId="0B2C3510" w:rsidR="00A178EE" w:rsidRDefault="00A178EE">
      <w:pPr>
        <w:rPr>
          <w:rFonts w:asciiTheme="majorHAnsi" w:hAnsiTheme="majorHAnsi" w:cs="Arial"/>
          <w:b/>
          <w:bCs/>
          <w:smallCaps/>
          <w:sz w:val="22"/>
          <w:szCs w:val="22"/>
        </w:rPr>
      </w:pPr>
      <w:r>
        <w:rPr>
          <w:rFonts w:asciiTheme="majorHAnsi" w:hAnsiTheme="majorHAnsi" w:cs="Arial"/>
          <w:b/>
          <w:bCs/>
          <w:smallCaps/>
          <w:sz w:val="22"/>
          <w:szCs w:val="22"/>
        </w:rPr>
        <w:br w:type="page"/>
      </w:r>
    </w:p>
    <w:p w14:paraId="649380BE" w14:textId="49EAA919" w:rsidR="003B2E5D" w:rsidRPr="00070E47" w:rsidRDefault="00070E47" w:rsidP="00512AC4">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lastRenderedPageBreak/>
        <w:t>G</w:t>
      </w:r>
      <w:r w:rsidR="003B2E5D" w:rsidRPr="00070E47">
        <w:rPr>
          <w:rFonts w:asciiTheme="majorHAnsi" w:hAnsiTheme="majorHAnsi" w:cs="Arial"/>
          <w:b w:val="0"/>
          <w:smallCaps/>
          <w:sz w:val="22"/>
          <w:szCs w:val="22"/>
        </w:rPr>
        <w:t xml:space="preserve">ráfico </w:t>
      </w:r>
      <w:r w:rsidR="00EA1AF6">
        <w:rPr>
          <w:rFonts w:asciiTheme="majorHAnsi" w:hAnsiTheme="majorHAnsi" w:cs="Arial"/>
          <w:b w:val="0"/>
          <w:smallCaps/>
          <w:sz w:val="22"/>
          <w:szCs w:val="22"/>
        </w:rPr>
        <w:t>11</w:t>
      </w:r>
      <w:r w:rsidR="003B2E5D" w:rsidRPr="00070E47">
        <w:rPr>
          <w:rFonts w:asciiTheme="majorHAnsi" w:hAnsiTheme="majorHAnsi" w:cs="Arial"/>
          <w:b w:val="0"/>
          <w:smallCaps/>
          <w:sz w:val="22"/>
          <w:szCs w:val="22"/>
        </w:rPr>
        <w:t>: Mapa de riesgos residuales RC</w:t>
      </w:r>
    </w:p>
    <w:p w14:paraId="09BEE23A" w14:textId="77777777" w:rsidR="003B2E5D" w:rsidRPr="00512AC4" w:rsidRDefault="003B2E5D" w:rsidP="00512AC4">
      <w:pPr>
        <w:jc w:val="center"/>
        <w:rPr>
          <w:rFonts w:asciiTheme="majorHAnsi" w:hAnsiTheme="majorHAnsi"/>
          <w:sz w:val="22"/>
          <w:szCs w:val="22"/>
        </w:rPr>
      </w:pPr>
      <w:r w:rsidRPr="00512AC4">
        <w:rPr>
          <w:rFonts w:asciiTheme="majorHAnsi" w:hAnsiTheme="majorHAnsi"/>
          <w:noProof/>
          <w:sz w:val="22"/>
          <w:szCs w:val="22"/>
        </w:rPr>
        <w:drawing>
          <wp:inline distT="0" distB="0" distL="0" distR="0" wp14:anchorId="6C3E4777" wp14:editId="5095F4B2">
            <wp:extent cx="3103904" cy="1991582"/>
            <wp:effectExtent l="0" t="0" r="1270" b="8890"/>
            <wp:docPr id="80465" name="Imagen 8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27555" cy="2006758"/>
                    </a:xfrm>
                    <a:prstGeom prst="rect">
                      <a:avLst/>
                    </a:prstGeom>
                    <a:noFill/>
                    <a:ln>
                      <a:noFill/>
                    </a:ln>
                  </pic:spPr>
                </pic:pic>
              </a:graphicData>
            </a:graphic>
          </wp:inline>
        </w:drawing>
      </w:r>
    </w:p>
    <w:p w14:paraId="4F3DAFC8" w14:textId="77777777" w:rsidR="003B2E5D" w:rsidRDefault="003B2E5D" w:rsidP="00512AC4">
      <w:pPr>
        <w:jc w:val="center"/>
        <w:rPr>
          <w:rFonts w:asciiTheme="majorHAnsi" w:hAnsiTheme="majorHAnsi"/>
          <w:sz w:val="22"/>
          <w:szCs w:val="22"/>
        </w:rPr>
      </w:pPr>
    </w:p>
    <w:p w14:paraId="13359737" w14:textId="77777777" w:rsidR="00A178EE" w:rsidRPr="00512AC4" w:rsidRDefault="00A178EE" w:rsidP="00512AC4">
      <w:pPr>
        <w:jc w:val="center"/>
        <w:rPr>
          <w:rFonts w:asciiTheme="majorHAnsi" w:hAnsiTheme="majorHAnsi"/>
          <w:sz w:val="22"/>
          <w:szCs w:val="22"/>
        </w:rPr>
      </w:pPr>
    </w:p>
    <w:p w14:paraId="35FD63C8" w14:textId="77777777" w:rsidR="003B2E5D" w:rsidRPr="00070E47" w:rsidRDefault="003B2E5D" w:rsidP="00512AC4">
      <w:pPr>
        <w:rPr>
          <w:rFonts w:asciiTheme="majorHAnsi" w:hAnsiTheme="majorHAnsi"/>
          <w:b/>
          <w:sz w:val="22"/>
          <w:szCs w:val="22"/>
        </w:rPr>
      </w:pPr>
      <w:bookmarkStart w:id="22" w:name="_Toc75247798"/>
      <w:bookmarkStart w:id="23" w:name="_Toc178502593"/>
      <w:bookmarkStart w:id="24" w:name="_Toc342574246"/>
      <w:r w:rsidRPr="00070E47">
        <w:rPr>
          <w:rFonts w:asciiTheme="majorHAnsi" w:hAnsiTheme="majorHAnsi"/>
          <w:b/>
          <w:sz w:val="22"/>
          <w:szCs w:val="22"/>
        </w:rPr>
        <w:t>Proceso de Asesoría Jurídic</w:t>
      </w:r>
      <w:bookmarkEnd w:id="22"/>
      <w:r w:rsidRPr="00070E47">
        <w:rPr>
          <w:rFonts w:asciiTheme="majorHAnsi" w:hAnsiTheme="majorHAnsi"/>
          <w:b/>
          <w:sz w:val="22"/>
          <w:szCs w:val="22"/>
        </w:rPr>
        <w:t>a</w:t>
      </w:r>
      <w:bookmarkEnd w:id="23"/>
      <w:bookmarkEnd w:id="24"/>
      <w:r w:rsidRPr="00070E47">
        <w:rPr>
          <w:rFonts w:asciiTheme="majorHAnsi" w:hAnsiTheme="majorHAnsi"/>
          <w:b/>
          <w:sz w:val="22"/>
          <w:szCs w:val="22"/>
        </w:rPr>
        <w:t xml:space="preserve"> </w:t>
      </w:r>
    </w:p>
    <w:p w14:paraId="54E9C05A" w14:textId="77777777" w:rsidR="003B2E5D" w:rsidRPr="00512AC4" w:rsidRDefault="003B2E5D" w:rsidP="00512AC4">
      <w:pPr>
        <w:pStyle w:val="TextoIndependienteCuadros"/>
        <w:rPr>
          <w:rFonts w:asciiTheme="majorHAnsi" w:hAnsiTheme="majorHAnsi"/>
          <w:sz w:val="22"/>
          <w:szCs w:val="22"/>
          <w:lang w:val="es-ES_tradnl" w:eastAsia="es-ES_tradnl"/>
        </w:rPr>
      </w:pPr>
    </w:p>
    <w:p w14:paraId="26852E97" w14:textId="457D7BE6" w:rsidR="003B2E5D" w:rsidRPr="00070E47" w:rsidRDefault="003B2E5D" w:rsidP="00512AC4">
      <w:pPr>
        <w:pStyle w:val="Descripcin"/>
        <w:jc w:val="center"/>
        <w:rPr>
          <w:rFonts w:asciiTheme="majorHAnsi" w:hAnsiTheme="majorHAnsi" w:cs="Arial"/>
          <w:b w:val="0"/>
          <w:smallCaps/>
          <w:sz w:val="22"/>
          <w:szCs w:val="22"/>
        </w:rPr>
      </w:pPr>
      <w:bookmarkStart w:id="25" w:name="_Toc75247799"/>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12</w:t>
      </w:r>
      <w:r w:rsidRPr="00070E47">
        <w:rPr>
          <w:rFonts w:asciiTheme="majorHAnsi" w:hAnsiTheme="majorHAnsi" w:cs="Arial"/>
          <w:b w:val="0"/>
          <w:smallCaps/>
          <w:sz w:val="22"/>
          <w:szCs w:val="22"/>
        </w:rPr>
        <w:t>: Mapa de riesgos inherentes AJ</w:t>
      </w:r>
    </w:p>
    <w:p w14:paraId="19782A59" w14:textId="77777777" w:rsidR="003B2E5D" w:rsidRDefault="003B2E5D" w:rsidP="00512AC4">
      <w:pPr>
        <w:jc w:val="center"/>
        <w:rPr>
          <w:rFonts w:asciiTheme="majorHAnsi" w:hAnsiTheme="majorHAnsi"/>
          <w:sz w:val="22"/>
          <w:szCs w:val="22"/>
          <w:lang w:val="es-CR"/>
        </w:rPr>
      </w:pPr>
      <w:r w:rsidRPr="00512AC4">
        <w:rPr>
          <w:rFonts w:asciiTheme="majorHAnsi" w:hAnsiTheme="majorHAnsi"/>
          <w:noProof/>
          <w:sz w:val="22"/>
          <w:szCs w:val="22"/>
        </w:rPr>
        <w:drawing>
          <wp:inline distT="0" distB="0" distL="0" distR="0" wp14:anchorId="785C7E36" wp14:editId="3B43A1FC">
            <wp:extent cx="2832873" cy="1817678"/>
            <wp:effectExtent l="0" t="0" r="5715" b="0"/>
            <wp:docPr id="80466" name="Imagen 8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173" cy="1824928"/>
                    </a:xfrm>
                    <a:prstGeom prst="rect">
                      <a:avLst/>
                    </a:prstGeom>
                    <a:noFill/>
                    <a:ln>
                      <a:noFill/>
                    </a:ln>
                  </pic:spPr>
                </pic:pic>
              </a:graphicData>
            </a:graphic>
          </wp:inline>
        </w:drawing>
      </w:r>
    </w:p>
    <w:p w14:paraId="2CAA1B37" w14:textId="77777777" w:rsidR="00512AC4" w:rsidRPr="00512AC4" w:rsidRDefault="00512AC4" w:rsidP="00512AC4">
      <w:pPr>
        <w:jc w:val="center"/>
        <w:rPr>
          <w:rFonts w:asciiTheme="majorHAnsi" w:hAnsiTheme="majorHAnsi"/>
          <w:sz w:val="22"/>
          <w:szCs w:val="22"/>
          <w:lang w:val="es-CR"/>
        </w:rPr>
      </w:pPr>
    </w:p>
    <w:p w14:paraId="31FD455D" w14:textId="79031BBB" w:rsidR="003B2E5D" w:rsidRPr="00070E47" w:rsidRDefault="003B2E5D" w:rsidP="00512AC4">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13</w:t>
      </w:r>
      <w:r w:rsidRPr="00070E47">
        <w:rPr>
          <w:rFonts w:asciiTheme="majorHAnsi" w:hAnsiTheme="majorHAnsi" w:cs="Arial"/>
          <w:b w:val="0"/>
          <w:smallCaps/>
          <w:sz w:val="22"/>
          <w:szCs w:val="22"/>
        </w:rPr>
        <w:t>: Mapa de riesgos residuales AJ</w:t>
      </w:r>
    </w:p>
    <w:p w14:paraId="5C5AE0FE" w14:textId="77777777" w:rsidR="003B2E5D" w:rsidRPr="00512AC4" w:rsidRDefault="003B2E5D" w:rsidP="00512AC4">
      <w:pPr>
        <w:pStyle w:val="TextoIndependienteCuadros"/>
        <w:jc w:val="center"/>
        <w:rPr>
          <w:rFonts w:asciiTheme="majorHAnsi" w:hAnsiTheme="majorHAnsi"/>
          <w:sz w:val="22"/>
          <w:szCs w:val="22"/>
          <w:lang w:eastAsia="es-ES_tradnl"/>
        </w:rPr>
      </w:pPr>
    </w:p>
    <w:p w14:paraId="257652CE" w14:textId="77777777" w:rsidR="003B2E5D" w:rsidRPr="00512AC4" w:rsidRDefault="003B2E5D" w:rsidP="00512AC4">
      <w:pPr>
        <w:pStyle w:val="Textoindependiente"/>
        <w:spacing w:line="240" w:lineRule="auto"/>
        <w:jc w:val="center"/>
        <w:rPr>
          <w:rFonts w:asciiTheme="majorHAnsi" w:hAnsiTheme="majorHAnsi"/>
          <w:sz w:val="22"/>
          <w:szCs w:val="22"/>
        </w:rPr>
      </w:pPr>
      <w:r w:rsidRPr="00512AC4">
        <w:rPr>
          <w:rFonts w:asciiTheme="majorHAnsi" w:hAnsiTheme="majorHAnsi"/>
          <w:noProof/>
          <w:sz w:val="22"/>
          <w:szCs w:val="22"/>
          <w:lang w:val="es-ES"/>
        </w:rPr>
        <w:drawing>
          <wp:inline distT="0" distB="0" distL="0" distR="0" wp14:anchorId="5BDF55E6" wp14:editId="322F3370">
            <wp:extent cx="2866616" cy="1839329"/>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620" cy="1848315"/>
                    </a:xfrm>
                    <a:prstGeom prst="rect">
                      <a:avLst/>
                    </a:prstGeom>
                    <a:noFill/>
                    <a:ln>
                      <a:noFill/>
                    </a:ln>
                  </pic:spPr>
                </pic:pic>
              </a:graphicData>
            </a:graphic>
          </wp:inline>
        </w:drawing>
      </w:r>
    </w:p>
    <w:p w14:paraId="47537D34" w14:textId="09F6D454" w:rsidR="00A178EE" w:rsidRDefault="00A178EE">
      <w:pPr>
        <w:rPr>
          <w:rFonts w:asciiTheme="majorHAnsi" w:hAnsiTheme="majorHAnsi" w:cs="Arial"/>
          <w:color w:val="000000"/>
          <w:sz w:val="22"/>
          <w:szCs w:val="22"/>
          <w:lang w:val="es-CR"/>
        </w:rPr>
      </w:pPr>
      <w:r>
        <w:rPr>
          <w:rFonts w:asciiTheme="majorHAnsi" w:hAnsiTheme="majorHAnsi" w:cs="Arial"/>
          <w:sz w:val="22"/>
          <w:szCs w:val="22"/>
        </w:rPr>
        <w:br w:type="page"/>
      </w:r>
    </w:p>
    <w:p w14:paraId="5D3C4898" w14:textId="77777777" w:rsidR="003B2E5D" w:rsidRPr="00512AC4" w:rsidRDefault="003B2E5D" w:rsidP="00512AC4">
      <w:pPr>
        <w:pStyle w:val="Textoindependiente"/>
        <w:spacing w:line="240" w:lineRule="auto"/>
        <w:jc w:val="center"/>
        <w:rPr>
          <w:rFonts w:asciiTheme="majorHAnsi" w:hAnsiTheme="majorHAnsi" w:cs="Arial"/>
          <w:sz w:val="22"/>
          <w:szCs w:val="22"/>
        </w:rPr>
      </w:pPr>
    </w:p>
    <w:p w14:paraId="75582F12" w14:textId="506FF5BF" w:rsidR="003B2E5D" w:rsidRPr="00070E47" w:rsidRDefault="003B2E5D" w:rsidP="00512AC4">
      <w:pPr>
        <w:rPr>
          <w:rFonts w:asciiTheme="majorHAnsi" w:hAnsiTheme="majorHAnsi"/>
          <w:b/>
          <w:sz w:val="22"/>
          <w:szCs w:val="22"/>
        </w:rPr>
      </w:pPr>
      <w:bookmarkStart w:id="26" w:name="_Toc178502594"/>
      <w:bookmarkStart w:id="27" w:name="_Toc342574264"/>
      <w:r w:rsidRPr="00070E47">
        <w:rPr>
          <w:rFonts w:asciiTheme="majorHAnsi" w:hAnsiTheme="majorHAnsi"/>
          <w:b/>
          <w:sz w:val="22"/>
          <w:szCs w:val="22"/>
        </w:rPr>
        <w:t>Procesos de Comunicación</w:t>
      </w:r>
      <w:bookmarkEnd w:id="25"/>
      <w:bookmarkEnd w:id="26"/>
      <w:r w:rsidR="00827141">
        <w:rPr>
          <w:rFonts w:asciiTheme="majorHAnsi" w:hAnsiTheme="majorHAnsi"/>
          <w:b/>
          <w:sz w:val="22"/>
          <w:szCs w:val="22"/>
        </w:rPr>
        <w:t xml:space="preserve"> y Gestión de R</w:t>
      </w:r>
      <w:r w:rsidRPr="00070E47">
        <w:rPr>
          <w:rFonts w:asciiTheme="majorHAnsi" w:hAnsiTheme="majorHAnsi"/>
          <w:b/>
          <w:sz w:val="22"/>
          <w:szCs w:val="22"/>
        </w:rPr>
        <w:t>ecursos</w:t>
      </w:r>
      <w:bookmarkEnd w:id="27"/>
      <w:r w:rsidRPr="00070E47">
        <w:rPr>
          <w:rFonts w:asciiTheme="majorHAnsi" w:hAnsiTheme="majorHAnsi"/>
          <w:b/>
          <w:sz w:val="22"/>
          <w:szCs w:val="22"/>
        </w:rPr>
        <w:t xml:space="preserve"> </w:t>
      </w:r>
    </w:p>
    <w:p w14:paraId="5312C6DD" w14:textId="77777777" w:rsidR="003B2E5D" w:rsidRPr="00512AC4" w:rsidRDefault="003B2E5D" w:rsidP="00512AC4">
      <w:pPr>
        <w:jc w:val="both"/>
        <w:rPr>
          <w:rFonts w:asciiTheme="majorHAnsi" w:hAnsiTheme="majorHAnsi" w:cs="Tahoma"/>
          <w:sz w:val="22"/>
          <w:szCs w:val="22"/>
        </w:rPr>
      </w:pPr>
    </w:p>
    <w:p w14:paraId="1263F9E9" w14:textId="03E329F7" w:rsidR="003B2E5D" w:rsidRPr="00070E47" w:rsidRDefault="003B2E5D" w:rsidP="00512AC4">
      <w:pPr>
        <w:pStyle w:val="Descripcin"/>
        <w:jc w:val="center"/>
        <w:rPr>
          <w:rFonts w:asciiTheme="majorHAnsi" w:hAnsiTheme="majorHAnsi" w:cs="Arial"/>
          <w:b w:val="0"/>
          <w:smallCaps/>
          <w:sz w:val="22"/>
          <w:szCs w:val="22"/>
        </w:rPr>
      </w:pPr>
      <w:bookmarkStart w:id="28" w:name="_Toc75247801"/>
      <w:bookmarkStart w:id="29" w:name="_Toc178502596"/>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14</w:t>
      </w:r>
      <w:r w:rsidRPr="00070E47">
        <w:rPr>
          <w:rFonts w:asciiTheme="majorHAnsi" w:hAnsiTheme="majorHAnsi" w:cs="Arial"/>
          <w:b w:val="0"/>
          <w:smallCaps/>
          <w:sz w:val="22"/>
          <w:szCs w:val="22"/>
        </w:rPr>
        <w:t>: Mapa de riesgos inherentes CyGR</w:t>
      </w:r>
    </w:p>
    <w:p w14:paraId="20770928" w14:textId="77777777" w:rsidR="003B2E5D" w:rsidRPr="00512AC4" w:rsidRDefault="003B2E5D" w:rsidP="00512AC4">
      <w:pPr>
        <w:jc w:val="center"/>
        <w:rPr>
          <w:rFonts w:asciiTheme="majorHAnsi" w:hAnsiTheme="majorHAnsi" w:cs="Arial"/>
          <w:b/>
          <w:bCs/>
          <w:smallCaps/>
          <w:sz w:val="22"/>
          <w:szCs w:val="22"/>
        </w:rPr>
      </w:pPr>
      <w:r w:rsidRPr="00512AC4">
        <w:rPr>
          <w:rFonts w:asciiTheme="majorHAnsi" w:hAnsiTheme="majorHAnsi"/>
          <w:noProof/>
          <w:sz w:val="22"/>
          <w:szCs w:val="22"/>
        </w:rPr>
        <w:drawing>
          <wp:inline distT="0" distB="0" distL="0" distR="0" wp14:anchorId="71DA2DF0" wp14:editId="249D0554">
            <wp:extent cx="2998990" cy="1924265"/>
            <wp:effectExtent l="0" t="0" r="0" b="0"/>
            <wp:docPr id="80467" name="Imagen 8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16297" cy="1935370"/>
                    </a:xfrm>
                    <a:prstGeom prst="rect">
                      <a:avLst/>
                    </a:prstGeom>
                    <a:noFill/>
                    <a:ln>
                      <a:noFill/>
                    </a:ln>
                  </pic:spPr>
                </pic:pic>
              </a:graphicData>
            </a:graphic>
          </wp:inline>
        </w:drawing>
      </w:r>
    </w:p>
    <w:p w14:paraId="11A70F23" w14:textId="369552F0" w:rsidR="003B2E5D" w:rsidRPr="00070E47" w:rsidRDefault="003B2E5D" w:rsidP="00512AC4">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15</w:t>
      </w:r>
      <w:r w:rsidRPr="00070E47">
        <w:rPr>
          <w:rFonts w:asciiTheme="majorHAnsi" w:hAnsiTheme="majorHAnsi" w:cs="Arial"/>
          <w:b w:val="0"/>
          <w:smallCaps/>
          <w:sz w:val="22"/>
          <w:szCs w:val="22"/>
        </w:rPr>
        <w:t>: Mapa de riesgos residuales C y GR</w:t>
      </w:r>
    </w:p>
    <w:p w14:paraId="50FC6FC1" w14:textId="77777777" w:rsidR="003B2E5D" w:rsidRPr="00512AC4" w:rsidRDefault="003B2E5D" w:rsidP="00512AC4">
      <w:pPr>
        <w:pStyle w:val="Textoindependiente"/>
        <w:spacing w:line="240" w:lineRule="auto"/>
        <w:jc w:val="center"/>
        <w:rPr>
          <w:rFonts w:asciiTheme="majorHAnsi" w:hAnsiTheme="majorHAnsi"/>
          <w:sz w:val="22"/>
          <w:szCs w:val="22"/>
          <w:lang w:val="es-ES_tradnl"/>
        </w:rPr>
      </w:pPr>
      <w:r w:rsidRPr="00512AC4">
        <w:rPr>
          <w:rFonts w:asciiTheme="majorHAnsi" w:hAnsiTheme="majorHAnsi"/>
          <w:noProof/>
          <w:sz w:val="22"/>
          <w:szCs w:val="22"/>
          <w:lang w:val="es-ES"/>
        </w:rPr>
        <w:drawing>
          <wp:inline distT="0" distB="0" distL="0" distR="0" wp14:anchorId="4752E953" wp14:editId="3C3BE3E5">
            <wp:extent cx="2859101" cy="1834507"/>
            <wp:effectExtent l="0" t="0" r="0" b="0"/>
            <wp:docPr id="80468" name="Imagen 80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2429" cy="1843059"/>
                    </a:xfrm>
                    <a:prstGeom prst="rect">
                      <a:avLst/>
                    </a:prstGeom>
                    <a:noFill/>
                    <a:ln>
                      <a:noFill/>
                    </a:ln>
                  </pic:spPr>
                </pic:pic>
              </a:graphicData>
            </a:graphic>
          </wp:inline>
        </w:drawing>
      </w:r>
    </w:p>
    <w:p w14:paraId="7F58283C" w14:textId="77777777" w:rsidR="003B2E5D" w:rsidRPr="00512AC4" w:rsidRDefault="003B2E5D" w:rsidP="00512AC4">
      <w:pPr>
        <w:jc w:val="both"/>
        <w:rPr>
          <w:rFonts w:asciiTheme="majorHAnsi" w:hAnsiTheme="majorHAnsi" w:cs="Arial"/>
          <w:sz w:val="22"/>
          <w:szCs w:val="22"/>
        </w:rPr>
      </w:pPr>
    </w:p>
    <w:p w14:paraId="3B8ED686" w14:textId="77777777" w:rsidR="003B2E5D" w:rsidRPr="00512AC4" w:rsidRDefault="003B2E5D" w:rsidP="00512AC4">
      <w:pPr>
        <w:pStyle w:val="Prrafodelista"/>
        <w:rPr>
          <w:rFonts w:asciiTheme="majorHAnsi" w:eastAsia="Times New Roman" w:hAnsiTheme="majorHAnsi" w:cs="Arial"/>
          <w:sz w:val="22"/>
          <w:lang w:val="es-ES_tradnl" w:eastAsia="es-ES_tradnl"/>
        </w:rPr>
      </w:pPr>
    </w:p>
    <w:p w14:paraId="71C8AEEA" w14:textId="77777777" w:rsidR="003B2E5D" w:rsidRPr="00070E47" w:rsidRDefault="003B2E5D" w:rsidP="00512AC4">
      <w:pPr>
        <w:rPr>
          <w:rFonts w:asciiTheme="majorHAnsi" w:hAnsiTheme="majorHAnsi"/>
          <w:b/>
          <w:sz w:val="22"/>
          <w:szCs w:val="22"/>
        </w:rPr>
      </w:pPr>
      <w:bookmarkStart w:id="30" w:name="_Toc178502597"/>
      <w:bookmarkStart w:id="31" w:name="_Toc342574266"/>
      <w:bookmarkEnd w:id="28"/>
      <w:bookmarkEnd w:id="29"/>
      <w:r w:rsidRPr="00070E47">
        <w:rPr>
          <w:rFonts w:asciiTheme="majorHAnsi" w:hAnsiTheme="majorHAnsi"/>
          <w:b/>
          <w:sz w:val="22"/>
          <w:szCs w:val="22"/>
        </w:rPr>
        <w:t xml:space="preserve">Proceso de </w:t>
      </w:r>
      <w:bookmarkEnd w:id="30"/>
      <w:r w:rsidRPr="00070E47">
        <w:rPr>
          <w:rFonts w:asciiTheme="majorHAnsi" w:hAnsiTheme="majorHAnsi"/>
          <w:b/>
          <w:sz w:val="22"/>
          <w:szCs w:val="22"/>
        </w:rPr>
        <w:t>Revisión por la Dirección (Sistema de Gestión de la Calidad y Despacho)</w:t>
      </w:r>
      <w:bookmarkEnd w:id="31"/>
    </w:p>
    <w:p w14:paraId="60A29823" w14:textId="77777777" w:rsidR="00512AC4" w:rsidRPr="00512AC4" w:rsidRDefault="00512AC4" w:rsidP="00512AC4">
      <w:pPr>
        <w:rPr>
          <w:rFonts w:asciiTheme="majorHAnsi" w:hAnsiTheme="majorHAnsi"/>
          <w:sz w:val="22"/>
          <w:szCs w:val="22"/>
        </w:rPr>
      </w:pPr>
    </w:p>
    <w:p w14:paraId="3AEB37DA" w14:textId="7DABFA59" w:rsidR="003B2E5D" w:rsidRPr="00070E47" w:rsidRDefault="003B2E5D" w:rsidP="00512AC4">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t xml:space="preserve">Gráfico </w:t>
      </w:r>
      <w:r w:rsidR="00EA1AF6">
        <w:rPr>
          <w:rFonts w:asciiTheme="majorHAnsi" w:hAnsiTheme="majorHAnsi" w:cs="Arial"/>
          <w:b w:val="0"/>
          <w:smallCaps/>
          <w:sz w:val="22"/>
          <w:szCs w:val="22"/>
        </w:rPr>
        <w:t>16</w:t>
      </w:r>
      <w:r w:rsidRPr="00070E47">
        <w:rPr>
          <w:rFonts w:asciiTheme="majorHAnsi" w:hAnsiTheme="majorHAnsi" w:cs="Arial"/>
          <w:b w:val="0"/>
          <w:smallCaps/>
          <w:sz w:val="22"/>
          <w:szCs w:val="22"/>
        </w:rPr>
        <w:t>: Mapa de riesgos inherentes RxD</w:t>
      </w:r>
    </w:p>
    <w:p w14:paraId="6CCA6EF3" w14:textId="77777777" w:rsidR="003B2E5D" w:rsidRPr="00512AC4" w:rsidRDefault="003B2E5D" w:rsidP="00512AC4">
      <w:pPr>
        <w:jc w:val="center"/>
        <w:rPr>
          <w:rFonts w:asciiTheme="majorHAnsi" w:hAnsiTheme="majorHAnsi" w:cs="Arial"/>
          <w:smallCaps/>
          <w:sz w:val="22"/>
          <w:szCs w:val="22"/>
        </w:rPr>
      </w:pPr>
      <w:r w:rsidRPr="00512AC4">
        <w:rPr>
          <w:rFonts w:asciiTheme="majorHAnsi" w:hAnsiTheme="majorHAnsi"/>
          <w:noProof/>
          <w:sz w:val="22"/>
          <w:szCs w:val="22"/>
        </w:rPr>
        <w:drawing>
          <wp:inline distT="0" distB="0" distL="0" distR="0" wp14:anchorId="4130F9A0" wp14:editId="5C49C6CE">
            <wp:extent cx="2909421" cy="1886157"/>
            <wp:effectExtent l="0" t="0" r="5715" b="0"/>
            <wp:docPr id="80469" name="Imagen 80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1423" cy="1893938"/>
                    </a:xfrm>
                    <a:prstGeom prst="rect">
                      <a:avLst/>
                    </a:prstGeom>
                    <a:noFill/>
                    <a:ln>
                      <a:noFill/>
                    </a:ln>
                  </pic:spPr>
                </pic:pic>
              </a:graphicData>
            </a:graphic>
          </wp:inline>
        </w:drawing>
      </w:r>
    </w:p>
    <w:p w14:paraId="2D0F486E" w14:textId="77777777" w:rsidR="003B2E5D" w:rsidRPr="00512AC4" w:rsidRDefault="003B2E5D" w:rsidP="00512AC4">
      <w:pPr>
        <w:jc w:val="center"/>
        <w:rPr>
          <w:rFonts w:asciiTheme="majorHAnsi" w:hAnsiTheme="majorHAnsi" w:cs="Arial"/>
          <w:smallCaps/>
          <w:sz w:val="22"/>
          <w:szCs w:val="22"/>
        </w:rPr>
      </w:pPr>
    </w:p>
    <w:p w14:paraId="3E5A6A05" w14:textId="031063FA" w:rsidR="003B2E5D" w:rsidRPr="00070E47" w:rsidRDefault="003B2E5D" w:rsidP="00512AC4">
      <w:pPr>
        <w:pStyle w:val="Descripcin"/>
        <w:jc w:val="center"/>
        <w:rPr>
          <w:rFonts w:asciiTheme="majorHAnsi" w:hAnsiTheme="majorHAnsi" w:cs="Arial"/>
          <w:b w:val="0"/>
          <w:smallCaps/>
          <w:sz w:val="22"/>
          <w:szCs w:val="22"/>
        </w:rPr>
      </w:pPr>
      <w:r w:rsidRPr="00070E47">
        <w:rPr>
          <w:rFonts w:asciiTheme="majorHAnsi" w:hAnsiTheme="majorHAnsi" w:cs="Arial"/>
          <w:b w:val="0"/>
          <w:smallCaps/>
          <w:sz w:val="22"/>
          <w:szCs w:val="22"/>
        </w:rPr>
        <w:lastRenderedPageBreak/>
        <w:t xml:space="preserve">Gráfico </w:t>
      </w:r>
      <w:r w:rsidR="00EA1AF6">
        <w:rPr>
          <w:rFonts w:asciiTheme="majorHAnsi" w:hAnsiTheme="majorHAnsi" w:cs="Arial"/>
          <w:b w:val="0"/>
          <w:smallCaps/>
          <w:sz w:val="22"/>
          <w:szCs w:val="22"/>
        </w:rPr>
        <w:t>17</w:t>
      </w:r>
      <w:r w:rsidRPr="00070E47">
        <w:rPr>
          <w:rFonts w:asciiTheme="majorHAnsi" w:hAnsiTheme="majorHAnsi" w:cs="Arial"/>
          <w:b w:val="0"/>
          <w:smallCaps/>
          <w:sz w:val="22"/>
          <w:szCs w:val="22"/>
        </w:rPr>
        <w:t>: Mapa de riesgos residuales RxD</w:t>
      </w:r>
    </w:p>
    <w:p w14:paraId="2DA2154A" w14:textId="77777777" w:rsidR="003B2E5D" w:rsidRPr="00512AC4" w:rsidRDefault="003B2E5D" w:rsidP="00512AC4">
      <w:pPr>
        <w:pStyle w:val="Textoindependiente"/>
        <w:spacing w:line="240" w:lineRule="auto"/>
        <w:jc w:val="center"/>
        <w:rPr>
          <w:rFonts w:asciiTheme="majorHAnsi" w:hAnsiTheme="majorHAnsi"/>
          <w:sz w:val="22"/>
          <w:szCs w:val="22"/>
        </w:rPr>
      </w:pPr>
      <w:r w:rsidRPr="00512AC4">
        <w:rPr>
          <w:rFonts w:asciiTheme="majorHAnsi" w:hAnsiTheme="majorHAnsi"/>
          <w:noProof/>
          <w:sz w:val="22"/>
          <w:szCs w:val="22"/>
          <w:lang w:val="es-ES"/>
        </w:rPr>
        <w:drawing>
          <wp:inline distT="0" distB="0" distL="0" distR="0" wp14:anchorId="0F6343EE" wp14:editId="45AAA287">
            <wp:extent cx="3030566" cy="1964694"/>
            <wp:effectExtent l="0" t="0" r="0" b="0"/>
            <wp:docPr id="80470" name="Imagen 80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38419" cy="1969785"/>
                    </a:xfrm>
                    <a:prstGeom prst="rect">
                      <a:avLst/>
                    </a:prstGeom>
                    <a:noFill/>
                    <a:ln>
                      <a:noFill/>
                    </a:ln>
                  </pic:spPr>
                </pic:pic>
              </a:graphicData>
            </a:graphic>
          </wp:inline>
        </w:drawing>
      </w:r>
    </w:p>
    <w:p w14:paraId="3E1778B2" w14:textId="77777777" w:rsidR="003B2E5D" w:rsidRPr="00512AC4" w:rsidRDefault="003B2E5D" w:rsidP="00512AC4">
      <w:pPr>
        <w:jc w:val="both"/>
        <w:rPr>
          <w:rFonts w:asciiTheme="majorHAnsi" w:hAnsiTheme="majorHAnsi"/>
          <w:sz w:val="22"/>
          <w:szCs w:val="22"/>
        </w:rPr>
      </w:pPr>
    </w:p>
    <w:p w14:paraId="2719CF35" w14:textId="77777777" w:rsidR="00267D53" w:rsidRPr="00512AC4" w:rsidRDefault="00267D53" w:rsidP="00512AC4">
      <w:pPr>
        <w:jc w:val="both"/>
        <w:rPr>
          <w:rFonts w:asciiTheme="majorHAnsi" w:hAnsiTheme="majorHAnsi"/>
          <w:sz w:val="22"/>
          <w:szCs w:val="22"/>
        </w:rPr>
      </w:pPr>
    </w:p>
    <w:p w14:paraId="305A9020" w14:textId="679BFE58" w:rsidR="003B2E5D" w:rsidRPr="00C845A2" w:rsidRDefault="00512AC4" w:rsidP="00512AC4">
      <w:pPr>
        <w:rPr>
          <w:rFonts w:asciiTheme="majorHAnsi" w:hAnsiTheme="majorHAnsi"/>
          <w:b/>
          <w:sz w:val="22"/>
          <w:szCs w:val="22"/>
          <w:lang w:val="es-CR"/>
        </w:rPr>
      </w:pPr>
      <w:r w:rsidRPr="00C845A2">
        <w:rPr>
          <w:rFonts w:asciiTheme="majorHAnsi" w:hAnsiTheme="majorHAnsi"/>
          <w:b/>
          <w:sz w:val="22"/>
          <w:szCs w:val="22"/>
          <w:lang w:val="es-CR"/>
        </w:rPr>
        <w:t>Riesgos con prioridad y su atención</w:t>
      </w:r>
    </w:p>
    <w:p w14:paraId="1D57D7DF" w14:textId="77777777" w:rsidR="003B2E5D" w:rsidRPr="00512AC4" w:rsidRDefault="003B2E5D" w:rsidP="00512AC4">
      <w:pPr>
        <w:pStyle w:val="Textoindependiente"/>
        <w:spacing w:line="240" w:lineRule="auto"/>
        <w:rPr>
          <w:rFonts w:asciiTheme="majorHAnsi" w:hAnsiTheme="majorHAnsi" w:cs="Arial"/>
          <w:sz w:val="22"/>
          <w:szCs w:val="22"/>
        </w:rPr>
      </w:pPr>
      <w:bookmarkStart w:id="32" w:name="_Toc253577057"/>
      <w:bookmarkStart w:id="33" w:name="_Toc254016990"/>
      <w:bookmarkStart w:id="34" w:name="_Toc254017019"/>
      <w:bookmarkStart w:id="35" w:name="_Toc254017254"/>
      <w:bookmarkStart w:id="36" w:name="_Toc255918561"/>
      <w:bookmarkStart w:id="37" w:name="_Toc255918587"/>
      <w:bookmarkEnd w:id="32"/>
      <w:bookmarkEnd w:id="33"/>
      <w:bookmarkEnd w:id="34"/>
      <w:bookmarkEnd w:id="35"/>
      <w:bookmarkEnd w:id="36"/>
      <w:bookmarkEnd w:id="37"/>
    </w:p>
    <w:p w14:paraId="4E013AFC" w14:textId="42B29E69" w:rsidR="003B2E5D" w:rsidRDefault="003B2E5D" w:rsidP="00512AC4">
      <w:pPr>
        <w:pStyle w:val="Textoindependiente"/>
        <w:spacing w:line="240" w:lineRule="auto"/>
        <w:jc w:val="both"/>
        <w:rPr>
          <w:rFonts w:asciiTheme="majorHAnsi" w:hAnsiTheme="majorHAnsi"/>
          <w:sz w:val="22"/>
          <w:szCs w:val="22"/>
        </w:rPr>
      </w:pPr>
      <w:r w:rsidRPr="00512AC4">
        <w:rPr>
          <w:rFonts w:asciiTheme="majorHAnsi" w:hAnsiTheme="majorHAnsi" w:cs="Arial"/>
          <w:sz w:val="22"/>
          <w:szCs w:val="22"/>
        </w:rPr>
        <w:t>Luego del ejercicio de valoración de riesgos, se determin</w:t>
      </w:r>
      <w:r w:rsidR="00827141">
        <w:rPr>
          <w:rFonts w:asciiTheme="majorHAnsi" w:hAnsiTheme="majorHAnsi" w:cs="Arial"/>
          <w:sz w:val="22"/>
          <w:szCs w:val="22"/>
        </w:rPr>
        <w:t>aron</w:t>
      </w:r>
      <w:r w:rsidRPr="00512AC4">
        <w:rPr>
          <w:rFonts w:asciiTheme="majorHAnsi" w:hAnsiTheme="majorHAnsi" w:cs="Arial"/>
          <w:sz w:val="22"/>
          <w:szCs w:val="22"/>
        </w:rPr>
        <w:t xml:space="preserve"> los riesgos “aceptables” y “no aceptables” para cada proceso en la sección “Resultados”; entre todas las categorías se revis</w:t>
      </w:r>
      <w:r w:rsidR="00827141">
        <w:rPr>
          <w:rFonts w:asciiTheme="majorHAnsi" w:hAnsiTheme="majorHAnsi" w:cs="Arial"/>
          <w:sz w:val="22"/>
          <w:szCs w:val="22"/>
        </w:rPr>
        <w:t>aron</w:t>
      </w:r>
      <w:r w:rsidRPr="00512AC4">
        <w:rPr>
          <w:rFonts w:asciiTheme="majorHAnsi" w:hAnsiTheme="majorHAnsi" w:cs="Arial"/>
          <w:sz w:val="22"/>
          <w:szCs w:val="22"/>
        </w:rPr>
        <w:t xml:space="preserve"> cuáles eventos de riesgo habían sido catalogados con mayor probabilidad e impacto.  Para analizar de manera integral los riesgos que se presentan de manera concurrente en varios de los procesos, se lista</w:t>
      </w:r>
      <w:r w:rsidR="00827141">
        <w:rPr>
          <w:rFonts w:asciiTheme="majorHAnsi" w:hAnsiTheme="majorHAnsi" w:cs="Arial"/>
          <w:sz w:val="22"/>
          <w:szCs w:val="22"/>
        </w:rPr>
        <w:t>n</w:t>
      </w:r>
      <w:r w:rsidRPr="00512AC4">
        <w:rPr>
          <w:rFonts w:asciiTheme="majorHAnsi" w:hAnsiTheme="majorHAnsi" w:cs="Arial"/>
          <w:sz w:val="22"/>
          <w:szCs w:val="22"/>
        </w:rPr>
        <w:t xml:space="preserve"> a continuación los eventos que coincidieron en al menos cuatro de los seis procesos consultados, de ahí, se puede afirmar que los principales riesgos detectados de manera general en los procesos de SUPEN son los analizados en el siguiente cuadro. Todos c</w:t>
      </w:r>
      <w:r w:rsidRPr="00512AC4">
        <w:rPr>
          <w:rFonts w:asciiTheme="majorHAnsi" w:hAnsiTheme="majorHAnsi"/>
          <w:sz w:val="22"/>
          <w:szCs w:val="22"/>
        </w:rPr>
        <w:t>atalogados con probabilidades bajas o medias y un posible impacto medio o alto:</w:t>
      </w:r>
    </w:p>
    <w:p w14:paraId="124CFB83" w14:textId="77777777" w:rsidR="00A61D48" w:rsidRDefault="00A61D48" w:rsidP="00512AC4">
      <w:pPr>
        <w:pStyle w:val="Textoindependiente"/>
        <w:spacing w:line="240" w:lineRule="auto"/>
        <w:jc w:val="both"/>
        <w:rPr>
          <w:rFonts w:asciiTheme="majorHAnsi" w:hAnsiTheme="majorHAnsi"/>
          <w:sz w:val="22"/>
          <w:szCs w:val="22"/>
        </w:rPr>
      </w:pPr>
    </w:p>
    <w:p w14:paraId="4D9857EB" w14:textId="77777777" w:rsidR="0075218C" w:rsidRPr="00512AC4" w:rsidRDefault="0075218C" w:rsidP="00512AC4">
      <w:pPr>
        <w:pStyle w:val="Textoindependiente"/>
        <w:spacing w:line="240" w:lineRule="auto"/>
        <w:jc w:val="both"/>
        <w:rPr>
          <w:rFonts w:asciiTheme="majorHAnsi" w:hAnsiTheme="majorHAnsi"/>
          <w:sz w:val="22"/>
          <w:szCs w:val="22"/>
        </w:rPr>
      </w:pPr>
    </w:p>
    <w:p w14:paraId="2040BF7F" w14:textId="47D3F373" w:rsidR="003B2E5D" w:rsidRDefault="00A61D48" w:rsidP="00A61D48">
      <w:pPr>
        <w:pStyle w:val="Textoindependiente"/>
        <w:spacing w:line="240" w:lineRule="auto"/>
        <w:jc w:val="center"/>
        <w:rPr>
          <w:rFonts w:asciiTheme="majorHAnsi" w:hAnsiTheme="majorHAnsi"/>
          <w:b/>
          <w:sz w:val="22"/>
          <w:szCs w:val="22"/>
        </w:rPr>
      </w:pPr>
      <w:r>
        <w:rPr>
          <w:rFonts w:asciiTheme="majorHAnsi" w:hAnsiTheme="majorHAnsi"/>
          <w:b/>
          <w:sz w:val="22"/>
          <w:szCs w:val="22"/>
        </w:rPr>
        <w:t>Cuadro 5</w:t>
      </w:r>
      <w:r w:rsidR="009E074D">
        <w:rPr>
          <w:rFonts w:asciiTheme="majorHAnsi" w:hAnsiTheme="majorHAnsi"/>
          <w:b/>
          <w:sz w:val="22"/>
          <w:szCs w:val="22"/>
        </w:rPr>
        <w:t xml:space="preserve">: </w:t>
      </w:r>
      <w:r w:rsidRPr="00A61D48">
        <w:rPr>
          <w:rFonts w:asciiTheme="majorHAnsi" w:hAnsiTheme="majorHAnsi"/>
          <w:b/>
          <w:sz w:val="22"/>
          <w:szCs w:val="22"/>
        </w:rPr>
        <w:t>Resumen de los principales riesgos detectados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4824"/>
        <w:gridCol w:w="2217"/>
      </w:tblGrid>
      <w:tr w:rsidR="00A132AE" w:rsidRPr="0033447B" w14:paraId="5E39DB9D" w14:textId="77777777" w:rsidTr="00BB3803">
        <w:trPr>
          <w:trHeight w:val="451"/>
          <w:tblHeader/>
        </w:trPr>
        <w:tc>
          <w:tcPr>
            <w:tcW w:w="2072" w:type="dxa"/>
            <w:shd w:val="clear" w:color="auto" w:fill="95B3D7" w:themeFill="accent1" w:themeFillTint="99"/>
            <w:vAlign w:val="center"/>
          </w:tcPr>
          <w:p w14:paraId="64C400E2" w14:textId="77777777" w:rsidR="00A132AE" w:rsidRPr="00A132AE" w:rsidRDefault="00A132AE" w:rsidP="00527AA1">
            <w:pPr>
              <w:pStyle w:val="Textoindependiente"/>
              <w:spacing w:before="60" w:after="60"/>
              <w:jc w:val="center"/>
              <w:rPr>
                <w:rFonts w:asciiTheme="majorHAnsi" w:hAnsiTheme="majorHAnsi" w:cs="Arial"/>
                <w:b/>
                <w:sz w:val="20"/>
              </w:rPr>
            </w:pPr>
            <w:r w:rsidRPr="00A132AE">
              <w:rPr>
                <w:rFonts w:asciiTheme="majorHAnsi" w:hAnsiTheme="majorHAnsi" w:cs="Arial"/>
                <w:b/>
                <w:sz w:val="20"/>
              </w:rPr>
              <w:t>Riesgos</w:t>
            </w:r>
          </w:p>
        </w:tc>
        <w:tc>
          <w:tcPr>
            <w:tcW w:w="4824" w:type="dxa"/>
            <w:shd w:val="clear" w:color="auto" w:fill="95B3D7" w:themeFill="accent1" w:themeFillTint="99"/>
            <w:vAlign w:val="center"/>
          </w:tcPr>
          <w:p w14:paraId="4E62BB03" w14:textId="77777777" w:rsidR="00A132AE" w:rsidRPr="00A132AE" w:rsidRDefault="00A132AE" w:rsidP="00527AA1">
            <w:pPr>
              <w:pStyle w:val="Textoindependiente"/>
              <w:spacing w:before="60" w:after="60"/>
              <w:jc w:val="center"/>
              <w:rPr>
                <w:rFonts w:asciiTheme="majorHAnsi" w:hAnsiTheme="majorHAnsi" w:cs="Arial"/>
                <w:b/>
                <w:sz w:val="20"/>
              </w:rPr>
            </w:pPr>
            <w:r w:rsidRPr="00A132AE">
              <w:rPr>
                <w:rFonts w:asciiTheme="majorHAnsi" w:hAnsiTheme="majorHAnsi" w:cs="Arial"/>
                <w:b/>
                <w:sz w:val="20"/>
              </w:rPr>
              <w:t>Medidas de mitigación vigentes</w:t>
            </w:r>
          </w:p>
        </w:tc>
        <w:tc>
          <w:tcPr>
            <w:tcW w:w="2217" w:type="dxa"/>
            <w:shd w:val="clear" w:color="auto" w:fill="95B3D7" w:themeFill="accent1" w:themeFillTint="99"/>
            <w:vAlign w:val="center"/>
          </w:tcPr>
          <w:p w14:paraId="3CAD44EC" w14:textId="77777777" w:rsidR="00A132AE" w:rsidRPr="00A132AE" w:rsidRDefault="00A132AE" w:rsidP="00527AA1">
            <w:pPr>
              <w:pStyle w:val="Textoindependiente"/>
              <w:spacing w:before="60" w:after="60"/>
              <w:jc w:val="center"/>
              <w:rPr>
                <w:rFonts w:asciiTheme="majorHAnsi" w:hAnsiTheme="majorHAnsi" w:cs="Arial"/>
                <w:b/>
                <w:sz w:val="20"/>
              </w:rPr>
            </w:pPr>
            <w:r w:rsidRPr="00A132AE">
              <w:rPr>
                <w:rFonts w:asciiTheme="majorHAnsi" w:hAnsiTheme="majorHAnsi" w:cs="Arial"/>
                <w:b/>
                <w:sz w:val="20"/>
              </w:rPr>
              <w:t>Comentarios</w:t>
            </w:r>
          </w:p>
        </w:tc>
      </w:tr>
      <w:tr w:rsidR="00A132AE" w:rsidRPr="0033447B" w14:paraId="3D03F248" w14:textId="77777777" w:rsidTr="00BB3803">
        <w:trPr>
          <w:trHeight w:val="608"/>
        </w:trPr>
        <w:tc>
          <w:tcPr>
            <w:tcW w:w="6896" w:type="dxa"/>
            <w:gridSpan w:val="2"/>
            <w:shd w:val="clear" w:color="auto" w:fill="F2F2F2" w:themeFill="background1" w:themeFillShade="F2"/>
            <w:vAlign w:val="center"/>
          </w:tcPr>
          <w:p w14:paraId="6CAAF39E" w14:textId="77777777" w:rsidR="00A132AE" w:rsidRPr="00A132AE" w:rsidRDefault="00A132AE" w:rsidP="00527AA1">
            <w:pPr>
              <w:pStyle w:val="Textoindependiente"/>
              <w:spacing w:before="120" w:after="120"/>
              <w:rPr>
                <w:rFonts w:asciiTheme="majorHAnsi" w:hAnsiTheme="majorHAnsi" w:cs="Arial"/>
                <w:b/>
                <w:sz w:val="20"/>
              </w:rPr>
            </w:pPr>
            <w:r w:rsidRPr="00A132AE">
              <w:rPr>
                <w:rFonts w:asciiTheme="majorHAnsi" w:hAnsiTheme="majorHAnsi" w:cs="Arial"/>
                <w:b/>
                <w:sz w:val="20"/>
              </w:rPr>
              <w:t>Relacionados con personas</w:t>
            </w:r>
          </w:p>
        </w:tc>
        <w:tc>
          <w:tcPr>
            <w:tcW w:w="2217" w:type="dxa"/>
            <w:shd w:val="clear" w:color="auto" w:fill="F2F2F2" w:themeFill="background1" w:themeFillShade="F2"/>
            <w:vAlign w:val="center"/>
          </w:tcPr>
          <w:p w14:paraId="7550EF94" w14:textId="77777777" w:rsidR="00A132AE" w:rsidRPr="00A132AE" w:rsidRDefault="00A132AE" w:rsidP="00527AA1">
            <w:pPr>
              <w:pStyle w:val="Textoindependiente"/>
              <w:spacing w:before="120" w:after="120"/>
              <w:rPr>
                <w:rFonts w:asciiTheme="majorHAnsi" w:hAnsiTheme="majorHAnsi" w:cs="Arial"/>
                <w:b/>
                <w:sz w:val="20"/>
              </w:rPr>
            </w:pPr>
          </w:p>
        </w:tc>
      </w:tr>
      <w:tr w:rsidR="00A132AE" w:rsidRPr="0073596D" w14:paraId="7A626662" w14:textId="77777777" w:rsidTr="00BB3803">
        <w:trPr>
          <w:trHeight w:val="608"/>
        </w:trPr>
        <w:tc>
          <w:tcPr>
            <w:tcW w:w="2072" w:type="dxa"/>
            <w:shd w:val="clear" w:color="auto" w:fill="auto"/>
            <w:vAlign w:val="center"/>
          </w:tcPr>
          <w:p w14:paraId="5B729530" w14:textId="77777777" w:rsidR="00A132AE" w:rsidRPr="00A132AE" w:rsidRDefault="00A132AE" w:rsidP="00527AA1">
            <w:pPr>
              <w:pStyle w:val="Textoindependiente"/>
              <w:spacing w:before="120" w:after="120"/>
              <w:rPr>
                <w:rFonts w:asciiTheme="majorHAnsi" w:hAnsiTheme="majorHAnsi"/>
                <w:sz w:val="20"/>
              </w:rPr>
            </w:pPr>
            <w:r w:rsidRPr="00A132AE">
              <w:rPr>
                <w:rFonts w:asciiTheme="majorHAnsi" w:hAnsiTheme="majorHAnsi"/>
                <w:sz w:val="20"/>
              </w:rPr>
              <w:t>Mal manejo de la información (Manipulación, divulgación)</w:t>
            </w:r>
          </w:p>
          <w:p w14:paraId="55D234E4" w14:textId="77777777" w:rsidR="00A132AE" w:rsidRPr="00A132AE" w:rsidRDefault="00A132AE" w:rsidP="00527AA1">
            <w:pPr>
              <w:pStyle w:val="Textoindependiente"/>
              <w:spacing w:before="120" w:after="120"/>
              <w:rPr>
                <w:rFonts w:asciiTheme="majorHAnsi" w:hAnsiTheme="majorHAnsi"/>
                <w:sz w:val="20"/>
              </w:rPr>
            </w:pPr>
          </w:p>
        </w:tc>
        <w:tc>
          <w:tcPr>
            <w:tcW w:w="4824" w:type="dxa"/>
            <w:shd w:val="clear" w:color="auto" w:fill="auto"/>
            <w:vAlign w:val="center"/>
          </w:tcPr>
          <w:p w14:paraId="7C440297"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 xml:space="preserve">Decisiones colegiadas </w:t>
            </w:r>
          </w:p>
          <w:p w14:paraId="58244D0C" w14:textId="54096806" w:rsidR="00A132AE" w:rsidRPr="00A132AE" w:rsidRDefault="00827141" w:rsidP="00527AA1">
            <w:pPr>
              <w:jc w:val="both"/>
              <w:outlineLvl w:val="1"/>
              <w:rPr>
                <w:rFonts w:asciiTheme="majorHAnsi" w:hAnsiTheme="majorHAnsi"/>
                <w:sz w:val="20"/>
                <w:szCs w:val="20"/>
                <w:lang w:val="es-CR"/>
              </w:rPr>
            </w:pPr>
            <w:r>
              <w:rPr>
                <w:rFonts w:asciiTheme="majorHAnsi" w:hAnsiTheme="majorHAnsi"/>
                <w:sz w:val="20"/>
                <w:szCs w:val="20"/>
                <w:lang w:val="es-CR"/>
              </w:rPr>
              <w:t>Transparencia del Sistema de T</w:t>
            </w:r>
            <w:r w:rsidR="00A132AE" w:rsidRPr="00A132AE">
              <w:rPr>
                <w:rFonts w:asciiTheme="majorHAnsi" w:hAnsiTheme="majorHAnsi"/>
                <w:sz w:val="20"/>
                <w:szCs w:val="20"/>
                <w:lang w:val="es-CR"/>
              </w:rPr>
              <w:t>rámites</w:t>
            </w:r>
          </w:p>
          <w:p w14:paraId="03AC984F"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Definición de los voceros oficiales en las políticas de comunicación institucional.</w:t>
            </w:r>
          </w:p>
          <w:p w14:paraId="0F5BC51A"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Aplicación de política de confidencialidad y manejo de la información, procedimientos internos, Código de ética institucional.</w:t>
            </w:r>
          </w:p>
          <w:p w14:paraId="4EA524FA"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Restricción de acceso a documentos sensibles.</w:t>
            </w:r>
          </w:p>
        </w:tc>
        <w:tc>
          <w:tcPr>
            <w:tcW w:w="2217" w:type="dxa"/>
            <w:vAlign w:val="center"/>
          </w:tcPr>
          <w:p w14:paraId="30885CF1"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Primera vez que se destaca este riesgo a nivel institucional.</w:t>
            </w:r>
          </w:p>
        </w:tc>
      </w:tr>
      <w:tr w:rsidR="00A132AE" w14:paraId="2BA3B1EE" w14:textId="77777777" w:rsidTr="00BB3803">
        <w:trPr>
          <w:trHeight w:val="1208"/>
        </w:trPr>
        <w:tc>
          <w:tcPr>
            <w:tcW w:w="2072" w:type="dxa"/>
            <w:shd w:val="clear" w:color="auto" w:fill="auto"/>
            <w:vAlign w:val="center"/>
          </w:tcPr>
          <w:p w14:paraId="2BFEBFD4" w14:textId="77777777" w:rsidR="00A132AE" w:rsidRPr="00A132AE" w:rsidRDefault="00A132AE" w:rsidP="00527AA1">
            <w:pPr>
              <w:outlineLvl w:val="1"/>
              <w:rPr>
                <w:rFonts w:asciiTheme="majorHAnsi" w:hAnsiTheme="majorHAnsi"/>
                <w:sz w:val="20"/>
                <w:szCs w:val="20"/>
                <w:lang w:val="es-CR"/>
              </w:rPr>
            </w:pPr>
            <w:r w:rsidRPr="00A132AE">
              <w:rPr>
                <w:rFonts w:asciiTheme="majorHAnsi" w:hAnsiTheme="majorHAnsi"/>
                <w:sz w:val="20"/>
                <w:szCs w:val="20"/>
                <w:lang w:val="es-CR"/>
              </w:rPr>
              <w:t>Realización de funciones que generen conflicto de interés con las funciones de la SUPEN.</w:t>
            </w:r>
          </w:p>
        </w:tc>
        <w:tc>
          <w:tcPr>
            <w:tcW w:w="4824" w:type="dxa"/>
            <w:shd w:val="clear" w:color="auto" w:fill="auto"/>
            <w:vAlign w:val="center"/>
          </w:tcPr>
          <w:p w14:paraId="6711F62A" w14:textId="2E7B1C88"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Aplicación de política de confidencialidad y manejo de la información, proc</w:t>
            </w:r>
            <w:r w:rsidR="00827141">
              <w:rPr>
                <w:rFonts w:asciiTheme="majorHAnsi" w:hAnsiTheme="majorHAnsi"/>
                <w:sz w:val="20"/>
                <w:szCs w:val="20"/>
                <w:lang w:val="es-CR"/>
              </w:rPr>
              <w:t>edimientos internos, Código de Ética I</w:t>
            </w:r>
            <w:r w:rsidRPr="00A132AE">
              <w:rPr>
                <w:rFonts w:asciiTheme="majorHAnsi" w:hAnsiTheme="majorHAnsi"/>
                <w:sz w:val="20"/>
                <w:szCs w:val="20"/>
                <w:lang w:val="es-CR"/>
              </w:rPr>
              <w:t>nstitucional.</w:t>
            </w:r>
          </w:p>
          <w:p w14:paraId="371D9468"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Decisiones colegiadas. Segregación de funciones.</w:t>
            </w:r>
          </w:p>
          <w:p w14:paraId="04D329E2" w14:textId="7A8BC919"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Aplicación de Reg</w:t>
            </w:r>
            <w:r w:rsidR="00827141">
              <w:rPr>
                <w:rFonts w:asciiTheme="majorHAnsi" w:hAnsiTheme="majorHAnsi"/>
                <w:sz w:val="20"/>
                <w:szCs w:val="20"/>
                <w:lang w:val="es-CR"/>
              </w:rPr>
              <w:t>lamento Autónomo de Servicios, Ley de Enriquecimiento I</w:t>
            </w:r>
            <w:r w:rsidRPr="00A132AE">
              <w:rPr>
                <w:rFonts w:asciiTheme="majorHAnsi" w:hAnsiTheme="majorHAnsi"/>
                <w:sz w:val="20"/>
                <w:szCs w:val="20"/>
                <w:lang w:val="es-CR"/>
              </w:rPr>
              <w:t xml:space="preserve">lícito.  </w:t>
            </w:r>
          </w:p>
        </w:tc>
        <w:tc>
          <w:tcPr>
            <w:tcW w:w="2217" w:type="dxa"/>
            <w:vAlign w:val="center"/>
          </w:tcPr>
          <w:p w14:paraId="33FA7D3F"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Primera vez que se destaca este riesgo a nivel institucional.</w:t>
            </w:r>
          </w:p>
        </w:tc>
      </w:tr>
      <w:tr w:rsidR="00A132AE" w:rsidRPr="002303AE" w14:paraId="1FEF895E" w14:textId="77777777" w:rsidTr="00BB3803">
        <w:trPr>
          <w:trHeight w:val="509"/>
        </w:trPr>
        <w:tc>
          <w:tcPr>
            <w:tcW w:w="6896" w:type="dxa"/>
            <w:gridSpan w:val="2"/>
            <w:shd w:val="clear" w:color="auto" w:fill="F2F2F2" w:themeFill="background1" w:themeFillShade="F2"/>
            <w:vAlign w:val="center"/>
          </w:tcPr>
          <w:p w14:paraId="41EDBB59" w14:textId="77777777" w:rsidR="00A132AE" w:rsidRPr="00A132AE" w:rsidRDefault="00A132AE" w:rsidP="00527AA1">
            <w:pPr>
              <w:pStyle w:val="Textoindependiente"/>
              <w:spacing w:before="120" w:after="120"/>
              <w:rPr>
                <w:rFonts w:asciiTheme="majorHAnsi" w:hAnsiTheme="majorHAnsi" w:cs="Arial"/>
                <w:b/>
                <w:sz w:val="20"/>
              </w:rPr>
            </w:pPr>
            <w:r w:rsidRPr="00A132AE">
              <w:rPr>
                <w:rFonts w:asciiTheme="majorHAnsi" w:hAnsiTheme="majorHAnsi" w:cs="Arial"/>
                <w:b/>
                <w:sz w:val="20"/>
              </w:rPr>
              <w:t>Relacionados con procesos</w:t>
            </w:r>
          </w:p>
        </w:tc>
        <w:tc>
          <w:tcPr>
            <w:tcW w:w="2217" w:type="dxa"/>
            <w:shd w:val="clear" w:color="auto" w:fill="F2F2F2" w:themeFill="background1" w:themeFillShade="F2"/>
            <w:vAlign w:val="center"/>
          </w:tcPr>
          <w:p w14:paraId="58390E89" w14:textId="77777777" w:rsidR="00A132AE" w:rsidRPr="00A132AE" w:rsidRDefault="00A132AE" w:rsidP="00527AA1">
            <w:pPr>
              <w:pStyle w:val="Textoindependiente"/>
              <w:spacing w:before="120" w:after="120"/>
              <w:rPr>
                <w:rFonts w:asciiTheme="majorHAnsi" w:hAnsiTheme="majorHAnsi" w:cs="Arial"/>
                <w:b/>
                <w:sz w:val="20"/>
              </w:rPr>
            </w:pPr>
          </w:p>
        </w:tc>
      </w:tr>
      <w:tr w:rsidR="00A132AE" w:rsidRPr="0073596D" w14:paraId="17CD5B9F" w14:textId="77777777" w:rsidTr="00BB3803">
        <w:trPr>
          <w:trHeight w:val="1208"/>
        </w:trPr>
        <w:tc>
          <w:tcPr>
            <w:tcW w:w="2072" w:type="dxa"/>
            <w:shd w:val="clear" w:color="auto" w:fill="auto"/>
            <w:vAlign w:val="center"/>
          </w:tcPr>
          <w:p w14:paraId="4375AEB2" w14:textId="77777777" w:rsidR="00A132AE" w:rsidRPr="00A132AE" w:rsidRDefault="00A132AE" w:rsidP="00527AA1">
            <w:pPr>
              <w:outlineLvl w:val="1"/>
              <w:rPr>
                <w:rFonts w:asciiTheme="majorHAnsi" w:hAnsiTheme="majorHAnsi"/>
                <w:sz w:val="20"/>
                <w:szCs w:val="20"/>
                <w:lang w:val="es-CR"/>
              </w:rPr>
            </w:pPr>
            <w:r w:rsidRPr="00A132AE">
              <w:rPr>
                <w:rFonts w:asciiTheme="majorHAnsi" w:hAnsiTheme="majorHAnsi"/>
                <w:sz w:val="20"/>
                <w:szCs w:val="20"/>
                <w:lang w:val="es-CR"/>
              </w:rPr>
              <w:lastRenderedPageBreak/>
              <w:t>Fallas en la comunicación y coordinación entre dependencias que afecten la eficacia de las labores.</w:t>
            </w:r>
          </w:p>
        </w:tc>
        <w:tc>
          <w:tcPr>
            <w:tcW w:w="4824" w:type="dxa"/>
            <w:shd w:val="clear" w:color="auto" w:fill="auto"/>
            <w:vAlign w:val="center"/>
          </w:tcPr>
          <w:p w14:paraId="14BBAA73"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Reuniones de encargados de procesos</w:t>
            </w:r>
          </w:p>
          <w:p w14:paraId="7E86B1B3"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Mayor frecuencia en las reuniones de Comité Ejecutivo.</w:t>
            </w:r>
          </w:p>
          <w:p w14:paraId="105C1B83"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Aplicación de los procedimientos de trabajo y las políticas de comunicación interna.</w:t>
            </w:r>
          </w:p>
          <w:p w14:paraId="38983141" w14:textId="4AE721B8"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Eviden</w:t>
            </w:r>
            <w:r w:rsidR="00827141">
              <w:rPr>
                <w:rFonts w:asciiTheme="majorHAnsi" w:hAnsiTheme="majorHAnsi"/>
                <w:sz w:val="20"/>
                <w:szCs w:val="20"/>
                <w:lang w:val="es-CR"/>
              </w:rPr>
              <w:t>cias registradas en Sistema de T</w:t>
            </w:r>
            <w:r w:rsidRPr="00A132AE">
              <w:rPr>
                <w:rFonts w:asciiTheme="majorHAnsi" w:hAnsiTheme="majorHAnsi"/>
                <w:sz w:val="20"/>
                <w:szCs w:val="20"/>
                <w:lang w:val="es-CR"/>
              </w:rPr>
              <w:t>rámites.</w:t>
            </w:r>
          </w:p>
          <w:p w14:paraId="41A65B16" w14:textId="77777777"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Comunicaciones por correo electrónico.</w:t>
            </w:r>
          </w:p>
        </w:tc>
        <w:tc>
          <w:tcPr>
            <w:tcW w:w="2217" w:type="dxa"/>
            <w:vAlign w:val="center"/>
          </w:tcPr>
          <w:p w14:paraId="260137FB" w14:textId="0C383ECA" w:rsidR="00A132AE" w:rsidRPr="00A132AE" w:rsidRDefault="00A132AE" w:rsidP="00527AA1">
            <w:pPr>
              <w:jc w:val="both"/>
              <w:outlineLvl w:val="1"/>
              <w:rPr>
                <w:rFonts w:asciiTheme="majorHAnsi" w:hAnsiTheme="majorHAnsi"/>
                <w:sz w:val="20"/>
                <w:szCs w:val="20"/>
                <w:lang w:val="es-CR"/>
              </w:rPr>
            </w:pPr>
            <w:r w:rsidRPr="00A132AE">
              <w:rPr>
                <w:rFonts w:asciiTheme="majorHAnsi" w:hAnsiTheme="majorHAnsi"/>
                <w:sz w:val="20"/>
                <w:szCs w:val="20"/>
                <w:lang w:val="es-CR"/>
              </w:rPr>
              <w:t>Este riesgo se había reportado a nivel institucional durante los años 2007 al 2011 y para los años 2012 al</w:t>
            </w:r>
            <w:r w:rsidR="00827141">
              <w:rPr>
                <w:rFonts w:asciiTheme="majorHAnsi" w:hAnsiTheme="majorHAnsi"/>
                <w:sz w:val="20"/>
                <w:szCs w:val="20"/>
                <w:lang w:val="es-CR"/>
              </w:rPr>
              <w:t xml:space="preserve"> 2014 se mantuvo bajo control. </w:t>
            </w:r>
            <w:r w:rsidRPr="00A132AE">
              <w:rPr>
                <w:rFonts w:asciiTheme="majorHAnsi" w:hAnsiTheme="majorHAnsi"/>
                <w:sz w:val="20"/>
                <w:szCs w:val="20"/>
                <w:lang w:val="es-CR"/>
              </w:rPr>
              <w:t>En el 2015 vuelve a reportarse con riesgo medio o alto.</w:t>
            </w:r>
          </w:p>
        </w:tc>
      </w:tr>
    </w:tbl>
    <w:p w14:paraId="39DD8CEA" w14:textId="77777777" w:rsidR="0050655A" w:rsidRDefault="0050655A" w:rsidP="00512AC4">
      <w:pPr>
        <w:jc w:val="both"/>
        <w:rPr>
          <w:rFonts w:asciiTheme="majorHAnsi" w:hAnsiTheme="majorHAnsi"/>
          <w:sz w:val="22"/>
          <w:szCs w:val="22"/>
          <w:lang w:val="es-CR"/>
        </w:rPr>
      </w:pPr>
    </w:p>
    <w:p w14:paraId="261459E6" w14:textId="77777777" w:rsidR="0075218C" w:rsidRDefault="0075218C" w:rsidP="00512AC4">
      <w:pPr>
        <w:jc w:val="both"/>
        <w:rPr>
          <w:rFonts w:asciiTheme="majorHAnsi" w:hAnsiTheme="majorHAnsi"/>
          <w:sz w:val="22"/>
          <w:szCs w:val="22"/>
          <w:lang w:val="es-CR"/>
        </w:rPr>
      </w:pPr>
    </w:p>
    <w:p w14:paraId="1AE9AF91" w14:textId="77777777" w:rsidR="0075218C" w:rsidRDefault="0075218C" w:rsidP="00512AC4">
      <w:pPr>
        <w:jc w:val="both"/>
        <w:rPr>
          <w:rFonts w:asciiTheme="majorHAnsi" w:hAnsiTheme="majorHAnsi"/>
          <w:sz w:val="22"/>
          <w:szCs w:val="22"/>
          <w:lang w:val="es-CR"/>
        </w:rPr>
      </w:pPr>
    </w:p>
    <w:p w14:paraId="06A949B1" w14:textId="0D9BDE5F" w:rsidR="004033F4" w:rsidRPr="00A03181" w:rsidRDefault="00A03181" w:rsidP="00A03181">
      <w:pPr>
        <w:pStyle w:val="Ttulo3"/>
        <w:rPr>
          <w:rFonts w:asciiTheme="majorHAnsi" w:hAnsiTheme="majorHAnsi"/>
          <w:sz w:val="22"/>
          <w:szCs w:val="22"/>
        </w:rPr>
      </w:pPr>
      <w:bookmarkStart w:id="38" w:name="_Toc429563195"/>
      <w:bookmarkEnd w:id="11"/>
      <w:bookmarkEnd w:id="12"/>
      <w:bookmarkEnd w:id="13"/>
      <w:r w:rsidRPr="00AD152A">
        <w:rPr>
          <w:rFonts w:asciiTheme="majorHAnsi" w:hAnsiTheme="majorHAnsi"/>
          <w:sz w:val="22"/>
          <w:szCs w:val="22"/>
        </w:rPr>
        <w:t>1.2.4.</w:t>
      </w:r>
      <w:r w:rsidRPr="00AD152A">
        <w:rPr>
          <w:rFonts w:asciiTheme="majorHAnsi" w:hAnsiTheme="majorHAnsi"/>
          <w:sz w:val="22"/>
          <w:szCs w:val="22"/>
        </w:rPr>
        <w:tab/>
      </w:r>
      <w:r w:rsidR="004033F4" w:rsidRPr="00AD152A">
        <w:rPr>
          <w:rFonts w:asciiTheme="majorHAnsi" w:hAnsiTheme="majorHAnsi"/>
          <w:sz w:val="22"/>
          <w:szCs w:val="22"/>
        </w:rPr>
        <w:t>Marco Filosófico Institucional</w:t>
      </w:r>
      <w:bookmarkEnd w:id="38"/>
    </w:p>
    <w:p w14:paraId="06A949B2" w14:textId="77777777" w:rsidR="009A4DAB" w:rsidRPr="00060053" w:rsidRDefault="009A4DAB" w:rsidP="004033F4">
      <w:pPr>
        <w:ind w:left="360"/>
        <w:rPr>
          <w:rFonts w:asciiTheme="majorHAnsi" w:hAnsiTheme="majorHAnsi"/>
          <w:b/>
          <w:sz w:val="22"/>
          <w:szCs w:val="22"/>
        </w:rPr>
      </w:pPr>
    </w:p>
    <w:p w14:paraId="06A949B3" w14:textId="77777777" w:rsidR="00080F2E" w:rsidRDefault="00050849" w:rsidP="00426B8C">
      <w:pPr>
        <w:widowControl w:val="0"/>
        <w:autoSpaceDE w:val="0"/>
        <w:autoSpaceDN w:val="0"/>
        <w:adjustRightInd w:val="0"/>
        <w:jc w:val="both"/>
        <w:rPr>
          <w:rFonts w:asciiTheme="majorHAnsi" w:hAnsiTheme="majorHAnsi" w:cs="Arial"/>
          <w:sz w:val="22"/>
          <w:szCs w:val="22"/>
        </w:rPr>
      </w:pPr>
      <w:r w:rsidRPr="00060053">
        <w:rPr>
          <w:rFonts w:asciiTheme="majorHAnsi" w:hAnsiTheme="majorHAnsi" w:cs="Arial"/>
          <w:sz w:val="22"/>
          <w:szCs w:val="22"/>
        </w:rPr>
        <w:t>D</w:t>
      </w:r>
      <w:r w:rsidR="00080F2E" w:rsidRPr="00060053">
        <w:rPr>
          <w:rFonts w:asciiTheme="majorHAnsi" w:hAnsiTheme="majorHAnsi" w:cs="Arial"/>
          <w:sz w:val="22"/>
          <w:szCs w:val="22"/>
        </w:rPr>
        <w:t>efine la filosofía de la organización, la cual se indica a continuación:</w:t>
      </w:r>
    </w:p>
    <w:p w14:paraId="06A949B4" w14:textId="77777777" w:rsidR="00A225D2" w:rsidRPr="00060053" w:rsidRDefault="00A225D2" w:rsidP="00080F2E">
      <w:pPr>
        <w:widowControl w:val="0"/>
        <w:autoSpaceDE w:val="0"/>
        <w:autoSpaceDN w:val="0"/>
        <w:adjustRightInd w:val="0"/>
        <w:ind w:left="567"/>
        <w:jc w:val="both"/>
        <w:rPr>
          <w:rFonts w:asciiTheme="majorHAnsi" w:hAnsiTheme="majorHAnsi" w:cs="Arial"/>
          <w:sz w:val="22"/>
          <w:szCs w:val="22"/>
        </w:rPr>
      </w:pPr>
    </w:p>
    <w:p w14:paraId="06A949B5" w14:textId="77777777" w:rsidR="00426B8C" w:rsidRPr="00FD7ED1" w:rsidRDefault="00426B8C" w:rsidP="007D2E79">
      <w:pPr>
        <w:numPr>
          <w:ilvl w:val="0"/>
          <w:numId w:val="5"/>
        </w:numPr>
        <w:tabs>
          <w:tab w:val="clear" w:pos="720"/>
          <w:tab w:val="num" w:pos="1068"/>
        </w:tabs>
        <w:ind w:left="1068"/>
        <w:rPr>
          <w:rFonts w:asciiTheme="majorHAnsi" w:hAnsiTheme="majorHAnsi"/>
          <w:b/>
          <w:iCs/>
          <w:sz w:val="22"/>
          <w:szCs w:val="22"/>
          <w:u w:val="single"/>
          <w:lang w:val="es-CR"/>
        </w:rPr>
      </w:pPr>
      <w:r w:rsidRPr="00060053">
        <w:rPr>
          <w:rFonts w:asciiTheme="majorHAnsi" w:hAnsiTheme="majorHAnsi"/>
          <w:b/>
          <w:i/>
          <w:smallCaps/>
          <w:sz w:val="22"/>
          <w:szCs w:val="22"/>
        </w:rPr>
        <w:t>Visión</w:t>
      </w:r>
      <w:r w:rsidRPr="00060053">
        <w:rPr>
          <w:rFonts w:asciiTheme="majorHAnsi" w:hAnsiTheme="majorHAnsi"/>
          <w:b/>
          <w:smallCaps/>
          <w:sz w:val="22"/>
          <w:szCs w:val="22"/>
        </w:rPr>
        <w:t xml:space="preserve">: </w:t>
      </w:r>
    </w:p>
    <w:p w14:paraId="313B4C07" w14:textId="63992205" w:rsidR="00FD7ED1" w:rsidRDefault="00FD7ED1" w:rsidP="00FD7ED1">
      <w:pPr>
        <w:rPr>
          <w:rFonts w:asciiTheme="majorHAnsi" w:hAnsiTheme="majorHAnsi"/>
          <w:b/>
          <w:iCs/>
          <w:sz w:val="22"/>
          <w:szCs w:val="22"/>
          <w:u w:val="single"/>
          <w:lang w:val="es-CR"/>
        </w:rPr>
      </w:pPr>
    </w:p>
    <w:tbl>
      <w:tblPr>
        <w:tblStyle w:val="Tablaconcuadrcula"/>
        <w:tblW w:w="0" w:type="auto"/>
        <w:tblInd w:w="704" w:type="dxa"/>
        <w:tblLook w:val="04A0" w:firstRow="1" w:lastRow="0" w:firstColumn="1" w:lastColumn="0" w:noHBand="0" w:noVBand="1"/>
      </w:tblPr>
      <w:tblGrid>
        <w:gridCol w:w="8409"/>
      </w:tblGrid>
      <w:tr w:rsidR="00FD7ED1" w:rsidRPr="00FD7ED1" w14:paraId="3E0E8040" w14:textId="77777777" w:rsidTr="00C20592">
        <w:trPr>
          <w:trHeight w:val="707"/>
        </w:trPr>
        <w:tc>
          <w:tcPr>
            <w:tcW w:w="8409" w:type="dxa"/>
            <w:shd w:val="clear" w:color="auto" w:fill="DBE5F1" w:themeFill="accent1" w:themeFillTint="33"/>
          </w:tcPr>
          <w:p w14:paraId="15615CEE" w14:textId="77777777" w:rsidR="00FD7ED1" w:rsidRPr="00FD7ED1" w:rsidRDefault="00FD7ED1" w:rsidP="00FD7ED1"/>
          <w:p w14:paraId="5336C896" w14:textId="79B50613" w:rsidR="00FD7ED1" w:rsidRPr="00FD7ED1" w:rsidRDefault="00FD7ED1" w:rsidP="00FD7ED1">
            <w:pPr>
              <w:jc w:val="center"/>
              <w:rPr>
                <w:b/>
                <w:i/>
              </w:rPr>
            </w:pPr>
            <w:r w:rsidRPr="00FD7ED1">
              <w:rPr>
                <w:b/>
                <w:i/>
              </w:rPr>
              <w:t>Ser un referente técnico en el fortalecimiento de</w:t>
            </w:r>
            <w:r w:rsidR="00D44BFD">
              <w:rPr>
                <w:b/>
                <w:i/>
              </w:rPr>
              <w:t>l Sistema Nacional de Pensiones</w:t>
            </w:r>
          </w:p>
          <w:p w14:paraId="63047BCE" w14:textId="77777777" w:rsidR="00FD7ED1" w:rsidRPr="00FD7ED1" w:rsidRDefault="00FD7ED1" w:rsidP="00FD7ED1"/>
        </w:tc>
      </w:tr>
    </w:tbl>
    <w:p w14:paraId="67DB8422" w14:textId="77777777" w:rsidR="00FD7ED1" w:rsidRDefault="00FD7ED1" w:rsidP="00FD7ED1">
      <w:pPr>
        <w:rPr>
          <w:rFonts w:asciiTheme="majorHAnsi" w:hAnsiTheme="majorHAnsi"/>
          <w:b/>
          <w:iCs/>
          <w:sz w:val="22"/>
          <w:szCs w:val="22"/>
          <w:u w:val="single"/>
          <w:lang w:val="es-CR"/>
        </w:rPr>
      </w:pPr>
    </w:p>
    <w:p w14:paraId="06A949BA" w14:textId="3233AC40" w:rsidR="00426B8C" w:rsidRPr="00FD7ED1" w:rsidRDefault="00426B8C" w:rsidP="00FD7ED1">
      <w:pPr>
        <w:numPr>
          <w:ilvl w:val="0"/>
          <w:numId w:val="5"/>
        </w:numPr>
        <w:tabs>
          <w:tab w:val="clear" w:pos="720"/>
          <w:tab w:val="num" w:pos="1068"/>
        </w:tabs>
        <w:ind w:left="1068"/>
        <w:rPr>
          <w:rFonts w:asciiTheme="majorHAnsi" w:hAnsiTheme="majorHAnsi"/>
          <w:b/>
          <w:i/>
          <w:smallCaps/>
          <w:sz w:val="22"/>
          <w:szCs w:val="22"/>
        </w:rPr>
      </w:pPr>
      <w:r w:rsidRPr="00060053">
        <w:rPr>
          <w:rFonts w:asciiTheme="majorHAnsi" w:hAnsiTheme="majorHAnsi"/>
          <w:b/>
          <w:i/>
          <w:smallCaps/>
          <w:sz w:val="22"/>
          <w:szCs w:val="22"/>
        </w:rPr>
        <w:t>Misión</w:t>
      </w:r>
      <w:r w:rsidRPr="00FD7ED1">
        <w:rPr>
          <w:rFonts w:asciiTheme="majorHAnsi" w:hAnsiTheme="majorHAnsi"/>
          <w:b/>
          <w:i/>
          <w:smallCaps/>
          <w:sz w:val="22"/>
          <w:szCs w:val="22"/>
        </w:rPr>
        <w:t>:</w:t>
      </w:r>
    </w:p>
    <w:p w14:paraId="73DE61DA" w14:textId="77777777" w:rsidR="00FD7ED1" w:rsidRPr="00FD7ED1" w:rsidRDefault="00FD7ED1" w:rsidP="00FD7ED1">
      <w:pPr>
        <w:ind w:left="360"/>
        <w:rPr>
          <w:rFonts w:asciiTheme="majorHAnsi" w:hAnsiTheme="majorHAnsi"/>
          <w:b/>
          <w:iCs/>
          <w:sz w:val="22"/>
          <w:u w:val="single"/>
        </w:rPr>
      </w:pPr>
    </w:p>
    <w:tbl>
      <w:tblPr>
        <w:tblStyle w:val="Tablaconcuadrcula"/>
        <w:tblW w:w="0" w:type="auto"/>
        <w:tblInd w:w="704" w:type="dxa"/>
        <w:tblLook w:val="04A0" w:firstRow="1" w:lastRow="0" w:firstColumn="1" w:lastColumn="0" w:noHBand="0" w:noVBand="1"/>
      </w:tblPr>
      <w:tblGrid>
        <w:gridCol w:w="8409"/>
      </w:tblGrid>
      <w:tr w:rsidR="00FD7ED1" w:rsidRPr="00FD7ED1" w14:paraId="117D55B7" w14:textId="77777777" w:rsidTr="00C20592">
        <w:trPr>
          <w:trHeight w:val="707"/>
        </w:trPr>
        <w:tc>
          <w:tcPr>
            <w:tcW w:w="8409" w:type="dxa"/>
            <w:shd w:val="clear" w:color="auto" w:fill="DBE5F1" w:themeFill="accent1" w:themeFillTint="33"/>
          </w:tcPr>
          <w:p w14:paraId="355CD8F7" w14:textId="77777777" w:rsidR="00FD7ED1" w:rsidRPr="00FD7ED1" w:rsidRDefault="00FD7ED1" w:rsidP="003D2E9C"/>
          <w:p w14:paraId="45FC3D71" w14:textId="00D669EF" w:rsidR="00FD7ED1" w:rsidRPr="00FD7ED1" w:rsidRDefault="00D44BFD" w:rsidP="003D2E9C">
            <w:pPr>
              <w:jc w:val="center"/>
              <w:rPr>
                <w:b/>
                <w:i/>
              </w:rPr>
            </w:pPr>
            <w:r>
              <w:rPr>
                <w:b/>
                <w:i/>
              </w:rPr>
              <w:t>Promover pensiones dignas</w:t>
            </w:r>
          </w:p>
          <w:p w14:paraId="78CDFD5A" w14:textId="77777777" w:rsidR="00FD7ED1" w:rsidRPr="00FD7ED1" w:rsidRDefault="00FD7ED1" w:rsidP="003D2E9C"/>
        </w:tc>
      </w:tr>
    </w:tbl>
    <w:p w14:paraId="104E163D" w14:textId="77777777" w:rsidR="00FD7ED1" w:rsidRPr="00FD7ED1" w:rsidRDefault="00FD7ED1" w:rsidP="00FD7ED1">
      <w:pPr>
        <w:ind w:left="360"/>
        <w:rPr>
          <w:rFonts w:asciiTheme="majorHAnsi" w:hAnsiTheme="majorHAnsi"/>
          <w:b/>
          <w:iCs/>
          <w:sz w:val="22"/>
          <w:u w:val="single"/>
        </w:rPr>
      </w:pPr>
    </w:p>
    <w:p w14:paraId="06A949BE" w14:textId="77777777" w:rsidR="00A225D2" w:rsidRPr="00060053" w:rsidRDefault="00A225D2" w:rsidP="00426B8C">
      <w:pPr>
        <w:pStyle w:val="Puesto"/>
        <w:ind w:right="55"/>
        <w:jc w:val="left"/>
        <w:rPr>
          <w:rFonts w:asciiTheme="majorHAnsi" w:hAnsiTheme="majorHAnsi"/>
          <w:b w:val="0"/>
          <w:smallCaps/>
          <w:sz w:val="22"/>
          <w:szCs w:val="22"/>
          <w:lang w:val="es-CR"/>
        </w:rPr>
      </w:pPr>
    </w:p>
    <w:p w14:paraId="06A949BF" w14:textId="3C98BA14" w:rsidR="00426B8C" w:rsidRDefault="00A219C6" w:rsidP="007D2E79">
      <w:pPr>
        <w:numPr>
          <w:ilvl w:val="0"/>
          <w:numId w:val="5"/>
        </w:numPr>
        <w:tabs>
          <w:tab w:val="clear" w:pos="720"/>
          <w:tab w:val="num" w:pos="1068"/>
        </w:tabs>
        <w:ind w:left="1068"/>
        <w:rPr>
          <w:rFonts w:asciiTheme="majorHAnsi" w:hAnsiTheme="majorHAnsi"/>
          <w:b/>
          <w:smallCaps/>
          <w:sz w:val="22"/>
          <w:szCs w:val="22"/>
        </w:rPr>
      </w:pPr>
      <w:r>
        <w:rPr>
          <w:rFonts w:asciiTheme="majorHAnsi" w:hAnsiTheme="majorHAnsi"/>
          <w:b/>
          <w:i/>
          <w:smallCaps/>
          <w:sz w:val="22"/>
          <w:szCs w:val="22"/>
        </w:rPr>
        <w:t>Valores Institucionales</w:t>
      </w:r>
      <w:r w:rsidR="00426B8C" w:rsidRPr="00060053">
        <w:rPr>
          <w:rFonts w:asciiTheme="majorHAnsi" w:hAnsiTheme="majorHAnsi"/>
          <w:b/>
          <w:smallCaps/>
          <w:sz w:val="22"/>
          <w:szCs w:val="22"/>
        </w:rPr>
        <w:t>:</w:t>
      </w:r>
    </w:p>
    <w:p w14:paraId="2B612B29" w14:textId="544B200D" w:rsidR="00353E06" w:rsidRDefault="00353E06" w:rsidP="00353E06">
      <w:pPr>
        <w:rPr>
          <w:rFonts w:asciiTheme="majorHAnsi" w:hAnsiTheme="majorHAnsi"/>
          <w:b/>
          <w:smallCaps/>
          <w:sz w:val="22"/>
          <w:szCs w:val="22"/>
        </w:rPr>
      </w:pPr>
    </w:p>
    <w:tbl>
      <w:tblPr>
        <w:tblStyle w:val="Tablaconcuadrcula"/>
        <w:tblW w:w="8505"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2693"/>
        <w:gridCol w:w="5812"/>
      </w:tblGrid>
      <w:tr w:rsidR="007C372E" w14:paraId="24EB8FCA" w14:textId="580B7999" w:rsidTr="00B141DD">
        <w:tc>
          <w:tcPr>
            <w:tcW w:w="2693" w:type="dxa"/>
            <w:shd w:val="clear" w:color="auto" w:fill="DBE5F1" w:themeFill="accent1" w:themeFillTint="33"/>
          </w:tcPr>
          <w:p w14:paraId="1C8C53A8" w14:textId="6D36B2EC" w:rsidR="007C372E" w:rsidRPr="007C372E" w:rsidRDefault="007C372E" w:rsidP="00F73A72">
            <w:pPr>
              <w:ind w:left="2297" w:hanging="2297"/>
              <w:contextualSpacing/>
              <w:jc w:val="both"/>
              <w:rPr>
                <w:rFonts w:asciiTheme="majorHAnsi" w:hAnsiTheme="majorHAnsi"/>
                <w:sz w:val="20"/>
              </w:rPr>
            </w:pPr>
            <w:r w:rsidRPr="007C372E">
              <w:rPr>
                <w:rFonts w:asciiTheme="majorHAnsi" w:hAnsiTheme="majorHAnsi"/>
                <w:b/>
                <w:sz w:val="22"/>
              </w:rPr>
              <w:t xml:space="preserve">Integridad: </w:t>
            </w:r>
          </w:p>
          <w:p w14:paraId="4473AE1E" w14:textId="77777777" w:rsidR="007C372E" w:rsidRDefault="007C372E" w:rsidP="007C372E">
            <w:pPr>
              <w:ind w:left="2297" w:hanging="2297"/>
              <w:contextualSpacing/>
              <w:jc w:val="both"/>
              <w:rPr>
                <w:rFonts w:asciiTheme="majorHAnsi" w:hAnsiTheme="majorHAnsi"/>
                <w:b/>
                <w:smallCaps/>
                <w:sz w:val="22"/>
                <w:szCs w:val="22"/>
              </w:rPr>
            </w:pPr>
          </w:p>
        </w:tc>
        <w:tc>
          <w:tcPr>
            <w:tcW w:w="5812" w:type="dxa"/>
            <w:shd w:val="clear" w:color="auto" w:fill="DBE5F1" w:themeFill="accent1" w:themeFillTint="33"/>
          </w:tcPr>
          <w:p w14:paraId="6E806BAD" w14:textId="2158454D" w:rsidR="007C372E" w:rsidRDefault="007C372E" w:rsidP="009A4853">
            <w:pPr>
              <w:jc w:val="both"/>
              <w:rPr>
                <w:rFonts w:asciiTheme="majorHAnsi" w:hAnsiTheme="majorHAnsi"/>
                <w:sz w:val="22"/>
              </w:rPr>
            </w:pPr>
            <w:r>
              <w:rPr>
                <w:rFonts w:asciiTheme="majorHAnsi" w:hAnsiTheme="majorHAnsi"/>
                <w:sz w:val="22"/>
              </w:rPr>
              <w:t>A</w:t>
            </w:r>
            <w:r w:rsidRPr="007C372E">
              <w:rPr>
                <w:rFonts w:asciiTheme="majorHAnsi" w:hAnsiTheme="majorHAnsi"/>
                <w:sz w:val="22"/>
              </w:rPr>
              <w:t>ctuamos con rectitud para cumplir con nuestros compromisos.</w:t>
            </w:r>
          </w:p>
          <w:p w14:paraId="4B44CEDA" w14:textId="3628D2CD" w:rsidR="007C372E" w:rsidRPr="007C372E" w:rsidRDefault="007C372E" w:rsidP="009A4853">
            <w:pPr>
              <w:jc w:val="both"/>
              <w:rPr>
                <w:rFonts w:asciiTheme="majorHAnsi" w:hAnsiTheme="majorHAnsi"/>
                <w:sz w:val="22"/>
              </w:rPr>
            </w:pPr>
          </w:p>
        </w:tc>
      </w:tr>
      <w:tr w:rsidR="007C372E" w14:paraId="61D3C9F7" w14:textId="77777777" w:rsidTr="00B141DD">
        <w:tc>
          <w:tcPr>
            <w:tcW w:w="2693" w:type="dxa"/>
            <w:shd w:val="clear" w:color="auto" w:fill="DBE5F1" w:themeFill="accent1" w:themeFillTint="33"/>
          </w:tcPr>
          <w:p w14:paraId="48F0B32A" w14:textId="77777777" w:rsidR="007C372E" w:rsidRPr="007C372E" w:rsidRDefault="007C372E" w:rsidP="007C372E">
            <w:pPr>
              <w:ind w:left="2297" w:hanging="2297"/>
              <w:contextualSpacing/>
              <w:jc w:val="both"/>
              <w:rPr>
                <w:rFonts w:asciiTheme="majorHAnsi" w:hAnsiTheme="majorHAnsi"/>
                <w:sz w:val="22"/>
              </w:rPr>
            </w:pPr>
            <w:r w:rsidRPr="007C372E">
              <w:rPr>
                <w:rFonts w:asciiTheme="majorHAnsi" w:hAnsiTheme="majorHAnsi"/>
                <w:b/>
                <w:sz w:val="22"/>
              </w:rPr>
              <w:t>Transparencia:</w:t>
            </w:r>
            <w:r w:rsidRPr="007C372E">
              <w:rPr>
                <w:rFonts w:asciiTheme="majorHAnsi" w:hAnsiTheme="majorHAnsi"/>
                <w:sz w:val="22"/>
              </w:rPr>
              <w:t xml:space="preserve"> </w:t>
            </w:r>
          </w:p>
          <w:p w14:paraId="59C9D23C" w14:textId="77777777" w:rsidR="007C372E" w:rsidRPr="00353E06" w:rsidRDefault="007C372E" w:rsidP="00353E06"/>
        </w:tc>
        <w:tc>
          <w:tcPr>
            <w:tcW w:w="5812" w:type="dxa"/>
            <w:shd w:val="clear" w:color="auto" w:fill="DBE5F1" w:themeFill="accent1" w:themeFillTint="33"/>
          </w:tcPr>
          <w:p w14:paraId="344A41C5" w14:textId="64E52DA6" w:rsidR="007C372E" w:rsidRDefault="007C372E" w:rsidP="009A4853">
            <w:pPr>
              <w:jc w:val="both"/>
              <w:rPr>
                <w:rFonts w:asciiTheme="majorHAnsi" w:hAnsiTheme="majorHAnsi"/>
                <w:sz w:val="22"/>
              </w:rPr>
            </w:pPr>
            <w:r>
              <w:rPr>
                <w:rFonts w:asciiTheme="majorHAnsi" w:hAnsiTheme="majorHAnsi"/>
                <w:sz w:val="22"/>
              </w:rPr>
              <w:t>I</w:t>
            </w:r>
            <w:r w:rsidRPr="007C372E">
              <w:rPr>
                <w:rFonts w:asciiTheme="majorHAnsi" w:hAnsiTheme="majorHAnsi"/>
                <w:sz w:val="22"/>
              </w:rPr>
              <w:t>nformamos con claridad, veracidad y oportunidad sobre nuestras actuaciones.</w:t>
            </w:r>
          </w:p>
          <w:p w14:paraId="2E933E8F" w14:textId="77777777" w:rsidR="007C372E" w:rsidRDefault="007C372E" w:rsidP="009A4853">
            <w:pPr>
              <w:jc w:val="both"/>
            </w:pPr>
          </w:p>
        </w:tc>
      </w:tr>
      <w:tr w:rsidR="007C372E" w14:paraId="07B4D1C6" w14:textId="77777777" w:rsidTr="00B141DD">
        <w:tc>
          <w:tcPr>
            <w:tcW w:w="2693" w:type="dxa"/>
            <w:shd w:val="clear" w:color="auto" w:fill="DBE5F1" w:themeFill="accent1" w:themeFillTint="33"/>
          </w:tcPr>
          <w:p w14:paraId="5E738D37" w14:textId="77777777" w:rsidR="007C372E" w:rsidRPr="007C372E" w:rsidRDefault="007C372E" w:rsidP="007C372E">
            <w:pPr>
              <w:ind w:left="2297" w:hanging="2297"/>
              <w:rPr>
                <w:rFonts w:asciiTheme="majorHAnsi" w:hAnsiTheme="majorHAnsi"/>
                <w:sz w:val="22"/>
              </w:rPr>
            </w:pPr>
            <w:r w:rsidRPr="007C372E">
              <w:rPr>
                <w:rFonts w:asciiTheme="majorHAnsi" w:hAnsiTheme="majorHAnsi"/>
                <w:b/>
                <w:sz w:val="22"/>
              </w:rPr>
              <w:t>Mejora continua:</w:t>
            </w:r>
            <w:r w:rsidRPr="007C372E">
              <w:rPr>
                <w:rFonts w:asciiTheme="majorHAnsi" w:hAnsiTheme="majorHAnsi"/>
                <w:sz w:val="22"/>
              </w:rPr>
              <w:t xml:space="preserve"> </w:t>
            </w:r>
          </w:p>
          <w:p w14:paraId="367E7CC9" w14:textId="77777777" w:rsidR="007C372E" w:rsidRDefault="007C372E" w:rsidP="00353E06"/>
        </w:tc>
        <w:tc>
          <w:tcPr>
            <w:tcW w:w="5812" w:type="dxa"/>
            <w:shd w:val="clear" w:color="auto" w:fill="DBE5F1" w:themeFill="accent1" w:themeFillTint="33"/>
          </w:tcPr>
          <w:p w14:paraId="29440117" w14:textId="1046F033" w:rsidR="007C372E" w:rsidRDefault="007C372E" w:rsidP="009A4853">
            <w:pPr>
              <w:jc w:val="both"/>
              <w:rPr>
                <w:rFonts w:asciiTheme="majorHAnsi" w:hAnsiTheme="majorHAnsi"/>
                <w:sz w:val="22"/>
              </w:rPr>
            </w:pPr>
            <w:r>
              <w:rPr>
                <w:rFonts w:asciiTheme="majorHAnsi" w:hAnsiTheme="majorHAnsi"/>
                <w:sz w:val="22"/>
              </w:rPr>
              <w:t>P</w:t>
            </w:r>
            <w:r w:rsidRPr="007C372E">
              <w:rPr>
                <w:rFonts w:asciiTheme="majorHAnsi" w:hAnsiTheme="majorHAnsi"/>
                <w:sz w:val="22"/>
              </w:rPr>
              <w:t>romovemos el uso de mejores prácticas para brindar servicios de alta calidad a nuestros clientes.</w:t>
            </w:r>
          </w:p>
          <w:p w14:paraId="2D85F92C" w14:textId="77777777" w:rsidR="007C372E" w:rsidRDefault="007C372E" w:rsidP="009A4853">
            <w:pPr>
              <w:jc w:val="both"/>
            </w:pPr>
          </w:p>
        </w:tc>
      </w:tr>
      <w:tr w:rsidR="007C372E" w14:paraId="1F504A32" w14:textId="77777777" w:rsidTr="00B141DD">
        <w:tc>
          <w:tcPr>
            <w:tcW w:w="2693" w:type="dxa"/>
            <w:shd w:val="clear" w:color="auto" w:fill="DBE5F1" w:themeFill="accent1" w:themeFillTint="33"/>
          </w:tcPr>
          <w:p w14:paraId="6543549F" w14:textId="77777777" w:rsidR="007C372E" w:rsidRPr="007C372E" w:rsidRDefault="007C372E" w:rsidP="007C372E">
            <w:pPr>
              <w:ind w:left="2297" w:hanging="2297"/>
              <w:contextualSpacing/>
              <w:jc w:val="both"/>
              <w:rPr>
                <w:rFonts w:asciiTheme="majorHAnsi" w:hAnsiTheme="majorHAnsi"/>
                <w:sz w:val="20"/>
              </w:rPr>
            </w:pPr>
            <w:r w:rsidRPr="007C372E">
              <w:rPr>
                <w:rFonts w:asciiTheme="majorHAnsi" w:hAnsiTheme="majorHAnsi"/>
                <w:b/>
                <w:sz w:val="22"/>
              </w:rPr>
              <w:t>Trabajo en equipo:</w:t>
            </w:r>
            <w:r w:rsidRPr="007C372E">
              <w:rPr>
                <w:rFonts w:asciiTheme="majorHAnsi" w:hAnsiTheme="majorHAnsi"/>
                <w:sz w:val="22"/>
              </w:rPr>
              <w:t xml:space="preserve"> </w:t>
            </w:r>
          </w:p>
          <w:p w14:paraId="578329A2" w14:textId="77777777" w:rsidR="007C372E" w:rsidRDefault="007C372E" w:rsidP="00353E06"/>
        </w:tc>
        <w:tc>
          <w:tcPr>
            <w:tcW w:w="5812" w:type="dxa"/>
            <w:shd w:val="clear" w:color="auto" w:fill="DBE5F1" w:themeFill="accent1" w:themeFillTint="33"/>
          </w:tcPr>
          <w:p w14:paraId="5DE11786" w14:textId="64CD9184" w:rsidR="007C372E" w:rsidRDefault="007C372E" w:rsidP="00827141">
            <w:pPr>
              <w:jc w:val="both"/>
            </w:pPr>
            <w:r>
              <w:rPr>
                <w:rFonts w:asciiTheme="majorHAnsi" w:hAnsiTheme="majorHAnsi"/>
                <w:sz w:val="22"/>
              </w:rPr>
              <w:t>L</w:t>
            </w:r>
            <w:r w:rsidRPr="007C372E">
              <w:rPr>
                <w:rFonts w:asciiTheme="majorHAnsi" w:hAnsiTheme="majorHAnsi"/>
                <w:sz w:val="22"/>
              </w:rPr>
              <w:t>aboramos de manera coordinada, en un ambiente de respeto y cordialidad, para alcanzar los objetivos de la organización.</w:t>
            </w:r>
          </w:p>
        </w:tc>
      </w:tr>
    </w:tbl>
    <w:p w14:paraId="4176A845" w14:textId="77777777" w:rsidR="00C63FDF" w:rsidRDefault="00C63FDF"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Theme="majorHAnsi" w:hAnsiTheme="majorHAnsi" w:cs="Verdana"/>
          <w:sz w:val="22"/>
          <w:szCs w:val="22"/>
        </w:rPr>
      </w:pPr>
    </w:p>
    <w:p w14:paraId="3367386D" w14:textId="77777777" w:rsidR="003E3B79" w:rsidRPr="00060053" w:rsidRDefault="003E3B79"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Theme="majorHAnsi" w:hAnsiTheme="majorHAnsi" w:cs="Verdana"/>
          <w:sz w:val="22"/>
          <w:szCs w:val="22"/>
        </w:rPr>
      </w:pPr>
    </w:p>
    <w:p w14:paraId="06A949C7" w14:textId="44BA3C0B" w:rsidR="0049505E" w:rsidRDefault="00A219C6" w:rsidP="007D2E79">
      <w:pPr>
        <w:numPr>
          <w:ilvl w:val="0"/>
          <w:numId w:val="5"/>
        </w:numPr>
        <w:tabs>
          <w:tab w:val="clear" w:pos="720"/>
          <w:tab w:val="num" w:pos="1068"/>
        </w:tabs>
        <w:ind w:left="1068"/>
        <w:rPr>
          <w:rFonts w:asciiTheme="majorHAnsi" w:hAnsiTheme="majorHAnsi"/>
          <w:b/>
          <w:smallCaps/>
          <w:sz w:val="22"/>
          <w:szCs w:val="22"/>
        </w:rPr>
      </w:pPr>
      <w:r>
        <w:rPr>
          <w:rFonts w:asciiTheme="majorHAnsi" w:hAnsiTheme="majorHAnsi"/>
          <w:b/>
          <w:i/>
          <w:smallCaps/>
          <w:sz w:val="22"/>
          <w:szCs w:val="22"/>
        </w:rPr>
        <w:lastRenderedPageBreak/>
        <w:t>Política de calidad</w:t>
      </w:r>
      <w:r w:rsidR="0049505E" w:rsidRPr="00060053">
        <w:rPr>
          <w:rFonts w:asciiTheme="majorHAnsi" w:hAnsiTheme="majorHAnsi"/>
          <w:b/>
          <w:smallCaps/>
          <w:sz w:val="22"/>
          <w:szCs w:val="22"/>
        </w:rPr>
        <w:t>:</w:t>
      </w:r>
    </w:p>
    <w:p w14:paraId="223E3261" w14:textId="3B510FFA" w:rsidR="00353E06" w:rsidRDefault="00353E06" w:rsidP="00353E06">
      <w:pPr>
        <w:rPr>
          <w:rFonts w:asciiTheme="majorHAnsi" w:hAnsiTheme="majorHAnsi"/>
          <w:b/>
          <w:smallCaps/>
          <w:sz w:val="22"/>
          <w:szCs w:val="22"/>
        </w:rPr>
      </w:pPr>
    </w:p>
    <w:tbl>
      <w:tblPr>
        <w:tblStyle w:val="Tablaconcuadrcula"/>
        <w:tblW w:w="0" w:type="auto"/>
        <w:tblInd w:w="562" w:type="dxa"/>
        <w:tblLook w:val="04A0" w:firstRow="1" w:lastRow="0" w:firstColumn="1" w:lastColumn="0" w:noHBand="0" w:noVBand="1"/>
      </w:tblPr>
      <w:tblGrid>
        <w:gridCol w:w="8551"/>
      </w:tblGrid>
      <w:tr w:rsidR="00353E06" w14:paraId="56C8CEE2" w14:textId="77777777" w:rsidTr="00513AD6">
        <w:tc>
          <w:tcPr>
            <w:tcW w:w="8551" w:type="dxa"/>
            <w:shd w:val="clear" w:color="auto" w:fill="DBE5F1" w:themeFill="accent1" w:themeFillTint="33"/>
          </w:tcPr>
          <w:p w14:paraId="08C1743A" w14:textId="77777777" w:rsidR="00353E06" w:rsidRDefault="00353E06" w:rsidP="00353E06"/>
          <w:p w14:paraId="63D5DD55" w14:textId="77777777" w:rsidR="00353E06" w:rsidRPr="007C372E" w:rsidRDefault="00353E06" w:rsidP="00513AD6">
            <w:pPr>
              <w:ind w:left="454"/>
              <w:jc w:val="both"/>
              <w:rPr>
                <w:rFonts w:asciiTheme="majorHAnsi" w:hAnsiTheme="majorHAnsi"/>
                <w:sz w:val="22"/>
              </w:rPr>
            </w:pPr>
            <w:r w:rsidRPr="007C372E">
              <w:rPr>
                <w:rFonts w:asciiTheme="majorHAnsi" w:hAnsiTheme="majorHAnsi"/>
                <w:sz w:val="22"/>
              </w:rPr>
              <w:t>El personal de la Superintendencia de Pensiones apoyado en el Sistema de Gestión de Calidad y en beneficio de los afiliados al Sistema Nacional de Pensiones, se compromete a:</w:t>
            </w:r>
          </w:p>
          <w:p w14:paraId="1E98E950" w14:textId="77777777" w:rsidR="00353E06" w:rsidRPr="007C372E" w:rsidRDefault="00353E06" w:rsidP="00353E06">
            <w:pPr>
              <w:ind w:left="880"/>
              <w:rPr>
                <w:rFonts w:asciiTheme="majorHAnsi" w:hAnsiTheme="majorHAnsi"/>
                <w:sz w:val="22"/>
              </w:rPr>
            </w:pPr>
            <w:r w:rsidRPr="007C372E">
              <w:rPr>
                <w:rFonts w:asciiTheme="majorHAnsi" w:hAnsiTheme="majorHAnsi"/>
                <w:sz w:val="22"/>
              </w:rPr>
              <w:t>•</w:t>
            </w:r>
            <w:r w:rsidRPr="007C372E">
              <w:rPr>
                <w:rFonts w:asciiTheme="majorHAnsi" w:hAnsiTheme="majorHAnsi"/>
                <w:sz w:val="22"/>
              </w:rPr>
              <w:tab/>
              <w:t>Alcanzar los objetivos estratégicos de la institución.</w:t>
            </w:r>
          </w:p>
          <w:p w14:paraId="6B3B56F6" w14:textId="77777777" w:rsidR="00353E06" w:rsidRPr="007C372E" w:rsidRDefault="00353E06" w:rsidP="00353E06">
            <w:pPr>
              <w:ind w:left="880"/>
              <w:rPr>
                <w:rFonts w:asciiTheme="majorHAnsi" w:hAnsiTheme="majorHAnsi"/>
                <w:sz w:val="22"/>
              </w:rPr>
            </w:pPr>
            <w:r w:rsidRPr="007C372E">
              <w:rPr>
                <w:rFonts w:asciiTheme="majorHAnsi" w:hAnsiTheme="majorHAnsi"/>
                <w:sz w:val="22"/>
              </w:rPr>
              <w:t>•</w:t>
            </w:r>
            <w:r w:rsidRPr="007C372E">
              <w:rPr>
                <w:rFonts w:asciiTheme="majorHAnsi" w:hAnsiTheme="majorHAnsi"/>
                <w:sz w:val="22"/>
              </w:rPr>
              <w:tab/>
              <w:t>Cumplir la normativa de control interno.</w:t>
            </w:r>
          </w:p>
          <w:p w14:paraId="5E83FE59" w14:textId="77777777" w:rsidR="00353E06" w:rsidRPr="007C372E" w:rsidRDefault="00353E06" w:rsidP="00353E06">
            <w:pPr>
              <w:ind w:left="880"/>
              <w:rPr>
                <w:rFonts w:asciiTheme="majorHAnsi" w:hAnsiTheme="majorHAnsi"/>
                <w:sz w:val="22"/>
              </w:rPr>
            </w:pPr>
            <w:r w:rsidRPr="007C372E">
              <w:rPr>
                <w:rFonts w:asciiTheme="majorHAnsi" w:hAnsiTheme="majorHAnsi"/>
                <w:sz w:val="22"/>
              </w:rPr>
              <w:t>•</w:t>
            </w:r>
            <w:r w:rsidRPr="007C372E">
              <w:rPr>
                <w:rFonts w:asciiTheme="majorHAnsi" w:hAnsiTheme="majorHAnsi"/>
                <w:sz w:val="22"/>
              </w:rPr>
              <w:tab/>
              <w:t>Mantener la eficacia y el mejoramiento continuo.</w:t>
            </w:r>
          </w:p>
          <w:p w14:paraId="49622F99" w14:textId="77777777" w:rsidR="00353E06" w:rsidRDefault="00353E06" w:rsidP="00353E06">
            <w:pPr>
              <w:rPr>
                <w:rFonts w:asciiTheme="majorHAnsi" w:hAnsiTheme="majorHAnsi"/>
                <w:b/>
                <w:smallCaps/>
                <w:sz w:val="22"/>
                <w:szCs w:val="22"/>
              </w:rPr>
            </w:pPr>
          </w:p>
        </w:tc>
      </w:tr>
    </w:tbl>
    <w:p w14:paraId="06A949D0" w14:textId="307BAC63" w:rsidR="00456091" w:rsidRPr="00060053" w:rsidRDefault="00456091" w:rsidP="00426B8C">
      <w:pPr>
        <w:rPr>
          <w:rFonts w:asciiTheme="majorHAnsi" w:hAnsiTheme="majorHAnsi"/>
          <w:b/>
          <w:sz w:val="22"/>
          <w:szCs w:val="22"/>
        </w:rPr>
      </w:pPr>
    </w:p>
    <w:p w14:paraId="7DD755EB" w14:textId="77777777" w:rsidR="00A61D48" w:rsidRDefault="00A61D48" w:rsidP="002E74D0">
      <w:pPr>
        <w:rPr>
          <w:rFonts w:asciiTheme="majorHAnsi" w:hAnsiTheme="majorHAnsi"/>
          <w:b/>
          <w:sz w:val="20"/>
          <w:szCs w:val="22"/>
        </w:rPr>
      </w:pPr>
    </w:p>
    <w:p w14:paraId="65E4179F" w14:textId="7D6D2521" w:rsidR="009E074D" w:rsidRDefault="009E074D">
      <w:pPr>
        <w:rPr>
          <w:rFonts w:asciiTheme="majorHAnsi" w:hAnsiTheme="majorHAnsi"/>
          <w:b/>
          <w:sz w:val="20"/>
          <w:szCs w:val="22"/>
        </w:rPr>
      </w:pPr>
      <w:r>
        <w:rPr>
          <w:rFonts w:asciiTheme="majorHAnsi" w:hAnsiTheme="majorHAnsi"/>
          <w:b/>
          <w:sz w:val="20"/>
          <w:szCs w:val="22"/>
        </w:rPr>
        <w:br w:type="page"/>
      </w:r>
    </w:p>
    <w:p w14:paraId="5F36594C" w14:textId="77777777" w:rsidR="009E074D" w:rsidRPr="007C372E" w:rsidRDefault="009E074D" w:rsidP="002E74D0">
      <w:pPr>
        <w:rPr>
          <w:rFonts w:asciiTheme="majorHAnsi" w:hAnsiTheme="majorHAnsi"/>
          <w:b/>
          <w:sz w:val="20"/>
          <w:szCs w:val="22"/>
        </w:rPr>
      </w:pPr>
    </w:p>
    <w:p w14:paraId="06A949D2" w14:textId="77777777" w:rsidR="00080F2E" w:rsidRPr="007C372E" w:rsidRDefault="00D92CD5" w:rsidP="002E74D0">
      <w:pPr>
        <w:rPr>
          <w:rFonts w:asciiTheme="majorHAnsi" w:hAnsiTheme="majorHAnsi"/>
          <w:b/>
          <w:i/>
          <w:szCs w:val="22"/>
        </w:rPr>
      </w:pPr>
      <w:r w:rsidRPr="007C372E">
        <w:rPr>
          <w:rFonts w:asciiTheme="majorHAnsi" w:hAnsiTheme="majorHAnsi"/>
          <w:b/>
          <w:i/>
          <w:szCs w:val="22"/>
        </w:rPr>
        <w:t>Objetivos Estratégicos</w:t>
      </w:r>
    </w:p>
    <w:p w14:paraId="13AA51D5" w14:textId="77777777" w:rsidR="0066771F" w:rsidRPr="007C372E" w:rsidRDefault="0066771F" w:rsidP="002E74D0">
      <w:pPr>
        <w:rPr>
          <w:rFonts w:asciiTheme="majorHAnsi" w:hAnsiTheme="majorHAnsi"/>
          <w:b/>
          <w:i/>
          <w:sz w:val="20"/>
          <w:szCs w:val="22"/>
        </w:rPr>
      </w:pPr>
    </w:p>
    <w:p w14:paraId="06A949D3" w14:textId="77777777" w:rsidR="00B44062" w:rsidRPr="007C372E" w:rsidRDefault="00B44062" w:rsidP="002E74D0">
      <w:pPr>
        <w:rPr>
          <w:rFonts w:asciiTheme="majorHAnsi" w:hAnsiTheme="majorHAnsi"/>
          <w:b/>
          <w:sz w:val="20"/>
          <w:szCs w:val="22"/>
        </w:rPr>
      </w:pPr>
    </w:p>
    <w:p w14:paraId="47C09F40" w14:textId="7CD8D1F5"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r w:rsidRPr="00513AD6">
        <w:rPr>
          <w:rFonts w:asciiTheme="majorHAnsi" w:hAnsiTheme="majorHAnsi"/>
          <w:b/>
          <w:sz w:val="22"/>
          <w:szCs w:val="22"/>
        </w:rPr>
        <w:t>Objetivo 1:</w:t>
      </w:r>
      <w:r w:rsidRPr="007C372E">
        <w:rPr>
          <w:rFonts w:asciiTheme="majorHAnsi" w:hAnsiTheme="majorHAnsi"/>
          <w:sz w:val="20"/>
          <w:szCs w:val="22"/>
        </w:rPr>
        <w:tab/>
      </w:r>
      <w:r w:rsidR="0013662A" w:rsidRPr="007C372E">
        <w:rPr>
          <w:rFonts w:asciiTheme="majorHAnsi" w:hAnsiTheme="majorHAnsi"/>
          <w:sz w:val="22"/>
        </w:rPr>
        <w:t>Vigilar a los participantes en el S</w:t>
      </w:r>
      <w:r w:rsidR="00740378" w:rsidRPr="007C372E">
        <w:rPr>
          <w:rFonts w:asciiTheme="majorHAnsi" w:hAnsiTheme="majorHAnsi"/>
          <w:sz w:val="22"/>
        </w:rPr>
        <w:t xml:space="preserve">istema </w:t>
      </w:r>
      <w:r w:rsidR="0013662A" w:rsidRPr="007C372E">
        <w:rPr>
          <w:rFonts w:asciiTheme="majorHAnsi" w:hAnsiTheme="majorHAnsi"/>
          <w:sz w:val="22"/>
        </w:rPr>
        <w:t>N</w:t>
      </w:r>
      <w:r w:rsidR="00740378" w:rsidRPr="007C372E">
        <w:rPr>
          <w:rFonts w:asciiTheme="majorHAnsi" w:hAnsiTheme="majorHAnsi"/>
          <w:sz w:val="22"/>
        </w:rPr>
        <w:t xml:space="preserve">acional </w:t>
      </w:r>
      <w:r w:rsidR="0013662A" w:rsidRPr="007C372E">
        <w:rPr>
          <w:rFonts w:asciiTheme="majorHAnsi" w:hAnsiTheme="majorHAnsi"/>
          <w:sz w:val="22"/>
        </w:rPr>
        <w:t>P</w:t>
      </w:r>
      <w:r w:rsidR="00740378" w:rsidRPr="007C372E">
        <w:rPr>
          <w:rFonts w:asciiTheme="majorHAnsi" w:hAnsiTheme="majorHAnsi"/>
          <w:sz w:val="22"/>
        </w:rPr>
        <w:t>ensiones</w:t>
      </w:r>
      <w:r w:rsidRPr="007C372E">
        <w:rPr>
          <w:rFonts w:asciiTheme="majorHAnsi" w:hAnsiTheme="majorHAnsi"/>
          <w:sz w:val="20"/>
          <w:szCs w:val="22"/>
        </w:rPr>
        <w:t>.</w:t>
      </w:r>
    </w:p>
    <w:p w14:paraId="43AA3C1B" w14:textId="77777777"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p>
    <w:p w14:paraId="74D0BA30" w14:textId="5E847C16"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r w:rsidRPr="00513AD6">
        <w:rPr>
          <w:rFonts w:asciiTheme="majorHAnsi" w:hAnsiTheme="majorHAnsi"/>
          <w:b/>
          <w:sz w:val="22"/>
          <w:szCs w:val="22"/>
        </w:rPr>
        <w:t>Objetivo 2</w:t>
      </w:r>
      <w:r w:rsidRPr="00513AD6">
        <w:rPr>
          <w:rFonts w:asciiTheme="majorHAnsi" w:hAnsiTheme="majorHAnsi"/>
          <w:sz w:val="22"/>
          <w:szCs w:val="22"/>
        </w:rPr>
        <w:t xml:space="preserve">: </w:t>
      </w:r>
      <w:r w:rsidRPr="007C372E">
        <w:rPr>
          <w:rFonts w:asciiTheme="majorHAnsi" w:hAnsiTheme="majorHAnsi"/>
          <w:sz w:val="20"/>
          <w:szCs w:val="22"/>
        </w:rPr>
        <w:tab/>
      </w:r>
      <w:r w:rsidR="0013662A" w:rsidRPr="007C372E">
        <w:rPr>
          <w:rFonts w:asciiTheme="majorHAnsi" w:hAnsiTheme="majorHAnsi"/>
          <w:sz w:val="22"/>
        </w:rPr>
        <w:t xml:space="preserve">Fortalecer el sistema de pensiones y </w:t>
      </w:r>
      <w:r w:rsidR="009A4853">
        <w:rPr>
          <w:rFonts w:asciiTheme="majorHAnsi" w:hAnsiTheme="majorHAnsi"/>
          <w:sz w:val="22"/>
        </w:rPr>
        <w:t xml:space="preserve">el </w:t>
      </w:r>
      <w:r w:rsidR="0013662A" w:rsidRPr="007C372E">
        <w:rPr>
          <w:rFonts w:asciiTheme="majorHAnsi" w:hAnsiTheme="majorHAnsi"/>
          <w:sz w:val="22"/>
        </w:rPr>
        <w:t>ahorro laboral</w:t>
      </w:r>
      <w:r w:rsidRPr="007C372E">
        <w:rPr>
          <w:rFonts w:asciiTheme="majorHAnsi" w:hAnsiTheme="majorHAnsi"/>
          <w:sz w:val="20"/>
          <w:szCs w:val="22"/>
        </w:rPr>
        <w:t>.</w:t>
      </w:r>
    </w:p>
    <w:p w14:paraId="0683B03D" w14:textId="77777777"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p>
    <w:p w14:paraId="050CBDC0" w14:textId="24360A99"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rPr>
      </w:pPr>
      <w:r w:rsidRPr="00513AD6">
        <w:rPr>
          <w:rFonts w:asciiTheme="majorHAnsi" w:hAnsiTheme="majorHAnsi"/>
          <w:b/>
          <w:sz w:val="22"/>
          <w:szCs w:val="22"/>
        </w:rPr>
        <w:t>Objetivo 3</w:t>
      </w:r>
      <w:r w:rsidRPr="00513AD6">
        <w:rPr>
          <w:rFonts w:asciiTheme="majorHAnsi" w:hAnsiTheme="majorHAnsi"/>
          <w:sz w:val="22"/>
          <w:szCs w:val="22"/>
        </w:rPr>
        <w:t>:</w:t>
      </w:r>
      <w:r w:rsidRPr="007C372E">
        <w:rPr>
          <w:rFonts w:asciiTheme="majorHAnsi" w:hAnsiTheme="majorHAnsi"/>
          <w:sz w:val="20"/>
          <w:szCs w:val="22"/>
        </w:rPr>
        <w:tab/>
      </w:r>
      <w:r w:rsidR="0013662A" w:rsidRPr="007C372E">
        <w:rPr>
          <w:rFonts w:asciiTheme="majorHAnsi" w:hAnsiTheme="majorHAnsi"/>
          <w:sz w:val="22"/>
        </w:rPr>
        <w:t>Empoderar al afiliado</w:t>
      </w:r>
      <w:r w:rsidR="00847AA7">
        <w:rPr>
          <w:rFonts w:asciiTheme="majorHAnsi" w:hAnsiTheme="majorHAnsi"/>
          <w:sz w:val="22"/>
        </w:rPr>
        <w:t>.</w:t>
      </w:r>
    </w:p>
    <w:p w14:paraId="54D81AF5" w14:textId="77777777" w:rsidR="0066771F" w:rsidRPr="007C372E" w:rsidRDefault="0066771F" w:rsidP="0066771F">
      <w:pPr>
        <w:pStyle w:val="Textoindependiente"/>
        <w:tabs>
          <w:tab w:val="clear" w:pos="720"/>
          <w:tab w:val="clear" w:pos="1440"/>
        </w:tabs>
        <w:ind w:left="2127" w:hanging="1560"/>
        <w:jc w:val="both"/>
        <w:rPr>
          <w:rFonts w:asciiTheme="majorHAnsi" w:hAnsiTheme="majorHAnsi"/>
          <w:sz w:val="20"/>
          <w:szCs w:val="22"/>
          <w:highlight w:val="yellow"/>
        </w:rPr>
      </w:pPr>
    </w:p>
    <w:p w14:paraId="0706D312" w14:textId="77777777" w:rsidR="0066771F" w:rsidRDefault="0066771F" w:rsidP="0066771F">
      <w:pPr>
        <w:pStyle w:val="Textoindependiente"/>
        <w:rPr>
          <w:rFonts w:asciiTheme="majorHAnsi" w:hAnsiTheme="majorHAnsi"/>
          <w:sz w:val="22"/>
          <w:szCs w:val="22"/>
        </w:rPr>
      </w:pPr>
    </w:p>
    <w:p w14:paraId="5B964DC6" w14:textId="424164FD" w:rsidR="007C372E" w:rsidRPr="00DE239D" w:rsidRDefault="007C372E" w:rsidP="00DE239D">
      <w:pPr>
        <w:rPr>
          <w:rFonts w:asciiTheme="majorHAnsi" w:hAnsiTheme="majorHAnsi"/>
          <w:b/>
          <w:szCs w:val="22"/>
        </w:rPr>
      </w:pPr>
      <w:r w:rsidRPr="004A3F6A">
        <w:rPr>
          <w:rFonts w:asciiTheme="majorHAnsi" w:hAnsiTheme="majorHAnsi"/>
          <w:b/>
          <w:szCs w:val="22"/>
        </w:rPr>
        <w:t>Indicador</w:t>
      </w:r>
      <w:r w:rsidR="00130D45">
        <w:rPr>
          <w:rFonts w:asciiTheme="majorHAnsi" w:hAnsiTheme="majorHAnsi"/>
          <w:b/>
          <w:szCs w:val="22"/>
        </w:rPr>
        <w:t>es</w:t>
      </w:r>
      <w:r w:rsidRPr="004A3F6A">
        <w:rPr>
          <w:rFonts w:asciiTheme="majorHAnsi" w:hAnsiTheme="majorHAnsi"/>
          <w:b/>
          <w:szCs w:val="22"/>
        </w:rPr>
        <w:t xml:space="preserve"> de cumplimiento del objetivo</w:t>
      </w:r>
      <w:r w:rsidR="00DE239D" w:rsidRPr="004A3F6A">
        <w:rPr>
          <w:rFonts w:asciiTheme="majorHAnsi" w:hAnsiTheme="majorHAnsi"/>
          <w:b/>
          <w:szCs w:val="22"/>
        </w:rPr>
        <w:t xml:space="preserve"> 1</w:t>
      </w:r>
      <w:r w:rsidR="00875EAB" w:rsidRPr="00875EAB">
        <w:rPr>
          <w:rFonts w:asciiTheme="majorHAnsi" w:hAnsiTheme="majorHAnsi"/>
          <w:szCs w:val="22"/>
        </w:rPr>
        <w:t xml:space="preserve"> (</w:t>
      </w:r>
      <w:r w:rsidR="00875EAB" w:rsidRPr="007C372E">
        <w:rPr>
          <w:rFonts w:asciiTheme="majorHAnsi" w:hAnsiTheme="majorHAnsi"/>
          <w:sz w:val="22"/>
        </w:rPr>
        <w:t>Vigilar a los participantes en el Sistema Nacional Pensiones</w:t>
      </w:r>
      <w:r w:rsidR="00875EAB" w:rsidRPr="007C372E">
        <w:rPr>
          <w:rFonts w:asciiTheme="majorHAnsi" w:hAnsiTheme="majorHAnsi"/>
          <w:sz w:val="20"/>
          <w:szCs w:val="22"/>
        </w:rPr>
        <w:t>.</w:t>
      </w:r>
      <w:r w:rsidR="00875EAB">
        <w:rPr>
          <w:rFonts w:asciiTheme="majorHAnsi" w:hAnsiTheme="majorHAnsi"/>
          <w:sz w:val="20"/>
          <w:szCs w:val="22"/>
        </w:rPr>
        <w:t>)</w:t>
      </w:r>
    </w:p>
    <w:p w14:paraId="71EFB526" w14:textId="77777777" w:rsidR="00DE239D" w:rsidRDefault="00DE239D" w:rsidP="007C372E">
      <w:pPr>
        <w:rPr>
          <w:rFonts w:asciiTheme="majorHAnsi" w:hAnsiTheme="majorHAnsi"/>
          <w:b/>
          <w:sz w:val="22"/>
          <w:szCs w:val="22"/>
        </w:rPr>
      </w:pPr>
    </w:p>
    <w:p w14:paraId="30329C24" w14:textId="20D1BFDC"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Primero:</w:t>
      </w:r>
      <w:r w:rsidR="004A3F6A">
        <w:rPr>
          <w:rFonts w:asciiTheme="majorHAnsi" w:hAnsiTheme="majorHAnsi"/>
          <w:sz w:val="22"/>
          <w:szCs w:val="22"/>
        </w:rPr>
        <w:t xml:space="preserve"> Entidade</w:t>
      </w:r>
      <w:r w:rsidRPr="00DE239D">
        <w:rPr>
          <w:rFonts w:asciiTheme="majorHAnsi" w:hAnsiTheme="majorHAnsi"/>
          <w:sz w:val="22"/>
          <w:szCs w:val="22"/>
        </w:rPr>
        <w:t>s supervisadas bajo MSBR mejorado</w:t>
      </w:r>
    </w:p>
    <w:p w14:paraId="209CEA8B" w14:textId="77777777"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Informes de rendición de cuentas de Divisiones de Supervisión</w:t>
      </w:r>
      <w:r w:rsidRPr="00DE239D">
        <w:rPr>
          <w:rStyle w:val="Refdenotaalpie"/>
          <w:rFonts w:asciiTheme="majorHAnsi" w:hAnsiTheme="majorHAnsi"/>
          <w:sz w:val="22"/>
          <w:szCs w:val="22"/>
        </w:rPr>
        <w:footnoteReference w:id="5"/>
      </w:r>
    </w:p>
    <w:p w14:paraId="29BA1F1C" w14:textId="77777777" w:rsidR="004A3F6A" w:rsidRDefault="004A3F6A" w:rsidP="003E3B79">
      <w:pPr>
        <w:ind w:left="567"/>
        <w:rPr>
          <w:rFonts w:asciiTheme="majorHAnsi" w:hAnsiTheme="majorHAnsi"/>
          <w:b/>
          <w:sz w:val="22"/>
          <w:szCs w:val="22"/>
        </w:rPr>
      </w:pPr>
    </w:p>
    <w:p w14:paraId="3EDEABB1" w14:textId="77777777"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Segundo:</w:t>
      </w:r>
      <w:r w:rsidRPr="00DE239D">
        <w:rPr>
          <w:rFonts w:asciiTheme="majorHAnsi" w:hAnsiTheme="majorHAnsi"/>
          <w:sz w:val="22"/>
          <w:szCs w:val="22"/>
        </w:rPr>
        <w:t xml:space="preserve"> Cantidad de regulados que gestionen adecuadamente los riesgos relevantes</w:t>
      </w:r>
    </w:p>
    <w:p w14:paraId="7F6D6CEE" w14:textId="77777777" w:rsidR="007C372E" w:rsidRPr="00DE239D" w:rsidRDefault="007C372E"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Mapas de Riesgo del Supervisor.</w:t>
      </w:r>
    </w:p>
    <w:p w14:paraId="6718326A" w14:textId="77777777" w:rsidR="00DE239D" w:rsidRDefault="00DE239D" w:rsidP="007C372E">
      <w:pPr>
        <w:rPr>
          <w:rFonts w:asciiTheme="majorHAnsi" w:hAnsiTheme="majorHAnsi"/>
          <w:sz w:val="22"/>
          <w:szCs w:val="22"/>
        </w:rPr>
      </w:pPr>
    </w:p>
    <w:p w14:paraId="23F8D92E" w14:textId="77777777" w:rsidR="007C372E" w:rsidRDefault="007C372E" w:rsidP="00DE239D">
      <w:pPr>
        <w:rPr>
          <w:rFonts w:asciiTheme="majorHAnsi" w:hAnsiTheme="majorHAnsi"/>
          <w:sz w:val="22"/>
          <w:szCs w:val="22"/>
        </w:rPr>
      </w:pPr>
      <w:r w:rsidRPr="00DE239D">
        <w:rPr>
          <w:rFonts w:asciiTheme="majorHAnsi" w:hAnsiTheme="majorHAnsi"/>
          <w:sz w:val="22"/>
          <w:szCs w:val="22"/>
        </w:rPr>
        <w:t>Meta para el objetivo</w:t>
      </w:r>
    </w:p>
    <w:p w14:paraId="41B36A71" w14:textId="77777777" w:rsidR="0077529F" w:rsidRPr="00DE239D" w:rsidRDefault="0077529F" w:rsidP="00DE239D">
      <w:pPr>
        <w:rPr>
          <w:rFonts w:asciiTheme="majorHAnsi" w:hAnsiTheme="majorHAnsi"/>
          <w:sz w:val="22"/>
          <w:szCs w:val="22"/>
        </w:rPr>
      </w:pPr>
    </w:p>
    <w:tbl>
      <w:tblPr>
        <w:tblStyle w:val="Tabladecuadrcula4-nfasis11"/>
        <w:tblW w:w="8275" w:type="dxa"/>
        <w:jc w:val="center"/>
        <w:tblLook w:val="04A0" w:firstRow="1" w:lastRow="0" w:firstColumn="1" w:lastColumn="0" w:noHBand="0" w:noVBand="1"/>
      </w:tblPr>
      <w:tblGrid>
        <w:gridCol w:w="4106"/>
        <w:gridCol w:w="845"/>
        <w:gridCol w:w="844"/>
        <w:gridCol w:w="830"/>
        <w:gridCol w:w="750"/>
        <w:gridCol w:w="900"/>
      </w:tblGrid>
      <w:tr w:rsidR="007C372E" w:rsidRPr="00D21174" w14:paraId="5F98B958" w14:textId="77777777" w:rsidTr="007C372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1CB070C9" w14:textId="77777777" w:rsidR="007C372E" w:rsidRPr="00D21174" w:rsidRDefault="007C372E" w:rsidP="004A3F6A">
            <w:pPr>
              <w:spacing w:line="276" w:lineRule="auto"/>
              <w:rPr>
                <w:rFonts w:asciiTheme="majorHAnsi" w:hAnsiTheme="majorHAnsi"/>
                <w:color w:val="auto"/>
                <w:sz w:val="22"/>
                <w:szCs w:val="22"/>
              </w:rPr>
            </w:pPr>
            <w:r w:rsidRPr="00D21174">
              <w:rPr>
                <w:rFonts w:asciiTheme="majorHAnsi" w:hAnsiTheme="majorHAnsi"/>
                <w:color w:val="auto"/>
                <w:sz w:val="22"/>
                <w:szCs w:val="22"/>
              </w:rPr>
              <w:t>Línea Base</w:t>
            </w:r>
          </w:p>
        </w:tc>
        <w:tc>
          <w:tcPr>
            <w:tcW w:w="845" w:type="dxa"/>
          </w:tcPr>
          <w:p w14:paraId="37E395E7" w14:textId="77777777" w:rsidR="007C372E" w:rsidRPr="00D21174"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sidRPr="00D21174">
              <w:rPr>
                <w:rFonts w:asciiTheme="majorHAnsi" w:hAnsiTheme="majorHAnsi"/>
                <w:color w:val="auto"/>
                <w:sz w:val="22"/>
                <w:szCs w:val="22"/>
              </w:rPr>
              <w:t>2016</w:t>
            </w:r>
          </w:p>
        </w:tc>
        <w:tc>
          <w:tcPr>
            <w:tcW w:w="844" w:type="dxa"/>
          </w:tcPr>
          <w:p w14:paraId="30FA9250" w14:textId="77777777" w:rsidR="007C372E" w:rsidRPr="00D21174"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sidRPr="00D21174">
              <w:rPr>
                <w:rFonts w:asciiTheme="majorHAnsi" w:hAnsiTheme="majorHAnsi"/>
                <w:color w:val="auto"/>
                <w:sz w:val="22"/>
                <w:szCs w:val="22"/>
              </w:rPr>
              <w:t>2017</w:t>
            </w:r>
          </w:p>
        </w:tc>
        <w:tc>
          <w:tcPr>
            <w:tcW w:w="830" w:type="dxa"/>
          </w:tcPr>
          <w:p w14:paraId="17CBE746" w14:textId="77777777" w:rsidR="007C372E" w:rsidRPr="00D21174"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sidRPr="00D21174">
              <w:rPr>
                <w:rFonts w:asciiTheme="majorHAnsi" w:hAnsiTheme="majorHAnsi"/>
                <w:color w:val="auto"/>
                <w:sz w:val="22"/>
                <w:szCs w:val="22"/>
              </w:rPr>
              <w:t>2018</w:t>
            </w:r>
          </w:p>
        </w:tc>
        <w:tc>
          <w:tcPr>
            <w:tcW w:w="750" w:type="dxa"/>
          </w:tcPr>
          <w:p w14:paraId="0474249A" w14:textId="77777777" w:rsidR="007C372E" w:rsidRPr="00D21174"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sidRPr="00D21174">
              <w:rPr>
                <w:rFonts w:asciiTheme="majorHAnsi" w:hAnsiTheme="majorHAnsi"/>
                <w:color w:val="auto"/>
                <w:sz w:val="22"/>
                <w:szCs w:val="22"/>
              </w:rPr>
              <w:t>2019</w:t>
            </w:r>
          </w:p>
        </w:tc>
        <w:tc>
          <w:tcPr>
            <w:tcW w:w="900" w:type="dxa"/>
          </w:tcPr>
          <w:p w14:paraId="76ACD5F3" w14:textId="77777777" w:rsidR="007C372E" w:rsidRPr="00D21174" w:rsidRDefault="007C372E" w:rsidP="004A3F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sidRPr="00D21174">
              <w:rPr>
                <w:rFonts w:asciiTheme="majorHAnsi" w:hAnsiTheme="majorHAnsi"/>
                <w:color w:val="auto"/>
                <w:sz w:val="22"/>
                <w:szCs w:val="22"/>
              </w:rPr>
              <w:t>2020</w:t>
            </w:r>
          </w:p>
        </w:tc>
      </w:tr>
      <w:tr w:rsidR="007C372E" w:rsidRPr="00DE239D" w14:paraId="5225FE70" w14:textId="77777777" w:rsidTr="007C37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010B5EBB" w14:textId="01B57EED" w:rsidR="007C372E" w:rsidRPr="004A3F6A" w:rsidRDefault="007C372E" w:rsidP="00547B19">
            <w:pPr>
              <w:pStyle w:val="Prrafodelista"/>
              <w:numPr>
                <w:ilvl w:val="0"/>
                <w:numId w:val="54"/>
              </w:numPr>
              <w:tabs>
                <w:tab w:val="left" w:pos="313"/>
              </w:tabs>
              <w:spacing w:line="276" w:lineRule="auto"/>
              <w:ind w:left="0" w:firstLine="0"/>
              <w:rPr>
                <w:rFonts w:asciiTheme="majorHAnsi" w:hAnsiTheme="majorHAnsi"/>
                <w:b w:val="0"/>
                <w:sz w:val="22"/>
              </w:rPr>
            </w:pPr>
            <w:r w:rsidRPr="004A3F6A">
              <w:rPr>
                <w:rFonts w:asciiTheme="majorHAnsi" w:hAnsiTheme="majorHAnsi"/>
                <w:b w:val="0"/>
                <w:sz w:val="22"/>
              </w:rPr>
              <w:t xml:space="preserve">Implementación </w:t>
            </w:r>
            <w:r w:rsidR="004A3F6A" w:rsidRPr="004A3F6A">
              <w:rPr>
                <w:rFonts w:asciiTheme="majorHAnsi" w:hAnsiTheme="majorHAnsi"/>
                <w:b w:val="0"/>
                <w:sz w:val="22"/>
              </w:rPr>
              <w:t>M</w:t>
            </w:r>
            <w:r w:rsidRPr="004A3F6A">
              <w:rPr>
                <w:rFonts w:asciiTheme="majorHAnsi" w:hAnsiTheme="majorHAnsi"/>
                <w:b w:val="0"/>
                <w:sz w:val="22"/>
              </w:rPr>
              <w:t>SBR</w:t>
            </w:r>
          </w:p>
        </w:tc>
        <w:tc>
          <w:tcPr>
            <w:tcW w:w="845" w:type="dxa"/>
          </w:tcPr>
          <w:p w14:paraId="2C3DE5C8"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44" w:type="dxa"/>
          </w:tcPr>
          <w:p w14:paraId="5DA4E5D3"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30" w:type="dxa"/>
          </w:tcPr>
          <w:p w14:paraId="1A11AF87"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33877E00"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00" w:type="dxa"/>
          </w:tcPr>
          <w:p w14:paraId="6FF98310"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7C372E" w:rsidRPr="00DE239D" w14:paraId="7E758C0B" w14:textId="77777777" w:rsidTr="007C372E">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169EF1D2" w14:textId="26395D1A" w:rsidR="007C372E" w:rsidRPr="004A3F6A" w:rsidRDefault="004A3F6A" w:rsidP="004A3F6A">
            <w:pPr>
              <w:spacing w:line="276" w:lineRule="auto"/>
              <w:jc w:val="center"/>
              <w:rPr>
                <w:rFonts w:asciiTheme="majorHAnsi" w:hAnsiTheme="majorHAnsi"/>
                <w:b w:val="0"/>
                <w:sz w:val="22"/>
                <w:szCs w:val="22"/>
              </w:rPr>
            </w:pPr>
            <w:r w:rsidRPr="004A3F6A">
              <w:rPr>
                <w:rFonts w:asciiTheme="majorHAnsi" w:hAnsiTheme="majorHAnsi"/>
                <w:b w:val="0"/>
                <w:sz w:val="22"/>
                <w:szCs w:val="22"/>
              </w:rPr>
              <w:t>Porcentaje de entidades</w:t>
            </w:r>
          </w:p>
        </w:tc>
        <w:tc>
          <w:tcPr>
            <w:tcW w:w="845" w:type="dxa"/>
          </w:tcPr>
          <w:p w14:paraId="6AAFC4AD" w14:textId="1C4C77A1" w:rsidR="007C372E" w:rsidRPr="00DE239D" w:rsidRDefault="004A3F6A"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29</w:t>
            </w:r>
            <w:r w:rsidR="007C372E" w:rsidRPr="00DE239D">
              <w:rPr>
                <w:rFonts w:asciiTheme="majorHAnsi" w:hAnsiTheme="majorHAnsi"/>
                <w:sz w:val="22"/>
                <w:szCs w:val="22"/>
              </w:rPr>
              <w:t>%</w:t>
            </w:r>
          </w:p>
        </w:tc>
        <w:tc>
          <w:tcPr>
            <w:tcW w:w="844" w:type="dxa"/>
          </w:tcPr>
          <w:p w14:paraId="7419144F" w14:textId="27A1CAEF" w:rsidR="007C372E" w:rsidRPr="00DE239D" w:rsidRDefault="004A3F6A"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64</w:t>
            </w:r>
            <w:r w:rsidR="007C372E" w:rsidRPr="00DE239D">
              <w:rPr>
                <w:rFonts w:asciiTheme="majorHAnsi" w:hAnsiTheme="majorHAnsi"/>
                <w:sz w:val="22"/>
                <w:szCs w:val="22"/>
              </w:rPr>
              <w:t>%</w:t>
            </w:r>
          </w:p>
        </w:tc>
        <w:tc>
          <w:tcPr>
            <w:tcW w:w="830" w:type="dxa"/>
          </w:tcPr>
          <w:p w14:paraId="012D1762"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100%</w:t>
            </w:r>
          </w:p>
        </w:tc>
        <w:tc>
          <w:tcPr>
            <w:tcW w:w="750" w:type="dxa"/>
          </w:tcPr>
          <w:p w14:paraId="39E6C7AB"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00" w:type="dxa"/>
          </w:tcPr>
          <w:p w14:paraId="6586C662"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7C372E" w:rsidRPr="00DE239D" w14:paraId="3BCF94AD" w14:textId="77777777" w:rsidTr="007C37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06" w:type="dxa"/>
          </w:tcPr>
          <w:p w14:paraId="7E8A7828" w14:textId="77777777" w:rsidR="007C372E" w:rsidRPr="004A3F6A" w:rsidRDefault="007C372E" w:rsidP="00547B19">
            <w:pPr>
              <w:pStyle w:val="Prrafodelista"/>
              <w:numPr>
                <w:ilvl w:val="0"/>
                <w:numId w:val="54"/>
              </w:numPr>
              <w:tabs>
                <w:tab w:val="left" w:pos="347"/>
              </w:tabs>
              <w:spacing w:line="276" w:lineRule="auto"/>
              <w:ind w:left="29" w:hanging="29"/>
              <w:jc w:val="left"/>
              <w:rPr>
                <w:rFonts w:asciiTheme="majorHAnsi" w:hAnsiTheme="majorHAnsi"/>
                <w:b w:val="0"/>
                <w:sz w:val="22"/>
              </w:rPr>
            </w:pPr>
            <w:r w:rsidRPr="004A3F6A">
              <w:rPr>
                <w:rFonts w:asciiTheme="majorHAnsi" w:hAnsiTheme="majorHAnsi"/>
                <w:b w:val="0"/>
                <w:sz w:val="22"/>
              </w:rPr>
              <w:t>Gestión riesgos relevantes</w:t>
            </w:r>
          </w:p>
        </w:tc>
        <w:tc>
          <w:tcPr>
            <w:tcW w:w="845" w:type="dxa"/>
          </w:tcPr>
          <w:p w14:paraId="2130819B"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44" w:type="dxa"/>
          </w:tcPr>
          <w:p w14:paraId="5CE8E083"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30" w:type="dxa"/>
          </w:tcPr>
          <w:p w14:paraId="6CF9ED2F"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4B0D1DFB"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00" w:type="dxa"/>
          </w:tcPr>
          <w:p w14:paraId="51441467" w14:textId="77777777" w:rsidR="007C372E" w:rsidRPr="00DE239D" w:rsidRDefault="007C372E" w:rsidP="00D21174">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7C372E" w:rsidRPr="00DE239D" w14:paraId="652AE2C6" w14:textId="77777777" w:rsidTr="007C372E">
        <w:trPr>
          <w:jc w:val="center"/>
        </w:trPr>
        <w:tc>
          <w:tcPr>
            <w:cnfStyle w:val="001000000000" w:firstRow="0" w:lastRow="0" w:firstColumn="1" w:lastColumn="0" w:oddVBand="0" w:evenVBand="0" w:oddHBand="0" w:evenHBand="0" w:firstRowFirstColumn="0" w:firstRowLastColumn="0" w:lastRowFirstColumn="0" w:lastRowLastColumn="0"/>
            <w:tcW w:w="4106" w:type="dxa"/>
          </w:tcPr>
          <w:p w14:paraId="258781D9" w14:textId="138AD71F" w:rsidR="007C372E" w:rsidRPr="004A3F6A" w:rsidRDefault="004A3F6A" w:rsidP="004A3F6A">
            <w:pPr>
              <w:tabs>
                <w:tab w:val="center" w:pos="740"/>
                <w:tab w:val="left" w:pos="1305"/>
              </w:tabs>
              <w:spacing w:line="276" w:lineRule="auto"/>
              <w:jc w:val="center"/>
              <w:rPr>
                <w:rFonts w:asciiTheme="majorHAnsi" w:hAnsiTheme="majorHAnsi"/>
                <w:b w:val="0"/>
                <w:sz w:val="22"/>
                <w:szCs w:val="22"/>
              </w:rPr>
            </w:pPr>
            <w:r w:rsidRPr="004A3F6A">
              <w:rPr>
                <w:rFonts w:asciiTheme="majorHAnsi" w:hAnsiTheme="majorHAnsi"/>
                <w:b w:val="0"/>
                <w:sz w:val="22"/>
                <w:szCs w:val="22"/>
              </w:rPr>
              <w:t>Cantidad de entidades</w:t>
            </w:r>
          </w:p>
        </w:tc>
        <w:tc>
          <w:tcPr>
            <w:tcW w:w="845" w:type="dxa"/>
          </w:tcPr>
          <w:p w14:paraId="5A8D22DE"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844" w:type="dxa"/>
          </w:tcPr>
          <w:p w14:paraId="737F91F6"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4</w:t>
            </w:r>
          </w:p>
        </w:tc>
        <w:tc>
          <w:tcPr>
            <w:tcW w:w="830" w:type="dxa"/>
          </w:tcPr>
          <w:p w14:paraId="000F791E"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6</w:t>
            </w:r>
          </w:p>
        </w:tc>
        <w:tc>
          <w:tcPr>
            <w:tcW w:w="750" w:type="dxa"/>
          </w:tcPr>
          <w:p w14:paraId="6CA612FE"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8</w:t>
            </w:r>
          </w:p>
        </w:tc>
        <w:tc>
          <w:tcPr>
            <w:tcW w:w="900" w:type="dxa"/>
          </w:tcPr>
          <w:p w14:paraId="3A3382BA" w14:textId="77777777" w:rsidR="007C372E" w:rsidRPr="00DE239D" w:rsidRDefault="007C372E" w:rsidP="00D21174">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14</w:t>
            </w:r>
          </w:p>
        </w:tc>
      </w:tr>
    </w:tbl>
    <w:p w14:paraId="394AB187" w14:textId="77777777" w:rsidR="007C372E" w:rsidRDefault="007C372E" w:rsidP="007C372E">
      <w:pPr>
        <w:rPr>
          <w:rFonts w:asciiTheme="majorHAnsi" w:hAnsiTheme="majorHAnsi"/>
          <w:sz w:val="22"/>
          <w:szCs w:val="22"/>
        </w:rPr>
      </w:pPr>
    </w:p>
    <w:p w14:paraId="4FBC9E02" w14:textId="77777777" w:rsidR="00D21174" w:rsidRDefault="00D21174" w:rsidP="007C372E">
      <w:pPr>
        <w:rPr>
          <w:rFonts w:asciiTheme="majorHAnsi" w:hAnsiTheme="majorHAnsi"/>
          <w:sz w:val="22"/>
          <w:szCs w:val="22"/>
        </w:rPr>
      </w:pPr>
    </w:p>
    <w:p w14:paraId="430CB19E" w14:textId="77777777" w:rsidR="009E074D" w:rsidRPr="00DE239D" w:rsidRDefault="009E074D" w:rsidP="007C372E">
      <w:pPr>
        <w:rPr>
          <w:rFonts w:asciiTheme="majorHAnsi" w:hAnsiTheme="majorHAnsi"/>
          <w:sz w:val="22"/>
          <w:szCs w:val="22"/>
        </w:rPr>
      </w:pPr>
    </w:p>
    <w:p w14:paraId="2A5E2A85" w14:textId="63FB823D" w:rsidR="00DE239D" w:rsidRPr="00DE239D" w:rsidRDefault="00DE239D" w:rsidP="00DE239D">
      <w:pPr>
        <w:rPr>
          <w:rFonts w:asciiTheme="majorHAnsi" w:hAnsiTheme="majorHAnsi"/>
          <w:b/>
          <w:sz w:val="22"/>
          <w:szCs w:val="22"/>
        </w:rPr>
      </w:pPr>
      <w:r w:rsidRPr="004A3F6A">
        <w:rPr>
          <w:rFonts w:asciiTheme="majorHAnsi" w:hAnsiTheme="majorHAnsi"/>
          <w:b/>
          <w:sz w:val="22"/>
          <w:szCs w:val="22"/>
        </w:rPr>
        <w:t>Indicadores de cumplimiento del objetivo 2</w:t>
      </w:r>
      <w:r w:rsidR="00875EAB">
        <w:rPr>
          <w:rFonts w:asciiTheme="majorHAnsi" w:hAnsiTheme="majorHAnsi"/>
          <w:b/>
          <w:sz w:val="22"/>
          <w:szCs w:val="22"/>
        </w:rPr>
        <w:t xml:space="preserve"> </w:t>
      </w:r>
      <w:r w:rsidR="00875EAB">
        <w:rPr>
          <w:rFonts w:asciiTheme="majorHAnsi" w:hAnsiTheme="majorHAnsi"/>
          <w:sz w:val="22"/>
          <w:szCs w:val="22"/>
        </w:rPr>
        <w:t>(</w:t>
      </w:r>
      <w:r w:rsidR="00875EAB" w:rsidRPr="007C372E">
        <w:rPr>
          <w:rFonts w:asciiTheme="majorHAnsi" w:hAnsiTheme="majorHAnsi"/>
          <w:sz w:val="22"/>
        </w:rPr>
        <w:t xml:space="preserve">Fortalecer el sistema de pensiones y </w:t>
      </w:r>
      <w:r w:rsidR="00875EAB">
        <w:rPr>
          <w:rFonts w:asciiTheme="majorHAnsi" w:hAnsiTheme="majorHAnsi"/>
          <w:sz w:val="22"/>
        </w:rPr>
        <w:t xml:space="preserve">el </w:t>
      </w:r>
      <w:r w:rsidR="00875EAB" w:rsidRPr="007C372E">
        <w:rPr>
          <w:rFonts w:asciiTheme="majorHAnsi" w:hAnsiTheme="majorHAnsi"/>
          <w:sz w:val="22"/>
        </w:rPr>
        <w:t>ahorro laboral</w:t>
      </w:r>
      <w:r w:rsidR="00875EAB">
        <w:rPr>
          <w:rFonts w:asciiTheme="majorHAnsi" w:hAnsiTheme="majorHAnsi"/>
          <w:sz w:val="22"/>
        </w:rPr>
        <w:t>)</w:t>
      </w:r>
    </w:p>
    <w:p w14:paraId="5084D809" w14:textId="77777777" w:rsidR="00DE239D" w:rsidRDefault="00DE239D" w:rsidP="00DE239D">
      <w:pPr>
        <w:rPr>
          <w:rFonts w:asciiTheme="majorHAnsi" w:hAnsiTheme="majorHAnsi"/>
          <w:b/>
          <w:sz w:val="22"/>
          <w:szCs w:val="22"/>
        </w:rPr>
      </w:pPr>
    </w:p>
    <w:p w14:paraId="79920BE0" w14:textId="3C9A35AE"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Primero:</w:t>
      </w:r>
      <w:r w:rsidRPr="00DE239D">
        <w:rPr>
          <w:rFonts w:asciiTheme="majorHAnsi" w:hAnsiTheme="majorHAnsi"/>
          <w:sz w:val="22"/>
          <w:szCs w:val="22"/>
        </w:rPr>
        <w:t xml:space="preserve"> Cierre de brecha para alcanzar sostenibilidad</w:t>
      </w:r>
      <w:r w:rsidR="004A3F6A">
        <w:rPr>
          <w:rFonts w:asciiTheme="majorHAnsi" w:hAnsiTheme="majorHAnsi"/>
          <w:sz w:val="22"/>
          <w:szCs w:val="22"/>
        </w:rPr>
        <w:t>.</w:t>
      </w:r>
    </w:p>
    <w:p w14:paraId="72DE8F3A" w14:textId="757C0726"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Estudios actuariales de los regímenes básicos</w:t>
      </w:r>
      <w:r w:rsidR="004A3F6A">
        <w:rPr>
          <w:rFonts w:asciiTheme="majorHAnsi" w:hAnsiTheme="majorHAnsi"/>
          <w:sz w:val="22"/>
          <w:szCs w:val="22"/>
        </w:rPr>
        <w:t>.</w:t>
      </w:r>
    </w:p>
    <w:p w14:paraId="02C695E5" w14:textId="77777777" w:rsidR="004A3F6A" w:rsidRDefault="004A3F6A" w:rsidP="003E3B79">
      <w:pPr>
        <w:ind w:left="567"/>
        <w:rPr>
          <w:rFonts w:asciiTheme="majorHAnsi" w:hAnsiTheme="majorHAnsi"/>
          <w:b/>
          <w:sz w:val="22"/>
          <w:szCs w:val="22"/>
        </w:rPr>
      </w:pPr>
    </w:p>
    <w:p w14:paraId="5F2991D7" w14:textId="5397FA3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Segundo:</w:t>
      </w:r>
      <w:r w:rsidRPr="00DE239D">
        <w:rPr>
          <w:rFonts w:asciiTheme="majorHAnsi" w:hAnsiTheme="majorHAnsi"/>
          <w:sz w:val="22"/>
          <w:szCs w:val="22"/>
        </w:rPr>
        <w:t xml:space="preserve"> Porcentaje población no cubierta por SNP</w:t>
      </w:r>
      <w:r w:rsidR="004A3F6A">
        <w:rPr>
          <w:rFonts w:asciiTheme="majorHAnsi" w:hAnsiTheme="majorHAnsi"/>
          <w:sz w:val="22"/>
          <w:szCs w:val="22"/>
        </w:rPr>
        <w:t>.</w:t>
      </w:r>
    </w:p>
    <w:p w14:paraId="58CCC2FD" w14:textId="1D999F3A" w:rsidR="00DE239D" w:rsidRPr="00DE239D" w:rsidRDefault="00DE239D" w:rsidP="00130D45">
      <w:pPr>
        <w:ind w:left="567"/>
        <w:jc w:val="both"/>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w:t>
      </w:r>
      <w:r w:rsidR="00D37A92" w:rsidRPr="00D37A92">
        <w:rPr>
          <w:rFonts w:asciiTheme="majorHAnsi" w:hAnsiTheme="majorHAnsi"/>
          <w:sz w:val="22"/>
          <w:szCs w:val="22"/>
        </w:rPr>
        <w:t xml:space="preserve">Estadísticas del INEC para población mayor de 65 años y </w:t>
      </w:r>
      <w:r w:rsidR="00D37A92">
        <w:rPr>
          <w:rFonts w:asciiTheme="majorHAnsi" w:hAnsiTheme="majorHAnsi"/>
          <w:sz w:val="22"/>
          <w:szCs w:val="22"/>
        </w:rPr>
        <w:t>datos suministrados por los ges</w:t>
      </w:r>
      <w:r w:rsidR="00D37A92" w:rsidRPr="00D37A92">
        <w:rPr>
          <w:rFonts w:asciiTheme="majorHAnsi" w:hAnsiTheme="majorHAnsi"/>
          <w:sz w:val="22"/>
          <w:szCs w:val="22"/>
        </w:rPr>
        <w:t>tores para el total de pensionados</w:t>
      </w:r>
      <w:r w:rsidR="004A3F6A">
        <w:rPr>
          <w:rFonts w:asciiTheme="majorHAnsi" w:hAnsiTheme="majorHAnsi"/>
          <w:sz w:val="22"/>
          <w:szCs w:val="22"/>
        </w:rPr>
        <w:t>.</w:t>
      </w:r>
    </w:p>
    <w:p w14:paraId="536A9DAC" w14:textId="77777777" w:rsidR="004A3F6A" w:rsidRDefault="004A3F6A" w:rsidP="003E3B79">
      <w:pPr>
        <w:ind w:left="567"/>
        <w:rPr>
          <w:rFonts w:asciiTheme="majorHAnsi" w:hAnsiTheme="majorHAnsi"/>
          <w:b/>
          <w:sz w:val="22"/>
          <w:szCs w:val="22"/>
        </w:rPr>
      </w:pPr>
    </w:p>
    <w:p w14:paraId="4261549A" w14:textId="5A926AE5"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Tercero:</w:t>
      </w:r>
      <w:r w:rsidRPr="00DE239D">
        <w:rPr>
          <w:rFonts w:asciiTheme="majorHAnsi" w:hAnsiTheme="majorHAnsi"/>
          <w:sz w:val="22"/>
          <w:szCs w:val="22"/>
        </w:rPr>
        <w:t xml:space="preserve"> Cantidad de personas q</w:t>
      </w:r>
      <w:r w:rsidR="004A3F6A">
        <w:rPr>
          <w:rFonts w:asciiTheme="majorHAnsi" w:hAnsiTheme="majorHAnsi"/>
          <w:sz w:val="22"/>
          <w:szCs w:val="22"/>
        </w:rPr>
        <w:t>ue realizan aportes voluntarios.</w:t>
      </w:r>
    </w:p>
    <w:p w14:paraId="2AF778FB" w14:textId="3E1BA683" w:rsid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Estadísticas de aportación de la SUPEN</w:t>
      </w:r>
      <w:r w:rsidR="004A3F6A">
        <w:rPr>
          <w:rFonts w:asciiTheme="majorHAnsi" w:hAnsiTheme="majorHAnsi"/>
          <w:sz w:val="22"/>
          <w:szCs w:val="22"/>
        </w:rPr>
        <w:t>.</w:t>
      </w:r>
    </w:p>
    <w:p w14:paraId="5D499148" w14:textId="77777777" w:rsidR="00BB3803" w:rsidRDefault="00BB3803" w:rsidP="00DE239D">
      <w:pPr>
        <w:rPr>
          <w:rFonts w:asciiTheme="majorHAnsi" w:hAnsiTheme="majorHAnsi"/>
          <w:sz w:val="22"/>
          <w:szCs w:val="22"/>
        </w:rPr>
      </w:pPr>
    </w:p>
    <w:p w14:paraId="5906E1A6" w14:textId="77777777" w:rsidR="009E074D" w:rsidRDefault="009E074D" w:rsidP="00DE239D">
      <w:pPr>
        <w:rPr>
          <w:rFonts w:asciiTheme="majorHAnsi" w:hAnsiTheme="majorHAnsi"/>
          <w:sz w:val="22"/>
          <w:szCs w:val="22"/>
        </w:rPr>
      </w:pPr>
    </w:p>
    <w:p w14:paraId="780B82AE" w14:textId="77777777" w:rsidR="009E074D" w:rsidRDefault="009E074D" w:rsidP="00DE239D">
      <w:pPr>
        <w:rPr>
          <w:rFonts w:asciiTheme="majorHAnsi" w:hAnsiTheme="majorHAnsi"/>
          <w:sz w:val="22"/>
          <w:szCs w:val="22"/>
        </w:rPr>
      </w:pPr>
    </w:p>
    <w:p w14:paraId="72E8F146" w14:textId="77777777" w:rsidR="00DE239D" w:rsidRPr="00AD2171" w:rsidRDefault="00DE239D" w:rsidP="00DE239D">
      <w:pPr>
        <w:rPr>
          <w:rFonts w:asciiTheme="majorHAnsi" w:hAnsiTheme="majorHAnsi"/>
          <w:sz w:val="22"/>
          <w:szCs w:val="22"/>
        </w:rPr>
      </w:pPr>
      <w:r w:rsidRPr="00AD2171">
        <w:rPr>
          <w:rFonts w:asciiTheme="majorHAnsi" w:hAnsiTheme="majorHAnsi"/>
          <w:sz w:val="22"/>
          <w:szCs w:val="22"/>
        </w:rPr>
        <w:lastRenderedPageBreak/>
        <w:t>Meta para el objetivo</w:t>
      </w:r>
    </w:p>
    <w:p w14:paraId="7BB1B9C0" w14:textId="77777777" w:rsidR="009A4853" w:rsidRPr="00DE239D" w:rsidRDefault="009A4853" w:rsidP="00DE239D">
      <w:pPr>
        <w:rPr>
          <w:rFonts w:asciiTheme="majorHAnsi" w:hAnsiTheme="majorHAnsi"/>
          <w:sz w:val="22"/>
          <w:szCs w:val="22"/>
        </w:rPr>
      </w:pPr>
    </w:p>
    <w:tbl>
      <w:tblPr>
        <w:tblStyle w:val="Tabladecuadrcula4-nfasis11"/>
        <w:tblW w:w="8659" w:type="dxa"/>
        <w:jc w:val="center"/>
        <w:tblLook w:val="04A0" w:firstRow="1" w:lastRow="0" w:firstColumn="1" w:lastColumn="0" w:noHBand="0" w:noVBand="1"/>
      </w:tblPr>
      <w:tblGrid>
        <w:gridCol w:w="3839"/>
        <w:gridCol w:w="992"/>
        <w:gridCol w:w="851"/>
        <w:gridCol w:w="992"/>
        <w:gridCol w:w="992"/>
        <w:gridCol w:w="993"/>
      </w:tblGrid>
      <w:tr w:rsidR="00DE239D" w:rsidRPr="00DE239D" w14:paraId="16B582E8" w14:textId="77777777" w:rsidTr="007752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6D7CFE31" w14:textId="77777777" w:rsidR="00DE239D" w:rsidRPr="00DE239D" w:rsidRDefault="00DE239D" w:rsidP="00875EAB">
            <w:pPr>
              <w:spacing w:line="276" w:lineRule="auto"/>
              <w:rPr>
                <w:rFonts w:asciiTheme="majorHAnsi" w:hAnsiTheme="majorHAnsi"/>
                <w:sz w:val="22"/>
                <w:szCs w:val="22"/>
              </w:rPr>
            </w:pPr>
            <w:r w:rsidRPr="00DE239D">
              <w:rPr>
                <w:rFonts w:asciiTheme="majorHAnsi" w:hAnsiTheme="majorHAnsi"/>
                <w:sz w:val="22"/>
                <w:szCs w:val="22"/>
              </w:rPr>
              <w:t>Línea Base</w:t>
            </w:r>
          </w:p>
        </w:tc>
        <w:tc>
          <w:tcPr>
            <w:tcW w:w="992" w:type="dxa"/>
          </w:tcPr>
          <w:p w14:paraId="6F309010"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2016</w:t>
            </w:r>
          </w:p>
        </w:tc>
        <w:tc>
          <w:tcPr>
            <w:tcW w:w="851" w:type="dxa"/>
          </w:tcPr>
          <w:p w14:paraId="3513B62A"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2017</w:t>
            </w:r>
          </w:p>
        </w:tc>
        <w:tc>
          <w:tcPr>
            <w:tcW w:w="992" w:type="dxa"/>
          </w:tcPr>
          <w:p w14:paraId="504048F1"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2018</w:t>
            </w:r>
          </w:p>
        </w:tc>
        <w:tc>
          <w:tcPr>
            <w:tcW w:w="992" w:type="dxa"/>
          </w:tcPr>
          <w:p w14:paraId="4D3B1DAA"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2019</w:t>
            </w:r>
          </w:p>
        </w:tc>
        <w:tc>
          <w:tcPr>
            <w:tcW w:w="993" w:type="dxa"/>
          </w:tcPr>
          <w:p w14:paraId="6FEDF3F9" w14:textId="77777777" w:rsidR="00DE239D" w:rsidRPr="00DE239D" w:rsidRDefault="00DE239D" w:rsidP="00875E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2020</w:t>
            </w:r>
          </w:p>
        </w:tc>
      </w:tr>
      <w:tr w:rsidR="00DE239D" w:rsidRPr="00DE239D" w14:paraId="64562A07" w14:textId="77777777" w:rsidTr="007752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4C6BC40A" w14:textId="1260D491" w:rsidR="00DE239D" w:rsidRPr="00DE239D" w:rsidRDefault="00D37A92" w:rsidP="00875EAB">
            <w:pPr>
              <w:spacing w:line="276" w:lineRule="auto"/>
              <w:rPr>
                <w:rFonts w:asciiTheme="majorHAnsi" w:hAnsiTheme="majorHAnsi"/>
                <w:sz w:val="22"/>
                <w:szCs w:val="22"/>
              </w:rPr>
            </w:pPr>
            <w:r>
              <w:rPr>
                <w:rFonts w:asciiTheme="majorHAnsi" w:hAnsiTheme="majorHAnsi"/>
                <w:sz w:val="22"/>
                <w:szCs w:val="22"/>
              </w:rPr>
              <w:t xml:space="preserve">1. </w:t>
            </w:r>
            <w:r w:rsidR="00875EAB">
              <w:rPr>
                <w:rFonts w:asciiTheme="majorHAnsi" w:hAnsiTheme="majorHAnsi"/>
                <w:sz w:val="22"/>
                <w:szCs w:val="22"/>
              </w:rPr>
              <w:t>Cociente de reserva</w:t>
            </w:r>
          </w:p>
        </w:tc>
        <w:tc>
          <w:tcPr>
            <w:tcW w:w="992" w:type="dxa"/>
          </w:tcPr>
          <w:p w14:paraId="5D4C9197"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51" w:type="dxa"/>
          </w:tcPr>
          <w:p w14:paraId="5D7A4584"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36C9B5DD"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7352C21D"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3" w:type="dxa"/>
          </w:tcPr>
          <w:p w14:paraId="48EDC2C7"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rsidRPr="00DE239D" w14:paraId="6CF4EC32" w14:textId="77777777" w:rsidTr="0077529F">
        <w:trPr>
          <w:jc w:val="center"/>
        </w:trPr>
        <w:tc>
          <w:tcPr>
            <w:cnfStyle w:val="001000000000" w:firstRow="0" w:lastRow="0" w:firstColumn="1" w:lastColumn="0" w:oddVBand="0" w:evenVBand="0" w:oddHBand="0" w:evenHBand="0" w:firstRowFirstColumn="0" w:firstRowLastColumn="0" w:lastRowFirstColumn="0" w:lastRowLastColumn="0"/>
            <w:tcW w:w="3839" w:type="dxa"/>
          </w:tcPr>
          <w:p w14:paraId="5897314C" w14:textId="6C40DFF5" w:rsidR="00DE239D" w:rsidRPr="00DE239D" w:rsidRDefault="00875EAB" w:rsidP="00875EAB">
            <w:pPr>
              <w:spacing w:line="276" w:lineRule="auto"/>
              <w:jc w:val="center"/>
              <w:rPr>
                <w:rFonts w:asciiTheme="majorHAnsi" w:hAnsiTheme="majorHAnsi"/>
                <w:sz w:val="22"/>
                <w:szCs w:val="22"/>
              </w:rPr>
            </w:pPr>
            <w:r>
              <w:rPr>
                <w:rFonts w:asciiTheme="majorHAnsi" w:hAnsiTheme="majorHAnsi"/>
                <w:sz w:val="22"/>
                <w:szCs w:val="22"/>
              </w:rPr>
              <w:t>2,8 años</w:t>
            </w:r>
          </w:p>
        </w:tc>
        <w:tc>
          <w:tcPr>
            <w:tcW w:w="992" w:type="dxa"/>
          </w:tcPr>
          <w:p w14:paraId="3B4B19E2" w14:textId="469925BC" w:rsidR="00DE239D" w:rsidRPr="00DE239D" w:rsidRDefault="00DE239D" w:rsidP="00875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851" w:type="dxa"/>
          </w:tcPr>
          <w:p w14:paraId="4B2CD4CF" w14:textId="02A0828B" w:rsidR="00DE239D" w:rsidRPr="00DE239D" w:rsidRDefault="00DE239D" w:rsidP="00875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92" w:type="dxa"/>
          </w:tcPr>
          <w:p w14:paraId="11ECDDA6" w14:textId="1C3F80F4" w:rsidR="00DE239D" w:rsidRPr="00DE239D" w:rsidRDefault="00DE239D" w:rsidP="00875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92" w:type="dxa"/>
          </w:tcPr>
          <w:p w14:paraId="46FFD19E" w14:textId="5E4F6087"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2,85</w:t>
            </w:r>
          </w:p>
        </w:tc>
        <w:tc>
          <w:tcPr>
            <w:tcW w:w="993" w:type="dxa"/>
          </w:tcPr>
          <w:p w14:paraId="5F196999" w14:textId="61FFE428"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2,9</w:t>
            </w:r>
          </w:p>
        </w:tc>
      </w:tr>
      <w:tr w:rsidR="00DE239D" w:rsidRPr="00DE239D" w14:paraId="48342267" w14:textId="77777777" w:rsidTr="007752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0B161D4C" w14:textId="09C71C93" w:rsidR="00DE239D" w:rsidRPr="00DE239D" w:rsidRDefault="00D37A92" w:rsidP="00D37A92">
            <w:pPr>
              <w:spacing w:line="276" w:lineRule="auto"/>
              <w:ind w:left="313" w:hanging="313"/>
              <w:rPr>
                <w:rFonts w:asciiTheme="majorHAnsi" w:hAnsiTheme="majorHAnsi"/>
                <w:sz w:val="22"/>
                <w:szCs w:val="22"/>
              </w:rPr>
            </w:pPr>
            <w:r>
              <w:rPr>
                <w:rFonts w:asciiTheme="majorHAnsi" w:hAnsiTheme="majorHAnsi"/>
                <w:sz w:val="22"/>
                <w:szCs w:val="22"/>
              </w:rPr>
              <w:t xml:space="preserve">2. </w:t>
            </w:r>
            <w:r w:rsidR="00875EAB">
              <w:rPr>
                <w:rFonts w:asciiTheme="majorHAnsi" w:hAnsiTheme="majorHAnsi"/>
                <w:sz w:val="22"/>
                <w:szCs w:val="22"/>
              </w:rPr>
              <w:t>Razón: Población no pensionada</w:t>
            </w:r>
          </w:p>
        </w:tc>
        <w:tc>
          <w:tcPr>
            <w:tcW w:w="992" w:type="dxa"/>
          </w:tcPr>
          <w:p w14:paraId="6A6EAC12"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51" w:type="dxa"/>
          </w:tcPr>
          <w:p w14:paraId="32CC28F9"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5D4CAAA7"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613BAC79"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3" w:type="dxa"/>
          </w:tcPr>
          <w:p w14:paraId="495475B3"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rsidRPr="00DE239D" w14:paraId="01011963" w14:textId="77777777" w:rsidTr="0077529F">
        <w:trPr>
          <w:jc w:val="center"/>
        </w:trPr>
        <w:tc>
          <w:tcPr>
            <w:cnfStyle w:val="001000000000" w:firstRow="0" w:lastRow="0" w:firstColumn="1" w:lastColumn="0" w:oddVBand="0" w:evenVBand="0" w:oddHBand="0" w:evenHBand="0" w:firstRowFirstColumn="0" w:firstRowLastColumn="0" w:lastRowFirstColumn="0" w:lastRowLastColumn="0"/>
            <w:tcW w:w="3839" w:type="dxa"/>
          </w:tcPr>
          <w:p w14:paraId="1318A31C" w14:textId="696C8A2A" w:rsidR="00DE239D" w:rsidRPr="00DE239D" w:rsidRDefault="00875EAB" w:rsidP="00875EAB">
            <w:pPr>
              <w:spacing w:line="276" w:lineRule="auto"/>
              <w:jc w:val="center"/>
              <w:rPr>
                <w:rFonts w:asciiTheme="majorHAnsi" w:hAnsiTheme="majorHAnsi"/>
                <w:sz w:val="22"/>
                <w:szCs w:val="22"/>
              </w:rPr>
            </w:pPr>
            <w:r>
              <w:rPr>
                <w:rFonts w:asciiTheme="majorHAnsi" w:hAnsiTheme="majorHAnsi"/>
                <w:sz w:val="22"/>
                <w:szCs w:val="22"/>
              </w:rPr>
              <w:t>38%</w:t>
            </w:r>
          </w:p>
        </w:tc>
        <w:tc>
          <w:tcPr>
            <w:tcW w:w="992" w:type="dxa"/>
          </w:tcPr>
          <w:p w14:paraId="33362CE8" w14:textId="3FACF370"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851" w:type="dxa"/>
          </w:tcPr>
          <w:p w14:paraId="4065A1EA" w14:textId="530395AB"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2" w:type="dxa"/>
          </w:tcPr>
          <w:p w14:paraId="16015B7D" w14:textId="4B919544"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2" w:type="dxa"/>
          </w:tcPr>
          <w:p w14:paraId="4D1F76D8" w14:textId="2B182ADF"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3" w:type="dxa"/>
          </w:tcPr>
          <w:p w14:paraId="4B1F0B4B" w14:textId="59316655" w:rsidR="00DE239D" w:rsidRPr="00DE239D" w:rsidRDefault="00875EAB"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r>
      <w:tr w:rsidR="00DE239D" w:rsidRPr="00DE239D" w14:paraId="77C6F329" w14:textId="77777777" w:rsidTr="007752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9" w:type="dxa"/>
          </w:tcPr>
          <w:p w14:paraId="223795FA" w14:textId="4B4FD6DC" w:rsidR="00DE239D" w:rsidRPr="00D37A92" w:rsidRDefault="00DE239D" w:rsidP="00547B19">
            <w:pPr>
              <w:pStyle w:val="Prrafodelista"/>
              <w:numPr>
                <w:ilvl w:val="0"/>
                <w:numId w:val="54"/>
              </w:numPr>
              <w:spacing w:line="276" w:lineRule="auto"/>
              <w:ind w:left="313"/>
              <w:rPr>
                <w:rFonts w:asciiTheme="majorHAnsi" w:eastAsiaTheme="minorHAnsi" w:hAnsiTheme="majorHAnsi"/>
                <w:sz w:val="22"/>
              </w:rPr>
            </w:pPr>
            <w:r w:rsidRPr="00D37A92">
              <w:rPr>
                <w:rFonts w:asciiTheme="majorHAnsi" w:eastAsiaTheme="minorHAnsi" w:hAnsiTheme="majorHAnsi"/>
                <w:sz w:val="22"/>
              </w:rPr>
              <w:t>Ahorro Voluntario</w:t>
            </w:r>
          </w:p>
        </w:tc>
        <w:tc>
          <w:tcPr>
            <w:tcW w:w="992" w:type="dxa"/>
          </w:tcPr>
          <w:p w14:paraId="49815556"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51" w:type="dxa"/>
          </w:tcPr>
          <w:p w14:paraId="01B3AE75"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65387101"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41541D8A"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3" w:type="dxa"/>
          </w:tcPr>
          <w:p w14:paraId="52FE105F" w14:textId="77777777" w:rsidR="00DE239D" w:rsidRPr="00DE239D" w:rsidRDefault="00DE239D" w:rsidP="00875EA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rsidRPr="00DE239D" w14:paraId="794AE6D0" w14:textId="77777777" w:rsidTr="0077529F">
        <w:trPr>
          <w:jc w:val="center"/>
        </w:trPr>
        <w:tc>
          <w:tcPr>
            <w:cnfStyle w:val="001000000000" w:firstRow="0" w:lastRow="0" w:firstColumn="1" w:lastColumn="0" w:oddVBand="0" w:evenVBand="0" w:oddHBand="0" w:evenHBand="0" w:firstRowFirstColumn="0" w:firstRowLastColumn="0" w:lastRowFirstColumn="0" w:lastRowLastColumn="0"/>
            <w:tcW w:w="3839" w:type="dxa"/>
          </w:tcPr>
          <w:p w14:paraId="266B6641" w14:textId="752B1F68" w:rsidR="00DE239D" w:rsidRPr="00DE239D" w:rsidRDefault="00D37A92" w:rsidP="00875EAB">
            <w:pPr>
              <w:spacing w:line="276" w:lineRule="auto"/>
              <w:jc w:val="center"/>
              <w:rPr>
                <w:rFonts w:asciiTheme="majorHAnsi" w:hAnsiTheme="majorHAnsi"/>
                <w:sz w:val="22"/>
                <w:szCs w:val="22"/>
              </w:rPr>
            </w:pPr>
            <w:r>
              <w:rPr>
                <w:rFonts w:asciiTheme="majorHAnsi" w:hAnsiTheme="majorHAnsi"/>
                <w:sz w:val="22"/>
                <w:szCs w:val="22"/>
              </w:rPr>
              <w:t>1.83</w:t>
            </w:r>
            <w:r w:rsidR="00DE239D" w:rsidRPr="00DE239D">
              <w:rPr>
                <w:rFonts w:asciiTheme="majorHAnsi" w:hAnsiTheme="majorHAnsi"/>
                <w:sz w:val="22"/>
                <w:szCs w:val="22"/>
              </w:rPr>
              <w:t>%</w:t>
            </w:r>
          </w:p>
        </w:tc>
        <w:tc>
          <w:tcPr>
            <w:tcW w:w="992" w:type="dxa"/>
          </w:tcPr>
          <w:p w14:paraId="013E96EC" w14:textId="77777777" w:rsidR="00DE239D" w:rsidRPr="00DE239D" w:rsidRDefault="00DE239D"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DE239D">
              <w:rPr>
                <w:rFonts w:asciiTheme="majorHAnsi" w:hAnsiTheme="majorHAnsi"/>
                <w:sz w:val="22"/>
                <w:szCs w:val="22"/>
              </w:rPr>
              <w:t xml:space="preserve"> </w:t>
            </w:r>
          </w:p>
        </w:tc>
        <w:tc>
          <w:tcPr>
            <w:tcW w:w="851" w:type="dxa"/>
          </w:tcPr>
          <w:p w14:paraId="59307DE7" w14:textId="77777777" w:rsidR="00DE239D" w:rsidRPr="00DE239D" w:rsidRDefault="00DE239D"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92" w:type="dxa"/>
          </w:tcPr>
          <w:p w14:paraId="345ADA2A" w14:textId="297E2C1E" w:rsidR="00DE239D" w:rsidRPr="00DE239D" w:rsidRDefault="00D37A92"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w:t>
            </w:r>
            <w:r w:rsidR="00DE239D" w:rsidRPr="00DE239D">
              <w:rPr>
                <w:rFonts w:asciiTheme="majorHAnsi" w:hAnsiTheme="majorHAnsi"/>
                <w:sz w:val="22"/>
                <w:szCs w:val="22"/>
              </w:rPr>
              <w:t>1 p.p</w:t>
            </w:r>
          </w:p>
        </w:tc>
        <w:tc>
          <w:tcPr>
            <w:tcW w:w="992" w:type="dxa"/>
          </w:tcPr>
          <w:p w14:paraId="1C705AFF" w14:textId="261C7DB5" w:rsidR="00DE239D" w:rsidRPr="00DE239D" w:rsidRDefault="00D37A92" w:rsidP="00875EAB">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w:t>
            </w:r>
            <w:r w:rsidR="00DE239D" w:rsidRPr="00DE239D">
              <w:rPr>
                <w:rFonts w:asciiTheme="majorHAnsi" w:hAnsiTheme="majorHAnsi"/>
                <w:sz w:val="22"/>
                <w:szCs w:val="22"/>
              </w:rPr>
              <w:t>1 p.p</w:t>
            </w:r>
          </w:p>
        </w:tc>
        <w:tc>
          <w:tcPr>
            <w:tcW w:w="993" w:type="dxa"/>
          </w:tcPr>
          <w:p w14:paraId="1D5FA508" w14:textId="704613A8" w:rsidR="00DE239D" w:rsidRPr="00DE239D" w:rsidRDefault="00D37A92" w:rsidP="00D37A9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w:t>
            </w:r>
            <w:r w:rsidR="00DE239D" w:rsidRPr="00DE239D">
              <w:rPr>
                <w:rFonts w:asciiTheme="majorHAnsi" w:hAnsiTheme="majorHAnsi"/>
                <w:sz w:val="22"/>
                <w:szCs w:val="22"/>
              </w:rPr>
              <w:t>1 p.p</w:t>
            </w:r>
          </w:p>
        </w:tc>
      </w:tr>
    </w:tbl>
    <w:p w14:paraId="4985C1A2" w14:textId="77777777" w:rsidR="00DE239D" w:rsidRPr="00DE239D" w:rsidRDefault="00DE239D" w:rsidP="00DE239D">
      <w:pPr>
        <w:rPr>
          <w:rFonts w:asciiTheme="majorHAnsi" w:hAnsiTheme="majorHAnsi"/>
          <w:sz w:val="22"/>
          <w:szCs w:val="22"/>
          <w:highlight w:val="yellow"/>
        </w:rPr>
      </w:pPr>
    </w:p>
    <w:p w14:paraId="3CA666CA" w14:textId="6F09E99C" w:rsidR="00DE239D" w:rsidRPr="00DE239D" w:rsidRDefault="00DE239D" w:rsidP="00DE239D">
      <w:pPr>
        <w:rPr>
          <w:b/>
        </w:rPr>
      </w:pPr>
      <w:r w:rsidRPr="00875EAB">
        <w:rPr>
          <w:b/>
        </w:rPr>
        <w:t>Indicador</w:t>
      </w:r>
      <w:r w:rsidR="00130D45">
        <w:rPr>
          <w:b/>
        </w:rPr>
        <w:t>es</w:t>
      </w:r>
      <w:r w:rsidRPr="00875EAB">
        <w:rPr>
          <w:b/>
        </w:rPr>
        <w:t xml:space="preserve"> de cumplimiento del objetivo 3</w:t>
      </w:r>
      <w:r w:rsidR="00875EAB">
        <w:rPr>
          <w:b/>
        </w:rPr>
        <w:t xml:space="preserve"> </w:t>
      </w:r>
      <w:r w:rsidR="00875EAB">
        <w:t>(</w:t>
      </w:r>
      <w:r w:rsidR="00875EAB" w:rsidRPr="007C372E">
        <w:rPr>
          <w:rFonts w:asciiTheme="majorHAnsi" w:hAnsiTheme="majorHAnsi"/>
          <w:sz w:val="22"/>
        </w:rPr>
        <w:t>Empoderar al afiliado</w:t>
      </w:r>
      <w:r w:rsidR="00875EAB">
        <w:rPr>
          <w:rFonts w:asciiTheme="majorHAnsi" w:hAnsiTheme="majorHAnsi"/>
          <w:sz w:val="22"/>
        </w:rPr>
        <w:t>)</w:t>
      </w:r>
    </w:p>
    <w:p w14:paraId="23A12BB8" w14:textId="77777777" w:rsidR="00DE239D" w:rsidRPr="00DE239D" w:rsidRDefault="00DE239D" w:rsidP="00DE239D">
      <w:pPr>
        <w:rPr>
          <w:lang w:val="es-ES_tradnl" w:eastAsia="en-US"/>
        </w:rPr>
      </w:pPr>
    </w:p>
    <w:p w14:paraId="56C22C8C" w14:textId="7777777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Primero:</w:t>
      </w:r>
      <w:r w:rsidRPr="00DE239D">
        <w:rPr>
          <w:rFonts w:asciiTheme="majorHAnsi" w:hAnsiTheme="majorHAnsi"/>
          <w:sz w:val="22"/>
          <w:szCs w:val="22"/>
        </w:rPr>
        <w:t xml:space="preserve"> Reducción de afiliados automáticos</w:t>
      </w:r>
    </w:p>
    <w:p w14:paraId="7233D68A" w14:textId="7777777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Estadísticas de SICERE</w:t>
      </w:r>
    </w:p>
    <w:p w14:paraId="34C74E49" w14:textId="77777777" w:rsidR="0077529F" w:rsidRDefault="0077529F" w:rsidP="003E3B79">
      <w:pPr>
        <w:ind w:left="567"/>
        <w:rPr>
          <w:rFonts w:asciiTheme="majorHAnsi" w:hAnsiTheme="majorHAnsi"/>
          <w:b/>
          <w:sz w:val="22"/>
          <w:szCs w:val="22"/>
        </w:rPr>
      </w:pPr>
    </w:p>
    <w:p w14:paraId="49BA6A9D" w14:textId="6B3E5844"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Segundo:</w:t>
      </w:r>
      <w:r w:rsidRPr="00DE239D">
        <w:rPr>
          <w:rFonts w:asciiTheme="majorHAnsi" w:hAnsiTheme="majorHAnsi"/>
          <w:sz w:val="22"/>
          <w:szCs w:val="22"/>
        </w:rPr>
        <w:t xml:space="preserve"> Reducción de tiempos en la atención de </w:t>
      </w:r>
      <w:r w:rsidR="0077529F">
        <w:rPr>
          <w:rFonts w:asciiTheme="majorHAnsi" w:hAnsiTheme="majorHAnsi"/>
          <w:sz w:val="22"/>
          <w:szCs w:val="22"/>
        </w:rPr>
        <w:t>quejas y consultas ante los gestores</w:t>
      </w:r>
    </w:p>
    <w:p w14:paraId="0F98D3E4" w14:textId="01B0D331"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w:t>
      </w:r>
      <w:r w:rsidR="00CC4320">
        <w:rPr>
          <w:rFonts w:asciiTheme="majorHAnsi" w:hAnsiTheme="majorHAnsi"/>
          <w:sz w:val="22"/>
          <w:szCs w:val="22"/>
        </w:rPr>
        <w:t>Información reportada por los gestores</w:t>
      </w:r>
    </w:p>
    <w:p w14:paraId="250B2F1E" w14:textId="77777777" w:rsidR="0077529F" w:rsidRDefault="0077529F" w:rsidP="003E3B79">
      <w:pPr>
        <w:ind w:left="567"/>
        <w:rPr>
          <w:rFonts w:asciiTheme="majorHAnsi" w:hAnsiTheme="majorHAnsi"/>
          <w:b/>
          <w:sz w:val="22"/>
          <w:szCs w:val="22"/>
        </w:rPr>
      </w:pPr>
    </w:p>
    <w:p w14:paraId="750596E9" w14:textId="77777777" w:rsidR="00DE239D" w:rsidRPr="00DE239D" w:rsidRDefault="00DE239D" w:rsidP="003E3B79">
      <w:pPr>
        <w:ind w:left="567"/>
        <w:rPr>
          <w:rFonts w:asciiTheme="majorHAnsi" w:hAnsiTheme="majorHAnsi"/>
          <w:sz w:val="22"/>
          <w:szCs w:val="22"/>
        </w:rPr>
      </w:pPr>
      <w:r w:rsidRPr="00DE239D">
        <w:rPr>
          <w:rFonts w:asciiTheme="majorHAnsi" w:hAnsiTheme="majorHAnsi"/>
          <w:b/>
          <w:sz w:val="22"/>
          <w:szCs w:val="22"/>
        </w:rPr>
        <w:t xml:space="preserve">Tercero: </w:t>
      </w:r>
      <w:r w:rsidRPr="00DE239D">
        <w:rPr>
          <w:rFonts w:asciiTheme="majorHAnsi" w:hAnsiTheme="majorHAnsi"/>
          <w:sz w:val="22"/>
          <w:szCs w:val="22"/>
        </w:rPr>
        <w:t>Cantidad de afiliados que consulta expediente electrónico previsional</w:t>
      </w:r>
    </w:p>
    <w:p w14:paraId="727B549D" w14:textId="77777777" w:rsidR="00DE239D" w:rsidRDefault="00DE239D" w:rsidP="003E3B79">
      <w:pPr>
        <w:ind w:left="567"/>
        <w:rPr>
          <w:rFonts w:asciiTheme="majorHAnsi" w:hAnsiTheme="majorHAnsi"/>
          <w:sz w:val="22"/>
          <w:szCs w:val="22"/>
        </w:rPr>
      </w:pPr>
      <w:r w:rsidRPr="00DE239D">
        <w:rPr>
          <w:rFonts w:asciiTheme="majorHAnsi" w:hAnsiTheme="majorHAnsi"/>
          <w:b/>
          <w:sz w:val="22"/>
          <w:szCs w:val="22"/>
        </w:rPr>
        <w:t>Fuente del dato:</w:t>
      </w:r>
      <w:r w:rsidRPr="00DE239D">
        <w:rPr>
          <w:rFonts w:asciiTheme="majorHAnsi" w:hAnsiTheme="majorHAnsi"/>
          <w:sz w:val="22"/>
          <w:szCs w:val="22"/>
        </w:rPr>
        <w:t xml:space="preserve"> Sistema administrador del expediente electrónico previsional</w:t>
      </w:r>
    </w:p>
    <w:p w14:paraId="0261897C" w14:textId="77777777" w:rsidR="00CE1493" w:rsidRDefault="00CE1493" w:rsidP="00DE239D">
      <w:pPr>
        <w:rPr>
          <w:rFonts w:asciiTheme="majorHAnsi" w:hAnsiTheme="majorHAnsi"/>
          <w:sz w:val="22"/>
          <w:szCs w:val="22"/>
        </w:rPr>
      </w:pPr>
    </w:p>
    <w:p w14:paraId="006A0180" w14:textId="77777777" w:rsidR="00DE239D" w:rsidRPr="00AD2171" w:rsidRDefault="00DE239D" w:rsidP="00DE239D">
      <w:pPr>
        <w:rPr>
          <w:sz w:val="22"/>
        </w:rPr>
      </w:pPr>
      <w:r w:rsidRPr="00AD2171">
        <w:rPr>
          <w:sz w:val="22"/>
        </w:rPr>
        <w:t>Meta para el objetivo</w:t>
      </w:r>
    </w:p>
    <w:p w14:paraId="2D42A64D" w14:textId="77777777" w:rsidR="0077529F" w:rsidRDefault="0077529F" w:rsidP="00DE239D"/>
    <w:tbl>
      <w:tblPr>
        <w:tblStyle w:val="Tabladecuadrcula4-nfasis11"/>
        <w:tblW w:w="8222" w:type="dxa"/>
        <w:jc w:val="center"/>
        <w:tblLook w:val="04A0" w:firstRow="1" w:lastRow="0" w:firstColumn="1" w:lastColumn="0" w:noHBand="0" w:noVBand="1"/>
      </w:tblPr>
      <w:tblGrid>
        <w:gridCol w:w="3916"/>
        <w:gridCol w:w="750"/>
        <w:gridCol w:w="946"/>
        <w:gridCol w:w="750"/>
        <w:gridCol w:w="871"/>
        <w:gridCol w:w="989"/>
      </w:tblGrid>
      <w:tr w:rsidR="00DE239D" w14:paraId="555B6368" w14:textId="77777777" w:rsidTr="00BE74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7DC845B7" w14:textId="77777777" w:rsidR="00DE239D" w:rsidRPr="0077529F" w:rsidRDefault="00DE239D" w:rsidP="008D71BC">
            <w:pPr>
              <w:rPr>
                <w:rFonts w:asciiTheme="majorHAnsi" w:hAnsiTheme="majorHAnsi"/>
                <w:sz w:val="22"/>
                <w:szCs w:val="22"/>
              </w:rPr>
            </w:pPr>
            <w:r w:rsidRPr="0077529F">
              <w:rPr>
                <w:rFonts w:asciiTheme="majorHAnsi" w:hAnsiTheme="majorHAnsi"/>
                <w:sz w:val="22"/>
                <w:szCs w:val="22"/>
              </w:rPr>
              <w:t>Línea Base</w:t>
            </w:r>
          </w:p>
        </w:tc>
        <w:tc>
          <w:tcPr>
            <w:tcW w:w="750" w:type="dxa"/>
          </w:tcPr>
          <w:p w14:paraId="072782DC"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2016</w:t>
            </w:r>
          </w:p>
        </w:tc>
        <w:tc>
          <w:tcPr>
            <w:tcW w:w="951" w:type="dxa"/>
          </w:tcPr>
          <w:p w14:paraId="11D3D9B6"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2017</w:t>
            </w:r>
          </w:p>
        </w:tc>
        <w:tc>
          <w:tcPr>
            <w:tcW w:w="750" w:type="dxa"/>
          </w:tcPr>
          <w:p w14:paraId="0753DFE8"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2018</w:t>
            </w:r>
          </w:p>
        </w:tc>
        <w:tc>
          <w:tcPr>
            <w:tcW w:w="810" w:type="dxa"/>
          </w:tcPr>
          <w:p w14:paraId="37C17104"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2019</w:t>
            </w:r>
          </w:p>
        </w:tc>
        <w:tc>
          <w:tcPr>
            <w:tcW w:w="992" w:type="dxa"/>
          </w:tcPr>
          <w:p w14:paraId="131986F7" w14:textId="77777777" w:rsidR="00DE239D" w:rsidRPr="0077529F" w:rsidRDefault="00DE239D" w:rsidP="008D71B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2020</w:t>
            </w:r>
          </w:p>
        </w:tc>
      </w:tr>
      <w:tr w:rsidR="00DE239D" w14:paraId="0AF909A5" w14:textId="77777777" w:rsidTr="00BE7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2E017708" w14:textId="5F82BF5E" w:rsidR="00DE239D" w:rsidRPr="0077529F" w:rsidRDefault="0077529F" w:rsidP="008D71BC">
            <w:pPr>
              <w:rPr>
                <w:rFonts w:asciiTheme="majorHAnsi" w:hAnsiTheme="majorHAnsi"/>
                <w:sz w:val="22"/>
                <w:szCs w:val="22"/>
              </w:rPr>
            </w:pPr>
            <w:r>
              <w:rPr>
                <w:rFonts w:asciiTheme="majorHAnsi" w:hAnsiTheme="majorHAnsi"/>
                <w:sz w:val="22"/>
                <w:szCs w:val="22"/>
              </w:rPr>
              <w:t xml:space="preserve">1.  </w:t>
            </w:r>
            <w:r w:rsidR="00DE239D" w:rsidRPr="0077529F">
              <w:rPr>
                <w:rFonts w:asciiTheme="majorHAnsi" w:hAnsiTheme="majorHAnsi"/>
                <w:sz w:val="22"/>
                <w:szCs w:val="22"/>
              </w:rPr>
              <w:t>Automáticos</w:t>
            </w:r>
          </w:p>
        </w:tc>
        <w:tc>
          <w:tcPr>
            <w:tcW w:w="750" w:type="dxa"/>
          </w:tcPr>
          <w:p w14:paraId="0940371D"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51" w:type="dxa"/>
          </w:tcPr>
          <w:p w14:paraId="7F8F18C4"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2FB6111D"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10" w:type="dxa"/>
          </w:tcPr>
          <w:p w14:paraId="76BB4D63"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0A94D697"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14:paraId="616C8E4C" w14:textId="77777777" w:rsidTr="00BE74BC">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0EF3A78E" w14:textId="77777777" w:rsidR="00DE239D" w:rsidRPr="0077529F" w:rsidRDefault="00DE239D" w:rsidP="008D71BC">
            <w:pPr>
              <w:jc w:val="center"/>
              <w:rPr>
                <w:rFonts w:asciiTheme="majorHAnsi" w:hAnsiTheme="majorHAnsi"/>
                <w:sz w:val="22"/>
                <w:szCs w:val="22"/>
              </w:rPr>
            </w:pPr>
            <w:r w:rsidRPr="0077529F">
              <w:rPr>
                <w:rFonts w:asciiTheme="majorHAnsi" w:hAnsiTheme="majorHAnsi"/>
                <w:sz w:val="22"/>
                <w:szCs w:val="22"/>
              </w:rPr>
              <w:t>99%</w:t>
            </w:r>
          </w:p>
        </w:tc>
        <w:tc>
          <w:tcPr>
            <w:tcW w:w="750" w:type="dxa"/>
          </w:tcPr>
          <w:p w14:paraId="346FB74C" w14:textId="77777777" w:rsidR="00DE239D" w:rsidRPr="0077529F" w:rsidRDefault="00DE239D" w:rsidP="008D71BC">
            <w:pP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51" w:type="dxa"/>
          </w:tcPr>
          <w:p w14:paraId="3CD7A7BD" w14:textId="7CC63795"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750" w:type="dxa"/>
          </w:tcPr>
          <w:p w14:paraId="384AE24A" w14:textId="5B4F48F6"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810" w:type="dxa"/>
          </w:tcPr>
          <w:p w14:paraId="2BD8088D" w14:textId="0BAEECB2"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-5%</w:t>
            </w:r>
          </w:p>
        </w:tc>
        <w:tc>
          <w:tcPr>
            <w:tcW w:w="992" w:type="dxa"/>
          </w:tcPr>
          <w:p w14:paraId="19CCD0A2" w14:textId="50BB2EA5"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-5%</w:t>
            </w:r>
          </w:p>
        </w:tc>
      </w:tr>
      <w:tr w:rsidR="00DE239D" w14:paraId="7EC63F38" w14:textId="77777777" w:rsidTr="00BE7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1C9BE356" w14:textId="02F63E9F" w:rsidR="00DE239D" w:rsidRPr="0077529F" w:rsidRDefault="00DE239D" w:rsidP="00547B19">
            <w:pPr>
              <w:pStyle w:val="Prrafodelista"/>
              <w:numPr>
                <w:ilvl w:val="0"/>
                <w:numId w:val="12"/>
              </w:numPr>
              <w:rPr>
                <w:rFonts w:asciiTheme="majorHAnsi" w:eastAsiaTheme="minorHAnsi" w:hAnsiTheme="majorHAnsi"/>
                <w:sz w:val="22"/>
              </w:rPr>
            </w:pPr>
            <w:r w:rsidRPr="0077529F">
              <w:rPr>
                <w:rFonts w:asciiTheme="majorHAnsi" w:eastAsiaTheme="minorHAnsi" w:hAnsiTheme="majorHAnsi"/>
                <w:sz w:val="22"/>
              </w:rPr>
              <w:t>Plazos de atención</w:t>
            </w:r>
            <w:r w:rsidR="0077529F">
              <w:rPr>
                <w:rFonts w:asciiTheme="majorHAnsi" w:eastAsiaTheme="minorHAnsi" w:hAnsiTheme="majorHAnsi"/>
                <w:sz w:val="22"/>
              </w:rPr>
              <w:t xml:space="preserve"> de quejas y consultas</w:t>
            </w:r>
          </w:p>
        </w:tc>
        <w:tc>
          <w:tcPr>
            <w:tcW w:w="750" w:type="dxa"/>
          </w:tcPr>
          <w:p w14:paraId="236D1909"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51" w:type="dxa"/>
          </w:tcPr>
          <w:p w14:paraId="2B6629FD"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09659FD6"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10" w:type="dxa"/>
          </w:tcPr>
          <w:p w14:paraId="1AB18ED0"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28C092A3" w14:textId="77777777" w:rsidR="00DE239D" w:rsidRPr="0077529F" w:rsidRDefault="00DE239D" w:rsidP="008D71BC">
            <w:pP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14:paraId="6FA561DA" w14:textId="77777777" w:rsidTr="00BE74BC">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1674368A" w14:textId="72720AAE" w:rsidR="00DE239D" w:rsidRPr="0077529F" w:rsidRDefault="0077529F" w:rsidP="008D71BC">
            <w:pPr>
              <w:jc w:val="center"/>
              <w:rPr>
                <w:rFonts w:asciiTheme="majorHAnsi" w:hAnsiTheme="majorHAnsi"/>
                <w:sz w:val="22"/>
                <w:szCs w:val="22"/>
              </w:rPr>
            </w:pPr>
            <w:r>
              <w:rPr>
                <w:rFonts w:asciiTheme="majorHAnsi" w:hAnsiTheme="majorHAnsi"/>
                <w:sz w:val="22"/>
                <w:szCs w:val="22"/>
              </w:rPr>
              <w:t>Base 2017</w:t>
            </w:r>
          </w:p>
        </w:tc>
        <w:tc>
          <w:tcPr>
            <w:tcW w:w="750" w:type="dxa"/>
          </w:tcPr>
          <w:p w14:paraId="035D14E4"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sidRPr="0077529F">
              <w:rPr>
                <w:rFonts w:asciiTheme="majorHAnsi" w:hAnsiTheme="majorHAnsi"/>
                <w:sz w:val="22"/>
                <w:szCs w:val="22"/>
              </w:rPr>
              <w:t xml:space="preserve"> </w:t>
            </w:r>
          </w:p>
        </w:tc>
        <w:tc>
          <w:tcPr>
            <w:tcW w:w="951" w:type="dxa"/>
          </w:tcPr>
          <w:p w14:paraId="24F7309E" w14:textId="5145A0E4"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750" w:type="dxa"/>
          </w:tcPr>
          <w:p w14:paraId="3A10E34F" w14:textId="035B3997"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810" w:type="dxa"/>
          </w:tcPr>
          <w:p w14:paraId="34ED133C" w14:textId="5DBCF71F"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c>
          <w:tcPr>
            <w:tcW w:w="992" w:type="dxa"/>
          </w:tcPr>
          <w:p w14:paraId="0607ADDB" w14:textId="356152FA" w:rsidR="00DE239D" w:rsidRPr="0077529F" w:rsidRDefault="0077529F"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w:t>
            </w:r>
          </w:p>
        </w:tc>
      </w:tr>
      <w:tr w:rsidR="00DE239D" w14:paraId="3C8B6121" w14:textId="77777777" w:rsidTr="00BE74B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9" w:type="dxa"/>
          </w:tcPr>
          <w:p w14:paraId="36A7EA59" w14:textId="6E98DF12" w:rsidR="00DE239D" w:rsidRPr="0077529F" w:rsidRDefault="00DE239D" w:rsidP="00547B19">
            <w:pPr>
              <w:pStyle w:val="Prrafodelista"/>
              <w:numPr>
                <w:ilvl w:val="0"/>
                <w:numId w:val="12"/>
              </w:numPr>
              <w:rPr>
                <w:rFonts w:asciiTheme="majorHAnsi" w:eastAsiaTheme="minorHAnsi" w:hAnsiTheme="majorHAnsi"/>
                <w:sz w:val="22"/>
              </w:rPr>
            </w:pPr>
            <w:r w:rsidRPr="0077529F">
              <w:rPr>
                <w:rFonts w:asciiTheme="majorHAnsi" w:eastAsiaTheme="minorHAnsi" w:hAnsiTheme="majorHAnsi"/>
                <w:sz w:val="22"/>
              </w:rPr>
              <w:t>Uso expediente electrónico</w:t>
            </w:r>
          </w:p>
        </w:tc>
        <w:tc>
          <w:tcPr>
            <w:tcW w:w="750" w:type="dxa"/>
          </w:tcPr>
          <w:p w14:paraId="62D61F70"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51" w:type="dxa"/>
          </w:tcPr>
          <w:p w14:paraId="4B80F3FD"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750" w:type="dxa"/>
          </w:tcPr>
          <w:p w14:paraId="2D1D04C2"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810" w:type="dxa"/>
          </w:tcPr>
          <w:p w14:paraId="4D4C43C4"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c>
          <w:tcPr>
            <w:tcW w:w="992" w:type="dxa"/>
          </w:tcPr>
          <w:p w14:paraId="01D0A660" w14:textId="77777777" w:rsidR="00DE239D" w:rsidRPr="0077529F" w:rsidRDefault="00DE239D" w:rsidP="008D71B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DE239D" w14:paraId="235D1F1E" w14:textId="77777777" w:rsidTr="00BE74BC">
        <w:trPr>
          <w:jc w:val="center"/>
        </w:trPr>
        <w:tc>
          <w:tcPr>
            <w:cnfStyle w:val="001000000000" w:firstRow="0" w:lastRow="0" w:firstColumn="1" w:lastColumn="0" w:oddVBand="0" w:evenVBand="0" w:oddHBand="0" w:evenHBand="0" w:firstRowFirstColumn="0" w:firstRowLastColumn="0" w:lastRowFirstColumn="0" w:lastRowLastColumn="0"/>
            <w:tcW w:w="3969" w:type="dxa"/>
          </w:tcPr>
          <w:p w14:paraId="4A1A07EE" w14:textId="1F61E547" w:rsidR="00DE239D" w:rsidRPr="0077529F" w:rsidRDefault="00DE239D" w:rsidP="008D71BC">
            <w:pPr>
              <w:jc w:val="center"/>
              <w:rPr>
                <w:rFonts w:asciiTheme="majorHAnsi" w:hAnsiTheme="majorHAnsi"/>
                <w:sz w:val="22"/>
                <w:szCs w:val="22"/>
              </w:rPr>
            </w:pPr>
          </w:p>
        </w:tc>
        <w:tc>
          <w:tcPr>
            <w:tcW w:w="750" w:type="dxa"/>
          </w:tcPr>
          <w:p w14:paraId="63AF173E"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951" w:type="dxa"/>
          </w:tcPr>
          <w:p w14:paraId="4F1B80EF"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750" w:type="dxa"/>
          </w:tcPr>
          <w:p w14:paraId="6D2E41BD" w14:textId="77777777" w:rsidR="00DE239D" w:rsidRPr="0077529F" w:rsidRDefault="00DE239D"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c>
          <w:tcPr>
            <w:tcW w:w="810" w:type="dxa"/>
          </w:tcPr>
          <w:p w14:paraId="229CE599" w14:textId="2944723B" w:rsidR="00DE239D" w:rsidRPr="0077529F" w:rsidRDefault="00BE74BC"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10.000</w:t>
            </w:r>
          </w:p>
        </w:tc>
        <w:tc>
          <w:tcPr>
            <w:tcW w:w="992" w:type="dxa"/>
          </w:tcPr>
          <w:p w14:paraId="7820F4D2" w14:textId="39587A74" w:rsidR="00DE239D" w:rsidRPr="0077529F" w:rsidRDefault="00BE74BC" w:rsidP="008D71B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11.000</w:t>
            </w:r>
          </w:p>
        </w:tc>
      </w:tr>
    </w:tbl>
    <w:p w14:paraId="467F7B12" w14:textId="77777777" w:rsidR="00DE239D" w:rsidRPr="006C1FE0" w:rsidRDefault="00DE239D" w:rsidP="00DE239D"/>
    <w:p w14:paraId="23FF33A6" w14:textId="77FF2B27" w:rsidR="0066771F" w:rsidRPr="00B36940" w:rsidRDefault="00B815AC" w:rsidP="00B36940">
      <w:pPr>
        <w:rPr>
          <w:rFonts w:asciiTheme="majorHAnsi" w:hAnsiTheme="majorHAnsi"/>
          <w:b/>
          <w:sz w:val="22"/>
          <w:szCs w:val="22"/>
        </w:rPr>
      </w:pPr>
      <w:bookmarkStart w:id="39" w:name="_Toc396483005"/>
      <w:r w:rsidRPr="00B36940">
        <w:rPr>
          <w:rFonts w:asciiTheme="majorHAnsi" w:hAnsiTheme="majorHAnsi"/>
          <w:b/>
          <w:sz w:val="22"/>
          <w:szCs w:val="22"/>
        </w:rPr>
        <w:t>Proyectos Estratégicos</w:t>
      </w:r>
      <w:bookmarkEnd w:id="39"/>
    </w:p>
    <w:p w14:paraId="106D30AA" w14:textId="77777777" w:rsidR="0066771F" w:rsidRPr="0066771F" w:rsidRDefault="0066771F" w:rsidP="0066771F">
      <w:pPr>
        <w:autoSpaceDE w:val="0"/>
        <w:autoSpaceDN w:val="0"/>
        <w:adjustRightInd w:val="0"/>
        <w:rPr>
          <w:rFonts w:asciiTheme="majorHAnsi" w:hAnsiTheme="majorHAnsi" w:cs="Arial"/>
          <w:sz w:val="22"/>
          <w:szCs w:val="22"/>
        </w:rPr>
      </w:pPr>
    </w:p>
    <w:p w14:paraId="47F09691" w14:textId="34CCE1CA" w:rsidR="0066771F" w:rsidRPr="0066771F" w:rsidRDefault="0066771F" w:rsidP="00B96D98">
      <w:pPr>
        <w:jc w:val="both"/>
        <w:rPr>
          <w:rFonts w:asciiTheme="majorHAnsi" w:hAnsiTheme="majorHAnsi"/>
          <w:b/>
          <w:sz w:val="22"/>
          <w:szCs w:val="22"/>
        </w:rPr>
      </w:pPr>
      <w:r w:rsidRPr="0066771F">
        <w:rPr>
          <w:rFonts w:asciiTheme="majorHAnsi" w:hAnsiTheme="majorHAnsi"/>
          <w:sz w:val="22"/>
          <w:szCs w:val="22"/>
        </w:rPr>
        <w:t xml:space="preserve">Con el </w:t>
      </w:r>
      <w:r w:rsidR="00094C35">
        <w:rPr>
          <w:rFonts w:asciiTheme="majorHAnsi" w:hAnsiTheme="majorHAnsi"/>
          <w:sz w:val="22"/>
          <w:szCs w:val="22"/>
        </w:rPr>
        <w:t>propósito</w:t>
      </w:r>
      <w:r w:rsidRPr="0066771F">
        <w:rPr>
          <w:rFonts w:asciiTheme="majorHAnsi" w:hAnsiTheme="majorHAnsi"/>
          <w:sz w:val="22"/>
          <w:szCs w:val="22"/>
        </w:rPr>
        <w:t xml:space="preserve"> de cumplir con los objetivos citados</w:t>
      </w:r>
      <w:r w:rsidRPr="00317C42">
        <w:rPr>
          <w:rFonts w:asciiTheme="majorHAnsi" w:hAnsiTheme="majorHAnsi"/>
          <w:color w:val="1F497D" w:themeColor="text2"/>
          <w:sz w:val="22"/>
          <w:szCs w:val="22"/>
        </w:rPr>
        <w:t xml:space="preserve">, </w:t>
      </w:r>
      <w:r w:rsidR="00317C42">
        <w:rPr>
          <w:rFonts w:asciiTheme="majorHAnsi" w:hAnsiTheme="majorHAnsi"/>
          <w:sz w:val="22"/>
          <w:szCs w:val="22"/>
        </w:rPr>
        <w:t>la SUPEN</w:t>
      </w:r>
      <w:r w:rsidRPr="0066771F">
        <w:rPr>
          <w:rFonts w:asciiTheme="majorHAnsi" w:hAnsiTheme="majorHAnsi"/>
          <w:sz w:val="22"/>
          <w:szCs w:val="22"/>
        </w:rPr>
        <w:t xml:space="preserve"> decidió cuáles serían los planes de acción que ejecutaría en los distintos años, según las prioridades definidas. Es importante indicar que estos planes de acción tienen impacto en los distintos productos que ofrece</w:t>
      </w:r>
      <w:r w:rsidR="00130D45">
        <w:rPr>
          <w:rFonts w:asciiTheme="majorHAnsi" w:hAnsiTheme="majorHAnsi"/>
          <w:sz w:val="22"/>
          <w:szCs w:val="22"/>
        </w:rPr>
        <w:t>.</w:t>
      </w:r>
    </w:p>
    <w:p w14:paraId="73CD03FA" w14:textId="77777777" w:rsidR="0066771F" w:rsidRPr="002829A2" w:rsidRDefault="0066771F" w:rsidP="0066771F">
      <w:pPr>
        <w:pStyle w:val="Textoindependiente"/>
        <w:rPr>
          <w:rFonts w:asciiTheme="majorHAnsi" w:hAnsiTheme="majorHAnsi"/>
          <w:sz w:val="22"/>
          <w:szCs w:val="22"/>
        </w:rPr>
      </w:pPr>
    </w:p>
    <w:p w14:paraId="58F40AA8" w14:textId="030AC497" w:rsidR="0066771F" w:rsidRDefault="00AD2171" w:rsidP="0066771F">
      <w:pPr>
        <w:jc w:val="center"/>
        <w:rPr>
          <w:rFonts w:asciiTheme="majorHAnsi" w:hAnsiTheme="majorHAnsi"/>
          <w:b/>
          <w:sz w:val="20"/>
          <w:szCs w:val="20"/>
        </w:rPr>
      </w:pPr>
      <w:r>
        <w:rPr>
          <w:rFonts w:asciiTheme="majorHAnsi" w:hAnsiTheme="majorHAnsi"/>
          <w:b/>
          <w:sz w:val="20"/>
          <w:szCs w:val="20"/>
        </w:rPr>
        <w:t>Cuadro 6</w:t>
      </w:r>
      <w:r w:rsidR="009E074D">
        <w:rPr>
          <w:rFonts w:asciiTheme="majorHAnsi" w:hAnsiTheme="majorHAnsi"/>
          <w:b/>
          <w:sz w:val="20"/>
          <w:szCs w:val="20"/>
        </w:rPr>
        <w:t xml:space="preserve">: </w:t>
      </w:r>
      <w:r w:rsidR="00A61D48">
        <w:rPr>
          <w:rFonts w:asciiTheme="majorHAnsi" w:hAnsiTheme="majorHAnsi"/>
          <w:b/>
          <w:sz w:val="20"/>
          <w:szCs w:val="20"/>
        </w:rPr>
        <w:t>Resumen del</w:t>
      </w:r>
      <w:r w:rsidR="00513AD6" w:rsidRPr="002829A2">
        <w:rPr>
          <w:rFonts w:asciiTheme="majorHAnsi" w:hAnsiTheme="majorHAnsi"/>
          <w:b/>
          <w:sz w:val="20"/>
          <w:szCs w:val="20"/>
        </w:rPr>
        <w:t xml:space="preserve"> </w:t>
      </w:r>
      <w:r w:rsidR="00A61D48" w:rsidRPr="002829A2">
        <w:rPr>
          <w:rFonts w:asciiTheme="majorHAnsi" w:hAnsiTheme="majorHAnsi"/>
          <w:b/>
          <w:sz w:val="20"/>
          <w:szCs w:val="20"/>
        </w:rPr>
        <w:t>por</w:t>
      </w:r>
      <w:r w:rsidR="00A61D48">
        <w:rPr>
          <w:rFonts w:asciiTheme="majorHAnsi" w:hAnsiTheme="majorHAnsi"/>
          <w:b/>
          <w:sz w:val="20"/>
          <w:szCs w:val="20"/>
        </w:rPr>
        <w:t>tafolio proyectos estratégicos</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97"/>
      </w:tblGrid>
      <w:tr w:rsidR="0066771F" w:rsidRPr="003E3B79" w14:paraId="06DBC409" w14:textId="77777777" w:rsidTr="00A61D48">
        <w:trPr>
          <w:trHeight w:val="391"/>
          <w:tblHeader/>
          <w:jc w:val="center"/>
        </w:trPr>
        <w:tc>
          <w:tcPr>
            <w:tcW w:w="3397" w:type="dxa"/>
            <w:shd w:val="clear" w:color="auto" w:fill="C6D9F1" w:themeFill="text2" w:themeFillTint="33"/>
            <w:vAlign w:val="center"/>
          </w:tcPr>
          <w:p w14:paraId="16FCD7E2" w14:textId="77777777" w:rsidR="0066771F" w:rsidRPr="003E3B79" w:rsidRDefault="0066771F" w:rsidP="00357777">
            <w:pPr>
              <w:jc w:val="center"/>
              <w:rPr>
                <w:rFonts w:asciiTheme="majorHAnsi" w:hAnsiTheme="majorHAnsi"/>
                <w:b/>
                <w:szCs w:val="22"/>
              </w:rPr>
            </w:pPr>
            <w:r w:rsidRPr="003E3B79">
              <w:rPr>
                <w:rFonts w:asciiTheme="majorHAnsi" w:hAnsiTheme="majorHAnsi"/>
                <w:b/>
                <w:szCs w:val="22"/>
              </w:rPr>
              <w:t>Objetivos</w:t>
            </w:r>
          </w:p>
        </w:tc>
        <w:tc>
          <w:tcPr>
            <w:tcW w:w="5397" w:type="dxa"/>
            <w:shd w:val="clear" w:color="auto" w:fill="C6D9F1" w:themeFill="text2" w:themeFillTint="33"/>
            <w:vAlign w:val="center"/>
          </w:tcPr>
          <w:p w14:paraId="7CF2BA23" w14:textId="77777777" w:rsidR="0066771F" w:rsidRPr="003E3B79" w:rsidRDefault="0066771F" w:rsidP="00357777">
            <w:pPr>
              <w:ind w:left="370"/>
              <w:jc w:val="center"/>
              <w:rPr>
                <w:rFonts w:asciiTheme="majorHAnsi" w:hAnsiTheme="majorHAnsi"/>
                <w:b/>
                <w:szCs w:val="22"/>
              </w:rPr>
            </w:pPr>
            <w:r w:rsidRPr="003E3B79">
              <w:rPr>
                <w:rFonts w:asciiTheme="majorHAnsi" w:hAnsiTheme="majorHAnsi"/>
                <w:b/>
                <w:szCs w:val="22"/>
              </w:rPr>
              <w:t>Proyectos</w:t>
            </w:r>
          </w:p>
        </w:tc>
      </w:tr>
      <w:tr w:rsidR="0066771F" w:rsidRPr="002829A2" w14:paraId="54F4084A" w14:textId="77777777" w:rsidTr="00A61D48">
        <w:trPr>
          <w:jc w:val="center"/>
        </w:trPr>
        <w:tc>
          <w:tcPr>
            <w:tcW w:w="3397" w:type="dxa"/>
            <w:shd w:val="clear" w:color="auto" w:fill="auto"/>
            <w:vAlign w:val="center"/>
          </w:tcPr>
          <w:p w14:paraId="37FC2F5D" w14:textId="09474173" w:rsidR="0066771F" w:rsidRPr="003E3B79" w:rsidRDefault="00847AA7" w:rsidP="00C8760A">
            <w:pPr>
              <w:rPr>
                <w:rFonts w:asciiTheme="majorHAnsi" w:hAnsiTheme="majorHAnsi"/>
                <w:b/>
                <w:sz w:val="22"/>
                <w:szCs w:val="22"/>
              </w:rPr>
            </w:pPr>
            <w:r w:rsidRPr="003E3B79">
              <w:rPr>
                <w:rFonts w:asciiTheme="majorHAnsi" w:hAnsiTheme="majorHAnsi"/>
                <w:b/>
                <w:sz w:val="22"/>
                <w:szCs w:val="22"/>
              </w:rPr>
              <w:t>Vigilar a los participantes en el Sistema Nacional Pensiones</w:t>
            </w:r>
          </w:p>
        </w:tc>
        <w:tc>
          <w:tcPr>
            <w:tcW w:w="5397" w:type="dxa"/>
            <w:shd w:val="clear" w:color="auto" w:fill="auto"/>
            <w:vAlign w:val="center"/>
          </w:tcPr>
          <w:p w14:paraId="4C2F0470" w14:textId="77777777" w:rsidR="00CF1722" w:rsidRPr="003E3B79" w:rsidRDefault="00CF1722" w:rsidP="0003441B">
            <w:pPr>
              <w:ind w:left="1162" w:hanging="1162"/>
              <w:rPr>
                <w:rFonts w:asciiTheme="majorHAnsi" w:hAnsiTheme="majorHAnsi"/>
                <w:sz w:val="22"/>
                <w:szCs w:val="22"/>
              </w:rPr>
            </w:pPr>
            <w:r w:rsidRPr="003E3B79">
              <w:rPr>
                <w:rFonts w:asciiTheme="majorHAnsi" w:hAnsiTheme="majorHAnsi"/>
                <w:sz w:val="22"/>
                <w:szCs w:val="22"/>
              </w:rPr>
              <w:t>Proyecto 1: Aplicación de la supervisión basada en riesgos (SBR)</w:t>
            </w:r>
          </w:p>
          <w:p w14:paraId="11697E0A" w14:textId="77777777" w:rsidR="00CF1722" w:rsidRPr="003E3B79" w:rsidRDefault="00CF1722" w:rsidP="0003441B">
            <w:pPr>
              <w:ind w:left="1162" w:hanging="1162"/>
              <w:rPr>
                <w:rFonts w:asciiTheme="majorHAnsi" w:hAnsiTheme="majorHAnsi"/>
                <w:sz w:val="22"/>
                <w:szCs w:val="22"/>
              </w:rPr>
            </w:pPr>
            <w:r w:rsidRPr="003E3B79">
              <w:rPr>
                <w:rFonts w:asciiTheme="majorHAnsi" w:hAnsiTheme="majorHAnsi"/>
                <w:sz w:val="22"/>
                <w:szCs w:val="22"/>
              </w:rPr>
              <w:t>Proyecto 2: Reglamento de inversiones</w:t>
            </w:r>
          </w:p>
          <w:p w14:paraId="1C26A784" w14:textId="77777777" w:rsidR="00CF1722" w:rsidRPr="003E3B79" w:rsidRDefault="00CF1722" w:rsidP="0003441B">
            <w:pPr>
              <w:ind w:left="1162" w:hanging="1162"/>
              <w:rPr>
                <w:rFonts w:asciiTheme="majorHAnsi" w:hAnsiTheme="majorHAnsi"/>
                <w:sz w:val="22"/>
                <w:szCs w:val="22"/>
              </w:rPr>
            </w:pPr>
            <w:r w:rsidRPr="003E3B79">
              <w:rPr>
                <w:rFonts w:asciiTheme="majorHAnsi" w:hAnsiTheme="majorHAnsi"/>
                <w:sz w:val="22"/>
                <w:szCs w:val="22"/>
              </w:rPr>
              <w:t xml:space="preserve">Proyecto 3: Reducción de costos innecesarios de la industria </w:t>
            </w:r>
          </w:p>
          <w:p w14:paraId="0839F452" w14:textId="77777777" w:rsidR="00CF1722" w:rsidRPr="003E3B79" w:rsidRDefault="00CF1722" w:rsidP="0003441B">
            <w:pPr>
              <w:ind w:left="1162" w:hanging="1162"/>
              <w:jc w:val="both"/>
              <w:rPr>
                <w:rFonts w:asciiTheme="majorHAnsi" w:hAnsiTheme="majorHAnsi"/>
                <w:sz w:val="22"/>
                <w:szCs w:val="22"/>
              </w:rPr>
            </w:pPr>
            <w:r w:rsidRPr="003E3B79">
              <w:rPr>
                <w:rFonts w:asciiTheme="majorHAnsi" w:hAnsiTheme="majorHAnsi"/>
                <w:sz w:val="22"/>
                <w:szCs w:val="22"/>
              </w:rPr>
              <w:t>Proyecto 4: Revisión de la normativa emitida</w:t>
            </w:r>
          </w:p>
          <w:p w14:paraId="75462963" w14:textId="77777777" w:rsidR="00CF1722" w:rsidRPr="003E3B79" w:rsidRDefault="00CF1722" w:rsidP="0003441B">
            <w:pPr>
              <w:ind w:left="1162" w:hanging="1162"/>
              <w:jc w:val="both"/>
              <w:rPr>
                <w:rFonts w:asciiTheme="majorHAnsi" w:hAnsiTheme="majorHAnsi"/>
                <w:sz w:val="22"/>
                <w:szCs w:val="22"/>
              </w:rPr>
            </w:pPr>
            <w:r w:rsidRPr="003E3B79">
              <w:rPr>
                <w:rFonts w:asciiTheme="majorHAnsi" w:hAnsiTheme="majorHAnsi"/>
                <w:sz w:val="22"/>
                <w:szCs w:val="22"/>
              </w:rPr>
              <w:lastRenderedPageBreak/>
              <w:t>Proyecto 5: Marco sancionatorio</w:t>
            </w:r>
          </w:p>
          <w:p w14:paraId="20616F35" w14:textId="4F99A66A" w:rsidR="0066771F" w:rsidRPr="003E3B79" w:rsidRDefault="0003441B" w:rsidP="00C8760A">
            <w:pPr>
              <w:ind w:left="1162" w:hanging="1162"/>
              <w:jc w:val="both"/>
              <w:rPr>
                <w:rFonts w:asciiTheme="majorHAnsi" w:hAnsiTheme="majorHAnsi"/>
                <w:sz w:val="22"/>
                <w:szCs w:val="22"/>
              </w:rPr>
            </w:pPr>
            <w:r w:rsidRPr="003E3B79">
              <w:rPr>
                <w:rFonts w:asciiTheme="majorHAnsi" w:hAnsiTheme="majorHAnsi"/>
                <w:sz w:val="22"/>
                <w:szCs w:val="22"/>
              </w:rPr>
              <w:t>Proyecto 6: Potestades de supervisión</w:t>
            </w:r>
          </w:p>
        </w:tc>
      </w:tr>
      <w:tr w:rsidR="00CF1722" w:rsidRPr="002829A2" w14:paraId="09876374" w14:textId="77777777" w:rsidTr="00A61D48">
        <w:trPr>
          <w:trHeight w:val="737"/>
          <w:jc w:val="center"/>
        </w:trPr>
        <w:tc>
          <w:tcPr>
            <w:tcW w:w="3397" w:type="dxa"/>
            <w:shd w:val="clear" w:color="auto" w:fill="auto"/>
            <w:vAlign w:val="center"/>
          </w:tcPr>
          <w:p w14:paraId="30EED607" w14:textId="7148D52F" w:rsidR="00CF1722" w:rsidRPr="003E3B79" w:rsidRDefault="00CF1722" w:rsidP="00C8760A">
            <w:pPr>
              <w:rPr>
                <w:rFonts w:asciiTheme="majorHAnsi" w:hAnsiTheme="majorHAnsi"/>
                <w:b/>
                <w:sz w:val="22"/>
                <w:szCs w:val="22"/>
              </w:rPr>
            </w:pPr>
            <w:r w:rsidRPr="003E3B79">
              <w:rPr>
                <w:rFonts w:asciiTheme="majorHAnsi" w:hAnsiTheme="majorHAnsi"/>
                <w:b/>
                <w:sz w:val="22"/>
                <w:szCs w:val="22"/>
              </w:rPr>
              <w:lastRenderedPageBreak/>
              <w:t>Fortalecer el sistema de pensiones y ahorro laboral</w:t>
            </w:r>
          </w:p>
        </w:tc>
        <w:tc>
          <w:tcPr>
            <w:tcW w:w="5397" w:type="dxa"/>
            <w:shd w:val="clear" w:color="auto" w:fill="auto"/>
            <w:vAlign w:val="center"/>
          </w:tcPr>
          <w:p w14:paraId="096AFED6" w14:textId="10E9EAF5" w:rsidR="00C8760A" w:rsidRPr="003E3B79" w:rsidRDefault="00C8760A" w:rsidP="00C8760A">
            <w:pPr>
              <w:ind w:left="1162" w:hanging="1162"/>
              <w:rPr>
                <w:rFonts w:asciiTheme="majorHAnsi" w:hAnsiTheme="majorHAnsi"/>
                <w:sz w:val="22"/>
                <w:szCs w:val="22"/>
              </w:rPr>
            </w:pPr>
            <w:r w:rsidRPr="003E3B79">
              <w:rPr>
                <w:rFonts w:asciiTheme="majorHAnsi" w:hAnsiTheme="majorHAnsi"/>
                <w:sz w:val="22"/>
                <w:szCs w:val="22"/>
              </w:rPr>
              <w:t>Proyecto 7: Coordinación de un dialogo nacional de temas previsionales</w:t>
            </w:r>
          </w:p>
          <w:p w14:paraId="0FA5AC6B" w14:textId="1303EB72" w:rsidR="00C8760A" w:rsidRPr="003E3B79" w:rsidRDefault="00C8760A" w:rsidP="00C8760A">
            <w:pPr>
              <w:ind w:left="1162" w:hanging="1162"/>
              <w:rPr>
                <w:rFonts w:asciiTheme="majorHAnsi" w:hAnsiTheme="majorHAnsi"/>
                <w:sz w:val="22"/>
                <w:szCs w:val="22"/>
              </w:rPr>
            </w:pPr>
            <w:r w:rsidRPr="003E3B79">
              <w:rPr>
                <w:rFonts w:asciiTheme="majorHAnsi" w:hAnsiTheme="majorHAnsi"/>
                <w:sz w:val="22"/>
                <w:szCs w:val="22"/>
              </w:rPr>
              <w:t>Proyecto 8: Aumentar el ahorro previsional</w:t>
            </w:r>
          </w:p>
          <w:p w14:paraId="39E7B7EA" w14:textId="7F324449" w:rsidR="00CF1722" w:rsidRPr="003E3B79" w:rsidRDefault="00C8760A" w:rsidP="00C8760A">
            <w:pPr>
              <w:ind w:left="1162" w:hanging="1162"/>
              <w:rPr>
                <w:rFonts w:asciiTheme="majorHAnsi" w:hAnsiTheme="majorHAnsi"/>
                <w:b/>
                <w:sz w:val="22"/>
                <w:szCs w:val="22"/>
              </w:rPr>
            </w:pPr>
            <w:r w:rsidRPr="003E3B79">
              <w:rPr>
                <w:rFonts w:asciiTheme="majorHAnsi" w:hAnsiTheme="majorHAnsi"/>
                <w:sz w:val="22"/>
                <w:szCs w:val="22"/>
              </w:rPr>
              <w:t>Proyecto 9: Auxilio para el desempleo</w:t>
            </w:r>
          </w:p>
        </w:tc>
      </w:tr>
      <w:tr w:rsidR="0066771F" w:rsidRPr="002829A2" w14:paraId="46D186AB" w14:textId="77777777" w:rsidTr="00A61D48">
        <w:trPr>
          <w:jc w:val="center"/>
        </w:trPr>
        <w:tc>
          <w:tcPr>
            <w:tcW w:w="3397" w:type="dxa"/>
            <w:shd w:val="clear" w:color="auto" w:fill="auto"/>
            <w:vAlign w:val="center"/>
          </w:tcPr>
          <w:p w14:paraId="64363DE5" w14:textId="1227507B" w:rsidR="0066771F" w:rsidRPr="003E3B79" w:rsidRDefault="00847AA7" w:rsidP="00C8760A">
            <w:pPr>
              <w:rPr>
                <w:rFonts w:asciiTheme="majorHAnsi" w:hAnsiTheme="majorHAnsi"/>
                <w:b/>
                <w:sz w:val="22"/>
                <w:szCs w:val="22"/>
              </w:rPr>
            </w:pPr>
            <w:r w:rsidRPr="003E3B79">
              <w:rPr>
                <w:rFonts w:asciiTheme="majorHAnsi" w:hAnsiTheme="majorHAnsi"/>
                <w:b/>
                <w:sz w:val="22"/>
                <w:szCs w:val="22"/>
              </w:rPr>
              <w:t>Empoderar al afiliado</w:t>
            </w:r>
          </w:p>
        </w:tc>
        <w:tc>
          <w:tcPr>
            <w:tcW w:w="5397" w:type="dxa"/>
            <w:shd w:val="clear" w:color="auto" w:fill="auto"/>
            <w:vAlign w:val="center"/>
          </w:tcPr>
          <w:p w14:paraId="5C82FAF3" w14:textId="4672A0AD" w:rsidR="00C8760A" w:rsidRPr="003E3B79" w:rsidRDefault="00C8760A" w:rsidP="00C8760A">
            <w:pPr>
              <w:rPr>
                <w:rFonts w:asciiTheme="majorHAnsi" w:hAnsiTheme="majorHAnsi"/>
                <w:sz w:val="22"/>
                <w:szCs w:val="22"/>
              </w:rPr>
            </w:pPr>
            <w:r w:rsidRPr="003E3B79">
              <w:rPr>
                <w:rFonts w:asciiTheme="majorHAnsi" w:hAnsiTheme="majorHAnsi"/>
                <w:sz w:val="22"/>
                <w:szCs w:val="22"/>
              </w:rPr>
              <w:t>Proyecto 10: Reglamento de disciplina de mercado</w:t>
            </w:r>
          </w:p>
          <w:p w14:paraId="35C25E51" w14:textId="09A400E8" w:rsidR="00C8760A" w:rsidRPr="003E3B79" w:rsidRDefault="00C8760A" w:rsidP="00C8760A">
            <w:pPr>
              <w:rPr>
                <w:rFonts w:asciiTheme="majorHAnsi" w:hAnsiTheme="majorHAnsi"/>
                <w:sz w:val="22"/>
                <w:szCs w:val="22"/>
              </w:rPr>
            </w:pPr>
            <w:r w:rsidRPr="003E3B79">
              <w:rPr>
                <w:rFonts w:asciiTheme="majorHAnsi" w:hAnsiTheme="majorHAnsi"/>
                <w:sz w:val="22"/>
                <w:szCs w:val="22"/>
              </w:rPr>
              <w:t>Proyecto 11: Reglamento de productos autorizados</w:t>
            </w:r>
          </w:p>
          <w:p w14:paraId="45E7F5D9" w14:textId="76430AD8" w:rsidR="00C8760A" w:rsidRPr="003E3B79" w:rsidRDefault="00C8760A" w:rsidP="00C8760A">
            <w:pPr>
              <w:jc w:val="both"/>
              <w:rPr>
                <w:rFonts w:asciiTheme="majorHAnsi" w:hAnsiTheme="majorHAnsi"/>
                <w:sz w:val="22"/>
                <w:szCs w:val="22"/>
              </w:rPr>
            </w:pPr>
            <w:r w:rsidRPr="003E3B79">
              <w:rPr>
                <w:rFonts w:asciiTheme="majorHAnsi" w:hAnsiTheme="majorHAnsi"/>
                <w:sz w:val="22"/>
                <w:szCs w:val="22"/>
              </w:rPr>
              <w:t>Proyecto 12: Expediente previsional</w:t>
            </w:r>
          </w:p>
          <w:p w14:paraId="38855758" w14:textId="508708C2" w:rsidR="00C8760A" w:rsidRPr="003E3B79" w:rsidRDefault="00C8760A" w:rsidP="00C8760A">
            <w:pPr>
              <w:rPr>
                <w:rFonts w:asciiTheme="majorHAnsi" w:hAnsiTheme="majorHAnsi"/>
                <w:sz w:val="22"/>
                <w:szCs w:val="22"/>
              </w:rPr>
            </w:pPr>
            <w:r w:rsidRPr="003E3B79">
              <w:rPr>
                <w:rFonts w:asciiTheme="majorHAnsi" w:hAnsiTheme="majorHAnsi"/>
                <w:sz w:val="22"/>
                <w:szCs w:val="22"/>
              </w:rPr>
              <w:t>Proyecto 13: Afiliación automática</w:t>
            </w:r>
          </w:p>
          <w:p w14:paraId="0C662CCE" w14:textId="4D5769B5" w:rsidR="0066771F" w:rsidRPr="003E3B79" w:rsidRDefault="00C8760A" w:rsidP="00CF1722">
            <w:pPr>
              <w:rPr>
                <w:rFonts w:asciiTheme="majorHAnsi" w:hAnsiTheme="majorHAnsi"/>
                <w:sz w:val="22"/>
                <w:szCs w:val="22"/>
              </w:rPr>
            </w:pPr>
            <w:r w:rsidRPr="003E3B79">
              <w:rPr>
                <w:rFonts w:asciiTheme="majorHAnsi" w:hAnsiTheme="majorHAnsi"/>
                <w:sz w:val="22"/>
                <w:szCs w:val="22"/>
              </w:rPr>
              <w:t>Proyecto 14: Simplificación de Trámites</w:t>
            </w:r>
          </w:p>
        </w:tc>
      </w:tr>
    </w:tbl>
    <w:p w14:paraId="77FEB459" w14:textId="77777777" w:rsidR="00CC78A7" w:rsidRPr="002829A2" w:rsidRDefault="00CC78A7" w:rsidP="002E74D0">
      <w:pPr>
        <w:autoSpaceDE w:val="0"/>
        <w:autoSpaceDN w:val="0"/>
        <w:adjustRightInd w:val="0"/>
        <w:rPr>
          <w:rFonts w:asciiTheme="majorHAnsi" w:hAnsiTheme="majorHAnsi" w:cs="Arial"/>
          <w:sz w:val="22"/>
          <w:szCs w:val="22"/>
        </w:rPr>
      </w:pPr>
    </w:p>
    <w:p w14:paraId="06A94A15" w14:textId="77777777" w:rsidR="005C6E61" w:rsidRPr="00060053" w:rsidRDefault="005C6E61" w:rsidP="002E74D0">
      <w:pPr>
        <w:ind w:left="360"/>
        <w:rPr>
          <w:rFonts w:asciiTheme="majorHAnsi" w:hAnsiTheme="majorHAnsi"/>
          <w:b/>
          <w:sz w:val="22"/>
          <w:szCs w:val="22"/>
        </w:rPr>
      </w:pPr>
    </w:p>
    <w:p w14:paraId="06A94A16" w14:textId="59B7168E" w:rsidR="008E29AF" w:rsidRPr="00A61D48" w:rsidRDefault="007D66B7" w:rsidP="007D66B7">
      <w:pPr>
        <w:pStyle w:val="Ttulo2"/>
        <w:tabs>
          <w:tab w:val="clear" w:pos="360"/>
        </w:tabs>
        <w:rPr>
          <w:rFonts w:asciiTheme="majorHAnsi" w:hAnsiTheme="majorHAnsi"/>
          <w:sz w:val="22"/>
          <w:szCs w:val="22"/>
        </w:rPr>
      </w:pPr>
      <w:bookmarkStart w:id="40" w:name="_Toc429563196"/>
      <w:r w:rsidRPr="00A61D48">
        <w:rPr>
          <w:rFonts w:asciiTheme="majorHAnsi" w:hAnsiTheme="majorHAnsi"/>
          <w:bCs/>
          <w:sz w:val="22"/>
          <w:szCs w:val="22"/>
        </w:rPr>
        <w:t xml:space="preserve">1.3 </w:t>
      </w:r>
      <w:r w:rsidRPr="00A61D48">
        <w:rPr>
          <w:rFonts w:asciiTheme="majorHAnsi" w:hAnsiTheme="majorHAnsi"/>
          <w:bCs/>
          <w:sz w:val="22"/>
          <w:szCs w:val="22"/>
        </w:rPr>
        <w:tab/>
      </w:r>
      <w:r w:rsidR="001B68DD" w:rsidRPr="00A61D48">
        <w:rPr>
          <w:rFonts w:asciiTheme="majorHAnsi" w:hAnsiTheme="majorHAnsi"/>
          <w:bCs/>
          <w:sz w:val="22"/>
          <w:szCs w:val="22"/>
        </w:rPr>
        <w:t xml:space="preserve">Matriz </w:t>
      </w:r>
      <w:r w:rsidR="007D531F" w:rsidRPr="00A61D48">
        <w:rPr>
          <w:rFonts w:asciiTheme="majorHAnsi" w:hAnsiTheme="majorHAnsi"/>
          <w:bCs/>
          <w:sz w:val="22"/>
          <w:szCs w:val="22"/>
        </w:rPr>
        <w:t>de Articulación de Plan Presupuesto</w:t>
      </w:r>
      <w:r w:rsidR="001B68DD" w:rsidRPr="00A61D48">
        <w:rPr>
          <w:rFonts w:asciiTheme="majorHAnsi" w:hAnsiTheme="majorHAnsi"/>
          <w:bCs/>
          <w:sz w:val="22"/>
          <w:szCs w:val="22"/>
        </w:rPr>
        <w:t xml:space="preserve"> (MAP</w:t>
      </w:r>
      <w:r w:rsidR="007D531F" w:rsidRPr="00A61D48">
        <w:rPr>
          <w:rFonts w:asciiTheme="majorHAnsi" w:hAnsiTheme="majorHAnsi"/>
          <w:bCs/>
          <w:sz w:val="22"/>
          <w:szCs w:val="22"/>
        </w:rPr>
        <w:t>P</w:t>
      </w:r>
      <w:r w:rsidR="001B68DD" w:rsidRPr="00A61D48">
        <w:rPr>
          <w:rFonts w:asciiTheme="majorHAnsi" w:hAnsiTheme="majorHAnsi"/>
          <w:bCs/>
          <w:sz w:val="22"/>
          <w:szCs w:val="22"/>
        </w:rPr>
        <w:t>)</w:t>
      </w:r>
      <w:r w:rsidR="009D034C" w:rsidRPr="00A61D48">
        <w:rPr>
          <w:rFonts w:asciiTheme="majorHAnsi" w:hAnsiTheme="majorHAnsi"/>
          <w:sz w:val="22"/>
          <w:szCs w:val="22"/>
        </w:rPr>
        <w:t>.</w:t>
      </w:r>
      <w:bookmarkEnd w:id="40"/>
    </w:p>
    <w:p w14:paraId="06A94A17" w14:textId="77777777" w:rsidR="009D034C" w:rsidRPr="00A61D48" w:rsidRDefault="009D034C" w:rsidP="002E74D0">
      <w:pPr>
        <w:rPr>
          <w:rFonts w:asciiTheme="majorHAnsi" w:hAnsiTheme="majorHAnsi"/>
          <w:b/>
          <w:sz w:val="22"/>
          <w:szCs w:val="22"/>
        </w:rPr>
      </w:pPr>
    </w:p>
    <w:p w14:paraId="53D5D9DA" w14:textId="77777777" w:rsidR="00864AE7" w:rsidRPr="00A61D48" w:rsidRDefault="00F53525" w:rsidP="002E74D0">
      <w:pPr>
        <w:spacing w:before="120"/>
        <w:ind w:left="709"/>
        <w:jc w:val="both"/>
        <w:rPr>
          <w:rFonts w:asciiTheme="majorHAnsi" w:hAnsiTheme="majorHAnsi"/>
          <w:sz w:val="22"/>
          <w:szCs w:val="22"/>
          <w:lang w:val="es-CR"/>
        </w:rPr>
      </w:pPr>
      <w:r w:rsidRPr="00A61D48">
        <w:rPr>
          <w:rFonts w:asciiTheme="majorHAnsi" w:hAnsiTheme="majorHAnsi"/>
          <w:sz w:val="22"/>
          <w:szCs w:val="22"/>
          <w:lang w:val="es-CR"/>
        </w:rPr>
        <w:t>Presenta la vinculación del Plan Nacional de Desarrollo con el Plan Operativo</w:t>
      </w:r>
      <w:r w:rsidR="00CF27EE" w:rsidRPr="00A61D48">
        <w:rPr>
          <w:rFonts w:asciiTheme="majorHAnsi" w:hAnsiTheme="majorHAnsi"/>
          <w:sz w:val="22"/>
          <w:szCs w:val="22"/>
          <w:lang w:val="es-CR"/>
        </w:rPr>
        <w:t xml:space="preserve"> Ins</w:t>
      </w:r>
      <w:r w:rsidR="000823A2" w:rsidRPr="00A61D48">
        <w:rPr>
          <w:rFonts w:asciiTheme="majorHAnsi" w:hAnsiTheme="majorHAnsi"/>
          <w:sz w:val="22"/>
          <w:szCs w:val="22"/>
          <w:lang w:val="es-CR"/>
        </w:rPr>
        <w:t>t</w:t>
      </w:r>
      <w:r w:rsidR="00CF27EE" w:rsidRPr="00A61D48">
        <w:rPr>
          <w:rFonts w:asciiTheme="majorHAnsi" w:hAnsiTheme="majorHAnsi"/>
          <w:sz w:val="22"/>
          <w:szCs w:val="22"/>
          <w:lang w:val="es-CR"/>
        </w:rPr>
        <w:t>itucional</w:t>
      </w:r>
      <w:r w:rsidRPr="00A61D48">
        <w:rPr>
          <w:rFonts w:asciiTheme="majorHAnsi" w:hAnsiTheme="majorHAnsi"/>
          <w:sz w:val="22"/>
          <w:szCs w:val="22"/>
          <w:lang w:val="es-CR"/>
        </w:rPr>
        <w:t xml:space="preserve">. </w:t>
      </w:r>
    </w:p>
    <w:p w14:paraId="120681B4" w14:textId="6A57533E" w:rsidR="00D21174" w:rsidRDefault="00F53525" w:rsidP="00B429BB">
      <w:pPr>
        <w:spacing w:before="120"/>
        <w:ind w:left="709"/>
        <w:jc w:val="both"/>
        <w:rPr>
          <w:rFonts w:asciiTheme="majorHAnsi" w:hAnsiTheme="majorHAnsi"/>
          <w:sz w:val="22"/>
          <w:szCs w:val="22"/>
          <w:lang w:val="es-CR"/>
        </w:rPr>
      </w:pPr>
      <w:r w:rsidRPr="00A61D48">
        <w:rPr>
          <w:rFonts w:asciiTheme="majorHAnsi" w:hAnsiTheme="majorHAnsi"/>
          <w:sz w:val="22"/>
          <w:szCs w:val="22"/>
          <w:lang w:val="es-CR"/>
        </w:rPr>
        <w:t xml:space="preserve">(Anexo </w:t>
      </w:r>
      <w:r w:rsidR="00872DE3">
        <w:rPr>
          <w:rFonts w:asciiTheme="majorHAnsi" w:hAnsiTheme="majorHAnsi"/>
          <w:sz w:val="22"/>
          <w:szCs w:val="22"/>
          <w:lang w:val="es-CR"/>
        </w:rPr>
        <w:t>10</w:t>
      </w:r>
      <w:r w:rsidRPr="00A61D48">
        <w:rPr>
          <w:rFonts w:asciiTheme="majorHAnsi" w:hAnsiTheme="majorHAnsi"/>
          <w:sz w:val="22"/>
          <w:szCs w:val="22"/>
          <w:lang w:val="es-CR"/>
        </w:rPr>
        <w:t>)</w:t>
      </w:r>
    </w:p>
    <w:p w14:paraId="06A94A1A" w14:textId="6EFC9F7C" w:rsidR="00F53525" w:rsidRPr="00060053" w:rsidRDefault="00102607" w:rsidP="00B429BB">
      <w:pPr>
        <w:spacing w:before="120"/>
        <w:ind w:left="709"/>
        <w:jc w:val="both"/>
        <w:rPr>
          <w:rFonts w:asciiTheme="majorHAnsi" w:hAnsiTheme="majorHAnsi"/>
          <w:b/>
          <w:sz w:val="22"/>
          <w:szCs w:val="22"/>
        </w:rPr>
      </w:pPr>
      <w:r w:rsidRPr="00060053">
        <w:rPr>
          <w:rFonts w:asciiTheme="majorHAnsi" w:hAnsiTheme="majorHAnsi"/>
          <w:b/>
          <w:sz w:val="22"/>
          <w:szCs w:val="22"/>
        </w:rPr>
        <w:br w:type="page"/>
      </w:r>
    </w:p>
    <w:p w14:paraId="06A94A1B" w14:textId="77777777" w:rsidR="007D682D" w:rsidRPr="00317C42" w:rsidRDefault="00F53525" w:rsidP="001F0565">
      <w:pPr>
        <w:pStyle w:val="NormalWeb"/>
        <w:tabs>
          <w:tab w:val="left" w:pos="567"/>
        </w:tabs>
        <w:outlineLvl w:val="0"/>
        <w:rPr>
          <w:rFonts w:asciiTheme="majorHAnsi" w:hAnsiTheme="majorHAnsi" w:cs="Tahoma"/>
          <w:b/>
          <w:bCs/>
          <w:smallCaps/>
          <w:sz w:val="28"/>
        </w:rPr>
      </w:pPr>
      <w:bookmarkStart w:id="41" w:name="_Toc429563197"/>
      <w:r w:rsidRPr="00317C42">
        <w:rPr>
          <w:rFonts w:asciiTheme="majorHAnsi" w:hAnsiTheme="majorHAnsi" w:cs="Tahoma"/>
          <w:b/>
          <w:bCs/>
          <w:smallCaps/>
          <w:sz w:val="28"/>
        </w:rPr>
        <w:lastRenderedPageBreak/>
        <w:t xml:space="preserve">2. </w:t>
      </w:r>
      <w:r w:rsidR="00494AA8" w:rsidRPr="00317C42">
        <w:rPr>
          <w:rFonts w:asciiTheme="majorHAnsi" w:hAnsiTheme="majorHAnsi" w:cs="Tahoma"/>
          <w:b/>
          <w:bCs/>
          <w:smallCaps/>
          <w:sz w:val="28"/>
        </w:rPr>
        <w:tab/>
      </w:r>
      <w:r w:rsidRPr="00317C42">
        <w:rPr>
          <w:rFonts w:asciiTheme="majorHAnsi" w:hAnsiTheme="majorHAnsi" w:cs="Tahoma"/>
          <w:b/>
          <w:bCs/>
          <w:smallCaps/>
          <w:sz w:val="28"/>
        </w:rPr>
        <w:t>Plan Presupuesto</w:t>
      </w:r>
      <w:bookmarkEnd w:id="41"/>
    </w:p>
    <w:p w14:paraId="5C3BEB1C" w14:textId="69726780" w:rsidR="00024540" w:rsidRPr="00881E0A" w:rsidRDefault="008F245F" w:rsidP="00881E0A">
      <w:pPr>
        <w:pStyle w:val="NormalWeb"/>
        <w:tabs>
          <w:tab w:val="left" w:pos="567"/>
        </w:tabs>
        <w:jc w:val="both"/>
        <w:outlineLvl w:val="1"/>
        <w:rPr>
          <w:rFonts w:asciiTheme="majorHAnsi" w:hAnsiTheme="majorHAnsi" w:cs="Tahoma"/>
          <w:b/>
          <w:bCs/>
          <w:sz w:val="22"/>
          <w:szCs w:val="22"/>
          <w:lang w:val="es-ES_tradnl"/>
        </w:rPr>
      </w:pPr>
      <w:bookmarkStart w:id="42" w:name="_Toc429563198"/>
      <w:r w:rsidRPr="00881E0A">
        <w:rPr>
          <w:rFonts w:asciiTheme="majorHAnsi" w:hAnsiTheme="majorHAnsi" w:cs="Tahoma"/>
          <w:b/>
          <w:bCs/>
          <w:sz w:val="22"/>
          <w:szCs w:val="22"/>
          <w:lang w:val="es-ES_tradnl"/>
        </w:rPr>
        <w:t xml:space="preserve">2.1 </w:t>
      </w:r>
      <w:r w:rsidR="00494AA8" w:rsidRPr="00881E0A">
        <w:rPr>
          <w:rFonts w:asciiTheme="majorHAnsi" w:hAnsiTheme="majorHAnsi" w:cs="Tahoma"/>
          <w:b/>
          <w:bCs/>
          <w:sz w:val="22"/>
          <w:szCs w:val="22"/>
          <w:lang w:val="es-ES_tradnl"/>
        </w:rPr>
        <w:tab/>
      </w:r>
      <w:r w:rsidRPr="00881E0A">
        <w:rPr>
          <w:rFonts w:asciiTheme="majorHAnsi" w:hAnsiTheme="majorHAnsi" w:cs="Tahoma"/>
          <w:b/>
          <w:bCs/>
          <w:sz w:val="22"/>
          <w:szCs w:val="22"/>
          <w:lang w:val="es-ES_tradnl"/>
        </w:rPr>
        <w:t>Presentación</w:t>
      </w:r>
      <w:bookmarkEnd w:id="42"/>
    </w:p>
    <w:p w14:paraId="06A94A1D" w14:textId="08288E4D" w:rsidR="008F245F" w:rsidRPr="00060053" w:rsidRDefault="00317C42" w:rsidP="00E77FF2">
      <w:pPr>
        <w:pStyle w:val="NormalWeb"/>
        <w:jc w:val="both"/>
        <w:rPr>
          <w:rFonts w:asciiTheme="majorHAnsi" w:eastAsia="Times New Roman" w:hAnsiTheme="majorHAnsi" w:cs="Times New Roman"/>
          <w:bCs/>
          <w:sz w:val="22"/>
          <w:szCs w:val="22"/>
          <w:lang w:val="es-ES_tradnl"/>
        </w:rPr>
      </w:pPr>
      <w:r>
        <w:rPr>
          <w:rFonts w:asciiTheme="majorHAnsi" w:eastAsia="Times New Roman" w:hAnsiTheme="majorHAnsi" w:cs="Times New Roman"/>
          <w:bCs/>
          <w:sz w:val="22"/>
          <w:szCs w:val="22"/>
          <w:lang w:val="es-ES_tradnl"/>
        </w:rPr>
        <w:t>En esta sección</w:t>
      </w:r>
      <w:r w:rsidR="008F245F" w:rsidRPr="00060053">
        <w:rPr>
          <w:rFonts w:asciiTheme="majorHAnsi" w:eastAsia="Times New Roman" w:hAnsiTheme="majorHAnsi" w:cs="Times New Roman"/>
          <w:bCs/>
          <w:sz w:val="22"/>
          <w:szCs w:val="22"/>
          <w:lang w:val="es-ES_tradnl"/>
        </w:rPr>
        <w:t xml:space="preserve"> se detalla</w:t>
      </w:r>
      <w:r>
        <w:rPr>
          <w:rFonts w:asciiTheme="majorHAnsi" w:eastAsia="Times New Roman" w:hAnsiTheme="majorHAnsi" w:cs="Times New Roman"/>
          <w:bCs/>
          <w:sz w:val="22"/>
          <w:szCs w:val="22"/>
          <w:lang w:val="es-ES_tradnl"/>
        </w:rPr>
        <w:t>n</w:t>
      </w:r>
      <w:r w:rsidR="008F245F" w:rsidRPr="00060053">
        <w:rPr>
          <w:rFonts w:asciiTheme="majorHAnsi" w:eastAsia="Times New Roman" w:hAnsiTheme="majorHAnsi" w:cs="Times New Roman"/>
          <w:bCs/>
          <w:sz w:val="22"/>
          <w:szCs w:val="22"/>
          <w:lang w:val="es-ES_tradnl"/>
        </w:rPr>
        <w:t xml:space="preserve"> los </w:t>
      </w:r>
      <w:r w:rsidR="00796A66" w:rsidRPr="00060053">
        <w:rPr>
          <w:rFonts w:asciiTheme="majorHAnsi" w:eastAsia="Times New Roman" w:hAnsiTheme="majorHAnsi" w:cs="Times New Roman"/>
          <w:bCs/>
          <w:sz w:val="22"/>
          <w:szCs w:val="22"/>
          <w:lang w:val="es-ES_tradnl"/>
        </w:rPr>
        <w:t xml:space="preserve">ingresos y </w:t>
      </w:r>
      <w:r w:rsidR="008F245F" w:rsidRPr="00060053">
        <w:rPr>
          <w:rFonts w:asciiTheme="majorHAnsi" w:eastAsia="Times New Roman" w:hAnsiTheme="majorHAnsi" w:cs="Times New Roman"/>
          <w:bCs/>
          <w:sz w:val="22"/>
          <w:szCs w:val="22"/>
          <w:lang w:val="es-ES_tradnl"/>
        </w:rPr>
        <w:t xml:space="preserve">egresos presupuestados </w:t>
      </w:r>
      <w:r w:rsidR="000D3B83" w:rsidRPr="00060053">
        <w:rPr>
          <w:rFonts w:asciiTheme="majorHAnsi" w:eastAsia="Times New Roman" w:hAnsiTheme="majorHAnsi" w:cs="Times New Roman"/>
          <w:bCs/>
          <w:sz w:val="22"/>
          <w:szCs w:val="22"/>
          <w:lang w:val="es-ES_tradnl"/>
        </w:rPr>
        <w:t xml:space="preserve">para el ejercicio económico </w:t>
      </w:r>
      <w:r>
        <w:rPr>
          <w:rFonts w:asciiTheme="majorHAnsi" w:eastAsia="Times New Roman" w:hAnsiTheme="majorHAnsi" w:cs="Times New Roman"/>
          <w:bCs/>
          <w:sz w:val="22"/>
          <w:szCs w:val="22"/>
          <w:lang w:val="es-ES_tradnl"/>
        </w:rPr>
        <w:t xml:space="preserve">del año </w:t>
      </w:r>
      <w:r w:rsidR="000D3B83" w:rsidRPr="00060053">
        <w:rPr>
          <w:rFonts w:asciiTheme="majorHAnsi" w:eastAsia="Times New Roman" w:hAnsiTheme="majorHAnsi" w:cs="Times New Roman"/>
          <w:bCs/>
          <w:sz w:val="22"/>
          <w:szCs w:val="22"/>
          <w:lang w:val="es-ES_tradnl"/>
        </w:rPr>
        <w:t>20</w:t>
      </w:r>
      <w:r w:rsidR="00ED04A1" w:rsidRPr="00060053">
        <w:rPr>
          <w:rFonts w:asciiTheme="majorHAnsi" w:eastAsia="Times New Roman" w:hAnsiTheme="majorHAnsi" w:cs="Times New Roman"/>
          <w:bCs/>
          <w:sz w:val="22"/>
          <w:szCs w:val="22"/>
          <w:lang w:val="es-ES_tradnl"/>
        </w:rPr>
        <w:t>1</w:t>
      </w:r>
      <w:r w:rsidR="007B5F81">
        <w:rPr>
          <w:rFonts w:asciiTheme="majorHAnsi" w:eastAsia="Times New Roman" w:hAnsiTheme="majorHAnsi" w:cs="Times New Roman"/>
          <w:bCs/>
          <w:sz w:val="22"/>
          <w:szCs w:val="22"/>
          <w:lang w:val="es-ES_tradnl"/>
        </w:rPr>
        <w:t>7</w:t>
      </w:r>
      <w:r w:rsidR="008F245F" w:rsidRPr="00060053">
        <w:rPr>
          <w:rFonts w:asciiTheme="majorHAnsi" w:eastAsia="Times New Roman" w:hAnsiTheme="majorHAnsi" w:cs="Times New Roman"/>
          <w:bCs/>
          <w:sz w:val="22"/>
          <w:szCs w:val="22"/>
          <w:lang w:val="es-ES_tradnl"/>
        </w:rPr>
        <w:t xml:space="preserve">. Se presenta un presupuesto total </w:t>
      </w:r>
      <w:r w:rsidR="000D3B83" w:rsidRPr="00060053">
        <w:rPr>
          <w:rFonts w:asciiTheme="majorHAnsi" w:eastAsia="Times New Roman" w:hAnsiTheme="majorHAnsi" w:cs="Times New Roman"/>
          <w:bCs/>
          <w:sz w:val="22"/>
          <w:szCs w:val="22"/>
          <w:lang w:val="es-ES_tradnl"/>
        </w:rPr>
        <w:t xml:space="preserve">por la suma de </w:t>
      </w:r>
      <w:r w:rsidR="0073314E" w:rsidRPr="00060053">
        <w:rPr>
          <w:rFonts w:asciiTheme="majorHAnsi" w:eastAsia="Times New Roman" w:hAnsiTheme="majorHAnsi" w:cs="Times New Roman"/>
          <w:bCs/>
          <w:sz w:val="22"/>
          <w:szCs w:val="22"/>
          <w:lang w:val="es-ES_tradnl"/>
        </w:rPr>
        <w:t>¢</w:t>
      </w:r>
      <w:r w:rsidR="00024540">
        <w:rPr>
          <w:rFonts w:asciiTheme="majorHAnsi" w:eastAsia="Times New Roman" w:hAnsiTheme="majorHAnsi" w:cs="Times New Roman"/>
          <w:bCs/>
          <w:sz w:val="22"/>
          <w:szCs w:val="22"/>
          <w:lang w:val="es-ES_tradnl"/>
        </w:rPr>
        <w:t>5.</w:t>
      </w:r>
      <w:r w:rsidR="00F66D83">
        <w:rPr>
          <w:rFonts w:asciiTheme="majorHAnsi" w:eastAsia="Times New Roman" w:hAnsiTheme="majorHAnsi" w:cs="Times New Roman"/>
          <w:bCs/>
          <w:sz w:val="22"/>
          <w:szCs w:val="22"/>
          <w:lang w:val="es-ES_tradnl"/>
        </w:rPr>
        <w:t>191.636</w:t>
      </w:r>
      <w:r w:rsidR="00024540">
        <w:rPr>
          <w:rFonts w:asciiTheme="majorHAnsi" w:eastAsia="Times New Roman" w:hAnsiTheme="majorHAnsi" w:cs="Times New Roman"/>
          <w:bCs/>
          <w:sz w:val="22"/>
          <w:szCs w:val="22"/>
          <w:lang w:val="es-ES_tradnl"/>
        </w:rPr>
        <w:t xml:space="preserve"> </w:t>
      </w:r>
      <w:r w:rsidR="00255A0C">
        <w:rPr>
          <w:rFonts w:asciiTheme="majorHAnsi" w:eastAsia="Times New Roman" w:hAnsiTheme="majorHAnsi" w:cs="Times New Roman"/>
          <w:bCs/>
          <w:sz w:val="22"/>
          <w:szCs w:val="22"/>
          <w:lang w:val="es-ES_tradnl"/>
        </w:rPr>
        <w:t>miles de colones</w:t>
      </w:r>
      <w:r w:rsidR="00322F42" w:rsidRPr="00060053">
        <w:rPr>
          <w:rFonts w:asciiTheme="majorHAnsi" w:eastAsia="Times New Roman" w:hAnsiTheme="majorHAnsi" w:cs="Times New Roman"/>
          <w:bCs/>
          <w:sz w:val="22"/>
          <w:szCs w:val="22"/>
          <w:lang w:val="es-ES_tradnl"/>
        </w:rPr>
        <w:t>.</w:t>
      </w:r>
      <w:r w:rsidR="00255A0C">
        <w:rPr>
          <w:rFonts w:asciiTheme="majorHAnsi" w:eastAsia="Times New Roman" w:hAnsiTheme="majorHAnsi" w:cs="Times New Roman"/>
          <w:bCs/>
          <w:sz w:val="22"/>
          <w:szCs w:val="22"/>
          <w:lang w:val="es-ES_tradnl"/>
        </w:rPr>
        <w:t xml:space="preserve"> </w:t>
      </w:r>
      <w:r w:rsidR="002C74D0" w:rsidRPr="00060053">
        <w:rPr>
          <w:rFonts w:asciiTheme="majorHAnsi" w:eastAsia="Times New Roman" w:hAnsiTheme="majorHAnsi" w:cs="Times New Roman"/>
          <w:bCs/>
          <w:sz w:val="22"/>
          <w:szCs w:val="22"/>
          <w:lang w:val="es-ES_tradnl"/>
        </w:rPr>
        <w:t>C</w:t>
      </w:r>
      <w:r w:rsidR="00796A66" w:rsidRPr="00060053">
        <w:rPr>
          <w:rFonts w:asciiTheme="majorHAnsi" w:eastAsia="Times New Roman" w:hAnsiTheme="majorHAnsi" w:cs="Times New Roman"/>
          <w:bCs/>
          <w:sz w:val="22"/>
          <w:szCs w:val="22"/>
          <w:lang w:val="es-ES_tradnl"/>
        </w:rPr>
        <w:t xml:space="preserve">on estos recursos </w:t>
      </w:r>
      <w:r w:rsidR="002C74D0" w:rsidRPr="00060053">
        <w:rPr>
          <w:rFonts w:asciiTheme="majorHAnsi" w:eastAsia="Times New Roman" w:hAnsiTheme="majorHAnsi" w:cs="Times New Roman"/>
          <w:bCs/>
          <w:sz w:val="22"/>
          <w:szCs w:val="22"/>
          <w:lang w:val="es-ES_tradnl"/>
        </w:rPr>
        <w:t xml:space="preserve">la administración </w:t>
      </w:r>
      <w:r w:rsidR="00A77768" w:rsidRPr="00060053">
        <w:rPr>
          <w:rFonts w:asciiTheme="majorHAnsi" w:eastAsia="Times New Roman" w:hAnsiTheme="majorHAnsi" w:cs="Times New Roman"/>
          <w:bCs/>
          <w:sz w:val="22"/>
          <w:szCs w:val="22"/>
          <w:lang w:val="es-ES_tradnl"/>
        </w:rPr>
        <w:t>procura</w:t>
      </w:r>
      <w:r w:rsidR="00796A66" w:rsidRPr="00060053">
        <w:rPr>
          <w:rFonts w:asciiTheme="majorHAnsi" w:eastAsia="Times New Roman" w:hAnsiTheme="majorHAnsi" w:cs="Times New Roman"/>
          <w:bCs/>
          <w:sz w:val="22"/>
          <w:szCs w:val="22"/>
          <w:lang w:val="es-ES_tradnl"/>
        </w:rPr>
        <w:t xml:space="preserve"> institucionalmente cumplir con lo establecido en la misión y visión</w:t>
      </w:r>
      <w:r w:rsidR="006E7FC2">
        <w:rPr>
          <w:rFonts w:asciiTheme="majorHAnsi" w:eastAsia="Times New Roman" w:hAnsiTheme="majorHAnsi" w:cs="Times New Roman"/>
          <w:bCs/>
          <w:sz w:val="22"/>
          <w:szCs w:val="22"/>
          <w:lang w:val="es-ES_tradnl"/>
        </w:rPr>
        <w:t>,</w:t>
      </w:r>
      <w:r w:rsidR="00796A66" w:rsidRPr="00060053">
        <w:rPr>
          <w:rFonts w:asciiTheme="majorHAnsi" w:eastAsia="Times New Roman" w:hAnsiTheme="majorHAnsi" w:cs="Times New Roman"/>
          <w:bCs/>
          <w:sz w:val="22"/>
          <w:szCs w:val="22"/>
          <w:lang w:val="es-ES_tradnl"/>
        </w:rPr>
        <w:t xml:space="preserve"> </w:t>
      </w:r>
      <w:r w:rsidR="000D3B83" w:rsidRPr="00060053">
        <w:rPr>
          <w:rFonts w:asciiTheme="majorHAnsi" w:eastAsia="Times New Roman" w:hAnsiTheme="majorHAnsi" w:cs="Times New Roman"/>
          <w:bCs/>
          <w:sz w:val="22"/>
          <w:szCs w:val="22"/>
          <w:lang w:val="es-ES_tradnl"/>
        </w:rPr>
        <w:t xml:space="preserve">y por ende ejecutar </w:t>
      </w:r>
      <w:r w:rsidR="006E7FC2">
        <w:rPr>
          <w:rFonts w:asciiTheme="majorHAnsi" w:eastAsia="Times New Roman" w:hAnsiTheme="majorHAnsi" w:cs="Times New Roman"/>
          <w:bCs/>
          <w:sz w:val="22"/>
          <w:szCs w:val="22"/>
          <w:lang w:val="es-ES_tradnl"/>
        </w:rPr>
        <w:t xml:space="preserve">a cabalidad </w:t>
      </w:r>
      <w:r w:rsidR="000D3B83" w:rsidRPr="00060053">
        <w:rPr>
          <w:rFonts w:asciiTheme="majorHAnsi" w:eastAsia="Times New Roman" w:hAnsiTheme="majorHAnsi" w:cs="Times New Roman"/>
          <w:bCs/>
          <w:sz w:val="22"/>
          <w:szCs w:val="22"/>
          <w:lang w:val="es-ES_tradnl"/>
        </w:rPr>
        <w:t xml:space="preserve">las obligaciones </w:t>
      </w:r>
      <w:r w:rsidR="00AD152A">
        <w:rPr>
          <w:rFonts w:asciiTheme="majorHAnsi" w:eastAsia="Times New Roman" w:hAnsiTheme="majorHAnsi" w:cs="Times New Roman"/>
          <w:bCs/>
          <w:sz w:val="22"/>
          <w:szCs w:val="22"/>
          <w:lang w:val="es-ES_tradnl"/>
        </w:rPr>
        <w:t>encomendadas</w:t>
      </w:r>
      <w:r w:rsidR="000D3B83" w:rsidRPr="00060053">
        <w:rPr>
          <w:rFonts w:asciiTheme="majorHAnsi" w:eastAsia="Times New Roman" w:hAnsiTheme="majorHAnsi" w:cs="Times New Roman"/>
          <w:bCs/>
          <w:sz w:val="22"/>
          <w:szCs w:val="22"/>
          <w:lang w:val="es-ES_tradnl"/>
        </w:rPr>
        <w:t xml:space="preserve"> por Ley</w:t>
      </w:r>
      <w:r w:rsidR="00796A66" w:rsidRPr="00060053">
        <w:rPr>
          <w:rFonts w:asciiTheme="majorHAnsi" w:eastAsia="Times New Roman" w:hAnsiTheme="majorHAnsi" w:cs="Times New Roman"/>
          <w:bCs/>
          <w:sz w:val="22"/>
          <w:szCs w:val="22"/>
          <w:lang w:val="es-ES_tradnl"/>
        </w:rPr>
        <w:t>.</w:t>
      </w:r>
    </w:p>
    <w:p w14:paraId="06A94A1E" w14:textId="19EDBE57" w:rsidR="00593CE2" w:rsidRPr="00060053" w:rsidRDefault="00BA3407" w:rsidP="0048130B">
      <w:pPr>
        <w:pStyle w:val="NormalWeb"/>
        <w:tabs>
          <w:tab w:val="left" w:pos="567"/>
        </w:tabs>
        <w:jc w:val="both"/>
        <w:outlineLvl w:val="1"/>
        <w:rPr>
          <w:rFonts w:asciiTheme="majorHAnsi" w:hAnsiTheme="majorHAnsi" w:cs="Tahoma"/>
          <w:b/>
          <w:bCs/>
          <w:sz w:val="22"/>
          <w:szCs w:val="22"/>
        </w:rPr>
      </w:pPr>
      <w:bookmarkStart w:id="43" w:name="_Toc429563199"/>
      <w:r w:rsidRPr="00060053">
        <w:rPr>
          <w:rFonts w:asciiTheme="majorHAnsi" w:hAnsiTheme="majorHAnsi" w:cs="Tahoma"/>
          <w:b/>
          <w:bCs/>
          <w:sz w:val="22"/>
          <w:szCs w:val="22"/>
          <w:lang w:val="es-ES_tradnl"/>
        </w:rPr>
        <w:t>2.2</w:t>
      </w:r>
      <w:r w:rsidR="00494AA8">
        <w:rPr>
          <w:rFonts w:asciiTheme="majorHAnsi" w:hAnsiTheme="majorHAnsi" w:cs="Tahoma"/>
          <w:b/>
          <w:bCs/>
          <w:sz w:val="22"/>
          <w:szCs w:val="22"/>
          <w:lang w:val="es-ES_tradnl"/>
        </w:rPr>
        <w:tab/>
      </w:r>
      <w:r w:rsidR="00593CE2" w:rsidRPr="00060053">
        <w:rPr>
          <w:rFonts w:asciiTheme="majorHAnsi" w:hAnsiTheme="majorHAnsi" w:cs="Tahoma"/>
          <w:b/>
          <w:bCs/>
          <w:sz w:val="22"/>
          <w:szCs w:val="22"/>
        </w:rPr>
        <w:t>Directrices para la Formulación</w:t>
      </w:r>
      <w:r w:rsidR="000872B6" w:rsidRPr="00060053">
        <w:rPr>
          <w:rFonts w:asciiTheme="majorHAnsi" w:hAnsiTheme="majorHAnsi" w:cs="Tahoma"/>
          <w:b/>
          <w:bCs/>
          <w:sz w:val="22"/>
          <w:szCs w:val="22"/>
        </w:rPr>
        <w:t xml:space="preserve"> del P</w:t>
      </w:r>
      <w:r w:rsidR="00593CE2" w:rsidRPr="00060053">
        <w:rPr>
          <w:rFonts w:asciiTheme="majorHAnsi" w:hAnsiTheme="majorHAnsi" w:cs="Tahoma"/>
          <w:b/>
          <w:bCs/>
          <w:sz w:val="22"/>
          <w:szCs w:val="22"/>
        </w:rPr>
        <w:t>O</w:t>
      </w:r>
      <w:r w:rsidR="000872B6" w:rsidRPr="00060053">
        <w:rPr>
          <w:rFonts w:asciiTheme="majorHAnsi" w:hAnsiTheme="majorHAnsi" w:cs="Tahoma"/>
          <w:b/>
          <w:bCs/>
          <w:sz w:val="22"/>
          <w:szCs w:val="22"/>
        </w:rPr>
        <w:t xml:space="preserve">I </w:t>
      </w:r>
      <w:r w:rsidR="00593CE2" w:rsidRPr="00060053">
        <w:rPr>
          <w:rFonts w:asciiTheme="majorHAnsi" w:hAnsiTheme="majorHAnsi" w:cs="Tahoma"/>
          <w:b/>
          <w:bCs/>
          <w:sz w:val="22"/>
          <w:szCs w:val="22"/>
        </w:rPr>
        <w:t>-Presupuesto</w:t>
      </w:r>
      <w:bookmarkEnd w:id="43"/>
    </w:p>
    <w:p w14:paraId="06A94A1F" w14:textId="7E0E5690" w:rsidR="00593CE2" w:rsidRPr="00060053" w:rsidRDefault="00593CE2" w:rsidP="00E77FF2">
      <w:pPr>
        <w:pStyle w:val="NormalWeb"/>
        <w:jc w:val="both"/>
        <w:rPr>
          <w:rFonts w:asciiTheme="majorHAnsi" w:eastAsia="Times New Roman" w:hAnsiTheme="majorHAnsi" w:cs="Times New Roman"/>
          <w:bCs/>
          <w:sz w:val="22"/>
          <w:szCs w:val="22"/>
        </w:rPr>
      </w:pPr>
      <w:r w:rsidRPr="00060053">
        <w:rPr>
          <w:rFonts w:asciiTheme="majorHAnsi" w:eastAsia="Times New Roman" w:hAnsiTheme="majorHAnsi" w:cs="Times New Roman"/>
          <w:bCs/>
          <w:sz w:val="22"/>
          <w:szCs w:val="22"/>
        </w:rPr>
        <w:t>En la sección “Documentos” se adjunta una copia de los directrices dictadas por el CONASSIF y aprobadas por la Junta Directiva del Banco Central de Costa Rica</w:t>
      </w:r>
      <w:r w:rsidR="009E25B5" w:rsidRPr="00060053">
        <w:rPr>
          <w:rFonts w:asciiTheme="majorHAnsi" w:eastAsia="Times New Roman" w:hAnsiTheme="majorHAnsi" w:cs="Times New Roman"/>
          <w:bCs/>
          <w:sz w:val="22"/>
          <w:szCs w:val="22"/>
        </w:rPr>
        <w:t>, relacionadas con</w:t>
      </w:r>
      <w:r w:rsidR="000872B6" w:rsidRPr="00060053">
        <w:rPr>
          <w:rFonts w:asciiTheme="majorHAnsi" w:eastAsia="Times New Roman" w:hAnsiTheme="majorHAnsi" w:cs="Times New Roman"/>
          <w:bCs/>
          <w:sz w:val="22"/>
          <w:szCs w:val="22"/>
        </w:rPr>
        <w:t xml:space="preserve"> la formulación del P</w:t>
      </w:r>
      <w:r w:rsidRPr="00060053">
        <w:rPr>
          <w:rFonts w:asciiTheme="majorHAnsi" w:eastAsia="Times New Roman" w:hAnsiTheme="majorHAnsi" w:cs="Times New Roman"/>
          <w:bCs/>
          <w:sz w:val="22"/>
          <w:szCs w:val="22"/>
        </w:rPr>
        <w:t>O</w:t>
      </w:r>
      <w:r w:rsidR="000872B6" w:rsidRPr="00060053">
        <w:rPr>
          <w:rFonts w:asciiTheme="majorHAnsi" w:eastAsia="Times New Roman" w:hAnsiTheme="majorHAnsi" w:cs="Times New Roman"/>
          <w:bCs/>
          <w:sz w:val="22"/>
          <w:szCs w:val="22"/>
        </w:rPr>
        <w:t xml:space="preserve">I </w:t>
      </w:r>
      <w:r w:rsidRPr="00060053">
        <w:rPr>
          <w:rFonts w:asciiTheme="majorHAnsi" w:eastAsia="Times New Roman" w:hAnsiTheme="majorHAnsi" w:cs="Times New Roman"/>
          <w:bCs/>
          <w:sz w:val="22"/>
          <w:szCs w:val="22"/>
        </w:rPr>
        <w:t>-Presupuesto para el</w:t>
      </w:r>
      <w:r w:rsidR="000D3B83" w:rsidRPr="00060053">
        <w:rPr>
          <w:rFonts w:asciiTheme="majorHAnsi" w:eastAsia="Times New Roman" w:hAnsiTheme="majorHAnsi" w:cs="Times New Roman"/>
          <w:bCs/>
          <w:sz w:val="22"/>
          <w:szCs w:val="22"/>
        </w:rPr>
        <w:t xml:space="preserve"> año 20</w:t>
      </w:r>
      <w:r w:rsidR="00ED04A1" w:rsidRPr="00060053">
        <w:rPr>
          <w:rFonts w:asciiTheme="majorHAnsi" w:eastAsia="Times New Roman" w:hAnsiTheme="majorHAnsi" w:cs="Times New Roman"/>
          <w:bCs/>
          <w:sz w:val="22"/>
          <w:szCs w:val="22"/>
        </w:rPr>
        <w:t>1</w:t>
      </w:r>
      <w:r w:rsidR="00F01972">
        <w:rPr>
          <w:rFonts w:asciiTheme="majorHAnsi" w:eastAsia="Times New Roman" w:hAnsiTheme="majorHAnsi" w:cs="Times New Roman"/>
          <w:bCs/>
          <w:sz w:val="22"/>
          <w:szCs w:val="22"/>
        </w:rPr>
        <w:t>7</w:t>
      </w:r>
      <w:r w:rsidR="00024540">
        <w:rPr>
          <w:rFonts w:asciiTheme="majorHAnsi" w:eastAsia="Times New Roman" w:hAnsiTheme="majorHAnsi" w:cs="Times New Roman"/>
          <w:bCs/>
          <w:sz w:val="22"/>
          <w:szCs w:val="22"/>
        </w:rPr>
        <w:t>, la cuales fueron tomadas en consideración durante todo el proceso de formulación</w:t>
      </w:r>
      <w:r w:rsidRPr="00060053">
        <w:rPr>
          <w:rFonts w:asciiTheme="majorHAnsi" w:eastAsia="Times New Roman" w:hAnsiTheme="majorHAnsi" w:cs="Times New Roman"/>
          <w:bCs/>
          <w:sz w:val="22"/>
          <w:szCs w:val="22"/>
        </w:rPr>
        <w:t>.</w:t>
      </w:r>
    </w:p>
    <w:p w14:paraId="06A94A20" w14:textId="50ABE207" w:rsidR="00F53525" w:rsidRPr="00060053" w:rsidRDefault="00E236FA" w:rsidP="0048130B">
      <w:pPr>
        <w:pStyle w:val="NormalWeb"/>
        <w:tabs>
          <w:tab w:val="left" w:pos="567"/>
        </w:tabs>
        <w:jc w:val="both"/>
        <w:outlineLvl w:val="1"/>
        <w:rPr>
          <w:rFonts w:asciiTheme="majorHAnsi" w:hAnsiTheme="majorHAnsi" w:cs="Tahoma"/>
          <w:b/>
          <w:bCs/>
          <w:sz w:val="22"/>
          <w:szCs w:val="22"/>
        </w:rPr>
      </w:pPr>
      <w:bookmarkStart w:id="44" w:name="_Toc429563200"/>
      <w:r w:rsidRPr="00060053">
        <w:rPr>
          <w:rFonts w:asciiTheme="majorHAnsi" w:hAnsiTheme="majorHAnsi" w:cs="Tahoma"/>
          <w:b/>
          <w:bCs/>
          <w:sz w:val="22"/>
          <w:szCs w:val="22"/>
          <w:lang w:val="es-ES_tradnl"/>
        </w:rPr>
        <w:t>2.</w:t>
      </w:r>
      <w:r w:rsidR="00D901A3" w:rsidRPr="00060053">
        <w:rPr>
          <w:rFonts w:asciiTheme="majorHAnsi" w:hAnsiTheme="majorHAnsi" w:cs="Tahoma"/>
          <w:b/>
          <w:bCs/>
          <w:sz w:val="22"/>
          <w:szCs w:val="22"/>
          <w:lang w:val="es-ES_tradnl"/>
        </w:rPr>
        <w:t>3</w:t>
      </w:r>
      <w:r w:rsidR="00494AA8">
        <w:rPr>
          <w:rFonts w:asciiTheme="majorHAnsi" w:hAnsiTheme="majorHAnsi" w:cs="Tahoma"/>
          <w:b/>
          <w:bCs/>
          <w:sz w:val="22"/>
          <w:szCs w:val="22"/>
          <w:lang w:val="es-ES_tradnl"/>
        </w:rPr>
        <w:tab/>
      </w:r>
      <w:r w:rsidR="002C74D0" w:rsidRPr="00060053">
        <w:rPr>
          <w:rFonts w:asciiTheme="majorHAnsi" w:hAnsiTheme="majorHAnsi" w:cs="Tahoma"/>
          <w:b/>
          <w:bCs/>
          <w:sz w:val="22"/>
          <w:szCs w:val="22"/>
        </w:rPr>
        <w:t>Plan de Trabajo</w:t>
      </w:r>
      <w:bookmarkEnd w:id="44"/>
    </w:p>
    <w:p w14:paraId="06A94A21" w14:textId="500C136C" w:rsidR="00F53525" w:rsidRPr="00060053" w:rsidRDefault="00F53525" w:rsidP="00E77FF2">
      <w:pPr>
        <w:pStyle w:val="Textoindependiente3"/>
        <w:jc w:val="both"/>
        <w:rPr>
          <w:rFonts w:asciiTheme="majorHAnsi" w:hAnsiTheme="majorHAnsi"/>
          <w:sz w:val="22"/>
          <w:szCs w:val="22"/>
        </w:rPr>
      </w:pPr>
      <w:r w:rsidRPr="00060053">
        <w:rPr>
          <w:rFonts w:asciiTheme="majorHAnsi" w:hAnsiTheme="majorHAnsi"/>
          <w:bCs/>
          <w:sz w:val="22"/>
          <w:szCs w:val="22"/>
          <w:lang w:val="es-ES_tradnl"/>
        </w:rPr>
        <w:t xml:space="preserve">En los anexos se presentan </w:t>
      </w:r>
      <w:r w:rsidR="00AB5005" w:rsidRPr="00060053">
        <w:rPr>
          <w:rFonts w:asciiTheme="majorHAnsi" w:hAnsiTheme="majorHAnsi"/>
          <w:bCs/>
          <w:sz w:val="22"/>
          <w:szCs w:val="22"/>
          <w:lang w:val="es-ES_tradnl"/>
        </w:rPr>
        <w:t xml:space="preserve">de </w:t>
      </w:r>
      <w:r w:rsidRPr="00060053">
        <w:rPr>
          <w:rFonts w:asciiTheme="majorHAnsi" w:hAnsiTheme="majorHAnsi"/>
          <w:bCs/>
          <w:sz w:val="22"/>
          <w:szCs w:val="22"/>
          <w:lang w:val="es-ES_tradnl"/>
        </w:rPr>
        <w:t>manera detallada, la vinculación de los</w:t>
      </w:r>
      <w:r w:rsidR="002C74D0" w:rsidRPr="00060053">
        <w:rPr>
          <w:rFonts w:asciiTheme="majorHAnsi" w:hAnsiTheme="majorHAnsi"/>
          <w:bCs/>
          <w:sz w:val="22"/>
          <w:szCs w:val="22"/>
          <w:lang w:val="es-ES_tradnl"/>
        </w:rPr>
        <w:t xml:space="preserve"> objetivos,</w:t>
      </w:r>
      <w:r w:rsidRPr="00060053">
        <w:rPr>
          <w:rFonts w:asciiTheme="majorHAnsi" w:hAnsiTheme="majorHAnsi"/>
          <w:bCs/>
          <w:sz w:val="22"/>
          <w:szCs w:val="22"/>
          <w:lang w:val="es-ES_tradnl"/>
        </w:rPr>
        <w:t xml:space="preserve"> metas</w:t>
      </w:r>
      <w:r w:rsidR="002C74D0" w:rsidRPr="00060053">
        <w:rPr>
          <w:rFonts w:asciiTheme="majorHAnsi" w:hAnsiTheme="majorHAnsi"/>
          <w:bCs/>
          <w:sz w:val="22"/>
          <w:szCs w:val="22"/>
          <w:lang w:val="es-ES_tradnl"/>
        </w:rPr>
        <w:t>,</w:t>
      </w:r>
      <w:r w:rsidRPr="00060053">
        <w:rPr>
          <w:rFonts w:asciiTheme="majorHAnsi" w:hAnsiTheme="majorHAnsi"/>
          <w:bCs/>
          <w:sz w:val="22"/>
          <w:szCs w:val="22"/>
          <w:lang w:val="es-ES_tradnl"/>
        </w:rPr>
        <w:t xml:space="preserve"> así como</w:t>
      </w:r>
      <w:r w:rsidR="002C74D0" w:rsidRPr="00060053">
        <w:rPr>
          <w:rFonts w:asciiTheme="majorHAnsi" w:hAnsiTheme="majorHAnsi"/>
          <w:bCs/>
          <w:sz w:val="22"/>
          <w:szCs w:val="22"/>
          <w:lang w:val="es-ES_tradnl"/>
        </w:rPr>
        <w:t>,</w:t>
      </w:r>
      <w:r w:rsidRPr="00060053">
        <w:rPr>
          <w:rFonts w:asciiTheme="majorHAnsi" w:hAnsiTheme="majorHAnsi"/>
          <w:bCs/>
          <w:sz w:val="22"/>
          <w:szCs w:val="22"/>
          <w:lang w:val="es-ES_tradnl"/>
        </w:rPr>
        <w:t xml:space="preserve"> los I</w:t>
      </w:r>
      <w:r w:rsidR="00181ECB">
        <w:rPr>
          <w:rFonts w:asciiTheme="majorHAnsi" w:hAnsiTheme="majorHAnsi"/>
          <w:bCs/>
          <w:sz w:val="22"/>
          <w:szCs w:val="22"/>
          <w:lang w:val="es-ES_tradnl"/>
        </w:rPr>
        <w:t>ndicadores de Gestión, planteado</w:t>
      </w:r>
      <w:r w:rsidRPr="00060053">
        <w:rPr>
          <w:rFonts w:asciiTheme="majorHAnsi" w:hAnsiTheme="majorHAnsi"/>
          <w:bCs/>
          <w:sz w:val="22"/>
          <w:szCs w:val="22"/>
          <w:lang w:val="es-ES_tradnl"/>
        </w:rPr>
        <w:t xml:space="preserve">s en el </w:t>
      </w:r>
      <w:r w:rsidR="00C0086A" w:rsidRPr="00060053">
        <w:rPr>
          <w:rFonts w:asciiTheme="majorHAnsi" w:hAnsiTheme="majorHAnsi"/>
          <w:bCs/>
          <w:sz w:val="22"/>
          <w:szCs w:val="22"/>
          <w:lang w:val="es-ES_tradnl"/>
        </w:rPr>
        <w:t>Plan Operativo Institucional</w:t>
      </w:r>
      <w:r w:rsidR="00255A0C">
        <w:rPr>
          <w:rFonts w:asciiTheme="majorHAnsi" w:hAnsiTheme="majorHAnsi"/>
          <w:bCs/>
          <w:sz w:val="22"/>
          <w:szCs w:val="22"/>
          <w:lang w:val="es-ES_tradnl"/>
        </w:rPr>
        <w:t xml:space="preserve"> </w:t>
      </w:r>
      <w:r w:rsidR="00181ECB">
        <w:rPr>
          <w:rFonts w:asciiTheme="majorHAnsi" w:hAnsiTheme="majorHAnsi"/>
          <w:bCs/>
          <w:sz w:val="22"/>
          <w:szCs w:val="22"/>
          <w:lang w:val="es-ES_tradnl"/>
        </w:rPr>
        <w:t xml:space="preserve">(POI) </w:t>
      </w:r>
      <w:r w:rsidRPr="00060053">
        <w:rPr>
          <w:rFonts w:asciiTheme="majorHAnsi" w:hAnsiTheme="majorHAnsi"/>
          <w:bCs/>
          <w:sz w:val="22"/>
          <w:szCs w:val="22"/>
          <w:lang w:val="es-ES_tradnl"/>
        </w:rPr>
        <w:t xml:space="preserve">de la </w:t>
      </w:r>
      <w:r w:rsidR="00D277D9">
        <w:rPr>
          <w:rFonts w:asciiTheme="majorHAnsi" w:hAnsiTheme="majorHAnsi"/>
          <w:bCs/>
          <w:sz w:val="22"/>
          <w:szCs w:val="22"/>
          <w:lang w:val="es-ES_tradnl"/>
        </w:rPr>
        <w:t>SUPEN</w:t>
      </w:r>
      <w:r w:rsidRPr="00060053">
        <w:rPr>
          <w:rFonts w:asciiTheme="majorHAnsi" w:hAnsiTheme="majorHAnsi"/>
          <w:bCs/>
          <w:sz w:val="22"/>
          <w:szCs w:val="22"/>
          <w:lang w:val="es-ES_tradnl"/>
        </w:rPr>
        <w:t xml:space="preserve"> para el 20</w:t>
      </w:r>
      <w:r w:rsidR="00ED04A1" w:rsidRPr="00060053">
        <w:rPr>
          <w:rFonts w:asciiTheme="majorHAnsi" w:hAnsiTheme="majorHAnsi"/>
          <w:bCs/>
          <w:sz w:val="22"/>
          <w:szCs w:val="22"/>
          <w:lang w:val="es-ES_tradnl"/>
        </w:rPr>
        <w:t>1</w:t>
      </w:r>
      <w:r w:rsidR="00F01972">
        <w:rPr>
          <w:rFonts w:asciiTheme="majorHAnsi" w:hAnsiTheme="majorHAnsi"/>
          <w:bCs/>
          <w:sz w:val="22"/>
          <w:szCs w:val="22"/>
          <w:lang w:val="es-ES_tradnl"/>
        </w:rPr>
        <w:t>7</w:t>
      </w:r>
      <w:r w:rsidRPr="00060053">
        <w:rPr>
          <w:rFonts w:asciiTheme="majorHAnsi" w:hAnsiTheme="majorHAnsi"/>
          <w:bCs/>
          <w:sz w:val="22"/>
          <w:szCs w:val="22"/>
          <w:lang w:val="es-ES_tradnl"/>
        </w:rPr>
        <w:t>, para cada una de las Divisiones, Departamentos o Áreas, con su respectivo indicador de medida.</w:t>
      </w:r>
      <w:r w:rsidR="00882C91">
        <w:rPr>
          <w:rFonts w:asciiTheme="majorHAnsi" w:hAnsiTheme="majorHAnsi"/>
          <w:bCs/>
          <w:sz w:val="22"/>
          <w:szCs w:val="22"/>
          <w:lang w:val="es-ES_tradnl"/>
        </w:rPr>
        <w:t xml:space="preserve"> </w:t>
      </w:r>
      <w:r w:rsidR="001F58C1" w:rsidRPr="00060053">
        <w:rPr>
          <w:rFonts w:asciiTheme="majorHAnsi" w:hAnsiTheme="majorHAnsi"/>
          <w:sz w:val="22"/>
          <w:szCs w:val="22"/>
        </w:rPr>
        <w:t>Como complemento a esa información se presenta</w:t>
      </w:r>
      <w:r w:rsidR="00E7101C">
        <w:rPr>
          <w:rFonts w:asciiTheme="majorHAnsi" w:hAnsiTheme="majorHAnsi"/>
          <w:sz w:val="22"/>
          <w:szCs w:val="22"/>
        </w:rPr>
        <w:t>n</w:t>
      </w:r>
      <w:r w:rsidR="001F58C1" w:rsidRPr="00060053">
        <w:rPr>
          <w:rFonts w:asciiTheme="majorHAnsi" w:hAnsiTheme="majorHAnsi"/>
          <w:sz w:val="22"/>
          <w:szCs w:val="22"/>
        </w:rPr>
        <w:t xml:space="preserve"> las tablas que contiene</w:t>
      </w:r>
      <w:r w:rsidR="00E7101C">
        <w:rPr>
          <w:rFonts w:asciiTheme="majorHAnsi" w:hAnsiTheme="majorHAnsi"/>
          <w:sz w:val="22"/>
          <w:szCs w:val="22"/>
        </w:rPr>
        <w:t>n</w:t>
      </w:r>
      <w:r w:rsidR="001F58C1" w:rsidRPr="00060053">
        <w:rPr>
          <w:rFonts w:asciiTheme="majorHAnsi" w:hAnsiTheme="majorHAnsi"/>
          <w:sz w:val="22"/>
          <w:szCs w:val="22"/>
        </w:rPr>
        <w:t xml:space="preserve"> el detalle de la Planificación Agregada.</w:t>
      </w:r>
    </w:p>
    <w:p w14:paraId="06A94A22" w14:textId="24DD65D8" w:rsidR="00F53525" w:rsidRPr="0048130B" w:rsidRDefault="0048130B" w:rsidP="0048130B">
      <w:pPr>
        <w:pStyle w:val="Ttulo3"/>
        <w:rPr>
          <w:rFonts w:asciiTheme="majorHAnsi" w:hAnsiTheme="majorHAnsi"/>
          <w:bCs w:val="0"/>
          <w:sz w:val="22"/>
          <w:szCs w:val="22"/>
          <w:lang w:val="es-ES_tradnl"/>
        </w:rPr>
      </w:pPr>
      <w:bookmarkStart w:id="45" w:name="_Toc429562736"/>
      <w:bookmarkStart w:id="46" w:name="_Toc429563201"/>
      <w:r>
        <w:rPr>
          <w:rFonts w:asciiTheme="majorHAnsi" w:hAnsiTheme="majorHAnsi"/>
          <w:bCs w:val="0"/>
          <w:sz w:val="22"/>
          <w:szCs w:val="22"/>
          <w:lang w:val="es-ES_tradnl"/>
        </w:rPr>
        <w:t>2.3.1.</w:t>
      </w:r>
      <w:r>
        <w:rPr>
          <w:rFonts w:asciiTheme="majorHAnsi" w:hAnsiTheme="majorHAnsi"/>
          <w:bCs w:val="0"/>
          <w:sz w:val="22"/>
          <w:szCs w:val="22"/>
          <w:lang w:val="es-ES_tradnl"/>
        </w:rPr>
        <w:tab/>
      </w:r>
      <w:r w:rsidR="00E236FA" w:rsidRPr="0048130B">
        <w:rPr>
          <w:rFonts w:asciiTheme="majorHAnsi" w:hAnsiTheme="majorHAnsi"/>
          <w:bCs w:val="0"/>
          <w:sz w:val="22"/>
          <w:szCs w:val="22"/>
          <w:lang w:val="es-ES_tradnl"/>
        </w:rPr>
        <w:t>Obje</w:t>
      </w:r>
      <w:r w:rsidR="00827141">
        <w:rPr>
          <w:rFonts w:asciiTheme="majorHAnsi" w:hAnsiTheme="majorHAnsi"/>
          <w:bCs w:val="0"/>
          <w:sz w:val="22"/>
          <w:szCs w:val="22"/>
          <w:lang w:val="es-ES_tradnl"/>
        </w:rPr>
        <w:t>tivos y Metas de las Instancias</w:t>
      </w:r>
      <w:r w:rsidR="00E236FA" w:rsidRPr="0048130B">
        <w:rPr>
          <w:rFonts w:asciiTheme="majorHAnsi" w:hAnsiTheme="majorHAnsi"/>
          <w:bCs w:val="0"/>
          <w:sz w:val="22"/>
          <w:szCs w:val="22"/>
          <w:lang w:val="es-ES_tradnl"/>
        </w:rPr>
        <w:t xml:space="preserve"> / Planificación Agregada</w:t>
      </w:r>
      <w:bookmarkEnd w:id="45"/>
      <w:bookmarkEnd w:id="46"/>
    </w:p>
    <w:p w14:paraId="06A94A23" w14:textId="77777777" w:rsidR="00E236FA" w:rsidRDefault="00E236FA" w:rsidP="00E236FA">
      <w:pPr>
        <w:jc w:val="both"/>
        <w:rPr>
          <w:rFonts w:asciiTheme="majorHAnsi" w:hAnsiTheme="majorHAnsi"/>
          <w:bCs/>
          <w:sz w:val="22"/>
          <w:szCs w:val="22"/>
          <w:lang w:val="es-ES_tradnl"/>
        </w:rPr>
      </w:pPr>
    </w:p>
    <w:p w14:paraId="3B8B48B8" w14:textId="594CEBC5" w:rsidR="00AD2171" w:rsidRPr="00060053" w:rsidRDefault="00AD2171" w:rsidP="00AD2171">
      <w:pPr>
        <w:jc w:val="center"/>
        <w:rPr>
          <w:rFonts w:asciiTheme="majorHAnsi" w:hAnsiTheme="majorHAnsi"/>
          <w:bCs/>
          <w:sz w:val="22"/>
          <w:szCs w:val="22"/>
          <w:lang w:val="es-ES_tradnl"/>
        </w:rPr>
      </w:pPr>
      <w:r>
        <w:rPr>
          <w:rFonts w:asciiTheme="majorHAnsi" w:hAnsiTheme="majorHAnsi"/>
          <w:bCs/>
          <w:sz w:val="22"/>
          <w:szCs w:val="22"/>
          <w:lang w:val="es-ES_tradnl"/>
        </w:rPr>
        <w:t>Cuadro 7</w:t>
      </w:r>
      <w:r w:rsidR="009E074D">
        <w:rPr>
          <w:rFonts w:asciiTheme="majorHAnsi" w:hAnsiTheme="majorHAnsi"/>
          <w:bCs/>
          <w:sz w:val="22"/>
          <w:szCs w:val="22"/>
          <w:lang w:val="es-ES_tradnl"/>
        </w:rPr>
        <w:t xml:space="preserve">: </w:t>
      </w:r>
      <w:r>
        <w:rPr>
          <w:rFonts w:asciiTheme="majorHAnsi" w:hAnsiTheme="majorHAnsi"/>
          <w:bCs/>
          <w:sz w:val="22"/>
          <w:szCs w:val="22"/>
          <w:lang w:val="es-ES_tradnl"/>
        </w:rPr>
        <w:t xml:space="preserve">Planificación Agregada </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8"/>
        <w:gridCol w:w="4819"/>
      </w:tblGrid>
      <w:tr w:rsidR="00F53525" w:rsidRPr="00060053" w14:paraId="06A94A27" w14:textId="77777777" w:rsidTr="001D1BED">
        <w:trPr>
          <w:tblHeader/>
        </w:trPr>
        <w:tc>
          <w:tcPr>
            <w:tcW w:w="851" w:type="dxa"/>
            <w:shd w:val="clear" w:color="auto" w:fill="C6D9F1" w:themeFill="text2" w:themeFillTint="33"/>
            <w:vAlign w:val="center"/>
          </w:tcPr>
          <w:p w14:paraId="06A94A24" w14:textId="77777777" w:rsidR="00F53525" w:rsidRPr="00060053" w:rsidRDefault="00F53525" w:rsidP="00957535">
            <w:pPr>
              <w:spacing w:before="120" w:after="120" w:line="264" w:lineRule="auto"/>
              <w:jc w:val="center"/>
              <w:rPr>
                <w:rFonts w:asciiTheme="majorHAnsi" w:hAnsiTheme="majorHAnsi"/>
                <w:sz w:val="20"/>
              </w:rPr>
            </w:pPr>
            <w:r w:rsidRPr="00060053">
              <w:rPr>
                <w:rFonts w:asciiTheme="majorHAnsi" w:hAnsiTheme="majorHAnsi"/>
                <w:sz w:val="20"/>
              </w:rPr>
              <w:t># ANEXO</w:t>
            </w:r>
          </w:p>
        </w:tc>
        <w:tc>
          <w:tcPr>
            <w:tcW w:w="3118" w:type="dxa"/>
            <w:shd w:val="clear" w:color="auto" w:fill="C6D9F1" w:themeFill="text2" w:themeFillTint="33"/>
            <w:vAlign w:val="center"/>
          </w:tcPr>
          <w:p w14:paraId="06A94A25" w14:textId="77777777" w:rsidR="00F53525" w:rsidRPr="00060053" w:rsidRDefault="00F53525" w:rsidP="00957535">
            <w:pPr>
              <w:spacing w:before="120" w:after="120" w:line="264" w:lineRule="auto"/>
              <w:jc w:val="center"/>
              <w:rPr>
                <w:rFonts w:asciiTheme="majorHAnsi" w:hAnsiTheme="majorHAnsi"/>
                <w:sz w:val="20"/>
              </w:rPr>
            </w:pPr>
            <w:r w:rsidRPr="00060053">
              <w:rPr>
                <w:rFonts w:asciiTheme="majorHAnsi" w:hAnsiTheme="majorHAnsi"/>
                <w:sz w:val="20"/>
              </w:rPr>
              <w:t>DEPENDENCIA</w:t>
            </w:r>
          </w:p>
        </w:tc>
        <w:tc>
          <w:tcPr>
            <w:tcW w:w="4819" w:type="dxa"/>
            <w:shd w:val="clear" w:color="auto" w:fill="C6D9F1" w:themeFill="text2" w:themeFillTint="33"/>
            <w:vAlign w:val="center"/>
          </w:tcPr>
          <w:p w14:paraId="06A94A26" w14:textId="77777777" w:rsidR="00F53525" w:rsidRPr="00060053" w:rsidRDefault="00F53525" w:rsidP="00957535">
            <w:pPr>
              <w:spacing w:before="120" w:after="120" w:line="264" w:lineRule="auto"/>
              <w:jc w:val="center"/>
              <w:rPr>
                <w:rFonts w:asciiTheme="majorHAnsi" w:hAnsiTheme="majorHAnsi"/>
                <w:sz w:val="20"/>
              </w:rPr>
            </w:pPr>
            <w:r w:rsidRPr="00060053">
              <w:rPr>
                <w:rFonts w:asciiTheme="majorHAnsi" w:hAnsiTheme="majorHAnsi"/>
                <w:sz w:val="20"/>
              </w:rPr>
              <w:t>OBJETIVO</w:t>
            </w:r>
          </w:p>
        </w:tc>
      </w:tr>
      <w:tr w:rsidR="0019756F" w:rsidRPr="00060053" w14:paraId="06A94A2B" w14:textId="77777777" w:rsidTr="003D2E9C">
        <w:trPr>
          <w:trHeight w:val="624"/>
        </w:trPr>
        <w:tc>
          <w:tcPr>
            <w:tcW w:w="851" w:type="dxa"/>
            <w:vAlign w:val="center"/>
          </w:tcPr>
          <w:p w14:paraId="06A94A28"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1</w:t>
            </w:r>
          </w:p>
        </w:tc>
        <w:tc>
          <w:tcPr>
            <w:tcW w:w="3118" w:type="dxa"/>
            <w:vAlign w:val="center"/>
          </w:tcPr>
          <w:p w14:paraId="06A94A29" w14:textId="77777777" w:rsidR="0019756F" w:rsidRPr="00060053" w:rsidRDefault="0019756F" w:rsidP="0019756F">
            <w:pPr>
              <w:pStyle w:val="Textonotapie"/>
              <w:spacing w:line="264" w:lineRule="auto"/>
              <w:rPr>
                <w:rFonts w:asciiTheme="majorHAnsi" w:hAnsiTheme="majorHAnsi"/>
                <w:bCs/>
                <w:sz w:val="18"/>
                <w:szCs w:val="18"/>
              </w:rPr>
            </w:pPr>
            <w:r w:rsidRPr="00060053">
              <w:rPr>
                <w:rFonts w:asciiTheme="majorHAnsi" w:hAnsiTheme="majorHAnsi"/>
                <w:bCs/>
                <w:sz w:val="18"/>
                <w:szCs w:val="18"/>
              </w:rPr>
              <w:t>Despacho</w:t>
            </w:r>
          </w:p>
        </w:tc>
        <w:tc>
          <w:tcPr>
            <w:tcW w:w="4819" w:type="dxa"/>
            <w:vAlign w:val="center"/>
          </w:tcPr>
          <w:p w14:paraId="06A94A2A"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Presenta la vinculación del Plan Nacional de Desarrollo con el Plan Operativo Institucional</w:t>
            </w:r>
          </w:p>
        </w:tc>
      </w:tr>
      <w:tr w:rsidR="0019756F" w:rsidRPr="00060053" w14:paraId="06A94A2F" w14:textId="77777777" w:rsidTr="00AD2171">
        <w:trPr>
          <w:trHeight w:val="442"/>
        </w:trPr>
        <w:tc>
          <w:tcPr>
            <w:tcW w:w="851" w:type="dxa"/>
            <w:shd w:val="clear" w:color="auto" w:fill="F2F2F2" w:themeFill="background1" w:themeFillShade="F2"/>
            <w:vAlign w:val="center"/>
          </w:tcPr>
          <w:p w14:paraId="06A94A2C"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2</w:t>
            </w:r>
          </w:p>
        </w:tc>
        <w:tc>
          <w:tcPr>
            <w:tcW w:w="3118" w:type="dxa"/>
            <w:shd w:val="clear" w:color="auto" w:fill="F2F2F2" w:themeFill="background1" w:themeFillShade="F2"/>
            <w:vAlign w:val="center"/>
          </w:tcPr>
          <w:p w14:paraId="06A94A2D" w14:textId="77777777" w:rsidR="0019756F" w:rsidRPr="00060053" w:rsidRDefault="0019756F" w:rsidP="0019756F">
            <w:pPr>
              <w:pStyle w:val="Textonotapie"/>
              <w:spacing w:line="264" w:lineRule="auto"/>
              <w:rPr>
                <w:rFonts w:asciiTheme="majorHAnsi" w:hAnsiTheme="majorHAnsi"/>
                <w:bCs/>
                <w:sz w:val="18"/>
                <w:szCs w:val="18"/>
              </w:rPr>
            </w:pPr>
            <w:r w:rsidRPr="00060053">
              <w:rPr>
                <w:rFonts w:asciiTheme="majorHAnsi" w:hAnsiTheme="majorHAnsi"/>
                <w:bCs/>
                <w:sz w:val="18"/>
                <w:szCs w:val="18"/>
              </w:rPr>
              <w:t xml:space="preserve">Área Comunicación Servicios </w:t>
            </w:r>
          </w:p>
        </w:tc>
        <w:tc>
          <w:tcPr>
            <w:tcW w:w="4819" w:type="dxa"/>
            <w:shd w:val="clear" w:color="auto" w:fill="F2F2F2" w:themeFill="background1" w:themeFillShade="F2"/>
            <w:vAlign w:val="center"/>
          </w:tcPr>
          <w:p w14:paraId="06A94A2E"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3" w14:textId="77777777" w:rsidTr="00AD2171">
        <w:trPr>
          <w:trHeight w:val="420"/>
        </w:trPr>
        <w:tc>
          <w:tcPr>
            <w:tcW w:w="851" w:type="dxa"/>
            <w:vAlign w:val="center"/>
          </w:tcPr>
          <w:p w14:paraId="06A94A30"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3</w:t>
            </w:r>
          </w:p>
        </w:tc>
        <w:tc>
          <w:tcPr>
            <w:tcW w:w="3118" w:type="dxa"/>
            <w:vAlign w:val="center"/>
          </w:tcPr>
          <w:p w14:paraId="06A94A31" w14:textId="77777777" w:rsidR="0019756F" w:rsidRPr="00060053" w:rsidRDefault="0019756F" w:rsidP="0019756F">
            <w:pPr>
              <w:spacing w:line="264" w:lineRule="auto"/>
              <w:rPr>
                <w:rFonts w:asciiTheme="majorHAnsi" w:hAnsiTheme="majorHAnsi"/>
                <w:bCs/>
                <w:sz w:val="18"/>
                <w:szCs w:val="18"/>
              </w:rPr>
            </w:pPr>
            <w:r w:rsidRPr="00060053">
              <w:rPr>
                <w:rFonts w:asciiTheme="majorHAnsi" w:hAnsiTheme="majorHAnsi"/>
                <w:bCs/>
                <w:sz w:val="18"/>
                <w:szCs w:val="18"/>
              </w:rPr>
              <w:t xml:space="preserve">División Jurídica </w:t>
            </w:r>
          </w:p>
        </w:tc>
        <w:tc>
          <w:tcPr>
            <w:tcW w:w="4819" w:type="dxa"/>
            <w:vAlign w:val="center"/>
          </w:tcPr>
          <w:p w14:paraId="06A94A32"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7" w14:textId="77777777" w:rsidTr="00AD2171">
        <w:trPr>
          <w:trHeight w:val="413"/>
        </w:trPr>
        <w:tc>
          <w:tcPr>
            <w:tcW w:w="851" w:type="dxa"/>
            <w:shd w:val="clear" w:color="auto" w:fill="F2F2F2" w:themeFill="background1" w:themeFillShade="F2"/>
            <w:vAlign w:val="center"/>
          </w:tcPr>
          <w:p w14:paraId="06A94A34"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4</w:t>
            </w:r>
          </w:p>
        </w:tc>
        <w:tc>
          <w:tcPr>
            <w:tcW w:w="3118" w:type="dxa"/>
            <w:shd w:val="clear" w:color="auto" w:fill="F2F2F2" w:themeFill="background1" w:themeFillShade="F2"/>
            <w:vAlign w:val="center"/>
          </w:tcPr>
          <w:p w14:paraId="06A94A35" w14:textId="77777777" w:rsidR="0019756F" w:rsidRPr="00060053" w:rsidRDefault="0019756F" w:rsidP="0019756F">
            <w:pPr>
              <w:pStyle w:val="Textonotapie"/>
              <w:spacing w:line="264" w:lineRule="auto"/>
              <w:rPr>
                <w:rFonts w:asciiTheme="majorHAnsi" w:hAnsiTheme="majorHAnsi"/>
                <w:bCs/>
                <w:sz w:val="18"/>
                <w:szCs w:val="18"/>
              </w:rPr>
            </w:pPr>
            <w:r w:rsidRPr="00060053">
              <w:rPr>
                <w:rFonts w:asciiTheme="majorHAnsi" w:hAnsiTheme="majorHAnsi"/>
                <w:bCs/>
                <w:sz w:val="18"/>
                <w:szCs w:val="18"/>
              </w:rPr>
              <w:t xml:space="preserve">División de Planificación y Normativa </w:t>
            </w:r>
          </w:p>
        </w:tc>
        <w:tc>
          <w:tcPr>
            <w:tcW w:w="4819" w:type="dxa"/>
            <w:shd w:val="clear" w:color="auto" w:fill="F2F2F2" w:themeFill="background1" w:themeFillShade="F2"/>
            <w:vAlign w:val="center"/>
          </w:tcPr>
          <w:p w14:paraId="06A94A36"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B" w14:textId="77777777" w:rsidTr="003D2E9C">
        <w:tc>
          <w:tcPr>
            <w:tcW w:w="851" w:type="dxa"/>
            <w:vAlign w:val="center"/>
          </w:tcPr>
          <w:p w14:paraId="06A94A38"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5</w:t>
            </w:r>
          </w:p>
        </w:tc>
        <w:tc>
          <w:tcPr>
            <w:tcW w:w="3118" w:type="dxa"/>
            <w:vAlign w:val="center"/>
          </w:tcPr>
          <w:p w14:paraId="06A94A39" w14:textId="77777777" w:rsidR="0019756F" w:rsidRPr="00060053" w:rsidRDefault="0019756F" w:rsidP="0019756F">
            <w:pPr>
              <w:spacing w:line="264" w:lineRule="auto"/>
              <w:rPr>
                <w:rFonts w:asciiTheme="majorHAnsi" w:hAnsiTheme="majorHAnsi"/>
                <w:bCs/>
                <w:sz w:val="18"/>
                <w:szCs w:val="18"/>
              </w:rPr>
            </w:pPr>
            <w:r w:rsidRPr="00060053">
              <w:rPr>
                <w:rFonts w:asciiTheme="majorHAnsi" w:hAnsiTheme="majorHAnsi"/>
                <w:bCs/>
                <w:sz w:val="18"/>
                <w:szCs w:val="18"/>
              </w:rPr>
              <w:t xml:space="preserve">División de Supervisión Regímenes Colectivos </w:t>
            </w:r>
          </w:p>
        </w:tc>
        <w:tc>
          <w:tcPr>
            <w:tcW w:w="4819" w:type="dxa"/>
            <w:vAlign w:val="center"/>
          </w:tcPr>
          <w:p w14:paraId="06A94A3A"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3F" w14:textId="77777777" w:rsidTr="00DF69B9">
        <w:tc>
          <w:tcPr>
            <w:tcW w:w="851" w:type="dxa"/>
            <w:shd w:val="clear" w:color="auto" w:fill="F2F2F2" w:themeFill="background1" w:themeFillShade="F2"/>
            <w:vAlign w:val="center"/>
          </w:tcPr>
          <w:p w14:paraId="06A94A3C" w14:textId="77777777" w:rsidR="0019756F" w:rsidRPr="00060053" w:rsidRDefault="0019756F" w:rsidP="00762B48">
            <w:pPr>
              <w:spacing w:line="264" w:lineRule="auto"/>
              <w:jc w:val="center"/>
              <w:rPr>
                <w:rFonts w:asciiTheme="majorHAnsi" w:hAnsiTheme="majorHAnsi"/>
                <w:bCs/>
                <w:sz w:val="18"/>
                <w:szCs w:val="18"/>
              </w:rPr>
            </w:pPr>
            <w:r w:rsidRPr="00060053">
              <w:rPr>
                <w:rFonts w:asciiTheme="majorHAnsi" w:hAnsiTheme="majorHAnsi"/>
                <w:bCs/>
                <w:sz w:val="18"/>
                <w:szCs w:val="18"/>
              </w:rPr>
              <w:t>6</w:t>
            </w:r>
          </w:p>
        </w:tc>
        <w:tc>
          <w:tcPr>
            <w:tcW w:w="3118" w:type="dxa"/>
            <w:shd w:val="clear" w:color="auto" w:fill="F2F2F2" w:themeFill="background1" w:themeFillShade="F2"/>
            <w:vAlign w:val="center"/>
          </w:tcPr>
          <w:p w14:paraId="06A94A3D" w14:textId="77777777" w:rsidR="0019756F" w:rsidRPr="00060053" w:rsidRDefault="0019756F" w:rsidP="0019756F">
            <w:pPr>
              <w:spacing w:line="264" w:lineRule="auto"/>
              <w:rPr>
                <w:rFonts w:asciiTheme="majorHAnsi" w:hAnsiTheme="majorHAnsi"/>
                <w:bCs/>
                <w:sz w:val="18"/>
                <w:szCs w:val="18"/>
              </w:rPr>
            </w:pPr>
            <w:r w:rsidRPr="00060053">
              <w:rPr>
                <w:rFonts w:asciiTheme="majorHAnsi" w:hAnsiTheme="majorHAnsi"/>
                <w:bCs/>
                <w:sz w:val="18"/>
                <w:szCs w:val="18"/>
              </w:rPr>
              <w:t>División de Supervisión Regímenes Capitalización Individual</w:t>
            </w:r>
          </w:p>
        </w:tc>
        <w:tc>
          <w:tcPr>
            <w:tcW w:w="4819" w:type="dxa"/>
            <w:shd w:val="clear" w:color="auto" w:fill="F2F2F2" w:themeFill="background1" w:themeFillShade="F2"/>
            <w:vAlign w:val="center"/>
          </w:tcPr>
          <w:p w14:paraId="06A94A3E"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A61D48" w:rsidRPr="00060053" w14:paraId="768BD37B" w14:textId="77777777" w:rsidTr="003D2E9C">
        <w:tc>
          <w:tcPr>
            <w:tcW w:w="851" w:type="dxa"/>
            <w:vAlign w:val="center"/>
          </w:tcPr>
          <w:p w14:paraId="37F62F58" w14:textId="6D3D016E" w:rsidR="00A61D48" w:rsidRPr="00060053" w:rsidRDefault="00A61D48" w:rsidP="00762B48">
            <w:pPr>
              <w:spacing w:line="264" w:lineRule="auto"/>
              <w:jc w:val="center"/>
              <w:rPr>
                <w:rFonts w:asciiTheme="majorHAnsi" w:hAnsiTheme="majorHAnsi"/>
                <w:bCs/>
                <w:sz w:val="18"/>
                <w:szCs w:val="18"/>
              </w:rPr>
            </w:pPr>
            <w:r>
              <w:rPr>
                <w:rFonts w:asciiTheme="majorHAnsi" w:hAnsiTheme="majorHAnsi"/>
                <w:bCs/>
                <w:sz w:val="18"/>
                <w:szCs w:val="18"/>
              </w:rPr>
              <w:t>7</w:t>
            </w:r>
          </w:p>
        </w:tc>
        <w:tc>
          <w:tcPr>
            <w:tcW w:w="3118" w:type="dxa"/>
            <w:vAlign w:val="center"/>
          </w:tcPr>
          <w:p w14:paraId="7A830A4C" w14:textId="6BB72903" w:rsidR="00A61D48" w:rsidRPr="00131F24" w:rsidRDefault="00872DE3" w:rsidP="0086099F">
            <w:pPr>
              <w:pStyle w:val="Textonotapie"/>
              <w:spacing w:line="264" w:lineRule="auto"/>
              <w:rPr>
                <w:rFonts w:asciiTheme="majorHAnsi" w:hAnsiTheme="majorHAnsi"/>
                <w:bCs/>
                <w:sz w:val="18"/>
                <w:szCs w:val="18"/>
              </w:rPr>
            </w:pPr>
            <w:r>
              <w:rPr>
                <w:rFonts w:asciiTheme="majorHAnsi" w:hAnsiTheme="majorHAnsi"/>
                <w:bCs/>
                <w:sz w:val="18"/>
                <w:szCs w:val="18"/>
              </w:rPr>
              <w:t>PYN Proyectos</w:t>
            </w:r>
          </w:p>
        </w:tc>
        <w:tc>
          <w:tcPr>
            <w:tcW w:w="4819" w:type="dxa"/>
            <w:vAlign w:val="center"/>
          </w:tcPr>
          <w:p w14:paraId="102F02D1" w14:textId="3FDEB280" w:rsidR="00A61D48" w:rsidRPr="00060053" w:rsidRDefault="00872DE3"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A61D48" w:rsidRPr="00060053" w14:paraId="778BEBE1" w14:textId="77777777" w:rsidTr="00872DE3">
        <w:tc>
          <w:tcPr>
            <w:tcW w:w="851" w:type="dxa"/>
            <w:shd w:val="clear" w:color="auto" w:fill="F2F2F2" w:themeFill="background1" w:themeFillShade="F2"/>
            <w:vAlign w:val="center"/>
          </w:tcPr>
          <w:p w14:paraId="42A5A10C" w14:textId="586CBA97" w:rsidR="00A61D48" w:rsidRPr="00060053" w:rsidRDefault="00A61D48" w:rsidP="00762B48">
            <w:pPr>
              <w:spacing w:line="264" w:lineRule="auto"/>
              <w:jc w:val="center"/>
              <w:rPr>
                <w:rFonts w:asciiTheme="majorHAnsi" w:hAnsiTheme="majorHAnsi"/>
                <w:bCs/>
                <w:sz w:val="18"/>
                <w:szCs w:val="18"/>
              </w:rPr>
            </w:pPr>
            <w:r>
              <w:rPr>
                <w:rFonts w:asciiTheme="majorHAnsi" w:hAnsiTheme="majorHAnsi"/>
                <w:bCs/>
                <w:sz w:val="18"/>
                <w:szCs w:val="18"/>
              </w:rPr>
              <w:t>8</w:t>
            </w:r>
          </w:p>
        </w:tc>
        <w:tc>
          <w:tcPr>
            <w:tcW w:w="3118" w:type="dxa"/>
            <w:shd w:val="clear" w:color="auto" w:fill="F2F2F2" w:themeFill="background1" w:themeFillShade="F2"/>
            <w:vAlign w:val="center"/>
          </w:tcPr>
          <w:p w14:paraId="67201D0D" w14:textId="5029D21D" w:rsidR="00A61D48" w:rsidRPr="00131F24" w:rsidRDefault="00872DE3" w:rsidP="0086099F">
            <w:pPr>
              <w:pStyle w:val="Textonotapie"/>
              <w:spacing w:line="264" w:lineRule="auto"/>
              <w:rPr>
                <w:rFonts w:asciiTheme="majorHAnsi" w:hAnsiTheme="majorHAnsi"/>
                <w:bCs/>
                <w:sz w:val="18"/>
                <w:szCs w:val="18"/>
              </w:rPr>
            </w:pPr>
            <w:r>
              <w:rPr>
                <w:rFonts w:asciiTheme="majorHAnsi" w:hAnsiTheme="majorHAnsi"/>
                <w:bCs/>
                <w:sz w:val="18"/>
                <w:szCs w:val="18"/>
              </w:rPr>
              <w:t>CYS Sistema de gestión de calidad</w:t>
            </w:r>
          </w:p>
        </w:tc>
        <w:tc>
          <w:tcPr>
            <w:tcW w:w="4819" w:type="dxa"/>
            <w:shd w:val="clear" w:color="auto" w:fill="F2F2F2" w:themeFill="background1" w:themeFillShade="F2"/>
            <w:vAlign w:val="center"/>
          </w:tcPr>
          <w:p w14:paraId="560777CE" w14:textId="5D72C153" w:rsidR="00A61D48" w:rsidRPr="00060053" w:rsidRDefault="00872DE3"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A61D48" w:rsidRPr="00060053" w14:paraId="445E16DE" w14:textId="77777777" w:rsidTr="003D2E9C">
        <w:tc>
          <w:tcPr>
            <w:tcW w:w="851" w:type="dxa"/>
            <w:vAlign w:val="center"/>
          </w:tcPr>
          <w:p w14:paraId="7FCF5C39" w14:textId="5E3F26C5" w:rsidR="00A61D48" w:rsidRPr="00060053" w:rsidRDefault="00A61D48" w:rsidP="00762B48">
            <w:pPr>
              <w:spacing w:line="264" w:lineRule="auto"/>
              <w:jc w:val="center"/>
              <w:rPr>
                <w:rFonts w:asciiTheme="majorHAnsi" w:hAnsiTheme="majorHAnsi"/>
                <w:bCs/>
                <w:sz w:val="18"/>
                <w:szCs w:val="18"/>
              </w:rPr>
            </w:pPr>
            <w:r>
              <w:rPr>
                <w:rFonts w:asciiTheme="majorHAnsi" w:hAnsiTheme="majorHAnsi"/>
                <w:bCs/>
                <w:sz w:val="18"/>
                <w:szCs w:val="18"/>
              </w:rPr>
              <w:t>9</w:t>
            </w:r>
          </w:p>
        </w:tc>
        <w:tc>
          <w:tcPr>
            <w:tcW w:w="3118" w:type="dxa"/>
            <w:vAlign w:val="center"/>
          </w:tcPr>
          <w:p w14:paraId="5111EBD2" w14:textId="7F01E563" w:rsidR="00A61D48" w:rsidRPr="00131F24" w:rsidRDefault="00872DE3" w:rsidP="0086099F">
            <w:pPr>
              <w:pStyle w:val="Textonotapie"/>
              <w:spacing w:line="264" w:lineRule="auto"/>
              <w:rPr>
                <w:rFonts w:asciiTheme="majorHAnsi" w:hAnsiTheme="majorHAnsi"/>
                <w:bCs/>
                <w:sz w:val="18"/>
                <w:szCs w:val="18"/>
              </w:rPr>
            </w:pPr>
            <w:r>
              <w:rPr>
                <w:rFonts w:asciiTheme="majorHAnsi" w:hAnsiTheme="majorHAnsi"/>
                <w:bCs/>
                <w:sz w:val="18"/>
                <w:szCs w:val="18"/>
              </w:rPr>
              <w:t>CYS Capacitación</w:t>
            </w:r>
          </w:p>
        </w:tc>
        <w:tc>
          <w:tcPr>
            <w:tcW w:w="4819" w:type="dxa"/>
            <w:vAlign w:val="center"/>
          </w:tcPr>
          <w:p w14:paraId="3790AD88" w14:textId="166F6B6A" w:rsidR="00A61D48" w:rsidRPr="00060053" w:rsidRDefault="00872DE3"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r w:rsidR="0019756F" w:rsidRPr="00060053" w14:paraId="06A94A47" w14:textId="77777777" w:rsidTr="00872DE3">
        <w:tc>
          <w:tcPr>
            <w:tcW w:w="851" w:type="dxa"/>
            <w:shd w:val="clear" w:color="auto" w:fill="F2F2F2" w:themeFill="background1" w:themeFillShade="F2"/>
            <w:vAlign w:val="center"/>
          </w:tcPr>
          <w:p w14:paraId="06A94A44" w14:textId="37BF2D55" w:rsidR="0019756F" w:rsidRPr="00060053" w:rsidRDefault="00A61D48" w:rsidP="00762B48">
            <w:pPr>
              <w:spacing w:line="264" w:lineRule="auto"/>
              <w:jc w:val="center"/>
              <w:rPr>
                <w:rFonts w:asciiTheme="majorHAnsi" w:hAnsiTheme="majorHAnsi"/>
                <w:bCs/>
                <w:sz w:val="18"/>
                <w:szCs w:val="18"/>
              </w:rPr>
            </w:pPr>
            <w:r>
              <w:rPr>
                <w:rFonts w:asciiTheme="majorHAnsi" w:hAnsiTheme="majorHAnsi"/>
                <w:bCs/>
                <w:sz w:val="18"/>
                <w:szCs w:val="18"/>
              </w:rPr>
              <w:t>10</w:t>
            </w:r>
          </w:p>
        </w:tc>
        <w:tc>
          <w:tcPr>
            <w:tcW w:w="3118" w:type="dxa"/>
            <w:shd w:val="clear" w:color="auto" w:fill="F2F2F2" w:themeFill="background1" w:themeFillShade="F2"/>
            <w:vAlign w:val="center"/>
          </w:tcPr>
          <w:p w14:paraId="06A94A45" w14:textId="30B44083" w:rsidR="0019756F" w:rsidRPr="00060053" w:rsidRDefault="001666DD" w:rsidP="0086099F">
            <w:pPr>
              <w:pStyle w:val="Textonotapie"/>
              <w:spacing w:line="264" w:lineRule="auto"/>
              <w:rPr>
                <w:rFonts w:asciiTheme="majorHAnsi" w:hAnsiTheme="majorHAnsi"/>
                <w:bCs/>
                <w:sz w:val="18"/>
                <w:szCs w:val="18"/>
              </w:rPr>
            </w:pPr>
            <w:r w:rsidRPr="00131F24">
              <w:rPr>
                <w:rFonts w:asciiTheme="majorHAnsi" w:hAnsiTheme="majorHAnsi"/>
                <w:bCs/>
                <w:sz w:val="18"/>
                <w:szCs w:val="18"/>
              </w:rPr>
              <w:t>MAP</w:t>
            </w:r>
            <w:r w:rsidR="005303B0" w:rsidRPr="00131F24">
              <w:rPr>
                <w:rFonts w:asciiTheme="majorHAnsi" w:hAnsiTheme="majorHAnsi"/>
                <w:bCs/>
                <w:sz w:val="18"/>
                <w:szCs w:val="18"/>
              </w:rPr>
              <w:t>P</w:t>
            </w:r>
          </w:p>
        </w:tc>
        <w:tc>
          <w:tcPr>
            <w:tcW w:w="4819" w:type="dxa"/>
            <w:shd w:val="clear" w:color="auto" w:fill="F2F2F2" w:themeFill="background1" w:themeFillShade="F2"/>
            <w:vAlign w:val="center"/>
          </w:tcPr>
          <w:p w14:paraId="06A94A46" w14:textId="77777777" w:rsidR="0019756F" w:rsidRPr="00060053" w:rsidRDefault="0019756F" w:rsidP="00B05EAB">
            <w:pPr>
              <w:spacing w:line="264" w:lineRule="auto"/>
              <w:rPr>
                <w:rFonts w:asciiTheme="majorHAnsi" w:hAnsiTheme="majorHAnsi"/>
                <w:bCs/>
                <w:sz w:val="18"/>
                <w:szCs w:val="18"/>
              </w:rPr>
            </w:pPr>
            <w:r w:rsidRPr="00060053">
              <w:rPr>
                <w:rFonts w:asciiTheme="majorHAnsi" w:hAnsiTheme="majorHAnsi"/>
                <w:bCs/>
                <w:sz w:val="18"/>
                <w:szCs w:val="18"/>
              </w:rPr>
              <w:t>Vinculación de Objetivos, Metas e Indicadores de Gestión</w:t>
            </w:r>
          </w:p>
        </w:tc>
      </w:tr>
    </w:tbl>
    <w:p w14:paraId="06A94A48" w14:textId="77777777" w:rsidR="00ED04A1" w:rsidRDefault="00ED04A1">
      <w:pPr>
        <w:rPr>
          <w:rFonts w:asciiTheme="majorHAnsi" w:hAnsiTheme="majorHAnsi"/>
          <w:bCs/>
        </w:rPr>
      </w:pPr>
      <w:r w:rsidRPr="00060053">
        <w:rPr>
          <w:rFonts w:asciiTheme="majorHAnsi" w:hAnsiTheme="majorHAnsi"/>
          <w:bCs/>
        </w:rPr>
        <w:br w:type="page"/>
      </w:r>
    </w:p>
    <w:p w14:paraId="1C7FFAC1" w14:textId="77777777" w:rsidR="00AD2171" w:rsidRPr="00060053" w:rsidRDefault="00AD2171">
      <w:pPr>
        <w:rPr>
          <w:rFonts w:asciiTheme="majorHAnsi" w:hAnsiTheme="majorHAnsi"/>
          <w:bCs/>
        </w:rPr>
      </w:pPr>
    </w:p>
    <w:p w14:paraId="06A94A49" w14:textId="635D361F" w:rsidR="00E236FA" w:rsidRPr="0048130B" w:rsidRDefault="0048130B" w:rsidP="0048130B">
      <w:pPr>
        <w:pStyle w:val="Ttulo3"/>
        <w:rPr>
          <w:rFonts w:asciiTheme="majorHAnsi" w:hAnsiTheme="majorHAnsi"/>
          <w:bCs w:val="0"/>
          <w:sz w:val="22"/>
          <w:szCs w:val="22"/>
          <w:lang w:val="es-ES_tradnl"/>
        </w:rPr>
      </w:pPr>
      <w:bookmarkStart w:id="47" w:name="_Toc429562737"/>
      <w:bookmarkStart w:id="48" w:name="_Toc429563202"/>
      <w:r w:rsidRPr="00BA1961">
        <w:rPr>
          <w:rFonts w:asciiTheme="majorHAnsi" w:hAnsiTheme="majorHAnsi"/>
          <w:bCs w:val="0"/>
          <w:sz w:val="22"/>
          <w:szCs w:val="22"/>
          <w:lang w:val="es-ES_tradnl"/>
        </w:rPr>
        <w:t>2.3.2.</w:t>
      </w:r>
      <w:r w:rsidRPr="00BA1961">
        <w:rPr>
          <w:rFonts w:asciiTheme="majorHAnsi" w:hAnsiTheme="majorHAnsi"/>
          <w:bCs w:val="0"/>
          <w:sz w:val="22"/>
          <w:szCs w:val="22"/>
          <w:lang w:val="es-ES_tradnl"/>
        </w:rPr>
        <w:tab/>
      </w:r>
      <w:r w:rsidR="00E236FA" w:rsidRPr="00BA1961">
        <w:rPr>
          <w:rFonts w:asciiTheme="majorHAnsi" w:hAnsiTheme="majorHAnsi"/>
          <w:bCs w:val="0"/>
          <w:sz w:val="22"/>
          <w:szCs w:val="22"/>
          <w:lang w:val="es-ES_tradnl"/>
        </w:rPr>
        <w:t>Resumen de Metas Institucionales</w:t>
      </w:r>
      <w:bookmarkEnd w:id="47"/>
      <w:bookmarkEnd w:id="48"/>
    </w:p>
    <w:p w14:paraId="06A94A4A" w14:textId="77777777" w:rsidR="008F4666" w:rsidRDefault="008F4666" w:rsidP="008F4666">
      <w:pPr>
        <w:jc w:val="both"/>
        <w:rPr>
          <w:rFonts w:asciiTheme="majorHAnsi" w:hAnsiTheme="majorHAnsi"/>
          <w:b/>
          <w:bCs/>
          <w:sz w:val="22"/>
          <w:szCs w:val="22"/>
          <w:lang w:val="es-ES_tradnl"/>
        </w:rPr>
      </w:pPr>
    </w:p>
    <w:p w14:paraId="795800B0" w14:textId="05C5B5E6" w:rsidR="00AD2171" w:rsidRPr="00AD2171" w:rsidRDefault="00AD2171" w:rsidP="00AD2171">
      <w:pPr>
        <w:jc w:val="center"/>
        <w:rPr>
          <w:rFonts w:asciiTheme="majorHAnsi" w:hAnsiTheme="majorHAnsi"/>
          <w:bCs/>
          <w:sz w:val="22"/>
          <w:szCs w:val="22"/>
          <w:lang w:val="es-ES_tradnl"/>
        </w:rPr>
      </w:pPr>
      <w:r w:rsidRPr="00AD2171">
        <w:rPr>
          <w:rFonts w:asciiTheme="majorHAnsi" w:hAnsiTheme="majorHAnsi"/>
          <w:bCs/>
          <w:sz w:val="22"/>
          <w:szCs w:val="22"/>
          <w:lang w:val="es-ES_tradnl"/>
        </w:rPr>
        <w:t>Cuadro 8</w:t>
      </w:r>
      <w:r w:rsidR="009E074D">
        <w:rPr>
          <w:rFonts w:asciiTheme="majorHAnsi" w:hAnsiTheme="majorHAnsi"/>
          <w:bCs/>
          <w:sz w:val="22"/>
          <w:szCs w:val="22"/>
          <w:lang w:val="es-ES_tradnl"/>
        </w:rPr>
        <w:t xml:space="preserve">: </w:t>
      </w:r>
      <w:r w:rsidRPr="00AD2171">
        <w:rPr>
          <w:rFonts w:asciiTheme="majorHAnsi" w:hAnsiTheme="majorHAnsi"/>
          <w:bCs/>
          <w:sz w:val="22"/>
          <w:szCs w:val="22"/>
          <w:lang w:val="es-ES_tradnl"/>
        </w:rPr>
        <w:t>Metas por dependencia</w:t>
      </w:r>
    </w:p>
    <w:tbl>
      <w:tblPr>
        <w:tblW w:w="8505" w:type="dxa"/>
        <w:tblInd w:w="704" w:type="dxa"/>
        <w:tblCellMar>
          <w:left w:w="70" w:type="dxa"/>
          <w:right w:w="70" w:type="dxa"/>
        </w:tblCellMar>
        <w:tblLook w:val="04A0" w:firstRow="1" w:lastRow="0" w:firstColumn="1" w:lastColumn="0" w:noHBand="0" w:noVBand="1"/>
      </w:tblPr>
      <w:tblGrid>
        <w:gridCol w:w="1305"/>
        <w:gridCol w:w="760"/>
        <w:gridCol w:w="6440"/>
      </w:tblGrid>
      <w:tr w:rsidR="00C845A2" w14:paraId="126282F2" w14:textId="77777777" w:rsidTr="00C845A2">
        <w:trPr>
          <w:trHeight w:val="255"/>
          <w:tblHeader/>
        </w:trPr>
        <w:tc>
          <w:tcPr>
            <w:tcW w:w="1305"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10029151" w14:textId="77777777" w:rsidR="00C845A2" w:rsidRDefault="00C845A2">
            <w:pPr>
              <w:jc w:val="center"/>
              <w:rPr>
                <w:rFonts w:ascii="Arial" w:hAnsi="Arial" w:cs="Arial"/>
                <w:b/>
                <w:bCs/>
                <w:sz w:val="16"/>
                <w:szCs w:val="16"/>
              </w:rPr>
            </w:pPr>
            <w:r>
              <w:rPr>
                <w:rFonts w:ascii="Arial" w:hAnsi="Arial" w:cs="Arial"/>
                <w:b/>
                <w:bCs/>
                <w:sz w:val="16"/>
                <w:szCs w:val="16"/>
              </w:rPr>
              <w:t>DEPENDENCIA</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D8D97FB" w14:textId="77777777" w:rsidR="00C845A2" w:rsidRDefault="00C845A2">
            <w:pPr>
              <w:jc w:val="center"/>
              <w:rPr>
                <w:rFonts w:ascii="Arial" w:hAnsi="Arial" w:cs="Arial"/>
                <w:b/>
                <w:bCs/>
                <w:sz w:val="16"/>
                <w:szCs w:val="16"/>
              </w:rPr>
            </w:pPr>
            <w:r>
              <w:rPr>
                <w:rFonts w:ascii="Arial" w:hAnsi="Arial" w:cs="Arial"/>
                <w:b/>
                <w:bCs/>
                <w:sz w:val="16"/>
                <w:szCs w:val="16"/>
              </w:rPr>
              <w:t xml:space="preserve"> # META</w:t>
            </w:r>
          </w:p>
        </w:tc>
        <w:tc>
          <w:tcPr>
            <w:tcW w:w="6440" w:type="dxa"/>
            <w:vMerge w:val="restart"/>
            <w:tcBorders>
              <w:top w:val="single" w:sz="4" w:space="0" w:color="auto"/>
              <w:left w:val="single" w:sz="4" w:space="0" w:color="auto"/>
              <w:bottom w:val="single" w:sz="4" w:space="0" w:color="000000"/>
              <w:right w:val="single" w:sz="4" w:space="0" w:color="auto"/>
            </w:tcBorders>
            <w:shd w:val="clear" w:color="000000" w:fill="8DB4E2"/>
            <w:vAlign w:val="center"/>
            <w:hideMark/>
          </w:tcPr>
          <w:p w14:paraId="4C0C63EE" w14:textId="77777777" w:rsidR="00C845A2" w:rsidRDefault="00C845A2">
            <w:pPr>
              <w:jc w:val="center"/>
              <w:rPr>
                <w:rFonts w:ascii="Arial" w:hAnsi="Arial" w:cs="Arial"/>
                <w:b/>
                <w:bCs/>
                <w:sz w:val="16"/>
                <w:szCs w:val="16"/>
              </w:rPr>
            </w:pPr>
            <w:r>
              <w:rPr>
                <w:rFonts w:ascii="Arial" w:hAnsi="Arial" w:cs="Arial"/>
                <w:b/>
                <w:bCs/>
                <w:sz w:val="16"/>
                <w:szCs w:val="16"/>
              </w:rPr>
              <w:t>ENUNCIADO</w:t>
            </w:r>
          </w:p>
        </w:tc>
      </w:tr>
      <w:tr w:rsidR="00C845A2" w14:paraId="2E8CC333" w14:textId="77777777" w:rsidTr="00C845A2">
        <w:trPr>
          <w:trHeight w:val="527"/>
        </w:trPr>
        <w:tc>
          <w:tcPr>
            <w:tcW w:w="1305" w:type="dxa"/>
            <w:vMerge/>
            <w:tcBorders>
              <w:top w:val="single" w:sz="4" w:space="0" w:color="auto"/>
              <w:left w:val="single" w:sz="4" w:space="0" w:color="auto"/>
              <w:bottom w:val="single" w:sz="4" w:space="0" w:color="000000"/>
              <w:right w:val="single" w:sz="4" w:space="0" w:color="auto"/>
            </w:tcBorders>
            <w:vAlign w:val="center"/>
            <w:hideMark/>
          </w:tcPr>
          <w:p w14:paraId="68463D73" w14:textId="77777777" w:rsidR="00C845A2" w:rsidRDefault="00C845A2">
            <w:pPr>
              <w:rPr>
                <w:rFonts w:ascii="Arial" w:hAnsi="Arial" w:cs="Arial"/>
                <w:b/>
                <w:bCs/>
                <w:sz w:val="16"/>
                <w:szCs w:val="16"/>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14:paraId="69B0662D" w14:textId="77777777" w:rsidR="00C845A2" w:rsidRDefault="00C845A2">
            <w:pPr>
              <w:rPr>
                <w:rFonts w:ascii="Arial" w:hAnsi="Arial" w:cs="Arial"/>
                <w:b/>
                <w:bCs/>
                <w:sz w:val="16"/>
                <w:szCs w:val="16"/>
              </w:rPr>
            </w:pPr>
          </w:p>
        </w:tc>
        <w:tc>
          <w:tcPr>
            <w:tcW w:w="6440" w:type="dxa"/>
            <w:vMerge/>
            <w:tcBorders>
              <w:top w:val="single" w:sz="4" w:space="0" w:color="auto"/>
              <w:left w:val="single" w:sz="4" w:space="0" w:color="auto"/>
              <w:bottom w:val="single" w:sz="4" w:space="0" w:color="000000"/>
              <w:right w:val="single" w:sz="4" w:space="0" w:color="auto"/>
            </w:tcBorders>
            <w:vAlign w:val="center"/>
            <w:hideMark/>
          </w:tcPr>
          <w:p w14:paraId="2F4CC0CA" w14:textId="77777777" w:rsidR="00C845A2" w:rsidRDefault="00C845A2">
            <w:pPr>
              <w:rPr>
                <w:rFonts w:ascii="Arial" w:hAnsi="Arial" w:cs="Arial"/>
                <w:b/>
                <w:bCs/>
                <w:sz w:val="16"/>
                <w:szCs w:val="16"/>
              </w:rPr>
            </w:pPr>
          </w:p>
        </w:tc>
      </w:tr>
      <w:tr w:rsidR="00C845A2" w14:paraId="70E53284"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vAlign w:val="center"/>
            <w:hideMark/>
          </w:tcPr>
          <w:p w14:paraId="69294FBF" w14:textId="77777777" w:rsidR="00C845A2" w:rsidRDefault="00C845A2">
            <w:pPr>
              <w:rPr>
                <w:rFonts w:ascii="Arial" w:hAnsi="Arial" w:cs="Arial"/>
                <w:b/>
                <w:bCs/>
                <w:sz w:val="16"/>
                <w:szCs w:val="16"/>
              </w:rPr>
            </w:pPr>
            <w:r>
              <w:rPr>
                <w:rFonts w:ascii="Arial" w:hAnsi="Arial" w:cs="Arial"/>
                <w:b/>
                <w:bCs/>
                <w:sz w:val="16"/>
                <w:szCs w:val="16"/>
              </w:rPr>
              <w:t>DESPACHO</w:t>
            </w:r>
          </w:p>
        </w:tc>
      </w:tr>
      <w:tr w:rsidR="00C845A2" w14:paraId="1DCC3EFB" w14:textId="77777777" w:rsidTr="00C845A2">
        <w:trPr>
          <w:trHeight w:val="66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23CFF3E1"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7BCBD760" w14:textId="77777777" w:rsidR="00C845A2" w:rsidRDefault="00C845A2">
            <w:pPr>
              <w:jc w:val="center"/>
              <w:rPr>
                <w:rFonts w:ascii="Arial" w:hAnsi="Arial" w:cs="Arial"/>
                <w:b/>
                <w:bCs/>
                <w:sz w:val="16"/>
                <w:szCs w:val="16"/>
              </w:rPr>
            </w:pPr>
            <w:r>
              <w:rPr>
                <w:rFonts w:ascii="Arial" w:hAnsi="Arial" w:cs="Arial"/>
                <w:b/>
                <w:bCs/>
                <w:sz w:val="16"/>
                <w:szCs w:val="16"/>
              </w:rPr>
              <w:t>1</w:t>
            </w:r>
          </w:p>
        </w:tc>
        <w:tc>
          <w:tcPr>
            <w:tcW w:w="6440" w:type="dxa"/>
            <w:tcBorders>
              <w:top w:val="nil"/>
              <w:left w:val="nil"/>
              <w:bottom w:val="single" w:sz="4" w:space="0" w:color="auto"/>
              <w:right w:val="single" w:sz="4" w:space="0" w:color="auto"/>
            </w:tcBorders>
            <w:shd w:val="clear" w:color="auto" w:fill="auto"/>
            <w:vAlign w:val="center"/>
            <w:hideMark/>
          </w:tcPr>
          <w:p w14:paraId="56127981" w14:textId="77777777" w:rsidR="00C845A2" w:rsidRDefault="00C845A2">
            <w:pPr>
              <w:rPr>
                <w:rFonts w:ascii="Arial" w:hAnsi="Arial" w:cs="Arial"/>
                <w:sz w:val="16"/>
                <w:szCs w:val="16"/>
              </w:rPr>
            </w:pPr>
            <w:r>
              <w:rPr>
                <w:rFonts w:ascii="Arial" w:hAnsi="Arial" w:cs="Arial"/>
                <w:sz w:val="16"/>
                <w:szCs w:val="16"/>
              </w:rPr>
              <w:t xml:space="preserve">Tener, en promedio, los indicadores de cumplimiento de metas de toda la Superintendencia con nota superior al 85%. </w:t>
            </w:r>
          </w:p>
        </w:tc>
      </w:tr>
      <w:tr w:rsidR="00C845A2" w14:paraId="64E30967"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F98D2FD" w14:textId="77777777" w:rsidR="00C845A2" w:rsidRDefault="00C845A2">
            <w:pPr>
              <w:rPr>
                <w:rFonts w:ascii="Arial" w:hAnsi="Arial" w:cs="Arial"/>
                <w:b/>
                <w:bCs/>
                <w:sz w:val="16"/>
                <w:szCs w:val="16"/>
              </w:rPr>
            </w:pPr>
            <w:r>
              <w:rPr>
                <w:rFonts w:ascii="Arial" w:hAnsi="Arial" w:cs="Arial"/>
                <w:b/>
                <w:bCs/>
                <w:sz w:val="16"/>
                <w:szCs w:val="16"/>
              </w:rPr>
              <w:t>DIVISIÓN JURÍDICA</w:t>
            </w:r>
          </w:p>
        </w:tc>
      </w:tr>
      <w:tr w:rsidR="00C845A2" w14:paraId="6FCCDCEA" w14:textId="77777777" w:rsidTr="00C845A2">
        <w:trPr>
          <w:trHeight w:val="792"/>
        </w:trPr>
        <w:tc>
          <w:tcPr>
            <w:tcW w:w="1305" w:type="dxa"/>
            <w:vMerge w:val="restart"/>
            <w:tcBorders>
              <w:top w:val="nil"/>
              <w:left w:val="single" w:sz="4" w:space="0" w:color="auto"/>
              <w:bottom w:val="nil"/>
              <w:right w:val="single" w:sz="4" w:space="0" w:color="auto"/>
            </w:tcBorders>
            <w:shd w:val="clear" w:color="000000" w:fill="FFFFFF"/>
            <w:vAlign w:val="center"/>
            <w:hideMark/>
          </w:tcPr>
          <w:p w14:paraId="74EC97EB"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338D1AF7" w14:textId="77777777" w:rsidR="00C845A2" w:rsidRDefault="00C845A2">
            <w:pPr>
              <w:jc w:val="center"/>
              <w:rPr>
                <w:rFonts w:ascii="Arial" w:hAnsi="Arial" w:cs="Arial"/>
                <w:b/>
                <w:bCs/>
                <w:sz w:val="16"/>
                <w:szCs w:val="16"/>
              </w:rPr>
            </w:pPr>
            <w:r>
              <w:rPr>
                <w:rFonts w:ascii="Arial" w:hAnsi="Arial" w:cs="Arial"/>
                <w:b/>
                <w:bCs/>
                <w:sz w:val="16"/>
                <w:szCs w:val="16"/>
              </w:rPr>
              <w:t>2</w:t>
            </w:r>
          </w:p>
        </w:tc>
        <w:tc>
          <w:tcPr>
            <w:tcW w:w="6440" w:type="dxa"/>
            <w:tcBorders>
              <w:top w:val="nil"/>
              <w:left w:val="nil"/>
              <w:bottom w:val="single" w:sz="4" w:space="0" w:color="auto"/>
              <w:right w:val="single" w:sz="4" w:space="0" w:color="auto"/>
            </w:tcBorders>
            <w:shd w:val="clear" w:color="auto" w:fill="auto"/>
            <w:vAlign w:val="center"/>
            <w:hideMark/>
          </w:tcPr>
          <w:p w14:paraId="475054AA" w14:textId="1C9DE8F4" w:rsidR="00C845A2" w:rsidRDefault="00C845A2">
            <w:pPr>
              <w:rPr>
                <w:rFonts w:ascii="Arial" w:hAnsi="Arial" w:cs="Arial"/>
                <w:sz w:val="16"/>
                <w:szCs w:val="16"/>
              </w:rPr>
            </w:pPr>
            <w:r>
              <w:rPr>
                <w:rFonts w:ascii="Arial" w:hAnsi="Arial" w:cs="Arial"/>
                <w:sz w:val="16"/>
                <w:szCs w:val="16"/>
              </w:rPr>
              <w:t xml:space="preserve">Tramitar en tiempo las solicitudes de asesoría jurídica, denuncias y/o consultas jurídicas; las denuncias y/o consultas de los afiliados </w:t>
            </w:r>
            <w:r w:rsidR="00130D45">
              <w:rPr>
                <w:rFonts w:ascii="Arial" w:hAnsi="Arial" w:cs="Arial"/>
                <w:sz w:val="16"/>
                <w:szCs w:val="16"/>
              </w:rPr>
              <w:t>y los</w:t>
            </w:r>
            <w:r>
              <w:rPr>
                <w:rFonts w:ascii="Arial" w:hAnsi="Arial" w:cs="Arial"/>
                <w:sz w:val="16"/>
                <w:szCs w:val="16"/>
              </w:rPr>
              <w:t xml:space="preserve"> trámites judiciales</w:t>
            </w:r>
            <w:r w:rsidR="00130D45">
              <w:rPr>
                <w:rFonts w:ascii="Arial" w:hAnsi="Arial" w:cs="Arial"/>
                <w:sz w:val="16"/>
                <w:szCs w:val="16"/>
              </w:rPr>
              <w:t>.</w:t>
            </w:r>
          </w:p>
        </w:tc>
      </w:tr>
      <w:tr w:rsidR="00C845A2" w14:paraId="2DD106B3" w14:textId="77777777" w:rsidTr="00C845A2">
        <w:trPr>
          <w:trHeight w:val="878"/>
        </w:trPr>
        <w:tc>
          <w:tcPr>
            <w:tcW w:w="1305" w:type="dxa"/>
            <w:vMerge/>
            <w:tcBorders>
              <w:top w:val="nil"/>
              <w:left w:val="single" w:sz="4" w:space="0" w:color="auto"/>
              <w:bottom w:val="nil"/>
              <w:right w:val="single" w:sz="4" w:space="0" w:color="auto"/>
            </w:tcBorders>
            <w:vAlign w:val="center"/>
            <w:hideMark/>
          </w:tcPr>
          <w:p w14:paraId="2143F113" w14:textId="77777777" w:rsidR="00C845A2" w:rsidRDefault="00C845A2">
            <w:pPr>
              <w:rPr>
                <w:rFonts w:ascii="Arial" w:hAnsi="Arial" w:cs="Arial"/>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46842751" w14:textId="77777777" w:rsidR="00C845A2" w:rsidRDefault="00C845A2">
            <w:pPr>
              <w:jc w:val="center"/>
              <w:rPr>
                <w:rFonts w:ascii="Arial" w:hAnsi="Arial" w:cs="Arial"/>
                <w:b/>
                <w:bCs/>
                <w:sz w:val="16"/>
                <w:szCs w:val="16"/>
              </w:rPr>
            </w:pPr>
            <w:r>
              <w:rPr>
                <w:rFonts w:ascii="Arial" w:hAnsi="Arial" w:cs="Arial"/>
                <w:b/>
                <w:bCs/>
                <w:sz w:val="16"/>
                <w:szCs w:val="16"/>
              </w:rPr>
              <w:t>3</w:t>
            </w:r>
          </w:p>
        </w:tc>
        <w:tc>
          <w:tcPr>
            <w:tcW w:w="6440" w:type="dxa"/>
            <w:tcBorders>
              <w:top w:val="nil"/>
              <w:left w:val="nil"/>
              <w:bottom w:val="single" w:sz="4" w:space="0" w:color="auto"/>
              <w:right w:val="single" w:sz="4" w:space="0" w:color="auto"/>
            </w:tcBorders>
            <w:shd w:val="clear" w:color="auto" w:fill="auto"/>
            <w:vAlign w:val="center"/>
            <w:hideMark/>
          </w:tcPr>
          <w:p w14:paraId="56E517DB" w14:textId="208E0EF6" w:rsidR="00C845A2" w:rsidRDefault="00C845A2">
            <w:pPr>
              <w:rPr>
                <w:rFonts w:ascii="Arial" w:hAnsi="Arial" w:cs="Arial"/>
                <w:sz w:val="16"/>
                <w:szCs w:val="16"/>
              </w:rPr>
            </w:pPr>
            <w:r>
              <w:rPr>
                <w:rFonts w:ascii="Arial" w:hAnsi="Arial" w:cs="Arial"/>
                <w:sz w:val="16"/>
                <w:szCs w:val="16"/>
              </w:rPr>
              <w:t>Tramitar en un tiempo promedio no superior de seis meses calendario los procedimientos administrativos iniciados por la Superintendencia de Pensiones</w:t>
            </w:r>
            <w:r w:rsidR="00130D45">
              <w:rPr>
                <w:rFonts w:ascii="Arial" w:hAnsi="Arial" w:cs="Arial"/>
                <w:sz w:val="16"/>
                <w:szCs w:val="16"/>
              </w:rPr>
              <w:t>.</w:t>
            </w:r>
          </w:p>
        </w:tc>
      </w:tr>
      <w:tr w:rsidR="00C845A2" w14:paraId="1DDF8886" w14:textId="77777777" w:rsidTr="00C845A2">
        <w:trPr>
          <w:trHeight w:val="360"/>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6FAC836" w14:textId="77777777" w:rsidR="00C845A2" w:rsidRDefault="00C845A2">
            <w:pPr>
              <w:rPr>
                <w:rFonts w:ascii="Arial" w:hAnsi="Arial" w:cs="Arial"/>
                <w:b/>
                <w:bCs/>
                <w:sz w:val="16"/>
                <w:szCs w:val="16"/>
              </w:rPr>
            </w:pPr>
            <w:r>
              <w:rPr>
                <w:rFonts w:ascii="Arial" w:hAnsi="Arial" w:cs="Arial"/>
                <w:b/>
                <w:bCs/>
                <w:sz w:val="16"/>
                <w:szCs w:val="16"/>
              </w:rPr>
              <w:t>DIVISIÓN DE PLANIFICACIÓN Y NORMATIVA</w:t>
            </w:r>
          </w:p>
        </w:tc>
      </w:tr>
      <w:tr w:rsidR="00C845A2" w14:paraId="01C088D4" w14:textId="77777777" w:rsidTr="00C845A2">
        <w:trPr>
          <w:trHeight w:val="450"/>
        </w:trPr>
        <w:tc>
          <w:tcPr>
            <w:tcW w:w="1305" w:type="dxa"/>
            <w:vMerge w:val="restart"/>
            <w:tcBorders>
              <w:top w:val="nil"/>
              <w:left w:val="single" w:sz="4" w:space="0" w:color="auto"/>
              <w:bottom w:val="nil"/>
              <w:right w:val="nil"/>
            </w:tcBorders>
            <w:shd w:val="clear" w:color="auto" w:fill="auto"/>
            <w:vAlign w:val="center"/>
            <w:hideMark/>
          </w:tcPr>
          <w:p w14:paraId="23854C68"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BD0EF72" w14:textId="77777777" w:rsidR="00C845A2" w:rsidRDefault="00C845A2">
            <w:pPr>
              <w:jc w:val="center"/>
              <w:rPr>
                <w:rFonts w:ascii="Arial" w:hAnsi="Arial" w:cs="Arial"/>
                <w:b/>
                <w:bCs/>
                <w:sz w:val="16"/>
                <w:szCs w:val="16"/>
              </w:rPr>
            </w:pPr>
            <w:r>
              <w:rPr>
                <w:rFonts w:ascii="Arial" w:hAnsi="Arial" w:cs="Arial"/>
                <w:b/>
                <w:bCs/>
                <w:sz w:val="16"/>
                <w:szCs w:val="16"/>
              </w:rPr>
              <w:t>4</w:t>
            </w:r>
          </w:p>
        </w:tc>
        <w:tc>
          <w:tcPr>
            <w:tcW w:w="6440" w:type="dxa"/>
            <w:tcBorders>
              <w:top w:val="nil"/>
              <w:left w:val="nil"/>
              <w:bottom w:val="nil"/>
              <w:right w:val="single" w:sz="4" w:space="0" w:color="auto"/>
            </w:tcBorders>
            <w:shd w:val="clear" w:color="000000" w:fill="FFFFFF"/>
            <w:vAlign w:val="center"/>
            <w:hideMark/>
          </w:tcPr>
          <w:p w14:paraId="297ED510" w14:textId="009FBCF4" w:rsidR="00C845A2" w:rsidRDefault="00C845A2">
            <w:pPr>
              <w:rPr>
                <w:rFonts w:ascii="Arial" w:hAnsi="Arial" w:cs="Arial"/>
                <w:sz w:val="16"/>
                <w:szCs w:val="16"/>
              </w:rPr>
            </w:pPr>
            <w:r>
              <w:rPr>
                <w:rFonts w:ascii="Arial" w:hAnsi="Arial" w:cs="Arial"/>
                <w:sz w:val="16"/>
                <w:szCs w:val="16"/>
              </w:rPr>
              <w:t>Gestionar el desarrollo de la planificación estratégica institucional</w:t>
            </w:r>
            <w:r w:rsidR="00130D45">
              <w:rPr>
                <w:rFonts w:ascii="Arial" w:hAnsi="Arial" w:cs="Arial"/>
                <w:sz w:val="16"/>
                <w:szCs w:val="16"/>
              </w:rPr>
              <w:t>.</w:t>
            </w:r>
          </w:p>
        </w:tc>
      </w:tr>
      <w:tr w:rsidR="00C845A2" w14:paraId="674198FE" w14:textId="77777777" w:rsidTr="00C845A2">
        <w:trPr>
          <w:trHeight w:val="450"/>
        </w:trPr>
        <w:tc>
          <w:tcPr>
            <w:tcW w:w="1305" w:type="dxa"/>
            <w:vMerge/>
            <w:tcBorders>
              <w:top w:val="nil"/>
              <w:left w:val="single" w:sz="4" w:space="0" w:color="auto"/>
              <w:bottom w:val="nil"/>
              <w:right w:val="nil"/>
            </w:tcBorders>
            <w:vAlign w:val="center"/>
            <w:hideMark/>
          </w:tcPr>
          <w:p w14:paraId="524DE177" w14:textId="77777777" w:rsidR="00C845A2" w:rsidRDefault="00C845A2">
            <w:pPr>
              <w:rPr>
                <w:rFonts w:ascii="Arial" w:hAnsi="Arial" w:cs="Arial"/>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10CF71C5" w14:textId="77777777" w:rsidR="00C845A2" w:rsidRDefault="00C845A2">
            <w:pPr>
              <w:jc w:val="center"/>
              <w:rPr>
                <w:rFonts w:ascii="Arial" w:hAnsi="Arial" w:cs="Arial"/>
                <w:b/>
                <w:bCs/>
                <w:sz w:val="16"/>
                <w:szCs w:val="16"/>
              </w:rPr>
            </w:pPr>
            <w:r>
              <w:rPr>
                <w:rFonts w:ascii="Arial" w:hAnsi="Arial" w:cs="Arial"/>
                <w:b/>
                <w:bCs/>
                <w:sz w:val="16"/>
                <w:szCs w:val="16"/>
              </w:rPr>
              <w:t>5</w:t>
            </w:r>
          </w:p>
        </w:tc>
        <w:tc>
          <w:tcPr>
            <w:tcW w:w="6440" w:type="dxa"/>
            <w:tcBorders>
              <w:top w:val="single" w:sz="4" w:space="0" w:color="auto"/>
              <w:left w:val="nil"/>
              <w:bottom w:val="nil"/>
              <w:right w:val="single" w:sz="4" w:space="0" w:color="auto"/>
            </w:tcBorders>
            <w:shd w:val="clear" w:color="000000" w:fill="FFFFFF"/>
            <w:vAlign w:val="center"/>
            <w:hideMark/>
          </w:tcPr>
          <w:p w14:paraId="014C4D64" w14:textId="77777777" w:rsidR="00C845A2" w:rsidRDefault="00C845A2">
            <w:pPr>
              <w:rPr>
                <w:rFonts w:ascii="Arial" w:hAnsi="Arial" w:cs="Arial"/>
                <w:sz w:val="16"/>
                <w:szCs w:val="16"/>
              </w:rPr>
            </w:pPr>
            <w:r>
              <w:rPr>
                <w:rFonts w:ascii="Arial" w:hAnsi="Arial" w:cs="Arial"/>
                <w:sz w:val="16"/>
                <w:szCs w:val="16"/>
              </w:rPr>
              <w:t>Gestionar la administración del portafolio institucional de proyectos.</w:t>
            </w:r>
          </w:p>
        </w:tc>
      </w:tr>
      <w:tr w:rsidR="00C845A2" w14:paraId="1A1DC772" w14:textId="77777777" w:rsidTr="00C845A2">
        <w:trPr>
          <w:trHeight w:val="450"/>
        </w:trPr>
        <w:tc>
          <w:tcPr>
            <w:tcW w:w="1305" w:type="dxa"/>
            <w:vMerge/>
            <w:tcBorders>
              <w:top w:val="nil"/>
              <w:left w:val="single" w:sz="4" w:space="0" w:color="auto"/>
              <w:bottom w:val="nil"/>
              <w:right w:val="nil"/>
            </w:tcBorders>
            <w:vAlign w:val="center"/>
            <w:hideMark/>
          </w:tcPr>
          <w:p w14:paraId="5A9733CC" w14:textId="77777777" w:rsidR="00C845A2" w:rsidRDefault="00C845A2">
            <w:pPr>
              <w:rPr>
                <w:rFonts w:ascii="Arial" w:hAnsi="Arial" w:cs="Arial"/>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75AAF126" w14:textId="77777777" w:rsidR="00C845A2" w:rsidRDefault="00C845A2">
            <w:pPr>
              <w:jc w:val="center"/>
              <w:rPr>
                <w:rFonts w:ascii="Arial" w:hAnsi="Arial" w:cs="Arial"/>
                <w:b/>
                <w:bCs/>
                <w:sz w:val="16"/>
                <w:szCs w:val="16"/>
              </w:rPr>
            </w:pPr>
            <w:r>
              <w:rPr>
                <w:rFonts w:ascii="Arial" w:hAnsi="Arial" w:cs="Arial"/>
                <w:b/>
                <w:bCs/>
                <w:sz w:val="16"/>
                <w:szCs w:val="16"/>
              </w:rPr>
              <w:t>6</w:t>
            </w:r>
          </w:p>
        </w:tc>
        <w:tc>
          <w:tcPr>
            <w:tcW w:w="6440" w:type="dxa"/>
            <w:tcBorders>
              <w:top w:val="single" w:sz="4" w:space="0" w:color="auto"/>
              <w:left w:val="nil"/>
              <w:bottom w:val="nil"/>
              <w:right w:val="single" w:sz="4" w:space="0" w:color="auto"/>
            </w:tcBorders>
            <w:shd w:val="clear" w:color="000000" w:fill="FFFFFF"/>
            <w:vAlign w:val="center"/>
            <w:hideMark/>
          </w:tcPr>
          <w:p w14:paraId="39F2290E" w14:textId="77777777" w:rsidR="00C845A2" w:rsidRDefault="00C845A2">
            <w:pPr>
              <w:rPr>
                <w:rFonts w:ascii="Arial" w:hAnsi="Arial" w:cs="Arial"/>
                <w:sz w:val="16"/>
                <w:szCs w:val="16"/>
              </w:rPr>
            </w:pPr>
            <w:r>
              <w:rPr>
                <w:rFonts w:ascii="Arial" w:hAnsi="Arial" w:cs="Arial"/>
                <w:sz w:val="16"/>
                <w:szCs w:val="16"/>
              </w:rPr>
              <w:t>Tramitar las solicitudes de información y estudios particulares.</w:t>
            </w:r>
          </w:p>
        </w:tc>
      </w:tr>
      <w:tr w:rsidR="00C845A2" w14:paraId="6E78DD01" w14:textId="77777777" w:rsidTr="00C845A2">
        <w:trPr>
          <w:trHeight w:val="675"/>
        </w:trPr>
        <w:tc>
          <w:tcPr>
            <w:tcW w:w="1305" w:type="dxa"/>
            <w:vMerge/>
            <w:tcBorders>
              <w:top w:val="nil"/>
              <w:left w:val="single" w:sz="4" w:space="0" w:color="auto"/>
              <w:bottom w:val="nil"/>
              <w:right w:val="nil"/>
            </w:tcBorders>
            <w:vAlign w:val="center"/>
            <w:hideMark/>
          </w:tcPr>
          <w:p w14:paraId="03790D3A" w14:textId="77777777" w:rsidR="00C845A2" w:rsidRDefault="00C845A2">
            <w:pPr>
              <w:rPr>
                <w:rFonts w:ascii="Arial" w:hAnsi="Arial" w:cs="Arial"/>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55FD0F02" w14:textId="77777777" w:rsidR="00C845A2" w:rsidRDefault="00C845A2">
            <w:pPr>
              <w:jc w:val="center"/>
              <w:rPr>
                <w:rFonts w:ascii="Arial" w:hAnsi="Arial" w:cs="Arial"/>
                <w:b/>
                <w:bCs/>
                <w:sz w:val="16"/>
                <w:szCs w:val="16"/>
              </w:rPr>
            </w:pPr>
            <w:r>
              <w:rPr>
                <w:rFonts w:ascii="Arial" w:hAnsi="Arial" w:cs="Arial"/>
                <w:b/>
                <w:bCs/>
                <w:sz w:val="16"/>
                <w:szCs w:val="16"/>
              </w:rPr>
              <w:t>7</w:t>
            </w:r>
          </w:p>
        </w:tc>
        <w:tc>
          <w:tcPr>
            <w:tcW w:w="6440" w:type="dxa"/>
            <w:tcBorders>
              <w:top w:val="single" w:sz="4" w:space="0" w:color="auto"/>
              <w:left w:val="nil"/>
              <w:bottom w:val="nil"/>
              <w:right w:val="single" w:sz="4" w:space="0" w:color="auto"/>
            </w:tcBorders>
            <w:shd w:val="clear" w:color="000000" w:fill="FFFFFF"/>
            <w:vAlign w:val="center"/>
            <w:hideMark/>
          </w:tcPr>
          <w:p w14:paraId="6835AE9E" w14:textId="77777777" w:rsidR="00C845A2" w:rsidRDefault="00C845A2">
            <w:pPr>
              <w:rPr>
                <w:rFonts w:ascii="Arial" w:hAnsi="Arial" w:cs="Arial"/>
                <w:sz w:val="16"/>
                <w:szCs w:val="16"/>
              </w:rPr>
            </w:pPr>
            <w:r>
              <w:rPr>
                <w:rFonts w:ascii="Arial" w:hAnsi="Arial" w:cs="Arial"/>
                <w:sz w:val="16"/>
                <w:szCs w:val="16"/>
              </w:rPr>
              <w:t>Tramitar oportunamente las solicitudes de aprobación y autorización requeridas por los participantes del Sistema Nacional de Pensiones.</w:t>
            </w:r>
          </w:p>
        </w:tc>
      </w:tr>
      <w:tr w:rsidR="00C845A2" w14:paraId="3A1BE0BC" w14:textId="77777777" w:rsidTr="00C845A2">
        <w:trPr>
          <w:trHeight w:val="450"/>
        </w:trPr>
        <w:tc>
          <w:tcPr>
            <w:tcW w:w="1305" w:type="dxa"/>
            <w:vMerge/>
            <w:tcBorders>
              <w:top w:val="nil"/>
              <w:left w:val="single" w:sz="4" w:space="0" w:color="auto"/>
              <w:bottom w:val="nil"/>
              <w:right w:val="nil"/>
            </w:tcBorders>
            <w:vAlign w:val="center"/>
            <w:hideMark/>
          </w:tcPr>
          <w:p w14:paraId="2DC36800" w14:textId="77777777" w:rsidR="00C845A2" w:rsidRDefault="00C845A2">
            <w:pPr>
              <w:rPr>
                <w:rFonts w:ascii="Arial" w:hAnsi="Arial" w:cs="Arial"/>
                <w:b/>
                <w:bCs/>
                <w:sz w:val="16"/>
                <w:szCs w:val="16"/>
              </w:rPr>
            </w:pP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3C798C8F" w14:textId="77777777" w:rsidR="00C845A2" w:rsidRDefault="00C845A2">
            <w:pPr>
              <w:jc w:val="center"/>
              <w:rPr>
                <w:rFonts w:ascii="Arial" w:hAnsi="Arial" w:cs="Arial"/>
                <w:b/>
                <w:bCs/>
                <w:sz w:val="16"/>
                <w:szCs w:val="16"/>
              </w:rPr>
            </w:pPr>
            <w:r>
              <w:rPr>
                <w:rFonts w:ascii="Arial" w:hAnsi="Arial" w:cs="Arial"/>
                <w:b/>
                <w:bCs/>
                <w:sz w:val="16"/>
                <w:szCs w:val="16"/>
              </w:rPr>
              <w:t>8</w:t>
            </w:r>
          </w:p>
        </w:tc>
        <w:tc>
          <w:tcPr>
            <w:tcW w:w="6440" w:type="dxa"/>
            <w:tcBorders>
              <w:top w:val="single" w:sz="4" w:space="0" w:color="auto"/>
              <w:left w:val="nil"/>
              <w:bottom w:val="single" w:sz="4" w:space="0" w:color="auto"/>
              <w:right w:val="single" w:sz="4" w:space="0" w:color="auto"/>
            </w:tcBorders>
            <w:shd w:val="clear" w:color="000000" w:fill="FFFFFF"/>
            <w:vAlign w:val="center"/>
            <w:hideMark/>
          </w:tcPr>
          <w:p w14:paraId="1E122B82" w14:textId="10F7EC8D" w:rsidR="00C845A2" w:rsidRDefault="00C845A2">
            <w:pPr>
              <w:rPr>
                <w:rFonts w:ascii="Arial" w:hAnsi="Arial" w:cs="Arial"/>
                <w:sz w:val="16"/>
                <w:szCs w:val="16"/>
              </w:rPr>
            </w:pPr>
            <w:r>
              <w:rPr>
                <w:rFonts w:ascii="Arial" w:hAnsi="Arial" w:cs="Arial"/>
                <w:sz w:val="16"/>
                <w:szCs w:val="16"/>
              </w:rPr>
              <w:t>Mantener alineado el marco regulatorio del Sistema Nacional de Pensiones a los intereses de la organización</w:t>
            </w:r>
            <w:r w:rsidR="00130D45">
              <w:rPr>
                <w:rFonts w:ascii="Arial" w:hAnsi="Arial" w:cs="Arial"/>
                <w:sz w:val="16"/>
                <w:szCs w:val="16"/>
              </w:rPr>
              <w:t>.</w:t>
            </w:r>
          </w:p>
        </w:tc>
      </w:tr>
      <w:tr w:rsidR="00C845A2" w14:paraId="63B0036E" w14:textId="77777777" w:rsidTr="00C845A2">
        <w:trPr>
          <w:trHeight w:val="330"/>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A896336" w14:textId="77777777" w:rsidR="00C845A2" w:rsidRDefault="00C845A2">
            <w:pPr>
              <w:rPr>
                <w:rFonts w:ascii="Arial" w:hAnsi="Arial" w:cs="Arial"/>
                <w:b/>
                <w:bCs/>
                <w:sz w:val="16"/>
                <w:szCs w:val="16"/>
              </w:rPr>
            </w:pPr>
            <w:r>
              <w:rPr>
                <w:rFonts w:ascii="Arial" w:hAnsi="Arial" w:cs="Arial"/>
                <w:b/>
                <w:bCs/>
                <w:sz w:val="16"/>
                <w:szCs w:val="16"/>
              </w:rPr>
              <w:t>DIVISIÓN SUPERVISIÓN DEL RÉGIMENES COLECTIVOS</w:t>
            </w:r>
          </w:p>
        </w:tc>
      </w:tr>
      <w:tr w:rsidR="00C845A2" w14:paraId="5CC9E5ED" w14:textId="77777777" w:rsidTr="00C845A2">
        <w:trPr>
          <w:trHeight w:val="1140"/>
        </w:trPr>
        <w:tc>
          <w:tcPr>
            <w:tcW w:w="1305" w:type="dxa"/>
            <w:tcBorders>
              <w:top w:val="nil"/>
              <w:left w:val="single" w:sz="4" w:space="0" w:color="auto"/>
              <w:bottom w:val="nil"/>
              <w:right w:val="nil"/>
            </w:tcBorders>
            <w:shd w:val="clear" w:color="auto" w:fill="auto"/>
            <w:vAlign w:val="center"/>
            <w:hideMark/>
          </w:tcPr>
          <w:p w14:paraId="7280739E"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44E05A60" w14:textId="77777777" w:rsidR="00C845A2" w:rsidRDefault="00C845A2">
            <w:pPr>
              <w:jc w:val="center"/>
              <w:rPr>
                <w:rFonts w:ascii="Arial" w:hAnsi="Arial" w:cs="Arial"/>
                <w:b/>
                <w:bCs/>
                <w:sz w:val="16"/>
                <w:szCs w:val="16"/>
              </w:rPr>
            </w:pPr>
            <w:r>
              <w:rPr>
                <w:rFonts w:ascii="Arial" w:hAnsi="Arial" w:cs="Arial"/>
                <w:b/>
                <w:bCs/>
                <w:sz w:val="16"/>
                <w:szCs w:val="16"/>
              </w:rPr>
              <w:t>9</w:t>
            </w:r>
          </w:p>
        </w:tc>
        <w:tc>
          <w:tcPr>
            <w:tcW w:w="6440" w:type="dxa"/>
            <w:tcBorders>
              <w:top w:val="nil"/>
              <w:left w:val="nil"/>
              <w:bottom w:val="single" w:sz="4" w:space="0" w:color="auto"/>
              <w:right w:val="single" w:sz="4" w:space="0" w:color="auto"/>
            </w:tcBorders>
            <w:shd w:val="clear" w:color="auto" w:fill="auto"/>
            <w:vAlign w:val="center"/>
            <w:hideMark/>
          </w:tcPr>
          <w:p w14:paraId="6DF7F6F4" w14:textId="24F5BB53" w:rsidR="00C845A2" w:rsidRDefault="00C845A2">
            <w:pPr>
              <w:rPr>
                <w:rFonts w:ascii="Arial" w:hAnsi="Arial" w:cs="Arial"/>
                <w:sz w:val="16"/>
                <w:szCs w:val="16"/>
              </w:rPr>
            </w:pPr>
            <w:r>
              <w:rPr>
                <w:rFonts w:ascii="Arial" w:hAnsi="Arial" w:cs="Arial"/>
                <w:sz w:val="16"/>
                <w:szCs w:val="16"/>
              </w:rPr>
              <w:t xml:space="preserve">Supervisar a los regímenes de pensiones básicos y complementarios con base en riesgo; informar sobre la situación de riesgo de cada uno; proponer la aplicación del marco sancionatorio a </w:t>
            </w:r>
            <w:r w:rsidR="00130D45">
              <w:rPr>
                <w:rFonts w:ascii="Arial" w:hAnsi="Arial" w:cs="Arial"/>
                <w:sz w:val="16"/>
                <w:szCs w:val="16"/>
              </w:rPr>
              <w:t>los que</w:t>
            </w:r>
            <w:r>
              <w:rPr>
                <w:rFonts w:ascii="Arial" w:hAnsi="Arial" w:cs="Arial"/>
                <w:sz w:val="16"/>
                <w:szCs w:val="16"/>
              </w:rPr>
              <w:t xml:space="preserve"> incurran en incumplimientos.</w:t>
            </w:r>
          </w:p>
        </w:tc>
      </w:tr>
      <w:tr w:rsidR="00C845A2" w14:paraId="6E23537A"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8869588" w14:textId="77777777" w:rsidR="00C845A2" w:rsidRDefault="00C845A2">
            <w:pPr>
              <w:rPr>
                <w:rFonts w:ascii="Arial" w:hAnsi="Arial" w:cs="Arial"/>
                <w:b/>
                <w:bCs/>
                <w:sz w:val="16"/>
                <w:szCs w:val="16"/>
              </w:rPr>
            </w:pPr>
            <w:r>
              <w:rPr>
                <w:rFonts w:ascii="Arial" w:hAnsi="Arial" w:cs="Arial"/>
                <w:b/>
                <w:bCs/>
                <w:sz w:val="16"/>
                <w:szCs w:val="16"/>
              </w:rPr>
              <w:t>DIVISIÓN SUPERVISIÓN DEL RÉGIMEN DE CAPITALIZACIÓN INDIVIDUAL</w:t>
            </w:r>
          </w:p>
        </w:tc>
      </w:tr>
      <w:tr w:rsidR="00C845A2" w14:paraId="3B73F2DA" w14:textId="77777777" w:rsidTr="00C845A2">
        <w:trPr>
          <w:trHeight w:val="900"/>
        </w:trPr>
        <w:tc>
          <w:tcPr>
            <w:tcW w:w="1305" w:type="dxa"/>
            <w:tcBorders>
              <w:top w:val="nil"/>
              <w:left w:val="single" w:sz="4" w:space="0" w:color="auto"/>
              <w:bottom w:val="nil"/>
              <w:right w:val="single" w:sz="4" w:space="0" w:color="auto"/>
            </w:tcBorders>
            <w:shd w:val="clear" w:color="auto" w:fill="auto"/>
            <w:vAlign w:val="center"/>
            <w:hideMark/>
          </w:tcPr>
          <w:p w14:paraId="5C465DB0"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12851836" w14:textId="77777777" w:rsidR="00C845A2" w:rsidRDefault="00C845A2">
            <w:pPr>
              <w:jc w:val="center"/>
              <w:rPr>
                <w:rFonts w:ascii="Arial" w:hAnsi="Arial" w:cs="Arial"/>
                <w:b/>
                <w:bCs/>
                <w:sz w:val="16"/>
                <w:szCs w:val="16"/>
              </w:rPr>
            </w:pPr>
            <w:r>
              <w:rPr>
                <w:rFonts w:ascii="Arial" w:hAnsi="Arial" w:cs="Arial"/>
                <w:b/>
                <w:bCs/>
                <w:sz w:val="16"/>
                <w:szCs w:val="16"/>
              </w:rPr>
              <w:t>10</w:t>
            </w:r>
          </w:p>
        </w:tc>
        <w:tc>
          <w:tcPr>
            <w:tcW w:w="6440" w:type="dxa"/>
            <w:tcBorders>
              <w:top w:val="nil"/>
              <w:left w:val="nil"/>
              <w:bottom w:val="single" w:sz="4" w:space="0" w:color="auto"/>
              <w:right w:val="single" w:sz="4" w:space="0" w:color="auto"/>
            </w:tcBorders>
            <w:shd w:val="clear" w:color="auto" w:fill="auto"/>
            <w:vAlign w:val="center"/>
            <w:hideMark/>
          </w:tcPr>
          <w:p w14:paraId="16FE78FB" w14:textId="77777777" w:rsidR="00C845A2" w:rsidRDefault="00C845A2">
            <w:pPr>
              <w:rPr>
                <w:rFonts w:ascii="Arial" w:hAnsi="Arial" w:cs="Arial"/>
                <w:sz w:val="16"/>
                <w:szCs w:val="16"/>
              </w:rPr>
            </w:pPr>
            <w:r>
              <w:rPr>
                <w:rFonts w:ascii="Arial" w:hAnsi="Arial" w:cs="Arial"/>
                <w:sz w:val="16"/>
                <w:szCs w:val="16"/>
              </w:rPr>
              <w:t>Fiscalizar y supervisar el cumplimiento de la normativa vigente y el proceso de identificación, medición, control y seguimiento de los riesgos identificados en las entidades supervisadas y en los fondos administrados.</w:t>
            </w:r>
          </w:p>
        </w:tc>
      </w:tr>
      <w:tr w:rsidR="00C845A2" w14:paraId="0F1A3FB3" w14:textId="77777777" w:rsidTr="00C845A2">
        <w:trPr>
          <w:trHeight w:val="28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385B7A" w14:textId="77777777" w:rsidR="00C845A2" w:rsidRDefault="00C845A2">
            <w:pPr>
              <w:rPr>
                <w:rFonts w:ascii="Arial" w:hAnsi="Arial" w:cs="Arial"/>
                <w:b/>
                <w:bCs/>
                <w:sz w:val="16"/>
                <w:szCs w:val="16"/>
              </w:rPr>
            </w:pPr>
            <w:r>
              <w:rPr>
                <w:rFonts w:ascii="Arial" w:hAnsi="Arial" w:cs="Arial"/>
                <w:b/>
                <w:bCs/>
                <w:sz w:val="16"/>
                <w:szCs w:val="16"/>
              </w:rPr>
              <w:t>ÁREA COMUNICACIÓN Y SERVICIOS</w:t>
            </w:r>
          </w:p>
        </w:tc>
      </w:tr>
      <w:tr w:rsidR="00C845A2" w14:paraId="160405A1" w14:textId="77777777" w:rsidTr="00AD2171">
        <w:trPr>
          <w:trHeight w:val="675"/>
        </w:trPr>
        <w:tc>
          <w:tcPr>
            <w:tcW w:w="1305" w:type="dxa"/>
            <w:vMerge w:val="restart"/>
            <w:tcBorders>
              <w:top w:val="nil"/>
              <w:left w:val="single" w:sz="4" w:space="0" w:color="auto"/>
              <w:bottom w:val="single" w:sz="4" w:space="0" w:color="auto"/>
              <w:right w:val="single" w:sz="4" w:space="0" w:color="auto"/>
            </w:tcBorders>
            <w:shd w:val="clear" w:color="auto" w:fill="auto"/>
            <w:vAlign w:val="center"/>
            <w:hideMark/>
          </w:tcPr>
          <w:p w14:paraId="7D0A6A79"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nil"/>
              <w:bottom w:val="single" w:sz="4" w:space="0" w:color="auto"/>
              <w:right w:val="single" w:sz="4" w:space="0" w:color="auto"/>
            </w:tcBorders>
            <w:shd w:val="clear" w:color="auto" w:fill="auto"/>
            <w:vAlign w:val="center"/>
            <w:hideMark/>
          </w:tcPr>
          <w:p w14:paraId="13A3A9DB" w14:textId="77777777" w:rsidR="00C845A2" w:rsidRDefault="00C845A2">
            <w:pPr>
              <w:jc w:val="center"/>
              <w:rPr>
                <w:rFonts w:ascii="Arial" w:hAnsi="Arial" w:cs="Arial"/>
                <w:b/>
                <w:bCs/>
                <w:sz w:val="16"/>
                <w:szCs w:val="16"/>
              </w:rPr>
            </w:pPr>
            <w:r>
              <w:rPr>
                <w:rFonts w:ascii="Arial" w:hAnsi="Arial" w:cs="Arial"/>
                <w:b/>
                <w:bCs/>
                <w:sz w:val="16"/>
                <w:szCs w:val="16"/>
              </w:rPr>
              <w:t>11</w:t>
            </w:r>
          </w:p>
        </w:tc>
        <w:tc>
          <w:tcPr>
            <w:tcW w:w="6440" w:type="dxa"/>
            <w:tcBorders>
              <w:top w:val="nil"/>
              <w:left w:val="nil"/>
              <w:bottom w:val="single" w:sz="4" w:space="0" w:color="auto"/>
              <w:right w:val="single" w:sz="4" w:space="0" w:color="auto"/>
            </w:tcBorders>
            <w:shd w:val="clear" w:color="auto" w:fill="auto"/>
            <w:vAlign w:val="center"/>
            <w:hideMark/>
          </w:tcPr>
          <w:p w14:paraId="08B800D1" w14:textId="1B541028" w:rsidR="00C845A2" w:rsidRDefault="00C845A2">
            <w:pPr>
              <w:rPr>
                <w:rFonts w:ascii="Arial" w:hAnsi="Arial" w:cs="Arial"/>
                <w:sz w:val="16"/>
                <w:szCs w:val="16"/>
              </w:rPr>
            </w:pPr>
            <w:r>
              <w:rPr>
                <w:rFonts w:ascii="Arial" w:hAnsi="Arial" w:cs="Arial"/>
                <w:sz w:val="16"/>
                <w:szCs w:val="16"/>
              </w:rPr>
              <w:t xml:space="preserve">Ejecutar el 100% de las labores programadas en el Plan de Comunicación y en la aplicación de herramientas </w:t>
            </w:r>
            <w:r w:rsidR="00130D45">
              <w:rPr>
                <w:rFonts w:ascii="Arial" w:hAnsi="Arial" w:cs="Arial"/>
                <w:sz w:val="16"/>
                <w:szCs w:val="16"/>
              </w:rPr>
              <w:t>relacionadas (</w:t>
            </w:r>
            <w:r>
              <w:rPr>
                <w:rFonts w:ascii="Arial" w:hAnsi="Arial" w:cs="Arial"/>
                <w:sz w:val="16"/>
                <w:szCs w:val="16"/>
              </w:rPr>
              <w:t>percepción, quejas)</w:t>
            </w:r>
            <w:r w:rsidR="00130D45">
              <w:rPr>
                <w:rFonts w:ascii="Arial" w:hAnsi="Arial" w:cs="Arial"/>
                <w:sz w:val="16"/>
                <w:szCs w:val="16"/>
              </w:rPr>
              <w:t>.</w:t>
            </w:r>
          </w:p>
        </w:tc>
      </w:tr>
      <w:tr w:rsidR="00C845A2" w14:paraId="540BAEF8" w14:textId="77777777" w:rsidTr="00AD2171">
        <w:trPr>
          <w:trHeight w:val="450"/>
        </w:trPr>
        <w:tc>
          <w:tcPr>
            <w:tcW w:w="1305" w:type="dxa"/>
            <w:vMerge/>
            <w:tcBorders>
              <w:top w:val="nil"/>
              <w:left w:val="single" w:sz="4" w:space="0" w:color="auto"/>
              <w:bottom w:val="single" w:sz="4" w:space="0" w:color="auto"/>
              <w:right w:val="single" w:sz="4" w:space="0" w:color="auto"/>
            </w:tcBorders>
            <w:vAlign w:val="center"/>
            <w:hideMark/>
          </w:tcPr>
          <w:p w14:paraId="3358B1B4" w14:textId="77777777" w:rsidR="00C845A2" w:rsidRDefault="00C845A2">
            <w:pPr>
              <w:rPr>
                <w:rFonts w:ascii="Arial" w:hAnsi="Arial" w:cs="Arial"/>
                <w:b/>
                <w:bCs/>
                <w:sz w:val="16"/>
                <w:szCs w:val="16"/>
              </w:rPr>
            </w:pPr>
          </w:p>
        </w:tc>
        <w:tc>
          <w:tcPr>
            <w:tcW w:w="760" w:type="dxa"/>
            <w:tcBorders>
              <w:top w:val="nil"/>
              <w:left w:val="nil"/>
              <w:bottom w:val="single" w:sz="4" w:space="0" w:color="auto"/>
              <w:right w:val="single" w:sz="4" w:space="0" w:color="auto"/>
            </w:tcBorders>
            <w:shd w:val="clear" w:color="auto" w:fill="auto"/>
            <w:vAlign w:val="center"/>
            <w:hideMark/>
          </w:tcPr>
          <w:p w14:paraId="6CA6136A" w14:textId="77777777" w:rsidR="00C845A2" w:rsidRDefault="00C845A2">
            <w:pPr>
              <w:jc w:val="center"/>
              <w:rPr>
                <w:rFonts w:ascii="Arial" w:hAnsi="Arial" w:cs="Arial"/>
                <w:b/>
                <w:bCs/>
                <w:sz w:val="16"/>
                <w:szCs w:val="16"/>
              </w:rPr>
            </w:pPr>
            <w:r>
              <w:rPr>
                <w:rFonts w:ascii="Arial" w:hAnsi="Arial" w:cs="Arial"/>
                <w:b/>
                <w:bCs/>
                <w:sz w:val="16"/>
                <w:szCs w:val="16"/>
              </w:rPr>
              <w:t>12</w:t>
            </w:r>
          </w:p>
        </w:tc>
        <w:tc>
          <w:tcPr>
            <w:tcW w:w="6440" w:type="dxa"/>
            <w:tcBorders>
              <w:top w:val="nil"/>
              <w:left w:val="nil"/>
              <w:bottom w:val="single" w:sz="4" w:space="0" w:color="auto"/>
              <w:right w:val="single" w:sz="4" w:space="0" w:color="auto"/>
            </w:tcBorders>
            <w:shd w:val="clear" w:color="auto" w:fill="auto"/>
            <w:vAlign w:val="center"/>
            <w:hideMark/>
          </w:tcPr>
          <w:p w14:paraId="3A43BF39" w14:textId="5D9D6078" w:rsidR="00C845A2" w:rsidRDefault="00C845A2">
            <w:pPr>
              <w:rPr>
                <w:rFonts w:ascii="Arial" w:hAnsi="Arial" w:cs="Arial"/>
                <w:sz w:val="16"/>
                <w:szCs w:val="16"/>
              </w:rPr>
            </w:pPr>
            <w:r>
              <w:rPr>
                <w:rFonts w:ascii="Arial" w:hAnsi="Arial" w:cs="Arial"/>
                <w:sz w:val="16"/>
                <w:szCs w:val="16"/>
              </w:rPr>
              <w:t xml:space="preserve">Atender el 100% </w:t>
            </w:r>
            <w:r w:rsidR="00130D45">
              <w:rPr>
                <w:rFonts w:ascii="Arial" w:hAnsi="Arial" w:cs="Arial"/>
                <w:sz w:val="16"/>
                <w:szCs w:val="16"/>
              </w:rPr>
              <w:t>de los</w:t>
            </w:r>
            <w:r>
              <w:rPr>
                <w:rFonts w:ascii="Arial" w:hAnsi="Arial" w:cs="Arial"/>
                <w:sz w:val="16"/>
                <w:szCs w:val="16"/>
              </w:rPr>
              <w:t xml:space="preserve"> requerimientos de Servicios Institucionales y del Sistema de Gestión de la Calidad.</w:t>
            </w:r>
          </w:p>
        </w:tc>
      </w:tr>
      <w:tr w:rsidR="00C845A2" w14:paraId="58A2E9A8" w14:textId="77777777" w:rsidTr="00C845A2">
        <w:trPr>
          <w:trHeight w:val="360"/>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F4441F3" w14:textId="77777777" w:rsidR="00C845A2" w:rsidRDefault="00C845A2">
            <w:pPr>
              <w:rPr>
                <w:rFonts w:ascii="Arial" w:hAnsi="Arial" w:cs="Arial"/>
                <w:b/>
                <w:bCs/>
                <w:sz w:val="16"/>
                <w:szCs w:val="16"/>
              </w:rPr>
            </w:pPr>
            <w:r>
              <w:rPr>
                <w:rFonts w:ascii="Arial" w:hAnsi="Arial" w:cs="Arial"/>
                <w:b/>
                <w:bCs/>
                <w:sz w:val="16"/>
                <w:szCs w:val="16"/>
              </w:rPr>
              <w:lastRenderedPageBreak/>
              <w:t xml:space="preserve">DIVISIÓN DE PLANIFICACIÓN Y NORMATIVA (Proyectos) </w:t>
            </w:r>
          </w:p>
        </w:tc>
      </w:tr>
      <w:tr w:rsidR="00C845A2" w14:paraId="7C43F21F" w14:textId="77777777" w:rsidTr="00AD2171">
        <w:trPr>
          <w:trHeight w:val="450"/>
        </w:trPr>
        <w:tc>
          <w:tcPr>
            <w:tcW w:w="1305" w:type="dxa"/>
            <w:tcBorders>
              <w:top w:val="nil"/>
              <w:left w:val="single" w:sz="4" w:space="0" w:color="auto"/>
              <w:right w:val="nil"/>
            </w:tcBorders>
            <w:shd w:val="clear" w:color="auto" w:fill="auto"/>
            <w:vAlign w:val="center"/>
            <w:hideMark/>
          </w:tcPr>
          <w:p w14:paraId="7CEABED3"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54A79AF7" w14:textId="77777777" w:rsidR="00C845A2" w:rsidRDefault="00C845A2">
            <w:pPr>
              <w:jc w:val="center"/>
              <w:rPr>
                <w:rFonts w:ascii="Arial" w:hAnsi="Arial" w:cs="Arial"/>
                <w:b/>
                <w:bCs/>
                <w:sz w:val="16"/>
                <w:szCs w:val="16"/>
              </w:rPr>
            </w:pPr>
            <w:r>
              <w:rPr>
                <w:rFonts w:ascii="Arial" w:hAnsi="Arial" w:cs="Arial"/>
                <w:b/>
                <w:bCs/>
                <w:sz w:val="16"/>
                <w:szCs w:val="16"/>
              </w:rPr>
              <w:t>13</w:t>
            </w:r>
          </w:p>
        </w:tc>
        <w:tc>
          <w:tcPr>
            <w:tcW w:w="6440" w:type="dxa"/>
            <w:tcBorders>
              <w:top w:val="nil"/>
              <w:left w:val="nil"/>
              <w:bottom w:val="single" w:sz="4" w:space="0" w:color="auto"/>
              <w:right w:val="single" w:sz="4" w:space="0" w:color="auto"/>
            </w:tcBorders>
            <w:shd w:val="clear" w:color="auto" w:fill="auto"/>
            <w:hideMark/>
          </w:tcPr>
          <w:p w14:paraId="3CF0C860" w14:textId="49B30031" w:rsidR="00C845A2" w:rsidRDefault="001F3ED7" w:rsidP="00582FB2">
            <w:pPr>
              <w:rPr>
                <w:rFonts w:ascii="Arial" w:hAnsi="Arial" w:cs="Arial"/>
                <w:sz w:val="16"/>
                <w:szCs w:val="16"/>
              </w:rPr>
            </w:pPr>
            <w:r w:rsidRPr="001F3ED7">
              <w:rPr>
                <w:rFonts w:ascii="Arial" w:hAnsi="Arial" w:cs="Arial"/>
                <w:sz w:val="16"/>
                <w:szCs w:val="16"/>
              </w:rPr>
              <w:t xml:space="preserve">Cumplir con las actividades planificados en el ciclo presupuestario </w:t>
            </w:r>
            <w:r w:rsidR="00130D45" w:rsidRPr="001F3ED7">
              <w:rPr>
                <w:rFonts w:ascii="Arial" w:hAnsi="Arial" w:cs="Arial"/>
                <w:sz w:val="16"/>
                <w:szCs w:val="16"/>
              </w:rPr>
              <w:t xml:space="preserve">para </w:t>
            </w:r>
            <w:r w:rsidR="00582FB2" w:rsidRPr="001F3ED7">
              <w:rPr>
                <w:rFonts w:ascii="Arial" w:hAnsi="Arial" w:cs="Arial"/>
                <w:sz w:val="16"/>
                <w:szCs w:val="16"/>
              </w:rPr>
              <w:t>los proyectos</w:t>
            </w:r>
            <w:r w:rsidRPr="001F3ED7">
              <w:rPr>
                <w:rFonts w:ascii="Arial" w:hAnsi="Arial" w:cs="Arial"/>
                <w:sz w:val="16"/>
                <w:szCs w:val="16"/>
              </w:rPr>
              <w:t xml:space="preserve"> declarados en la </w:t>
            </w:r>
            <w:r w:rsidR="00582FB2">
              <w:rPr>
                <w:rFonts w:ascii="Arial" w:hAnsi="Arial" w:cs="Arial"/>
                <w:sz w:val="16"/>
                <w:szCs w:val="16"/>
              </w:rPr>
              <w:t>I</w:t>
            </w:r>
            <w:r w:rsidRPr="001F3ED7">
              <w:rPr>
                <w:rFonts w:ascii="Arial" w:hAnsi="Arial" w:cs="Arial"/>
                <w:sz w:val="16"/>
                <w:szCs w:val="16"/>
              </w:rPr>
              <w:t>nstitución</w:t>
            </w:r>
            <w:r>
              <w:rPr>
                <w:rFonts w:ascii="Arial" w:hAnsi="Arial" w:cs="Arial"/>
                <w:sz w:val="16"/>
                <w:szCs w:val="16"/>
              </w:rPr>
              <w:t>.</w:t>
            </w:r>
          </w:p>
        </w:tc>
      </w:tr>
      <w:tr w:rsidR="00C845A2" w14:paraId="4C471065" w14:textId="77777777" w:rsidTr="00C845A2">
        <w:trPr>
          <w:trHeight w:val="315"/>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38EE729" w14:textId="3ABDD687" w:rsidR="00C845A2" w:rsidRDefault="00C845A2">
            <w:pPr>
              <w:rPr>
                <w:rFonts w:ascii="Arial" w:hAnsi="Arial" w:cs="Arial"/>
                <w:b/>
                <w:bCs/>
                <w:sz w:val="16"/>
                <w:szCs w:val="16"/>
              </w:rPr>
            </w:pPr>
            <w:r>
              <w:rPr>
                <w:rFonts w:ascii="Arial" w:hAnsi="Arial" w:cs="Arial"/>
                <w:b/>
                <w:bCs/>
                <w:sz w:val="16"/>
                <w:szCs w:val="16"/>
              </w:rPr>
              <w:t xml:space="preserve">ÁREA COMUNICACIÓN Y </w:t>
            </w:r>
            <w:r w:rsidR="00130D45">
              <w:rPr>
                <w:rFonts w:ascii="Arial" w:hAnsi="Arial" w:cs="Arial"/>
                <w:b/>
                <w:bCs/>
                <w:sz w:val="16"/>
                <w:szCs w:val="16"/>
              </w:rPr>
              <w:t>SERVICIOS (</w:t>
            </w:r>
            <w:r>
              <w:rPr>
                <w:rFonts w:ascii="Arial" w:hAnsi="Arial" w:cs="Arial"/>
                <w:b/>
                <w:bCs/>
                <w:sz w:val="16"/>
                <w:szCs w:val="16"/>
              </w:rPr>
              <w:t>SGC y otros)</w:t>
            </w:r>
          </w:p>
        </w:tc>
      </w:tr>
      <w:tr w:rsidR="00C845A2" w14:paraId="03422FCA" w14:textId="77777777" w:rsidTr="00C845A2">
        <w:trPr>
          <w:trHeight w:val="450"/>
        </w:trPr>
        <w:tc>
          <w:tcPr>
            <w:tcW w:w="1305" w:type="dxa"/>
            <w:tcBorders>
              <w:top w:val="nil"/>
              <w:left w:val="single" w:sz="4" w:space="0" w:color="auto"/>
              <w:bottom w:val="nil"/>
              <w:right w:val="nil"/>
            </w:tcBorders>
            <w:shd w:val="clear" w:color="auto" w:fill="auto"/>
            <w:vAlign w:val="center"/>
            <w:hideMark/>
          </w:tcPr>
          <w:p w14:paraId="5D4CE04F"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69462CEF" w14:textId="6C27155D" w:rsidR="00C845A2" w:rsidRDefault="001F3ED7">
            <w:pPr>
              <w:jc w:val="center"/>
              <w:rPr>
                <w:rFonts w:ascii="Arial" w:hAnsi="Arial" w:cs="Arial"/>
                <w:b/>
                <w:bCs/>
                <w:sz w:val="16"/>
                <w:szCs w:val="16"/>
              </w:rPr>
            </w:pPr>
            <w:r>
              <w:rPr>
                <w:rFonts w:ascii="Arial" w:hAnsi="Arial" w:cs="Arial"/>
                <w:b/>
                <w:bCs/>
                <w:sz w:val="16"/>
                <w:szCs w:val="16"/>
              </w:rPr>
              <w:t>14</w:t>
            </w:r>
          </w:p>
        </w:tc>
        <w:tc>
          <w:tcPr>
            <w:tcW w:w="6440" w:type="dxa"/>
            <w:tcBorders>
              <w:top w:val="nil"/>
              <w:left w:val="nil"/>
              <w:bottom w:val="single" w:sz="4" w:space="0" w:color="auto"/>
              <w:right w:val="single" w:sz="4" w:space="0" w:color="auto"/>
            </w:tcBorders>
            <w:shd w:val="clear" w:color="auto" w:fill="auto"/>
            <w:vAlign w:val="center"/>
            <w:hideMark/>
          </w:tcPr>
          <w:p w14:paraId="4436BECA" w14:textId="114D3EE6" w:rsidR="00C845A2" w:rsidRDefault="00C845A2">
            <w:pPr>
              <w:rPr>
                <w:rFonts w:ascii="Arial" w:hAnsi="Arial" w:cs="Arial"/>
                <w:sz w:val="16"/>
                <w:szCs w:val="16"/>
              </w:rPr>
            </w:pPr>
            <w:r>
              <w:rPr>
                <w:rFonts w:ascii="Arial" w:hAnsi="Arial" w:cs="Arial"/>
                <w:sz w:val="16"/>
                <w:szCs w:val="16"/>
              </w:rPr>
              <w:t xml:space="preserve">Atender el 100% </w:t>
            </w:r>
            <w:r w:rsidR="00130D45">
              <w:rPr>
                <w:rFonts w:ascii="Arial" w:hAnsi="Arial" w:cs="Arial"/>
                <w:sz w:val="16"/>
                <w:szCs w:val="16"/>
              </w:rPr>
              <w:t>de los</w:t>
            </w:r>
            <w:r>
              <w:rPr>
                <w:rFonts w:ascii="Arial" w:hAnsi="Arial" w:cs="Arial"/>
                <w:sz w:val="16"/>
                <w:szCs w:val="16"/>
              </w:rPr>
              <w:t xml:space="preserve"> requerimientos relacionados con la mejora continua (SGC-Riesgos-PGAI)</w:t>
            </w:r>
            <w:r w:rsidR="00130D45">
              <w:rPr>
                <w:rFonts w:ascii="Arial" w:hAnsi="Arial" w:cs="Arial"/>
                <w:sz w:val="16"/>
                <w:szCs w:val="16"/>
              </w:rPr>
              <w:t>.</w:t>
            </w:r>
            <w:r>
              <w:rPr>
                <w:rFonts w:ascii="Arial" w:hAnsi="Arial" w:cs="Arial"/>
                <w:sz w:val="16"/>
                <w:szCs w:val="16"/>
              </w:rPr>
              <w:t xml:space="preserve"> </w:t>
            </w:r>
          </w:p>
        </w:tc>
      </w:tr>
      <w:tr w:rsidR="00C845A2" w14:paraId="598E2E36" w14:textId="77777777" w:rsidTr="00C845A2">
        <w:trPr>
          <w:trHeight w:val="390"/>
        </w:trPr>
        <w:tc>
          <w:tcPr>
            <w:tcW w:w="8505"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D301B25" w14:textId="008BC33A" w:rsidR="00C845A2" w:rsidRDefault="00C845A2">
            <w:pPr>
              <w:rPr>
                <w:rFonts w:ascii="Arial" w:hAnsi="Arial" w:cs="Arial"/>
                <w:b/>
                <w:bCs/>
                <w:sz w:val="16"/>
                <w:szCs w:val="16"/>
              </w:rPr>
            </w:pPr>
            <w:r>
              <w:rPr>
                <w:rFonts w:ascii="Arial" w:hAnsi="Arial" w:cs="Arial"/>
                <w:b/>
                <w:bCs/>
                <w:sz w:val="16"/>
                <w:szCs w:val="16"/>
              </w:rPr>
              <w:t xml:space="preserve">ÁREA COMUNICACIÓN Y </w:t>
            </w:r>
            <w:r w:rsidR="00130D45">
              <w:rPr>
                <w:rFonts w:ascii="Arial" w:hAnsi="Arial" w:cs="Arial"/>
                <w:b/>
                <w:bCs/>
                <w:sz w:val="16"/>
                <w:szCs w:val="16"/>
              </w:rPr>
              <w:t>SERVICIOS (</w:t>
            </w:r>
            <w:r>
              <w:rPr>
                <w:rFonts w:ascii="Arial" w:hAnsi="Arial" w:cs="Arial"/>
                <w:b/>
                <w:bCs/>
                <w:sz w:val="16"/>
                <w:szCs w:val="16"/>
              </w:rPr>
              <w:t>Capacitación)</w:t>
            </w:r>
          </w:p>
        </w:tc>
      </w:tr>
      <w:tr w:rsidR="00C845A2" w14:paraId="3D15FED7" w14:textId="77777777" w:rsidTr="00AD2171">
        <w:trPr>
          <w:trHeight w:val="450"/>
        </w:trPr>
        <w:tc>
          <w:tcPr>
            <w:tcW w:w="1305" w:type="dxa"/>
            <w:tcBorders>
              <w:top w:val="nil"/>
              <w:left w:val="single" w:sz="4" w:space="0" w:color="auto"/>
              <w:bottom w:val="single" w:sz="4" w:space="0" w:color="auto"/>
              <w:right w:val="nil"/>
            </w:tcBorders>
            <w:shd w:val="clear" w:color="auto" w:fill="auto"/>
            <w:vAlign w:val="center"/>
            <w:hideMark/>
          </w:tcPr>
          <w:p w14:paraId="3E8FC14F" w14:textId="77777777" w:rsidR="00C845A2" w:rsidRDefault="00C845A2">
            <w:pPr>
              <w:jc w:val="center"/>
              <w:rPr>
                <w:rFonts w:ascii="Arial" w:hAnsi="Arial" w:cs="Arial"/>
                <w:b/>
                <w:bCs/>
                <w:sz w:val="16"/>
                <w:szCs w:val="16"/>
              </w:rPr>
            </w:pPr>
            <w:r>
              <w:rPr>
                <w:rFonts w:ascii="Arial" w:hAnsi="Arial" w:cs="Arial"/>
                <w:b/>
                <w:bCs/>
                <w:sz w:val="16"/>
                <w:szCs w:val="16"/>
              </w:rPr>
              <w:t> </w:t>
            </w:r>
          </w:p>
        </w:tc>
        <w:tc>
          <w:tcPr>
            <w:tcW w:w="760" w:type="dxa"/>
            <w:tcBorders>
              <w:top w:val="nil"/>
              <w:left w:val="single" w:sz="4" w:space="0" w:color="auto"/>
              <w:bottom w:val="single" w:sz="4" w:space="0" w:color="auto"/>
              <w:right w:val="single" w:sz="4" w:space="0" w:color="auto"/>
            </w:tcBorders>
            <w:shd w:val="clear" w:color="auto" w:fill="auto"/>
            <w:vAlign w:val="center"/>
            <w:hideMark/>
          </w:tcPr>
          <w:p w14:paraId="2BF7B88F" w14:textId="622A9CBA" w:rsidR="00C845A2" w:rsidRDefault="001F3ED7">
            <w:pPr>
              <w:jc w:val="center"/>
              <w:rPr>
                <w:rFonts w:ascii="Arial" w:hAnsi="Arial" w:cs="Arial"/>
                <w:b/>
                <w:bCs/>
                <w:sz w:val="16"/>
                <w:szCs w:val="16"/>
              </w:rPr>
            </w:pPr>
            <w:r>
              <w:rPr>
                <w:rFonts w:ascii="Arial" w:hAnsi="Arial" w:cs="Arial"/>
                <w:b/>
                <w:bCs/>
                <w:sz w:val="16"/>
                <w:szCs w:val="16"/>
              </w:rPr>
              <w:t>15</w:t>
            </w:r>
          </w:p>
        </w:tc>
        <w:tc>
          <w:tcPr>
            <w:tcW w:w="6440" w:type="dxa"/>
            <w:tcBorders>
              <w:top w:val="nil"/>
              <w:left w:val="nil"/>
              <w:bottom w:val="single" w:sz="4" w:space="0" w:color="auto"/>
              <w:right w:val="single" w:sz="4" w:space="0" w:color="auto"/>
            </w:tcBorders>
            <w:shd w:val="clear" w:color="auto" w:fill="auto"/>
            <w:vAlign w:val="center"/>
            <w:hideMark/>
          </w:tcPr>
          <w:p w14:paraId="59701D04" w14:textId="77777777" w:rsidR="00C845A2" w:rsidRDefault="00C845A2">
            <w:pPr>
              <w:rPr>
                <w:rFonts w:ascii="Arial" w:hAnsi="Arial" w:cs="Arial"/>
                <w:sz w:val="16"/>
                <w:szCs w:val="16"/>
              </w:rPr>
            </w:pPr>
            <w:r>
              <w:rPr>
                <w:rFonts w:ascii="Arial" w:hAnsi="Arial" w:cs="Arial"/>
                <w:sz w:val="16"/>
                <w:szCs w:val="16"/>
              </w:rPr>
              <w:t xml:space="preserve">Atender el 100% de las labores de capacitación programadas, dentro de la jornada laboral. </w:t>
            </w:r>
          </w:p>
        </w:tc>
      </w:tr>
      <w:tr w:rsidR="00C845A2" w14:paraId="5FAA130B" w14:textId="77777777" w:rsidTr="00AD2171">
        <w:trPr>
          <w:trHeight w:val="435"/>
        </w:trPr>
        <w:tc>
          <w:tcPr>
            <w:tcW w:w="8505" w:type="dxa"/>
            <w:gridSpan w:val="3"/>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0FDE5686" w14:textId="22E9BB06" w:rsidR="00C845A2" w:rsidRDefault="00C845A2" w:rsidP="00C845A2">
            <w:pPr>
              <w:rPr>
                <w:rFonts w:ascii="Arial" w:hAnsi="Arial" w:cs="Arial"/>
                <w:b/>
                <w:bCs/>
                <w:sz w:val="18"/>
                <w:szCs w:val="18"/>
              </w:rPr>
            </w:pPr>
          </w:p>
        </w:tc>
      </w:tr>
    </w:tbl>
    <w:p w14:paraId="0FD5C6B3" w14:textId="77777777" w:rsidR="00C845A2" w:rsidRDefault="00C845A2" w:rsidP="008F4666">
      <w:pPr>
        <w:jc w:val="both"/>
        <w:rPr>
          <w:rFonts w:asciiTheme="majorHAnsi" w:hAnsiTheme="majorHAnsi"/>
          <w:b/>
          <w:bCs/>
          <w:sz w:val="22"/>
          <w:szCs w:val="22"/>
          <w:lang w:val="es-ES_tradnl"/>
        </w:rPr>
      </w:pPr>
    </w:p>
    <w:p w14:paraId="06A94AAA" w14:textId="30C87295" w:rsidR="00E236FA" w:rsidRPr="00D460C2" w:rsidRDefault="00D460C2" w:rsidP="00D460C2">
      <w:pPr>
        <w:pStyle w:val="Ttulo3"/>
        <w:rPr>
          <w:rFonts w:asciiTheme="majorHAnsi" w:hAnsiTheme="majorHAnsi"/>
          <w:bCs w:val="0"/>
          <w:sz w:val="22"/>
          <w:szCs w:val="22"/>
          <w:lang w:val="es-ES_tradnl"/>
        </w:rPr>
      </w:pPr>
      <w:bookmarkStart w:id="49" w:name="_Toc429562738"/>
      <w:bookmarkStart w:id="50" w:name="_Toc429563203"/>
      <w:r>
        <w:rPr>
          <w:rFonts w:asciiTheme="majorHAnsi" w:hAnsiTheme="majorHAnsi"/>
          <w:bCs w:val="0"/>
          <w:sz w:val="22"/>
          <w:szCs w:val="22"/>
          <w:lang w:val="es-ES_tradnl"/>
        </w:rPr>
        <w:t>2.3.3</w:t>
      </w:r>
      <w:r>
        <w:rPr>
          <w:rFonts w:asciiTheme="majorHAnsi" w:hAnsiTheme="majorHAnsi"/>
          <w:bCs w:val="0"/>
          <w:sz w:val="22"/>
          <w:szCs w:val="22"/>
          <w:lang w:val="es-ES_tradnl"/>
        </w:rPr>
        <w:tab/>
      </w:r>
      <w:r w:rsidR="00E236FA" w:rsidRPr="00D460C2">
        <w:rPr>
          <w:rFonts w:asciiTheme="majorHAnsi" w:hAnsiTheme="majorHAnsi"/>
          <w:bCs w:val="0"/>
          <w:sz w:val="22"/>
          <w:szCs w:val="22"/>
          <w:lang w:val="es-ES_tradnl"/>
        </w:rPr>
        <w:t>Indicadores de Gestión</w:t>
      </w:r>
      <w:bookmarkEnd w:id="49"/>
      <w:bookmarkEnd w:id="50"/>
    </w:p>
    <w:p w14:paraId="06A94AAB" w14:textId="77777777" w:rsidR="001415B5" w:rsidRPr="00060053" w:rsidRDefault="001415B5" w:rsidP="00F53525">
      <w:pPr>
        <w:jc w:val="both"/>
        <w:rPr>
          <w:rFonts w:asciiTheme="majorHAnsi" w:hAnsiTheme="majorHAnsi"/>
          <w:bCs/>
        </w:rPr>
      </w:pPr>
    </w:p>
    <w:p w14:paraId="06A94AAC" w14:textId="4FF21F8C" w:rsidR="005E1098" w:rsidRDefault="005E1098" w:rsidP="00582FB2">
      <w:pPr>
        <w:jc w:val="both"/>
        <w:rPr>
          <w:rFonts w:asciiTheme="majorHAnsi" w:hAnsiTheme="majorHAnsi"/>
          <w:bCs/>
          <w:sz w:val="22"/>
          <w:szCs w:val="22"/>
        </w:rPr>
      </w:pPr>
      <w:r w:rsidRPr="00060053">
        <w:rPr>
          <w:rFonts w:asciiTheme="majorHAnsi" w:hAnsiTheme="majorHAnsi"/>
          <w:bCs/>
          <w:sz w:val="22"/>
          <w:szCs w:val="22"/>
        </w:rPr>
        <w:t xml:space="preserve">Los indicadores son un conjunto de datos que ayudan a medir la evolución de un proceso o actividad, para tal propósito la </w:t>
      </w:r>
      <w:r w:rsidR="00D277D9">
        <w:rPr>
          <w:rFonts w:asciiTheme="majorHAnsi" w:hAnsiTheme="majorHAnsi"/>
          <w:bCs/>
          <w:sz w:val="22"/>
          <w:szCs w:val="22"/>
        </w:rPr>
        <w:t>SUPEN</w:t>
      </w:r>
      <w:r w:rsidRPr="00060053">
        <w:rPr>
          <w:rFonts w:asciiTheme="majorHAnsi" w:hAnsiTheme="majorHAnsi"/>
          <w:bCs/>
          <w:sz w:val="22"/>
          <w:szCs w:val="22"/>
        </w:rPr>
        <w:t xml:space="preserve"> definió los siguientes indicadores</w:t>
      </w:r>
      <w:r w:rsidR="00B87242" w:rsidRPr="00060053">
        <w:rPr>
          <w:rFonts w:asciiTheme="majorHAnsi" w:hAnsiTheme="majorHAnsi"/>
          <w:bCs/>
          <w:sz w:val="22"/>
          <w:szCs w:val="22"/>
        </w:rPr>
        <w:t xml:space="preserve"> de gestión</w:t>
      </w:r>
      <w:r w:rsidRPr="00060053">
        <w:rPr>
          <w:rFonts w:asciiTheme="majorHAnsi" w:hAnsiTheme="majorHAnsi"/>
          <w:bCs/>
          <w:sz w:val="22"/>
          <w:szCs w:val="22"/>
        </w:rPr>
        <w:t>:</w:t>
      </w:r>
    </w:p>
    <w:p w14:paraId="74C36F0A" w14:textId="77777777" w:rsidR="00AD2171" w:rsidRDefault="00AD2171" w:rsidP="00F53525">
      <w:pPr>
        <w:jc w:val="both"/>
        <w:rPr>
          <w:rFonts w:asciiTheme="majorHAnsi" w:hAnsiTheme="majorHAnsi"/>
          <w:bCs/>
          <w:sz w:val="22"/>
          <w:szCs w:val="22"/>
        </w:rPr>
      </w:pPr>
    </w:p>
    <w:p w14:paraId="5DE54ABD" w14:textId="0CDFE13F" w:rsidR="00AD2171" w:rsidRPr="00AD2171" w:rsidRDefault="00AD2171" w:rsidP="00AD2171">
      <w:pPr>
        <w:jc w:val="center"/>
        <w:rPr>
          <w:rFonts w:asciiTheme="majorHAnsi" w:hAnsiTheme="majorHAnsi"/>
          <w:bCs/>
          <w:sz w:val="22"/>
          <w:szCs w:val="22"/>
          <w:lang w:val="es-ES_tradnl"/>
        </w:rPr>
      </w:pPr>
      <w:r>
        <w:rPr>
          <w:rFonts w:asciiTheme="majorHAnsi" w:hAnsiTheme="majorHAnsi"/>
          <w:bCs/>
          <w:sz w:val="22"/>
          <w:szCs w:val="22"/>
          <w:lang w:val="es-ES_tradnl"/>
        </w:rPr>
        <w:t>Cuadro 9</w:t>
      </w:r>
      <w:r w:rsidR="009E074D">
        <w:rPr>
          <w:rFonts w:asciiTheme="majorHAnsi" w:hAnsiTheme="majorHAnsi"/>
          <w:bCs/>
          <w:sz w:val="22"/>
          <w:szCs w:val="22"/>
          <w:lang w:val="es-ES_tradnl"/>
        </w:rPr>
        <w:t xml:space="preserve">: </w:t>
      </w:r>
      <w:r>
        <w:rPr>
          <w:rFonts w:asciiTheme="majorHAnsi" w:hAnsiTheme="majorHAnsi"/>
          <w:bCs/>
          <w:sz w:val="22"/>
          <w:szCs w:val="22"/>
          <w:lang w:val="es-ES_tradnl"/>
        </w:rPr>
        <w:t>Indicadores de Gestión</w:t>
      </w:r>
    </w:p>
    <w:tbl>
      <w:tblPr>
        <w:tblW w:w="9890" w:type="dxa"/>
        <w:tblInd w:w="96" w:type="dxa"/>
        <w:tblCellMar>
          <w:left w:w="0" w:type="dxa"/>
          <w:right w:w="0" w:type="dxa"/>
        </w:tblCellMar>
        <w:tblLook w:val="04A0" w:firstRow="1" w:lastRow="0" w:firstColumn="1" w:lastColumn="0" w:noHBand="0" w:noVBand="1"/>
      </w:tblPr>
      <w:tblGrid>
        <w:gridCol w:w="2059"/>
        <w:gridCol w:w="1917"/>
        <w:gridCol w:w="1122"/>
        <w:gridCol w:w="2546"/>
        <w:gridCol w:w="934"/>
        <w:gridCol w:w="1312"/>
      </w:tblGrid>
      <w:tr w:rsidR="005464A5" w14:paraId="1404C6E2" w14:textId="77777777" w:rsidTr="00165863">
        <w:trPr>
          <w:trHeight w:val="337"/>
          <w:tblHeader/>
        </w:trPr>
        <w:tc>
          <w:tcPr>
            <w:tcW w:w="2059" w:type="dxa"/>
            <w:tcBorders>
              <w:top w:val="single" w:sz="8" w:space="0" w:color="auto"/>
              <w:left w:val="single" w:sz="8" w:space="0" w:color="auto"/>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1AEE0E5E" w14:textId="77777777" w:rsidR="005464A5" w:rsidRPr="00165863" w:rsidRDefault="005464A5" w:rsidP="00D474C2">
            <w:pPr>
              <w:rPr>
                <w:rFonts w:ascii="Calibri Light" w:hAnsi="Calibri Light"/>
                <w:b/>
                <w:bCs/>
                <w:sz w:val="18"/>
                <w:szCs w:val="20"/>
                <w:lang w:val="es-CR"/>
              </w:rPr>
            </w:pPr>
            <w:r w:rsidRPr="00165863">
              <w:rPr>
                <w:rFonts w:ascii="Calibri Light" w:hAnsi="Calibri Light"/>
                <w:b/>
                <w:bCs/>
                <w:sz w:val="18"/>
                <w:szCs w:val="20"/>
                <w:lang w:val="es-CR"/>
              </w:rPr>
              <w:t>Documento referencia</w:t>
            </w:r>
          </w:p>
        </w:tc>
        <w:tc>
          <w:tcPr>
            <w:tcW w:w="1917" w:type="dxa"/>
            <w:tcBorders>
              <w:top w:val="single" w:sz="8" w:space="0" w:color="auto"/>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39A9F8A7" w14:textId="77777777" w:rsidR="005464A5" w:rsidRPr="00165863" w:rsidRDefault="005464A5" w:rsidP="00D474C2">
            <w:pPr>
              <w:jc w:val="center"/>
              <w:rPr>
                <w:rFonts w:ascii="Calibri Light" w:hAnsi="Calibri Light"/>
                <w:b/>
                <w:bCs/>
                <w:sz w:val="18"/>
                <w:szCs w:val="20"/>
                <w:lang w:val="es-CR"/>
              </w:rPr>
            </w:pPr>
            <w:r w:rsidRPr="00165863">
              <w:rPr>
                <w:rFonts w:ascii="Calibri Light" w:hAnsi="Calibri Light"/>
                <w:b/>
                <w:bCs/>
                <w:sz w:val="18"/>
                <w:szCs w:val="20"/>
                <w:lang w:val="es-CR"/>
              </w:rPr>
              <w:t>Objetivo</w:t>
            </w:r>
          </w:p>
        </w:tc>
        <w:tc>
          <w:tcPr>
            <w:tcW w:w="1122" w:type="dxa"/>
            <w:tcBorders>
              <w:top w:val="single" w:sz="8" w:space="0" w:color="auto"/>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48B4E39A" w14:textId="77777777" w:rsidR="005464A5" w:rsidRPr="00165863" w:rsidRDefault="005464A5" w:rsidP="00D474C2">
            <w:pPr>
              <w:jc w:val="center"/>
              <w:rPr>
                <w:rFonts w:ascii="Calibri Light" w:hAnsi="Calibri Light"/>
                <w:b/>
                <w:bCs/>
                <w:sz w:val="18"/>
                <w:szCs w:val="20"/>
                <w:lang w:val="es-CR"/>
              </w:rPr>
            </w:pPr>
            <w:r w:rsidRPr="00165863">
              <w:rPr>
                <w:rFonts w:ascii="Calibri Light" w:hAnsi="Calibri Light"/>
                <w:b/>
                <w:bCs/>
                <w:sz w:val="18"/>
                <w:szCs w:val="12"/>
                <w:lang w:val="es-CR"/>
              </w:rPr>
              <w:t>Frecuencia</w:t>
            </w:r>
          </w:p>
        </w:tc>
        <w:tc>
          <w:tcPr>
            <w:tcW w:w="2546" w:type="dxa"/>
            <w:tcBorders>
              <w:top w:val="single" w:sz="8" w:space="0" w:color="auto"/>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5E8C68FB" w14:textId="77777777" w:rsidR="005464A5" w:rsidRPr="00165863" w:rsidRDefault="005464A5" w:rsidP="00D474C2">
            <w:pPr>
              <w:rPr>
                <w:rFonts w:ascii="Calibri Light" w:hAnsi="Calibri Light"/>
                <w:b/>
                <w:bCs/>
                <w:sz w:val="18"/>
                <w:szCs w:val="20"/>
                <w:lang w:val="es-CR"/>
              </w:rPr>
            </w:pPr>
            <w:r w:rsidRPr="00165863">
              <w:rPr>
                <w:rFonts w:ascii="Calibri Light" w:hAnsi="Calibri Light"/>
                <w:b/>
                <w:bCs/>
                <w:sz w:val="18"/>
                <w:szCs w:val="20"/>
                <w:lang w:val="es-CR"/>
              </w:rPr>
              <w:t>Fórmula del indicador</w:t>
            </w:r>
          </w:p>
        </w:tc>
        <w:tc>
          <w:tcPr>
            <w:tcW w:w="934" w:type="dxa"/>
            <w:tcBorders>
              <w:top w:val="single" w:sz="8" w:space="0" w:color="auto"/>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4BA43D73" w14:textId="77777777" w:rsidR="005464A5" w:rsidRPr="00165863" w:rsidRDefault="005464A5" w:rsidP="00D474C2">
            <w:pPr>
              <w:jc w:val="center"/>
              <w:rPr>
                <w:rFonts w:ascii="Calibri Light" w:hAnsi="Calibri Light"/>
                <w:b/>
                <w:bCs/>
                <w:sz w:val="18"/>
                <w:szCs w:val="16"/>
                <w:lang w:val="es-CR"/>
              </w:rPr>
            </w:pPr>
            <w:r w:rsidRPr="00165863">
              <w:rPr>
                <w:rFonts w:ascii="Calibri Light" w:hAnsi="Calibri Light"/>
                <w:b/>
                <w:bCs/>
                <w:sz w:val="12"/>
                <w:szCs w:val="14"/>
                <w:lang w:val="es-CR"/>
              </w:rPr>
              <w:t>Tipo de indicador</w:t>
            </w:r>
          </w:p>
        </w:tc>
        <w:tc>
          <w:tcPr>
            <w:tcW w:w="1312" w:type="dxa"/>
            <w:tcBorders>
              <w:top w:val="single" w:sz="8" w:space="0" w:color="auto"/>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76D63D90" w14:textId="77777777" w:rsidR="005464A5" w:rsidRPr="00165863" w:rsidRDefault="005464A5" w:rsidP="00D474C2">
            <w:pPr>
              <w:jc w:val="center"/>
              <w:rPr>
                <w:rFonts w:ascii="Calibri Light" w:hAnsi="Calibri Light"/>
                <w:b/>
                <w:bCs/>
                <w:sz w:val="18"/>
                <w:szCs w:val="20"/>
                <w:lang w:val="es-CR"/>
              </w:rPr>
            </w:pPr>
            <w:r w:rsidRPr="00165863">
              <w:rPr>
                <w:rFonts w:ascii="Calibri Light" w:hAnsi="Calibri Light"/>
                <w:b/>
                <w:bCs/>
                <w:sz w:val="18"/>
                <w:szCs w:val="20"/>
                <w:lang w:val="es-CR"/>
              </w:rPr>
              <w:t>Meta</w:t>
            </w:r>
          </w:p>
        </w:tc>
      </w:tr>
      <w:tr w:rsidR="005464A5" w14:paraId="5F5581D9"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64E9276"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Estratégicos</w:t>
            </w:r>
          </w:p>
        </w:tc>
      </w:tr>
      <w:tr w:rsidR="005464A5" w14:paraId="764065C2"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63388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F7C4C96" w14:textId="77777777" w:rsidR="005464A5" w:rsidRDefault="005464A5" w:rsidP="00D474C2">
            <w:pPr>
              <w:rPr>
                <w:rFonts w:ascii="Calibri Light" w:hAnsi="Calibri Light"/>
                <w:sz w:val="16"/>
                <w:szCs w:val="16"/>
                <w:lang w:val="es-CR"/>
              </w:rPr>
            </w:pPr>
            <w:r w:rsidRPr="008D0125">
              <w:rPr>
                <w:rFonts w:ascii="Calibri Light" w:hAnsi="Calibri Light"/>
                <w:sz w:val="16"/>
                <w:szCs w:val="16"/>
                <w:lang w:val="es-CR"/>
              </w:rPr>
              <w:t>Objetivo 1: Vigil</w:t>
            </w:r>
            <w:r>
              <w:rPr>
                <w:rFonts w:ascii="Calibri Light" w:hAnsi="Calibri Light"/>
                <w:sz w:val="16"/>
                <w:szCs w:val="16"/>
                <w:lang w:val="es-CR"/>
              </w:rPr>
              <w:t>ar a los participantes en el Sistema Nacional de Pensiones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0E93038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38FA9D85" w14:textId="77777777" w:rsidR="005464A5" w:rsidRDefault="005464A5" w:rsidP="00D474C2">
            <w:pPr>
              <w:rPr>
                <w:rFonts w:ascii="Calibri Light" w:hAnsi="Calibri Light"/>
                <w:sz w:val="16"/>
                <w:szCs w:val="16"/>
                <w:lang w:val="es-CR"/>
              </w:rPr>
            </w:pPr>
            <w:r w:rsidRPr="008D0125">
              <w:rPr>
                <w:rFonts w:ascii="Calibri Light" w:hAnsi="Calibri Light"/>
                <w:sz w:val="16"/>
                <w:szCs w:val="16"/>
                <w:lang w:val="es-CR"/>
              </w:rPr>
              <w:t>INDICADOR 1: Entidades supervisadas bajo MSBR mejorado</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179C47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Estratégico</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3773F30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6766B0F9"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8CAA9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278C734" w14:textId="77777777" w:rsidR="005464A5" w:rsidRPr="008D0125" w:rsidRDefault="005464A5" w:rsidP="00D474C2">
            <w:pPr>
              <w:rPr>
                <w:rFonts w:ascii="Calibri Light" w:hAnsi="Calibri Light"/>
                <w:sz w:val="16"/>
                <w:szCs w:val="16"/>
                <w:lang w:val="es-CR"/>
              </w:rPr>
            </w:pPr>
            <w:r w:rsidRPr="008D0125">
              <w:rPr>
                <w:rFonts w:ascii="Calibri Light" w:hAnsi="Calibri Light"/>
                <w:sz w:val="16"/>
                <w:szCs w:val="16"/>
                <w:lang w:val="es-CR"/>
              </w:rPr>
              <w:t>Objetivo 1: Vigil</w:t>
            </w:r>
            <w:r>
              <w:rPr>
                <w:rFonts w:ascii="Calibri Light" w:hAnsi="Calibri Light"/>
                <w:sz w:val="16"/>
                <w:szCs w:val="16"/>
                <w:lang w:val="es-CR"/>
              </w:rPr>
              <w:t>ar a los participantes en el Sistema Nacional de Pensiones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E7F151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0C5A0A3A" w14:textId="77777777" w:rsidR="005464A5" w:rsidRPr="008D0125" w:rsidRDefault="005464A5" w:rsidP="00D474C2">
            <w:pPr>
              <w:rPr>
                <w:rFonts w:ascii="Calibri Light" w:hAnsi="Calibri Light"/>
                <w:sz w:val="16"/>
                <w:szCs w:val="16"/>
                <w:lang w:val="es-CR"/>
              </w:rPr>
            </w:pPr>
            <w:r w:rsidRPr="00B90C0D">
              <w:rPr>
                <w:rFonts w:ascii="Calibri Light" w:hAnsi="Calibri Light"/>
                <w:sz w:val="16"/>
                <w:szCs w:val="16"/>
                <w:lang w:val="es-CR"/>
              </w:rPr>
              <w:t>INDICADOR 2: Cantidad de regulados que gestionen adecuadamente los riesgos relevantes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546FCE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Estratégico</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3F602B3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34014AA2"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A0320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1ACDE49" w14:textId="77777777" w:rsidR="005464A5" w:rsidRPr="008D0125" w:rsidRDefault="005464A5" w:rsidP="00D474C2">
            <w:pPr>
              <w:rPr>
                <w:rFonts w:ascii="Calibri Light" w:hAnsi="Calibri Light"/>
                <w:sz w:val="16"/>
                <w:szCs w:val="16"/>
                <w:lang w:val="es-CR"/>
              </w:rPr>
            </w:pPr>
            <w:r w:rsidRPr="00EF0100">
              <w:rPr>
                <w:rFonts w:ascii="Calibri Light" w:hAnsi="Calibri Light"/>
                <w:sz w:val="16"/>
                <w:szCs w:val="16"/>
                <w:lang w:val="es-CR"/>
              </w:rPr>
              <w:t>Objetivo 2: Fortalecer el sistema de pensiones y ahorro laboral</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FD86DE3"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4CFC6F5C" w14:textId="77777777" w:rsidR="005464A5" w:rsidRPr="008D0125" w:rsidRDefault="005464A5" w:rsidP="00D474C2">
            <w:pPr>
              <w:rPr>
                <w:rFonts w:ascii="Calibri Light" w:hAnsi="Calibri Light"/>
                <w:sz w:val="16"/>
                <w:szCs w:val="16"/>
                <w:lang w:val="es-CR"/>
              </w:rPr>
            </w:pPr>
            <w:r w:rsidRPr="00EF0100">
              <w:rPr>
                <w:rFonts w:ascii="Calibri Light" w:hAnsi="Calibri Light"/>
                <w:sz w:val="16"/>
                <w:szCs w:val="16"/>
                <w:lang w:val="es-CR"/>
              </w:rPr>
              <w:t>INDICADOR 3: Cierre de brecha para alcanzar sostenibilidad</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B490AB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Estratégico</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0C2CF6B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640F2345"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98EA4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55FFC21" w14:textId="77777777" w:rsidR="005464A5" w:rsidRPr="008D0125" w:rsidRDefault="005464A5" w:rsidP="00D474C2">
            <w:pPr>
              <w:rPr>
                <w:rFonts w:ascii="Calibri Light" w:hAnsi="Calibri Light"/>
                <w:sz w:val="16"/>
                <w:szCs w:val="16"/>
                <w:lang w:val="es-CR"/>
              </w:rPr>
            </w:pPr>
            <w:r w:rsidRPr="00EF0100">
              <w:rPr>
                <w:rFonts w:ascii="Calibri Light" w:hAnsi="Calibri Light"/>
                <w:sz w:val="16"/>
                <w:szCs w:val="16"/>
                <w:lang w:val="es-CR"/>
              </w:rPr>
              <w:t>Objetivo 2: Fortalecer el sistema de pensiones y ahorro laboral</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E587E7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3F96F08" w14:textId="77777777" w:rsidR="005464A5" w:rsidRPr="008D0125" w:rsidRDefault="005464A5" w:rsidP="00D474C2">
            <w:pPr>
              <w:rPr>
                <w:rFonts w:ascii="Calibri Light" w:hAnsi="Calibri Light"/>
                <w:sz w:val="16"/>
                <w:szCs w:val="16"/>
                <w:lang w:val="es-CR"/>
              </w:rPr>
            </w:pPr>
            <w:r w:rsidRPr="00040A8B">
              <w:rPr>
                <w:rFonts w:ascii="Calibri Light" w:hAnsi="Calibri Light"/>
                <w:sz w:val="16"/>
                <w:szCs w:val="16"/>
                <w:lang w:val="es-CR"/>
              </w:rPr>
              <w:t xml:space="preserve">INDICADOR 4: Porcentaje población no cubierta por </w:t>
            </w:r>
            <w:r>
              <w:rPr>
                <w:rFonts w:ascii="Calibri Light" w:hAnsi="Calibri Light"/>
                <w:sz w:val="16"/>
                <w:szCs w:val="16"/>
                <w:lang w:val="es-CR"/>
              </w:rPr>
              <w:t>Sistema Nacional de Pensiones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32555D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3A5B852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4E570E2F"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C8F79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FCE45ED" w14:textId="77777777" w:rsidR="005464A5" w:rsidRPr="008D0125" w:rsidRDefault="005464A5" w:rsidP="00D474C2">
            <w:pPr>
              <w:rPr>
                <w:rFonts w:ascii="Calibri Light" w:hAnsi="Calibri Light"/>
                <w:sz w:val="16"/>
                <w:szCs w:val="16"/>
                <w:lang w:val="es-CR"/>
              </w:rPr>
            </w:pPr>
            <w:r w:rsidRPr="00EF0100">
              <w:rPr>
                <w:rFonts w:ascii="Calibri Light" w:hAnsi="Calibri Light"/>
                <w:sz w:val="16"/>
                <w:szCs w:val="16"/>
                <w:lang w:val="es-CR"/>
              </w:rPr>
              <w:t>Objetivo 2: Fortalecer el sistema de pensiones y ahorro laboral</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75D5D2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03CC7D83" w14:textId="77777777" w:rsidR="005464A5" w:rsidRPr="00040A8B" w:rsidRDefault="005464A5" w:rsidP="00D474C2">
            <w:pPr>
              <w:rPr>
                <w:rFonts w:ascii="Calibri Light" w:hAnsi="Calibri Light"/>
                <w:sz w:val="16"/>
                <w:szCs w:val="16"/>
                <w:lang w:val="es-CR"/>
              </w:rPr>
            </w:pPr>
            <w:r w:rsidRPr="00146E56">
              <w:rPr>
                <w:rFonts w:ascii="Calibri Light" w:hAnsi="Calibri Light"/>
                <w:sz w:val="16"/>
                <w:szCs w:val="16"/>
                <w:lang w:val="es-CR"/>
              </w:rPr>
              <w:t>INDICADOR 5: Cantidad de personas que realizan aportes voluntarios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6F7CF3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5A63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Ver cuadro anexo</w:t>
            </w:r>
          </w:p>
        </w:tc>
      </w:tr>
      <w:tr w:rsidR="005464A5" w14:paraId="320126AD"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C7F883"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E95B8D2" w14:textId="77777777" w:rsidR="005464A5" w:rsidRPr="008D0125" w:rsidRDefault="005464A5" w:rsidP="00D474C2">
            <w:pPr>
              <w:rPr>
                <w:rFonts w:ascii="Calibri Light" w:hAnsi="Calibri Light"/>
                <w:sz w:val="16"/>
                <w:szCs w:val="16"/>
                <w:lang w:val="es-CR"/>
              </w:rPr>
            </w:pPr>
            <w:r w:rsidRPr="00C70DF3">
              <w:rPr>
                <w:rFonts w:ascii="Calibri Light" w:hAnsi="Calibri Light"/>
                <w:sz w:val="16"/>
                <w:szCs w:val="16"/>
                <w:lang w:val="es-CR"/>
              </w:rPr>
              <w:t>Objetivo 3: Empoderar al afiliado</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0E0143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5F75AB6C" w14:textId="77777777" w:rsidR="005464A5" w:rsidRPr="00040A8B" w:rsidRDefault="005464A5" w:rsidP="00D474C2">
            <w:pPr>
              <w:rPr>
                <w:rFonts w:ascii="Calibri Light" w:hAnsi="Calibri Light"/>
                <w:sz w:val="16"/>
                <w:szCs w:val="16"/>
                <w:lang w:val="es-CR"/>
              </w:rPr>
            </w:pPr>
            <w:r w:rsidRPr="00C70DF3">
              <w:rPr>
                <w:rFonts w:ascii="Calibri Light" w:hAnsi="Calibri Light"/>
                <w:sz w:val="16"/>
                <w:szCs w:val="16"/>
                <w:lang w:val="es-CR"/>
              </w:rPr>
              <w:t>INDICADOR 6: Reducción de afiliados automáticos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03E35D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Estratégico</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A51AC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42EFFCCC"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35814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CAD771B" w14:textId="77777777" w:rsidR="005464A5" w:rsidRPr="008D0125" w:rsidRDefault="005464A5" w:rsidP="00D474C2">
            <w:pPr>
              <w:rPr>
                <w:rFonts w:ascii="Calibri Light" w:hAnsi="Calibri Light"/>
                <w:sz w:val="16"/>
                <w:szCs w:val="16"/>
                <w:lang w:val="es-CR"/>
              </w:rPr>
            </w:pPr>
            <w:r w:rsidRPr="00C70DF3">
              <w:rPr>
                <w:rFonts w:ascii="Calibri Light" w:hAnsi="Calibri Light"/>
                <w:sz w:val="16"/>
                <w:szCs w:val="16"/>
                <w:lang w:val="es-CR"/>
              </w:rPr>
              <w:t>Objetivo 3: Empoderar al afiliado</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5BF197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5F405E64" w14:textId="77777777" w:rsidR="005464A5" w:rsidRPr="00040A8B" w:rsidRDefault="005464A5" w:rsidP="00D474C2">
            <w:pPr>
              <w:rPr>
                <w:rFonts w:ascii="Calibri Light" w:hAnsi="Calibri Light"/>
                <w:sz w:val="16"/>
                <w:szCs w:val="16"/>
                <w:lang w:val="es-CR"/>
              </w:rPr>
            </w:pPr>
            <w:r w:rsidRPr="00B77764">
              <w:rPr>
                <w:rFonts w:ascii="Calibri Light" w:hAnsi="Calibri Light"/>
                <w:sz w:val="16"/>
                <w:szCs w:val="16"/>
                <w:lang w:val="es-CR"/>
              </w:rPr>
              <w:t>INDICADOR 7: Reducción de tiempos en atención de quejas y consultas ante los gestores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37207B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Eficiencia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089E7B6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65D1FEE2"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C1FFA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lastRenderedPageBreak/>
              <w:t>Plan Estratégico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C7A09A1" w14:textId="77777777" w:rsidR="005464A5" w:rsidRPr="008D0125" w:rsidRDefault="005464A5" w:rsidP="00D474C2">
            <w:pPr>
              <w:rPr>
                <w:rFonts w:ascii="Calibri Light" w:hAnsi="Calibri Light"/>
                <w:sz w:val="16"/>
                <w:szCs w:val="16"/>
                <w:lang w:val="es-CR"/>
              </w:rPr>
            </w:pPr>
            <w:r w:rsidRPr="00C70DF3">
              <w:rPr>
                <w:rFonts w:ascii="Calibri Light" w:hAnsi="Calibri Light"/>
                <w:sz w:val="16"/>
                <w:szCs w:val="16"/>
                <w:lang w:val="es-CR"/>
              </w:rPr>
              <w:t>Objetivo 3: Empoderar al afiliado</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60D03C6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FAA303C" w14:textId="77777777" w:rsidR="005464A5" w:rsidRPr="00B77764" w:rsidRDefault="005464A5" w:rsidP="00D474C2">
            <w:pPr>
              <w:rPr>
                <w:rFonts w:ascii="Calibri Light" w:hAnsi="Calibri Light"/>
                <w:sz w:val="16"/>
                <w:szCs w:val="16"/>
                <w:lang w:val="es-CR"/>
              </w:rPr>
            </w:pPr>
            <w:r w:rsidRPr="003A5394">
              <w:rPr>
                <w:rFonts w:ascii="Calibri Light" w:hAnsi="Calibri Light"/>
                <w:sz w:val="16"/>
                <w:szCs w:val="16"/>
                <w:lang w:val="es-CR"/>
              </w:rPr>
              <w:t>INDICADOR 8: Cantidad de afiliados que consulta expediente electrónico previsional</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F09281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0D53E05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6A18316C"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442C146B"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Comunicación</w:t>
            </w:r>
          </w:p>
        </w:tc>
      </w:tr>
      <w:tr w:rsidR="005464A5" w14:paraId="0FDBEA5E"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CF34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CIN 01.0.1 Plan de Comunicación</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E762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Fomentar en la población el desarrollo de una cultura previsional con el propósito de crear conciencia de la importancia de la pensión.</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6FA27"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7710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Tasa de realización de actividades = TRA = Cantidad de actividades ejecutadas / Cantidad de actividades programadas x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F8DE9E"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1425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TRA </w:t>
            </w:r>
            <w:r>
              <w:rPr>
                <w:rFonts w:ascii="Calibri Light" w:hAnsi="Calibri Light"/>
                <w:sz w:val="16"/>
                <w:szCs w:val="16"/>
                <w:u w:val="single"/>
                <w:lang w:val="es-CR"/>
              </w:rPr>
              <w:t>&gt;</w:t>
            </w:r>
            <w:r>
              <w:rPr>
                <w:rFonts w:ascii="Calibri Light" w:hAnsi="Calibri Light"/>
                <w:sz w:val="16"/>
                <w:szCs w:val="16"/>
                <w:lang w:val="es-CR"/>
              </w:rPr>
              <w:t xml:space="preserve"> 90%</w:t>
            </w:r>
          </w:p>
        </w:tc>
      </w:tr>
      <w:tr w:rsidR="005464A5" w14:paraId="73820106"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BABFF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F CIN 02.2.2 Bitácora de quejas y sugerencias   </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21EF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Fomentar en la población el desarrollo de una cultura previsional con el propósito de crear conciencia de la importancia de la pensión.</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B068F"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476D19" w14:textId="0276BCE2" w:rsidR="005464A5" w:rsidRDefault="005464A5" w:rsidP="00D474C2">
            <w:pPr>
              <w:rPr>
                <w:rFonts w:ascii="Calibri Light" w:hAnsi="Calibri Light"/>
                <w:sz w:val="16"/>
                <w:szCs w:val="16"/>
                <w:lang w:val="es-CR"/>
              </w:rPr>
            </w:pPr>
            <w:r>
              <w:rPr>
                <w:rFonts w:ascii="Calibri Light" w:hAnsi="Calibri Light"/>
                <w:sz w:val="16"/>
                <w:szCs w:val="16"/>
                <w:lang w:val="es-CR"/>
              </w:rPr>
              <w:t xml:space="preserve">% de quejas atendidas en plazo (4 días hábiles) = %QP = (total de quejas en plazo/total de quejas </w:t>
            </w:r>
            <w:r w:rsidR="00582FB2">
              <w:rPr>
                <w:rFonts w:ascii="Calibri Light" w:hAnsi="Calibri Light"/>
                <w:sz w:val="16"/>
                <w:szCs w:val="16"/>
                <w:lang w:val="es-CR"/>
              </w:rPr>
              <w:t>tramitadas) *</w:t>
            </w:r>
            <w:r>
              <w:rPr>
                <w:rFonts w:ascii="Calibri Light" w:hAnsi="Calibri Light"/>
                <w:sz w:val="16"/>
                <w:szCs w:val="16"/>
                <w:lang w:val="es-CR"/>
              </w:rPr>
              <w:t xml:space="preserve">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31270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B42F2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QP = 100%</w:t>
            </w:r>
          </w:p>
        </w:tc>
      </w:tr>
      <w:tr w:rsidR="005464A5" w14:paraId="39A785A8"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6E27C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Encuesta diagnóstico conocimiento y percepciones sobre el Sistema Nacional de Pensiones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A07F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Fomentar la comunicación con los afiliados y la sociedad</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0F76E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bianual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523BCA" w14:textId="1DC66760" w:rsidR="005464A5" w:rsidRDefault="005464A5" w:rsidP="00582FB2">
            <w:pPr>
              <w:jc w:val="both"/>
              <w:rPr>
                <w:rFonts w:ascii="Calibri Light" w:hAnsi="Calibri Light"/>
                <w:sz w:val="16"/>
                <w:szCs w:val="16"/>
                <w:lang w:val="es-CR"/>
              </w:rPr>
            </w:pPr>
            <w:r>
              <w:rPr>
                <w:rFonts w:ascii="Calibri Light" w:hAnsi="Calibri Light"/>
                <w:sz w:val="16"/>
                <w:szCs w:val="16"/>
                <w:lang w:val="es-CR"/>
              </w:rPr>
              <w:t xml:space="preserve">De la encuesta nacional de diagnóstico de </w:t>
            </w:r>
            <w:r w:rsidR="00582FB2">
              <w:rPr>
                <w:rFonts w:ascii="Calibri Light" w:hAnsi="Calibri Light"/>
                <w:sz w:val="16"/>
                <w:szCs w:val="16"/>
                <w:lang w:val="es-CR"/>
              </w:rPr>
              <w:t>conocimientos se</w:t>
            </w:r>
            <w:r>
              <w:rPr>
                <w:rFonts w:ascii="Calibri Light" w:hAnsi="Calibri Light"/>
                <w:sz w:val="16"/>
                <w:szCs w:val="16"/>
                <w:lang w:val="es-CR"/>
              </w:rPr>
              <w:t xml:space="preserve"> evaluará cada dos años el resultado de las preguntas:</w:t>
            </w:r>
          </w:p>
          <w:p w14:paraId="0DCC781F" w14:textId="77777777" w:rsidR="005464A5" w:rsidRDefault="005464A5" w:rsidP="00582FB2">
            <w:pPr>
              <w:ind w:left="175" w:hanging="175"/>
              <w:jc w:val="both"/>
              <w:rPr>
                <w:rFonts w:ascii="Calibri Light" w:hAnsi="Calibri Light"/>
                <w:sz w:val="16"/>
                <w:szCs w:val="16"/>
                <w:lang w:val="es-CR"/>
              </w:rPr>
            </w:pPr>
            <w:r>
              <w:rPr>
                <w:rFonts w:ascii="Calibri Light" w:hAnsi="Calibri Light"/>
                <w:sz w:val="16"/>
                <w:szCs w:val="16"/>
                <w:lang w:val="es-CR"/>
              </w:rPr>
              <w:t>-Definir los requisitos para obtener una pensión del régimen básico al que está adscrito.</w:t>
            </w:r>
          </w:p>
          <w:p w14:paraId="7828F887" w14:textId="77777777" w:rsidR="005464A5" w:rsidRDefault="005464A5" w:rsidP="00582FB2">
            <w:pPr>
              <w:ind w:left="175" w:hanging="175"/>
              <w:jc w:val="both"/>
              <w:rPr>
                <w:rFonts w:ascii="Calibri Light" w:hAnsi="Calibri Light"/>
                <w:sz w:val="16"/>
                <w:szCs w:val="16"/>
                <w:lang w:val="es-CR"/>
              </w:rPr>
            </w:pPr>
            <w:r>
              <w:rPr>
                <w:rFonts w:ascii="Calibri Light" w:hAnsi="Calibri Light"/>
                <w:sz w:val="16"/>
                <w:szCs w:val="16"/>
                <w:lang w:val="es-CR"/>
              </w:rPr>
              <w:t>-Precisar los requisitos para obtener la pensión del régimen obligatorio complementario.</w:t>
            </w:r>
          </w:p>
          <w:p w14:paraId="56D346E2" w14:textId="77777777" w:rsidR="005464A5" w:rsidRDefault="005464A5" w:rsidP="00582FB2">
            <w:pPr>
              <w:ind w:left="175" w:hanging="175"/>
              <w:jc w:val="both"/>
              <w:rPr>
                <w:rFonts w:ascii="Calibri Light" w:hAnsi="Calibri Light"/>
                <w:sz w:val="16"/>
                <w:szCs w:val="16"/>
                <w:lang w:val="es-CR"/>
              </w:rPr>
            </w:pPr>
            <w:r>
              <w:rPr>
                <w:rFonts w:ascii="Calibri Light" w:hAnsi="Calibri Light"/>
                <w:sz w:val="16"/>
                <w:szCs w:val="16"/>
                <w:lang w:val="es-CR"/>
              </w:rPr>
              <w:t xml:space="preserve">-Puntualizar la importancia de contar con pensión del régimen voluntario complementario. </w:t>
            </w:r>
          </w:p>
          <w:p w14:paraId="02531F0D" w14:textId="77777777" w:rsidR="005464A5" w:rsidRDefault="005464A5" w:rsidP="00582FB2">
            <w:pPr>
              <w:ind w:left="175" w:hanging="175"/>
              <w:jc w:val="both"/>
              <w:rPr>
                <w:rFonts w:ascii="Calibri Light" w:hAnsi="Calibri Light"/>
                <w:sz w:val="16"/>
                <w:szCs w:val="16"/>
                <w:lang w:val="es-CR"/>
              </w:rPr>
            </w:pPr>
            <w:r>
              <w:rPr>
                <w:rFonts w:ascii="Calibri Light" w:hAnsi="Calibri Light"/>
                <w:sz w:val="16"/>
                <w:szCs w:val="16"/>
                <w:lang w:val="es-CR"/>
              </w:rPr>
              <w:t>-Señalar al ente responsable de supervisar y/o fiscalizar las pensiones en el país.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AEC1F"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Economía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A13628" w14:textId="256099B7" w:rsidR="005464A5" w:rsidRDefault="005464A5" w:rsidP="00D474C2">
            <w:pPr>
              <w:rPr>
                <w:rFonts w:ascii="Calibri Light" w:hAnsi="Calibri Light"/>
                <w:sz w:val="16"/>
                <w:szCs w:val="16"/>
                <w:lang w:val="es-CR"/>
              </w:rPr>
            </w:pPr>
            <w:r>
              <w:rPr>
                <w:rFonts w:ascii="Calibri Light" w:hAnsi="Calibri Light"/>
                <w:sz w:val="16"/>
                <w:szCs w:val="16"/>
                <w:lang w:val="es-CR"/>
              </w:rPr>
              <w:t>Aumento de 1,5</w:t>
            </w:r>
            <w:r w:rsidR="00582FB2">
              <w:rPr>
                <w:rFonts w:ascii="Calibri Light" w:hAnsi="Calibri Light"/>
                <w:sz w:val="16"/>
                <w:szCs w:val="16"/>
                <w:lang w:val="es-CR"/>
              </w:rPr>
              <w:t>% en</w:t>
            </w:r>
            <w:r>
              <w:rPr>
                <w:rFonts w:ascii="Calibri Light" w:hAnsi="Calibri Light"/>
                <w:sz w:val="16"/>
                <w:szCs w:val="16"/>
                <w:lang w:val="es-CR"/>
              </w:rPr>
              <w:t xml:space="preserve"> cada evaluación.</w:t>
            </w:r>
          </w:p>
        </w:tc>
      </w:tr>
      <w:tr w:rsidR="005464A5" w14:paraId="48B4E208"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ABF51E0"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Gestión de Recursos</w:t>
            </w:r>
          </w:p>
        </w:tc>
      </w:tr>
      <w:tr w:rsidR="005464A5" w14:paraId="34D00F02"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5016B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Sistema de Control de Presupuesto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841AB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Gestionar oportunamente los recursos humanos, materiales, financieros y servicios administrativos de acuerdo con los requerimientos y disposiciones institucionales.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02773E"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A529F0" w14:textId="2BC4B2DC" w:rsidR="005464A5" w:rsidRDefault="005464A5" w:rsidP="00D474C2">
            <w:pPr>
              <w:rPr>
                <w:rFonts w:ascii="Calibri Light" w:hAnsi="Calibri Light"/>
                <w:sz w:val="16"/>
                <w:szCs w:val="16"/>
                <w:lang w:val="es-CR"/>
              </w:rPr>
            </w:pPr>
            <w:r>
              <w:rPr>
                <w:rFonts w:ascii="Calibri Light" w:hAnsi="Calibri Light"/>
                <w:sz w:val="16"/>
                <w:szCs w:val="16"/>
                <w:lang w:val="es-CR"/>
              </w:rPr>
              <w:t xml:space="preserve">% de ejecución presupuestaria = %EP = (monto ejecutado/presupuesto </w:t>
            </w:r>
            <w:r w:rsidR="00582FB2">
              <w:rPr>
                <w:rFonts w:ascii="Calibri Light" w:hAnsi="Calibri Light"/>
                <w:sz w:val="16"/>
                <w:szCs w:val="16"/>
                <w:lang w:val="es-CR"/>
              </w:rPr>
              <w:t>aprobado) x</w:t>
            </w:r>
            <w:r>
              <w:rPr>
                <w:rFonts w:ascii="Calibri Light" w:hAnsi="Calibri Light"/>
                <w:sz w:val="16"/>
                <w:szCs w:val="16"/>
                <w:lang w:val="es-CR"/>
              </w:rPr>
              <w:t xml:space="preserve"> 100</w:t>
            </w:r>
          </w:p>
          <w:p w14:paraId="7446C0A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Cuentas claves a medir: </w:t>
            </w:r>
          </w:p>
          <w:p w14:paraId="595A29E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a. Consultorías </w:t>
            </w:r>
          </w:p>
          <w:p w14:paraId="73073FC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b. Capacitación </w:t>
            </w:r>
          </w:p>
          <w:p w14:paraId="7827084A" w14:textId="5701AC0B" w:rsidR="005464A5" w:rsidRDefault="005464A5" w:rsidP="00D474C2">
            <w:pPr>
              <w:rPr>
                <w:rFonts w:ascii="Calibri Light" w:hAnsi="Calibri Light"/>
                <w:sz w:val="16"/>
                <w:szCs w:val="16"/>
                <w:lang w:val="es-CR"/>
              </w:rPr>
            </w:pPr>
            <w:r>
              <w:rPr>
                <w:rFonts w:ascii="Calibri Light" w:hAnsi="Calibri Light"/>
                <w:sz w:val="16"/>
                <w:szCs w:val="16"/>
                <w:lang w:val="es-CR"/>
              </w:rPr>
              <w:t xml:space="preserve">c.  </w:t>
            </w:r>
            <w:r w:rsidR="00582FB2">
              <w:rPr>
                <w:rFonts w:ascii="Calibri Light" w:hAnsi="Calibri Light"/>
                <w:sz w:val="16"/>
                <w:szCs w:val="16"/>
                <w:lang w:val="es-CR"/>
              </w:rPr>
              <w:t>Información (</w:t>
            </w:r>
            <w:r>
              <w:rPr>
                <w:rFonts w:ascii="Calibri Light" w:hAnsi="Calibri Light"/>
                <w:sz w:val="16"/>
                <w:szCs w:val="16"/>
                <w:lang w:val="es-CR"/>
              </w:rPr>
              <w:t>Comunicación)</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75EBE8"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Economía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7E1D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%EP ≥ 90 %</w:t>
            </w:r>
          </w:p>
        </w:tc>
      </w:tr>
      <w:tr w:rsidR="005464A5" w14:paraId="1973FB52" w14:textId="77777777" w:rsidTr="00D474C2">
        <w:trPr>
          <w:trHeight w:val="82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DC9D0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Resultados de la encuesta del cliente interno F SGC 03.0.3</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805B6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Gestionar oportunamente los recursos humanos, materiales, financieros y servicios administrativos de acuerdo con los requerimientos y disposiciones institucionales.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F33B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04AEECC3"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 Calificación del cliente interno = CCI </w:t>
            </w:r>
          </w:p>
          <w:p w14:paraId="45BDB80D" w14:textId="77777777" w:rsidR="005464A5" w:rsidRDefault="005464A5" w:rsidP="00D474C2">
            <w:pPr>
              <w:rPr>
                <w:rFonts w:ascii="Calibri Light" w:hAnsi="Calibri Light"/>
                <w:sz w:val="16"/>
                <w:szCs w:val="16"/>
                <w:lang w:val="es-CR"/>
              </w:rPr>
            </w:pPr>
          </w:p>
          <w:p w14:paraId="1A4AA1F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Calificación conjunta de conforme más muy conforme &gt; 85%</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335E83"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D97C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Calificación &gt; 85%</w:t>
            </w:r>
          </w:p>
        </w:tc>
      </w:tr>
      <w:tr w:rsidR="005464A5" w14:paraId="0934E898"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17D2659"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Revisión por la Dirección</w:t>
            </w:r>
          </w:p>
        </w:tc>
      </w:tr>
      <w:tr w:rsidR="005464A5" w14:paraId="4240DBDA" w14:textId="77777777" w:rsidTr="00D474C2">
        <w:trPr>
          <w:trHeight w:val="124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CBD4E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F SGC 04.0.2 Informe sobre acciones correctivas y preventivas </w:t>
            </w:r>
          </w:p>
          <w:p w14:paraId="1FB378E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SGC 08.0.8 Informe sobre productos no conformes</w:t>
            </w:r>
          </w:p>
          <w:p w14:paraId="4332581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lastRenderedPageBreak/>
              <w:t>F CIN 02.2.2 Bitácora de quejas o sugerencias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93A5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lastRenderedPageBreak/>
              <w:t>Evaluar la eficacia de los planes de acción propuestos para atender las no conformidades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F04EAF"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076E3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RNC = Cantidad de reincidencias en las no conformidades</w:t>
            </w:r>
          </w:p>
          <w:p w14:paraId="261BD0E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No conformidades registradas en: acciones correctivas, acciones preventivas, productos no conformes, quejas.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2A0C1B"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1F27A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RNC = 0</w:t>
            </w:r>
          </w:p>
        </w:tc>
      </w:tr>
      <w:tr w:rsidR="005464A5" w14:paraId="2A289975" w14:textId="77777777" w:rsidTr="00D474C2">
        <w:trPr>
          <w:trHeight w:val="124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3F1E2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SGC 04.0.2 Informe sobre acciones correctivas y preventivas</w:t>
            </w:r>
          </w:p>
          <w:p w14:paraId="09747D7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SGC 08.0.8 Informe sobre productos no conformes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FEC42E"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Verificar que se implementen medidas para atender las oportunidades de mejora que se detecten a partir de la realimentación con el cliente.</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B8F32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mensual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6E54DBD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Tasa de NC vencidas = NC</w:t>
            </w:r>
            <w:r>
              <w:rPr>
                <w:rFonts w:ascii="Calibri Light" w:hAnsi="Calibri Light"/>
                <w:sz w:val="16"/>
                <w:szCs w:val="16"/>
                <w:vertAlign w:val="subscript"/>
                <w:lang w:val="es-CR"/>
              </w:rPr>
              <w:t>venc</w:t>
            </w:r>
            <w:r>
              <w:rPr>
                <w:rFonts w:ascii="Calibri Light" w:hAnsi="Calibri Light"/>
                <w:sz w:val="16"/>
                <w:szCs w:val="16"/>
                <w:lang w:val="es-CR"/>
              </w:rPr>
              <w:t xml:space="preserve">  = </w:t>
            </w:r>
            <w:r>
              <w:rPr>
                <w:rFonts w:ascii="Calibri Light" w:hAnsi="Calibri Light"/>
                <w:sz w:val="16"/>
                <w:szCs w:val="16"/>
                <w:u w:val="single"/>
                <w:lang w:val="es-CR"/>
              </w:rPr>
              <w:t>Cantidad de NC vencidas</w:t>
            </w:r>
            <w:r>
              <w:rPr>
                <w:rFonts w:ascii="Calibri Light" w:hAnsi="Calibri Light"/>
                <w:sz w:val="16"/>
                <w:szCs w:val="16"/>
                <w:lang w:val="es-CR"/>
              </w:rPr>
              <w:t>  x 100%</w:t>
            </w:r>
            <w:r>
              <w:rPr>
                <w:rFonts w:ascii="Calibri Light" w:hAnsi="Calibri Light"/>
                <w:sz w:val="14"/>
                <w:szCs w:val="14"/>
                <w:lang w:val="es-CR"/>
              </w:rPr>
              <w:t xml:space="preserve">    </w:t>
            </w:r>
            <w:r>
              <w:rPr>
                <w:rFonts w:ascii="Calibri Light" w:hAnsi="Calibri Light"/>
                <w:sz w:val="16"/>
                <w:szCs w:val="16"/>
                <w:lang w:val="es-CR"/>
              </w:rPr>
              <w:t xml:space="preserve">Total NC pendientes  </w:t>
            </w:r>
          </w:p>
          <w:p w14:paraId="488365B5" w14:textId="77777777" w:rsidR="005464A5" w:rsidRDefault="005464A5" w:rsidP="00D474C2">
            <w:pPr>
              <w:rPr>
                <w:rFonts w:ascii="Calibri Light" w:hAnsi="Calibri Light"/>
                <w:sz w:val="16"/>
                <w:szCs w:val="16"/>
                <w:lang w:val="es-CR"/>
              </w:rPr>
            </w:pPr>
          </w:p>
          <w:p w14:paraId="73E1A20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NC vencidas = Formularios de AC, AP y PNC pendientes con la fecha de atención vencida</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12A9A3"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28EA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NC</w:t>
            </w:r>
            <w:r>
              <w:rPr>
                <w:rFonts w:ascii="Calibri Light" w:hAnsi="Calibri Light"/>
                <w:sz w:val="16"/>
                <w:szCs w:val="16"/>
                <w:vertAlign w:val="subscript"/>
                <w:lang w:val="es-CR"/>
              </w:rPr>
              <w:t>venc</w:t>
            </w:r>
            <w:r>
              <w:rPr>
                <w:rFonts w:ascii="Calibri Light" w:hAnsi="Calibri Light"/>
                <w:sz w:val="16"/>
                <w:szCs w:val="16"/>
                <w:lang w:val="es-CR"/>
              </w:rPr>
              <w:t>  = 0</w:t>
            </w:r>
          </w:p>
        </w:tc>
      </w:tr>
      <w:tr w:rsidR="005464A5" w14:paraId="20FA4624" w14:textId="77777777" w:rsidTr="00D474C2">
        <w:trPr>
          <w:trHeight w:val="124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93D4B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Tareas asignadas en el sistema de trámites </w:t>
            </w:r>
          </w:p>
          <w:p w14:paraId="2C54B86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SGC 04.0.2 Informe sobre acciones correctivas y preventivas</w:t>
            </w:r>
          </w:p>
          <w:p w14:paraId="49329F7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SGC 08.0.8 Informe sobre productos no conformes</w:t>
            </w:r>
          </w:p>
          <w:p w14:paraId="361D12A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 CIN 02.2.2 Bitácora de quejas o sugerencias</w:t>
            </w:r>
          </w:p>
          <w:p w14:paraId="1460F91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Informes de estudios de partes interesadas, encuestas efectuadas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3FD2B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Verificar que se implementen medidas para atender las oportunidades de mejora (OM) que se detecten a partir de la realimentación con el cliente</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2E87C"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semestral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D8D2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Tasa de OM atendidas = OM</w:t>
            </w:r>
            <w:r>
              <w:rPr>
                <w:rFonts w:ascii="Calibri Light" w:hAnsi="Calibri Light"/>
                <w:sz w:val="16"/>
                <w:szCs w:val="16"/>
                <w:vertAlign w:val="subscript"/>
                <w:lang w:val="es-CR"/>
              </w:rPr>
              <w:t>atend</w:t>
            </w:r>
            <w:r>
              <w:rPr>
                <w:rFonts w:ascii="Calibri Light" w:hAnsi="Calibri Light"/>
                <w:sz w:val="16"/>
                <w:szCs w:val="16"/>
                <w:lang w:val="es-CR"/>
              </w:rPr>
              <w:t xml:space="preserve">  = </w:t>
            </w:r>
            <w:r>
              <w:rPr>
                <w:rFonts w:ascii="Calibri Light" w:hAnsi="Calibri Light"/>
                <w:sz w:val="16"/>
                <w:szCs w:val="16"/>
                <w:u w:val="single"/>
                <w:lang w:val="es-CR"/>
              </w:rPr>
              <w:t>Cantidad de OM atendidas x 100%</w:t>
            </w:r>
          </w:p>
          <w:p w14:paraId="03BCDC2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Total OM detectadas</w:t>
            </w:r>
          </w:p>
          <w:p w14:paraId="7F57570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OM = recomendaciones de estudio de partes interesadas, encuestas, denuncias, quejas u otras provenientes de clientes que ameriten tomar acciones y ajustes en la SUPEN</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B1A518"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175A9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OM</w:t>
            </w:r>
            <w:r>
              <w:rPr>
                <w:rFonts w:ascii="Calibri Light" w:hAnsi="Calibri Light"/>
                <w:sz w:val="16"/>
                <w:szCs w:val="16"/>
                <w:vertAlign w:val="subscript"/>
                <w:lang w:val="es-CR"/>
              </w:rPr>
              <w:t>atend</w:t>
            </w:r>
            <w:r>
              <w:rPr>
                <w:rFonts w:ascii="Calibri Light" w:hAnsi="Calibri Light"/>
                <w:sz w:val="16"/>
                <w:szCs w:val="16"/>
                <w:lang w:val="es-CR"/>
              </w:rPr>
              <w:t>  = 100%</w:t>
            </w:r>
          </w:p>
        </w:tc>
      </w:tr>
      <w:tr w:rsidR="005464A5" w14:paraId="09814D11"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3C61A846"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Supervisión de Regímenes de Capitalización Individual</w:t>
            </w:r>
          </w:p>
        </w:tc>
      </w:tr>
      <w:tr w:rsidR="005464A5" w14:paraId="6A98C5F2" w14:textId="77777777" w:rsidTr="00D474C2">
        <w:trPr>
          <w:trHeight w:val="1224"/>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762B2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 CRO 01 Calificación Riesgo Entidades Autorizadas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2C79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Identificar los riesgos del Sistema Nacional de Pensiones, y ejecutar oportunamente las acciones necesarias para que sean mitigados.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90DEAD" w14:textId="77777777" w:rsidR="005464A5" w:rsidRDefault="005464A5" w:rsidP="00D474C2">
            <w:pPr>
              <w:rPr>
                <w:rFonts w:ascii="Calibri Light" w:hAnsi="Calibri Light"/>
                <w:sz w:val="12"/>
                <w:szCs w:val="12"/>
                <w:lang w:val="es-CR"/>
              </w:rPr>
            </w:pPr>
            <w:r>
              <w:rPr>
                <w:rFonts w:ascii="Calibri Light" w:hAnsi="Calibri Light"/>
                <w:sz w:val="12"/>
                <w:szCs w:val="12"/>
                <w:lang w:val="es-CR"/>
              </w:rPr>
              <w:t>trimestral acumulado</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BB6A5E" w14:textId="77777777" w:rsidR="005464A5" w:rsidRPr="00497A35" w:rsidRDefault="005464A5" w:rsidP="00D474C2">
            <w:pPr>
              <w:rPr>
                <w:rFonts w:ascii="Calibri Light" w:hAnsi="Calibri Light"/>
                <w:sz w:val="16"/>
                <w:szCs w:val="16"/>
                <w:lang w:val="es-CR"/>
              </w:rPr>
            </w:pPr>
            <w:r w:rsidRPr="00497A35">
              <w:rPr>
                <w:rFonts w:ascii="Calibri Light" w:hAnsi="Calibri Light"/>
                <w:sz w:val="16"/>
                <w:szCs w:val="16"/>
                <w:lang w:val="es-CR"/>
              </w:rPr>
              <w:t>%EMR = % Entrega Mapas de Riesgos =</w:t>
            </w:r>
          </w:p>
          <w:p w14:paraId="38EC519F" w14:textId="2FD6524B" w:rsidR="005464A5" w:rsidRDefault="005464A5" w:rsidP="00D474C2">
            <w:pPr>
              <w:rPr>
                <w:rFonts w:ascii="Calibri Light" w:hAnsi="Calibri Light"/>
                <w:sz w:val="16"/>
                <w:szCs w:val="16"/>
                <w:lang w:val="es-CR"/>
              </w:rPr>
            </w:pPr>
            <w:r w:rsidRPr="00497A35">
              <w:rPr>
                <w:rFonts w:ascii="Calibri Light" w:hAnsi="Calibri Light"/>
                <w:sz w:val="16"/>
                <w:szCs w:val="16"/>
                <w:lang w:val="es-CR"/>
              </w:rPr>
              <w:t xml:space="preserve">(Número mapas de riesgos enviados a la Alta Dirección dentro de los quince días hábiles, siguientes al cierre del trimestre evaluado/Número de mapas </w:t>
            </w:r>
            <w:r w:rsidR="00582FB2">
              <w:rPr>
                <w:rFonts w:ascii="Calibri Light" w:hAnsi="Calibri Light"/>
                <w:sz w:val="16"/>
                <w:szCs w:val="16"/>
                <w:lang w:val="es-CR"/>
              </w:rPr>
              <w:t>p</w:t>
            </w:r>
            <w:r w:rsidR="00582FB2" w:rsidRPr="00497A35">
              <w:rPr>
                <w:rFonts w:ascii="Calibri Light" w:hAnsi="Calibri Light"/>
                <w:sz w:val="16"/>
                <w:szCs w:val="16"/>
                <w:lang w:val="es-CR"/>
              </w:rPr>
              <w:t>rogramados)</w:t>
            </w:r>
            <w:r w:rsidRPr="00497A35">
              <w:rPr>
                <w:rFonts w:ascii="Calibri Light" w:hAnsi="Calibri Light"/>
                <w:sz w:val="16"/>
                <w:szCs w:val="16"/>
                <w:lang w:val="es-CR"/>
              </w:rPr>
              <w:t xml:space="preserve">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040073"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9224C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%EMR = 100%</w:t>
            </w:r>
          </w:p>
        </w:tc>
      </w:tr>
      <w:tr w:rsidR="005464A5" w14:paraId="4F30A157" w14:textId="77777777" w:rsidTr="00D474C2">
        <w:trPr>
          <w:trHeight w:val="16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EEB9D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Sistema de trámites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5C60A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Identificar los riesgos del Sistema Nacional de Pensiones, y ejecutar oportunamente las acciones necesarias para que sean mitigados.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F4773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EE26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%ECRO = % Entrega ECRO a tiempo =</w:t>
            </w:r>
          </w:p>
          <w:p w14:paraId="658F9C3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(Número de resoluciones entregadas a la Alta Dirección con al menos </w:t>
            </w:r>
            <w:r w:rsidRPr="00A83E56">
              <w:rPr>
                <w:rFonts w:ascii="Calibri Light" w:hAnsi="Calibri Light"/>
                <w:sz w:val="16"/>
                <w:szCs w:val="16"/>
                <w:lang w:val="es-CR"/>
              </w:rPr>
              <w:t>cinco</w:t>
            </w:r>
            <w:r>
              <w:rPr>
                <w:rFonts w:ascii="Calibri Light" w:hAnsi="Calibri Light"/>
                <w:sz w:val="16"/>
                <w:szCs w:val="16"/>
                <w:lang w:val="es-CR"/>
              </w:rPr>
              <w:t xml:space="preserve"> días hábiles al vencimiento del plazo normativo / Total de resoluciones emitidas en el período evaluado)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A0423"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2D981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%ECRO &gt; 100%</w:t>
            </w:r>
          </w:p>
        </w:tc>
      </w:tr>
      <w:tr w:rsidR="005464A5" w:rsidRPr="00800549" w14:paraId="6DE3EE69" w14:textId="77777777" w:rsidTr="00D474C2">
        <w:trPr>
          <w:trHeight w:val="16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AA718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Sistema de trámites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0D2299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Identificar los riesgos del Sistema Nacional de Pensiones, y ejecutar oportunamente las acciones necesarias para que sean mitigados.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1992BF7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DC79C0F" w14:textId="77777777" w:rsidR="005464A5" w:rsidRPr="00A83E56" w:rsidRDefault="005464A5" w:rsidP="00D474C2">
            <w:pPr>
              <w:rPr>
                <w:rFonts w:ascii="Calibri Light" w:hAnsi="Calibri Light"/>
                <w:sz w:val="16"/>
              </w:rPr>
            </w:pPr>
            <w:r w:rsidRPr="00A83E56">
              <w:rPr>
                <w:rFonts w:ascii="Calibri Light" w:hAnsi="Calibri Light"/>
                <w:sz w:val="16"/>
              </w:rPr>
              <w:t>%CSF = % Entrega CSF a tiempo =</w:t>
            </w:r>
          </w:p>
          <w:p w14:paraId="5DBAC566" w14:textId="77777777" w:rsidR="005464A5" w:rsidRPr="00800549" w:rsidRDefault="005464A5" w:rsidP="00D474C2">
            <w:pPr>
              <w:rPr>
                <w:rFonts w:ascii="Calibri Light" w:hAnsi="Calibri Light"/>
                <w:sz w:val="16"/>
                <w:szCs w:val="16"/>
                <w:lang w:val="es-CR"/>
              </w:rPr>
            </w:pPr>
            <w:r w:rsidRPr="00A83E56">
              <w:rPr>
                <w:rFonts w:ascii="Calibri Light" w:hAnsi="Calibri Light"/>
                <w:sz w:val="16"/>
              </w:rPr>
              <w:t>(Número de resoluciones entregadas a la Alta Dirección con al menos cinco días hábiles al vencimiento del plazo normativo / Total de resoluciones emitidas en el período evaluado)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133C95C" w14:textId="77777777" w:rsidR="005464A5" w:rsidRPr="00A83E56" w:rsidRDefault="005464A5" w:rsidP="00D474C2">
            <w:pPr>
              <w:rPr>
                <w:rFonts w:ascii="Calibri Light" w:hAnsi="Calibri Light"/>
                <w:sz w:val="16"/>
                <w:szCs w:val="14"/>
                <w:lang w:val="es-CR"/>
              </w:rPr>
            </w:pPr>
            <w:r w:rsidRPr="00A83E56">
              <w:rPr>
                <w:rFonts w:ascii="Calibri Light" w:hAnsi="Calibri Light"/>
                <w:sz w:val="16"/>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1AC0B4C7" w14:textId="77777777" w:rsidR="005464A5" w:rsidRPr="00800549" w:rsidRDefault="005464A5" w:rsidP="00D474C2">
            <w:pPr>
              <w:rPr>
                <w:rFonts w:ascii="Calibri Light" w:hAnsi="Calibri Light"/>
                <w:sz w:val="16"/>
                <w:szCs w:val="16"/>
                <w:lang w:val="es-CR"/>
              </w:rPr>
            </w:pPr>
            <w:r w:rsidRPr="00A83E56">
              <w:rPr>
                <w:rFonts w:ascii="Calibri Light" w:hAnsi="Calibri Light"/>
                <w:sz w:val="16"/>
              </w:rPr>
              <w:t>%CSF = 100%</w:t>
            </w:r>
          </w:p>
        </w:tc>
      </w:tr>
      <w:tr w:rsidR="005464A5" w14:paraId="59662EC5"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5C3E3438" w14:textId="77777777" w:rsidR="005464A5" w:rsidRDefault="005464A5" w:rsidP="00D474C2">
            <w:pPr>
              <w:rPr>
                <w:rFonts w:ascii="Calibri Light" w:hAnsi="Calibri Light"/>
                <w:b/>
                <w:bCs/>
                <w:sz w:val="14"/>
                <w:szCs w:val="14"/>
                <w:lang w:val="es-CR"/>
              </w:rPr>
            </w:pPr>
            <w:r>
              <w:rPr>
                <w:rFonts w:ascii="Calibri Light" w:hAnsi="Calibri Light"/>
                <w:b/>
                <w:bCs/>
                <w:sz w:val="14"/>
                <w:szCs w:val="14"/>
                <w:lang w:val="es-CR"/>
              </w:rPr>
              <w:t>Supervisión de Regímenes de Capitalización Colectiva</w:t>
            </w:r>
          </w:p>
        </w:tc>
      </w:tr>
      <w:tr w:rsidR="005464A5" w14:paraId="0DB9AE73" w14:textId="77777777" w:rsidTr="00D474C2">
        <w:trPr>
          <w:trHeight w:val="1020"/>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1D210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Documentos internos RC: </w:t>
            </w:r>
          </w:p>
          <w:p w14:paraId="38889469" w14:textId="77777777" w:rsidR="005464A5" w:rsidRDefault="005464A5" w:rsidP="00D474C2">
            <w:pPr>
              <w:rPr>
                <w:rFonts w:ascii="Calibri Light" w:hAnsi="Calibri Light"/>
                <w:sz w:val="16"/>
                <w:szCs w:val="16"/>
                <w:lang w:val="es-CR"/>
              </w:rPr>
            </w:pPr>
            <w:r w:rsidRPr="00A83E56">
              <w:rPr>
                <w:rFonts w:ascii="Calibri Light" w:hAnsi="Calibri Light"/>
                <w:sz w:val="16"/>
                <w:szCs w:val="16"/>
                <w:lang w:val="es-CR"/>
              </w:rPr>
              <w:t xml:space="preserve">Archivo Excel con </w:t>
            </w:r>
            <w:r>
              <w:rPr>
                <w:rFonts w:ascii="Calibri Light" w:hAnsi="Calibri Light"/>
                <w:sz w:val="16"/>
                <w:szCs w:val="16"/>
                <w:lang w:val="es-CR"/>
              </w:rPr>
              <w:t>el nombre “MatrizIndicRC año x</w:t>
            </w:r>
            <w:r w:rsidRPr="00A83E56">
              <w:rPr>
                <w:rFonts w:ascii="Calibri Light" w:hAnsi="Calibri Light"/>
                <w:sz w:val="16"/>
                <w:szCs w:val="16"/>
                <w:lang w:val="es-CR"/>
              </w:rPr>
              <w:t>”</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14:paraId="6AB24095" w14:textId="77777777" w:rsidR="005464A5" w:rsidRPr="00A83E56" w:rsidRDefault="005464A5" w:rsidP="00D474C2">
            <w:pPr>
              <w:jc w:val="both"/>
              <w:rPr>
                <w:rFonts w:ascii="Calibri Light" w:hAnsi="Calibri Light"/>
                <w:sz w:val="16"/>
                <w:szCs w:val="16"/>
                <w:lang w:val="es-CR"/>
              </w:rPr>
            </w:pPr>
            <w:r w:rsidRPr="00A83E56">
              <w:rPr>
                <w:rFonts w:ascii="Calibri Light" w:hAnsi="Calibri Light"/>
                <w:sz w:val="16"/>
                <w:szCs w:val="16"/>
                <w:lang w:val="es-CR"/>
              </w:rPr>
              <w:t>Identificar los riesgos de los regímenes de pensiones de beneficio definido, y ejecutar oportunamente las acciones necesarias para promover que sean mitigados.</w:t>
            </w:r>
          </w:p>
          <w:p w14:paraId="5364760F" w14:textId="77777777" w:rsidR="005464A5" w:rsidRPr="00321734" w:rsidRDefault="005464A5" w:rsidP="00D474C2">
            <w:pPr>
              <w:jc w:val="both"/>
              <w:rPr>
                <w:rFonts w:ascii="Calibri Light" w:hAnsi="Calibri Light"/>
                <w:sz w:val="16"/>
                <w:szCs w:val="16"/>
                <w:lang w:val="es-CR"/>
              </w:rPr>
            </w:pP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501206CC" w14:textId="77777777" w:rsidR="005464A5" w:rsidRPr="00A83E56" w:rsidRDefault="005464A5" w:rsidP="00D474C2">
            <w:pPr>
              <w:rPr>
                <w:rFonts w:ascii="Calibri Light" w:hAnsi="Calibri Light"/>
                <w:sz w:val="16"/>
                <w:szCs w:val="16"/>
                <w:lang w:val="es-CR"/>
              </w:rPr>
            </w:pPr>
            <w:r>
              <w:rPr>
                <w:rFonts w:ascii="Calibri Light" w:hAnsi="Calibri Light"/>
                <w:sz w:val="16"/>
                <w:szCs w:val="16"/>
                <w:lang w:val="es-CR"/>
              </w:rPr>
              <w:lastRenderedPageBreak/>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5E9BA8C8" w14:textId="19EA66F9" w:rsidR="005464A5" w:rsidRPr="00A83E56" w:rsidRDefault="005464A5" w:rsidP="00D474C2">
            <w:pPr>
              <w:jc w:val="both"/>
              <w:rPr>
                <w:rFonts w:ascii="Calibri Light" w:hAnsi="Calibri Light"/>
                <w:sz w:val="16"/>
                <w:szCs w:val="16"/>
                <w:lang w:val="es-CR"/>
              </w:rPr>
            </w:pPr>
            <w:r w:rsidRPr="00A83E56">
              <w:rPr>
                <w:rFonts w:ascii="Calibri Light" w:hAnsi="Calibri Light"/>
                <w:sz w:val="16"/>
                <w:szCs w:val="16"/>
                <w:lang w:val="es-CR"/>
              </w:rPr>
              <w:t>MR</w:t>
            </w:r>
            <w:r w:rsidRPr="00EE2244">
              <w:rPr>
                <w:rFonts w:ascii="Calibri Light" w:hAnsi="Calibri Light"/>
                <w:sz w:val="14"/>
                <w:szCs w:val="16"/>
                <w:lang w:val="es-CR"/>
              </w:rPr>
              <w:t>RC</w:t>
            </w:r>
            <w:r w:rsidRPr="00A83E56">
              <w:rPr>
                <w:rFonts w:ascii="Calibri Light" w:hAnsi="Calibri Light"/>
                <w:sz w:val="16"/>
                <w:szCs w:val="16"/>
                <w:lang w:val="es-CR"/>
              </w:rPr>
              <w:t xml:space="preserve"> = Mapa de </w:t>
            </w:r>
            <w:r w:rsidR="00582FB2" w:rsidRPr="00A83E56">
              <w:rPr>
                <w:rFonts w:ascii="Calibri Light" w:hAnsi="Calibri Light"/>
                <w:sz w:val="16"/>
                <w:szCs w:val="16"/>
                <w:lang w:val="es-CR"/>
              </w:rPr>
              <w:t>riesgos de</w:t>
            </w:r>
            <w:r w:rsidRPr="00A83E56">
              <w:rPr>
                <w:rFonts w:ascii="Calibri Light" w:hAnsi="Calibri Light"/>
                <w:sz w:val="16"/>
                <w:szCs w:val="16"/>
                <w:lang w:val="es-CR"/>
              </w:rPr>
              <w:t xml:space="preserve"> los Regímenes Colectivos: entregado al Superintendente e Intendente a más tardar el último día hábil del mes siguiente al cierre de cada trimestre. El indicador se determina así:</w:t>
            </w:r>
          </w:p>
          <w:p w14:paraId="14A6F758" w14:textId="77777777" w:rsidR="005464A5" w:rsidRPr="00A83E56" w:rsidRDefault="005464A5" w:rsidP="00D474C2">
            <w:pPr>
              <w:jc w:val="both"/>
              <w:rPr>
                <w:rFonts w:ascii="Calibri Light" w:hAnsi="Calibri Light"/>
                <w:sz w:val="16"/>
                <w:szCs w:val="16"/>
                <w:lang w:val="es-CR"/>
              </w:rPr>
            </w:pPr>
            <w:r w:rsidRPr="00A83E56">
              <w:rPr>
                <w:rFonts w:ascii="Calibri Light" w:hAnsi="Calibri Light"/>
                <w:sz w:val="16"/>
                <w:szCs w:val="16"/>
                <w:lang w:val="es-CR"/>
              </w:rPr>
              <w:t>Cero días de atraso: 100%</w:t>
            </w:r>
          </w:p>
          <w:p w14:paraId="646BBA04" w14:textId="77777777" w:rsidR="005464A5" w:rsidRDefault="005464A5" w:rsidP="00D474C2">
            <w:pPr>
              <w:jc w:val="both"/>
              <w:rPr>
                <w:rFonts w:ascii="Calibri Light" w:hAnsi="Calibri Light"/>
                <w:sz w:val="16"/>
                <w:szCs w:val="16"/>
                <w:lang w:val="es-CR"/>
              </w:rPr>
            </w:pPr>
            <w:r w:rsidRPr="00A83E56">
              <w:rPr>
                <w:rFonts w:ascii="Calibri Light" w:hAnsi="Calibri Light"/>
                <w:sz w:val="16"/>
                <w:szCs w:val="16"/>
                <w:lang w:val="es-CR"/>
              </w:rPr>
              <w:lastRenderedPageBreak/>
              <w:t>Por cada día hábil de atraso se castiga con un 2%</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3CC1D7F" w14:textId="77777777" w:rsidR="005464A5" w:rsidRPr="00A83E56" w:rsidRDefault="005464A5" w:rsidP="00D474C2">
            <w:pPr>
              <w:rPr>
                <w:rFonts w:ascii="Calibri Light" w:hAnsi="Calibri Light"/>
                <w:sz w:val="16"/>
                <w:szCs w:val="16"/>
                <w:lang w:val="es-CR"/>
              </w:rPr>
            </w:pPr>
            <w:r>
              <w:rPr>
                <w:rFonts w:ascii="Calibri Light" w:hAnsi="Calibri Light"/>
                <w:sz w:val="16"/>
                <w:szCs w:val="16"/>
                <w:lang w:val="es-CR"/>
              </w:rPr>
              <w:lastRenderedPageBreak/>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18945626" w14:textId="77777777" w:rsidR="005464A5" w:rsidRDefault="005464A5" w:rsidP="00D474C2">
            <w:pPr>
              <w:rPr>
                <w:rFonts w:ascii="Calibri Light" w:hAnsi="Calibri Light"/>
                <w:sz w:val="16"/>
                <w:szCs w:val="16"/>
                <w:lang w:val="es-CR"/>
              </w:rPr>
            </w:pPr>
            <w:r w:rsidRPr="00A83E56">
              <w:rPr>
                <w:rFonts w:ascii="Calibri Light" w:hAnsi="Calibri Light"/>
                <w:sz w:val="16"/>
                <w:szCs w:val="16"/>
                <w:lang w:val="es-CR"/>
              </w:rPr>
              <w:t>MR</w:t>
            </w:r>
            <w:r w:rsidRPr="00D14000">
              <w:rPr>
                <w:rFonts w:ascii="Calibri Light" w:hAnsi="Calibri Light"/>
                <w:sz w:val="16"/>
                <w:szCs w:val="16"/>
                <w:vertAlign w:val="subscript"/>
                <w:lang w:val="es-CR"/>
              </w:rPr>
              <w:t>RC</w:t>
            </w:r>
            <w:r w:rsidRPr="00A83E56">
              <w:rPr>
                <w:rFonts w:ascii="Calibri Light" w:hAnsi="Calibri Light"/>
                <w:sz w:val="16"/>
                <w:szCs w:val="16"/>
                <w:lang w:val="es-CR"/>
              </w:rPr>
              <w:t xml:space="preserve"> = 100%</w:t>
            </w:r>
          </w:p>
        </w:tc>
      </w:tr>
      <w:tr w:rsidR="005464A5" w:rsidRPr="00D10939" w14:paraId="703FFFEA" w14:textId="77777777" w:rsidTr="00D474C2">
        <w:trPr>
          <w:trHeight w:val="1020"/>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661F8F" w14:textId="77777777" w:rsidR="005464A5" w:rsidRPr="00A83E56" w:rsidRDefault="005464A5" w:rsidP="00D474C2">
            <w:pPr>
              <w:rPr>
                <w:rFonts w:ascii="Calibri Light" w:hAnsi="Calibri Light"/>
                <w:sz w:val="16"/>
                <w:szCs w:val="16"/>
                <w:lang w:val="es-CR"/>
              </w:rPr>
            </w:pPr>
            <w:r w:rsidRPr="00A83E56">
              <w:rPr>
                <w:rFonts w:ascii="Calibri Light" w:hAnsi="Calibri Light"/>
                <w:sz w:val="16"/>
                <w:szCs w:val="16"/>
                <w:lang w:val="es-CR"/>
              </w:rPr>
              <w:t>Documentos internos de RC</w:t>
            </w:r>
          </w:p>
          <w:p w14:paraId="13D58A1E" w14:textId="77777777" w:rsidR="005464A5" w:rsidRPr="00D10939" w:rsidRDefault="005464A5" w:rsidP="00D474C2">
            <w:pPr>
              <w:rPr>
                <w:rFonts w:ascii="Calibri Light" w:hAnsi="Calibri Light"/>
                <w:sz w:val="16"/>
                <w:szCs w:val="16"/>
                <w:lang w:val="es-CR"/>
              </w:rPr>
            </w:pPr>
            <w:r w:rsidRPr="00D14000">
              <w:rPr>
                <w:rFonts w:ascii="Calibri Light" w:hAnsi="Calibri Light"/>
                <w:sz w:val="14"/>
                <w:szCs w:val="16"/>
                <w:lang w:val="es-CR"/>
              </w:rPr>
              <w:t>Archivo Excel en que se llevan las actividades del plan de supervisión de cada régimen y el resultado consolidado, con el nombre “Plan de Supervisión RC año xxx”</w:t>
            </w:r>
          </w:p>
        </w:tc>
        <w:tc>
          <w:tcPr>
            <w:tcW w:w="1917" w:type="dxa"/>
            <w:tcBorders>
              <w:top w:val="nil"/>
              <w:left w:val="nil"/>
              <w:bottom w:val="single" w:sz="8" w:space="0" w:color="auto"/>
              <w:right w:val="single" w:sz="8" w:space="0" w:color="auto"/>
            </w:tcBorders>
            <w:tcMar>
              <w:top w:w="0" w:type="dxa"/>
              <w:left w:w="108" w:type="dxa"/>
              <w:bottom w:w="0" w:type="dxa"/>
              <w:right w:w="108" w:type="dxa"/>
            </w:tcMar>
          </w:tcPr>
          <w:p w14:paraId="02205A39" w14:textId="77777777" w:rsidR="005464A5" w:rsidRPr="00503AC4" w:rsidRDefault="005464A5" w:rsidP="00D474C2">
            <w:pPr>
              <w:jc w:val="both"/>
              <w:rPr>
                <w:rFonts w:ascii="Calibri Light" w:hAnsi="Calibri Light"/>
                <w:sz w:val="16"/>
                <w:szCs w:val="16"/>
                <w:lang w:val="es-CR"/>
              </w:rPr>
            </w:pPr>
            <w:r w:rsidRPr="00503AC4">
              <w:rPr>
                <w:rFonts w:ascii="Calibri Light" w:hAnsi="Calibri Light"/>
                <w:sz w:val="16"/>
                <w:szCs w:val="16"/>
                <w:lang w:val="es-CR"/>
              </w:rPr>
              <w:t>Identificar los riesgos de los regímenes de pensiones de beneficio definido, y ejecutar oportunamente las acciones necesarias para promover que sean mitigados.</w:t>
            </w:r>
          </w:p>
          <w:p w14:paraId="2E31EE76" w14:textId="77777777" w:rsidR="005464A5" w:rsidRPr="00D10939" w:rsidRDefault="005464A5" w:rsidP="00D474C2">
            <w:pPr>
              <w:jc w:val="both"/>
              <w:rPr>
                <w:rFonts w:ascii="Calibri Light" w:hAnsi="Calibri Light"/>
                <w:sz w:val="16"/>
                <w:szCs w:val="16"/>
                <w:lang w:val="es-CR"/>
              </w:rPr>
            </w:pP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tcPr>
          <w:p w14:paraId="4C95EFB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Semestral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F1A684C" w14:textId="77777777" w:rsidR="005464A5" w:rsidRPr="00D10939" w:rsidRDefault="005464A5" w:rsidP="00D474C2">
            <w:pPr>
              <w:jc w:val="both"/>
              <w:rPr>
                <w:rFonts w:ascii="Calibri Light" w:hAnsi="Calibri Light"/>
                <w:sz w:val="16"/>
                <w:szCs w:val="16"/>
                <w:lang w:val="es-CR"/>
              </w:rPr>
            </w:pPr>
            <w:r w:rsidRPr="00D14000">
              <w:rPr>
                <w:rFonts w:ascii="Calibri Light" w:hAnsi="Calibri Light"/>
                <w:sz w:val="16"/>
                <w:szCs w:val="16"/>
                <w:lang w:val="es-CR"/>
              </w:rPr>
              <w:t>CPS</w:t>
            </w:r>
            <w:r w:rsidRPr="00EE2244">
              <w:rPr>
                <w:rFonts w:ascii="Calibri Light" w:hAnsi="Calibri Light"/>
                <w:sz w:val="16"/>
                <w:szCs w:val="16"/>
                <w:vertAlign w:val="subscript"/>
                <w:lang w:val="es-CR"/>
              </w:rPr>
              <w:t>RC</w:t>
            </w:r>
            <w:r w:rsidRPr="00D14000">
              <w:rPr>
                <w:rFonts w:ascii="Calibri Light" w:hAnsi="Calibri Light"/>
                <w:sz w:val="16"/>
                <w:szCs w:val="16"/>
                <w:lang w:val="es-CR"/>
              </w:rPr>
              <w:t xml:space="preserve"> = Cumplimiento plan de supervisión de los Regímenes Colectivos= (Acciones ejecutadas por la División para cumplir el plan de supervisión/Número de acciones programadas en el plan de supervisión)</w:t>
            </w:r>
            <w:r>
              <w:rPr>
                <w:rFonts w:ascii="Calibri Light" w:hAnsi="Calibri Light"/>
                <w:sz w:val="16"/>
                <w:szCs w:val="16"/>
                <w:lang w:val="es-CR"/>
              </w:rPr>
              <w:t xml:space="preserve"> </w:t>
            </w:r>
            <w:r w:rsidRPr="00D14000">
              <w:rPr>
                <w:rFonts w:ascii="Calibri Light" w:hAnsi="Calibri Light"/>
                <w:sz w:val="16"/>
                <w:szCs w:val="16"/>
                <w:lang w:val="es-CR"/>
              </w:rPr>
              <w:t>*</w:t>
            </w:r>
            <w:r>
              <w:rPr>
                <w:rFonts w:ascii="Calibri Light" w:hAnsi="Calibri Light"/>
                <w:sz w:val="16"/>
                <w:szCs w:val="16"/>
                <w:lang w:val="es-CR"/>
              </w:rPr>
              <w:t xml:space="preserve"> </w:t>
            </w:r>
            <w:r w:rsidRPr="00D14000">
              <w:rPr>
                <w:rFonts w:ascii="Calibri Light" w:hAnsi="Calibri Light"/>
                <w:sz w:val="16"/>
                <w:szCs w:val="16"/>
                <w:lang w:val="es-CR"/>
              </w:rPr>
              <w:t>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31FE82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1A19F105" w14:textId="77777777" w:rsidR="005464A5" w:rsidRPr="00D10939" w:rsidRDefault="005464A5" w:rsidP="00D474C2">
            <w:pPr>
              <w:rPr>
                <w:rFonts w:ascii="Calibri Light" w:hAnsi="Calibri Light"/>
                <w:sz w:val="16"/>
                <w:szCs w:val="16"/>
                <w:lang w:val="es-CR"/>
              </w:rPr>
            </w:pPr>
            <w:r w:rsidRPr="00A83E56">
              <w:rPr>
                <w:rFonts w:ascii="Calibri Light" w:hAnsi="Calibri Light"/>
                <w:sz w:val="16"/>
                <w:szCs w:val="16"/>
                <w:lang w:val="es-CR"/>
              </w:rPr>
              <w:t>CPS</w:t>
            </w:r>
            <w:r w:rsidRPr="008326CB">
              <w:rPr>
                <w:rFonts w:ascii="Calibri Light" w:hAnsi="Calibri Light"/>
                <w:sz w:val="16"/>
                <w:szCs w:val="16"/>
                <w:vertAlign w:val="subscript"/>
                <w:lang w:val="es-CR"/>
              </w:rPr>
              <w:t>RC</w:t>
            </w:r>
            <w:r w:rsidRPr="00A83E56">
              <w:rPr>
                <w:rFonts w:ascii="Calibri Light" w:hAnsi="Calibri Light"/>
                <w:sz w:val="16"/>
                <w:szCs w:val="16"/>
                <w:lang w:val="es-CR"/>
              </w:rPr>
              <w:t xml:space="preserve"> &gt; 95%</w:t>
            </w:r>
          </w:p>
        </w:tc>
      </w:tr>
      <w:tr w:rsidR="005464A5" w14:paraId="3FE11562"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6249AF90"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 xml:space="preserve">Asesoría Jurídica </w:t>
            </w:r>
          </w:p>
        </w:tc>
      </w:tr>
      <w:tr w:rsidR="005464A5" w14:paraId="0C54A87F" w14:textId="77777777" w:rsidTr="00D474C2">
        <w:trPr>
          <w:trHeight w:val="142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FE23E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Registros División Asesoría Jurídica – Consultas jurídicas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B4EDF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Asesorar a la institución en materia jurídica, y a los usuarios en temas relacionados con el sistema de pensiones, de forma oportuna, precisa y de acuerdo con los requerimientos del consultante (P ASE 01).</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A501C"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0162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Porcentaje de las consultas jurídicas atendidas en los días hábiles previstos según lo siguiente:</w:t>
            </w:r>
          </w:p>
          <w:p w14:paraId="48DF3AD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 Consultas jurídicas complejas D&lt; 30 días hábiles </w:t>
            </w:r>
          </w:p>
          <w:p w14:paraId="36E17EC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 Consultas jurídicas simples D&lt; 15 días hábiles </w:t>
            </w:r>
          </w:p>
          <w:p w14:paraId="03C8AFD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D = Días hábiles disponibles para tramitar la solicitud</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0EC35E"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69B514" w14:textId="5274BBCD" w:rsidR="005464A5" w:rsidRDefault="005464A5" w:rsidP="00D474C2">
            <w:pPr>
              <w:rPr>
                <w:rFonts w:ascii="Calibri Light" w:hAnsi="Calibri Light"/>
                <w:sz w:val="16"/>
                <w:szCs w:val="16"/>
                <w:lang w:val="es-CR"/>
              </w:rPr>
            </w:pPr>
            <w:r>
              <w:rPr>
                <w:rFonts w:ascii="Calibri Light" w:hAnsi="Calibri Light"/>
                <w:sz w:val="16"/>
                <w:szCs w:val="16"/>
                <w:lang w:val="es-CR"/>
              </w:rPr>
              <w:t xml:space="preserve">Mínimo </w:t>
            </w:r>
            <w:r w:rsidRPr="00A83E56">
              <w:rPr>
                <w:rFonts w:ascii="Calibri Light" w:hAnsi="Calibri Light"/>
                <w:sz w:val="16"/>
                <w:szCs w:val="16"/>
                <w:lang w:val="es-CR"/>
              </w:rPr>
              <w:t>el 70%</w:t>
            </w:r>
            <w:r>
              <w:rPr>
                <w:rFonts w:ascii="Calibri Light" w:hAnsi="Calibri Light"/>
                <w:sz w:val="16"/>
                <w:szCs w:val="16"/>
                <w:lang w:val="es-CR"/>
              </w:rPr>
              <w:t xml:space="preserve"> de </w:t>
            </w:r>
            <w:r w:rsidR="00582FB2">
              <w:rPr>
                <w:rFonts w:ascii="Calibri Light" w:hAnsi="Calibri Light"/>
                <w:sz w:val="16"/>
                <w:szCs w:val="16"/>
                <w:lang w:val="es-CR"/>
              </w:rPr>
              <w:t>las consultas jurídicas</w:t>
            </w:r>
            <w:r>
              <w:rPr>
                <w:rFonts w:ascii="Calibri Light" w:hAnsi="Calibri Light"/>
                <w:sz w:val="16"/>
                <w:szCs w:val="16"/>
                <w:lang w:val="es-CR"/>
              </w:rPr>
              <w:t xml:space="preserve"> se atienden en los días hábiles previstos</w:t>
            </w:r>
          </w:p>
        </w:tc>
      </w:tr>
      <w:tr w:rsidR="005464A5" w14:paraId="37486125" w14:textId="77777777" w:rsidTr="00D474C2">
        <w:trPr>
          <w:trHeight w:val="1428"/>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D0B6A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Registros División Asesoría Jurídica - Consultas y denuncias de afiliados o usuarios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FBE615" w14:textId="7913C3C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Asesorar a la institución en materia jurídica y a los usuarios en temas relacionados con el sistema de </w:t>
            </w:r>
            <w:r w:rsidR="00582FB2">
              <w:rPr>
                <w:rFonts w:ascii="Calibri Light" w:hAnsi="Calibri Light"/>
                <w:sz w:val="16"/>
                <w:szCs w:val="16"/>
                <w:lang w:val="es-CR"/>
              </w:rPr>
              <w:t>pensiones, de</w:t>
            </w:r>
            <w:r>
              <w:rPr>
                <w:rFonts w:ascii="Calibri Light" w:hAnsi="Calibri Light"/>
                <w:sz w:val="16"/>
                <w:szCs w:val="16"/>
                <w:lang w:val="es-CR"/>
              </w:rPr>
              <w:t xml:space="preserve"> forma oportuna, precisa y de acuerdo con los requerimientos del consultante.  (PCON 01).</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B67D0E"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8829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Porcentaje de las consultas y denuncias atendidas dentro de los días hábiles disponibles para tramitar, a saber: </w:t>
            </w:r>
          </w:p>
          <w:p w14:paraId="4EE6A21D" w14:textId="77777777" w:rsidR="005464A5" w:rsidRDefault="005464A5" w:rsidP="00D474C2">
            <w:pPr>
              <w:rPr>
                <w:rFonts w:ascii="Calibri Light" w:hAnsi="Calibri Light"/>
                <w:sz w:val="16"/>
                <w:szCs w:val="16"/>
                <w:lang w:val="es-CR"/>
              </w:rPr>
            </w:pPr>
            <w:r w:rsidRPr="001E0DDA">
              <w:rPr>
                <w:rFonts w:ascii="Calibri Light" w:hAnsi="Calibri Light"/>
                <w:sz w:val="16"/>
                <w:szCs w:val="16"/>
                <w:lang w:val="es-CR"/>
              </w:rPr>
              <w:t xml:space="preserve">* Para consultas simples D&lt; 10 días hábiles  </w:t>
            </w:r>
          </w:p>
          <w:p w14:paraId="00E6026A" w14:textId="77777777" w:rsidR="005464A5" w:rsidRDefault="005464A5" w:rsidP="00D474C2">
            <w:pPr>
              <w:rPr>
                <w:rFonts w:ascii="Calibri Light" w:hAnsi="Calibri Light"/>
                <w:sz w:val="16"/>
                <w:szCs w:val="16"/>
                <w:lang w:val="es-CR"/>
              </w:rPr>
            </w:pPr>
            <w:r w:rsidRPr="001E0DDA">
              <w:rPr>
                <w:rFonts w:ascii="Calibri Light" w:hAnsi="Calibri Light"/>
                <w:sz w:val="16"/>
                <w:szCs w:val="16"/>
                <w:lang w:val="es-CR"/>
              </w:rPr>
              <w:t xml:space="preserve">* Para consultas complejas D&lt;25 días hábiles  </w:t>
            </w:r>
          </w:p>
          <w:p w14:paraId="12F741C0" w14:textId="77777777" w:rsidR="005464A5" w:rsidRDefault="005464A5" w:rsidP="00D474C2">
            <w:pPr>
              <w:rPr>
                <w:rFonts w:ascii="Calibri Light" w:hAnsi="Calibri Light"/>
                <w:sz w:val="16"/>
                <w:szCs w:val="16"/>
                <w:lang w:val="es-CR"/>
              </w:rPr>
            </w:pPr>
            <w:r w:rsidRPr="001E0DDA">
              <w:rPr>
                <w:rFonts w:ascii="Calibri Light" w:hAnsi="Calibri Light"/>
                <w:sz w:val="16"/>
                <w:szCs w:val="16"/>
                <w:lang w:val="es-CR"/>
              </w:rPr>
              <w:t>* Para denuncias D&lt;30 días hábiles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A220CB"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D0DA03"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Mínimo </w:t>
            </w:r>
            <w:r w:rsidRPr="00A83E56">
              <w:rPr>
                <w:rFonts w:ascii="Calibri Light" w:hAnsi="Calibri Light"/>
                <w:sz w:val="16"/>
                <w:szCs w:val="16"/>
                <w:lang w:val="es-CR"/>
              </w:rPr>
              <w:t>el 70%</w:t>
            </w:r>
            <w:r>
              <w:rPr>
                <w:rFonts w:ascii="Calibri Light" w:hAnsi="Calibri Light"/>
                <w:sz w:val="16"/>
                <w:szCs w:val="16"/>
                <w:lang w:val="es-CR"/>
              </w:rPr>
              <w:t xml:space="preserve"> de los consultas y denuncias se atienden en los días hábiles previstos</w:t>
            </w:r>
          </w:p>
        </w:tc>
      </w:tr>
      <w:tr w:rsidR="005464A5" w14:paraId="2EA401FE"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C3A58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Registros División Asesoría Jurídica - Procedimientos administrativos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2803D" w14:textId="2222B4C8" w:rsidR="005464A5" w:rsidRDefault="005464A5" w:rsidP="00D474C2">
            <w:pPr>
              <w:rPr>
                <w:rFonts w:ascii="Calibri Light" w:hAnsi="Calibri Light"/>
                <w:sz w:val="16"/>
                <w:szCs w:val="16"/>
                <w:lang w:val="es-CR"/>
              </w:rPr>
            </w:pPr>
            <w:r>
              <w:rPr>
                <w:rFonts w:ascii="Calibri Light" w:hAnsi="Calibri Light"/>
                <w:sz w:val="16"/>
                <w:szCs w:val="16"/>
                <w:lang w:val="es-CR"/>
              </w:rPr>
              <w:t xml:space="preserve">Asesorar a la institución en el ejercicio de la potestad </w:t>
            </w:r>
            <w:r w:rsidR="00582FB2">
              <w:rPr>
                <w:rFonts w:ascii="Calibri Light" w:hAnsi="Calibri Light"/>
                <w:sz w:val="16"/>
                <w:szCs w:val="16"/>
                <w:lang w:val="es-CR"/>
              </w:rPr>
              <w:t>sancionatoria de</w:t>
            </w:r>
            <w:r>
              <w:rPr>
                <w:rFonts w:ascii="Calibri Light" w:hAnsi="Calibri Light"/>
                <w:sz w:val="16"/>
                <w:szCs w:val="16"/>
                <w:lang w:val="es-CR"/>
              </w:rPr>
              <w:t xml:space="preserve"> forma oportuna (P FAS 01).</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EE8D95"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7EBA7CC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Tiempo de Procedimientos Administrativos = M</w:t>
            </w:r>
          </w:p>
          <w:p w14:paraId="5351844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M = Meses disponibles para remitir al Superintendente el informe final, con recomendación de los procedimientos administrativos.</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4C9B97"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F9DD1B"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M </w:t>
            </w:r>
            <w:r>
              <w:rPr>
                <w:rFonts w:ascii="Calibri Light" w:hAnsi="Calibri Light"/>
                <w:sz w:val="16"/>
                <w:szCs w:val="16"/>
                <w:u w:val="single"/>
                <w:lang w:val="es-CR"/>
              </w:rPr>
              <w:t>&lt;</w:t>
            </w:r>
            <w:r>
              <w:rPr>
                <w:rFonts w:ascii="Calibri Light" w:hAnsi="Calibri Light"/>
                <w:sz w:val="16"/>
                <w:szCs w:val="16"/>
                <w:lang w:val="es-CR"/>
              </w:rPr>
              <w:t xml:space="preserve"> 6 meses</w:t>
            </w:r>
          </w:p>
        </w:tc>
      </w:tr>
      <w:tr w:rsidR="005464A5" w14:paraId="0B7F196D"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ED350E"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Registros División Asesoría Jurídica - Recursos administrativos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19345F" w14:textId="050389DC" w:rsidR="005464A5" w:rsidRDefault="005464A5" w:rsidP="00D474C2">
            <w:pPr>
              <w:rPr>
                <w:rFonts w:ascii="Calibri Light" w:hAnsi="Calibri Light"/>
                <w:sz w:val="16"/>
                <w:szCs w:val="16"/>
                <w:lang w:val="es-CR"/>
              </w:rPr>
            </w:pPr>
            <w:r>
              <w:rPr>
                <w:rFonts w:ascii="Calibri Light" w:hAnsi="Calibri Light"/>
                <w:sz w:val="16"/>
                <w:szCs w:val="16"/>
                <w:lang w:val="es-CR"/>
              </w:rPr>
              <w:t xml:space="preserve">Asesorar a la institución en materia jurídica y a los usuarios en temas relacionados con el sistema de </w:t>
            </w:r>
            <w:r w:rsidR="00582FB2">
              <w:rPr>
                <w:rFonts w:ascii="Calibri Light" w:hAnsi="Calibri Light"/>
                <w:sz w:val="16"/>
                <w:szCs w:val="16"/>
                <w:lang w:val="es-CR"/>
              </w:rPr>
              <w:t>pensiones, de</w:t>
            </w:r>
            <w:r>
              <w:rPr>
                <w:rFonts w:ascii="Calibri Light" w:hAnsi="Calibri Light"/>
                <w:sz w:val="16"/>
                <w:szCs w:val="16"/>
                <w:lang w:val="es-CR"/>
              </w:rPr>
              <w:t xml:space="preserve"> forma oportuna (P ASE 03).</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FB1BFF"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semestral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6DC64E" w14:textId="77777777" w:rsidR="005464A5" w:rsidRDefault="005464A5" w:rsidP="00D474C2">
            <w:pPr>
              <w:rPr>
                <w:rFonts w:ascii="Calibri Light" w:hAnsi="Calibri Light"/>
                <w:sz w:val="16"/>
                <w:szCs w:val="16"/>
                <w:lang w:val="es-CR"/>
              </w:rPr>
            </w:pPr>
            <w:r w:rsidRPr="0085626E">
              <w:rPr>
                <w:rFonts w:ascii="Calibri Light" w:hAnsi="Calibri Light"/>
                <w:sz w:val="16"/>
                <w:szCs w:val="16"/>
                <w:lang w:val="es-CR"/>
              </w:rPr>
              <w:t>1- Porcentaje de l</w:t>
            </w:r>
            <w:r>
              <w:rPr>
                <w:rFonts w:ascii="Calibri Light" w:hAnsi="Calibri Light"/>
                <w:sz w:val="16"/>
                <w:szCs w:val="16"/>
                <w:lang w:val="es-CR"/>
              </w:rPr>
              <w:t>o</w:t>
            </w:r>
            <w:r w:rsidRPr="0085626E">
              <w:rPr>
                <w:rFonts w:ascii="Calibri Light" w:hAnsi="Calibri Light"/>
                <w:sz w:val="16"/>
                <w:szCs w:val="16"/>
                <w:lang w:val="es-CR"/>
              </w:rPr>
              <w:t xml:space="preserve">s recursos administrativos atendidos en los días hábiles previstos según lo siguiente: </w:t>
            </w:r>
          </w:p>
          <w:p w14:paraId="6A5D4872" w14:textId="77777777" w:rsidR="005464A5" w:rsidRDefault="005464A5" w:rsidP="00D474C2">
            <w:pPr>
              <w:rPr>
                <w:rFonts w:ascii="Calibri Light" w:hAnsi="Calibri Light"/>
                <w:sz w:val="16"/>
                <w:szCs w:val="16"/>
                <w:lang w:val="es-CR"/>
              </w:rPr>
            </w:pPr>
            <w:r w:rsidRPr="0085626E">
              <w:rPr>
                <w:rFonts w:ascii="Calibri Light" w:hAnsi="Calibri Light"/>
                <w:sz w:val="16"/>
                <w:szCs w:val="16"/>
                <w:lang w:val="es-CR"/>
              </w:rPr>
              <w:t>* Recursos complejos</w:t>
            </w:r>
            <w:r>
              <w:rPr>
                <w:rFonts w:ascii="Calibri Light" w:hAnsi="Calibri Light"/>
                <w:sz w:val="16"/>
                <w:szCs w:val="16"/>
                <w:lang w:val="es-CR"/>
              </w:rPr>
              <w:t>:</w:t>
            </w:r>
            <w:r w:rsidRPr="0085626E">
              <w:rPr>
                <w:rFonts w:ascii="Calibri Light" w:hAnsi="Calibri Light"/>
                <w:sz w:val="16"/>
                <w:szCs w:val="16"/>
                <w:lang w:val="es-CR"/>
              </w:rPr>
              <w:t xml:space="preserve"> D&lt; 30 días hábiles  </w:t>
            </w:r>
          </w:p>
          <w:p w14:paraId="17B11A67" w14:textId="77777777" w:rsidR="005464A5" w:rsidRDefault="005464A5" w:rsidP="00D474C2">
            <w:pPr>
              <w:rPr>
                <w:rFonts w:ascii="Calibri Light" w:hAnsi="Calibri Light"/>
                <w:sz w:val="16"/>
                <w:szCs w:val="16"/>
                <w:lang w:val="es-CR"/>
              </w:rPr>
            </w:pPr>
            <w:r w:rsidRPr="0085626E">
              <w:rPr>
                <w:rFonts w:ascii="Calibri Light" w:hAnsi="Calibri Light"/>
                <w:sz w:val="16"/>
                <w:szCs w:val="16"/>
                <w:lang w:val="es-CR"/>
              </w:rPr>
              <w:t>* Recursos simples</w:t>
            </w:r>
            <w:r>
              <w:rPr>
                <w:rFonts w:ascii="Calibri Light" w:hAnsi="Calibri Light"/>
                <w:sz w:val="16"/>
                <w:szCs w:val="16"/>
                <w:lang w:val="es-CR"/>
              </w:rPr>
              <w:t>:</w:t>
            </w:r>
            <w:r w:rsidRPr="0085626E">
              <w:rPr>
                <w:rFonts w:ascii="Calibri Light" w:hAnsi="Calibri Light"/>
                <w:sz w:val="16"/>
                <w:szCs w:val="16"/>
                <w:lang w:val="es-CR"/>
              </w:rPr>
              <w:t xml:space="preserve"> D&lt; 15 días hábiles </w:t>
            </w:r>
          </w:p>
          <w:p w14:paraId="004EA4DC" w14:textId="77777777" w:rsidR="005464A5" w:rsidRDefault="005464A5" w:rsidP="00D474C2">
            <w:pPr>
              <w:rPr>
                <w:rFonts w:ascii="Calibri Light" w:hAnsi="Calibri Light"/>
                <w:sz w:val="16"/>
                <w:szCs w:val="16"/>
                <w:lang w:val="es-CR"/>
              </w:rPr>
            </w:pPr>
            <w:r w:rsidRPr="0085626E">
              <w:rPr>
                <w:rFonts w:ascii="Calibri Light" w:hAnsi="Calibri Light"/>
                <w:sz w:val="16"/>
                <w:szCs w:val="16"/>
                <w:lang w:val="es-CR"/>
              </w:rPr>
              <w:t>* Recursos de ECRO y CSF</w:t>
            </w:r>
            <w:r>
              <w:rPr>
                <w:rFonts w:ascii="Calibri Light" w:hAnsi="Calibri Light"/>
                <w:sz w:val="16"/>
                <w:szCs w:val="16"/>
                <w:lang w:val="es-CR"/>
              </w:rPr>
              <w:t>:</w:t>
            </w:r>
            <w:r w:rsidRPr="0085626E">
              <w:rPr>
                <w:rFonts w:ascii="Calibri Light" w:hAnsi="Calibri Light"/>
                <w:sz w:val="16"/>
                <w:szCs w:val="16"/>
                <w:lang w:val="es-CR"/>
              </w:rPr>
              <w:t xml:space="preserve"> D &lt; 60 días hábiles </w:t>
            </w:r>
          </w:p>
          <w:p w14:paraId="64172B51" w14:textId="77777777" w:rsidR="005464A5" w:rsidRDefault="005464A5" w:rsidP="00D474C2">
            <w:pPr>
              <w:rPr>
                <w:rFonts w:ascii="Calibri Light" w:hAnsi="Calibri Light"/>
                <w:sz w:val="16"/>
                <w:szCs w:val="16"/>
                <w:lang w:val="es-CR"/>
              </w:rPr>
            </w:pPr>
            <w:r w:rsidRPr="0085626E">
              <w:rPr>
                <w:rFonts w:ascii="Calibri Light" w:hAnsi="Calibri Light"/>
                <w:sz w:val="16"/>
                <w:szCs w:val="16"/>
                <w:lang w:val="es-CR"/>
              </w:rPr>
              <w:t xml:space="preserve">D = Días hábiles disponibles para tramitar la solicitud  </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5A063"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6D5A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Mínimo el </w:t>
            </w:r>
            <w:r w:rsidRPr="00A83E56">
              <w:rPr>
                <w:rFonts w:ascii="Calibri Light" w:hAnsi="Calibri Light"/>
                <w:sz w:val="16"/>
                <w:szCs w:val="16"/>
                <w:lang w:val="es-CR"/>
              </w:rPr>
              <w:t>70%</w:t>
            </w:r>
            <w:r>
              <w:rPr>
                <w:rFonts w:ascii="Calibri Light" w:hAnsi="Calibri Light"/>
                <w:sz w:val="16"/>
                <w:szCs w:val="16"/>
                <w:lang w:val="es-CR"/>
              </w:rPr>
              <w:t xml:space="preserve"> de los recursos se atienden en los días hábiles previstos</w:t>
            </w:r>
          </w:p>
        </w:tc>
      </w:tr>
      <w:tr w:rsidR="005464A5" w14:paraId="45D82915"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F0F1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Registros División Asesoría Jurídica - Recursos administrativos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2AA70" w14:textId="3C377EB9" w:rsidR="005464A5" w:rsidRDefault="005464A5" w:rsidP="00D474C2">
            <w:pPr>
              <w:rPr>
                <w:rFonts w:ascii="Calibri Light" w:hAnsi="Calibri Light"/>
                <w:sz w:val="16"/>
                <w:szCs w:val="16"/>
                <w:lang w:val="es-CR"/>
              </w:rPr>
            </w:pPr>
            <w:r>
              <w:rPr>
                <w:rFonts w:ascii="Calibri Light" w:hAnsi="Calibri Light"/>
                <w:sz w:val="16"/>
                <w:szCs w:val="16"/>
                <w:lang w:val="es-CR"/>
              </w:rPr>
              <w:t xml:space="preserve">Asesorar a la institución en materia jurídica y a los usuarios en temas relacionados con el sistema de </w:t>
            </w:r>
            <w:r w:rsidR="00582FB2">
              <w:rPr>
                <w:rFonts w:ascii="Calibri Light" w:hAnsi="Calibri Light"/>
                <w:sz w:val="16"/>
                <w:szCs w:val="16"/>
                <w:lang w:val="es-CR"/>
              </w:rPr>
              <w:t>pensiones, de</w:t>
            </w:r>
            <w:r>
              <w:rPr>
                <w:rFonts w:ascii="Calibri Light" w:hAnsi="Calibri Light"/>
                <w:sz w:val="16"/>
                <w:szCs w:val="16"/>
                <w:lang w:val="es-CR"/>
              </w:rPr>
              <w:t xml:space="preserve"> forma oportuna (P ASE 03).</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176A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anual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2016A" w14:textId="28373E4B" w:rsidR="005464A5" w:rsidRDefault="00582FB2" w:rsidP="00D474C2">
            <w:pPr>
              <w:rPr>
                <w:rFonts w:ascii="Calibri Light" w:hAnsi="Calibri Light"/>
                <w:sz w:val="16"/>
                <w:szCs w:val="16"/>
                <w:lang w:val="es-CR"/>
              </w:rPr>
            </w:pPr>
            <w:r>
              <w:rPr>
                <w:rFonts w:ascii="Calibri Light" w:hAnsi="Calibri Light"/>
                <w:sz w:val="16"/>
                <w:szCs w:val="16"/>
                <w:lang w:val="es-CR"/>
              </w:rPr>
              <w:t>Total</w:t>
            </w:r>
            <w:r w:rsidR="005464A5">
              <w:rPr>
                <w:rFonts w:ascii="Calibri Light" w:hAnsi="Calibri Light"/>
                <w:sz w:val="16"/>
                <w:szCs w:val="16"/>
                <w:lang w:val="es-CR"/>
              </w:rPr>
              <w:t xml:space="preserve"> de recursos administrativos no revocados ni total ni parcialmente por CONASSIF /total de recursos administrativos presentados al CONASSIF*100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D3F69"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67B6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Mínimo el 90% de recursos administrativos no son revocados total o parcialmente por CONASSIF</w:t>
            </w:r>
          </w:p>
        </w:tc>
      </w:tr>
      <w:tr w:rsidR="005464A5" w14:paraId="51307F03" w14:textId="77777777" w:rsidTr="00D474C2">
        <w:trPr>
          <w:trHeight w:val="288"/>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10ACD33D"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Planificación</w:t>
            </w:r>
          </w:p>
        </w:tc>
      </w:tr>
      <w:tr w:rsidR="005464A5" w14:paraId="5DD01E43"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5643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lastRenderedPageBreak/>
              <w:t>Informes de revisión por la Dirección</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63634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Gestionar el desarrollo de la planificación estratégica institucional.</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59DCC"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 xml:space="preserve">semestral </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37B9D" w14:textId="77777777" w:rsidR="005464A5" w:rsidRDefault="005464A5" w:rsidP="00D474C2">
            <w:pPr>
              <w:jc w:val="both"/>
              <w:rPr>
                <w:rFonts w:ascii="Calibri Light" w:hAnsi="Calibri Light"/>
                <w:sz w:val="16"/>
                <w:szCs w:val="16"/>
                <w:lang w:val="es-CR"/>
              </w:rPr>
            </w:pPr>
            <w:r>
              <w:rPr>
                <w:rFonts w:ascii="Calibri Light" w:hAnsi="Calibri Light"/>
                <w:color w:val="000000"/>
                <w:sz w:val="16"/>
                <w:szCs w:val="16"/>
                <w:lang w:val="es-CR"/>
              </w:rPr>
              <w:t>Documentado en la Nota Técnica que acompaña el Plan Estratégico y que se presenta en los ejercicios de Revisión por la Dirección.</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0A3471"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Estratégicos</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8A9703"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Alcanzar el porcentaje declarado para cada año</w:t>
            </w:r>
          </w:p>
        </w:tc>
      </w:tr>
      <w:tr w:rsidR="005464A5" w14:paraId="0A65226C" w14:textId="77777777" w:rsidTr="00D474C2">
        <w:trPr>
          <w:trHeight w:val="61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25D7D2"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Sitio Institucional de Proyectos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540D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Gestionar la administración del portafolio institucional de proyectos.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258918"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mensual</w:t>
            </w:r>
          </w:p>
          <w:p w14:paraId="65092366"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semestral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9FFD6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Cálculo mensual</w:t>
            </w:r>
          </w:p>
          <w:p w14:paraId="56C97A9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 Proyectos, la referencia a proyectos incluye las mejoras.</w:t>
            </w:r>
          </w:p>
          <w:p w14:paraId="0A6FC2D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Variables para el cálculo:</w:t>
            </w:r>
          </w:p>
          <w:p w14:paraId="7C92E52E"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 Porcentaje de avance de la actividad</w:t>
            </w:r>
          </w:p>
          <w:p w14:paraId="2A6F1A8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FF = Fecha de finalización de la actividad</w:t>
            </w:r>
          </w:p>
          <w:p w14:paraId="035ABBBE"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H = Día en que se calcula el indicador</w:t>
            </w:r>
          </w:p>
          <w:p w14:paraId="4AE108B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Se calcula por actividad planificada: Ver semáforos</w:t>
            </w:r>
          </w:p>
          <w:p w14:paraId="36174FA2" w14:textId="77777777" w:rsidR="005464A5" w:rsidRDefault="005464A5" w:rsidP="00D474C2">
            <w:pPr>
              <w:rPr>
                <w:rFonts w:ascii="Calibri Light" w:hAnsi="Calibri Light"/>
                <w:sz w:val="16"/>
                <w:szCs w:val="16"/>
                <w:lang w:val="es-CR"/>
              </w:rPr>
            </w:pPr>
          </w:p>
          <w:p w14:paraId="3756D1D1"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En caso de dos o más actividades a evaluar, el proyecto hereda la valoración más baja, siendo rojo el más bajo, seguido de amarillo y posteriormente el verde.</w:t>
            </w:r>
          </w:p>
          <w:p w14:paraId="18BC2235" w14:textId="77777777" w:rsidR="005464A5" w:rsidRDefault="005464A5" w:rsidP="00D474C2">
            <w:pPr>
              <w:rPr>
                <w:rFonts w:ascii="Calibri Light" w:hAnsi="Calibri Light"/>
                <w:sz w:val="16"/>
                <w:szCs w:val="16"/>
                <w:lang w:val="es-CR"/>
              </w:rPr>
            </w:pPr>
          </w:p>
          <w:p w14:paraId="0479189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Semestralmente se reportará los resultados de la gestión:</w:t>
            </w:r>
          </w:p>
          <w:p w14:paraId="34B0D0F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AP=Porcentaje de proyectos con actividades atrasadas con poco avance.</w:t>
            </w:r>
          </w:p>
          <w:p w14:paraId="7E4E50F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Fórmula AP= Cantidad de proyectos en rojo / Número total de proyectos activos *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856336"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Economía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tcPr>
          <w:p w14:paraId="213BC0BF" w14:textId="77777777" w:rsidR="005464A5" w:rsidRDefault="005464A5" w:rsidP="00D474C2">
            <w:pPr>
              <w:rPr>
                <w:rFonts w:ascii="Calibri Light" w:hAnsi="Calibri Light"/>
                <w:lang w:val="es-CR"/>
              </w:rPr>
            </w:pPr>
          </w:p>
          <w:p w14:paraId="0C5E26B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Cumplir la fecha de entregas de los proyectos</w:t>
            </w:r>
          </w:p>
          <w:p w14:paraId="130037B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AP &lt; 10%</w:t>
            </w:r>
          </w:p>
        </w:tc>
      </w:tr>
      <w:tr w:rsidR="005464A5" w14:paraId="2BA507ED"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E647A6" w14:textId="3835C932" w:rsidR="005464A5" w:rsidRDefault="005464A5" w:rsidP="00D474C2">
            <w:pPr>
              <w:rPr>
                <w:rFonts w:ascii="Calibri Light" w:hAnsi="Calibri Light"/>
                <w:sz w:val="16"/>
                <w:szCs w:val="16"/>
                <w:lang w:val="es-CR"/>
              </w:rPr>
            </w:pPr>
            <w:r>
              <w:rPr>
                <w:rFonts w:ascii="Calibri Light" w:hAnsi="Calibri Light"/>
                <w:sz w:val="16"/>
                <w:szCs w:val="16"/>
                <w:lang w:val="es-CR"/>
              </w:rPr>
              <w:t xml:space="preserve">Portal </w:t>
            </w:r>
            <w:r w:rsidR="00582FB2">
              <w:rPr>
                <w:rFonts w:ascii="Calibri Light" w:hAnsi="Calibri Light"/>
                <w:sz w:val="16"/>
                <w:szCs w:val="16"/>
                <w:lang w:val="es-CR"/>
              </w:rPr>
              <w:t>Institucional (</w:t>
            </w:r>
            <w:r>
              <w:rPr>
                <w:rFonts w:ascii="Calibri Light" w:hAnsi="Calibri Light"/>
                <w:sz w:val="16"/>
                <w:szCs w:val="16"/>
                <w:lang w:val="es-CR"/>
              </w:rPr>
              <w:t>FORMULARIO)</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5790E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Tramitar las solicitudes de información y estudios particulares.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5EF9CF"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semestral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A258D6"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Calif= Calificación del Director de Planificación y Normativa</w:t>
            </w:r>
          </w:p>
          <w:p w14:paraId="6C36CD0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Fórmula: Promedio simple de las notas de los estudios finalizados en el período en cuestión.</w:t>
            </w:r>
          </w:p>
          <w:p w14:paraId="0D6463BB" w14:textId="4173AFE5" w:rsidR="005464A5" w:rsidRDefault="00582FB2" w:rsidP="00D474C2">
            <w:pPr>
              <w:rPr>
                <w:rFonts w:ascii="Calibri Light" w:hAnsi="Calibri Light"/>
                <w:sz w:val="16"/>
                <w:szCs w:val="16"/>
                <w:lang w:val="es-CR"/>
              </w:rPr>
            </w:pPr>
            <w:r>
              <w:rPr>
                <w:rFonts w:ascii="Calibri Light" w:hAnsi="Calibri Light"/>
                <w:sz w:val="16"/>
                <w:szCs w:val="16"/>
                <w:lang w:val="es-CR"/>
              </w:rPr>
              <w:t>Criterios /</w:t>
            </w:r>
            <w:r w:rsidR="005464A5">
              <w:rPr>
                <w:rFonts w:ascii="Calibri Light" w:hAnsi="Calibri Light"/>
                <w:sz w:val="16"/>
                <w:szCs w:val="16"/>
                <w:lang w:val="es-CR"/>
              </w:rPr>
              <w:t xml:space="preserve"> Puntos</w:t>
            </w:r>
          </w:p>
          <w:p w14:paraId="5F52BCD9"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Puntualidad: 20</w:t>
            </w:r>
          </w:p>
          <w:p w14:paraId="0423A85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Cumplimiento de alcance original: 20</w:t>
            </w:r>
          </w:p>
          <w:p w14:paraId="66FE3E2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Análisis: 20</w:t>
            </w:r>
          </w:p>
          <w:p w14:paraId="42A3B74F"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Errores ortográficos y de forma: 10</w:t>
            </w:r>
          </w:p>
          <w:p w14:paraId="1DBC3AAD" w14:textId="53BAAFB7" w:rsidR="005464A5" w:rsidRDefault="00582FB2" w:rsidP="00D474C2">
            <w:pPr>
              <w:rPr>
                <w:rFonts w:ascii="Calibri Light" w:hAnsi="Calibri Light"/>
                <w:sz w:val="16"/>
                <w:szCs w:val="16"/>
                <w:lang w:val="es-CR"/>
              </w:rPr>
            </w:pPr>
            <w:r>
              <w:rPr>
                <w:rFonts w:ascii="Calibri Light" w:hAnsi="Calibri Light"/>
                <w:sz w:val="16"/>
                <w:szCs w:val="16"/>
                <w:lang w:val="es-CR"/>
              </w:rPr>
              <w:t xml:space="preserve">Creatividad: </w:t>
            </w:r>
            <w:r w:rsidR="005464A5">
              <w:rPr>
                <w:rFonts w:ascii="Calibri Light" w:hAnsi="Calibri Light"/>
                <w:sz w:val="16"/>
                <w:szCs w:val="16"/>
                <w:lang w:val="es-CR"/>
              </w:rPr>
              <w:t>15</w:t>
            </w:r>
          </w:p>
          <w:p w14:paraId="5923C4AE"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Esfuerzo: 15</w:t>
            </w:r>
          </w:p>
          <w:p w14:paraId="4C3D2C24"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TOTAL: 100</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D32E41" w14:textId="77777777" w:rsidR="005464A5" w:rsidRDefault="005464A5" w:rsidP="00D474C2">
            <w:pPr>
              <w:rPr>
                <w:rFonts w:ascii="Calibri Light" w:hAnsi="Calibri Light"/>
                <w:sz w:val="16"/>
                <w:szCs w:val="16"/>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A250E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Presentar estudios que cumplan con los requisitos del proceso:</w:t>
            </w:r>
          </w:p>
          <w:p w14:paraId="570666DD"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Calif &gt; 90</w:t>
            </w:r>
          </w:p>
        </w:tc>
      </w:tr>
      <w:tr w:rsidR="005464A5" w14:paraId="7865E95F" w14:textId="77777777" w:rsidTr="00D474C2">
        <w:trPr>
          <w:trHeight w:val="350"/>
        </w:trPr>
        <w:tc>
          <w:tcPr>
            <w:tcW w:w="9890" w:type="dxa"/>
            <w:gridSpan w:val="6"/>
            <w:tcBorders>
              <w:top w:val="nil"/>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14:paraId="752DC831" w14:textId="77777777" w:rsidR="005464A5" w:rsidRDefault="005464A5" w:rsidP="00D474C2">
            <w:pPr>
              <w:rPr>
                <w:rFonts w:ascii="Calibri Light" w:hAnsi="Calibri Light"/>
                <w:b/>
                <w:bCs/>
                <w:sz w:val="16"/>
                <w:szCs w:val="16"/>
                <w:lang w:val="es-CR"/>
              </w:rPr>
            </w:pPr>
            <w:r>
              <w:rPr>
                <w:rFonts w:ascii="Calibri Light" w:hAnsi="Calibri Light"/>
                <w:b/>
                <w:bCs/>
                <w:sz w:val="16"/>
                <w:szCs w:val="16"/>
                <w:lang w:val="es-CR"/>
              </w:rPr>
              <w:t>Normativa</w:t>
            </w:r>
          </w:p>
        </w:tc>
      </w:tr>
      <w:tr w:rsidR="005464A5" w14:paraId="7CF8137E"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B6DF2A"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Sitio proyectos, mejoras y mantenimientos</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C3FA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 xml:space="preserve">Mantener el marco regulatorio del Sistema Nacional de Pensiones alineado con: </w:t>
            </w:r>
          </w:p>
          <w:p w14:paraId="7741B038" w14:textId="1F4CF233" w:rsidR="005464A5" w:rsidRDefault="005464A5" w:rsidP="00D474C2">
            <w:pPr>
              <w:rPr>
                <w:rFonts w:ascii="Calibri Light" w:hAnsi="Calibri Light"/>
                <w:sz w:val="16"/>
                <w:szCs w:val="16"/>
                <w:lang w:val="es-CR"/>
              </w:rPr>
            </w:pPr>
            <w:r>
              <w:rPr>
                <w:rFonts w:ascii="Calibri Light" w:hAnsi="Calibri Light"/>
                <w:sz w:val="16"/>
                <w:szCs w:val="16"/>
                <w:lang w:val="es-CR"/>
              </w:rPr>
              <w:t xml:space="preserve">a. La protección </w:t>
            </w:r>
            <w:r w:rsidR="00582FB2">
              <w:rPr>
                <w:rFonts w:ascii="Calibri Light" w:hAnsi="Calibri Light"/>
                <w:sz w:val="16"/>
                <w:szCs w:val="16"/>
                <w:lang w:val="es-CR"/>
              </w:rPr>
              <w:t>de los</w:t>
            </w:r>
            <w:r>
              <w:rPr>
                <w:rFonts w:ascii="Calibri Light" w:hAnsi="Calibri Light"/>
                <w:sz w:val="16"/>
                <w:szCs w:val="16"/>
                <w:lang w:val="es-CR"/>
              </w:rPr>
              <w:t xml:space="preserve"> intereses de los afiliados.</w:t>
            </w:r>
          </w:p>
          <w:p w14:paraId="2E123F0B" w14:textId="698F3204" w:rsidR="005464A5" w:rsidRDefault="005464A5" w:rsidP="00D474C2">
            <w:pPr>
              <w:rPr>
                <w:rFonts w:ascii="Calibri Light" w:hAnsi="Calibri Light"/>
                <w:sz w:val="16"/>
                <w:szCs w:val="16"/>
                <w:lang w:val="es-CR"/>
              </w:rPr>
            </w:pPr>
            <w:r>
              <w:rPr>
                <w:rFonts w:ascii="Calibri Light" w:hAnsi="Calibri Light"/>
                <w:sz w:val="16"/>
                <w:szCs w:val="16"/>
                <w:lang w:val="es-CR"/>
              </w:rPr>
              <w:t xml:space="preserve">b. La adecuada gestión </w:t>
            </w:r>
            <w:r w:rsidR="00582FB2">
              <w:rPr>
                <w:rFonts w:ascii="Calibri Light" w:hAnsi="Calibri Light"/>
                <w:sz w:val="16"/>
                <w:szCs w:val="16"/>
                <w:lang w:val="es-CR"/>
              </w:rPr>
              <w:t>de los</w:t>
            </w:r>
            <w:r>
              <w:rPr>
                <w:rFonts w:ascii="Calibri Light" w:hAnsi="Calibri Light"/>
                <w:sz w:val="16"/>
                <w:szCs w:val="16"/>
                <w:lang w:val="es-CR"/>
              </w:rPr>
              <w:t xml:space="preserve"> riesgos del Sistema Nacional de Pensiones.</w:t>
            </w:r>
          </w:p>
          <w:p w14:paraId="0D0955A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 La aplicación de las mejores prácticas de gestión en los participantes.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27942D"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 xml:space="preserve">semestral </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1B6C582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NR = NE / NV * 100%</w:t>
            </w:r>
          </w:p>
          <w:p w14:paraId="267E3618" w14:textId="77777777" w:rsidR="005464A5" w:rsidRDefault="005464A5" w:rsidP="00D474C2">
            <w:pPr>
              <w:rPr>
                <w:rFonts w:ascii="Calibri Light" w:hAnsi="Calibri Light"/>
                <w:sz w:val="16"/>
                <w:szCs w:val="16"/>
                <w:lang w:val="es-CR"/>
              </w:rPr>
            </w:pPr>
          </w:p>
          <w:p w14:paraId="52EE087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Porcentaje de Reglamentos revisados (Producto terminado).</w:t>
            </w:r>
          </w:p>
          <w:p w14:paraId="10C79D9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NE= Reglamentos revisados de acuerdo al cronograma</w:t>
            </w:r>
          </w:p>
          <w:p w14:paraId="54F573F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NV= Reglamentos vigentes en la página web</w:t>
            </w: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E707E"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Eficacia</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E8098"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Cumplir el 100% del cronograma de revisión de reglamentos al menos cada tres años.</w:t>
            </w:r>
          </w:p>
        </w:tc>
      </w:tr>
      <w:tr w:rsidR="005464A5" w14:paraId="6962954F" w14:textId="77777777" w:rsidTr="00D474C2">
        <w:trPr>
          <w:trHeight w:val="1032"/>
        </w:trPr>
        <w:tc>
          <w:tcPr>
            <w:tcW w:w="20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10C587" w14:textId="77777777" w:rsidR="005464A5" w:rsidRDefault="005464A5" w:rsidP="00D474C2">
            <w:pPr>
              <w:rPr>
                <w:rFonts w:ascii="Calibri Light" w:hAnsi="Calibri Light"/>
                <w:sz w:val="16"/>
                <w:szCs w:val="16"/>
                <w:lang w:val="es-CR"/>
              </w:rPr>
            </w:pPr>
            <w:r>
              <w:rPr>
                <w:rFonts w:ascii="Calibri Light" w:hAnsi="Calibri Light"/>
                <w:sz w:val="16"/>
                <w:szCs w:val="16"/>
                <w:lang w:val="es-CR"/>
              </w:rPr>
              <w:lastRenderedPageBreak/>
              <w:t>Bitácora (registro) de las autorizaciones o aprobaciones documentado en el portal.</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76B685"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Tramitar oportunamente las solicitudes de aprobación y autorización requeridas por los participantes del Sistema Nacional de Pensiones.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44C410"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trimestral</w:t>
            </w:r>
          </w:p>
        </w:tc>
        <w:tc>
          <w:tcPr>
            <w:tcW w:w="2546" w:type="dxa"/>
            <w:tcBorders>
              <w:top w:val="nil"/>
              <w:left w:val="nil"/>
              <w:bottom w:val="single" w:sz="8" w:space="0" w:color="auto"/>
              <w:right w:val="single" w:sz="8" w:space="0" w:color="auto"/>
            </w:tcBorders>
            <w:tcMar>
              <w:top w:w="0" w:type="dxa"/>
              <w:left w:w="108" w:type="dxa"/>
              <w:bottom w:w="0" w:type="dxa"/>
              <w:right w:w="108" w:type="dxa"/>
            </w:tcMar>
            <w:vAlign w:val="center"/>
          </w:tcPr>
          <w:p w14:paraId="4C22790C"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Para cada tipo de autorización o aprobación se utiliza un indicador. Dicho indicador mide la cantidad de días efectivos tramitados. Permite determinar si una solicitud de autorización o aprobación se acerca al límite de plazo para la aplicación del silencio positivo.</w:t>
            </w:r>
          </w:p>
          <w:p w14:paraId="618A9607" w14:textId="77777777" w:rsidR="005464A5" w:rsidRDefault="005464A5" w:rsidP="00D474C2">
            <w:pPr>
              <w:rPr>
                <w:rFonts w:ascii="Calibri Light" w:hAnsi="Calibri Light"/>
                <w:sz w:val="16"/>
                <w:szCs w:val="16"/>
                <w:lang w:val="es-CR"/>
              </w:rPr>
            </w:pPr>
          </w:p>
          <w:p w14:paraId="1CAA6E20"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%A= % de autorizaciones o aprobaciones= días efectivos de trámite por PyN/días de plazo legal</w:t>
            </w:r>
          </w:p>
          <w:p w14:paraId="514F8476" w14:textId="77777777" w:rsidR="005464A5" w:rsidRDefault="005464A5" w:rsidP="00D474C2">
            <w:pPr>
              <w:rPr>
                <w:rFonts w:ascii="Calibri Light" w:hAnsi="Calibri Light"/>
                <w:sz w:val="16"/>
                <w:szCs w:val="16"/>
                <w:lang w:val="es-CR"/>
              </w:rPr>
            </w:pPr>
          </w:p>
          <w:p w14:paraId="72997D9A" w14:textId="77777777" w:rsidR="005464A5" w:rsidRDefault="005464A5" w:rsidP="00D474C2">
            <w:pPr>
              <w:rPr>
                <w:rFonts w:ascii="Calibri Light" w:hAnsi="Calibri Light"/>
                <w:sz w:val="16"/>
                <w:szCs w:val="16"/>
                <w:lang w:val="es-CR"/>
              </w:rPr>
            </w:pPr>
          </w:p>
        </w:tc>
        <w:tc>
          <w:tcPr>
            <w:tcW w:w="9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747BE1" w14:textId="77777777" w:rsidR="005464A5" w:rsidRDefault="005464A5" w:rsidP="00D474C2">
            <w:pPr>
              <w:rPr>
                <w:rFonts w:ascii="Calibri Light" w:hAnsi="Calibri Light"/>
                <w:sz w:val="14"/>
                <w:szCs w:val="14"/>
                <w:lang w:val="es-CR"/>
              </w:rPr>
            </w:pPr>
            <w:r>
              <w:rPr>
                <w:rFonts w:ascii="Calibri Light" w:hAnsi="Calibri Light"/>
                <w:sz w:val="14"/>
                <w:szCs w:val="14"/>
                <w:lang w:val="es-CR"/>
              </w:rPr>
              <w:t>Calidad</w:t>
            </w:r>
          </w:p>
        </w:tc>
        <w:tc>
          <w:tcPr>
            <w:tcW w:w="13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C10ED3" w14:textId="77777777" w:rsidR="005464A5" w:rsidRDefault="005464A5" w:rsidP="00D474C2">
            <w:pPr>
              <w:rPr>
                <w:rFonts w:ascii="Calibri Light" w:hAnsi="Calibri Light"/>
                <w:sz w:val="16"/>
                <w:szCs w:val="16"/>
                <w:lang w:val="es-CR"/>
              </w:rPr>
            </w:pPr>
            <w:r>
              <w:rPr>
                <w:rFonts w:ascii="Calibri Light" w:hAnsi="Calibri Light"/>
                <w:sz w:val="16"/>
                <w:szCs w:val="16"/>
                <w:lang w:val="es-CR"/>
              </w:rPr>
              <w:t>Utilizar, en P y N, el 65% del plazo declarado en la publicación realizada en La Gaceta por la SUPEN.</w:t>
            </w:r>
          </w:p>
        </w:tc>
      </w:tr>
      <w:tr w:rsidR="005464A5" w14:paraId="049137C0" w14:textId="77777777" w:rsidTr="00D474C2">
        <w:trPr>
          <w:trHeight w:val="291"/>
        </w:trPr>
        <w:tc>
          <w:tcPr>
            <w:tcW w:w="2059" w:type="dxa"/>
            <w:tcBorders>
              <w:top w:val="nil"/>
              <w:left w:val="single" w:sz="8" w:space="0" w:color="auto"/>
              <w:bottom w:val="single" w:sz="8" w:space="0" w:color="auto"/>
              <w:right w:val="single" w:sz="8" w:space="0" w:color="auto"/>
            </w:tcBorders>
            <w:shd w:val="clear" w:color="auto" w:fill="8496B0"/>
            <w:tcMar>
              <w:top w:w="0" w:type="dxa"/>
              <w:left w:w="108" w:type="dxa"/>
              <w:bottom w:w="0" w:type="dxa"/>
              <w:right w:w="108" w:type="dxa"/>
            </w:tcMar>
            <w:vAlign w:val="center"/>
            <w:hideMark/>
          </w:tcPr>
          <w:p w14:paraId="0606DDAE" w14:textId="77777777" w:rsidR="005464A5" w:rsidRDefault="005464A5" w:rsidP="00D474C2">
            <w:pPr>
              <w:rPr>
                <w:rFonts w:ascii="Calibri Light" w:hAnsi="Calibri Light"/>
                <w:sz w:val="16"/>
                <w:szCs w:val="16"/>
                <w:lang w:val="es-CR"/>
              </w:rPr>
            </w:pPr>
          </w:p>
        </w:tc>
        <w:tc>
          <w:tcPr>
            <w:tcW w:w="1917"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507317DA" w14:textId="77777777" w:rsidR="005464A5" w:rsidRDefault="005464A5" w:rsidP="00D474C2">
            <w:pPr>
              <w:rPr>
                <w:sz w:val="20"/>
                <w:szCs w:val="20"/>
              </w:rPr>
            </w:pPr>
          </w:p>
        </w:tc>
        <w:tc>
          <w:tcPr>
            <w:tcW w:w="1122"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6A66F683" w14:textId="77777777" w:rsidR="005464A5" w:rsidRDefault="005464A5" w:rsidP="00D474C2">
            <w:pPr>
              <w:rPr>
                <w:sz w:val="20"/>
                <w:szCs w:val="20"/>
              </w:rPr>
            </w:pPr>
          </w:p>
        </w:tc>
        <w:tc>
          <w:tcPr>
            <w:tcW w:w="2546"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0B0BE426" w14:textId="77777777" w:rsidR="005464A5" w:rsidRDefault="005464A5" w:rsidP="00D474C2">
            <w:pPr>
              <w:rPr>
                <w:sz w:val="20"/>
                <w:szCs w:val="20"/>
              </w:rPr>
            </w:pPr>
          </w:p>
        </w:tc>
        <w:tc>
          <w:tcPr>
            <w:tcW w:w="934"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623C3023" w14:textId="77777777" w:rsidR="005464A5" w:rsidRDefault="005464A5" w:rsidP="00D474C2">
            <w:pPr>
              <w:rPr>
                <w:sz w:val="20"/>
                <w:szCs w:val="20"/>
              </w:rPr>
            </w:pPr>
          </w:p>
        </w:tc>
        <w:tc>
          <w:tcPr>
            <w:tcW w:w="1312" w:type="dxa"/>
            <w:tcBorders>
              <w:top w:val="nil"/>
              <w:left w:val="nil"/>
              <w:bottom w:val="single" w:sz="8" w:space="0" w:color="auto"/>
              <w:right w:val="single" w:sz="8" w:space="0" w:color="auto"/>
            </w:tcBorders>
            <w:shd w:val="clear" w:color="auto" w:fill="8496B0"/>
            <w:tcMar>
              <w:top w:w="0" w:type="dxa"/>
              <w:left w:w="108" w:type="dxa"/>
              <w:bottom w:w="0" w:type="dxa"/>
              <w:right w:w="108" w:type="dxa"/>
            </w:tcMar>
            <w:vAlign w:val="center"/>
            <w:hideMark/>
          </w:tcPr>
          <w:p w14:paraId="3A0FA09B" w14:textId="77777777" w:rsidR="005464A5" w:rsidRDefault="005464A5" w:rsidP="00D474C2">
            <w:pPr>
              <w:rPr>
                <w:sz w:val="20"/>
                <w:szCs w:val="20"/>
              </w:rPr>
            </w:pPr>
          </w:p>
        </w:tc>
      </w:tr>
    </w:tbl>
    <w:p w14:paraId="0AF5C14D" w14:textId="77777777" w:rsidR="005464A5" w:rsidRDefault="005464A5" w:rsidP="00F53525">
      <w:pPr>
        <w:jc w:val="both"/>
        <w:rPr>
          <w:rFonts w:asciiTheme="majorHAnsi" w:hAnsiTheme="majorHAnsi"/>
          <w:bCs/>
          <w:sz w:val="22"/>
          <w:szCs w:val="22"/>
        </w:rPr>
      </w:pPr>
    </w:p>
    <w:p w14:paraId="06A94BAE" w14:textId="14E0805E" w:rsidR="001415B5" w:rsidRPr="00060053" w:rsidRDefault="008B6E24" w:rsidP="009E2A71">
      <w:pPr>
        <w:pStyle w:val="NormalWeb"/>
        <w:jc w:val="both"/>
        <w:outlineLvl w:val="1"/>
        <w:rPr>
          <w:rFonts w:asciiTheme="majorHAnsi" w:hAnsiTheme="majorHAnsi" w:cs="Tahoma"/>
          <w:b/>
          <w:bCs/>
          <w:sz w:val="22"/>
          <w:szCs w:val="22"/>
        </w:rPr>
      </w:pPr>
      <w:bookmarkStart w:id="51" w:name="_Toc429563204"/>
      <w:r w:rsidRPr="00060053">
        <w:rPr>
          <w:rFonts w:asciiTheme="majorHAnsi" w:hAnsiTheme="majorHAnsi" w:cs="Tahoma"/>
          <w:b/>
          <w:bCs/>
          <w:sz w:val="22"/>
          <w:szCs w:val="22"/>
          <w:lang w:val="es-ES_tradnl"/>
        </w:rPr>
        <w:t>2.</w:t>
      </w:r>
      <w:r w:rsidR="00D901A3" w:rsidRPr="00060053">
        <w:rPr>
          <w:rFonts w:asciiTheme="majorHAnsi" w:hAnsiTheme="majorHAnsi" w:cs="Tahoma"/>
          <w:b/>
          <w:bCs/>
          <w:sz w:val="22"/>
          <w:szCs w:val="22"/>
          <w:lang w:val="es-ES_tradnl"/>
        </w:rPr>
        <w:t>4</w:t>
      </w:r>
      <w:r w:rsidR="00D460C2">
        <w:rPr>
          <w:rFonts w:asciiTheme="majorHAnsi" w:hAnsiTheme="majorHAnsi" w:cs="Tahoma"/>
          <w:b/>
          <w:bCs/>
          <w:sz w:val="22"/>
          <w:szCs w:val="22"/>
          <w:lang w:val="es-ES_tradnl"/>
        </w:rPr>
        <w:tab/>
      </w:r>
      <w:r w:rsidR="001415B5" w:rsidRPr="00060053">
        <w:rPr>
          <w:rFonts w:asciiTheme="majorHAnsi" w:hAnsiTheme="majorHAnsi" w:cs="Tahoma"/>
          <w:b/>
          <w:bCs/>
          <w:sz w:val="22"/>
          <w:szCs w:val="22"/>
          <w:lang w:val="es-ES_tradnl"/>
        </w:rPr>
        <w:t xml:space="preserve">Presupuesto </w:t>
      </w:r>
      <w:r w:rsidR="001415B5" w:rsidRPr="00060053">
        <w:rPr>
          <w:rFonts w:asciiTheme="majorHAnsi" w:hAnsiTheme="majorHAnsi" w:cs="Tahoma"/>
          <w:b/>
          <w:bCs/>
          <w:sz w:val="22"/>
          <w:szCs w:val="22"/>
        </w:rPr>
        <w:t>Expresión Financiera del Plan Operativo</w:t>
      </w:r>
      <w:r w:rsidR="00CF27EE" w:rsidRPr="00060053">
        <w:rPr>
          <w:rFonts w:asciiTheme="majorHAnsi" w:hAnsiTheme="majorHAnsi" w:cs="Tahoma"/>
          <w:b/>
          <w:bCs/>
          <w:sz w:val="22"/>
          <w:szCs w:val="22"/>
        </w:rPr>
        <w:t xml:space="preserve"> Institucional</w:t>
      </w:r>
      <w:bookmarkEnd w:id="51"/>
    </w:p>
    <w:p w14:paraId="06A94BAF" w14:textId="433F0224" w:rsidR="00F53525" w:rsidRDefault="00F53525" w:rsidP="009E2A71">
      <w:pPr>
        <w:jc w:val="both"/>
        <w:rPr>
          <w:rFonts w:asciiTheme="majorHAnsi" w:hAnsiTheme="majorHAnsi"/>
          <w:sz w:val="22"/>
          <w:szCs w:val="22"/>
        </w:rPr>
      </w:pPr>
      <w:r w:rsidRPr="00060053">
        <w:rPr>
          <w:rFonts w:asciiTheme="majorHAnsi" w:hAnsiTheme="majorHAnsi"/>
          <w:sz w:val="22"/>
          <w:szCs w:val="22"/>
        </w:rPr>
        <w:t xml:space="preserve">En </w:t>
      </w:r>
      <w:r w:rsidR="00981E42">
        <w:rPr>
          <w:rFonts w:asciiTheme="majorHAnsi" w:hAnsiTheme="majorHAnsi"/>
          <w:sz w:val="22"/>
          <w:szCs w:val="22"/>
        </w:rPr>
        <w:t>la sección</w:t>
      </w:r>
      <w:r w:rsidRPr="00060053">
        <w:rPr>
          <w:rFonts w:asciiTheme="majorHAnsi" w:hAnsiTheme="majorHAnsi"/>
          <w:sz w:val="22"/>
          <w:szCs w:val="22"/>
        </w:rPr>
        <w:t xml:space="preserve"> se puntualiza la composición del presupuesto para</w:t>
      </w:r>
      <w:r w:rsidR="005348DB" w:rsidRPr="00060053">
        <w:rPr>
          <w:rFonts w:asciiTheme="majorHAnsi" w:hAnsiTheme="majorHAnsi"/>
          <w:sz w:val="22"/>
          <w:szCs w:val="22"/>
        </w:rPr>
        <w:t xml:space="preserve"> el ejercicio económico del </w:t>
      </w:r>
      <w:r w:rsidR="00065D5A" w:rsidRPr="00060053">
        <w:rPr>
          <w:rFonts w:asciiTheme="majorHAnsi" w:hAnsiTheme="majorHAnsi"/>
          <w:sz w:val="22"/>
          <w:szCs w:val="22"/>
        </w:rPr>
        <w:t>20</w:t>
      </w:r>
      <w:r w:rsidR="00ED04A1" w:rsidRPr="00060053">
        <w:rPr>
          <w:rFonts w:asciiTheme="majorHAnsi" w:hAnsiTheme="majorHAnsi"/>
          <w:sz w:val="22"/>
          <w:szCs w:val="22"/>
        </w:rPr>
        <w:t>1</w:t>
      </w:r>
      <w:r w:rsidR="00F01972">
        <w:rPr>
          <w:rFonts w:asciiTheme="majorHAnsi" w:hAnsiTheme="majorHAnsi"/>
          <w:sz w:val="22"/>
          <w:szCs w:val="22"/>
        </w:rPr>
        <w:t>7</w:t>
      </w:r>
      <w:r w:rsidRPr="00060053">
        <w:rPr>
          <w:rFonts w:asciiTheme="majorHAnsi" w:hAnsiTheme="majorHAnsi"/>
          <w:sz w:val="22"/>
          <w:szCs w:val="22"/>
        </w:rPr>
        <w:t>.</w:t>
      </w:r>
    </w:p>
    <w:p w14:paraId="398B98A6" w14:textId="77777777" w:rsidR="006C1EEE" w:rsidRDefault="006C1EEE" w:rsidP="009E2A71">
      <w:pPr>
        <w:jc w:val="both"/>
        <w:rPr>
          <w:rFonts w:asciiTheme="majorHAnsi" w:hAnsiTheme="majorHAnsi"/>
          <w:sz w:val="22"/>
          <w:szCs w:val="22"/>
        </w:rPr>
      </w:pPr>
    </w:p>
    <w:p w14:paraId="7A689D83" w14:textId="03D0D334" w:rsidR="006C1EEE" w:rsidRPr="00AD2171" w:rsidRDefault="006C1EEE" w:rsidP="006C1EEE">
      <w:pPr>
        <w:jc w:val="center"/>
        <w:rPr>
          <w:rFonts w:asciiTheme="majorHAnsi" w:hAnsiTheme="majorHAnsi"/>
          <w:bCs/>
          <w:sz w:val="22"/>
          <w:szCs w:val="22"/>
          <w:lang w:val="es-ES_tradnl"/>
        </w:rPr>
      </w:pPr>
      <w:r>
        <w:rPr>
          <w:rFonts w:asciiTheme="majorHAnsi" w:hAnsiTheme="majorHAnsi"/>
          <w:bCs/>
          <w:sz w:val="22"/>
          <w:szCs w:val="22"/>
          <w:lang w:val="es-ES_tradnl"/>
        </w:rPr>
        <w:t>Cuadro 10</w:t>
      </w:r>
      <w:r w:rsidR="009E074D">
        <w:rPr>
          <w:rFonts w:asciiTheme="majorHAnsi" w:hAnsiTheme="majorHAnsi"/>
          <w:bCs/>
          <w:sz w:val="22"/>
          <w:szCs w:val="22"/>
          <w:lang w:val="es-ES_tradnl"/>
        </w:rPr>
        <w:t xml:space="preserve">: </w:t>
      </w:r>
      <w:r>
        <w:rPr>
          <w:rFonts w:asciiTheme="majorHAnsi" w:hAnsiTheme="majorHAnsi"/>
          <w:bCs/>
          <w:sz w:val="22"/>
          <w:szCs w:val="22"/>
          <w:lang w:val="es-ES_tradnl"/>
        </w:rPr>
        <w:t>Resumen del detalle de presupuesto</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3670"/>
        <w:gridCol w:w="4515"/>
      </w:tblGrid>
      <w:tr w:rsidR="00F53525" w:rsidRPr="00060053" w14:paraId="06A94BB4" w14:textId="77777777" w:rsidTr="004D404F">
        <w:trPr>
          <w:tblHeader/>
        </w:trPr>
        <w:tc>
          <w:tcPr>
            <w:tcW w:w="1171" w:type="dxa"/>
            <w:shd w:val="clear" w:color="auto" w:fill="548DD4" w:themeFill="text2" w:themeFillTint="99"/>
            <w:vAlign w:val="center"/>
          </w:tcPr>
          <w:p w14:paraId="06A94BB1" w14:textId="77777777" w:rsidR="00F53525" w:rsidRPr="00060053" w:rsidRDefault="00F53525" w:rsidP="00B05EAB">
            <w:pPr>
              <w:spacing w:line="264" w:lineRule="auto"/>
              <w:jc w:val="center"/>
              <w:rPr>
                <w:rFonts w:asciiTheme="majorHAnsi" w:hAnsiTheme="majorHAnsi"/>
                <w:b/>
                <w:sz w:val="20"/>
              </w:rPr>
            </w:pPr>
            <w:r w:rsidRPr="00060053">
              <w:rPr>
                <w:rFonts w:asciiTheme="majorHAnsi" w:hAnsiTheme="majorHAnsi"/>
                <w:b/>
                <w:sz w:val="20"/>
              </w:rPr>
              <w:t># CUADRO</w:t>
            </w:r>
          </w:p>
        </w:tc>
        <w:tc>
          <w:tcPr>
            <w:tcW w:w="3670" w:type="dxa"/>
            <w:shd w:val="clear" w:color="auto" w:fill="548DD4" w:themeFill="text2" w:themeFillTint="99"/>
            <w:vAlign w:val="center"/>
          </w:tcPr>
          <w:p w14:paraId="06A94BB2" w14:textId="77777777" w:rsidR="00F53525" w:rsidRPr="00060053" w:rsidRDefault="00F53525" w:rsidP="00B05EAB">
            <w:pPr>
              <w:spacing w:line="264" w:lineRule="auto"/>
              <w:jc w:val="center"/>
              <w:rPr>
                <w:rFonts w:asciiTheme="majorHAnsi" w:hAnsiTheme="majorHAnsi"/>
                <w:b/>
                <w:sz w:val="20"/>
              </w:rPr>
            </w:pPr>
            <w:r w:rsidRPr="00060053">
              <w:rPr>
                <w:rFonts w:asciiTheme="majorHAnsi" w:hAnsiTheme="majorHAnsi"/>
                <w:b/>
                <w:sz w:val="20"/>
              </w:rPr>
              <w:t>TÍTULO</w:t>
            </w:r>
          </w:p>
        </w:tc>
        <w:tc>
          <w:tcPr>
            <w:tcW w:w="4515" w:type="dxa"/>
            <w:shd w:val="clear" w:color="auto" w:fill="548DD4" w:themeFill="text2" w:themeFillTint="99"/>
            <w:vAlign w:val="center"/>
          </w:tcPr>
          <w:p w14:paraId="06A94BB3" w14:textId="77777777" w:rsidR="00F53525" w:rsidRPr="00060053" w:rsidRDefault="00F53525" w:rsidP="00B05EAB">
            <w:pPr>
              <w:spacing w:line="264" w:lineRule="auto"/>
              <w:jc w:val="center"/>
              <w:rPr>
                <w:rFonts w:asciiTheme="majorHAnsi" w:hAnsiTheme="majorHAnsi"/>
                <w:b/>
                <w:sz w:val="20"/>
              </w:rPr>
            </w:pPr>
            <w:r w:rsidRPr="00060053">
              <w:rPr>
                <w:rFonts w:asciiTheme="majorHAnsi" w:hAnsiTheme="majorHAnsi"/>
                <w:b/>
                <w:sz w:val="20"/>
              </w:rPr>
              <w:t>OBJETIVO</w:t>
            </w:r>
          </w:p>
        </w:tc>
      </w:tr>
      <w:tr w:rsidR="00F53525" w:rsidRPr="00060053" w14:paraId="06A94BB8" w14:textId="77777777">
        <w:tc>
          <w:tcPr>
            <w:tcW w:w="1171" w:type="dxa"/>
            <w:vAlign w:val="center"/>
          </w:tcPr>
          <w:p w14:paraId="06A94BB5"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1</w:t>
            </w:r>
          </w:p>
        </w:tc>
        <w:tc>
          <w:tcPr>
            <w:tcW w:w="3670" w:type="dxa"/>
            <w:vAlign w:val="center"/>
          </w:tcPr>
          <w:p w14:paraId="06A94BB6" w14:textId="77777777" w:rsidR="00F53525" w:rsidRPr="00060053" w:rsidRDefault="00F53525" w:rsidP="00582FB2">
            <w:pPr>
              <w:pStyle w:val="Textonotapie"/>
              <w:spacing w:line="264" w:lineRule="auto"/>
              <w:jc w:val="both"/>
              <w:rPr>
                <w:rFonts w:asciiTheme="majorHAnsi" w:hAnsiTheme="majorHAnsi"/>
                <w:bCs/>
                <w:szCs w:val="24"/>
              </w:rPr>
            </w:pPr>
            <w:r w:rsidRPr="00060053">
              <w:rPr>
                <w:rFonts w:asciiTheme="majorHAnsi" w:hAnsiTheme="majorHAnsi"/>
                <w:bCs/>
                <w:szCs w:val="24"/>
              </w:rPr>
              <w:t xml:space="preserve">Presupuesto de ingresos </w:t>
            </w:r>
          </w:p>
        </w:tc>
        <w:tc>
          <w:tcPr>
            <w:tcW w:w="4515" w:type="dxa"/>
            <w:vAlign w:val="center"/>
          </w:tcPr>
          <w:p w14:paraId="06A94BB7" w14:textId="7544BD8C"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 xml:space="preserve">Total de presupuesto de ingresos requeridos para la ejecución presupuestaria del </w:t>
            </w:r>
            <w:r w:rsidR="008719B1" w:rsidRPr="00060053">
              <w:rPr>
                <w:rFonts w:asciiTheme="majorHAnsi" w:hAnsiTheme="majorHAnsi"/>
                <w:bCs/>
                <w:sz w:val="20"/>
              </w:rPr>
              <w:t>20</w:t>
            </w:r>
            <w:r w:rsidR="00ED04A1" w:rsidRPr="00060053">
              <w:rPr>
                <w:rFonts w:asciiTheme="majorHAnsi" w:hAnsiTheme="majorHAnsi"/>
                <w:bCs/>
                <w:sz w:val="20"/>
              </w:rPr>
              <w:t>1</w:t>
            </w:r>
            <w:r w:rsidR="00F01972">
              <w:rPr>
                <w:rFonts w:asciiTheme="majorHAnsi" w:hAnsiTheme="majorHAnsi"/>
                <w:bCs/>
                <w:sz w:val="20"/>
              </w:rPr>
              <w:t>7</w:t>
            </w:r>
          </w:p>
        </w:tc>
      </w:tr>
      <w:tr w:rsidR="00F53525" w:rsidRPr="00060053" w14:paraId="06A94BBC" w14:textId="77777777">
        <w:tc>
          <w:tcPr>
            <w:tcW w:w="1171" w:type="dxa"/>
            <w:vAlign w:val="center"/>
          </w:tcPr>
          <w:p w14:paraId="06A94BB9"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2</w:t>
            </w:r>
          </w:p>
        </w:tc>
        <w:tc>
          <w:tcPr>
            <w:tcW w:w="3670" w:type="dxa"/>
            <w:vAlign w:val="center"/>
          </w:tcPr>
          <w:p w14:paraId="06A94BBA" w14:textId="231067A8" w:rsidR="00F53525" w:rsidRPr="00060053" w:rsidRDefault="00582FB2" w:rsidP="00582FB2">
            <w:pPr>
              <w:spacing w:line="264" w:lineRule="auto"/>
              <w:jc w:val="both"/>
              <w:rPr>
                <w:rFonts w:asciiTheme="majorHAnsi" w:hAnsiTheme="majorHAnsi"/>
                <w:bCs/>
                <w:sz w:val="20"/>
              </w:rPr>
            </w:pPr>
            <w:r w:rsidRPr="00060053">
              <w:rPr>
                <w:rFonts w:asciiTheme="majorHAnsi" w:hAnsiTheme="majorHAnsi"/>
                <w:bCs/>
                <w:sz w:val="20"/>
              </w:rPr>
              <w:t>Comparativo de</w:t>
            </w:r>
            <w:r w:rsidR="00F53525" w:rsidRPr="00060053">
              <w:rPr>
                <w:rFonts w:asciiTheme="majorHAnsi" w:hAnsiTheme="majorHAnsi"/>
                <w:bCs/>
                <w:sz w:val="20"/>
              </w:rPr>
              <w:t xml:space="preserve"> ingresos y egresos </w:t>
            </w:r>
          </w:p>
        </w:tc>
        <w:tc>
          <w:tcPr>
            <w:tcW w:w="4515" w:type="dxa"/>
            <w:vAlign w:val="center"/>
          </w:tcPr>
          <w:p w14:paraId="06A94BBB"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Cuadro de ingresos y egresos presupuestados a nivel de las principales cuentas.</w:t>
            </w:r>
          </w:p>
        </w:tc>
      </w:tr>
      <w:tr w:rsidR="00F53525" w:rsidRPr="00060053" w14:paraId="06A94BC0" w14:textId="77777777">
        <w:tc>
          <w:tcPr>
            <w:tcW w:w="1171" w:type="dxa"/>
            <w:vAlign w:val="center"/>
          </w:tcPr>
          <w:p w14:paraId="06A94BBD"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3</w:t>
            </w:r>
          </w:p>
        </w:tc>
        <w:tc>
          <w:tcPr>
            <w:tcW w:w="3670" w:type="dxa"/>
            <w:vAlign w:val="center"/>
          </w:tcPr>
          <w:p w14:paraId="06A94BBE"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 xml:space="preserve">Presupuesto detallado de egresos </w:t>
            </w:r>
          </w:p>
        </w:tc>
        <w:tc>
          <w:tcPr>
            <w:tcW w:w="4515" w:type="dxa"/>
            <w:vAlign w:val="center"/>
          </w:tcPr>
          <w:p w14:paraId="06A94BBF" w14:textId="49DBCBD0" w:rsidR="00F53525" w:rsidRPr="00060053" w:rsidRDefault="00981E42" w:rsidP="00582FB2">
            <w:pPr>
              <w:spacing w:line="264" w:lineRule="auto"/>
              <w:jc w:val="both"/>
              <w:rPr>
                <w:rFonts w:asciiTheme="majorHAnsi" w:hAnsiTheme="majorHAnsi"/>
                <w:bCs/>
                <w:sz w:val="20"/>
              </w:rPr>
            </w:pPr>
            <w:r>
              <w:rPr>
                <w:rFonts w:asciiTheme="majorHAnsi" w:hAnsiTheme="majorHAnsi"/>
                <w:bCs/>
                <w:sz w:val="20"/>
              </w:rPr>
              <w:t>Detalle a nivel de sub</w:t>
            </w:r>
            <w:r w:rsidR="00F53525" w:rsidRPr="00060053">
              <w:rPr>
                <w:rFonts w:asciiTheme="majorHAnsi" w:hAnsiTheme="majorHAnsi"/>
                <w:bCs/>
                <w:sz w:val="20"/>
              </w:rPr>
              <w:t>cuenta, cuenta y total del presupuesto de egresos</w:t>
            </w:r>
          </w:p>
        </w:tc>
      </w:tr>
      <w:tr w:rsidR="00F53525" w:rsidRPr="00060053" w14:paraId="06A94BC4" w14:textId="77777777">
        <w:trPr>
          <w:trHeight w:val="764"/>
        </w:trPr>
        <w:tc>
          <w:tcPr>
            <w:tcW w:w="1171" w:type="dxa"/>
            <w:vAlign w:val="center"/>
          </w:tcPr>
          <w:p w14:paraId="06A94BC1"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4</w:t>
            </w:r>
          </w:p>
        </w:tc>
        <w:tc>
          <w:tcPr>
            <w:tcW w:w="3670" w:type="dxa"/>
            <w:vAlign w:val="center"/>
          </w:tcPr>
          <w:p w14:paraId="06A94BC2"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 xml:space="preserve">Detalle de los principales rubros de egresos </w:t>
            </w:r>
          </w:p>
        </w:tc>
        <w:tc>
          <w:tcPr>
            <w:tcW w:w="4515" w:type="dxa"/>
            <w:vAlign w:val="center"/>
          </w:tcPr>
          <w:p w14:paraId="06A94BC3"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Descripción de la justificación detallada de los principales rubros de egresos</w:t>
            </w:r>
          </w:p>
        </w:tc>
      </w:tr>
      <w:tr w:rsidR="00F53525" w:rsidRPr="00060053" w14:paraId="06A94BC8" w14:textId="77777777">
        <w:tc>
          <w:tcPr>
            <w:tcW w:w="1171" w:type="dxa"/>
            <w:vAlign w:val="center"/>
          </w:tcPr>
          <w:p w14:paraId="06A94BC5" w14:textId="77777777" w:rsidR="00001B41" w:rsidRPr="00060053" w:rsidRDefault="00F53525" w:rsidP="00ED04A1">
            <w:pPr>
              <w:spacing w:line="264" w:lineRule="auto"/>
              <w:jc w:val="center"/>
              <w:rPr>
                <w:rFonts w:asciiTheme="majorHAnsi" w:hAnsiTheme="majorHAnsi"/>
                <w:bCs/>
                <w:sz w:val="20"/>
              </w:rPr>
            </w:pPr>
            <w:r w:rsidRPr="00060053">
              <w:rPr>
                <w:rFonts w:asciiTheme="majorHAnsi" w:hAnsiTheme="majorHAnsi"/>
                <w:bCs/>
                <w:sz w:val="20"/>
              </w:rPr>
              <w:t>5</w:t>
            </w:r>
          </w:p>
        </w:tc>
        <w:tc>
          <w:tcPr>
            <w:tcW w:w="3670" w:type="dxa"/>
            <w:vAlign w:val="center"/>
          </w:tcPr>
          <w:p w14:paraId="06A94BC6"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Presupuesto ordinario de egresos por meta</w:t>
            </w:r>
          </w:p>
        </w:tc>
        <w:tc>
          <w:tcPr>
            <w:tcW w:w="4515" w:type="dxa"/>
            <w:vAlign w:val="center"/>
          </w:tcPr>
          <w:p w14:paraId="06A94BC7" w14:textId="267BA410"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 xml:space="preserve">Descripción detallada del objetivo general de la instancia, número de </w:t>
            </w:r>
            <w:r w:rsidR="00981E42">
              <w:rPr>
                <w:rFonts w:asciiTheme="majorHAnsi" w:hAnsiTheme="majorHAnsi"/>
                <w:bCs/>
                <w:sz w:val="20"/>
              </w:rPr>
              <w:t xml:space="preserve">funcionarios, horas / hombre, porcentaje </w:t>
            </w:r>
            <w:r w:rsidRPr="00060053">
              <w:rPr>
                <w:rFonts w:asciiTheme="majorHAnsi" w:hAnsiTheme="majorHAnsi"/>
                <w:bCs/>
                <w:sz w:val="20"/>
              </w:rPr>
              <w:t>asignado, monto total asignado a salarios, transferencias corrientes, inversiones, asignación de cuentas y total.</w:t>
            </w:r>
          </w:p>
        </w:tc>
      </w:tr>
      <w:tr w:rsidR="00F53525" w:rsidRPr="00060053" w14:paraId="06A94BCC" w14:textId="77777777">
        <w:tc>
          <w:tcPr>
            <w:tcW w:w="1171" w:type="dxa"/>
            <w:vAlign w:val="center"/>
          </w:tcPr>
          <w:p w14:paraId="06A94BC9" w14:textId="77777777" w:rsidR="00001B41" w:rsidRPr="00060053" w:rsidRDefault="00F53525" w:rsidP="00ED04A1">
            <w:pPr>
              <w:spacing w:line="264" w:lineRule="auto"/>
              <w:jc w:val="center"/>
              <w:rPr>
                <w:rFonts w:asciiTheme="majorHAnsi" w:hAnsiTheme="majorHAnsi"/>
                <w:bCs/>
                <w:sz w:val="20"/>
              </w:rPr>
            </w:pPr>
            <w:r w:rsidRPr="00060053">
              <w:rPr>
                <w:rFonts w:asciiTheme="majorHAnsi" w:hAnsiTheme="majorHAnsi"/>
                <w:bCs/>
                <w:sz w:val="20"/>
              </w:rPr>
              <w:t>6</w:t>
            </w:r>
          </w:p>
        </w:tc>
        <w:tc>
          <w:tcPr>
            <w:tcW w:w="3670" w:type="dxa"/>
            <w:vAlign w:val="center"/>
          </w:tcPr>
          <w:p w14:paraId="06A94BCA"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Comparativo de la evolución del gasto por cuenta durante los tres últimos periodos</w:t>
            </w:r>
          </w:p>
        </w:tc>
        <w:tc>
          <w:tcPr>
            <w:tcW w:w="4515" w:type="dxa"/>
            <w:vAlign w:val="center"/>
          </w:tcPr>
          <w:p w14:paraId="06A94BCB" w14:textId="3510D7EE" w:rsidR="00F53525" w:rsidRPr="00060053" w:rsidRDefault="00981E42" w:rsidP="00582FB2">
            <w:pPr>
              <w:spacing w:line="264" w:lineRule="auto"/>
              <w:jc w:val="both"/>
              <w:rPr>
                <w:rFonts w:asciiTheme="majorHAnsi" w:hAnsiTheme="majorHAnsi"/>
                <w:bCs/>
                <w:sz w:val="20"/>
              </w:rPr>
            </w:pPr>
            <w:r>
              <w:rPr>
                <w:rFonts w:asciiTheme="majorHAnsi" w:hAnsiTheme="majorHAnsi"/>
                <w:bCs/>
                <w:sz w:val="20"/>
              </w:rPr>
              <w:t xml:space="preserve">Porcentaje relativo a cada sub-cuenta y </w:t>
            </w:r>
            <w:r w:rsidR="00582FB2">
              <w:rPr>
                <w:rFonts w:asciiTheme="majorHAnsi" w:hAnsiTheme="majorHAnsi"/>
                <w:bCs/>
                <w:sz w:val="20"/>
              </w:rPr>
              <w:t xml:space="preserve">porcentaje </w:t>
            </w:r>
            <w:r w:rsidR="00582FB2" w:rsidRPr="00060053">
              <w:rPr>
                <w:rFonts w:asciiTheme="majorHAnsi" w:hAnsiTheme="majorHAnsi"/>
                <w:bCs/>
                <w:sz w:val="20"/>
              </w:rPr>
              <w:t>de</w:t>
            </w:r>
            <w:r w:rsidR="00F53525" w:rsidRPr="00060053">
              <w:rPr>
                <w:rFonts w:asciiTheme="majorHAnsi" w:hAnsiTheme="majorHAnsi"/>
                <w:bCs/>
                <w:sz w:val="20"/>
              </w:rPr>
              <w:t xml:space="preserve"> variación con </w:t>
            </w:r>
            <w:r w:rsidR="008A2932" w:rsidRPr="00060053">
              <w:rPr>
                <w:rFonts w:asciiTheme="majorHAnsi" w:hAnsiTheme="majorHAnsi"/>
                <w:bCs/>
                <w:sz w:val="20"/>
              </w:rPr>
              <w:t>de</w:t>
            </w:r>
            <w:r w:rsidR="00F53525" w:rsidRPr="00060053">
              <w:rPr>
                <w:rFonts w:asciiTheme="majorHAnsi" w:hAnsiTheme="majorHAnsi"/>
                <w:bCs/>
                <w:sz w:val="20"/>
              </w:rPr>
              <w:t xml:space="preserve"> los últimos 3 años.</w:t>
            </w:r>
          </w:p>
        </w:tc>
      </w:tr>
      <w:tr w:rsidR="00F53525" w:rsidRPr="00060053" w14:paraId="06A94BD0" w14:textId="77777777">
        <w:tc>
          <w:tcPr>
            <w:tcW w:w="1171" w:type="dxa"/>
            <w:vAlign w:val="center"/>
          </w:tcPr>
          <w:p w14:paraId="06A94BCD"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7</w:t>
            </w:r>
          </w:p>
        </w:tc>
        <w:tc>
          <w:tcPr>
            <w:tcW w:w="3670" w:type="dxa"/>
            <w:vAlign w:val="center"/>
          </w:tcPr>
          <w:p w14:paraId="06A94BCE"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 xml:space="preserve">Comparativo de la evolución del gasto del año presupuestado </w:t>
            </w:r>
          </w:p>
        </w:tc>
        <w:tc>
          <w:tcPr>
            <w:tcW w:w="4515" w:type="dxa"/>
            <w:vAlign w:val="center"/>
          </w:tcPr>
          <w:p w14:paraId="06A94BCF" w14:textId="77777777"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Comportamiento estimado de los egresos a nivel de las principales cuentas con respecto al gasto del presente año</w:t>
            </w:r>
          </w:p>
        </w:tc>
      </w:tr>
      <w:tr w:rsidR="00F53525" w:rsidRPr="00060053" w14:paraId="06A94BD4" w14:textId="77777777">
        <w:tc>
          <w:tcPr>
            <w:tcW w:w="1171" w:type="dxa"/>
            <w:tcBorders>
              <w:bottom w:val="single" w:sz="4" w:space="0" w:color="auto"/>
            </w:tcBorders>
            <w:vAlign w:val="center"/>
          </w:tcPr>
          <w:p w14:paraId="06A94BD1" w14:textId="77777777" w:rsidR="00F53525" w:rsidRPr="00060053" w:rsidRDefault="00F53525" w:rsidP="00B05EAB">
            <w:pPr>
              <w:spacing w:line="264" w:lineRule="auto"/>
              <w:jc w:val="center"/>
              <w:rPr>
                <w:rFonts w:asciiTheme="majorHAnsi" w:hAnsiTheme="majorHAnsi"/>
                <w:bCs/>
                <w:sz w:val="20"/>
              </w:rPr>
            </w:pPr>
            <w:r w:rsidRPr="00060053">
              <w:rPr>
                <w:rFonts w:asciiTheme="majorHAnsi" w:hAnsiTheme="majorHAnsi"/>
                <w:bCs/>
                <w:sz w:val="20"/>
              </w:rPr>
              <w:t>8</w:t>
            </w:r>
          </w:p>
        </w:tc>
        <w:tc>
          <w:tcPr>
            <w:tcW w:w="3670" w:type="dxa"/>
            <w:tcBorders>
              <w:bottom w:val="single" w:sz="4" w:space="0" w:color="auto"/>
            </w:tcBorders>
            <w:vAlign w:val="center"/>
          </w:tcPr>
          <w:p w14:paraId="06A94BD2" w14:textId="50435C19" w:rsidR="00F53525" w:rsidRPr="00060053" w:rsidRDefault="00F53525" w:rsidP="00582FB2">
            <w:pPr>
              <w:spacing w:line="264" w:lineRule="auto"/>
              <w:jc w:val="both"/>
              <w:rPr>
                <w:rFonts w:asciiTheme="majorHAnsi" w:hAnsiTheme="majorHAnsi"/>
                <w:bCs/>
                <w:sz w:val="20"/>
              </w:rPr>
            </w:pPr>
            <w:r w:rsidRPr="00060053">
              <w:rPr>
                <w:rFonts w:asciiTheme="majorHAnsi" w:hAnsiTheme="majorHAnsi"/>
                <w:bCs/>
                <w:sz w:val="20"/>
              </w:rPr>
              <w:t xml:space="preserve">Presupuesto </w:t>
            </w:r>
            <w:r w:rsidR="00913322" w:rsidRPr="00060053">
              <w:rPr>
                <w:rFonts w:asciiTheme="majorHAnsi" w:hAnsiTheme="majorHAnsi"/>
                <w:bCs/>
                <w:sz w:val="20"/>
              </w:rPr>
              <w:t>resumen y gráfico de composición</w:t>
            </w:r>
          </w:p>
        </w:tc>
        <w:tc>
          <w:tcPr>
            <w:tcW w:w="4515" w:type="dxa"/>
            <w:tcBorders>
              <w:bottom w:val="single" w:sz="4" w:space="0" w:color="auto"/>
            </w:tcBorders>
            <w:vAlign w:val="center"/>
          </w:tcPr>
          <w:p w14:paraId="06A94BD3" w14:textId="77777777" w:rsidR="00F53525" w:rsidRPr="00060053" w:rsidRDefault="00001B41" w:rsidP="00582FB2">
            <w:pPr>
              <w:spacing w:line="264" w:lineRule="auto"/>
              <w:jc w:val="both"/>
              <w:rPr>
                <w:rFonts w:asciiTheme="majorHAnsi" w:hAnsiTheme="majorHAnsi"/>
                <w:bCs/>
                <w:sz w:val="20"/>
              </w:rPr>
            </w:pPr>
            <w:r w:rsidRPr="00060053">
              <w:rPr>
                <w:rFonts w:asciiTheme="majorHAnsi" w:hAnsiTheme="majorHAnsi"/>
                <w:bCs/>
                <w:sz w:val="20"/>
              </w:rPr>
              <w:t xml:space="preserve">Cuadro resumen </w:t>
            </w:r>
            <w:r w:rsidR="00F53525" w:rsidRPr="00060053">
              <w:rPr>
                <w:rFonts w:asciiTheme="majorHAnsi" w:hAnsiTheme="majorHAnsi"/>
                <w:bCs/>
                <w:sz w:val="20"/>
              </w:rPr>
              <w:t xml:space="preserve">de las cuentas principales </w:t>
            </w:r>
            <w:r w:rsidRPr="00060053">
              <w:rPr>
                <w:rFonts w:asciiTheme="majorHAnsi" w:hAnsiTheme="majorHAnsi"/>
                <w:bCs/>
                <w:sz w:val="20"/>
              </w:rPr>
              <w:t>y</w:t>
            </w:r>
            <w:r w:rsidR="00104D43" w:rsidRPr="00060053">
              <w:rPr>
                <w:rFonts w:asciiTheme="majorHAnsi" w:hAnsiTheme="majorHAnsi"/>
                <w:bCs/>
                <w:sz w:val="20"/>
              </w:rPr>
              <w:t xml:space="preserve"> gráficos de </w:t>
            </w:r>
            <w:r w:rsidRPr="00060053">
              <w:rPr>
                <w:rFonts w:asciiTheme="majorHAnsi" w:hAnsiTheme="majorHAnsi"/>
                <w:bCs/>
                <w:sz w:val="20"/>
              </w:rPr>
              <w:t>composición</w:t>
            </w:r>
            <w:r w:rsidR="00104D43" w:rsidRPr="00060053">
              <w:rPr>
                <w:rFonts w:asciiTheme="majorHAnsi" w:hAnsiTheme="majorHAnsi"/>
                <w:bCs/>
                <w:sz w:val="20"/>
              </w:rPr>
              <w:t xml:space="preserve"> del gasto</w:t>
            </w:r>
            <w:r w:rsidRPr="00060053">
              <w:rPr>
                <w:rFonts w:asciiTheme="majorHAnsi" w:hAnsiTheme="majorHAnsi"/>
                <w:bCs/>
                <w:sz w:val="20"/>
              </w:rPr>
              <w:t>.</w:t>
            </w:r>
          </w:p>
        </w:tc>
      </w:tr>
      <w:tr w:rsidR="00001B41" w:rsidRPr="00060053" w14:paraId="06A94BD8" w14:textId="77777777">
        <w:tc>
          <w:tcPr>
            <w:tcW w:w="1171" w:type="dxa"/>
            <w:tcBorders>
              <w:bottom w:val="single" w:sz="4" w:space="0" w:color="auto"/>
            </w:tcBorders>
            <w:vAlign w:val="center"/>
          </w:tcPr>
          <w:p w14:paraId="06A94BD5" w14:textId="77777777" w:rsidR="00001B41" w:rsidRPr="00060053" w:rsidRDefault="00001B41" w:rsidP="00B143A6">
            <w:pPr>
              <w:spacing w:line="264" w:lineRule="auto"/>
              <w:jc w:val="center"/>
              <w:rPr>
                <w:rFonts w:asciiTheme="majorHAnsi" w:hAnsiTheme="majorHAnsi"/>
                <w:bCs/>
                <w:sz w:val="20"/>
              </w:rPr>
            </w:pPr>
            <w:r w:rsidRPr="00060053">
              <w:rPr>
                <w:rFonts w:asciiTheme="majorHAnsi" w:hAnsiTheme="majorHAnsi"/>
                <w:bCs/>
                <w:sz w:val="20"/>
              </w:rPr>
              <w:t>9</w:t>
            </w:r>
          </w:p>
        </w:tc>
        <w:tc>
          <w:tcPr>
            <w:tcW w:w="3670" w:type="dxa"/>
            <w:tcBorders>
              <w:bottom w:val="single" w:sz="4" w:space="0" w:color="auto"/>
            </w:tcBorders>
            <w:vAlign w:val="center"/>
          </w:tcPr>
          <w:p w14:paraId="06A94BD6" w14:textId="77777777" w:rsidR="00001B41" w:rsidRPr="00060053" w:rsidRDefault="00913322" w:rsidP="00582FB2">
            <w:pPr>
              <w:spacing w:line="264" w:lineRule="auto"/>
              <w:jc w:val="both"/>
              <w:rPr>
                <w:rFonts w:asciiTheme="majorHAnsi" w:hAnsiTheme="majorHAnsi"/>
                <w:bCs/>
                <w:sz w:val="20"/>
              </w:rPr>
            </w:pPr>
            <w:r w:rsidRPr="00060053">
              <w:rPr>
                <w:rFonts w:asciiTheme="majorHAnsi" w:hAnsiTheme="majorHAnsi"/>
                <w:bCs/>
                <w:sz w:val="20"/>
              </w:rPr>
              <w:t>Gráfico de evolución anual de recursos</w:t>
            </w:r>
          </w:p>
        </w:tc>
        <w:tc>
          <w:tcPr>
            <w:tcW w:w="4515" w:type="dxa"/>
            <w:tcBorders>
              <w:bottom w:val="single" w:sz="4" w:space="0" w:color="auto"/>
            </w:tcBorders>
            <w:vAlign w:val="center"/>
          </w:tcPr>
          <w:p w14:paraId="06A94BD7" w14:textId="09E43B5D" w:rsidR="00001B41" w:rsidRPr="00060053" w:rsidRDefault="00001B41" w:rsidP="00582FB2">
            <w:pPr>
              <w:spacing w:line="264" w:lineRule="auto"/>
              <w:jc w:val="both"/>
              <w:rPr>
                <w:rFonts w:asciiTheme="majorHAnsi" w:hAnsiTheme="majorHAnsi"/>
                <w:bCs/>
                <w:sz w:val="20"/>
              </w:rPr>
            </w:pPr>
            <w:r w:rsidRPr="00060053">
              <w:rPr>
                <w:rFonts w:asciiTheme="majorHAnsi" w:hAnsiTheme="majorHAnsi"/>
                <w:bCs/>
                <w:sz w:val="20"/>
              </w:rPr>
              <w:t xml:space="preserve">Detalle del presupuesto y ejecución últimos </w:t>
            </w:r>
            <w:r w:rsidR="00570B26">
              <w:rPr>
                <w:rFonts w:asciiTheme="majorHAnsi" w:hAnsiTheme="majorHAnsi"/>
                <w:bCs/>
                <w:sz w:val="20"/>
              </w:rPr>
              <w:t>cuatro</w:t>
            </w:r>
            <w:r w:rsidRPr="00060053">
              <w:rPr>
                <w:rFonts w:asciiTheme="majorHAnsi" w:hAnsiTheme="majorHAnsi"/>
                <w:bCs/>
                <w:sz w:val="20"/>
              </w:rPr>
              <w:t xml:space="preserve"> años.</w:t>
            </w:r>
          </w:p>
        </w:tc>
      </w:tr>
      <w:tr w:rsidR="00001B41" w:rsidRPr="00060053" w14:paraId="06A94BDC" w14:textId="77777777">
        <w:tc>
          <w:tcPr>
            <w:tcW w:w="1171" w:type="dxa"/>
            <w:tcBorders>
              <w:bottom w:val="single" w:sz="4" w:space="0" w:color="auto"/>
            </w:tcBorders>
            <w:vAlign w:val="center"/>
          </w:tcPr>
          <w:p w14:paraId="06A94BD9" w14:textId="77777777" w:rsidR="00001B41" w:rsidRPr="00060053" w:rsidRDefault="00001B41" w:rsidP="00B05EAB">
            <w:pPr>
              <w:spacing w:line="264" w:lineRule="auto"/>
              <w:jc w:val="center"/>
              <w:rPr>
                <w:rFonts w:asciiTheme="majorHAnsi" w:hAnsiTheme="majorHAnsi"/>
                <w:bCs/>
                <w:sz w:val="20"/>
              </w:rPr>
            </w:pPr>
            <w:r w:rsidRPr="00060053">
              <w:rPr>
                <w:rFonts w:asciiTheme="majorHAnsi" w:hAnsiTheme="majorHAnsi"/>
                <w:bCs/>
                <w:sz w:val="20"/>
              </w:rPr>
              <w:lastRenderedPageBreak/>
              <w:t>10</w:t>
            </w:r>
          </w:p>
        </w:tc>
        <w:tc>
          <w:tcPr>
            <w:tcW w:w="3670" w:type="dxa"/>
            <w:tcBorders>
              <w:bottom w:val="single" w:sz="4" w:space="0" w:color="auto"/>
            </w:tcBorders>
            <w:vAlign w:val="center"/>
          </w:tcPr>
          <w:p w14:paraId="06A94BDA" w14:textId="77777777" w:rsidR="00001B41" w:rsidRPr="00060053" w:rsidRDefault="00001B41" w:rsidP="00B05EAB">
            <w:pPr>
              <w:spacing w:line="264" w:lineRule="auto"/>
              <w:rPr>
                <w:rFonts w:asciiTheme="majorHAnsi" w:hAnsiTheme="majorHAnsi"/>
                <w:bCs/>
                <w:sz w:val="20"/>
              </w:rPr>
            </w:pPr>
            <w:r w:rsidRPr="00060053">
              <w:rPr>
                <w:rFonts w:asciiTheme="majorHAnsi" w:hAnsiTheme="majorHAnsi"/>
                <w:bCs/>
                <w:sz w:val="20"/>
              </w:rPr>
              <w:t>Programa de Inversión y Justificación de Partidas.</w:t>
            </w:r>
          </w:p>
        </w:tc>
        <w:tc>
          <w:tcPr>
            <w:tcW w:w="4515" w:type="dxa"/>
            <w:tcBorders>
              <w:bottom w:val="single" w:sz="4" w:space="0" w:color="auto"/>
            </w:tcBorders>
            <w:vAlign w:val="center"/>
          </w:tcPr>
          <w:p w14:paraId="06A94BDB" w14:textId="242E2C42" w:rsidR="00001B41" w:rsidRPr="00060053" w:rsidRDefault="00001B41" w:rsidP="00981E42">
            <w:pPr>
              <w:spacing w:line="264" w:lineRule="auto"/>
              <w:jc w:val="both"/>
              <w:rPr>
                <w:rFonts w:asciiTheme="majorHAnsi" w:hAnsiTheme="majorHAnsi"/>
                <w:bCs/>
                <w:sz w:val="20"/>
              </w:rPr>
            </w:pPr>
            <w:r w:rsidRPr="00060053">
              <w:rPr>
                <w:rFonts w:asciiTheme="majorHAnsi" w:hAnsiTheme="majorHAnsi"/>
                <w:bCs/>
                <w:sz w:val="20"/>
              </w:rPr>
              <w:t xml:space="preserve">Resumen de </w:t>
            </w:r>
            <w:r w:rsidR="00582FB2" w:rsidRPr="00060053">
              <w:rPr>
                <w:rFonts w:asciiTheme="majorHAnsi" w:hAnsiTheme="majorHAnsi"/>
                <w:bCs/>
                <w:sz w:val="20"/>
              </w:rPr>
              <w:t>las inversiones</w:t>
            </w:r>
            <w:r w:rsidRPr="00060053">
              <w:rPr>
                <w:rFonts w:asciiTheme="majorHAnsi" w:hAnsiTheme="majorHAnsi"/>
                <w:bCs/>
                <w:sz w:val="20"/>
              </w:rPr>
              <w:t xml:space="preserve"> y los resultados esperados.</w:t>
            </w:r>
          </w:p>
        </w:tc>
      </w:tr>
      <w:tr w:rsidR="00001B41" w:rsidRPr="00060053" w14:paraId="06A94BE0" w14:textId="77777777">
        <w:tc>
          <w:tcPr>
            <w:tcW w:w="1171" w:type="dxa"/>
            <w:tcBorders>
              <w:bottom w:val="single" w:sz="4" w:space="0" w:color="auto"/>
            </w:tcBorders>
            <w:vAlign w:val="center"/>
          </w:tcPr>
          <w:p w14:paraId="06A94BDD" w14:textId="77777777" w:rsidR="00001B41" w:rsidRPr="00060053" w:rsidRDefault="00001B41" w:rsidP="00B05EAB">
            <w:pPr>
              <w:spacing w:line="264" w:lineRule="auto"/>
              <w:jc w:val="center"/>
              <w:rPr>
                <w:rFonts w:asciiTheme="majorHAnsi" w:hAnsiTheme="majorHAnsi"/>
                <w:bCs/>
                <w:sz w:val="20"/>
              </w:rPr>
            </w:pPr>
            <w:r w:rsidRPr="00060053">
              <w:rPr>
                <w:rFonts w:asciiTheme="majorHAnsi" w:hAnsiTheme="majorHAnsi"/>
                <w:bCs/>
                <w:sz w:val="20"/>
              </w:rPr>
              <w:t>1</w:t>
            </w:r>
            <w:r w:rsidR="009876D2" w:rsidRPr="00060053">
              <w:rPr>
                <w:rFonts w:asciiTheme="majorHAnsi" w:hAnsiTheme="majorHAnsi"/>
                <w:bCs/>
                <w:sz w:val="20"/>
              </w:rPr>
              <w:t>1</w:t>
            </w:r>
          </w:p>
        </w:tc>
        <w:tc>
          <w:tcPr>
            <w:tcW w:w="3670" w:type="dxa"/>
            <w:tcBorders>
              <w:bottom w:val="single" w:sz="4" w:space="0" w:color="auto"/>
            </w:tcBorders>
            <w:vAlign w:val="center"/>
          </w:tcPr>
          <w:p w14:paraId="06A94BDE" w14:textId="77777777" w:rsidR="00001B41" w:rsidRPr="00060053" w:rsidRDefault="00001B41" w:rsidP="00B05EAB">
            <w:pPr>
              <w:spacing w:line="264" w:lineRule="auto"/>
              <w:rPr>
                <w:rFonts w:asciiTheme="majorHAnsi" w:hAnsiTheme="majorHAnsi"/>
                <w:bCs/>
                <w:sz w:val="20"/>
              </w:rPr>
            </w:pPr>
            <w:r w:rsidRPr="00060053">
              <w:rPr>
                <w:rFonts w:asciiTheme="majorHAnsi" w:hAnsiTheme="majorHAnsi"/>
                <w:bCs/>
                <w:sz w:val="20"/>
              </w:rPr>
              <w:t>Detalle de Viajes y Capacitación</w:t>
            </w:r>
          </w:p>
        </w:tc>
        <w:tc>
          <w:tcPr>
            <w:tcW w:w="4515" w:type="dxa"/>
            <w:tcBorders>
              <w:bottom w:val="single" w:sz="4" w:space="0" w:color="auto"/>
            </w:tcBorders>
            <w:vAlign w:val="center"/>
          </w:tcPr>
          <w:p w14:paraId="06A94BDF" w14:textId="1CBD2B3A" w:rsidR="00001B41" w:rsidRPr="00060053" w:rsidRDefault="00981E42" w:rsidP="00981E42">
            <w:pPr>
              <w:spacing w:line="264" w:lineRule="auto"/>
              <w:jc w:val="both"/>
              <w:rPr>
                <w:rFonts w:asciiTheme="majorHAnsi" w:hAnsiTheme="majorHAnsi"/>
                <w:bCs/>
                <w:sz w:val="20"/>
              </w:rPr>
            </w:pPr>
            <w:r>
              <w:rPr>
                <w:rFonts w:asciiTheme="majorHAnsi" w:hAnsiTheme="majorHAnsi"/>
                <w:bCs/>
                <w:sz w:val="20"/>
              </w:rPr>
              <w:t>Detalle de los v</w:t>
            </w:r>
            <w:r w:rsidR="00001B41" w:rsidRPr="00060053">
              <w:rPr>
                <w:rFonts w:asciiTheme="majorHAnsi" w:hAnsiTheme="majorHAnsi"/>
                <w:bCs/>
                <w:sz w:val="20"/>
              </w:rPr>
              <w:t>iajes oficiales y de capacitación.</w:t>
            </w:r>
          </w:p>
        </w:tc>
      </w:tr>
    </w:tbl>
    <w:p w14:paraId="06A94BE5" w14:textId="77777777" w:rsidR="00F53525" w:rsidRPr="00060053" w:rsidRDefault="00F53525" w:rsidP="00F53525">
      <w:pPr>
        <w:jc w:val="both"/>
        <w:rPr>
          <w:rFonts w:asciiTheme="majorHAnsi" w:hAnsiTheme="majorHAnsi"/>
        </w:rPr>
      </w:pPr>
    </w:p>
    <w:p w14:paraId="06A94BE6" w14:textId="77777777" w:rsidR="00CC7101" w:rsidRPr="00060053" w:rsidRDefault="00CC7101" w:rsidP="00313203">
      <w:pPr>
        <w:pStyle w:val="NormalWeb"/>
        <w:jc w:val="both"/>
        <w:rPr>
          <w:rFonts w:asciiTheme="majorHAnsi" w:hAnsiTheme="majorHAnsi"/>
        </w:rPr>
        <w:sectPr w:rsidR="00CC7101" w:rsidRPr="00060053" w:rsidSect="00710882">
          <w:footerReference w:type="even" r:id="rId37"/>
          <w:footerReference w:type="default" r:id="rId38"/>
          <w:pgSz w:w="12242" w:h="15842" w:code="1"/>
          <w:pgMar w:top="1418" w:right="1701" w:bottom="1418" w:left="1418" w:header="709" w:footer="709" w:gutter="0"/>
          <w:cols w:space="708"/>
          <w:docGrid w:linePitch="360"/>
        </w:sectPr>
      </w:pPr>
    </w:p>
    <w:p w14:paraId="06A94BE7" w14:textId="77777777" w:rsidR="00313203" w:rsidRPr="00060053" w:rsidRDefault="00313203" w:rsidP="00D460C2">
      <w:pPr>
        <w:pStyle w:val="NormalWeb"/>
        <w:jc w:val="both"/>
        <w:outlineLvl w:val="1"/>
        <w:rPr>
          <w:rFonts w:asciiTheme="majorHAnsi" w:hAnsiTheme="majorHAnsi" w:cs="Tahoma"/>
          <w:b/>
          <w:bCs/>
          <w:sz w:val="22"/>
          <w:szCs w:val="22"/>
        </w:rPr>
      </w:pPr>
      <w:bookmarkStart w:id="52" w:name="_Toc429563205"/>
      <w:r w:rsidRPr="00060053">
        <w:rPr>
          <w:rFonts w:asciiTheme="majorHAnsi" w:hAnsiTheme="majorHAnsi" w:cs="Tahoma"/>
          <w:b/>
          <w:bCs/>
          <w:sz w:val="22"/>
          <w:szCs w:val="22"/>
          <w:lang w:val="es-ES_tradnl"/>
        </w:rPr>
        <w:lastRenderedPageBreak/>
        <w:t>2.</w:t>
      </w:r>
      <w:r w:rsidR="00D901A3" w:rsidRPr="00060053">
        <w:rPr>
          <w:rFonts w:asciiTheme="majorHAnsi" w:hAnsiTheme="majorHAnsi" w:cs="Tahoma"/>
          <w:b/>
          <w:bCs/>
          <w:sz w:val="22"/>
          <w:szCs w:val="22"/>
          <w:lang w:val="es-ES_tradnl"/>
        </w:rPr>
        <w:t>5</w:t>
      </w:r>
      <w:r w:rsidR="00D460C2">
        <w:rPr>
          <w:rFonts w:asciiTheme="majorHAnsi" w:hAnsiTheme="majorHAnsi" w:cs="Tahoma"/>
          <w:b/>
          <w:bCs/>
          <w:sz w:val="22"/>
          <w:szCs w:val="22"/>
          <w:lang w:val="es-ES_tradnl"/>
        </w:rPr>
        <w:tab/>
      </w:r>
      <w:r w:rsidRPr="00060053">
        <w:rPr>
          <w:rFonts w:asciiTheme="majorHAnsi" w:hAnsiTheme="majorHAnsi" w:cs="Tahoma"/>
          <w:b/>
          <w:bCs/>
          <w:sz w:val="22"/>
          <w:szCs w:val="22"/>
          <w:lang w:val="es-ES_tradnl"/>
        </w:rPr>
        <w:t>Plan de Inversiones y Justificación de Partidas</w:t>
      </w:r>
      <w:r w:rsidRPr="00060053">
        <w:rPr>
          <w:rFonts w:asciiTheme="majorHAnsi" w:hAnsiTheme="majorHAnsi" w:cs="Tahoma"/>
          <w:b/>
          <w:bCs/>
          <w:sz w:val="22"/>
          <w:szCs w:val="22"/>
        </w:rPr>
        <w:t>.</w:t>
      </w:r>
      <w:bookmarkEnd w:id="52"/>
    </w:p>
    <w:p w14:paraId="4808DEF3" w14:textId="22DBE3C9" w:rsidR="00872DE3" w:rsidRDefault="00186954" w:rsidP="00F85993">
      <w:pPr>
        <w:pStyle w:val="NormalWeb"/>
        <w:spacing w:before="0" w:beforeAutospacing="0" w:after="0" w:afterAutospacing="0"/>
        <w:jc w:val="both"/>
        <w:rPr>
          <w:rFonts w:asciiTheme="majorHAnsi" w:hAnsiTheme="majorHAnsi" w:cs="Tahoma"/>
          <w:bCs/>
          <w:sz w:val="22"/>
          <w:szCs w:val="22"/>
        </w:rPr>
      </w:pPr>
      <w:r w:rsidRPr="00060053">
        <w:rPr>
          <w:rFonts w:asciiTheme="majorHAnsi" w:hAnsiTheme="majorHAnsi" w:cs="Tahoma"/>
          <w:bCs/>
          <w:sz w:val="22"/>
          <w:szCs w:val="22"/>
        </w:rPr>
        <w:t>En el siguiente cuadro se presenta u</w:t>
      </w:r>
      <w:r w:rsidR="00C54EC2" w:rsidRPr="00060053">
        <w:rPr>
          <w:rFonts w:asciiTheme="majorHAnsi" w:hAnsiTheme="majorHAnsi" w:cs="Tahoma"/>
          <w:bCs/>
          <w:sz w:val="22"/>
          <w:szCs w:val="22"/>
        </w:rPr>
        <w:t>n detalle de la</w:t>
      </w:r>
      <w:r w:rsidRPr="00060053">
        <w:rPr>
          <w:rFonts w:asciiTheme="majorHAnsi" w:hAnsiTheme="majorHAnsi" w:cs="Tahoma"/>
          <w:bCs/>
          <w:sz w:val="22"/>
          <w:szCs w:val="22"/>
        </w:rPr>
        <w:t xml:space="preserve">s inversiones programadas para el año </w:t>
      </w:r>
      <w:r w:rsidR="005420BB" w:rsidRPr="00060053">
        <w:rPr>
          <w:rFonts w:asciiTheme="majorHAnsi" w:hAnsiTheme="majorHAnsi" w:cs="Tahoma"/>
          <w:bCs/>
          <w:sz w:val="22"/>
          <w:szCs w:val="22"/>
        </w:rPr>
        <w:t>20</w:t>
      </w:r>
      <w:r w:rsidR="00576A57" w:rsidRPr="00060053">
        <w:rPr>
          <w:rFonts w:asciiTheme="majorHAnsi" w:hAnsiTheme="majorHAnsi" w:cs="Tahoma"/>
          <w:bCs/>
          <w:sz w:val="22"/>
          <w:szCs w:val="22"/>
        </w:rPr>
        <w:t>1</w:t>
      </w:r>
      <w:r w:rsidR="00872DE3">
        <w:rPr>
          <w:rFonts w:asciiTheme="majorHAnsi" w:hAnsiTheme="majorHAnsi" w:cs="Tahoma"/>
          <w:bCs/>
          <w:sz w:val="22"/>
          <w:szCs w:val="22"/>
        </w:rPr>
        <w:t>7</w:t>
      </w:r>
    </w:p>
    <w:p w14:paraId="06A94BE8" w14:textId="175DFDC0" w:rsidR="00186954" w:rsidRPr="00981E42" w:rsidRDefault="00872DE3" w:rsidP="00F85993">
      <w:pPr>
        <w:pStyle w:val="NormalWeb"/>
        <w:spacing w:before="0" w:beforeAutospacing="0" w:after="0" w:afterAutospacing="0"/>
        <w:jc w:val="both"/>
        <w:rPr>
          <w:rFonts w:asciiTheme="majorHAnsi" w:hAnsiTheme="majorHAnsi" w:cs="Tahoma"/>
          <w:bCs/>
          <w:color w:val="1F497D" w:themeColor="text2"/>
          <w:sz w:val="22"/>
          <w:szCs w:val="22"/>
        </w:rPr>
      </w:pPr>
      <w:r>
        <w:rPr>
          <w:rFonts w:asciiTheme="majorHAnsi" w:hAnsiTheme="majorHAnsi" w:cs="Tahoma"/>
          <w:bCs/>
          <w:sz w:val="22"/>
          <w:szCs w:val="22"/>
        </w:rPr>
        <w:t xml:space="preserve"> </w:t>
      </w:r>
    </w:p>
    <w:p w14:paraId="68BE534F" w14:textId="082CA30A" w:rsidR="00872DE3" w:rsidRDefault="006C1EEE" w:rsidP="004D404F">
      <w:pPr>
        <w:pStyle w:val="NormalWeb"/>
        <w:spacing w:before="0" w:beforeAutospacing="0" w:after="0" w:afterAutospacing="0"/>
        <w:jc w:val="center"/>
        <w:rPr>
          <w:rFonts w:asciiTheme="majorHAnsi" w:hAnsiTheme="majorHAnsi"/>
        </w:rPr>
      </w:pPr>
      <w:r>
        <w:rPr>
          <w:rFonts w:asciiTheme="majorHAnsi" w:hAnsiTheme="majorHAnsi"/>
          <w:b/>
        </w:rPr>
        <w:t>Cuadro 11</w:t>
      </w:r>
      <w:r w:rsidR="009E074D">
        <w:rPr>
          <w:rFonts w:asciiTheme="majorHAnsi" w:hAnsiTheme="majorHAnsi"/>
          <w:b/>
        </w:rPr>
        <w:t xml:space="preserve">: </w:t>
      </w:r>
    </w:p>
    <w:p w14:paraId="02C5871C" w14:textId="16543B00" w:rsidR="005215FE" w:rsidRDefault="00A178EE" w:rsidP="004D404F">
      <w:pPr>
        <w:pStyle w:val="NormalWeb"/>
        <w:spacing w:before="0" w:beforeAutospacing="0" w:after="0" w:afterAutospacing="0"/>
        <w:jc w:val="center"/>
        <w:rPr>
          <w:rFonts w:asciiTheme="majorHAnsi" w:hAnsiTheme="majorHAnsi"/>
        </w:rPr>
      </w:pPr>
      <w:r w:rsidRPr="00A178EE">
        <w:rPr>
          <w:noProof/>
        </w:rPr>
        <w:drawing>
          <wp:inline distT="0" distB="0" distL="0" distR="0" wp14:anchorId="5E44D8CE" wp14:editId="318A23C3">
            <wp:extent cx="8258810" cy="3713272"/>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58810" cy="3713272"/>
                    </a:xfrm>
                    <a:prstGeom prst="rect">
                      <a:avLst/>
                    </a:prstGeom>
                    <a:noFill/>
                    <a:ln>
                      <a:noFill/>
                    </a:ln>
                  </pic:spPr>
                </pic:pic>
              </a:graphicData>
            </a:graphic>
          </wp:inline>
        </w:drawing>
      </w:r>
    </w:p>
    <w:p w14:paraId="33777A5E" w14:textId="77777777" w:rsidR="00A178EE" w:rsidRDefault="00A178EE" w:rsidP="004D404F">
      <w:pPr>
        <w:pStyle w:val="NormalWeb"/>
        <w:spacing w:before="0" w:beforeAutospacing="0" w:after="0" w:afterAutospacing="0"/>
        <w:jc w:val="center"/>
        <w:rPr>
          <w:rFonts w:asciiTheme="majorHAnsi" w:hAnsiTheme="majorHAnsi"/>
        </w:rPr>
      </w:pPr>
    </w:p>
    <w:p w14:paraId="4E8C77A0" w14:textId="77777777" w:rsidR="00A178EE" w:rsidRPr="00060053" w:rsidRDefault="00A178EE" w:rsidP="004D404F">
      <w:pPr>
        <w:pStyle w:val="NormalWeb"/>
        <w:spacing w:before="0" w:beforeAutospacing="0" w:after="0" w:afterAutospacing="0"/>
        <w:jc w:val="center"/>
        <w:rPr>
          <w:rFonts w:asciiTheme="majorHAnsi" w:hAnsiTheme="majorHAnsi"/>
        </w:rPr>
        <w:sectPr w:rsidR="00A178EE" w:rsidRPr="00060053" w:rsidSect="00CC7101">
          <w:pgSz w:w="15842" w:h="12242" w:orient="landscape" w:code="1"/>
          <w:pgMar w:top="1701" w:right="1418" w:bottom="1701" w:left="1418" w:header="709" w:footer="709" w:gutter="0"/>
          <w:cols w:space="708"/>
          <w:docGrid w:linePitch="360"/>
        </w:sectPr>
      </w:pPr>
    </w:p>
    <w:p w14:paraId="06A94C6D" w14:textId="295B19D1" w:rsidR="00313203" w:rsidRPr="00060053" w:rsidRDefault="00313203" w:rsidP="009E2A71">
      <w:pPr>
        <w:pStyle w:val="NormalWeb"/>
        <w:jc w:val="both"/>
        <w:outlineLvl w:val="1"/>
        <w:rPr>
          <w:rFonts w:asciiTheme="majorHAnsi" w:hAnsiTheme="majorHAnsi" w:cs="Tahoma"/>
          <w:b/>
          <w:bCs/>
          <w:sz w:val="22"/>
          <w:szCs w:val="22"/>
        </w:rPr>
      </w:pPr>
      <w:bookmarkStart w:id="53" w:name="_Toc429563206"/>
      <w:r w:rsidRPr="00060053">
        <w:rPr>
          <w:rFonts w:asciiTheme="majorHAnsi" w:hAnsiTheme="majorHAnsi" w:cs="Tahoma"/>
          <w:b/>
          <w:bCs/>
          <w:sz w:val="22"/>
          <w:szCs w:val="22"/>
          <w:lang w:val="es-ES_tradnl"/>
        </w:rPr>
        <w:lastRenderedPageBreak/>
        <w:t>2.</w:t>
      </w:r>
      <w:r w:rsidR="00D901A3" w:rsidRPr="00060053">
        <w:rPr>
          <w:rFonts w:asciiTheme="majorHAnsi" w:hAnsiTheme="majorHAnsi" w:cs="Tahoma"/>
          <w:b/>
          <w:bCs/>
          <w:sz w:val="22"/>
          <w:szCs w:val="22"/>
          <w:lang w:val="es-ES_tradnl"/>
        </w:rPr>
        <w:t>6</w:t>
      </w:r>
      <w:r w:rsidR="00D460C2">
        <w:rPr>
          <w:rFonts w:asciiTheme="majorHAnsi" w:hAnsiTheme="majorHAnsi" w:cs="Tahoma"/>
          <w:b/>
          <w:bCs/>
          <w:sz w:val="22"/>
          <w:szCs w:val="22"/>
          <w:lang w:val="es-ES_tradnl"/>
        </w:rPr>
        <w:tab/>
      </w:r>
      <w:r w:rsidRPr="00060053">
        <w:rPr>
          <w:rFonts w:asciiTheme="majorHAnsi" w:hAnsiTheme="majorHAnsi" w:cs="Tahoma"/>
          <w:b/>
          <w:bCs/>
          <w:sz w:val="22"/>
          <w:szCs w:val="22"/>
          <w:lang w:val="es-ES_tradnl"/>
        </w:rPr>
        <w:t>Plan de Capacitación Institucional</w:t>
      </w:r>
      <w:bookmarkEnd w:id="53"/>
    </w:p>
    <w:p w14:paraId="06A94C6E" w14:textId="77777777" w:rsidR="000B7F28" w:rsidRPr="00060053" w:rsidRDefault="00313203" w:rsidP="009E2A71">
      <w:pPr>
        <w:pStyle w:val="NormalWeb"/>
        <w:jc w:val="both"/>
        <w:rPr>
          <w:rFonts w:asciiTheme="majorHAnsi" w:hAnsiTheme="majorHAnsi"/>
          <w:sz w:val="22"/>
          <w:szCs w:val="22"/>
        </w:rPr>
      </w:pPr>
      <w:r w:rsidRPr="00060053">
        <w:rPr>
          <w:rFonts w:asciiTheme="majorHAnsi" w:hAnsiTheme="majorHAnsi"/>
          <w:sz w:val="22"/>
          <w:szCs w:val="22"/>
        </w:rPr>
        <w:t xml:space="preserve">En la sección denominada “documentos” se incluye copia del </w:t>
      </w:r>
      <w:r w:rsidR="000B7F28" w:rsidRPr="00060053">
        <w:rPr>
          <w:rFonts w:asciiTheme="majorHAnsi" w:hAnsiTheme="majorHAnsi"/>
          <w:sz w:val="22"/>
          <w:szCs w:val="22"/>
        </w:rPr>
        <w:t>Plan de Capacitación detallado.</w:t>
      </w:r>
    </w:p>
    <w:p w14:paraId="06A94C6F" w14:textId="02CF59F2" w:rsidR="00313203" w:rsidRPr="00060053" w:rsidRDefault="00313203" w:rsidP="009E2A71">
      <w:pPr>
        <w:pStyle w:val="NormalWeb"/>
        <w:jc w:val="both"/>
        <w:outlineLvl w:val="1"/>
        <w:rPr>
          <w:rFonts w:asciiTheme="majorHAnsi" w:hAnsiTheme="majorHAnsi" w:cs="Tahoma"/>
          <w:b/>
          <w:bCs/>
          <w:sz w:val="22"/>
          <w:szCs w:val="22"/>
        </w:rPr>
      </w:pPr>
      <w:bookmarkStart w:id="54" w:name="_Toc429563207"/>
      <w:r w:rsidRPr="00060053">
        <w:rPr>
          <w:rFonts w:asciiTheme="majorHAnsi" w:hAnsiTheme="majorHAnsi" w:cs="Tahoma"/>
          <w:b/>
          <w:bCs/>
          <w:sz w:val="22"/>
          <w:szCs w:val="22"/>
          <w:lang w:val="es-ES_tradnl"/>
        </w:rPr>
        <w:t>2.</w:t>
      </w:r>
      <w:r w:rsidR="00D901A3" w:rsidRPr="00060053">
        <w:rPr>
          <w:rFonts w:asciiTheme="majorHAnsi" w:hAnsiTheme="majorHAnsi" w:cs="Tahoma"/>
          <w:b/>
          <w:bCs/>
          <w:sz w:val="22"/>
          <w:szCs w:val="22"/>
          <w:lang w:val="es-ES_tradnl"/>
        </w:rPr>
        <w:t>7</w:t>
      </w:r>
      <w:r w:rsidR="00D460C2">
        <w:rPr>
          <w:rFonts w:asciiTheme="majorHAnsi" w:hAnsiTheme="majorHAnsi" w:cs="Tahoma"/>
          <w:b/>
          <w:bCs/>
          <w:sz w:val="22"/>
          <w:szCs w:val="22"/>
          <w:lang w:val="es-ES_tradnl"/>
        </w:rPr>
        <w:tab/>
      </w:r>
      <w:r w:rsidRPr="00060053">
        <w:rPr>
          <w:rFonts w:asciiTheme="majorHAnsi" w:hAnsiTheme="majorHAnsi" w:cs="Tahoma"/>
          <w:b/>
          <w:bCs/>
          <w:sz w:val="22"/>
          <w:szCs w:val="22"/>
          <w:lang w:val="es-ES_tradnl"/>
        </w:rPr>
        <w:t>Plan Estratégico Informático</w:t>
      </w:r>
      <w:r w:rsidR="00E61325">
        <w:rPr>
          <w:rFonts w:asciiTheme="majorHAnsi" w:hAnsiTheme="majorHAnsi" w:cs="Tahoma"/>
          <w:b/>
          <w:bCs/>
          <w:sz w:val="22"/>
          <w:szCs w:val="22"/>
          <w:lang w:val="es-ES_tradnl"/>
        </w:rPr>
        <w:t xml:space="preserve"> </w:t>
      </w:r>
      <w:r w:rsidR="00872DE3">
        <w:rPr>
          <w:rFonts w:asciiTheme="majorHAnsi" w:hAnsiTheme="majorHAnsi" w:cs="Tahoma"/>
          <w:b/>
          <w:bCs/>
          <w:sz w:val="22"/>
          <w:szCs w:val="22"/>
          <w:lang w:val="es-ES_tradnl"/>
        </w:rPr>
        <w:t>en con</w:t>
      </w:r>
      <w:r w:rsidR="00E61325">
        <w:rPr>
          <w:rFonts w:asciiTheme="majorHAnsi" w:hAnsiTheme="majorHAnsi" w:cs="Tahoma"/>
          <w:b/>
          <w:bCs/>
          <w:sz w:val="22"/>
          <w:szCs w:val="22"/>
          <w:lang w:val="es-ES_tradnl"/>
        </w:rPr>
        <w:t>junto con la BCCR</w:t>
      </w:r>
      <w:bookmarkEnd w:id="54"/>
    </w:p>
    <w:p w14:paraId="06A94C70" w14:textId="77777777" w:rsidR="00313203" w:rsidRPr="00060053" w:rsidRDefault="00313203" w:rsidP="009E2A71">
      <w:pPr>
        <w:pStyle w:val="NormalWeb"/>
        <w:jc w:val="both"/>
        <w:rPr>
          <w:rFonts w:asciiTheme="majorHAnsi" w:hAnsiTheme="majorHAnsi"/>
          <w:sz w:val="22"/>
          <w:szCs w:val="22"/>
        </w:rPr>
      </w:pPr>
      <w:r w:rsidRPr="00060053">
        <w:rPr>
          <w:rFonts w:asciiTheme="majorHAnsi" w:hAnsiTheme="majorHAnsi"/>
          <w:sz w:val="22"/>
          <w:szCs w:val="22"/>
        </w:rPr>
        <w:t>En la sección denominada “documentos” se adjunta copia del Plan Estratégico Informático.</w:t>
      </w:r>
    </w:p>
    <w:p w14:paraId="06A94C71" w14:textId="77777777" w:rsidR="00F53525" w:rsidRPr="00060053" w:rsidRDefault="001415B5" w:rsidP="009E2A71">
      <w:pPr>
        <w:pStyle w:val="NormalWeb"/>
        <w:jc w:val="both"/>
        <w:outlineLvl w:val="1"/>
        <w:rPr>
          <w:rFonts w:asciiTheme="majorHAnsi" w:hAnsiTheme="majorHAnsi" w:cs="Tahoma"/>
          <w:b/>
          <w:bCs/>
          <w:sz w:val="22"/>
          <w:szCs w:val="22"/>
          <w:lang w:val="es-ES_tradnl"/>
        </w:rPr>
      </w:pPr>
      <w:bookmarkStart w:id="55" w:name="_Toc429563208"/>
      <w:r w:rsidRPr="001539D9">
        <w:rPr>
          <w:rFonts w:asciiTheme="majorHAnsi" w:hAnsiTheme="majorHAnsi" w:cs="Tahoma"/>
          <w:b/>
          <w:bCs/>
          <w:sz w:val="22"/>
          <w:szCs w:val="22"/>
          <w:lang w:val="es-ES_tradnl"/>
        </w:rPr>
        <w:t>2.</w:t>
      </w:r>
      <w:r w:rsidR="00D901A3" w:rsidRPr="001539D9">
        <w:rPr>
          <w:rFonts w:asciiTheme="majorHAnsi" w:hAnsiTheme="majorHAnsi" w:cs="Tahoma"/>
          <w:b/>
          <w:bCs/>
          <w:sz w:val="22"/>
          <w:szCs w:val="22"/>
          <w:lang w:val="es-ES_tradnl"/>
        </w:rPr>
        <w:t>8</w:t>
      </w:r>
      <w:r w:rsidR="00D460C2" w:rsidRPr="001539D9">
        <w:rPr>
          <w:rFonts w:asciiTheme="majorHAnsi" w:hAnsiTheme="majorHAnsi" w:cs="Tahoma"/>
          <w:b/>
          <w:bCs/>
          <w:sz w:val="22"/>
          <w:szCs w:val="22"/>
          <w:lang w:val="es-ES_tradnl"/>
        </w:rPr>
        <w:tab/>
      </w:r>
      <w:r w:rsidRPr="001539D9">
        <w:rPr>
          <w:rFonts w:asciiTheme="majorHAnsi" w:hAnsiTheme="majorHAnsi" w:cs="Tahoma"/>
          <w:b/>
          <w:bCs/>
          <w:sz w:val="22"/>
          <w:szCs w:val="22"/>
          <w:lang w:val="es-ES_tradnl"/>
        </w:rPr>
        <w:t>Estructura de Puestos</w:t>
      </w:r>
      <w:bookmarkEnd w:id="55"/>
    </w:p>
    <w:p w14:paraId="06A94C72" w14:textId="438337BC" w:rsidR="001415B5" w:rsidRDefault="001415B5" w:rsidP="00872DE3">
      <w:pPr>
        <w:pStyle w:val="Textoindependiente3"/>
        <w:spacing w:after="0"/>
        <w:jc w:val="both"/>
        <w:rPr>
          <w:rFonts w:asciiTheme="majorHAnsi" w:hAnsiTheme="majorHAnsi"/>
          <w:bCs/>
          <w:sz w:val="22"/>
          <w:szCs w:val="22"/>
        </w:rPr>
      </w:pPr>
      <w:r w:rsidRPr="00060053">
        <w:rPr>
          <w:rFonts w:asciiTheme="majorHAnsi" w:hAnsiTheme="majorHAnsi"/>
          <w:bCs/>
          <w:sz w:val="22"/>
          <w:szCs w:val="22"/>
        </w:rPr>
        <w:t>Adicionalmente, a efectos de identificar la composición de la estructura de plazas, según la categorización de puestos señalada en el Manual de Acti</w:t>
      </w:r>
      <w:r w:rsidR="00A82CA6">
        <w:rPr>
          <w:rFonts w:asciiTheme="majorHAnsi" w:hAnsiTheme="majorHAnsi"/>
          <w:bCs/>
          <w:sz w:val="22"/>
          <w:szCs w:val="22"/>
        </w:rPr>
        <w:t>vidades Ocupacionales del BCCR</w:t>
      </w:r>
      <w:r w:rsidRPr="00060053">
        <w:rPr>
          <w:rFonts w:asciiTheme="majorHAnsi" w:hAnsiTheme="majorHAnsi"/>
          <w:bCs/>
          <w:sz w:val="22"/>
          <w:szCs w:val="22"/>
        </w:rPr>
        <w:t>, se está utilizando la siguiente nomenclatura a efectos de presentar en el cuadro adjunto la estructura de</w:t>
      </w:r>
      <w:r w:rsidR="008A2932" w:rsidRPr="00060053">
        <w:rPr>
          <w:rFonts w:asciiTheme="majorHAnsi" w:hAnsiTheme="majorHAnsi"/>
          <w:bCs/>
          <w:sz w:val="22"/>
          <w:szCs w:val="22"/>
        </w:rPr>
        <w:t xml:space="preserve"> puestos por instancias</w:t>
      </w:r>
      <w:r w:rsidRPr="00060053">
        <w:rPr>
          <w:rFonts w:asciiTheme="majorHAnsi" w:hAnsiTheme="majorHAnsi"/>
          <w:bCs/>
          <w:sz w:val="22"/>
          <w:szCs w:val="22"/>
        </w:rPr>
        <w:t>:</w:t>
      </w:r>
    </w:p>
    <w:p w14:paraId="6F313ACE" w14:textId="77777777" w:rsidR="00872DE3" w:rsidRDefault="00872DE3" w:rsidP="00872DE3">
      <w:pPr>
        <w:pStyle w:val="Textoindependiente3"/>
        <w:spacing w:after="0"/>
        <w:jc w:val="both"/>
        <w:rPr>
          <w:rFonts w:asciiTheme="majorHAnsi" w:hAnsiTheme="majorHAnsi"/>
          <w:bCs/>
          <w:sz w:val="22"/>
          <w:szCs w:val="22"/>
        </w:rPr>
      </w:pPr>
    </w:p>
    <w:p w14:paraId="06A94C73" w14:textId="4DF67747" w:rsidR="00576A57" w:rsidRPr="00060053" w:rsidRDefault="00872DE3" w:rsidP="00872DE3">
      <w:pPr>
        <w:pStyle w:val="Textoindependiente3"/>
        <w:spacing w:after="0"/>
        <w:jc w:val="center"/>
        <w:rPr>
          <w:rFonts w:asciiTheme="majorHAnsi" w:hAnsiTheme="majorHAnsi"/>
          <w:bCs/>
          <w:sz w:val="22"/>
          <w:szCs w:val="22"/>
        </w:rPr>
      </w:pPr>
      <w:r w:rsidRPr="00872DE3">
        <w:rPr>
          <w:rFonts w:asciiTheme="majorHAnsi" w:hAnsiTheme="majorHAnsi"/>
          <w:b/>
          <w:bCs/>
          <w:sz w:val="22"/>
          <w:szCs w:val="22"/>
        </w:rPr>
        <w:t xml:space="preserve">Cuadro </w:t>
      </w:r>
      <w:r w:rsidR="006C1EEE">
        <w:rPr>
          <w:rFonts w:asciiTheme="majorHAnsi" w:hAnsiTheme="majorHAnsi"/>
          <w:b/>
          <w:bCs/>
          <w:sz w:val="22"/>
          <w:szCs w:val="22"/>
        </w:rPr>
        <w:t>12</w:t>
      </w:r>
      <w:r>
        <w:rPr>
          <w:rFonts w:asciiTheme="majorHAnsi" w:hAnsiTheme="majorHAnsi"/>
          <w:bCs/>
          <w:sz w:val="22"/>
          <w:szCs w:val="22"/>
        </w:rPr>
        <w:t>: Estructura de plazas por categoría</w:t>
      </w:r>
    </w:p>
    <w:tbl>
      <w:tblPr>
        <w:tblW w:w="8395" w:type="dxa"/>
        <w:tblInd w:w="354" w:type="dxa"/>
        <w:tblCellMar>
          <w:left w:w="70" w:type="dxa"/>
          <w:right w:w="70" w:type="dxa"/>
        </w:tblCellMar>
        <w:tblLook w:val="0000" w:firstRow="0" w:lastRow="0" w:firstColumn="0" w:lastColumn="0" w:noHBand="0" w:noVBand="0"/>
      </w:tblPr>
      <w:tblGrid>
        <w:gridCol w:w="2000"/>
        <w:gridCol w:w="3165"/>
        <w:gridCol w:w="3230"/>
      </w:tblGrid>
      <w:tr w:rsidR="00DA3FF2" w:rsidRPr="00060053" w14:paraId="06A94C77" w14:textId="77777777" w:rsidTr="00E431C5">
        <w:trPr>
          <w:trHeight w:val="540"/>
        </w:trPr>
        <w:tc>
          <w:tcPr>
            <w:tcW w:w="200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06A94C74" w14:textId="77777777" w:rsidR="00DA3FF2" w:rsidRPr="00060053" w:rsidRDefault="00DA3FF2">
            <w:pPr>
              <w:jc w:val="center"/>
              <w:rPr>
                <w:rFonts w:asciiTheme="minorHAnsi" w:hAnsiTheme="minorHAnsi" w:cs="Arial"/>
                <w:b/>
                <w:bCs/>
                <w:sz w:val="20"/>
                <w:szCs w:val="20"/>
              </w:rPr>
            </w:pPr>
            <w:r w:rsidRPr="00060053">
              <w:rPr>
                <w:rFonts w:asciiTheme="minorHAnsi" w:hAnsiTheme="minorHAnsi" w:cs="Arial"/>
                <w:b/>
                <w:bCs/>
                <w:sz w:val="20"/>
                <w:szCs w:val="20"/>
              </w:rPr>
              <w:t>CATEGORIA</w:t>
            </w:r>
          </w:p>
        </w:tc>
        <w:tc>
          <w:tcPr>
            <w:tcW w:w="3165"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5" w14:textId="77777777" w:rsidR="00DA3FF2" w:rsidRPr="00060053" w:rsidRDefault="00DA3FF2">
            <w:pPr>
              <w:jc w:val="center"/>
              <w:rPr>
                <w:rFonts w:asciiTheme="minorHAnsi" w:hAnsiTheme="minorHAnsi" w:cs="Arial"/>
                <w:b/>
                <w:bCs/>
                <w:sz w:val="20"/>
                <w:szCs w:val="20"/>
              </w:rPr>
            </w:pPr>
            <w:r w:rsidRPr="00060053">
              <w:rPr>
                <w:rFonts w:asciiTheme="minorHAnsi" w:hAnsiTheme="minorHAnsi" w:cs="Arial"/>
                <w:b/>
                <w:bCs/>
                <w:sz w:val="20"/>
                <w:szCs w:val="20"/>
              </w:rPr>
              <w:t>NIVEL</w:t>
            </w:r>
          </w:p>
        </w:tc>
        <w:tc>
          <w:tcPr>
            <w:tcW w:w="3230" w:type="dxa"/>
            <w:tcBorders>
              <w:top w:val="single" w:sz="8" w:space="0" w:color="auto"/>
              <w:left w:val="nil"/>
              <w:bottom w:val="single" w:sz="8" w:space="0" w:color="auto"/>
              <w:right w:val="single" w:sz="8" w:space="0" w:color="auto"/>
            </w:tcBorders>
            <w:shd w:val="clear" w:color="auto" w:fill="DBE5F1" w:themeFill="accent1" w:themeFillTint="33"/>
            <w:vAlign w:val="center"/>
          </w:tcPr>
          <w:p w14:paraId="06A94C76" w14:textId="77777777" w:rsidR="00DA3FF2" w:rsidRPr="00060053" w:rsidRDefault="00DA3FF2">
            <w:pPr>
              <w:jc w:val="center"/>
              <w:rPr>
                <w:rFonts w:asciiTheme="minorHAnsi" w:hAnsiTheme="minorHAnsi" w:cs="Arial"/>
                <w:b/>
                <w:bCs/>
                <w:sz w:val="20"/>
                <w:szCs w:val="20"/>
              </w:rPr>
            </w:pPr>
            <w:r w:rsidRPr="00060053">
              <w:rPr>
                <w:rFonts w:asciiTheme="minorHAnsi" w:hAnsiTheme="minorHAnsi" w:cs="Arial"/>
                <w:b/>
                <w:bCs/>
                <w:sz w:val="20"/>
                <w:szCs w:val="20"/>
              </w:rPr>
              <w:t>PUESTO</w:t>
            </w:r>
          </w:p>
        </w:tc>
      </w:tr>
      <w:tr w:rsidR="00DA3FF2" w:rsidRPr="00060053" w14:paraId="06A94C7B" w14:textId="77777777" w:rsidTr="00E431C5">
        <w:trPr>
          <w:trHeight w:val="276"/>
        </w:trPr>
        <w:tc>
          <w:tcPr>
            <w:tcW w:w="2000" w:type="dxa"/>
            <w:tcBorders>
              <w:top w:val="single" w:sz="8" w:space="0" w:color="auto"/>
              <w:left w:val="single" w:sz="8" w:space="0" w:color="auto"/>
              <w:bottom w:val="single" w:sz="4" w:space="0" w:color="auto"/>
              <w:right w:val="single" w:sz="8" w:space="0" w:color="auto"/>
            </w:tcBorders>
            <w:shd w:val="clear" w:color="auto" w:fill="auto"/>
            <w:vAlign w:val="center"/>
          </w:tcPr>
          <w:p w14:paraId="06A94C7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Ejecutivo</w:t>
            </w:r>
          </w:p>
        </w:tc>
        <w:tc>
          <w:tcPr>
            <w:tcW w:w="316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79"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EJECUTIVO</w:t>
            </w:r>
          </w:p>
        </w:tc>
        <w:tc>
          <w:tcPr>
            <w:tcW w:w="3230" w:type="dxa"/>
            <w:tcBorders>
              <w:top w:val="single" w:sz="8" w:space="0" w:color="auto"/>
              <w:left w:val="nil"/>
              <w:bottom w:val="nil"/>
              <w:right w:val="single" w:sz="8" w:space="0" w:color="auto"/>
            </w:tcBorders>
            <w:shd w:val="clear" w:color="auto" w:fill="auto"/>
            <w:vAlign w:val="center"/>
          </w:tcPr>
          <w:p w14:paraId="06A94C7A"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Superintendente e Intendente</w:t>
            </w:r>
          </w:p>
        </w:tc>
      </w:tr>
      <w:tr w:rsidR="00DA3FF2" w:rsidRPr="00060053" w14:paraId="06A94C7F" w14:textId="77777777" w:rsidTr="00E431C5">
        <w:trPr>
          <w:trHeight w:val="276"/>
        </w:trPr>
        <w:tc>
          <w:tcPr>
            <w:tcW w:w="2000" w:type="dxa"/>
            <w:tcBorders>
              <w:top w:val="nil"/>
              <w:left w:val="single" w:sz="8" w:space="0" w:color="auto"/>
              <w:bottom w:val="nil"/>
              <w:right w:val="single" w:sz="8" w:space="0" w:color="auto"/>
            </w:tcBorders>
            <w:shd w:val="clear" w:color="auto" w:fill="auto"/>
            <w:vAlign w:val="center"/>
          </w:tcPr>
          <w:p w14:paraId="06A94C7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Auditor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7D" w14:textId="77777777" w:rsidR="00DA3FF2" w:rsidRPr="00060053" w:rsidRDefault="00DA3FF2">
            <w:pPr>
              <w:rPr>
                <w:rFonts w:asciiTheme="minorHAnsi" w:hAnsiTheme="minorHAnsi" w:cs="Arial"/>
                <w:sz w:val="18"/>
                <w:szCs w:val="18"/>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7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Auditor y Sub</w:t>
            </w:r>
            <w:r w:rsidR="00AB03EF" w:rsidRPr="00060053">
              <w:rPr>
                <w:rFonts w:asciiTheme="minorHAnsi" w:hAnsiTheme="minorHAnsi" w:cs="Arial"/>
                <w:sz w:val="16"/>
                <w:szCs w:val="16"/>
              </w:rPr>
              <w:t>-</w:t>
            </w:r>
            <w:r w:rsidRPr="00060053">
              <w:rPr>
                <w:rFonts w:asciiTheme="minorHAnsi" w:hAnsiTheme="minorHAnsi" w:cs="Arial"/>
                <w:sz w:val="16"/>
                <w:szCs w:val="16"/>
              </w:rPr>
              <w:t>auditor Interno</w:t>
            </w:r>
          </w:p>
        </w:tc>
      </w:tr>
      <w:tr w:rsidR="00DA3FF2" w:rsidRPr="00060053" w14:paraId="06A94C83" w14:textId="77777777" w:rsidTr="00E431C5">
        <w:trPr>
          <w:trHeight w:val="373"/>
        </w:trPr>
        <w:tc>
          <w:tcPr>
            <w:tcW w:w="2000" w:type="dxa"/>
            <w:tcBorders>
              <w:top w:val="single" w:sz="4" w:space="0" w:color="auto"/>
              <w:left w:val="single" w:sz="8" w:space="0" w:color="auto"/>
              <w:bottom w:val="single" w:sz="4" w:space="0" w:color="auto"/>
              <w:right w:val="single" w:sz="8" w:space="0" w:color="auto"/>
            </w:tcBorders>
            <w:shd w:val="clear" w:color="auto" w:fill="auto"/>
            <w:vAlign w:val="center"/>
          </w:tcPr>
          <w:p w14:paraId="06A94C8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1" w14:textId="77777777" w:rsidR="00DA3FF2" w:rsidRPr="00060053" w:rsidRDefault="00DA3FF2">
            <w:pPr>
              <w:rPr>
                <w:rFonts w:asciiTheme="minorHAnsi" w:hAnsiTheme="minorHAnsi" w:cs="Arial"/>
                <w:sz w:val="18"/>
                <w:szCs w:val="18"/>
              </w:rPr>
            </w:pPr>
          </w:p>
        </w:tc>
        <w:tc>
          <w:tcPr>
            <w:tcW w:w="3230" w:type="dxa"/>
            <w:tcBorders>
              <w:top w:val="nil"/>
              <w:left w:val="nil"/>
              <w:bottom w:val="nil"/>
              <w:right w:val="single" w:sz="8" w:space="0" w:color="auto"/>
            </w:tcBorders>
            <w:shd w:val="clear" w:color="auto" w:fill="auto"/>
            <w:vAlign w:val="center"/>
          </w:tcPr>
          <w:p w14:paraId="06A94C82"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Director General / Director de Supervisión</w:t>
            </w:r>
          </w:p>
        </w:tc>
      </w:tr>
      <w:tr w:rsidR="00DA3FF2" w:rsidRPr="00060053" w14:paraId="06A94C8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auto"/>
            <w:vAlign w:val="center"/>
          </w:tcPr>
          <w:p w14:paraId="06A94C8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PGB5</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5" w14:textId="77777777" w:rsidR="00DA3FF2" w:rsidRPr="00060053" w:rsidRDefault="00DA3FF2">
            <w:pPr>
              <w:rPr>
                <w:rFonts w:asciiTheme="minorHAnsi" w:hAnsiTheme="minorHAnsi" w:cs="Arial"/>
                <w:sz w:val="18"/>
                <w:szCs w:val="18"/>
              </w:rPr>
            </w:pPr>
          </w:p>
        </w:tc>
        <w:tc>
          <w:tcPr>
            <w:tcW w:w="3230" w:type="dxa"/>
            <w:tcBorders>
              <w:top w:val="single" w:sz="4" w:space="0" w:color="auto"/>
              <w:left w:val="nil"/>
              <w:bottom w:val="single" w:sz="4" w:space="0" w:color="auto"/>
              <w:right w:val="single" w:sz="8" w:space="0" w:color="auto"/>
            </w:tcBorders>
            <w:shd w:val="clear" w:color="auto" w:fill="auto"/>
            <w:vAlign w:val="center"/>
          </w:tcPr>
          <w:p w14:paraId="06A94C8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Asesor</w:t>
            </w:r>
          </w:p>
        </w:tc>
      </w:tr>
      <w:tr w:rsidR="00DA3FF2" w:rsidRPr="00060053" w14:paraId="06A94C8B" w14:textId="77777777" w:rsidTr="00E431C5">
        <w:trPr>
          <w:trHeight w:val="356"/>
        </w:trPr>
        <w:tc>
          <w:tcPr>
            <w:tcW w:w="2000" w:type="dxa"/>
            <w:tcBorders>
              <w:top w:val="nil"/>
              <w:left w:val="single" w:sz="8" w:space="0" w:color="auto"/>
              <w:bottom w:val="single" w:sz="8" w:space="0" w:color="auto"/>
              <w:right w:val="single" w:sz="8" w:space="0" w:color="auto"/>
            </w:tcBorders>
            <w:shd w:val="clear" w:color="auto" w:fill="auto"/>
            <w:vAlign w:val="center"/>
          </w:tcPr>
          <w:p w14:paraId="06A94C8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Director</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89" w14:textId="77777777" w:rsidR="00DA3FF2" w:rsidRPr="00060053" w:rsidRDefault="00DA3FF2">
            <w:pPr>
              <w:rPr>
                <w:rFonts w:asciiTheme="minorHAnsi" w:hAnsiTheme="minorHAnsi" w:cs="Arial"/>
                <w:sz w:val="18"/>
                <w:szCs w:val="18"/>
              </w:rPr>
            </w:pPr>
          </w:p>
        </w:tc>
        <w:tc>
          <w:tcPr>
            <w:tcW w:w="3230" w:type="dxa"/>
            <w:tcBorders>
              <w:top w:val="nil"/>
              <w:left w:val="nil"/>
              <w:bottom w:val="single" w:sz="8" w:space="0" w:color="auto"/>
              <w:right w:val="single" w:sz="8" w:space="0" w:color="auto"/>
            </w:tcBorders>
            <w:shd w:val="clear" w:color="auto" w:fill="auto"/>
            <w:vAlign w:val="center"/>
          </w:tcPr>
          <w:p w14:paraId="06A94C8A"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 xml:space="preserve">Director de Departamento / </w:t>
            </w:r>
            <w:r w:rsidR="00D05F2F" w:rsidRPr="00060053">
              <w:rPr>
                <w:rFonts w:asciiTheme="minorHAnsi" w:hAnsiTheme="minorHAnsi" w:cs="Arial"/>
                <w:sz w:val="16"/>
                <w:szCs w:val="16"/>
              </w:rPr>
              <w:t>Líder</w:t>
            </w:r>
            <w:r w:rsidRPr="00060053">
              <w:rPr>
                <w:rFonts w:asciiTheme="minorHAnsi" w:hAnsiTheme="minorHAnsi" w:cs="Arial"/>
                <w:sz w:val="16"/>
                <w:szCs w:val="16"/>
              </w:rPr>
              <w:t xml:space="preserve"> de Supervisión</w:t>
            </w:r>
          </w:p>
        </w:tc>
      </w:tr>
      <w:tr w:rsidR="00DA3FF2" w:rsidRPr="00060053" w14:paraId="06A94C8F" w14:textId="77777777" w:rsidTr="00E431C5">
        <w:trPr>
          <w:trHeight w:val="303"/>
        </w:trPr>
        <w:tc>
          <w:tcPr>
            <w:tcW w:w="2000" w:type="dxa"/>
            <w:tcBorders>
              <w:top w:val="single" w:sz="4" w:space="0" w:color="auto"/>
              <w:left w:val="single" w:sz="8" w:space="0" w:color="auto"/>
              <w:bottom w:val="nil"/>
              <w:right w:val="single" w:sz="8" w:space="0" w:color="auto"/>
            </w:tcBorders>
            <w:shd w:val="clear" w:color="auto" w:fill="DBE5F1" w:themeFill="accent1" w:themeFillTint="33"/>
            <w:vAlign w:val="center"/>
          </w:tcPr>
          <w:p w14:paraId="06A94C8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PGB4</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8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Profesional en Gestión Bancaria</w:t>
            </w:r>
          </w:p>
        </w:tc>
        <w:tc>
          <w:tcPr>
            <w:tcW w:w="3230" w:type="dxa"/>
            <w:tcBorders>
              <w:top w:val="single" w:sz="4" w:space="0" w:color="auto"/>
              <w:left w:val="nil"/>
              <w:bottom w:val="single" w:sz="4" w:space="0" w:color="auto"/>
              <w:right w:val="single" w:sz="8" w:space="0" w:color="auto"/>
            </w:tcBorders>
            <w:shd w:val="clear" w:color="auto" w:fill="DBE5F1" w:themeFill="accent1" w:themeFillTint="33"/>
            <w:vAlign w:val="center"/>
          </w:tcPr>
          <w:p w14:paraId="06A94C8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Coordinador de área / Supervisor Principal</w:t>
            </w:r>
          </w:p>
        </w:tc>
      </w:tr>
      <w:tr w:rsidR="00DA3FF2" w:rsidRPr="00060053" w14:paraId="06A94C93" w14:textId="77777777" w:rsidTr="00E431C5">
        <w:trPr>
          <w:trHeight w:val="406"/>
        </w:trPr>
        <w:tc>
          <w:tcPr>
            <w:tcW w:w="2000" w:type="dxa"/>
            <w:tcBorders>
              <w:top w:val="single" w:sz="4" w:space="0" w:color="auto"/>
              <w:left w:val="single" w:sz="8" w:space="0" w:color="auto"/>
              <w:bottom w:val="single" w:sz="4" w:space="0" w:color="auto"/>
              <w:right w:val="single" w:sz="8" w:space="0" w:color="auto"/>
            </w:tcBorders>
            <w:shd w:val="clear" w:color="auto" w:fill="DBE5F1" w:themeFill="accent1" w:themeFillTint="33"/>
            <w:vAlign w:val="center"/>
          </w:tcPr>
          <w:p w14:paraId="06A94C9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PGB3</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1"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2"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 / Supervisor 2</w:t>
            </w:r>
          </w:p>
        </w:tc>
      </w:tr>
      <w:tr w:rsidR="00DA3FF2" w:rsidRPr="00060053" w14:paraId="06A94C97" w14:textId="77777777" w:rsidTr="00E431C5">
        <w:trPr>
          <w:trHeight w:val="399"/>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9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PGB2</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5"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DBE5F1" w:themeFill="accent1" w:themeFillTint="33"/>
            <w:vAlign w:val="center"/>
          </w:tcPr>
          <w:p w14:paraId="06A94C9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 / Supervisor 1</w:t>
            </w:r>
          </w:p>
        </w:tc>
      </w:tr>
      <w:tr w:rsidR="00DA3FF2" w:rsidRPr="00060053" w14:paraId="06A94C9B" w14:textId="77777777" w:rsidTr="00E431C5">
        <w:trPr>
          <w:trHeight w:val="419"/>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9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PGB1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99" w14:textId="77777777" w:rsidR="00DA3FF2" w:rsidRPr="00060053" w:rsidRDefault="00DA3FF2">
            <w:pPr>
              <w:rPr>
                <w:rFonts w:asciiTheme="minorHAnsi" w:hAnsiTheme="minorHAnsi" w:cs="Arial"/>
                <w:sz w:val="18"/>
                <w:szCs w:val="18"/>
              </w:rPr>
            </w:pPr>
          </w:p>
        </w:tc>
        <w:tc>
          <w:tcPr>
            <w:tcW w:w="3230" w:type="dxa"/>
            <w:tcBorders>
              <w:top w:val="nil"/>
              <w:left w:val="nil"/>
              <w:bottom w:val="single" w:sz="8" w:space="0" w:color="auto"/>
              <w:right w:val="single" w:sz="8" w:space="0" w:color="auto"/>
            </w:tcBorders>
            <w:shd w:val="clear" w:color="auto" w:fill="DBE5F1" w:themeFill="accent1" w:themeFillTint="33"/>
            <w:vAlign w:val="center"/>
          </w:tcPr>
          <w:p w14:paraId="06A94C9A"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DA3FF2" w:rsidRPr="00060053" w14:paraId="06A94C9F" w14:textId="77777777" w:rsidTr="00E431C5">
        <w:trPr>
          <w:trHeight w:val="397"/>
        </w:trPr>
        <w:tc>
          <w:tcPr>
            <w:tcW w:w="2000" w:type="dxa"/>
            <w:tcBorders>
              <w:top w:val="nil"/>
              <w:left w:val="single" w:sz="8" w:space="0" w:color="auto"/>
              <w:bottom w:val="single" w:sz="4" w:space="0" w:color="auto"/>
              <w:right w:val="single" w:sz="8" w:space="0" w:color="auto"/>
            </w:tcBorders>
            <w:shd w:val="clear" w:color="auto" w:fill="auto"/>
            <w:vAlign w:val="center"/>
          </w:tcPr>
          <w:p w14:paraId="06A94C9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PGI3</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9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Profesional en Gestión Informática</w:t>
            </w:r>
          </w:p>
        </w:tc>
        <w:tc>
          <w:tcPr>
            <w:tcW w:w="3230" w:type="dxa"/>
            <w:tcBorders>
              <w:top w:val="nil"/>
              <w:left w:val="nil"/>
              <w:bottom w:val="single" w:sz="4" w:space="0" w:color="auto"/>
              <w:right w:val="single" w:sz="8" w:space="0" w:color="auto"/>
            </w:tcBorders>
            <w:shd w:val="clear" w:color="auto" w:fill="auto"/>
            <w:vAlign w:val="center"/>
          </w:tcPr>
          <w:p w14:paraId="06A94C9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DA3FF2" w:rsidRPr="00060053" w14:paraId="06A94CA3" w14:textId="77777777" w:rsidTr="00E431C5">
        <w:trPr>
          <w:trHeight w:val="686"/>
        </w:trPr>
        <w:tc>
          <w:tcPr>
            <w:tcW w:w="2000" w:type="dxa"/>
            <w:tcBorders>
              <w:top w:val="nil"/>
              <w:left w:val="single" w:sz="8" w:space="0" w:color="auto"/>
              <w:bottom w:val="single" w:sz="4" w:space="0" w:color="auto"/>
              <w:right w:val="single" w:sz="8" w:space="0" w:color="auto"/>
            </w:tcBorders>
            <w:shd w:val="clear" w:color="auto" w:fill="auto"/>
            <w:vAlign w:val="center"/>
          </w:tcPr>
          <w:p w14:paraId="06A94CA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PGI2</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1"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auto"/>
            <w:vAlign w:val="center"/>
          </w:tcPr>
          <w:p w14:paraId="06A94CA2"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  / Supervisor Tecnologías de Información</w:t>
            </w:r>
          </w:p>
        </w:tc>
      </w:tr>
      <w:tr w:rsidR="00DA3FF2" w:rsidRPr="00060053" w14:paraId="06A94CA7" w14:textId="77777777" w:rsidTr="00E431C5">
        <w:trPr>
          <w:trHeight w:val="399"/>
        </w:trPr>
        <w:tc>
          <w:tcPr>
            <w:tcW w:w="2000" w:type="dxa"/>
            <w:tcBorders>
              <w:top w:val="nil"/>
              <w:left w:val="single" w:sz="8" w:space="0" w:color="auto"/>
              <w:bottom w:val="nil"/>
              <w:right w:val="single" w:sz="8" w:space="0" w:color="auto"/>
            </w:tcBorders>
            <w:shd w:val="clear" w:color="auto" w:fill="auto"/>
            <w:vAlign w:val="center"/>
          </w:tcPr>
          <w:p w14:paraId="06A94CA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PGI1</w:t>
            </w:r>
          </w:p>
        </w:tc>
        <w:tc>
          <w:tcPr>
            <w:tcW w:w="3165" w:type="dxa"/>
            <w:vMerge/>
            <w:tcBorders>
              <w:top w:val="nil"/>
              <w:left w:val="single" w:sz="8" w:space="0" w:color="auto"/>
              <w:bottom w:val="single" w:sz="8" w:space="0" w:color="000000"/>
              <w:right w:val="single" w:sz="8" w:space="0" w:color="auto"/>
            </w:tcBorders>
            <w:shd w:val="clear" w:color="auto" w:fill="auto"/>
            <w:vAlign w:val="center"/>
          </w:tcPr>
          <w:p w14:paraId="06A94CA5" w14:textId="77777777" w:rsidR="00DA3FF2" w:rsidRPr="00060053" w:rsidRDefault="00DA3FF2">
            <w:pPr>
              <w:rPr>
                <w:rFonts w:asciiTheme="minorHAnsi" w:hAnsiTheme="minorHAnsi" w:cs="Arial"/>
                <w:sz w:val="18"/>
                <w:szCs w:val="18"/>
              </w:rPr>
            </w:pPr>
          </w:p>
        </w:tc>
        <w:tc>
          <w:tcPr>
            <w:tcW w:w="3230" w:type="dxa"/>
            <w:tcBorders>
              <w:top w:val="nil"/>
              <w:left w:val="nil"/>
              <w:bottom w:val="single" w:sz="4" w:space="0" w:color="auto"/>
              <w:right w:val="single" w:sz="8" w:space="0" w:color="auto"/>
            </w:tcBorders>
            <w:shd w:val="clear" w:color="auto" w:fill="auto"/>
            <w:vAlign w:val="center"/>
          </w:tcPr>
          <w:p w14:paraId="06A94CA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C0086A" w:rsidRPr="00060053" w14:paraId="06A94CAB" w14:textId="77777777" w:rsidTr="00E431C5">
        <w:trPr>
          <w:trHeight w:val="404"/>
        </w:trPr>
        <w:tc>
          <w:tcPr>
            <w:tcW w:w="2000" w:type="dxa"/>
            <w:tcBorders>
              <w:top w:val="single" w:sz="8" w:space="0" w:color="auto"/>
              <w:left w:val="single" w:sz="8" w:space="0" w:color="auto"/>
              <w:bottom w:val="single" w:sz="4" w:space="0" w:color="auto"/>
              <w:right w:val="single" w:sz="8" w:space="0" w:color="auto"/>
            </w:tcBorders>
            <w:shd w:val="clear" w:color="auto" w:fill="DBE5F1" w:themeFill="accent1" w:themeFillTint="33"/>
            <w:vAlign w:val="center"/>
          </w:tcPr>
          <w:p w14:paraId="06A94CA8" w14:textId="77777777" w:rsidR="00C0086A" w:rsidRPr="00060053" w:rsidRDefault="00C0086A">
            <w:pPr>
              <w:jc w:val="center"/>
              <w:rPr>
                <w:rFonts w:asciiTheme="minorHAnsi" w:hAnsiTheme="minorHAnsi" w:cs="Arial"/>
                <w:b/>
                <w:bCs/>
                <w:sz w:val="18"/>
                <w:szCs w:val="18"/>
              </w:rPr>
            </w:pPr>
            <w:r w:rsidRPr="00060053">
              <w:rPr>
                <w:rFonts w:asciiTheme="minorHAnsi" w:hAnsiTheme="minorHAnsi" w:cs="Arial"/>
                <w:b/>
                <w:bCs/>
                <w:sz w:val="18"/>
                <w:szCs w:val="18"/>
              </w:rPr>
              <w:t>PGAI</w:t>
            </w:r>
          </w:p>
        </w:tc>
        <w:tc>
          <w:tcPr>
            <w:tcW w:w="3165" w:type="dxa"/>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A9" w14:textId="77777777" w:rsidR="00C0086A" w:rsidRPr="00060053" w:rsidRDefault="00C0086A">
            <w:pPr>
              <w:jc w:val="center"/>
              <w:rPr>
                <w:rFonts w:asciiTheme="minorHAnsi" w:hAnsiTheme="minorHAnsi" w:cs="Arial"/>
                <w:sz w:val="18"/>
                <w:szCs w:val="18"/>
              </w:rPr>
            </w:pPr>
            <w:r w:rsidRPr="00060053">
              <w:rPr>
                <w:rFonts w:asciiTheme="minorHAnsi" w:hAnsiTheme="minorHAnsi"/>
                <w:iCs/>
                <w:sz w:val="18"/>
                <w:szCs w:val="18"/>
              </w:rPr>
              <w:t xml:space="preserve">Profesional Gestión </w:t>
            </w:r>
            <w:r w:rsidR="008A2932" w:rsidRPr="00060053">
              <w:rPr>
                <w:rFonts w:asciiTheme="minorHAnsi" w:hAnsiTheme="minorHAnsi"/>
                <w:iCs/>
                <w:sz w:val="18"/>
                <w:szCs w:val="18"/>
              </w:rPr>
              <w:t>Auditoría</w:t>
            </w:r>
            <w:r w:rsidRPr="00060053">
              <w:rPr>
                <w:rFonts w:asciiTheme="minorHAnsi" w:hAnsiTheme="minorHAnsi"/>
                <w:iCs/>
                <w:sz w:val="18"/>
                <w:szCs w:val="18"/>
              </w:rPr>
              <w:t xml:space="preserve"> Interna 3</w:t>
            </w:r>
          </w:p>
        </w:tc>
        <w:tc>
          <w:tcPr>
            <w:tcW w:w="3230" w:type="dxa"/>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tcPr>
          <w:p w14:paraId="06A94CAA" w14:textId="62BCBC97" w:rsidR="00C0086A" w:rsidRPr="00060053" w:rsidRDefault="00AB03EF" w:rsidP="00EB5EE6">
            <w:pPr>
              <w:rPr>
                <w:rFonts w:asciiTheme="minorHAnsi" w:hAnsiTheme="minorHAnsi" w:cs="Arial"/>
                <w:sz w:val="16"/>
                <w:szCs w:val="16"/>
              </w:rPr>
            </w:pPr>
            <w:r w:rsidRPr="00060053">
              <w:rPr>
                <w:rFonts w:asciiTheme="minorHAnsi" w:hAnsiTheme="minorHAnsi" w:cs="Arial"/>
                <w:sz w:val="16"/>
                <w:szCs w:val="16"/>
              </w:rPr>
              <w:t>Personal operativo de la Auditoría Interna según requerimientos profesionales. / PGAI3</w:t>
            </w:r>
          </w:p>
        </w:tc>
      </w:tr>
      <w:tr w:rsidR="00DA3FF2" w:rsidRPr="00060053" w14:paraId="06A94CAF" w14:textId="77777777" w:rsidTr="00E431C5">
        <w:trPr>
          <w:trHeight w:val="411"/>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06A94CA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TSI2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A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Técnicos en Servicios Institucionales</w:t>
            </w:r>
          </w:p>
        </w:tc>
        <w:tc>
          <w:tcPr>
            <w:tcW w:w="323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06A94CA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Personal operativo según requerimientos profesionales</w:t>
            </w:r>
          </w:p>
        </w:tc>
      </w:tr>
      <w:tr w:rsidR="00DA3FF2" w:rsidRPr="00060053" w14:paraId="06A94CB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B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TSI1</w:t>
            </w:r>
          </w:p>
        </w:tc>
        <w:tc>
          <w:tcPr>
            <w:tcW w:w="3165" w:type="dxa"/>
            <w:vMerge/>
            <w:tcBorders>
              <w:top w:val="nil"/>
              <w:left w:val="single" w:sz="8" w:space="0" w:color="auto"/>
              <w:bottom w:val="single" w:sz="8" w:space="0" w:color="000000"/>
              <w:right w:val="single" w:sz="8" w:space="0" w:color="auto"/>
            </w:tcBorders>
            <w:vAlign w:val="center"/>
          </w:tcPr>
          <w:p w14:paraId="06A94CB1" w14:textId="77777777" w:rsidR="00DA3FF2" w:rsidRPr="00060053" w:rsidRDefault="00DA3FF2">
            <w:pPr>
              <w:rPr>
                <w:rFonts w:asciiTheme="minorHAnsi" w:hAnsiTheme="minorHAnsi" w:cs="Arial"/>
                <w:sz w:val="18"/>
                <w:szCs w:val="18"/>
              </w:rPr>
            </w:pPr>
          </w:p>
        </w:tc>
        <w:tc>
          <w:tcPr>
            <w:tcW w:w="3230" w:type="dxa"/>
            <w:vMerge/>
            <w:tcBorders>
              <w:top w:val="single" w:sz="8" w:space="0" w:color="auto"/>
              <w:left w:val="single" w:sz="8" w:space="0" w:color="auto"/>
              <w:bottom w:val="single" w:sz="8" w:space="0" w:color="000000"/>
              <w:right w:val="single" w:sz="8" w:space="0" w:color="auto"/>
            </w:tcBorders>
            <w:vAlign w:val="center"/>
          </w:tcPr>
          <w:p w14:paraId="06A94CB2" w14:textId="77777777" w:rsidR="00DA3FF2" w:rsidRPr="00060053" w:rsidRDefault="00DA3FF2">
            <w:pPr>
              <w:rPr>
                <w:rFonts w:asciiTheme="minorHAnsi" w:hAnsiTheme="minorHAnsi" w:cs="Arial"/>
                <w:sz w:val="16"/>
                <w:szCs w:val="16"/>
              </w:rPr>
            </w:pPr>
          </w:p>
        </w:tc>
      </w:tr>
      <w:tr w:rsidR="00DA3FF2" w:rsidRPr="00060053" w14:paraId="06A94CB7"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DBE5F1" w:themeFill="accent1" w:themeFillTint="33"/>
            <w:vAlign w:val="center"/>
          </w:tcPr>
          <w:p w14:paraId="06A94CB4"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ASI2</w:t>
            </w:r>
          </w:p>
        </w:tc>
        <w:tc>
          <w:tcPr>
            <w:tcW w:w="3165"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5"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Asistentes de Servicios Institucionales</w:t>
            </w:r>
          </w:p>
        </w:tc>
        <w:tc>
          <w:tcPr>
            <w:tcW w:w="3230" w:type="dxa"/>
            <w:vMerge w:val="restart"/>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6"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Secretarias, mantenimiento, recepcionista</w:t>
            </w:r>
          </w:p>
        </w:tc>
      </w:tr>
      <w:tr w:rsidR="00DA3FF2" w:rsidRPr="00060053" w14:paraId="06A94CBB"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DBE5F1" w:themeFill="accent1" w:themeFillTint="33"/>
            <w:vAlign w:val="center"/>
          </w:tcPr>
          <w:p w14:paraId="06A94CB8"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ASI1</w:t>
            </w:r>
          </w:p>
        </w:tc>
        <w:tc>
          <w:tcPr>
            <w:tcW w:w="3165"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9" w14:textId="77777777" w:rsidR="00DA3FF2" w:rsidRPr="00060053" w:rsidRDefault="00DA3FF2">
            <w:pPr>
              <w:rPr>
                <w:rFonts w:asciiTheme="minorHAnsi" w:hAnsiTheme="minorHAnsi" w:cs="Arial"/>
                <w:sz w:val="18"/>
                <w:szCs w:val="18"/>
              </w:rPr>
            </w:pPr>
          </w:p>
        </w:tc>
        <w:tc>
          <w:tcPr>
            <w:tcW w:w="3230" w:type="dxa"/>
            <w:vMerge/>
            <w:tcBorders>
              <w:top w:val="nil"/>
              <w:left w:val="single" w:sz="8" w:space="0" w:color="auto"/>
              <w:bottom w:val="single" w:sz="8" w:space="0" w:color="000000"/>
              <w:right w:val="single" w:sz="8" w:space="0" w:color="auto"/>
            </w:tcBorders>
            <w:shd w:val="clear" w:color="auto" w:fill="DBE5F1" w:themeFill="accent1" w:themeFillTint="33"/>
            <w:vAlign w:val="center"/>
          </w:tcPr>
          <w:p w14:paraId="06A94CBA" w14:textId="77777777" w:rsidR="00DA3FF2" w:rsidRPr="00060053" w:rsidRDefault="00DA3FF2">
            <w:pPr>
              <w:rPr>
                <w:rFonts w:asciiTheme="minorHAnsi" w:hAnsiTheme="minorHAnsi" w:cs="Arial"/>
                <w:sz w:val="16"/>
                <w:szCs w:val="16"/>
              </w:rPr>
            </w:pPr>
          </w:p>
        </w:tc>
      </w:tr>
      <w:tr w:rsidR="00DA3FF2" w:rsidRPr="00060053" w14:paraId="06A94CBF" w14:textId="77777777" w:rsidTr="00E431C5">
        <w:trPr>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6A94CBC"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ASG2</w:t>
            </w:r>
          </w:p>
        </w:tc>
        <w:tc>
          <w:tcPr>
            <w:tcW w:w="3165" w:type="dxa"/>
            <w:vMerge w:val="restart"/>
            <w:tcBorders>
              <w:top w:val="nil"/>
              <w:left w:val="single" w:sz="8" w:space="0" w:color="auto"/>
              <w:bottom w:val="single" w:sz="8" w:space="0" w:color="000000"/>
              <w:right w:val="single" w:sz="8" w:space="0" w:color="auto"/>
            </w:tcBorders>
            <w:shd w:val="clear" w:color="auto" w:fill="auto"/>
            <w:vAlign w:val="center"/>
          </w:tcPr>
          <w:p w14:paraId="06A94CBD" w14:textId="77777777" w:rsidR="00DA3FF2" w:rsidRPr="00060053" w:rsidRDefault="00DA3FF2">
            <w:pPr>
              <w:jc w:val="center"/>
              <w:rPr>
                <w:rFonts w:asciiTheme="minorHAnsi" w:hAnsiTheme="minorHAnsi" w:cs="Arial"/>
                <w:sz w:val="18"/>
                <w:szCs w:val="18"/>
              </w:rPr>
            </w:pPr>
            <w:r w:rsidRPr="00060053">
              <w:rPr>
                <w:rFonts w:asciiTheme="minorHAnsi" w:hAnsiTheme="minorHAnsi" w:cs="Arial"/>
                <w:sz w:val="18"/>
                <w:szCs w:val="18"/>
              </w:rPr>
              <w:t>Asistentes de Servicios Generales</w:t>
            </w:r>
          </w:p>
        </w:tc>
        <w:tc>
          <w:tcPr>
            <w:tcW w:w="3230" w:type="dxa"/>
            <w:vMerge w:val="restart"/>
            <w:tcBorders>
              <w:top w:val="nil"/>
              <w:left w:val="single" w:sz="8" w:space="0" w:color="auto"/>
              <w:bottom w:val="single" w:sz="8" w:space="0" w:color="000000"/>
              <w:right w:val="single" w:sz="8" w:space="0" w:color="auto"/>
            </w:tcBorders>
            <w:shd w:val="clear" w:color="auto" w:fill="auto"/>
            <w:vAlign w:val="center"/>
          </w:tcPr>
          <w:p w14:paraId="06A94CBE" w14:textId="77777777" w:rsidR="00DA3FF2" w:rsidRPr="00060053" w:rsidRDefault="00DA3FF2">
            <w:pPr>
              <w:rPr>
                <w:rFonts w:asciiTheme="minorHAnsi" w:hAnsiTheme="minorHAnsi" w:cs="Arial"/>
                <w:sz w:val="16"/>
                <w:szCs w:val="16"/>
              </w:rPr>
            </w:pPr>
            <w:r w:rsidRPr="00060053">
              <w:rPr>
                <w:rFonts w:asciiTheme="minorHAnsi" w:hAnsiTheme="minorHAnsi" w:cs="Arial"/>
                <w:sz w:val="16"/>
                <w:szCs w:val="16"/>
              </w:rPr>
              <w:t>Choferes y misceláneos</w:t>
            </w:r>
          </w:p>
        </w:tc>
      </w:tr>
      <w:tr w:rsidR="00DA3FF2" w:rsidRPr="00060053" w14:paraId="06A94CC3" w14:textId="77777777" w:rsidTr="00E431C5">
        <w:trPr>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06A94CC0" w14:textId="77777777" w:rsidR="00DA3FF2" w:rsidRPr="00060053" w:rsidRDefault="00DA3FF2">
            <w:pPr>
              <w:jc w:val="center"/>
              <w:rPr>
                <w:rFonts w:asciiTheme="minorHAnsi" w:hAnsiTheme="minorHAnsi" w:cs="Arial"/>
                <w:b/>
                <w:bCs/>
                <w:sz w:val="18"/>
                <w:szCs w:val="18"/>
              </w:rPr>
            </w:pPr>
            <w:r w:rsidRPr="00060053">
              <w:rPr>
                <w:rFonts w:asciiTheme="minorHAnsi" w:hAnsiTheme="minorHAnsi" w:cs="Arial"/>
                <w:b/>
                <w:bCs/>
                <w:sz w:val="18"/>
                <w:szCs w:val="18"/>
              </w:rPr>
              <w:t>ASG1</w:t>
            </w:r>
          </w:p>
        </w:tc>
        <w:tc>
          <w:tcPr>
            <w:tcW w:w="3165" w:type="dxa"/>
            <w:vMerge/>
            <w:tcBorders>
              <w:top w:val="nil"/>
              <w:left w:val="single" w:sz="8" w:space="0" w:color="auto"/>
              <w:bottom w:val="single" w:sz="8" w:space="0" w:color="000000"/>
              <w:right w:val="single" w:sz="8" w:space="0" w:color="auto"/>
            </w:tcBorders>
            <w:vAlign w:val="center"/>
          </w:tcPr>
          <w:p w14:paraId="06A94CC1" w14:textId="77777777" w:rsidR="00DA3FF2" w:rsidRPr="00060053" w:rsidRDefault="00DA3FF2">
            <w:pPr>
              <w:rPr>
                <w:rFonts w:asciiTheme="majorHAnsi" w:hAnsiTheme="majorHAnsi" w:cs="Arial"/>
                <w:sz w:val="22"/>
                <w:szCs w:val="22"/>
              </w:rPr>
            </w:pPr>
          </w:p>
        </w:tc>
        <w:tc>
          <w:tcPr>
            <w:tcW w:w="3230" w:type="dxa"/>
            <w:vMerge/>
            <w:tcBorders>
              <w:top w:val="nil"/>
              <w:left w:val="single" w:sz="8" w:space="0" w:color="auto"/>
              <w:bottom w:val="single" w:sz="8" w:space="0" w:color="000000"/>
              <w:right w:val="single" w:sz="8" w:space="0" w:color="auto"/>
            </w:tcBorders>
            <w:vAlign w:val="center"/>
          </w:tcPr>
          <w:p w14:paraId="06A94CC2" w14:textId="77777777" w:rsidR="00DA3FF2" w:rsidRPr="00060053" w:rsidRDefault="00DA3FF2">
            <w:pPr>
              <w:rPr>
                <w:rFonts w:asciiTheme="majorHAnsi" w:hAnsiTheme="majorHAnsi" w:cs="Arial"/>
                <w:sz w:val="22"/>
                <w:szCs w:val="22"/>
              </w:rPr>
            </w:pPr>
          </w:p>
        </w:tc>
      </w:tr>
    </w:tbl>
    <w:p w14:paraId="238FEB2F" w14:textId="77777777" w:rsidR="001539D9" w:rsidRDefault="001539D9" w:rsidP="00F53525">
      <w:pPr>
        <w:jc w:val="both"/>
        <w:rPr>
          <w:rFonts w:asciiTheme="majorHAnsi" w:hAnsiTheme="majorHAnsi"/>
          <w:sz w:val="18"/>
          <w:szCs w:val="18"/>
        </w:rPr>
      </w:pPr>
    </w:p>
    <w:p w14:paraId="6948E9EE" w14:textId="65660757" w:rsidR="00CF7C40" w:rsidRPr="00CF7C40" w:rsidRDefault="006C1EEE" w:rsidP="00CF7C40">
      <w:pPr>
        <w:jc w:val="center"/>
        <w:rPr>
          <w:rFonts w:asciiTheme="majorHAnsi" w:hAnsiTheme="majorHAnsi"/>
          <w:b/>
          <w:sz w:val="20"/>
          <w:szCs w:val="18"/>
        </w:rPr>
      </w:pPr>
      <w:r>
        <w:rPr>
          <w:rFonts w:asciiTheme="majorHAnsi" w:hAnsiTheme="majorHAnsi"/>
          <w:b/>
          <w:sz w:val="20"/>
          <w:szCs w:val="18"/>
        </w:rPr>
        <w:lastRenderedPageBreak/>
        <w:t>Cuadro 13</w:t>
      </w:r>
    </w:p>
    <w:p w14:paraId="7081A817" w14:textId="203D35A7" w:rsidR="00D84D29" w:rsidRDefault="00582145" w:rsidP="00D84D29">
      <w:pPr>
        <w:jc w:val="center"/>
        <w:rPr>
          <w:rFonts w:asciiTheme="majorHAnsi" w:hAnsiTheme="majorHAnsi"/>
          <w:sz w:val="18"/>
          <w:szCs w:val="18"/>
        </w:rPr>
      </w:pPr>
      <w:r w:rsidRPr="00582145">
        <w:rPr>
          <w:noProof/>
        </w:rPr>
        <w:drawing>
          <wp:inline distT="0" distB="0" distL="0" distR="0" wp14:anchorId="5647B346" wp14:editId="2F8E6103">
            <wp:extent cx="5295169" cy="6719669"/>
            <wp:effectExtent l="0" t="0" r="127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99873" cy="6725639"/>
                    </a:xfrm>
                    <a:prstGeom prst="rect">
                      <a:avLst/>
                    </a:prstGeom>
                    <a:noFill/>
                    <a:ln>
                      <a:noFill/>
                    </a:ln>
                  </pic:spPr>
                </pic:pic>
              </a:graphicData>
            </a:graphic>
          </wp:inline>
        </w:drawing>
      </w:r>
    </w:p>
    <w:p w14:paraId="391A6B46" w14:textId="77777777" w:rsidR="00D84D29" w:rsidRPr="00060053" w:rsidRDefault="00D84D29" w:rsidP="00F53525">
      <w:pPr>
        <w:jc w:val="both"/>
        <w:rPr>
          <w:rFonts w:asciiTheme="majorHAnsi" w:hAnsiTheme="majorHAnsi"/>
          <w:sz w:val="18"/>
          <w:szCs w:val="18"/>
        </w:rPr>
      </w:pPr>
    </w:p>
    <w:p w14:paraId="06A94D98" w14:textId="37867FF7" w:rsidR="00720430" w:rsidRPr="00060053" w:rsidRDefault="00720430" w:rsidP="00720430">
      <w:pPr>
        <w:jc w:val="center"/>
        <w:rPr>
          <w:rFonts w:asciiTheme="majorHAnsi" w:hAnsiTheme="majorHAnsi"/>
          <w:sz w:val="18"/>
          <w:szCs w:val="18"/>
        </w:rPr>
      </w:pPr>
    </w:p>
    <w:p w14:paraId="06A94D9A" w14:textId="77777777" w:rsidR="0032363C" w:rsidRPr="00060053" w:rsidRDefault="0032363C" w:rsidP="009D034C">
      <w:pPr>
        <w:rPr>
          <w:rFonts w:asciiTheme="majorHAnsi" w:hAnsiTheme="majorHAnsi"/>
          <w:b/>
          <w:sz w:val="18"/>
          <w:szCs w:val="18"/>
        </w:rPr>
        <w:sectPr w:rsidR="0032363C" w:rsidRPr="00060053" w:rsidSect="004E39A1">
          <w:pgSz w:w="12242" w:h="15842" w:code="1"/>
          <w:pgMar w:top="1418" w:right="1701" w:bottom="1418" w:left="1701" w:header="709" w:footer="709" w:gutter="0"/>
          <w:cols w:space="708"/>
          <w:docGrid w:linePitch="360"/>
        </w:sectPr>
      </w:pPr>
    </w:p>
    <w:p w14:paraId="06A94D9B" w14:textId="77777777" w:rsidR="005348DB" w:rsidRPr="00060053" w:rsidRDefault="005348DB" w:rsidP="009D034C">
      <w:pPr>
        <w:rPr>
          <w:rFonts w:asciiTheme="majorHAnsi" w:hAnsiTheme="majorHAnsi"/>
        </w:rPr>
      </w:pPr>
    </w:p>
    <w:p w14:paraId="06A94D9C" w14:textId="7691BC29" w:rsidR="005348DB" w:rsidRPr="00E52234" w:rsidRDefault="006C1EEE" w:rsidP="00E52234">
      <w:pPr>
        <w:jc w:val="center"/>
        <w:rPr>
          <w:rFonts w:asciiTheme="majorHAnsi" w:hAnsiTheme="majorHAnsi"/>
          <w:b/>
          <w:sz w:val="20"/>
        </w:rPr>
      </w:pPr>
      <w:r>
        <w:rPr>
          <w:rFonts w:asciiTheme="majorHAnsi" w:hAnsiTheme="majorHAnsi"/>
          <w:b/>
          <w:sz w:val="20"/>
        </w:rPr>
        <w:t>Cuadro 14</w:t>
      </w:r>
    </w:p>
    <w:p w14:paraId="745D6F1E" w14:textId="78CB3576" w:rsidR="00633BE1" w:rsidRPr="00060053" w:rsidRDefault="00582145" w:rsidP="009D034C">
      <w:pPr>
        <w:rPr>
          <w:rFonts w:asciiTheme="majorHAnsi" w:hAnsiTheme="majorHAnsi"/>
        </w:rPr>
      </w:pPr>
      <w:r w:rsidRPr="00582145">
        <w:rPr>
          <w:noProof/>
        </w:rPr>
        <w:drawing>
          <wp:inline distT="0" distB="0" distL="0" distR="0" wp14:anchorId="0B65A50E" wp14:editId="47B7A095">
            <wp:extent cx="8258810" cy="2742654"/>
            <wp:effectExtent l="0" t="0" r="8890" b="63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58810" cy="2742654"/>
                    </a:xfrm>
                    <a:prstGeom prst="rect">
                      <a:avLst/>
                    </a:prstGeom>
                    <a:noFill/>
                    <a:ln>
                      <a:noFill/>
                    </a:ln>
                  </pic:spPr>
                </pic:pic>
              </a:graphicData>
            </a:graphic>
          </wp:inline>
        </w:drawing>
      </w:r>
    </w:p>
    <w:p w14:paraId="06A94D9D" w14:textId="7FA48B77" w:rsidR="005348DB" w:rsidRPr="00060053" w:rsidRDefault="005348DB" w:rsidP="009D034C">
      <w:pPr>
        <w:rPr>
          <w:rFonts w:asciiTheme="majorHAnsi" w:hAnsiTheme="majorHAnsi"/>
        </w:rPr>
      </w:pPr>
    </w:p>
    <w:p w14:paraId="06A94DA0" w14:textId="77777777" w:rsidR="005348DB" w:rsidRPr="00060053" w:rsidRDefault="005348DB" w:rsidP="009D034C">
      <w:pPr>
        <w:rPr>
          <w:rFonts w:asciiTheme="majorHAnsi" w:hAnsiTheme="majorHAnsi"/>
          <w:sz w:val="22"/>
          <w:szCs w:val="22"/>
        </w:rPr>
      </w:pPr>
    </w:p>
    <w:p w14:paraId="06A94DA1" w14:textId="77777777" w:rsidR="005348DB" w:rsidRPr="00060053" w:rsidRDefault="005348DB" w:rsidP="009D034C">
      <w:pPr>
        <w:rPr>
          <w:rFonts w:asciiTheme="majorHAnsi" w:hAnsiTheme="majorHAnsi"/>
          <w:sz w:val="22"/>
          <w:szCs w:val="22"/>
        </w:rPr>
      </w:pPr>
    </w:p>
    <w:p w14:paraId="06A94DA2" w14:textId="62A75B4F" w:rsidR="0032363C" w:rsidRPr="00060053" w:rsidRDefault="005348DB" w:rsidP="00145B06">
      <w:pPr>
        <w:pStyle w:val="NormalWeb"/>
        <w:ind w:left="567" w:hanging="567"/>
        <w:jc w:val="both"/>
        <w:outlineLvl w:val="1"/>
        <w:rPr>
          <w:rFonts w:asciiTheme="majorHAnsi" w:hAnsiTheme="majorHAnsi" w:cs="Tahoma"/>
          <w:b/>
          <w:bCs/>
          <w:sz w:val="22"/>
          <w:szCs w:val="22"/>
          <w:lang w:val="es-ES_tradnl"/>
        </w:rPr>
      </w:pPr>
      <w:r w:rsidRPr="00060053">
        <w:rPr>
          <w:rFonts w:asciiTheme="majorHAnsi" w:hAnsiTheme="majorHAnsi"/>
        </w:rPr>
        <w:br w:type="page"/>
      </w:r>
      <w:bookmarkStart w:id="56" w:name="_Toc429563209"/>
      <w:r w:rsidR="00FC4BE2" w:rsidRPr="00151375">
        <w:rPr>
          <w:rFonts w:asciiTheme="majorHAnsi" w:hAnsiTheme="majorHAnsi" w:cs="Tahoma"/>
          <w:b/>
          <w:bCs/>
          <w:sz w:val="22"/>
          <w:szCs w:val="22"/>
          <w:lang w:val="es-ES_tradnl"/>
        </w:rPr>
        <w:lastRenderedPageBreak/>
        <w:t>2.</w:t>
      </w:r>
      <w:r w:rsidR="00D901A3" w:rsidRPr="00151375">
        <w:rPr>
          <w:rFonts w:asciiTheme="majorHAnsi" w:hAnsiTheme="majorHAnsi" w:cs="Tahoma"/>
          <w:b/>
          <w:bCs/>
          <w:sz w:val="22"/>
          <w:szCs w:val="22"/>
          <w:lang w:val="es-ES_tradnl"/>
        </w:rPr>
        <w:t>9</w:t>
      </w:r>
      <w:r w:rsidR="005C5DE5" w:rsidRPr="00151375">
        <w:rPr>
          <w:rFonts w:asciiTheme="majorHAnsi" w:hAnsiTheme="majorHAnsi" w:cs="Tahoma"/>
          <w:b/>
          <w:bCs/>
          <w:sz w:val="22"/>
          <w:szCs w:val="22"/>
          <w:lang w:val="es-ES_tradnl"/>
        </w:rPr>
        <w:tab/>
      </w:r>
      <w:r w:rsidR="0032363C" w:rsidRPr="00151375">
        <w:rPr>
          <w:rFonts w:asciiTheme="majorHAnsi" w:hAnsiTheme="majorHAnsi" w:cs="Tahoma"/>
          <w:b/>
          <w:bCs/>
          <w:sz w:val="22"/>
          <w:szCs w:val="22"/>
          <w:lang w:val="es-ES_tradnl"/>
        </w:rPr>
        <w:t>Justificación pago de cuotas de afiliación a organismos internacionales</w:t>
      </w:r>
      <w:bookmarkEnd w:id="56"/>
    </w:p>
    <w:tbl>
      <w:tblPr>
        <w:tblW w:w="13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792"/>
        <w:gridCol w:w="4296"/>
        <w:gridCol w:w="3852"/>
      </w:tblGrid>
      <w:tr w:rsidR="0032363C" w:rsidRPr="00060053" w14:paraId="06A94DA7" w14:textId="77777777" w:rsidTr="007A3A13">
        <w:trPr>
          <w:tblHeader/>
        </w:trPr>
        <w:tc>
          <w:tcPr>
            <w:tcW w:w="2263" w:type="dxa"/>
            <w:shd w:val="clear" w:color="auto" w:fill="C6D9F1" w:themeFill="text2" w:themeFillTint="33"/>
            <w:vAlign w:val="center"/>
          </w:tcPr>
          <w:p w14:paraId="06A94DA3" w14:textId="77777777" w:rsidR="0032363C" w:rsidRPr="00060053" w:rsidRDefault="0032363C" w:rsidP="00B05EAB">
            <w:pPr>
              <w:rPr>
                <w:rFonts w:asciiTheme="majorHAnsi" w:hAnsiTheme="majorHAnsi" w:cs="Arial"/>
                <w:b/>
                <w:bCs/>
                <w:sz w:val="20"/>
                <w:szCs w:val="20"/>
              </w:rPr>
            </w:pPr>
            <w:r w:rsidRPr="00060053">
              <w:rPr>
                <w:rFonts w:asciiTheme="majorHAnsi" w:hAnsiTheme="majorHAnsi" w:cs="Arial"/>
                <w:b/>
                <w:bCs/>
                <w:sz w:val="20"/>
                <w:szCs w:val="20"/>
              </w:rPr>
              <w:t>Nombre de la Entidad</w:t>
            </w:r>
          </w:p>
        </w:tc>
        <w:tc>
          <w:tcPr>
            <w:tcW w:w="2792" w:type="dxa"/>
            <w:shd w:val="clear" w:color="auto" w:fill="C6D9F1" w:themeFill="text2" w:themeFillTint="33"/>
            <w:vAlign w:val="center"/>
          </w:tcPr>
          <w:p w14:paraId="06A94DA4" w14:textId="2BDA05BA" w:rsidR="0032363C" w:rsidRPr="00060053" w:rsidRDefault="0032363C" w:rsidP="00B05EAB">
            <w:pPr>
              <w:jc w:val="center"/>
              <w:rPr>
                <w:rFonts w:asciiTheme="majorHAnsi" w:hAnsiTheme="majorHAnsi" w:cs="Arial"/>
                <w:b/>
                <w:bCs/>
                <w:sz w:val="20"/>
                <w:szCs w:val="20"/>
              </w:rPr>
            </w:pPr>
            <w:r w:rsidRPr="00060053">
              <w:rPr>
                <w:rFonts w:asciiTheme="majorHAnsi" w:hAnsiTheme="majorHAnsi" w:cs="Arial"/>
                <w:b/>
                <w:bCs/>
                <w:sz w:val="20"/>
                <w:szCs w:val="20"/>
              </w:rPr>
              <w:t>Afinidad de los objetivos del organismo con los de la entidad (</w:t>
            </w:r>
            <w:r w:rsidR="00D277D9">
              <w:rPr>
                <w:rFonts w:asciiTheme="majorHAnsi" w:hAnsiTheme="majorHAnsi" w:cs="Arial"/>
                <w:b/>
                <w:bCs/>
                <w:sz w:val="20"/>
                <w:szCs w:val="20"/>
              </w:rPr>
              <w:t>SUPEN</w:t>
            </w:r>
            <w:r w:rsidRPr="00060053">
              <w:rPr>
                <w:rFonts w:asciiTheme="majorHAnsi" w:hAnsiTheme="majorHAnsi" w:cs="Arial"/>
                <w:b/>
                <w:bCs/>
                <w:sz w:val="20"/>
                <w:szCs w:val="20"/>
              </w:rPr>
              <w:t>)</w:t>
            </w:r>
          </w:p>
        </w:tc>
        <w:tc>
          <w:tcPr>
            <w:tcW w:w="4296" w:type="dxa"/>
            <w:shd w:val="clear" w:color="auto" w:fill="C6D9F1" w:themeFill="text2" w:themeFillTint="33"/>
            <w:vAlign w:val="center"/>
          </w:tcPr>
          <w:p w14:paraId="06A94DA5" w14:textId="77777777" w:rsidR="0032363C" w:rsidRPr="00060053" w:rsidRDefault="0032363C" w:rsidP="00B05EAB">
            <w:pPr>
              <w:jc w:val="center"/>
              <w:rPr>
                <w:rFonts w:asciiTheme="majorHAnsi" w:hAnsiTheme="majorHAnsi" w:cs="Arial"/>
                <w:b/>
                <w:bCs/>
                <w:sz w:val="20"/>
                <w:szCs w:val="20"/>
              </w:rPr>
            </w:pPr>
            <w:r w:rsidRPr="00060053">
              <w:rPr>
                <w:rFonts w:asciiTheme="majorHAnsi" w:hAnsiTheme="majorHAnsi" w:cs="Arial"/>
                <w:b/>
                <w:bCs/>
                <w:sz w:val="20"/>
                <w:szCs w:val="20"/>
              </w:rPr>
              <w:t>Propósitos del Organismo.</w:t>
            </w:r>
          </w:p>
        </w:tc>
        <w:tc>
          <w:tcPr>
            <w:tcW w:w="3852" w:type="dxa"/>
            <w:shd w:val="clear" w:color="auto" w:fill="C6D9F1" w:themeFill="text2" w:themeFillTint="33"/>
            <w:vAlign w:val="center"/>
          </w:tcPr>
          <w:p w14:paraId="06A94DA6" w14:textId="77777777" w:rsidR="0032363C" w:rsidRPr="00060053" w:rsidRDefault="0032363C" w:rsidP="00B05EAB">
            <w:pPr>
              <w:jc w:val="center"/>
              <w:rPr>
                <w:rFonts w:asciiTheme="majorHAnsi" w:hAnsiTheme="majorHAnsi" w:cs="Arial"/>
                <w:b/>
                <w:bCs/>
                <w:sz w:val="20"/>
                <w:szCs w:val="20"/>
              </w:rPr>
            </w:pPr>
            <w:r w:rsidRPr="00060053">
              <w:rPr>
                <w:rFonts w:asciiTheme="majorHAnsi" w:hAnsiTheme="majorHAnsi" w:cs="Arial"/>
                <w:b/>
                <w:bCs/>
                <w:sz w:val="20"/>
                <w:szCs w:val="20"/>
              </w:rPr>
              <w:t>Beneficios que obtiene la entidad</w:t>
            </w:r>
          </w:p>
        </w:tc>
      </w:tr>
      <w:tr w:rsidR="0032363C" w:rsidRPr="00060053" w14:paraId="06A94DC6" w14:textId="77777777" w:rsidTr="00CA61ED">
        <w:tc>
          <w:tcPr>
            <w:tcW w:w="2263" w:type="dxa"/>
            <w:vAlign w:val="center"/>
          </w:tcPr>
          <w:p w14:paraId="06A94DBB" w14:textId="77777777" w:rsidR="00475EC6" w:rsidRPr="00060053" w:rsidRDefault="00475EC6" w:rsidP="00475EC6">
            <w:pPr>
              <w:rPr>
                <w:rFonts w:asciiTheme="majorHAnsi" w:hAnsiTheme="majorHAnsi" w:cs="Arial"/>
                <w:b/>
                <w:sz w:val="18"/>
                <w:szCs w:val="18"/>
              </w:rPr>
            </w:pPr>
            <w:r w:rsidRPr="00060053">
              <w:rPr>
                <w:rFonts w:asciiTheme="majorHAnsi" w:hAnsiTheme="majorHAnsi" w:cs="Arial"/>
                <w:b/>
                <w:sz w:val="18"/>
                <w:szCs w:val="18"/>
              </w:rPr>
              <w:t>Organización Internacional de Sistema de Pensiones</w:t>
            </w:r>
          </w:p>
          <w:p w14:paraId="06A94DBC" w14:textId="77777777" w:rsidR="0032363C" w:rsidRPr="00060053" w:rsidRDefault="0032363C" w:rsidP="00475EC6">
            <w:pPr>
              <w:rPr>
                <w:rFonts w:asciiTheme="majorHAnsi" w:hAnsiTheme="majorHAnsi" w:cs="Arial"/>
                <w:sz w:val="18"/>
                <w:szCs w:val="18"/>
              </w:rPr>
            </w:pPr>
            <w:r w:rsidRPr="00060053">
              <w:rPr>
                <w:rFonts w:asciiTheme="majorHAnsi" w:hAnsiTheme="majorHAnsi" w:cs="Arial"/>
                <w:b/>
                <w:sz w:val="18"/>
                <w:szCs w:val="18"/>
              </w:rPr>
              <w:t>IOPS</w:t>
            </w:r>
          </w:p>
        </w:tc>
        <w:tc>
          <w:tcPr>
            <w:tcW w:w="2792" w:type="dxa"/>
            <w:vAlign w:val="center"/>
          </w:tcPr>
          <w:p w14:paraId="06A94DBD" w14:textId="77777777" w:rsidR="0032363C" w:rsidRPr="00060053" w:rsidRDefault="0032363C" w:rsidP="00A82CA6">
            <w:pPr>
              <w:jc w:val="both"/>
              <w:rPr>
                <w:rFonts w:asciiTheme="majorHAnsi" w:hAnsiTheme="majorHAnsi" w:cs="Arial"/>
                <w:sz w:val="18"/>
                <w:szCs w:val="18"/>
              </w:rPr>
            </w:pPr>
            <w:r w:rsidRPr="00060053">
              <w:rPr>
                <w:rFonts w:asciiTheme="majorHAnsi" w:hAnsiTheme="majorHAnsi" w:cs="Arial"/>
                <w:iCs/>
                <w:sz w:val="18"/>
                <w:szCs w:val="18"/>
              </w:rPr>
              <w:t xml:space="preserve">IOPS pretende establecer un conjunto de principios y estándares internacionales de supervisión y regulación de pensiones. Es una entidad de reciente creación con el patrocinio de la OECD la cual enfatizará en la cooperación e intercambio entre reguladores de pensiones. </w:t>
            </w:r>
          </w:p>
        </w:tc>
        <w:tc>
          <w:tcPr>
            <w:tcW w:w="4296" w:type="dxa"/>
            <w:vAlign w:val="center"/>
          </w:tcPr>
          <w:p w14:paraId="06A94DBE" w14:textId="77777777" w:rsidR="0032363C" w:rsidRPr="00060053" w:rsidRDefault="0032363C" w:rsidP="00A82CA6">
            <w:pPr>
              <w:spacing w:line="360" w:lineRule="auto"/>
              <w:jc w:val="both"/>
              <w:rPr>
                <w:rFonts w:asciiTheme="majorHAnsi" w:hAnsiTheme="majorHAnsi" w:cs="Arial"/>
                <w:sz w:val="18"/>
                <w:szCs w:val="18"/>
              </w:rPr>
            </w:pPr>
            <w:r w:rsidRPr="00060053">
              <w:rPr>
                <w:rFonts w:asciiTheme="majorHAnsi" w:hAnsiTheme="majorHAnsi" w:cs="Arial"/>
                <w:sz w:val="18"/>
                <w:szCs w:val="18"/>
              </w:rPr>
              <w:t>Los principales objetivos de la organización son:</w:t>
            </w:r>
          </w:p>
          <w:p w14:paraId="06A94DBF" w14:textId="77777777" w:rsidR="0032363C"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t>Promover cooperación internacional para la regulación de las pensiones y facilitar el contacto entre diferentes agencias de supervisión, diseñadores de política pública, académicos e investigadores del tema.</w:t>
            </w:r>
          </w:p>
          <w:p w14:paraId="06A94DC0" w14:textId="77777777" w:rsidR="0032363C" w:rsidRPr="00060053" w:rsidRDefault="0032363C" w:rsidP="00A82CA6">
            <w:pPr>
              <w:jc w:val="both"/>
              <w:rPr>
                <w:rFonts w:asciiTheme="majorHAnsi" w:hAnsiTheme="majorHAnsi" w:cs="Arial"/>
                <w:sz w:val="18"/>
                <w:szCs w:val="18"/>
              </w:rPr>
            </w:pPr>
          </w:p>
          <w:p w14:paraId="06A94DC1" w14:textId="7C969BF1" w:rsidR="0032363C"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t xml:space="preserve">Permitir el mejoramiento de estadísticas en el sector </w:t>
            </w:r>
            <w:r w:rsidR="00A82CA6" w:rsidRPr="00060053">
              <w:rPr>
                <w:rFonts w:asciiTheme="majorHAnsi" w:hAnsiTheme="majorHAnsi" w:cs="Arial"/>
                <w:sz w:val="18"/>
                <w:szCs w:val="18"/>
              </w:rPr>
              <w:t>pensiones, su</w:t>
            </w:r>
            <w:r w:rsidRPr="00060053">
              <w:rPr>
                <w:rFonts w:asciiTheme="majorHAnsi" w:hAnsiTheme="majorHAnsi" w:cs="Arial"/>
                <w:sz w:val="18"/>
                <w:szCs w:val="18"/>
              </w:rPr>
              <w:t xml:space="preserve"> divulgación y análisis.</w:t>
            </w:r>
            <w:r w:rsidRPr="00060053">
              <w:rPr>
                <w:rFonts w:asciiTheme="majorHAnsi" w:hAnsiTheme="majorHAnsi" w:cs="Arial"/>
                <w:sz w:val="18"/>
                <w:szCs w:val="18"/>
              </w:rPr>
              <w:br/>
            </w:r>
          </w:p>
          <w:p w14:paraId="06A94DC2" w14:textId="77777777" w:rsidR="0032363C"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t>Promover y facilitar la comunicación de investigaciones e información entre los diferentes cuerpos reguladores.</w:t>
            </w:r>
          </w:p>
        </w:tc>
        <w:tc>
          <w:tcPr>
            <w:tcW w:w="3852" w:type="dxa"/>
            <w:vAlign w:val="center"/>
          </w:tcPr>
          <w:p w14:paraId="06A94DC3" w14:textId="77777777" w:rsidR="0032363C"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t>La IOPS es un foro de reciente creación cuyo antecedente es el INPRS (International Network of Pension</w:t>
            </w:r>
            <w:r w:rsidR="00F855F4" w:rsidRPr="00060053">
              <w:rPr>
                <w:rFonts w:asciiTheme="majorHAnsi" w:hAnsiTheme="majorHAnsi" w:cs="Arial"/>
                <w:sz w:val="18"/>
                <w:szCs w:val="18"/>
              </w:rPr>
              <w:t xml:space="preserve"> </w:t>
            </w:r>
            <w:r w:rsidRPr="00060053">
              <w:rPr>
                <w:rFonts w:asciiTheme="majorHAnsi" w:hAnsiTheme="majorHAnsi" w:cs="Arial"/>
                <w:sz w:val="18"/>
                <w:szCs w:val="18"/>
              </w:rPr>
              <w:t>Regulators and Supervisors de la OECD). A diferencia de la AIOS esta red incorpora organismos de supervisión a nivel mundial de los más diversos sistemas de pensión existentes. Constituye una red más amplia de intercambio, análisis y cooperación en el sentido de abarcar esquemas de pensión de beneficio definido.</w:t>
            </w:r>
          </w:p>
          <w:p w14:paraId="06A94DC4" w14:textId="77777777" w:rsidR="0032363C" w:rsidRPr="00060053" w:rsidRDefault="0032363C" w:rsidP="00A82CA6">
            <w:pPr>
              <w:jc w:val="both"/>
              <w:rPr>
                <w:rFonts w:asciiTheme="majorHAnsi" w:hAnsiTheme="majorHAnsi" w:cs="Arial"/>
                <w:sz w:val="18"/>
                <w:szCs w:val="18"/>
              </w:rPr>
            </w:pPr>
          </w:p>
          <w:p w14:paraId="06A94DC5" w14:textId="0601E101" w:rsidR="00611467"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t xml:space="preserve">Pertenecer a esta red permitirá a la </w:t>
            </w:r>
            <w:r w:rsidR="00D277D9">
              <w:rPr>
                <w:rFonts w:asciiTheme="majorHAnsi" w:hAnsiTheme="majorHAnsi" w:cs="Arial"/>
                <w:sz w:val="18"/>
                <w:szCs w:val="18"/>
              </w:rPr>
              <w:t>SUPEN</w:t>
            </w:r>
            <w:r w:rsidRPr="00060053">
              <w:rPr>
                <w:rFonts w:asciiTheme="majorHAnsi" w:hAnsiTheme="majorHAnsi" w:cs="Arial"/>
                <w:sz w:val="18"/>
                <w:szCs w:val="18"/>
              </w:rPr>
              <w:t xml:space="preserve"> participar en </w:t>
            </w:r>
            <w:r w:rsidR="00A82CA6" w:rsidRPr="00060053">
              <w:rPr>
                <w:rFonts w:asciiTheme="majorHAnsi" w:hAnsiTheme="majorHAnsi" w:cs="Arial"/>
                <w:sz w:val="18"/>
                <w:szCs w:val="18"/>
              </w:rPr>
              <w:t>estudios comparativos</w:t>
            </w:r>
            <w:r w:rsidRPr="00060053">
              <w:rPr>
                <w:rFonts w:asciiTheme="majorHAnsi" w:hAnsiTheme="majorHAnsi" w:cs="Arial"/>
                <w:sz w:val="18"/>
                <w:szCs w:val="18"/>
              </w:rPr>
              <w:t xml:space="preserve"> de diferentes temas regulatorios, participar en la discusión de la elaboración de principios de supervisión mundiales que sirvan de estándar regulatorio local.</w:t>
            </w:r>
          </w:p>
        </w:tc>
      </w:tr>
      <w:tr w:rsidR="0032363C" w:rsidRPr="00060053" w14:paraId="06A94DD3" w14:textId="77777777" w:rsidTr="00CA61ED">
        <w:tc>
          <w:tcPr>
            <w:tcW w:w="2263" w:type="dxa"/>
            <w:vAlign w:val="center"/>
          </w:tcPr>
          <w:p w14:paraId="06A94DCC" w14:textId="77777777" w:rsidR="00475EC6" w:rsidRPr="00060053" w:rsidRDefault="00475EC6" w:rsidP="00475EC6">
            <w:pPr>
              <w:rPr>
                <w:rFonts w:asciiTheme="majorHAnsi" w:hAnsiTheme="majorHAnsi" w:cs="Arial"/>
                <w:b/>
                <w:sz w:val="18"/>
                <w:szCs w:val="18"/>
              </w:rPr>
            </w:pPr>
            <w:r w:rsidRPr="00060053">
              <w:rPr>
                <w:rFonts w:asciiTheme="majorHAnsi" w:hAnsiTheme="majorHAnsi" w:cs="Arial"/>
                <w:b/>
                <w:sz w:val="18"/>
                <w:szCs w:val="18"/>
              </w:rPr>
              <w:t>Asociación Internacional de Organismos de Supervisión</w:t>
            </w:r>
          </w:p>
          <w:p w14:paraId="06A94DCD" w14:textId="77777777" w:rsidR="0032363C" w:rsidRPr="00060053" w:rsidRDefault="0032363C" w:rsidP="00475EC6">
            <w:pPr>
              <w:rPr>
                <w:rFonts w:asciiTheme="majorHAnsi" w:hAnsiTheme="majorHAnsi" w:cs="Arial"/>
                <w:b/>
                <w:sz w:val="18"/>
                <w:szCs w:val="18"/>
              </w:rPr>
            </w:pPr>
            <w:r w:rsidRPr="00060053">
              <w:rPr>
                <w:rFonts w:asciiTheme="majorHAnsi" w:hAnsiTheme="majorHAnsi" w:cs="Arial"/>
                <w:b/>
                <w:sz w:val="18"/>
                <w:szCs w:val="18"/>
              </w:rPr>
              <w:t>AIOS</w:t>
            </w:r>
          </w:p>
        </w:tc>
        <w:tc>
          <w:tcPr>
            <w:tcW w:w="2792" w:type="dxa"/>
            <w:vAlign w:val="center"/>
          </w:tcPr>
          <w:p w14:paraId="06A94DCE" w14:textId="77777777" w:rsidR="0032363C" w:rsidRPr="00060053" w:rsidRDefault="0032363C" w:rsidP="00A82CA6">
            <w:pPr>
              <w:jc w:val="both"/>
              <w:rPr>
                <w:rFonts w:asciiTheme="majorHAnsi" w:hAnsiTheme="majorHAnsi" w:cs="Arial"/>
                <w:sz w:val="18"/>
                <w:szCs w:val="18"/>
              </w:rPr>
            </w:pPr>
            <w:r w:rsidRPr="00060053">
              <w:rPr>
                <w:rStyle w:val="textoazul1"/>
                <w:rFonts w:asciiTheme="majorHAnsi" w:hAnsiTheme="majorHAnsi"/>
                <w:color w:val="auto"/>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Pr>
                <w:rStyle w:val="textoazul1"/>
                <w:rFonts w:asciiTheme="majorHAnsi" w:hAnsiTheme="majorHAnsi"/>
                <w:color w:val="auto"/>
              </w:rPr>
              <w:t>Panamá</w:t>
            </w:r>
            <w:r w:rsidRPr="00060053">
              <w:rPr>
                <w:rStyle w:val="textoazul1"/>
                <w:rFonts w:asciiTheme="majorHAnsi" w:hAnsiTheme="majorHAnsi"/>
                <w:color w:val="auto"/>
              </w:rPr>
              <w:t>, República Dominicana y Uruguay.</w:t>
            </w:r>
          </w:p>
        </w:tc>
        <w:tc>
          <w:tcPr>
            <w:tcW w:w="4296" w:type="dxa"/>
            <w:vAlign w:val="center"/>
          </w:tcPr>
          <w:p w14:paraId="13354370" w14:textId="77777777" w:rsidR="00A82CA6" w:rsidRDefault="0032363C" w:rsidP="00A82CA6">
            <w:pPr>
              <w:jc w:val="both"/>
              <w:rPr>
                <w:rStyle w:val="textoazul1"/>
                <w:rFonts w:asciiTheme="majorHAnsi" w:hAnsiTheme="majorHAnsi"/>
                <w:color w:val="auto"/>
              </w:rPr>
            </w:pPr>
            <w:r w:rsidRPr="00060053">
              <w:rPr>
                <w:rStyle w:val="textoazul1"/>
                <w:rFonts w:asciiTheme="majorHAnsi" w:hAnsiTheme="majorHAnsi"/>
                <w:color w:val="auto"/>
              </w:rPr>
              <w:t>Son objetivos centrales de la AIOS: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Fomentar la interrelación entre los organismos encargados de la supervisión y control de la administración de los Fondos de Jubilaciones y Pensiones, tendiente al mejor cumplimiento de sus fines específicos.</w:t>
            </w:r>
          </w:p>
          <w:p w14:paraId="06A94DCF" w14:textId="53B99FD3" w:rsidR="0032363C"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br/>
            </w:r>
            <w:r w:rsidRPr="00060053">
              <w:rPr>
                <w:rStyle w:val="textoazul1"/>
                <w:rFonts w:asciiTheme="majorHAnsi" w:hAnsiTheme="majorHAnsi"/>
                <w:color w:val="auto"/>
              </w:rPr>
              <w:t>Destacar la función del Estado, a través de dichos organismos, para garantizar los principios de transparencia, seguridad, legalidad y solidaridad en la administración de los Fondos de Pensiones.</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 xml:space="preserve">Establecer y desarrollar programas de investigación, estudio y capacitación permanente en las cuestiones que hacen a la problemática del sistema previsional basado total o parcialmente en la capitalización </w:t>
            </w:r>
            <w:r w:rsidRPr="00060053">
              <w:rPr>
                <w:rStyle w:val="textoazul1"/>
                <w:rFonts w:asciiTheme="majorHAnsi" w:hAnsiTheme="majorHAnsi"/>
                <w:color w:val="auto"/>
              </w:rPr>
              <w:lastRenderedPageBreak/>
              <w:t>individual.</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Proveer y facilitar el intercambio de información entre sus miembros en todas las materias que hacen a las funciones que ejercen y, en especial, la referida a legislación, jurisprudencia administrativa y judicial, sistemas operativos, métodos de control, procedimientos y prácticas de supervisión y régimen sancionador.</w:t>
            </w:r>
          </w:p>
          <w:p w14:paraId="06A94DD0" w14:textId="77777777" w:rsidR="0032363C" w:rsidRPr="00060053" w:rsidRDefault="0032363C" w:rsidP="00A82CA6">
            <w:pPr>
              <w:jc w:val="both"/>
              <w:rPr>
                <w:rFonts w:asciiTheme="majorHAnsi" w:hAnsiTheme="majorHAnsi" w:cs="Arial"/>
                <w:sz w:val="18"/>
                <w:szCs w:val="18"/>
              </w:rPr>
            </w:pPr>
          </w:p>
          <w:p w14:paraId="3B0E874F" w14:textId="77777777" w:rsidR="00A82CA6" w:rsidRDefault="0032363C" w:rsidP="00A82CA6">
            <w:pPr>
              <w:jc w:val="both"/>
              <w:rPr>
                <w:rStyle w:val="textoazul1"/>
                <w:rFonts w:asciiTheme="majorHAnsi" w:hAnsiTheme="majorHAnsi"/>
                <w:color w:val="auto"/>
              </w:rPr>
            </w:pPr>
            <w:r w:rsidRPr="00060053">
              <w:rPr>
                <w:rStyle w:val="textoazul1"/>
                <w:rFonts w:asciiTheme="majorHAnsi" w:hAnsiTheme="majorHAnsi"/>
                <w:color w:val="auto"/>
              </w:rPr>
              <w:t>Promover la capacitación y entrenamiento constante y permanente de sus cuadros técnicos y profesionales, y el aprovechamiento de experiencias a través del intercambio de personal especializado, de información y otros medios.</w:t>
            </w:r>
          </w:p>
          <w:p w14:paraId="38E8DD66" w14:textId="77777777" w:rsidR="00A82CA6" w:rsidRDefault="0032363C" w:rsidP="00A82CA6">
            <w:pPr>
              <w:jc w:val="both"/>
              <w:rPr>
                <w:rStyle w:val="textoazul1"/>
                <w:rFonts w:asciiTheme="majorHAnsi" w:hAnsiTheme="majorHAnsi"/>
                <w:color w:val="auto"/>
              </w:rPr>
            </w:pPr>
            <w:r w:rsidRPr="00060053">
              <w:rPr>
                <w:rFonts w:asciiTheme="majorHAnsi" w:hAnsiTheme="majorHAnsi" w:cs="Arial"/>
                <w:sz w:val="18"/>
                <w:szCs w:val="18"/>
              </w:rPr>
              <w:br/>
            </w:r>
            <w:r w:rsidRPr="00060053">
              <w:rPr>
                <w:rStyle w:val="textoazul1"/>
                <w:rFonts w:asciiTheme="majorHAnsi" w:hAnsiTheme="majorHAnsi"/>
                <w:color w:val="auto"/>
              </w:rPr>
              <w:t>Tender a la mayor estandarización posible del marco conceptual y normativo de la regulación y control, de la administración de Fondos de Pensiones.</w:t>
            </w:r>
          </w:p>
          <w:p w14:paraId="06A94DD1" w14:textId="5E53336E" w:rsidR="0032363C"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br/>
            </w:r>
            <w:r w:rsidRPr="00060053">
              <w:rPr>
                <w:rStyle w:val="textoazul1"/>
                <w:rFonts w:asciiTheme="majorHAnsi" w:hAnsiTheme="majorHAnsi"/>
                <w:color w:val="auto"/>
              </w:rPr>
              <w:t>Apoyar, a su solicitud, los cambios de la legislación interna de otros países para que se adopten Sistemas de Pensiones derivados de la capitalización individual.</w:t>
            </w:r>
            <w:r w:rsidRPr="00060053">
              <w:rPr>
                <w:rFonts w:asciiTheme="majorHAnsi" w:hAnsiTheme="majorHAnsi" w:cs="Arial"/>
                <w:sz w:val="18"/>
                <w:szCs w:val="18"/>
              </w:rPr>
              <w:br/>
            </w:r>
            <w:r w:rsidRPr="00060053">
              <w:rPr>
                <w:rFonts w:asciiTheme="majorHAnsi" w:hAnsiTheme="majorHAnsi" w:cs="Arial"/>
                <w:sz w:val="18"/>
                <w:szCs w:val="18"/>
              </w:rPr>
              <w:br/>
            </w:r>
            <w:r w:rsidRPr="00060053">
              <w:rPr>
                <w:rStyle w:val="textoazul1"/>
                <w:rFonts w:asciiTheme="majorHAnsi" w:hAnsiTheme="majorHAnsi"/>
                <w:color w:val="auto"/>
              </w:rPr>
              <w:t>En general, realizar todas las acciones tendientes al fortalecimiento, perfeccionamiento y expansión de los sistemas previsionales de capitalización individual, que no sean contrarias a las leyes nacionales e internacionales y a la ética.</w:t>
            </w:r>
          </w:p>
        </w:tc>
        <w:tc>
          <w:tcPr>
            <w:tcW w:w="3852" w:type="dxa"/>
            <w:vAlign w:val="center"/>
          </w:tcPr>
          <w:p w14:paraId="06A94DD2" w14:textId="77777777" w:rsidR="00611467" w:rsidRPr="00060053" w:rsidRDefault="0032363C" w:rsidP="00A82CA6">
            <w:pPr>
              <w:jc w:val="both"/>
              <w:rPr>
                <w:rFonts w:asciiTheme="majorHAnsi" w:hAnsiTheme="majorHAnsi" w:cs="Arial"/>
                <w:sz w:val="18"/>
                <w:szCs w:val="18"/>
              </w:rPr>
            </w:pPr>
            <w:r w:rsidRPr="00060053">
              <w:rPr>
                <w:rFonts w:asciiTheme="majorHAnsi" w:hAnsiTheme="majorHAnsi" w:cs="Arial"/>
                <w:sz w:val="18"/>
                <w:szCs w:val="18"/>
              </w:rPr>
              <w:lastRenderedPageBreak/>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p>
        </w:tc>
      </w:tr>
      <w:tr w:rsidR="005303B0" w:rsidRPr="00060053" w14:paraId="7F481BBE" w14:textId="77777777" w:rsidTr="005303B0">
        <w:trPr>
          <w:trHeight w:val="412"/>
        </w:trPr>
        <w:tc>
          <w:tcPr>
            <w:tcW w:w="2263" w:type="dxa"/>
            <w:shd w:val="clear" w:color="auto" w:fill="auto"/>
            <w:vAlign w:val="center"/>
          </w:tcPr>
          <w:p w14:paraId="5BCAA8DB" w14:textId="77777777" w:rsidR="005303B0" w:rsidRPr="00060053" w:rsidRDefault="005303B0" w:rsidP="005303B0">
            <w:pPr>
              <w:rPr>
                <w:rFonts w:asciiTheme="majorHAnsi" w:hAnsiTheme="majorHAnsi" w:cs="Arial"/>
                <w:b/>
                <w:sz w:val="18"/>
                <w:szCs w:val="18"/>
              </w:rPr>
            </w:pPr>
            <w:r w:rsidRPr="00060053">
              <w:rPr>
                <w:rFonts w:asciiTheme="majorHAnsi" w:hAnsiTheme="majorHAnsi" w:cs="Arial"/>
                <w:b/>
                <w:sz w:val="18"/>
                <w:szCs w:val="18"/>
              </w:rPr>
              <w:t>Conferencia Internacional de Seguridad Social</w:t>
            </w:r>
          </w:p>
          <w:p w14:paraId="134AE685" w14:textId="08BCCDA0" w:rsidR="005303B0" w:rsidRPr="00060053" w:rsidRDefault="005303B0" w:rsidP="005303B0">
            <w:pPr>
              <w:rPr>
                <w:rFonts w:asciiTheme="majorHAnsi" w:hAnsiTheme="majorHAnsi"/>
                <w:b/>
                <w:sz w:val="18"/>
                <w:szCs w:val="18"/>
              </w:rPr>
            </w:pPr>
            <w:r w:rsidRPr="00060053">
              <w:rPr>
                <w:rFonts w:asciiTheme="majorHAnsi" w:hAnsiTheme="majorHAnsi" w:cs="Arial"/>
                <w:b/>
                <w:sz w:val="18"/>
                <w:szCs w:val="18"/>
              </w:rPr>
              <w:t>CISS</w:t>
            </w:r>
          </w:p>
        </w:tc>
        <w:tc>
          <w:tcPr>
            <w:tcW w:w="2792" w:type="dxa"/>
            <w:shd w:val="clear" w:color="auto" w:fill="auto"/>
            <w:vAlign w:val="center"/>
          </w:tcPr>
          <w:p w14:paraId="3B7A44EC" w14:textId="7154606F" w:rsidR="005303B0" w:rsidRPr="00060053" w:rsidRDefault="005303B0" w:rsidP="00A82CA6">
            <w:pPr>
              <w:jc w:val="both"/>
              <w:rPr>
                <w:rFonts w:asciiTheme="majorHAnsi" w:hAnsiTheme="majorHAnsi"/>
                <w:sz w:val="18"/>
                <w:szCs w:val="18"/>
              </w:rPr>
            </w:pPr>
            <w:r w:rsidRPr="00060053">
              <w:rPr>
                <w:rFonts w:asciiTheme="majorHAnsi" w:hAnsiTheme="majorHAnsi" w:cs="Arial"/>
                <w:sz w:val="18"/>
                <w:szCs w:val="18"/>
              </w:rPr>
              <w:t xml:space="preserve">La CISS es un organismo internacional, técnico, especializado y sin fines de lucro, de carácter </w:t>
            </w:r>
            <w:r w:rsidR="00A82CA6" w:rsidRPr="00060053">
              <w:rPr>
                <w:rFonts w:asciiTheme="majorHAnsi" w:hAnsiTheme="majorHAnsi" w:cs="Arial"/>
                <w:sz w:val="18"/>
                <w:szCs w:val="18"/>
              </w:rPr>
              <w:t>permanente,</w:t>
            </w:r>
            <w:r w:rsidRPr="00060053">
              <w:rPr>
                <w:rFonts w:asciiTheme="majorHAnsi" w:hAnsiTheme="majorHAnsi" w:cs="Arial"/>
                <w:sz w:val="18"/>
                <w:szCs w:val="18"/>
              </w:rPr>
              <w:t xml:space="preserve"> integrado por órganos gubernamentales, instituciones y otras entidades de América, que </w:t>
            </w:r>
            <w:r w:rsidRPr="00060053">
              <w:rPr>
                <w:rFonts w:asciiTheme="majorHAnsi" w:hAnsiTheme="majorHAnsi" w:cs="Arial"/>
                <w:sz w:val="18"/>
                <w:szCs w:val="18"/>
              </w:rPr>
              <w:lastRenderedPageBreak/>
              <w:t>norman, administran, gestionan, supervisan, estudian o investigan uno o más aspectos de la seguridad social.</w:t>
            </w:r>
            <w:r w:rsidRPr="00060053">
              <w:rPr>
                <w:rFonts w:asciiTheme="majorHAnsi" w:hAnsiTheme="majorHAnsi" w:cs="Arial"/>
                <w:sz w:val="18"/>
                <w:szCs w:val="18"/>
              </w:rPr>
              <w:br/>
            </w:r>
            <w:r w:rsidRPr="00060053">
              <w:rPr>
                <w:rFonts w:asciiTheme="majorHAnsi" w:hAnsiTheme="majorHAnsi" w:cs="Arial"/>
                <w:sz w:val="18"/>
                <w:szCs w:val="18"/>
              </w:rPr>
              <w:br/>
              <w:t xml:space="preserve">La CISS fue fundada en 1942, en Santiago de Chile y actualmente cuenta con </w:t>
            </w:r>
            <w:r>
              <w:rPr>
                <w:rFonts w:asciiTheme="majorHAnsi" w:hAnsiTheme="majorHAnsi" w:cs="Arial"/>
                <w:sz w:val="18"/>
                <w:szCs w:val="18"/>
              </w:rPr>
              <w:t>70</w:t>
            </w:r>
            <w:r w:rsidRPr="00060053">
              <w:rPr>
                <w:rFonts w:asciiTheme="majorHAnsi" w:hAnsiTheme="majorHAnsi" w:cs="Arial"/>
                <w:sz w:val="18"/>
                <w:szCs w:val="18"/>
              </w:rPr>
              <w:t xml:space="preserve"> instituciones miembros que representan a 36 países de América</w:t>
            </w:r>
            <w:r>
              <w:rPr>
                <w:rFonts w:asciiTheme="majorHAnsi" w:hAnsiTheme="majorHAnsi" w:cs="Arial"/>
                <w:sz w:val="18"/>
                <w:szCs w:val="18"/>
              </w:rPr>
              <w:t>.</w:t>
            </w:r>
          </w:p>
        </w:tc>
        <w:tc>
          <w:tcPr>
            <w:tcW w:w="4296" w:type="dxa"/>
            <w:shd w:val="clear" w:color="auto" w:fill="auto"/>
            <w:vAlign w:val="center"/>
          </w:tcPr>
          <w:p w14:paraId="29D6288F" w14:textId="77777777" w:rsidR="005303B0" w:rsidRPr="00060053" w:rsidRDefault="005303B0" w:rsidP="00A82CA6">
            <w:pPr>
              <w:pStyle w:val="NormalWeb"/>
              <w:jc w:val="both"/>
              <w:rPr>
                <w:rFonts w:asciiTheme="majorHAnsi" w:hAnsiTheme="majorHAnsi" w:cs="Arial"/>
                <w:sz w:val="18"/>
                <w:szCs w:val="18"/>
              </w:rPr>
            </w:pPr>
            <w:smartTag w:uri="urn:schemas-microsoft-com:office:smarttags" w:element="PersonName">
              <w:smartTagPr>
                <w:attr w:name="ProductID" w:val="La Conferencia Interamericana"/>
              </w:smartTagPr>
              <w:r w:rsidRPr="00060053">
                <w:rPr>
                  <w:rFonts w:asciiTheme="majorHAnsi" w:hAnsiTheme="majorHAnsi" w:cs="Arial"/>
                  <w:sz w:val="18"/>
                  <w:szCs w:val="18"/>
                </w:rPr>
                <w:lastRenderedPageBreak/>
                <w:t>La Conferencia Interamericana</w:t>
              </w:r>
            </w:smartTag>
            <w:r w:rsidRPr="00060053">
              <w:rPr>
                <w:rFonts w:asciiTheme="majorHAnsi" w:hAnsiTheme="majorHAnsi" w:cs="Arial"/>
                <w:sz w:val="18"/>
                <w:szCs w:val="18"/>
              </w:rPr>
              <w:t xml:space="preserve"> de Seguridad Social (CISS) es un organismo internacional técnico y especializado, de carácter permanente que tiene las siguientes finalidades:</w:t>
            </w:r>
          </w:p>
          <w:p w14:paraId="17DEBEDB" w14:textId="77777777" w:rsidR="005303B0" w:rsidRPr="00060053" w:rsidRDefault="005303B0" w:rsidP="00A82CA6">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Theme="majorHAnsi" w:hAnsiTheme="majorHAnsi" w:cs="Arial"/>
                <w:sz w:val="18"/>
                <w:szCs w:val="18"/>
              </w:rPr>
            </w:pPr>
            <w:r w:rsidRPr="00060053">
              <w:rPr>
                <w:rFonts w:asciiTheme="majorHAnsi" w:hAnsiTheme="majorHAnsi" w:cs="Arial"/>
                <w:sz w:val="18"/>
                <w:szCs w:val="18"/>
              </w:rPr>
              <w:t xml:space="preserve">Contribuir al desarrollo de la seguridad social en los países de América, y cooperar con las </w:t>
            </w:r>
            <w:r w:rsidRPr="00060053">
              <w:rPr>
                <w:rFonts w:asciiTheme="majorHAnsi" w:hAnsiTheme="majorHAnsi" w:cs="Arial"/>
                <w:sz w:val="18"/>
                <w:szCs w:val="18"/>
              </w:rPr>
              <w:lastRenderedPageBreak/>
              <w:t xml:space="preserve">instituciones y administraciones de seguridad social. </w:t>
            </w:r>
          </w:p>
          <w:p w14:paraId="574CA748" w14:textId="77777777" w:rsidR="005303B0" w:rsidRPr="00060053" w:rsidRDefault="005303B0" w:rsidP="00A82CA6">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Theme="majorHAnsi" w:hAnsiTheme="majorHAnsi" w:cs="Arial"/>
                <w:sz w:val="18"/>
                <w:szCs w:val="18"/>
              </w:rPr>
            </w:pPr>
            <w:r w:rsidRPr="00060053">
              <w:rPr>
                <w:rFonts w:asciiTheme="majorHAnsi" w:hAnsiTheme="majorHAnsi" w:cs="Arial"/>
                <w:sz w:val="18"/>
                <w:szCs w:val="18"/>
              </w:rPr>
              <w:t xml:space="preserve">Emitir declaraciones, adoptar resoluciones y formular recomendaciones en materia de seguridad social, y promover su difusión para que se consideren en las políticas y programas de planificación. </w:t>
            </w:r>
          </w:p>
          <w:p w14:paraId="32BA5930" w14:textId="77777777" w:rsidR="005303B0" w:rsidRPr="00060053" w:rsidRDefault="005303B0" w:rsidP="00A82CA6">
            <w:pPr>
              <w:numPr>
                <w:ilvl w:val="0"/>
                <w:numId w:val="6"/>
              </w:numPr>
              <w:tabs>
                <w:tab w:val="clear" w:pos="720"/>
              </w:tabs>
              <w:overflowPunct w:val="0"/>
              <w:autoSpaceDE w:val="0"/>
              <w:autoSpaceDN w:val="0"/>
              <w:adjustRightInd w:val="0"/>
              <w:spacing w:before="100" w:beforeAutospacing="1" w:after="100" w:afterAutospacing="1"/>
              <w:ind w:left="432"/>
              <w:jc w:val="both"/>
              <w:textAlignment w:val="baseline"/>
              <w:rPr>
                <w:rFonts w:asciiTheme="majorHAnsi" w:hAnsiTheme="majorHAnsi" w:cs="Arial"/>
                <w:sz w:val="18"/>
                <w:szCs w:val="18"/>
              </w:rPr>
            </w:pPr>
            <w:r w:rsidRPr="00060053">
              <w:rPr>
                <w:rFonts w:asciiTheme="majorHAnsi" w:hAnsiTheme="majorHAnsi" w:cs="Arial"/>
                <w:sz w:val="18"/>
                <w:szCs w:val="18"/>
              </w:rPr>
              <w:t xml:space="preserve">Impulsar la cooperación e intercambio de experiencias entre las instituciones y administraciones de seguridad social y con otras instituciones y organizaciones afines. </w:t>
            </w:r>
          </w:p>
          <w:p w14:paraId="5CB2EBF2" w14:textId="31FC4CB9" w:rsidR="005303B0" w:rsidRPr="005303B0" w:rsidRDefault="005303B0" w:rsidP="00A82CA6">
            <w:pPr>
              <w:pStyle w:val="Prrafodelista"/>
              <w:numPr>
                <w:ilvl w:val="0"/>
                <w:numId w:val="6"/>
              </w:numPr>
              <w:tabs>
                <w:tab w:val="clear" w:pos="720"/>
              </w:tabs>
              <w:ind w:left="502"/>
              <w:rPr>
                <w:rFonts w:asciiTheme="majorHAnsi" w:hAnsiTheme="majorHAnsi" w:cs="Arial"/>
                <w:sz w:val="18"/>
                <w:szCs w:val="18"/>
              </w:rPr>
            </w:pPr>
            <w:r w:rsidRPr="005303B0">
              <w:rPr>
                <w:rFonts w:asciiTheme="majorHAnsi" w:hAnsiTheme="majorHAnsi" w:cs="Arial"/>
                <w:sz w:val="18"/>
                <w:szCs w:val="18"/>
              </w:rPr>
              <w:t>Fomentar y orientar la capacitación de recursos humanos al servicio de la seguridad social.</w:t>
            </w:r>
          </w:p>
        </w:tc>
        <w:tc>
          <w:tcPr>
            <w:tcW w:w="3852" w:type="dxa"/>
            <w:shd w:val="clear" w:color="auto" w:fill="auto"/>
            <w:vAlign w:val="center"/>
          </w:tcPr>
          <w:p w14:paraId="09F7EFD9" w14:textId="6AE80178" w:rsidR="005303B0" w:rsidRPr="00060053" w:rsidRDefault="005303B0" w:rsidP="00A82CA6">
            <w:pPr>
              <w:jc w:val="both"/>
              <w:rPr>
                <w:rFonts w:asciiTheme="majorHAnsi" w:hAnsiTheme="majorHAnsi" w:cs="Arial"/>
                <w:sz w:val="18"/>
                <w:szCs w:val="18"/>
              </w:rPr>
            </w:pPr>
            <w:r w:rsidRPr="00060053">
              <w:rPr>
                <w:rFonts w:asciiTheme="majorHAnsi" w:hAnsiTheme="majorHAnsi" w:cs="Arial"/>
                <w:sz w:val="18"/>
                <w:szCs w:val="18"/>
              </w:rPr>
              <w:lastRenderedPageBreak/>
              <w:t xml:space="preserve">La afiliación a este organismo permite intercambiar en un foro del más alto nivel experiencias exitosas de reforma, gestión, regulación y supervisión de sistemas de pensiones a nivel interamericano. Además de ello, el CISS mantiene comisiones permanentes de trabajo en las áreas de Actuaría y </w:t>
            </w:r>
            <w:r w:rsidRPr="00060053">
              <w:rPr>
                <w:rFonts w:asciiTheme="majorHAnsi" w:hAnsiTheme="majorHAnsi" w:cs="Arial"/>
                <w:sz w:val="18"/>
                <w:szCs w:val="18"/>
              </w:rPr>
              <w:lastRenderedPageBreak/>
              <w:t xml:space="preserve">Financiamiento y </w:t>
            </w:r>
            <w:r w:rsidR="00A82CA6" w:rsidRPr="00060053">
              <w:rPr>
                <w:rFonts w:asciiTheme="majorHAnsi" w:hAnsiTheme="majorHAnsi" w:cs="Arial"/>
                <w:sz w:val="18"/>
                <w:szCs w:val="18"/>
              </w:rPr>
              <w:t>actuarial, materias</w:t>
            </w:r>
            <w:r w:rsidRPr="00060053">
              <w:rPr>
                <w:rFonts w:asciiTheme="majorHAnsi" w:hAnsiTheme="majorHAnsi" w:cs="Arial"/>
                <w:sz w:val="18"/>
                <w:szCs w:val="18"/>
              </w:rPr>
              <w:t xml:space="preserve"> de </w:t>
            </w:r>
            <w:r w:rsidR="00A82CA6">
              <w:rPr>
                <w:rFonts w:asciiTheme="majorHAnsi" w:hAnsiTheme="majorHAnsi" w:cs="Arial"/>
                <w:sz w:val="18"/>
                <w:szCs w:val="18"/>
              </w:rPr>
              <w:t>permanente interés para la SUPEN</w:t>
            </w:r>
            <w:r w:rsidRPr="00060053">
              <w:rPr>
                <w:rFonts w:asciiTheme="majorHAnsi" w:hAnsiTheme="majorHAnsi" w:cs="Arial"/>
                <w:sz w:val="18"/>
                <w:szCs w:val="18"/>
              </w:rPr>
              <w:t>.</w:t>
            </w:r>
          </w:p>
          <w:p w14:paraId="07B90744" w14:textId="77777777" w:rsidR="005303B0" w:rsidRPr="00060053" w:rsidRDefault="005303B0" w:rsidP="00A82CA6">
            <w:pPr>
              <w:jc w:val="both"/>
              <w:rPr>
                <w:rFonts w:asciiTheme="majorHAnsi" w:hAnsiTheme="majorHAnsi" w:cs="Arial"/>
                <w:sz w:val="18"/>
                <w:szCs w:val="18"/>
              </w:rPr>
            </w:pPr>
          </w:p>
          <w:p w14:paraId="5712976D" w14:textId="00C17EDB" w:rsidR="005303B0" w:rsidRPr="00060053" w:rsidRDefault="005303B0" w:rsidP="00A82CA6">
            <w:pPr>
              <w:jc w:val="both"/>
              <w:rPr>
                <w:rFonts w:asciiTheme="majorHAnsi" w:hAnsiTheme="majorHAnsi" w:cs="Arial"/>
                <w:sz w:val="18"/>
                <w:szCs w:val="18"/>
              </w:rPr>
            </w:pPr>
            <w:r w:rsidRPr="00060053">
              <w:rPr>
                <w:rFonts w:asciiTheme="majorHAnsi" w:hAnsiTheme="majorHAnsi" w:cs="Arial"/>
                <w:sz w:val="18"/>
                <w:szCs w:val="18"/>
              </w:rPr>
              <w:t>Finalmente, el CISS cuenta con el Centro Interamericano de Estudios en Seguridad Social, brazo académico que mantiene en forma regular cursos de interés para la S</w:t>
            </w:r>
            <w:r w:rsidR="00A82CA6">
              <w:rPr>
                <w:rFonts w:asciiTheme="majorHAnsi" w:hAnsiTheme="majorHAnsi" w:cs="Arial"/>
                <w:sz w:val="18"/>
                <w:szCs w:val="18"/>
              </w:rPr>
              <w:t>UPEN</w:t>
            </w:r>
            <w:r w:rsidRPr="00060053">
              <w:rPr>
                <w:rFonts w:asciiTheme="majorHAnsi" w:hAnsiTheme="majorHAnsi" w:cs="Arial"/>
                <w:sz w:val="18"/>
                <w:szCs w:val="18"/>
              </w:rPr>
              <w:t>. El acceso a estos cursos permite lograr objetivos de capacitación específica, de alto nivel y a un costo razonable para las entidades miembros.</w:t>
            </w:r>
          </w:p>
        </w:tc>
      </w:tr>
      <w:tr w:rsidR="005303B0" w:rsidRPr="00060053" w14:paraId="060C8633" w14:textId="77777777" w:rsidTr="005303B0">
        <w:trPr>
          <w:trHeight w:val="412"/>
        </w:trPr>
        <w:tc>
          <w:tcPr>
            <w:tcW w:w="2263" w:type="dxa"/>
            <w:shd w:val="clear" w:color="auto" w:fill="auto"/>
            <w:vAlign w:val="center"/>
          </w:tcPr>
          <w:p w14:paraId="0C48DE07" w14:textId="5F4AD0EE" w:rsidR="005303B0" w:rsidRDefault="005303B0" w:rsidP="005303B0">
            <w:pPr>
              <w:rPr>
                <w:rFonts w:asciiTheme="majorHAnsi" w:hAnsiTheme="majorHAnsi"/>
                <w:b/>
                <w:sz w:val="18"/>
                <w:szCs w:val="18"/>
              </w:rPr>
            </w:pPr>
            <w:r w:rsidRPr="005303B0">
              <w:rPr>
                <w:rFonts w:asciiTheme="majorHAnsi" w:hAnsiTheme="majorHAnsi"/>
                <w:b/>
                <w:bCs/>
                <w:sz w:val="18"/>
                <w:szCs w:val="18"/>
                <w:lang w:val="es-CR"/>
              </w:rPr>
              <w:lastRenderedPageBreak/>
              <w:t>Organización Iberoamericana</w:t>
            </w:r>
            <w:r w:rsidRPr="005303B0">
              <w:rPr>
                <w:rFonts w:asciiTheme="majorHAnsi" w:hAnsiTheme="majorHAnsi"/>
                <w:b/>
                <w:bCs/>
                <w:sz w:val="18"/>
                <w:szCs w:val="18"/>
                <w:lang w:val="es-CR"/>
              </w:rPr>
              <w:br/>
              <w:t>de Seguridad Social.</w:t>
            </w:r>
          </w:p>
        </w:tc>
        <w:tc>
          <w:tcPr>
            <w:tcW w:w="2792" w:type="dxa"/>
            <w:shd w:val="clear" w:color="auto" w:fill="auto"/>
            <w:vAlign w:val="center"/>
          </w:tcPr>
          <w:p w14:paraId="19D5EAA4" w14:textId="77777777" w:rsidR="005303B0" w:rsidRPr="005303B0" w:rsidRDefault="005303B0" w:rsidP="00A82CA6">
            <w:pPr>
              <w:jc w:val="both"/>
              <w:rPr>
                <w:rFonts w:asciiTheme="majorHAnsi" w:hAnsiTheme="majorHAnsi" w:cs="Arial"/>
                <w:sz w:val="18"/>
                <w:szCs w:val="18"/>
              </w:rPr>
            </w:pPr>
            <w:r w:rsidRPr="005303B0">
              <w:rPr>
                <w:rFonts w:asciiTheme="majorHAnsi" w:hAnsiTheme="majorHAnsi" w:cs="Arial"/>
                <w:sz w:val="18"/>
                <w:szCs w:val="18"/>
              </w:rPr>
              <w:t>Organismo de carácter técnico y especializado, que tiene como finalidad promover el bienestar económico y social mediante la coordinación e intercambio de experiencias en Seguridad Social, con sus oficinas centrales en España.</w:t>
            </w:r>
          </w:p>
          <w:p w14:paraId="3E9755F1" w14:textId="77777777" w:rsidR="005303B0" w:rsidRPr="005303B0" w:rsidRDefault="005303B0" w:rsidP="00A82CA6">
            <w:pPr>
              <w:jc w:val="both"/>
              <w:rPr>
                <w:rFonts w:asciiTheme="majorHAnsi" w:hAnsiTheme="majorHAnsi" w:cs="Arial"/>
                <w:sz w:val="18"/>
                <w:szCs w:val="18"/>
              </w:rPr>
            </w:pPr>
            <w:r w:rsidRPr="005303B0">
              <w:rPr>
                <w:rFonts w:asciiTheme="majorHAnsi" w:hAnsiTheme="majorHAnsi" w:cs="Arial"/>
                <w:sz w:val="18"/>
                <w:szCs w:val="18"/>
              </w:rPr>
              <w:t>Está constituida por más de 160 instituciones.</w:t>
            </w:r>
          </w:p>
          <w:p w14:paraId="627A7381" w14:textId="77777777" w:rsidR="005303B0" w:rsidRPr="00060053" w:rsidRDefault="005303B0" w:rsidP="00A82CA6">
            <w:pPr>
              <w:jc w:val="both"/>
              <w:rPr>
                <w:rFonts w:asciiTheme="majorHAnsi" w:hAnsiTheme="majorHAnsi" w:cs="Arial"/>
                <w:sz w:val="18"/>
                <w:szCs w:val="18"/>
              </w:rPr>
            </w:pPr>
          </w:p>
        </w:tc>
        <w:tc>
          <w:tcPr>
            <w:tcW w:w="4296" w:type="dxa"/>
            <w:shd w:val="clear" w:color="auto" w:fill="auto"/>
            <w:vAlign w:val="center"/>
          </w:tcPr>
          <w:p w14:paraId="2B722592" w14:textId="77777777" w:rsidR="00C914CA" w:rsidRPr="0059031C" w:rsidRDefault="00C914CA" w:rsidP="00A82CA6">
            <w:pPr>
              <w:pStyle w:val="NormalWeb"/>
              <w:numPr>
                <w:ilvl w:val="0"/>
                <w:numId w:val="25"/>
              </w:numPr>
              <w:jc w:val="both"/>
              <w:rPr>
                <w:rFonts w:asciiTheme="majorHAnsi" w:hAnsiTheme="majorHAnsi" w:cs="Arial"/>
                <w:sz w:val="18"/>
                <w:szCs w:val="18"/>
              </w:rPr>
            </w:pPr>
            <w:r w:rsidRPr="0059031C">
              <w:rPr>
                <w:rFonts w:asciiTheme="majorHAnsi" w:eastAsia="Times New Roman" w:hAnsiTheme="majorHAnsi" w:cs="Arial"/>
                <w:sz w:val="18"/>
                <w:szCs w:val="18"/>
              </w:rPr>
              <w:t>Promover acciones para la universalización de la Seguridad Social.</w:t>
            </w:r>
          </w:p>
          <w:p w14:paraId="55182AFA" w14:textId="77777777" w:rsidR="00C914CA" w:rsidRPr="0059031C" w:rsidRDefault="00C914CA" w:rsidP="00A82CA6">
            <w:pPr>
              <w:pStyle w:val="NormalWeb"/>
              <w:numPr>
                <w:ilvl w:val="0"/>
                <w:numId w:val="25"/>
              </w:numPr>
              <w:jc w:val="both"/>
              <w:rPr>
                <w:rFonts w:asciiTheme="majorHAnsi" w:hAnsiTheme="majorHAnsi" w:cs="Arial"/>
                <w:sz w:val="18"/>
                <w:szCs w:val="18"/>
              </w:rPr>
            </w:pPr>
            <w:r w:rsidRPr="0059031C">
              <w:rPr>
                <w:rFonts w:asciiTheme="majorHAnsi" w:eastAsia="Times New Roman" w:hAnsiTheme="majorHAnsi" w:cs="Arial"/>
                <w:sz w:val="18"/>
                <w:szCs w:val="18"/>
              </w:rPr>
              <w:t>Colaborar en el desarrollo de los sistemas de Seguridad Social, prestando asesoramiento y ayuda técnica necesaria a lo miembros.</w:t>
            </w:r>
          </w:p>
          <w:p w14:paraId="1B35A9F7" w14:textId="77777777" w:rsidR="00C914CA" w:rsidRPr="0059031C" w:rsidRDefault="00C914CA" w:rsidP="00A82CA6">
            <w:pPr>
              <w:pStyle w:val="NormalWeb"/>
              <w:numPr>
                <w:ilvl w:val="0"/>
                <w:numId w:val="25"/>
              </w:numPr>
              <w:jc w:val="both"/>
              <w:rPr>
                <w:rFonts w:asciiTheme="majorHAnsi" w:hAnsiTheme="majorHAnsi" w:cs="Arial"/>
                <w:sz w:val="18"/>
                <w:szCs w:val="18"/>
              </w:rPr>
            </w:pPr>
            <w:r w:rsidRPr="0059031C">
              <w:rPr>
                <w:rFonts w:asciiTheme="majorHAnsi" w:eastAsia="Times New Roman" w:hAnsiTheme="majorHAnsi" w:cs="Arial"/>
                <w:sz w:val="18"/>
                <w:szCs w:val="18"/>
              </w:rPr>
              <w:t>Actuar como órgano permanente de información y coordinación de experiencias.</w:t>
            </w:r>
          </w:p>
          <w:p w14:paraId="2EBC3856" w14:textId="77777777" w:rsidR="00C914CA" w:rsidRDefault="00C914CA" w:rsidP="00A82CA6">
            <w:pPr>
              <w:pStyle w:val="NormalWeb"/>
              <w:numPr>
                <w:ilvl w:val="0"/>
                <w:numId w:val="25"/>
              </w:numPr>
              <w:jc w:val="both"/>
              <w:rPr>
                <w:rFonts w:asciiTheme="majorHAnsi" w:hAnsiTheme="majorHAnsi" w:cs="Arial"/>
                <w:sz w:val="18"/>
                <w:szCs w:val="18"/>
              </w:rPr>
            </w:pPr>
            <w:r w:rsidRPr="0059031C">
              <w:rPr>
                <w:rFonts w:asciiTheme="majorHAnsi" w:eastAsia="Times New Roman" w:hAnsiTheme="majorHAnsi" w:cs="Arial"/>
                <w:sz w:val="18"/>
                <w:szCs w:val="18"/>
                <w:lang w:val="es-CR"/>
              </w:rPr>
              <w:t>Desarrollar y promover el estudio, investigación y perfeccionamiento de los Sistemas Sociales.</w:t>
            </w:r>
          </w:p>
          <w:p w14:paraId="0EAE0837" w14:textId="05CA09FF" w:rsidR="00C914CA" w:rsidRPr="00C914CA" w:rsidRDefault="00C914CA" w:rsidP="00A82CA6">
            <w:pPr>
              <w:pStyle w:val="NormalWeb"/>
              <w:numPr>
                <w:ilvl w:val="0"/>
                <w:numId w:val="25"/>
              </w:numPr>
              <w:jc w:val="both"/>
              <w:rPr>
                <w:rFonts w:asciiTheme="majorHAnsi" w:hAnsiTheme="majorHAnsi" w:cs="Arial"/>
                <w:sz w:val="18"/>
                <w:szCs w:val="18"/>
              </w:rPr>
            </w:pPr>
            <w:r w:rsidRPr="00C914CA">
              <w:rPr>
                <w:rFonts w:asciiTheme="majorHAnsi" w:eastAsia="Times New Roman" w:hAnsiTheme="majorHAnsi" w:cs="Arial"/>
                <w:sz w:val="18"/>
                <w:szCs w:val="18"/>
              </w:rPr>
              <w:t>Capacitar al personal que desempeña funciones en las instituciones de Seguridad Social. </w:t>
            </w:r>
          </w:p>
        </w:tc>
        <w:tc>
          <w:tcPr>
            <w:tcW w:w="3852" w:type="dxa"/>
            <w:shd w:val="clear" w:color="auto" w:fill="auto"/>
            <w:vAlign w:val="center"/>
          </w:tcPr>
          <w:p w14:paraId="36747F60" w14:textId="77777777" w:rsidR="00C914CA" w:rsidRPr="0059031C" w:rsidRDefault="00C914CA" w:rsidP="00A82CA6">
            <w:pPr>
              <w:pStyle w:val="NormalWeb"/>
              <w:numPr>
                <w:ilvl w:val="0"/>
                <w:numId w:val="26"/>
              </w:numPr>
              <w:jc w:val="both"/>
              <w:rPr>
                <w:rFonts w:asciiTheme="majorHAnsi" w:hAnsiTheme="majorHAnsi" w:cs="Arial"/>
                <w:sz w:val="18"/>
                <w:szCs w:val="18"/>
              </w:rPr>
            </w:pPr>
            <w:r w:rsidRPr="0059031C">
              <w:rPr>
                <w:rFonts w:asciiTheme="majorHAnsi" w:hAnsiTheme="majorHAnsi" w:cs="Arial"/>
                <w:sz w:val="18"/>
                <w:szCs w:val="18"/>
              </w:rPr>
              <w:t>Cooperación, asistencia y apoyo técnico a la modernización de la gestión de los sistemas de Seguridad Social.</w:t>
            </w:r>
          </w:p>
          <w:p w14:paraId="2E474EDB" w14:textId="77777777" w:rsidR="00C914CA" w:rsidRPr="0059031C" w:rsidRDefault="00C914CA" w:rsidP="00A82CA6">
            <w:pPr>
              <w:pStyle w:val="NormalWeb"/>
              <w:numPr>
                <w:ilvl w:val="0"/>
                <w:numId w:val="26"/>
              </w:numPr>
              <w:jc w:val="both"/>
              <w:rPr>
                <w:rFonts w:asciiTheme="majorHAnsi" w:hAnsiTheme="majorHAnsi" w:cs="Arial"/>
                <w:sz w:val="18"/>
                <w:szCs w:val="18"/>
              </w:rPr>
            </w:pPr>
            <w:r w:rsidRPr="0059031C">
              <w:rPr>
                <w:rFonts w:asciiTheme="majorHAnsi" w:hAnsiTheme="majorHAnsi" w:cs="Arial"/>
                <w:sz w:val="18"/>
                <w:szCs w:val="18"/>
                <w:lang w:val="es-CR"/>
              </w:rPr>
              <w:t>Actividades de estudio e investigación con carácter general y regional en temas de Seguridad Social. Comprende acciones de Información y Divulgación.</w:t>
            </w:r>
          </w:p>
          <w:p w14:paraId="457DCC1E" w14:textId="0C53163C" w:rsidR="005303B0" w:rsidRPr="00C914CA" w:rsidRDefault="00C914CA" w:rsidP="00A82CA6">
            <w:pPr>
              <w:pStyle w:val="NormalWeb"/>
              <w:numPr>
                <w:ilvl w:val="0"/>
                <w:numId w:val="26"/>
              </w:numPr>
              <w:jc w:val="both"/>
              <w:rPr>
                <w:rFonts w:asciiTheme="majorHAnsi" w:hAnsiTheme="majorHAnsi" w:cs="Arial"/>
                <w:sz w:val="18"/>
                <w:szCs w:val="18"/>
              </w:rPr>
            </w:pPr>
            <w:r w:rsidRPr="0059031C">
              <w:rPr>
                <w:rFonts w:asciiTheme="majorHAnsi" w:hAnsiTheme="majorHAnsi" w:cs="Arial"/>
                <w:sz w:val="18"/>
                <w:szCs w:val="18"/>
                <w:lang w:val="es-CR"/>
              </w:rPr>
              <w:t xml:space="preserve">Formación del Recurso Humano en temas de Seguridad Social. </w:t>
            </w:r>
          </w:p>
        </w:tc>
      </w:tr>
      <w:tr w:rsidR="003F0564" w:rsidRPr="00060053" w14:paraId="06A94DD8" w14:textId="77777777" w:rsidTr="0059031C">
        <w:trPr>
          <w:trHeight w:val="412"/>
        </w:trPr>
        <w:tc>
          <w:tcPr>
            <w:tcW w:w="2263" w:type="dxa"/>
            <w:shd w:val="clear" w:color="auto" w:fill="DBE5F1" w:themeFill="accent1" w:themeFillTint="33"/>
            <w:vAlign w:val="center"/>
          </w:tcPr>
          <w:p w14:paraId="06A94DD4" w14:textId="77777777" w:rsidR="003F0564" w:rsidRPr="00060053" w:rsidRDefault="003F0564" w:rsidP="00475EC6">
            <w:pPr>
              <w:rPr>
                <w:rFonts w:asciiTheme="majorHAnsi" w:hAnsiTheme="majorHAnsi"/>
                <w:b/>
                <w:sz w:val="18"/>
                <w:szCs w:val="18"/>
              </w:rPr>
            </w:pPr>
          </w:p>
        </w:tc>
        <w:tc>
          <w:tcPr>
            <w:tcW w:w="2792" w:type="dxa"/>
            <w:shd w:val="clear" w:color="auto" w:fill="DBE5F1" w:themeFill="accent1" w:themeFillTint="33"/>
            <w:vAlign w:val="center"/>
          </w:tcPr>
          <w:p w14:paraId="06A94DD5" w14:textId="77777777" w:rsidR="003F0564" w:rsidRPr="00060053" w:rsidRDefault="003F0564" w:rsidP="00475EC6">
            <w:pPr>
              <w:rPr>
                <w:rFonts w:asciiTheme="majorHAnsi" w:hAnsiTheme="majorHAnsi"/>
                <w:sz w:val="18"/>
                <w:szCs w:val="18"/>
              </w:rPr>
            </w:pPr>
          </w:p>
        </w:tc>
        <w:tc>
          <w:tcPr>
            <w:tcW w:w="4296" w:type="dxa"/>
            <w:shd w:val="clear" w:color="auto" w:fill="DBE5F1" w:themeFill="accent1" w:themeFillTint="33"/>
            <w:vAlign w:val="center"/>
          </w:tcPr>
          <w:p w14:paraId="06A94DD6" w14:textId="77777777" w:rsidR="003F0564" w:rsidRPr="00060053" w:rsidRDefault="003F0564" w:rsidP="007010AB">
            <w:pPr>
              <w:rPr>
                <w:rFonts w:asciiTheme="majorHAnsi" w:hAnsiTheme="majorHAnsi" w:cs="Arial"/>
                <w:sz w:val="18"/>
                <w:szCs w:val="18"/>
              </w:rPr>
            </w:pPr>
          </w:p>
        </w:tc>
        <w:tc>
          <w:tcPr>
            <w:tcW w:w="3852" w:type="dxa"/>
            <w:shd w:val="clear" w:color="auto" w:fill="DBE5F1" w:themeFill="accent1" w:themeFillTint="33"/>
            <w:vAlign w:val="center"/>
          </w:tcPr>
          <w:p w14:paraId="06A94DD7" w14:textId="77777777" w:rsidR="003F0564" w:rsidRPr="00060053" w:rsidRDefault="003F0564" w:rsidP="00475EC6">
            <w:pPr>
              <w:rPr>
                <w:rFonts w:asciiTheme="majorHAnsi" w:hAnsiTheme="majorHAnsi" w:cs="Arial"/>
                <w:sz w:val="18"/>
                <w:szCs w:val="18"/>
                <w:lang w:eastAsia="en-US"/>
              </w:rPr>
            </w:pPr>
          </w:p>
        </w:tc>
      </w:tr>
    </w:tbl>
    <w:p w14:paraId="06A94DD9" w14:textId="77777777" w:rsidR="0032363C" w:rsidRPr="00060053" w:rsidRDefault="0032363C" w:rsidP="0032363C">
      <w:pPr>
        <w:jc w:val="both"/>
        <w:rPr>
          <w:rFonts w:asciiTheme="majorHAnsi" w:hAnsiTheme="majorHAnsi"/>
        </w:rPr>
      </w:pPr>
    </w:p>
    <w:p w14:paraId="06A94DDA" w14:textId="77777777" w:rsidR="0032363C" w:rsidRPr="00060053" w:rsidRDefault="0032363C" w:rsidP="009D034C">
      <w:pPr>
        <w:rPr>
          <w:rFonts w:asciiTheme="majorHAnsi" w:hAnsiTheme="majorHAnsi"/>
          <w:sz w:val="22"/>
          <w:szCs w:val="22"/>
        </w:rPr>
        <w:sectPr w:rsidR="0032363C" w:rsidRPr="00060053" w:rsidSect="004E39A1">
          <w:pgSz w:w="15842" w:h="12242" w:orient="landscape" w:code="1"/>
          <w:pgMar w:top="1701" w:right="1418" w:bottom="1701" w:left="1418" w:header="709" w:footer="709" w:gutter="0"/>
          <w:cols w:space="708"/>
          <w:docGrid w:linePitch="360"/>
        </w:sectPr>
      </w:pPr>
    </w:p>
    <w:p w14:paraId="06A94DDB" w14:textId="77777777" w:rsidR="009D034C" w:rsidRDefault="009D034C" w:rsidP="009D034C">
      <w:pPr>
        <w:rPr>
          <w:rFonts w:asciiTheme="majorHAnsi" w:hAnsiTheme="majorHAnsi"/>
          <w:b/>
          <w:sz w:val="22"/>
          <w:szCs w:val="22"/>
        </w:rPr>
      </w:pPr>
    </w:p>
    <w:p w14:paraId="06A94DDC" w14:textId="77777777" w:rsidR="00FC0013" w:rsidRDefault="00FC0013" w:rsidP="009D034C">
      <w:pPr>
        <w:rPr>
          <w:rFonts w:asciiTheme="majorHAnsi" w:hAnsiTheme="majorHAnsi"/>
          <w:b/>
          <w:sz w:val="22"/>
          <w:szCs w:val="22"/>
        </w:rPr>
      </w:pPr>
    </w:p>
    <w:p w14:paraId="06A94DDD" w14:textId="77777777" w:rsidR="00FC0013" w:rsidRDefault="00FC0013" w:rsidP="00670872">
      <w:pPr>
        <w:jc w:val="center"/>
        <w:rPr>
          <w:rFonts w:asciiTheme="majorHAnsi" w:hAnsiTheme="majorHAnsi"/>
          <w:b/>
          <w:sz w:val="48"/>
          <w:szCs w:val="48"/>
        </w:rPr>
      </w:pPr>
    </w:p>
    <w:p w14:paraId="06A94DDE" w14:textId="77777777" w:rsidR="007C4CBC" w:rsidRDefault="007C4CBC" w:rsidP="00670872">
      <w:pPr>
        <w:jc w:val="center"/>
        <w:rPr>
          <w:rFonts w:asciiTheme="majorHAnsi" w:hAnsiTheme="majorHAnsi"/>
          <w:b/>
          <w:sz w:val="48"/>
          <w:szCs w:val="48"/>
        </w:rPr>
      </w:pPr>
    </w:p>
    <w:p w14:paraId="06A94DDF" w14:textId="77777777" w:rsidR="007C4CBC" w:rsidRDefault="007C4CBC" w:rsidP="00670872">
      <w:pPr>
        <w:jc w:val="center"/>
        <w:rPr>
          <w:rFonts w:asciiTheme="majorHAnsi" w:hAnsiTheme="majorHAnsi"/>
          <w:b/>
          <w:sz w:val="48"/>
          <w:szCs w:val="48"/>
        </w:rPr>
      </w:pPr>
    </w:p>
    <w:p w14:paraId="06A94DE0" w14:textId="77777777" w:rsidR="007C4CBC" w:rsidRDefault="007C4CBC" w:rsidP="00670872">
      <w:pPr>
        <w:jc w:val="center"/>
        <w:rPr>
          <w:rFonts w:asciiTheme="majorHAnsi" w:hAnsiTheme="majorHAnsi"/>
          <w:b/>
          <w:sz w:val="48"/>
          <w:szCs w:val="48"/>
        </w:rPr>
      </w:pPr>
    </w:p>
    <w:p w14:paraId="06A94DE1" w14:textId="77777777" w:rsidR="00670872" w:rsidRPr="00670872" w:rsidRDefault="00670872" w:rsidP="00670872">
      <w:pPr>
        <w:jc w:val="center"/>
        <w:rPr>
          <w:rFonts w:asciiTheme="majorHAnsi" w:hAnsiTheme="majorHAnsi"/>
          <w:b/>
          <w:sz w:val="48"/>
          <w:szCs w:val="48"/>
        </w:rPr>
      </w:pPr>
    </w:p>
    <w:p w14:paraId="06A94DE2" w14:textId="77777777" w:rsidR="00FC0013" w:rsidRDefault="00670872" w:rsidP="00AF3E26">
      <w:pPr>
        <w:rPr>
          <w:rFonts w:asciiTheme="majorHAnsi" w:hAnsiTheme="majorHAnsi"/>
          <w:b/>
          <w:sz w:val="56"/>
          <w:szCs w:val="56"/>
        </w:rPr>
      </w:pPr>
      <w:r w:rsidRPr="00670872">
        <w:rPr>
          <w:rFonts w:asciiTheme="majorHAnsi" w:hAnsiTheme="majorHAnsi"/>
          <w:sz w:val="56"/>
          <w:szCs w:val="56"/>
        </w:rPr>
        <w:t>Anexos</w:t>
      </w:r>
    </w:p>
    <w:p w14:paraId="5D936C0D" w14:textId="77777777" w:rsidR="004A2776" w:rsidRDefault="004A2776" w:rsidP="00670872">
      <w:pPr>
        <w:jc w:val="center"/>
        <w:rPr>
          <w:rFonts w:asciiTheme="majorHAnsi" w:hAnsiTheme="majorHAnsi"/>
          <w:b/>
          <w:sz w:val="56"/>
          <w:szCs w:val="56"/>
        </w:rPr>
        <w:sectPr w:rsidR="004A2776" w:rsidSect="004E39A1">
          <w:pgSz w:w="12242" w:h="15842" w:code="1"/>
          <w:pgMar w:top="1418" w:right="1701" w:bottom="1418" w:left="1701" w:header="709" w:footer="709" w:gutter="0"/>
          <w:cols w:space="708"/>
          <w:docGrid w:linePitch="360"/>
        </w:sectPr>
      </w:pPr>
    </w:p>
    <w:p w14:paraId="218008B7" w14:textId="76F9A6D7" w:rsidR="004A2776" w:rsidRPr="004A2776" w:rsidRDefault="004A2776" w:rsidP="004A2776">
      <w:pPr>
        <w:pStyle w:val="NormalWeb"/>
        <w:tabs>
          <w:tab w:val="left" w:pos="567"/>
        </w:tabs>
        <w:outlineLvl w:val="0"/>
        <w:rPr>
          <w:rFonts w:asciiTheme="majorHAnsi" w:hAnsiTheme="majorHAnsi" w:cs="Tahoma"/>
          <w:b/>
          <w:bCs/>
          <w:smallCaps/>
          <w:sz w:val="28"/>
          <w:u w:val="single"/>
        </w:rPr>
      </w:pPr>
      <w:bookmarkStart w:id="57" w:name="_Toc429563210"/>
      <w:r>
        <w:rPr>
          <w:rFonts w:asciiTheme="majorHAnsi" w:hAnsiTheme="majorHAnsi" w:cs="Tahoma"/>
          <w:b/>
          <w:bCs/>
          <w:smallCaps/>
          <w:sz w:val="28"/>
          <w:u w:val="single"/>
        </w:rPr>
        <w:lastRenderedPageBreak/>
        <w:t xml:space="preserve">3. </w:t>
      </w:r>
      <w:r>
        <w:rPr>
          <w:rFonts w:asciiTheme="majorHAnsi" w:hAnsiTheme="majorHAnsi" w:cs="Tahoma"/>
          <w:b/>
          <w:bCs/>
          <w:smallCaps/>
          <w:sz w:val="28"/>
          <w:u w:val="single"/>
        </w:rPr>
        <w:tab/>
      </w:r>
      <w:r w:rsidRPr="004A2776">
        <w:rPr>
          <w:rFonts w:asciiTheme="majorHAnsi" w:hAnsiTheme="majorHAnsi" w:cs="Tahoma"/>
          <w:b/>
          <w:bCs/>
          <w:smallCaps/>
          <w:sz w:val="28"/>
          <w:u w:val="single"/>
        </w:rPr>
        <w:t>Planes Operativos Institucionales</w:t>
      </w:r>
      <w:bookmarkEnd w:id="57"/>
    </w:p>
    <w:p w14:paraId="06A94DE3" w14:textId="1C10A64D" w:rsidR="00FC0013" w:rsidRDefault="004A2776" w:rsidP="004A2776">
      <w:pPr>
        <w:pStyle w:val="Descripcin"/>
        <w:rPr>
          <w:rFonts w:asciiTheme="minorHAnsi" w:hAnsiTheme="minorHAnsi" w:cstheme="minorHAnsi"/>
          <w:b w:val="0"/>
          <w:sz w:val="24"/>
          <w:szCs w:val="24"/>
        </w:rPr>
      </w:pPr>
      <w:r w:rsidRPr="00360736">
        <w:rPr>
          <w:rFonts w:asciiTheme="minorHAnsi" w:hAnsiTheme="minorHAnsi" w:cstheme="minorHAnsi"/>
          <w:b w:val="0"/>
          <w:sz w:val="24"/>
          <w:szCs w:val="24"/>
        </w:rPr>
        <w:t>Anexo 1</w:t>
      </w:r>
      <w:r w:rsidR="00CA61ED">
        <w:rPr>
          <w:rFonts w:asciiTheme="minorHAnsi" w:hAnsiTheme="minorHAnsi" w:cstheme="minorHAnsi"/>
          <w:b w:val="0"/>
          <w:sz w:val="24"/>
          <w:szCs w:val="24"/>
        </w:rPr>
        <w:t xml:space="preserve"> Despacho</w:t>
      </w:r>
    </w:p>
    <w:p w14:paraId="5DA27D5B" w14:textId="48AC4884" w:rsidR="00582145" w:rsidRPr="00582145" w:rsidRDefault="00724531" w:rsidP="00582145">
      <w:pPr>
        <w:rPr>
          <w:lang w:val="es-ES_tradnl" w:eastAsia="es-ES_tradnl"/>
        </w:rPr>
      </w:pPr>
      <w:r w:rsidRPr="00724531">
        <w:rPr>
          <w:noProof/>
        </w:rPr>
        <w:drawing>
          <wp:inline distT="0" distB="0" distL="0" distR="0" wp14:anchorId="13A79CE2" wp14:editId="1560C70F">
            <wp:extent cx="6391275" cy="5352650"/>
            <wp:effectExtent l="0" t="0" r="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1275" cy="5352650"/>
                    </a:xfrm>
                    <a:prstGeom prst="rect">
                      <a:avLst/>
                    </a:prstGeom>
                    <a:noFill/>
                    <a:ln>
                      <a:noFill/>
                    </a:ln>
                  </pic:spPr>
                </pic:pic>
              </a:graphicData>
            </a:graphic>
          </wp:inline>
        </w:drawing>
      </w:r>
    </w:p>
    <w:p w14:paraId="3230583F" w14:textId="24C5F27A" w:rsidR="00360736" w:rsidRDefault="00360736" w:rsidP="00360736">
      <w:pPr>
        <w:rPr>
          <w:lang w:val="es-ES_tradnl" w:eastAsia="es-ES_tradnl"/>
        </w:rPr>
      </w:pPr>
    </w:p>
    <w:p w14:paraId="090B6FCB" w14:textId="16CC74B3" w:rsidR="00360736" w:rsidRDefault="00360736">
      <w:pPr>
        <w:rPr>
          <w:lang w:val="es-ES_tradnl" w:eastAsia="es-ES_tradnl"/>
        </w:rPr>
      </w:pPr>
      <w:r>
        <w:rPr>
          <w:lang w:val="es-ES_tradnl" w:eastAsia="es-ES_tradnl"/>
        </w:rPr>
        <w:br w:type="page"/>
      </w:r>
    </w:p>
    <w:p w14:paraId="6D5FA47E" w14:textId="2597B1E2" w:rsidR="004A2776" w:rsidRDefault="00360736" w:rsidP="004A2776">
      <w:pPr>
        <w:rPr>
          <w:rFonts w:asciiTheme="minorHAnsi" w:hAnsiTheme="minorHAnsi" w:cstheme="minorHAnsi"/>
        </w:rPr>
      </w:pPr>
      <w:r>
        <w:rPr>
          <w:rFonts w:asciiTheme="minorHAnsi" w:hAnsiTheme="minorHAnsi" w:cstheme="minorHAnsi"/>
        </w:rPr>
        <w:lastRenderedPageBreak/>
        <w:t>Anexo 2</w:t>
      </w:r>
      <w:r w:rsidR="00CA61ED">
        <w:rPr>
          <w:rFonts w:asciiTheme="minorHAnsi" w:hAnsiTheme="minorHAnsi" w:cstheme="minorHAnsi"/>
        </w:rPr>
        <w:t xml:space="preserve"> Comunicación y Servicios</w:t>
      </w:r>
    </w:p>
    <w:p w14:paraId="0A5A7584" w14:textId="77777777" w:rsidR="00582145" w:rsidRPr="00360736" w:rsidRDefault="00582145" w:rsidP="004A2776">
      <w:pPr>
        <w:rPr>
          <w:rFonts w:asciiTheme="minorHAnsi" w:hAnsiTheme="minorHAnsi" w:cstheme="minorHAnsi"/>
        </w:rPr>
      </w:pPr>
    </w:p>
    <w:p w14:paraId="104DD9B8" w14:textId="4ED9CD4F" w:rsidR="00360736" w:rsidRDefault="006E5AE6" w:rsidP="004A2776">
      <w:pPr>
        <w:rPr>
          <w:rFonts w:asciiTheme="minorHAnsi" w:hAnsiTheme="minorHAnsi" w:cstheme="minorHAnsi"/>
        </w:rPr>
      </w:pPr>
      <w:r w:rsidRPr="006E5AE6">
        <w:rPr>
          <w:noProof/>
        </w:rPr>
        <w:drawing>
          <wp:inline distT="0" distB="0" distL="0" distR="0" wp14:anchorId="115754CF" wp14:editId="410F8658">
            <wp:extent cx="6391275" cy="6670406"/>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91275" cy="6670406"/>
                    </a:xfrm>
                    <a:prstGeom prst="rect">
                      <a:avLst/>
                    </a:prstGeom>
                    <a:noFill/>
                    <a:ln>
                      <a:noFill/>
                    </a:ln>
                  </pic:spPr>
                </pic:pic>
              </a:graphicData>
            </a:graphic>
          </wp:inline>
        </w:drawing>
      </w:r>
    </w:p>
    <w:p w14:paraId="3C8C0BFC" w14:textId="63B495E7" w:rsidR="000C433E" w:rsidRDefault="000C433E">
      <w:pPr>
        <w:rPr>
          <w:rFonts w:asciiTheme="minorHAnsi" w:hAnsiTheme="minorHAnsi" w:cstheme="minorHAnsi"/>
        </w:rPr>
      </w:pPr>
      <w:r>
        <w:rPr>
          <w:rFonts w:asciiTheme="minorHAnsi" w:hAnsiTheme="minorHAnsi" w:cstheme="minorHAnsi"/>
        </w:rPr>
        <w:br w:type="page"/>
      </w:r>
    </w:p>
    <w:p w14:paraId="2116C317" w14:textId="2B51C44D" w:rsidR="00360736" w:rsidRDefault="00360736" w:rsidP="004A2776">
      <w:pPr>
        <w:rPr>
          <w:rFonts w:asciiTheme="minorHAnsi" w:hAnsiTheme="minorHAnsi" w:cstheme="minorHAnsi"/>
        </w:rPr>
      </w:pPr>
      <w:r>
        <w:rPr>
          <w:rFonts w:asciiTheme="minorHAnsi" w:hAnsiTheme="minorHAnsi" w:cstheme="minorHAnsi"/>
        </w:rPr>
        <w:lastRenderedPageBreak/>
        <w:t>Anexo 3</w:t>
      </w:r>
      <w:r w:rsidR="00CA61ED">
        <w:rPr>
          <w:rFonts w:asciiTheme="minorHAnsi" w:hAnsiTheme="minorHAnsi" w:cstheme="minorHAnsi"/>
        </w:rPr>
        <w:t xml:space="preserve"> División Jurídica</w:t>
      </w:r>
    </w:p>
    <w:p w14:paraId="1FB77E5E" w14:textId="77777777" w:rsidR="00582145" w:rsidRDefault="00582145" w:rsidP="004A2776">
      <w:pPr>
        <w:rPr>
          <w:rFonts w:asciiTheme="minorHAnsi" w:hAnsiTheme="minorHAnsi" w:cstheme="minorHAnsi"/>
        </w:rPr>
      </w:pPr>
    </w:p>
    <w:p w14:paraId="2E139DAA" w14:textId="623EC026" w:rsidR="00582145" w:rsidRDefault="006E5AE6" w:rsidP="004A2776">
      <w:pPr>
        <w:rPr>
          <w:rFonts w:asciiTheme="minorHAnsi" w:hAnsiTheme="minorHAnsi" w:cstheme="minorHAnsi"/>
        </w:rPr>
      </w:pPr>
      <w:r w:rsidRPr="006E5AE6">
        <w:rPr>
          <w:noProof/>
        </w:rPr>
        <w:drawing>
          <wp:inline distT="0" distB="0" distL="0" distR="0" wp14:anchorId="0DB22844" wp14:editId="1F9A1503">
            <wp:extent cx="6391275" cy="6964065"/>
            <wp:effectExtent l="0" t="0" r="0" b="825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91275" cy="6964065"/>
                    </a:xfrm>
                    <a:prstGeom prst="rect">
                      <a:avLst/>
                    </a:prstGeom>
                    <a:noFill/>
                    <a:ln>
                      <a:noFill/>
                    </a:ln>
                  </pic:spPr>
                </pic:pic>
              </a:graphicData>
            </a:graphic>
          </wp:inline>
        </w:drawing>
      </w:r>
    </w:p>
    <w:p w14:paraId="1D9C18E8" w14:textId="3DAFE380" w:rsidR="000C433E" w:rsidRDefault="000C433E">
      <w:pPr>
        <w:rPr>
          <w:rFonts w:asciiTheme="minorHAnsi" w:hAnsiTheme="minorHAnsi" w:cstheme="minorHAnsi"/>
        </w:rPr>
      </w:pPr>
      <w:r>
        <w:rPr>
          <w:rFonts w:asciiTheme="minorHAnsi" w:hAnsiTheme="minorHAnsi" w:cstheme="minorHAnsi"/>
        </w:rPr>
        <w:br w:type="page"/>
      </w:r>
    </w:p>
    <w:p w14:paraId="03802E0F" w14:textId="5A8BF811" w:rsidR="00360736" w:rsidRDefault="00360736" w:rsidP="00360736">
      <w:pPr>
        <w:rPr>
          <w:rFonts w:asciiTheme="minorHAnsi" w:hAnsiTheme="minorHAnsi" w:cstheme="minorHAnsi"/>
        </w:rPr>
      </w:pPr>
      <w:r>
        <w:rPr>
          <w:rFonts w:asciiTheme="minorHAnsi" w:hAnsiTheme="minorHAnsi" w:cstheme="minorHAnsi"/>
        </w:rPr>
        <w:lastRenderedPageBreak/>
        <w:t>Anexo 4</w:t>
      </w:r>
      <w:r w:rsidR="00CA61ED">
        <w:rPr>
          <w:rFonts w:asciiTheme="minorHAnsi" w:hAnsiTheme="minorHAnsi" w:cstheme="minorHAnsi"/>
        </w:rPr>
        <w:t xml:space="preserve"> Planificación y Normativa</w:t>
      </w:r>
    </w:p>
    <w:p w14:paraId="3048DD69" w14:textId="77777777" w:rsidR="00582145" w:rsidRDefault="00582145" w:rsidP="00360736">
      <w:pPr>
        <w:rPr>
          <w:rFonts w:asciiTheme="minorHAnsi" w:hAnsiTheme="minorHAnsi" w:cstheme="minorHAnsi"/>
        </w:rPr>
      </w:pPr>
    </w:p>
    <w:p w14:paraId="7D2DE02D" w14:textId="13D0242D" w:rsidR="00582145" w:rsidRDefault="006E5AE6" w:rsidP="00360736">
      <w:pPr>
        <w:rPr>
          <w:rFonts w:asciiTheme="minorHAnsi" w:hAnsiTheme="minorHAnsi" w:cstheme="minorHAnsi"/>
        </w:rPr>
      </w:pPr>
      <w:r w:rsidRPr="006E5AE6">
        <w:rPr>
          <w:noProof/>
        </w:rPr>
        <w:drawing>
          <wp:inline distT="0" distB="0" distL="0" distR="0" wp14:anchorId="29D1765F" wp14:editId="6FF88434">
            <wp:extent cx="6391275" cy="6242463"/>
            <wp:effectExtent l="0" t="0" r="0" b="63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91275" cy="6242463"/>
                    </a:xfrm>
                    <a:prstGeom prst="rect">
                      <a:avLst/>
                    </a:prstGeom>
                    <a:noFill/>
                    <a:ln>
                      <a:noFill/>
                    </a:ln>
                  </pic:spPr>
                </pic:pic>
              </a:graphicData>
            </a:graphic>
          </wp:inline>
        </w:drawing>
      </w:r>
    </w:p>
    <w:p w14:paraId="2A80852B" w14:textId="2ED158D0" w:rsidR="000C433E" w:rsidRDefault="00DF5D52">
      <w:pPr>
        <w:rPr>
          <w:lang w:val="es-ES_tradnl" w:eastAsia="es-ES_tradnl"/>
        </w:rPr>
      </w:pPr>
      <w:r w:rsidRPr="00DF5D52">
        <w:t xml:space="preserve"> </w:t>
      </w:r>
      <w:r w:rsidR="000C433E">
        <w:rPr>
          <w:lang w:val="es-ES_tradnl" w:eastAsia="es-ES_tradnl"/>
        </w:rPr>
        <w:br w:type="page"/>
      </w:r>
    </w:p>
    <w:p w14:paraId="5C4F5051" w14:textId="4E93D552" w:rsidR="00360736" w:rsidRDefault="00360736" w:rsidP="00360736">
      <w:pPr>
        <w:rPr>
          <w:rFonts w:asciiTheme="minorHAnsi" w:hAnsiTheme="minorHAnsi" w:cstheme="minorHAnsi"/>
        </w:rPr>
      </w:pPr>
      <w:r>
        <w:rPr>
          <w:rFonts w:asciiTheme="minorHAnsi" w:hAnsiTheme="minorHAnsi" w:cstheme="minorHAnsi"/>
        </w:rPr>
        <w:lastRenderedPageBreak/>
        <w:t>Anexo 5</w:t>
      </w:r>
      <w:r w:rsidR="00CA61ED">
        <w:rPr>
          <w:rFonts w:asciiTheme="minorHAnsi" w:hAnsiTheme="minorHAnsi" w:cstheme="minorHAnsi"/>
        </w:rPr>
        <w:t xml:space="preserve"> RC</w:t>
      </w:r>
    </w:p>
    <w:p w14:paraId="3AA5B346" w14:textId="77777777" w:rsidR="00582145" w:rsidRDefault="00582145" w:rsidP="00360736">
      <w:pPr>
        <w:rPr>
          <w:rFonts w:asciiTheme="minorHAnsi" w:hAnsiTheme="minorHAnsi" w:cstheme="minorHAnsi"/>
        </w:rPr>
      </w:pPr>
    </w:p>
    <w:p w14:paraId="38F8BFBA" w14:textId="16FB86C6" w:rsidR="00582145" w:rsidRDefault="00DD7F69" w:rsidP="00360736">
      <w:pPr>
        <w:rPr>
          <w:rFonts w:asciiTheme="minorHAnsi" w:hAnsiTheme="minorHAnsi" w:cstheme="minorHAnsi"/>
        </w:rPr>
      </w:pPr>
      <w:r w:rsidRPr="00DD7F69">
        <w:rPr>
          <w:noProof/>
        </w:rPr>
        <w:drawing>
          <wp:inline distT="0" distB="0" distL="0" distR="0" wp14:anchorId="5BBF78EF" wp14:editId="0950C472">
            <wp:extent cx="6391275" cy="6328169"/>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91275" cy="6328169"/>
                    </a:xfrm>
                    <a:prstGeom prst="rect">
                      <a:avLst/>
                    </a:prstGeom>
                    <a:noFill/>
                    <a:ln>
                      <a:noFill/>
                    </a:ln>
                  </pic:spPr>
                </pic:pic>
              </a:graphicData>
            </a:graphic>
          </wp:inline>
        </w:drawing>
      </w:r>
    </w:p>
    <w:p w14:paraId="2BFCD537" w14:textId="1D8C6FFB" w:rsidR="000C433E" w:rsidRDefault="000C433E">
      <w:pPr>
        <w:rPr>
          <w:lang w:val="es-ES_tradnl" w:eastAsia="es-ES_tradnl"/>
        </w:rPr>
      </w:pPr>
      <w:r>
        <w:rPr>
          <w:lang w:val="es-ES_tradnl" w:eastAsia="es-ES_tradnl"/>
        </w:rPr>
        <w:br w:type="page"/>
      </w:r>
    </w:p>
    <w:p w14:paraId="65C04551" w14:textId="6652AA12" w:rsidR="00360736" w:rsidRDefault="00360736" w:rsidP="00360736">
      <w:pPr>
        <w:rPr>
          <w:rFonts w:asciiTheme="minorHAnsi" w:hAnsiTheme="minorHAnsi" w:cstheme="minorHAnsi"/>
        </w:rPr>
      </w:pPr>
      <w:r>
        <w:rPr>
          <w:rFonts w:asciiTheme="minorHAnsi" w:hAnsiTheme="minorHAnsi" w:cstheme="minorHAnsi"/>
        </w:rPr>
        <w:lastRenderedPageBreak/>
        <w:t>Anexo 6</w:t>
      </w:r>
      <w:r w:rsidR="00CA61ED">
        <w:rPr>
          <w:rFonts w:asciiTheme="minorHAnsi" w:hAnsiTheme="minorHAnsi" w:cstheme="minorHAnsi"/>
        </w:rPr>
        <w:t xml:space="preserve"> RCI</w:t>
      </w:r>
    </w:p>
    <w:p w14:paraId="37001D92" w14:textId="4AEC24E4" w:rsidR="00360736" w:rsidRDefault="00360736" w:rsidP="00360736">
      <w:pPr>
        <w:rPr>
          <w:rFonts w:asciiTheme="minorHAnsi" w:hAnsiTheme="minorHAnsi" w:cstheme="minorHAnsi"/>
        </w:rPr>
      </w:pPr>
    </w:p>
    <w:p w14:paraId="2FF0D148" w14:textId="6BDA0BA7" w:rsidR="004E7641" w:rsidRDefault="00DD7F69" w:rsidP="00360736">
      <w:pPr>
        <w:rPr>
          <w:rFonts w:asciiTheme="minorHAnsi" w:hAnsiTheme="minorHAnsi" w:cstheme="minorHAnsi"/>
        </w:rPr>
      </w:pPr>
      <w:r w:rsidRPr="00DD7F69">
        <w:rPr>
          <w:noProof/>
        </w:rPr>
        <w:drawing>
          <wp:inline distT="0" distB="0" distL="0" distR="0" wp14:anchorId="2B2FFCA7" wp14:editId="31BE3F3F">
            <wp:extent cx="6391275" cy="5968845"/>
            <wp:effectExtent l="0" t="0" r="0" b="0"/>
            <wp:docPr id="80450" name="Imagen 8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91275" cy="5968845"/>
                    </a:xfrm>
                    <a:prstGeom prst="rect">
                      <a:avLst/>
                    </a:prstGeom>
                    <a:noFill/>
                    <a:ln>
                      <a:noFill/>
                    </a:ln>
                  </pic:spPr>
                </pic:pic>
              </a:graphicData>
            </a:graphic>
          </wp:inline>
        </w:drawing>
      </w:r>
    </w:p>
    <w:p w14:paraId="1A84E162" w14:textId="76C73F3F" w:rsidR="0056490B" w:rsidRDefault="0056490B">
      <w:pPr>
        <w:rPr>
          <w:rFonts w:asciiTheme="minorHAnsi" w:hAnsiTheme="minorHAnsi" w:cstheme="minorHAnsi"/>
        </w:rPr>
      </w:pPr>
      <w:r>
        <w:rPr>
          <w:rFonts w:asciiTheme="minorHAnsi" w:hAnsiTheme="minorHAnsi" w:cstheme="minorHAnsi"/>
        </w:rPr>
        <w:br w:type="page"/>
      </w:r>
    </w:p>
    <w:p w14:paraId="4538584F" w14:textId="4342718B" w:rsidR="0056490B" w:rsidRDefault="0056490B" w:rsidP="0056490B">
      <w:pPr>
        <w:rPr>
          <w:rFonts w:asciiTheme="minorHAnsi" w:hAnsiTheme="minorHAnsi" w:cstheme="minorHAnsi"/>
        </w:rPr>
      </w:pPr>
      <w:r>
        <w:rPr>
          <w:rFonts w:asciiTheme="minorHAnsi" w:hAnsiTheme="minorHAnsi" w:cstheme="minorHAnsi"/>
        </w:rPr>
        <w:lastRenderedPageBreak/>
        <w:t>Anexo 7 PYN Proyectos</w:t>
      </w:r>
    </w:p>
    <w:p w14:paraId="3EBD1AD0" w14:textId="77777777" w:rsidR="006E5AE6" w:rsidRDefault="006E5AE6">
      <w:pPr>
        <w:rPr>
          <w:noProof/>
        </w:rPr>
      </w:pPr>
    </w:p>
    <w:p w14:paraId="5A321E39" w14:textId="77777777" w:rsidR="006E5AE6" w:rsidRDefault="006E5AE6">
      <w:r w:rsidRPr="006E5AE6">
        <w:rPr>
          <w:noProof/>
        </w:rPr>
        <w:drawing>
          <wp:inline distT="0" distB="0" distL="0" distR="0" wp14:anchorId="0696C8D8" wp14:editId="13AFCC02">
            <wp:extent cx="6391275" cy="3791137"/>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91275" cy="3791137"/>
                    </a:xfrm>
                    <a:prstGeom prst="rect">
                      <a:avLst/>
                    </a:prstGeom>
                    <a:noFill/>
                    <a:ln>
                      <a:noFill/>
                    </a:ln>
                  </pic:spPr>
                </pic:pic>
              </a:graphicData>
            </a:graphic>
          </wp:inline>
        </w:drawing>
      </w:r>
    </w:p>
    <w:p w14:paraId="0F5CEAF0" w14:textId="4FBE6512" w:rsidR="0056490B" w:rsidRDefault="00C93FFE">
      <w:pPr>
        <w:rPr>
          <w:rFonts w:asciiTheme="minorHAnsi" w:hAnsiTheme="minorHAnsi" w:cstheme="minorHAnsi"/>
        </w:rPr>
      </w:pPr>
      <w:r w:rsidRPr="00C93FFE">
        <w:t xml:space="preserve"> </w:t>
      </w:r>
      <w:r w:rsidR="0056490B">
        <w:rPr>
          <w:rFonts w:asciiTheme="minorHAnsi" w:hAnsiTheme="minorHAnsi" w:cstheme="minorHAnsi"/>
        </w:rPr>
        <w:br w:type="page"/>
      </w:r>
    </w:p>
    <w:p w14:paraId="136DB7C2" w14:textId="43D64D7E" w:rsidR="0056490B" w:rsidRDefault="0056490B" w:rsidP="0056490B">
      <w:pPr>
        <w:rPr>
          <w:rFonts w:asciiTheme="minorHAnsi" w:hAnsiTheme="minorHAnsi" w:cstheme="minorHAnsi"/>
        </w:rPr>
      </w:pPr>
      <w:r>
        <w:rPr>
          <w:rFonts w:asciiTheme="minorHAnsi" w:hAnsiTheme="minorHAnsi" w:cstheme="minorHAnsi"/>
        </w:rPr>
        <w:lastRenderedPageBreak/>
        <w:t>An</w:t>
      </w:r>
      <w:r w:rsidR="006E5AE6">
        <w:rPr>
          <w:rFonts w:asciiTheme="minorHAnsi" w:hAnsiTheme="minorHAnsi" w:cstheme="minorHAnsi"/>
        </w:rPr>
        <w:t xml:space="preserve">exo 8 CYS </w:t>
      </w:r>
      <w:r>
        <w:rPr>
          <w:rFonts w:asciiTheme="minorHAnsi" w:hAnsiTheme="minorHAnsi" w:cstheme="minorHAnsi"/>
        </w:rPr>
        <w:t>Sistema de Gestión de Calidad</w:t>
      </w:r>
    </w:p>
    <w:p w14:paraId="563840C0" w14:textId="77777777" w:rsidR="006E5AE6" w:rsidRDefault="006E5AE6" w:rsidP="0056490B">
      <w:pPr>
        <w:rPr>
          <w:rFonts w:asciiTheme="minorHAnsi" w:hAnsiTheme="minorHAnsi" w:cstheme="minorHAnsi"/>
        </w:rPr>
      </w:pPr>
    </w:p>
    <w:p w14:paraId="205A5415" w14:textId="771FBB3A" w:rsidR="0056490B" w:rsidRDefault="006E5AE6" w:rsidP="00360736">
      <w:pPr>
        <w:rPr>
          <w:rFonts w:asciiTheme="minorHAnsi" w:hAnsiTheme="minorHAnsi" w:cstheme="minorHAnsi"/>
        </w:rPr>
      </w:pPr>
      <w:r w:rsidRPr="006E5AE6">
        <w:rPr>
          <w:noProof/>
        </w:rPr>
        <w:drawing>
          <wp:inline distT="0" distB="0" distL="0" distR="0" wp14:anchorId="192E46CE" wp14:editId="217E569C">
            <wp:extent cx="6391275" cy="7383621"/>
            <wp:effectExtent l="0" t="0" r="0" b="825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91275" cy="7383621"/>
                    </a:xfrm>
                    <a:prstGeom prst="rect">
                      <a:avLst/>
                    </a:prstGeom>
                    <a:noFill/>
                    <a:ln>
                      <a:noFill/>
                    </a:ln>
                  </pic:spPr>
                </pic:pic>
              </a:graphicData>
            </a:graphic>
          </wp:inline>
        </w:drawing>
      </w:r>
    </w:p>
    <w:p w14:paraId="30933076" w14:textId="77777777" w:rsidR="0056490B" w:rsidRDefault="0056490B">
      <w:pPr>
        <w:rPr>
          <w:rFonts w:asciiTheme="minorHAnsi" w:hAnsiTheme="minorHAnsi" w:cstheme="minorHAnsi"/>
        </w:rPr>
      </w:pPr>
      <w:r>
        <w:rPr>
          <w:rFonts w:asciiTheme="minorHAnsi" w:hAnsiTheme="minorHAnsi" w:cstheme="minorHAnsi"/>
        </w:rPr>
        <w:br w:type="page"/>
      </w:r>
    </w:p>
    <w:p w14:paraId="7C664252" w14:textId="3C1E045B" w:rsidR="0056490B" w:rsidRDefault="0056490B" w:rsidP="0056490B">
      <w:pPr>
        <w:rPr>
          <w:rFonts w:asciiTheme="minorHAnsi" w:hAnsiTheme="minorHAnsi" w:cstheme="minorHAnsi"/>
        </w:rPr>
      </w:pPr>
      <w:r>
        <w:rPr>
          <w:rFonts w:asciiTheme="minorHAnsi" w:hAnsiTheme="minorHAnsi" w:cstheme="minorHAnsi"/>
        </w:rPr>
        <w:lastRenderedPageBreak/>
        <w:t xml:space="preserve">Anexo </w:t>
      </w:r>
      <w:r w:rsidR="00441A5D">
        <w:rPr>
          <w:rFonts w:asciiTheme="minorHAnsi" w:hAnsiTheme="minorHAnsi" w:cstheme="minorHAnsi"/>
        </w:rPr>
        <w:t>9</w:t>
      </w:r>
      <w:r>
        <w:rPr>
          <w:rFonts w:asciiTheme="minorHAnsi" w:hAnsiTheme="minorHAnsi" w:cstheme="minorHAnsi"/>
        </w:rPr>
        <w:t xml:space="preserve"> CYS  Capacitación</w:t>
      </w:r>
    </w:p>
    <w:p w14:paraId="6ED1E116" w14:textId="77777777" w:rsidR="0056490B" w:rsidRDefault="0056490B" w:rsidP="00360736">
      <w:pPr>
        <w:rPr>
          <w:rFonts w:asciiTheme="minorHAnsi" w:hAnsiTheme="minorHAnsi" w:cstheme="minorHAnsi"/>
        </w:rPr>
      </w:pPr>
    </w:p>
    <w:p w14:paraId="75A49014" w14:textId="43FBB623" w:rsidR="0056490B" w:rsidRDefault="006E5AE6" w:rsidP="00360736">
      <w:pPr>
        <w:rPr>
          <w:noProof/>
        </w:rPr>
      </w:pPr>
      <w:r w:rsidRPr="006E5AE6">
        <w:rPr>
          <w:noProof/>
        </w:rPr>
        <w:drawing>
          <wp:inline distT="0" distB="0" distL="0" distR="0" wp14:anchorId="6F1E39E4" wp14:editId="53F86279">
            <wp:extent cx="6391275" cy="3782359"/>
            <wp:effectExtent l="0" t="0" r="0" b="889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91275" cy="3782359"/>
                    </a:xfrm>
                    <a:prstGeom prst="rect">
                      <a:avLst/>
                    </a:prstGeom>
                    <a:noFill/>
                    <a:ln>
                      <a:noFill/>
                    </a:ln>
                  </pic:spPr>
                </pic:pic>
              </a:graphicData>
            </a:graphic>
          </wp:inline>
        </w:drawing>
      </w:r>
    </w:p>
    <w:p w14:paraId="10A10D47" w14:textId="77777777" w:rsidR="006E5AE6" w:rsidRDefault="006E5AE6" w:rsidP="00360736">
      <w:pPr>
        <w:rPr>
          <w:rFonts w:asciiTheme="minorHAnsi" w:hAnsiTheme="minorHAnsi" w:cstheme="minorHAnsi"/>
        </w:rPr>
      </w:pPr>
    </w:p>
    <w:p w14:paraId="021C4C20" w14:textId="77777777" w:rsidR="00360736" w:rsidRDefault="00360736" w:rsidP="00360736">
      <w:pPr>
        <w:rPr>
          <w:rFonts w:asciiTheme="minorHAnsi" w:hAnsiTheme="minorHAnsi" w:cstheme="minorHAnsi"/>
        </w:rPr>
      </w:pPr>
    </w:p>
    <w:p w14:paraId="00559239" w14:textId="77777777" w:rsidR="00710882" w:rsidRDefault="00710882">
      <w:pPr>
        <w:rPr>
          <w:rFonts w:asciiTheme="minorHAnsi" w:hAnsiTheme="minorHAnsi" w:cstheme="minorHAnsi"/>
        </w:rPr>
        <w:sectPr w:rsidR="00710882" w:rsidSect="00360736">
          <w:pgSz w:w="12242" w:h="15842" w:code="1"/>
          <w:pgMar w:top="1418" w:right="476" w:bottom="1418" w:left="1701" w:header="709" w:footer="709" w:gutter="0"/>
          <w:cols w:space="708"/>
          <w:docGrid w:linePitch="360"/>
        </w:sectPr>
      </w:pPr>
    </w:p>
    <w:p w14:paraId="4FE824A0" w14:textId="375FFFE5" w:rsidR="00710882" w:rsidRDefault="00441A5D" w:rsidP="00710882">
      <w:pPr>
        <w:rPr>
          <w:rFonts w:asciiTheme="minorHAnsi" w:hAnsiTheme="minorHAnsi" w:cstheme="minorHAnsi"/>
        </w:rPr>
      </w:pPr>
      <w:r w:rsidRPr="00441A5D">
        <w:rPr>
          <w:rFonts w:asciiTheme="minorHAnsi" w:hAnsiTheme="minorHAnsi" w:cstheme="minorHAnsi"/>
        </w:rPr>
        <w:lastRenderedPageBreak/>
        <w:t>Anexo 10</w:t>
      </w:r>
    </w:p>
    <w:p w14:paraId="69C92C95" w14:textId="77777777" w:rsidR="00360736" w:rsidRDefault="00360736" w:rsidP="004A2776">
      <w:pPr>
        <w:rPr>
          <w:lang w:val="es-ES_tradnl" w:eastAsia="es-ES_tradnl"/>
        </w:rPr>
      </w:pPr>
    </w:p>
    <w:p w14:paraId="4C6DDF1F" w14:textId="066CF0F7" w:rsidR="007D531F" w:rsidRDefault="00814709" w:rsidP="00955495">
      <w:pPr>
        <w:rPr>
          <w:b/>
          <w:lang w:val="es-MX"/>
        </w:rPr>
      </w:pPr>
      <w:r>
        <w:rPr>
          <w:b/>
          <w:lang w:val="es-MX"/>
        </w:rPr>
        <w:t>MATRIZ DE ARTICULACIÓ</w:t>
      </w:r>
      <w:r w:rsidR="007D531F" w:rsidRPr="007D531F">
        <w:rPr>
          <w:b/>
          <w:lang w:val="es-MX"/>
        </w:rPr>
        <w:t>N PLAN PRESUPUESTO</w:t>
      </w:r>
    </w:p>
    <w:p w14:paraId="351B2B8E" w14:textId="35EE0701" w:rsidR="00110644" w:rsidRDefault="00D474C2" w:rsidP="00110644">
      <w:pPr>
        <w:rPr>
          <w:rFonts w:asciiTheme="minorHAnsi" w:hAnsiTheme="minorHAnsi"/>
          <w:color w:val="000000"/>
          <w:sz w:val="16"/>
          <w:szCs w:val="16"/>
        </w:rPr>
      </w:pPr>
      <w:r>
        <w:rPr>
          <w:rFonts w:asciiTheme="minorHAnsi" w:hAnsiTheme="minorHAnsi"/>
          <w:color w:val="000000"/>
          <w:sz w:val="16"/>
          <w:szCs w:val="16"/>
        </w:rPr>
        <w:t xml:space="preserve"> </w:t>
      </w:r>
    </w:p>
    <w:tbl>
      <w:tblPr>
        <w:tblW w:w="13101" w:type="dxa"/>
        <w:tblLayout w:type="fixed"/>
        <w:tblCellMar>
          <w:left w:w="70" w:type="dxa"/>
          <w:right w:w="70" w:type="dxa"/>
        </w:tblCellMar>
        <w:tblLook w:val="04A0" w:firstRow="1" w:lastRow="0" w:firstColumn="1" w:lastColumn="0" w:noHBand="0" w:noVBand="1"/>
      </w:tblPr>
      <w:tblGrid>
        <w:gridCol w:w="1267"/>
        <w:gridCol w:w="1568"/>
        <w:gridCol w:w="1262"/>
        <w:gridCol w:w="1726"/>
        <w:gridCol w:w="1228"/>
        <w:gridCol w:w="992"/>
        <w:gridCol w:w="1134"/>
        <w:gridCol w:w="615"/>
        <w:gridCol w:w="708"/>
        <w:gridCol w:w="699"/>
        <w:gridCol w:w="699"/>
        <w:gridCol w:w="1203"/>
      </w:tblGrid>
      <w:tr w:rsidR="00110644" w:rsidRPr="00BA3674" w14:paraId="0EA2CDD0" w14:textId="77777777" w:rsidTr="00BD7DB6">
        <w:trPr>
          <w:trHeight w:val="690"/>
        </w:trPr>
        <w:tc>
          <w:tcPr>
            <w:tcW w:w="13101" w:type="dxa"/>
            <w:gridSpan w:val="12"/>
            <w:tcBorders>
              <w:top w:val="nil"/>
              <w:left w:val="nil"/>
              <w:bottom w:val="single" w:sz="8" w:space="0" w:color="auto"/>
              <w:right w:val="nil"/>
            </w:tcBorders>
            <w:shd w:val="clear" w:color="auto" w:fill="auto"/>
            <w:vAlign w:val="center"/>
            <w:hideMark/>
          </w:tcPr>
          <w:p w14:paraId="70DAA2C2" w14:textId="54EC176F" w:rsidR="00110644" w:rsidRPr="00BA3674" w:rsidRDefault="00814709" w:rsidP="00385A02">
            <w:pPr>
              <w:rPr>
                <w:rFonts w:asciiTheme="minorHAnsi" w:hAnsiTheme="minorHAnsi" w:cs="Arial"/>
                <w:b/>
                <w:bCs/>
                <w:color w:val="000000"/>
                <w:sz w:val="16"/>
                <w:szCs w:val="16"/>
              </w:rPr>
            </w:pPr>
            <w:r>
              <w:rPr>
                <w:rFonts w:asciiTheme="minorHAnsi" w:hAnsiTheme="minorHAnsi" w:cs="Arial"/>
                <w:b/>
                <w:bCs/>
                <w:color w:val="000000"/>
                <w:sz w:val="16"/>
                <w:szCs w:val="16"/>
              </w:rPr>
              <w:t>MATRIZ DE ARTICULACIÓ</w:t>
            </w:r>
            <w:r w:rsidR="00110644" w:rsidRPr="00BA3674">
              <w:rPr>
                <w:rFonts w:asciiTheme="minorHAnsi" w:hAnsiTheme="minorHAnsi" w:cs="Arial"/>
                <w:b/>
                <w:bCs/>
                <w:color w:val="000000"/>
                <w:sz w:val="16"/>
                <w:szCs w:val="16"/>
              </w:rPr>
              <w:t>N PLAN PRESUPUESTO</w:t>
            </w:r>
          </w:p>
        </w:tc>
      </w:tr>
      <w:tr w:rsidR="00110644" w:rsidRPr="00BA3674" w14:paraId="43232159" w14:textId="77777777" w:rsidTr="00BD7DB6">
        <w:trPr>
          <w:trHeight w:val="238"/>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BE563E"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Nombre de la Institución:</w:t>
            </w:r>
          </w:p>
        </w:tc>
        <w:tc>
          <w:tcPr>
            <w:tcW w:w="7278" w:type="dxa"/>
            <w:gridSpan w:val="8"/>
            <w:tcBorders>
              <w:top w:val="single" w:sz="8" w:space="0" w:color="auto"/>
              <w:left w:val="nil"/>
              <w:bottom w:val="single" w:sz="8" w:space="0" w:color="auto"/>
              <w:right w:val="nil"/>
            </w:tcBorders>
            <w:shd w:val="clear" w:color="auto" w:fill="auto"/>
            <w:noWrap/>
            <w:vAlign w:val="center"/>
            <w:hideMark/>
          </w:tcPr>
          <w:p w14:paraId="1EFF4C69"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SUPERINTENDENCIA DE PENSIONES</w:t>
            </w:r>
          </w:p>
        </w:tc>
      </w:tr>
      <w:tr w:rsidR="00110644" w:rsidRPr="00BA3674" w14:paraId="21A0AFB5" w14:textId="77777777" w:rsidTr="00BD7DB6">
        <w:trPr>
          <w:trHeight w:val="269"/>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5C33EEE"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Nombre del Jerarca de la Institución</w:t>
            </w:r>
          </w:p>
        </w:tc>
        <w:tc>
          <w:tcPr>
            <w:tcW w:w="1228" w:type="dxa"/>
            <w:tcBorders>
              <w:top w:val="nil"/>
              <w:left w:val="nil"/>
              <w:bottom w:val="single" w:sz="8" w:space="0" w:color="auto"/>
              <w:right w:val="nil"/>
            </w:tcBorders>
            <w:shd w:val="clear" w:color="auto" w:fill="auto"/>
            <w:noWrap/>
            <w:vAlign w:val="center"/>
            <w:hideMark/>
          </w:tcPr>
          <w:p w14:paraId="1E520402"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Álvaro Ramos</w:t>
            </w:r>
          </w:p>
        </w:tc>
        <w:tc>
          <w:tcPr>
            <w:tcW w:w="992" w:type="dxa"/>
            <w:tcBorders>
              <w:top w:val="nil"/>
              <w:left w:val="nil"/>
              <w:bottom w:val="single" w:sz="8" w:space="0" w:color="auto"/>
              <w:right w:val="nil"/>
            </w:tcBorders>
            <w:shd w:val="clear" w:color="auto" w:fill="auto"/>
            <w:noWrap/>
            <w:vAlign w:val="center"/>
            <w:hideMark/>
          </w:tcPr>
          <w:p w14:paraId="4B708882"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134" w:type="dxa"/>
            <w:tcBorders>
              <w:top w:val="nil"/>
              <w:left w:val="nil"/>
              <w:bottom w:val="single" w:sz="8" w:space="0" w:color="auto"/>
              <w:right w:val="nil"/>
            </w:tcBorders>
            <w:shd w:val="clear" w:color="auto" w:fill="auto"/>
            <w:noWrap/>
            <w:vAlign w:val="center"/>
            <w:hideMark/>
          </w:tcPr>
          <w:p w14:paraId="3731BD84"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15" w:type="dxa"/>
            <w:tcBorders>
              <w:top w:val="nil"/>
              <w:left w:val="nil"/>
              <w:bottom w:val="single" w:sz="8" w:space="0" w:color="auto"/>
              <w:right w:val="nil"/>
            </w:tcBorders>
            <w:shd w:val="clear" w:color="auto" w:fill="auto"/>
            <w:noWrap/>
            <w:vAlign w:val="center"/>
            <w:hideMark/>
          </w:tcPr>
          <w:p w14:paraId="0A404613"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708" w:type="dxa"/>
            <w:tcBorders>
              <w:top w:val="nil"/>
              <w:left w:val="nil"/>
              <w:bottom w:val="single" w:sz="8" w:space="0" w:color="auto"/>
              <w:right w:val="nil"/>
            </w:tcBorders>
            <w:shd w:val="clear" w:color="auto" w:fill="auto"/>
            <w:noWrap/>
            <w:vAlign w:val="center"/>
            <w:hideMark/>
          </w:tcPr>
          <w:p w14:paraId="5ECD0790"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center"/>
            <w:hideMark/>
          </w:tcPr>
          <w:p w14:paraId="7AA81625"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center"/>
            <w:hideMark/>
          </w:tcPr>
          <w:p w14:paraId="1D668CCB"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203" w:type="dxa"/>
            <w:tcBorders>
              <w:top w:val="nil"/>
              <w:left w:val="nil"/>
              <w:bottom w:val="single" w:sz="8" w:space="0" w:color="auto"/>
              <w:right w:val="nil"/>
            </w:tcBorders>
            <w:shd w:val="clear" w:color="auto" w:fill="auto"/>
            <w:noWrap/>
            <w:vAlign w:val="center"/>
            <w:hideMark/>
          </w:tcPr>
          <w:p w14:paraId="02340B43"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r>
      <w:tr w:rsidR="00110644" w:rsidRPr="00BA3674" w14:paraId="677EB01D" w14:textId="77777777" w:rsidTr="00BD7DB6">
        <w:trPr>
          <w:trHeight w:val="260"/>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81663C"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Sector:</w:t>
            </w:r>
          </w:p>
        </w:tc>
        <w:tc>
          <w:tcPr>
            <w:tcW w:w="5376" w:type="dxa"/>
            <w:gridSpan w:val="6"/>
            <w:tcBorders>
              <w:top w:val="single" w:sz="8" w:space="0" w:color="auto"/>
              <w:left w:val="single" w:sz="8" w:space="0" w:color="auto"/>
              <w:bottom w:val="single" w:sz="8" w:space="0" w:color="auto"/>
              <w:right w:val="nil"/>
            </w:tcBorders>
            <w:shd w:val="clear" w:color="auto" w:fill="auto"/>
            <w:noWrap/>
            <w:vAlign w:val="center"/>
            <w:hideMark/>
          </w:tcPr>
          <w:p w14:paraId="7B3BCE1B"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Hacienda Pública, Monetario y Supervisión Financiera</w:t>
            </w:r>
          </w:p>
        </w:tc>
        <w:tc>
          <w:tcPr>
            <w:tcW w:w="699" w:type="dxa"/>
            <w:tcBorders>
              <w:top w:val="nil"/>
              <w:left w:val="nil"/>
              <w:bottom w:val="single" w:sz="8" w:space="0" w:color="auto"/>
              <w:right w:val="nil"/>
            </w:tcBorders>
            <w:shd w:val="clear" w:color="auto" w:fill="auto"/>
            <w:noWrap/>
            <w:vAlign w:val="center"/>
            <w:hideMark/>
          </w:tcPr>
          <w:p w14:paraId="405ED87F"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203" w:type="dxa"/>
            <w:tcBorders>
              <w:top w:val="nil"/>
              <w:left w:val="nil"/>
              <w:bottom w:val="single" w:sz="8" w:space="0" w:color="auto"/>
              <w:right w:val="nil"/>
            </w:tcBorders>
            <w:shd w:val="clear" w:color="auto" w:fill="auto"/>
            <w:noWrap/>
            <w:vAlign w:val="center"/>
            <w:hideMark/>
          </w:tcPr>
          <w:p w14:paraId="11A44F30"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r>
      <w:tr w:rsidR="00110644" w:rsidRPr="00BA3674" w14:paraId="2B47F592" w14:textId="77777777" w:rsidTr="00BD7DB6">
        <w:trPr>
          <w:trHeight w:val="264"/>
        </w:trPr>
        <w:tc>
          <w:tcPr>
            <w:tcW w:w="5823"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23733E9"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Ministro(a) Rector(a)</w:t>
            </w:r>
          </w:p>
        </w:tc>
        <w:tc>
          <w:tcPr>
            <w:tcW w:w="3354" w:type="dxa"/>
            <w:gridSpan w:val="3"/>
            <w:tcBorders>
              <w:top w:val="nil"/>
              <w:left w:val="nil"/>
              <w:bottom w:val="single" w:sz="8" w:space="0" w:color="auto"/>
              <w:right w:val="nil"/>
            </w:tcBorders>
            <w:shd w:val="clear" w:color="auto" w:fill="auto"/>
            <w:noWrap/>
            <w:vAlign w:val="bottom"/>
            <w:hideMark/>
          </w:tcPr>
          <w:p w14:paraId="1ACF304A"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Helio Fallas V.</w:t>
            </w:r>
          </w:p>
        </w:tc>
        <w:tc>
          <w:tcPr>
            <w:tcW w:w="615" w:type="dxa"/>
            <w:tcBorders>
              <w:top w:val="nil"/>
              <w:left w:val="nil"/>
              <w:bottom w:val="single" w:sz="8" w:space="0" w:color="auto"/>
              <w:right w:val="nil"/>
            </w:tcBorders>
            <w:shd w:val="clear" w:color="auto" w:fill="auto"/>
            <w:noWrap/>
            <w:vAlign w:val="bottom"/>
            <w:hideMark/>
          </w:tcPr>
          <w:p w14:paraId="197C34AB"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708" w:type="dxa"/>
            <w:tcBorders>
              <w:top w:val="nil"/>
              <w:left w:val="nil"/>
              <w:bottom w:val="single" w:sz="8" w:space="0" w:color="auto"/>
              <w:right w:val="nil"/>
            </w:tcBorders>
            <w:shd w:val="clear" w:color="auto" w:fill="auto"/>
            <w:noWrap/>
            <w:vAlign w:val="bottom"/>
            <w:hideMark/>
          </w:tcPr>
          <w:p w14:paraId="4CFD4DED"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bottom"/>
            <w:hideMark/>
          </w:tcPr>
          <w:p w14:paraId="2CA353B7"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699" w:type="dxa"/>
            <w:tcBorders>
              <w:top w:val="nil"/>
              <w:left w:val="nil"/>
              <w:bottom w:val="single" w:sz="8" w:space="0" w:color="auto"/>
              <w:right w:val="nil"/>
            </w:tcBorders>
            <w:shd w:val="clear" w:color="auto" w:fill="auto"/>
            <w:noWrap/>
            <w:vAlign w:val="bottom"/>
            <w:hideMark/>
          </w:tcPr>
          <w:p w14:paraId="10CF6C6C"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c>
          <w:tcPr>
            <w:tcW w:w="1203" w:type="dxa"/>
            <w:tcBorders>
              <w:top w:val="nil"/>
              <w:left w:val="nil"/>
              <w:bottom w:val="single" w:sz="8" w:space="0" w:color="auto"/>
              <w:right w:val="nil"/>
            </w:tcBorders>
            <w:shd w:val="clear" w:color="auto" w:fill="auto"/>
            <w:noWrap/>
            <w:vAlign w:val="bottom"/>
            <w:hideMark/>
          </w:tcPr>
          <w:p w14:paraId="007F3604" w14:textId="77777777" w:rsidR="00110644" w:rsidRPr="00BA3674" w:rsidRDefault="00110644" w:rsidP="00385A02">
            <w:pPr>
              <w:rPr>
                <w:rFonts w:asciiTheme="minorHAnsi" w:hAnsiTheme="minorHAnsi" w:cs="Arial"/>
                <w:b/>
                <w:bCs/>
                <w:color w:val="000000"/>
                <w:sz w:val="16"/>
                <w:szCs w:val="16"/>
              </w:rPr>
            </w:pPr>
            <w:r w:rsidRPr="00BA3674">
              <w:rPr>
                <w:rFonts w:asciiTheme="minorHAnsi" w:hAnsiTheme="minorHAnsi" w:cs="Arial"/>
                <w:b/>
                <w:bCs/>
                <w:color w:val="000000"/>
                <w:sz w:val="16"/>
                <w:szCs w:val="16"/>
              </w:rPr>
              <w:t> </w:t>
            </w:r>
          </w:p>
        </w:tc>
      </w:tr>
      <w:tr w:rsidR="00110644" w:rsidRPr="00BA3674" w14:paraId="025E7FB9" w14:textId="77777777" w:rsidTr="00BD7DB6">
        <w:trPr>
          <w:trHeight w:val="386"/>
        </w:trPr>
        <w:tc>
          <w:tcPr>
            <w:tcW w:w="13101" w:type="dxa"/>
            <w:gridSpan w:val="12"/>
            <w:tcBorders>
              <w:top w:val="single" w:sz="12" w:space="0" w:color="FFFFFF"/>
              <w:left w:val="nil"/>
              <w:bottom w:val="single" w:sz="12" w:space="0" w:color="FFFFFF"/>
              <w:right w:val="single" w:sz="12" w:space="0" w:color="FFFFFF"/>
            </w:tcBorders>
            <w:shd w:val="clear" w:color="000000" w:fill="16365C"/>
            <w:noWrap/>
            <w:vAlign w:val="center"/>
            <w:hideMark/>
          </w:tcPr>
          <w:p w14:paraId="02A4ABC6" w14:textId="77777777" w:rsidR="00110644" w:rsidRPr="00BA3674" w:rsidRDefault="00110644" w:rsidP="00385A02">
            <w:pPr>
              <w:jc w:val="center"/>
              <w:rPr>
                <w:rFonts w:asciiTheme="minorHAnsi" w:hAnsiTheme="minorHAnsi" w:cs="Arial"/>
                <w:b/>
                <w:bCs/>
                <w:color w:val="FFFFFF"/>
                <w:sz w:val="16"/>
                <w:szCs w:val="16"/>
              </w:rPr>
            </w:pPr>
            <w:r w:rsidRPr="00BA3674">
              <w:rPr>
                <w:rFonts w:asciiTheme="minorHAnsi" w:hAnsiTheme="minorHAnsi" w:cs="Arial"/>
                <w:b/>
                <w:bCs/>
                <w:color w:val="FFFFFF"/>
                <w:sz w:val="16"/>
                <w:szCs w:val="16"/>
              </w:rPr>
              <w:t>PLAN NACIONAL DESARROLLO</w:t>
            </w:r>
          </w:p>
        </w:tc>
      </w:tr>
      <w:tr w:rsidR="00110644" w:rsidRPr="00BA3674" w14:paraId="05A3DFAB" w14:textId="77777777" w:rsidTr="00BD7DB6">
        <w:trPr>
          <w:trHeight w:val="510"/>
        </w:trPr>
        <w:tc>
          <w:tcPr>
            <w:tcW w:w="126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E567B30"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PILARES Y/O ELEMENTOS TRANSVERSALES  DEL PND (2015-2018)</w:t>
            </w:r>
          </w:p>
        </w:tc>
        <w:tc>
          <w:tcPr>
            <w:tcW w:w="156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6C0E89D"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OBJETIVOSECTORIAL(ES) /AFIN (ES) O TRANSVERSALES AFINES</w:t>
            </w:r>
          </w:p>
        </w:tc>
        <w:tc>
          <w:tcPr>
            <w:tcW w:w="126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1A8B982"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CODIGO Y NOMBRE DEL PROGRAMA/ PROYECTO  SECTORIAL PND</w:t>
            </w:r>
          </w:p>
        </w:tc>
        <w:tc>
          <w:tcPr>
            <w:tcW w:w="172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0E18E57"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 xml:space="preserve"> RESULTADOS DEL PROGRAMA O PROYECTO</w:t>
            </w:r>
          </w:p>
        </w:tc>
        <w:tc>
          <w:tcPr>
            <w:tcW w:w="1228"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81E5879"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INDICADORES DEL PROGRAMA O PROYECTO</w:t>
            </w:r>
          </w:p>
        </w:tc>
        <w:tc>
          <w:tcPr>
            <w:tcW w:w="99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F3514FD"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LINEA BASE DEL INDICADOR</w:t>
            </w:r>
          </w:p>
        </w:tc>
        <w:tc>
          <w:tcPr>
            <w:tcW w:w="113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2731CF4"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META DEL INDICADOR DEL PROGRAMA O PROYECTO DEL PERIODO</w:t>
            </w:r>
          </w:p>
        </w:tc>
        <w:tc>
          <w:tcPr>
            <w:tcW w:w="2721" w:type="dxa"/>
            <w:gridSpan w:val="4"/>
            <w:vMerge w:val="restart"/>
            <w:tcBorders>
              <w:top w:val="single" w:sz="12" w:space="0" w:color="FFFFFF"/>
              <w:left w:val="single" w:sz="12" w:space="0" w:color="FFFFFF"/>
              <w:bottom w:val="single" w:sz="12" w:space="0" w:color="FFFFFF"/>
              <w:right w:val="single" w:sz="12" w:space="0" w:color="FFFFFF"/>
            </w:tcBorders>
            <w:shd w:val="clear" w:color="000000" w:fill="C5D9F1"/>
            <w:vAlign w:val="center"/>
            <w:hideMark/>
          </w:tcPr>
          <w:p w14:paraId="752A9DF8"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METAS ANUALES DEL PND</w:t>
            </w:r>
          </w:p>
        </w:tc>
        <w:tc>
          <w:tcPr>
            <w:tcW w:w="1203" w:type="dxa"/>
            <w:vMerge w:val="restart"/>
            <w:tcBorders>
              <w:top w:val="nil"/>
              <w:left w:val="single" w:sz="12" w:space="0" w:color="FFFFFF"/>
              <w:bottom w:val="single" w:sz="12" w:space="0" w:color="FFFFFF"/>
              <w:right w:val="single" w:sz="12" w:space="0" w:color="FFFFFF"/>
            </w:tcBorders>
            <w:shd w:val="clear" w:color="000000" w:fill="8DB4E2"/>
            <w:vAlign w:val="center"/>
            <w:hideMark/>
          </w:tcPr>
          <w:p w14:paraId="7EFB316B"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COBERTURA GEOGRAFICA POR REGION</w:t>
            </w:r>
          </w:p>
        </w:tc>
      </w:tr>
      <w:tr w:rsidR="00110644" w:rsidRPr="00BA3674" w14:paraId="300E88E5" w14:textId="77777777" w:rsidTr="00BD7DB6">
        <w:trPr>
          <w:trHeight w:val="1080"/>
        </w:trPr>
        <w:tc>
          <w:tcPr>
            <w:tcW w:w="1267" w:type="dxa"/>
            <w:vMerge/>
            <w:tcBorders>
              <w:top w:val="nil"/>
              <w:left w:val="single" w:sz="12" w:space="0" w:color="FFFFFF"/>
              <w:bottom w:val="single" w:sz="12" w:space="0" w:color="FFFFFF"/>
              <w:right w:val="single" w:sz="12" w:space="0" w:color="FFFFFF"/>
            </w:tcBorders>
            <w:vAlign w:val="center"/>
            <w:hideMark/>
          </w:tcPr>
          <w:p w14:paraId="7AC85818"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72E87AAA"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5BB6C5F7"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0DD57877"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517B17A4"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7A46C112"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0769CF38" w14:textId="77777777" w:rsidR="00110644" w:rsidRPr="00BA3674" w:rsidRDefault="00110644" w:rsidP="00385A02">
            <w:pPr>
              <w:rPr>
                <w:rFonts w:asciiTheme="minorHAnsi" w:hAnsiTheme="minorHAnsi" w:cs="Arial"/>
                <w:b/>
                <w:bCs/>
                <w:sz w:val="16"/>
                <w:szCs w:val="16"/>
              </w:rPr>
            </w:pPr>
          </w:p>
        </w:tc>
        <w:tc>
          <w:tcPr>
            <w:tcW w:w="2721"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13F5E9B" w14:textId="77777777" w:rsidR="00110644" w:rsidRPr="00BA3674" w:rsidRDefault="00110644" w:rsidP="00385A02">
            <w:pPr>
              <w:rPr>
                <w:rFonts w:asciiTheme="minorHAnsi" w:hAnsiTheme="minorHAnsi" w:cs="Arial"/>
                <w:b/>
                <w:bCs/>
                <w:sz w:val="16"/>
                <w:szCs w:val="16"/>
              </w:rPr>
            </w:pPr>
          </w:p>
        </w:tc>
        <w:tc>
          <w:tcPr>
            <w:tcW w:w="1203" w:type="dxa"/>
            <w:vMerge/>
            <w:tcBorders>
              <w:top w:val="nil"/>
              <w:left w:val="single" w:sz="12" w:space="0" w:color="FFFFFF"/>
              <w:bottom w:val="single" w:sz="12" w:space="0" w:color="FFFFFF"/>
              <w:right w:val="single" w:sz="12" w:space="0" w:color="FFFFFF"/>
            </w:tcBorders>
            <w:vAlign w:val="center"/>
            <w:hideMark/>
          </w:tcPr>
          <w:p w14:paraId="771D09D1" w14:textId="77777777" w:rsidR="00110644" w:rsidRPr="00BA3674" w:rsidRDefault="00110644" w:rsidP="00385A02">
            <w:pPr>
              <w:rPr>
                <w:rFonts w:asciiTheme="minorHAnsi" w:hAnsiTheme="minorHAnsi" w:cs="Arial"/>
                <w:b/>
                <w:bCs/>
                <w:sz w:val="16"/>
                <w:szCs w:val="16"/>
              </w:rPr>
            </w:pPr>
          </w:p>
        </w:tc>
      </w:tr>
      <w:tr w:rsidR="00110644" w:rsidRPr="00BA3674" w14:paraId="6342B90A" w14:textId="77777777" w:rsidTr="00BD7DB6">
        <w:trPr>
          <w:trHeight w:val="330"/>
        </w:trPr>
        <w:tc>
          <w:tcPr>
            <w:tcW w:w="1267" w:type="dxa"/>
            <w:vMerge/>
            <w:tcBorders>
              <w:top w:val="nil"/>
              <w:left w:val="single" w:sz="12" w:space="0" w:color="FFFFFF"/>
              <w:bottom w:val="single" w:sz="12" w:space="0" w:color="FFFFFF"/>
              <w:right w:val="single" w:sz="12" w:space="0" w:color="FFFFFF"/>
            </w:tcBorders>
            <w:vAlign w:val="center"/>
            <w:hideMark/>
          </w:tcPr>
          <w:p w14:paraId="38A682D9"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66F68783"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1AB98DC6"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5B80AEF5"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72C4D886"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04B37FA0"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7533C2D0" w14:textId="77777777" w:rsidR="00110644" w:rsidRPr="00BA3674" w:rsidRDefault="00110644" w:rsidP="00385A02">
            <w:pPr>
              <w:rPr>
                <w:rFonts w:asciiTheme="minorHAnsi" w:hAnsiTheme="minorHAnsi" w:cs="Arial"/>
                <w:b/>
                <w:bCs/>
                <w:sz w:val="16"/>
                <w:szCs w:val="16"/>
              </w:rPr>
            </w:pPr>
          </w:p>
        </w:tc>
        <w:tc>
          <w:tcPr>
            <w:tcW w:w="2721"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5DC58D69" w14:textId="77777777" w:rsidR="00110644" w:rsidRPr="00BA3674" w:rsidRDefault="00110644" w:rsidP="00385A02">
            <w:pPr>
              <w:rPr>
                <w:rFonts w:asciiTheme="minorHAnsi" w:hAnsiTheme="minorHAnsi" w:cs="Arial"/>
                <w:b/>
                <w:bCs/>
                <w:sz w:val="16"/>
                <w:szCs w:val="16"/>
              </w:rPr>
            </w:pPr>
          </w:p>
        </w:tc>
        <w:tc>
          <w:tcPr>
            <w:tcW w:w="1203" w:type="dxa"/>
            <w:vMerge/>
            <w:tcBorders>
              <w:top w:val="nil"/>
              <w:left w:val="single" w:sz="12" w:space="0" w:color="FFFFFF"/>
              <w:bottom w:val="single" w:sz="12" w:space="0" w:color="FFFFFF"/>
              <w:right w:val="single" w:sz="12" w:space="0" w:color="FFFFFF"/>
            </w:tcBorders>
            <w:vAlign w:val="center"/>
            <w:hideMark/>
          </w:tcPr>
          <w:p w14:paraId="7ECEEC0D" w14:textId="77777777" w:rsidR="00110644" w:rsidRPr="00BA3674" w:rsidRDefault="00110644" w:rsidP="00385A02">
            <w:pPr>
              <w:rPr>
                <w:rFonts w:asciiTheme="minorHAnsi" w:hAnsiTheme="minorHAnsi" w:cs="Arial"/>
                <w:b/>
                <w:bCs/>
                <w:sz w:val="16"/>
                <w:szCs w:val="16"/>
              </w:rPr>
            </w:pPr>
          </w:p>
        </w:tc>
      </w:tr>
      <w:tr w:rsidR="00110644" w:rsidRPr="00BA3674" w14:paraId="1A8B89D3" w14:textId="77777777" w:rsidTr="00BD7DB6">
        <w:trPr>
          <w:trHeight w:val="276"/>
        </w:trPr>
        <w:tc>
          <w:tcPr>
            <w:tcW w:w="1267" w:type="dxa"/>
            <w:vMerge/>
            <w:tcBorders>
              <w:top w:val="nil"/>
              <w:left w:val="single" w:sz="12" w:space="0" w:color="FFFFFF"/>
              <w:bottom w:val="single" w:sz="12" w:space="0" w:color="FFFFFF"/>
              <w:right w:val="single" w:sz="12" w:space="0" w:color="FFFFFF"/>
            </w:tcBorders>
            <w:vAlign w:val="center"/>
            <w:hideMark/>
          </w:tcPr>
          <w:p w14:paraId="11C19A77"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4B4F74F0"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4245ED62"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0FB0AC69"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07D2E987"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4155880E"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09515AC7" w14:textId="77777777" w:rsidR="00110644" w:rsidRPr="00BA3674" w:rsidRDefault="00110644" w:rsidP="00385A02">
            <w:pPr>
              <w:rPr>
                <w:rFonts w:asciiTheme="minorHAnsi" w:hAnsiTheme="minorHAnsi" w:cs="Arial"/>
                <w:b/>
                <w:bCs/>
                <w:sz w:val="16"/>
                <w:szCs w:val="16"/>
              </w:rPr>
            </w:pPr>
          </w:p>
        </w:tc>
        <w:tc>
          <w:tcPr>
            <w:tcW w:w="2721"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11144808" w14:textId="77777777" w:rsidR="00110644" w:rsidRPr="00BA3674" w:rsidRDefault="00110644" w:rsidP="00385A02">
            <w:pPr>
              <w:rPr>
                <w:rFonts w:asciiTheme="minorHAnsi" w:hAnsiTheme="minorHAnsi" w:cs="Arial"/>
                <w:b/>
                <w:bCs/>
                <w:sz w:val="16"/>
                <w:szCs w:val="16"/>
              </w:rPr>
            </w:pPr>
          </w:p>
        </w:tc>
        <w:tc>
          <w:tcPr>
            <w:tcW w:w="1203" w:type="dxa"/>
            <w:vMerge/>
            <w:tcBorders>
              <w:top w:val="nil"/>
              <w:left w:val="single" w:sz="12" w:space="0" w:color="FFFFFF"/>
              <w:bottom w:val="single" w:sz="12" w:space="0" w:color="FFFFFF"/>
              <w:right w:val="single" w:sz="12" w:space="0" w:color="FFFFFF"/>
            </w:tcBorders>
            <w:vAlign w:val="center"/>
            <w:hideMark/>
          </w:tcPr>
          <w:p w14:paraId="521C162C" w14:textId="77777777" w:rsidR="00110644" w:rsidRPr="00BA3674" w:rsidRDefault="00110644" w:rsidP="00385A02">
            <w:pPr>
              <w:rPr>
                <w:rFonts w:asciiTheme="minorHAnsi" w:hAnsiTheme="minorHAnsi" w:cs="Arial"/>
                <w:b/>
                <w:bCs/>
                <w:sz w:val="16"/>
                <w:szCs w:val="16"/>
              </w:rPr>
            </w:pPr>
          </w:p>
        </w:tc>
      </w:tr>
      <w:tr w:rsidR="00110644" w:rsidRPr="00BA3674" w14:paraId="27192093" w14:textId="77777777" w:rsidTr="00BD7DB6">
        <w:trPr>
          <w:trHeight w:val="403"/>
        </w:trPr>
        <w:tc>
          <w:tcPr>
            <w:tcW w:w="1267" w:type="dxa"/>
            <w:vMerge/>
            <w:tcBorders>
              <w:top w:val="nil"/>
              <w:left w:val="single" w:sz="12" w:space="0" w:color="FFFFFF"/>
              <w:bottom w:val="single" w:sz="12" w:space="0" w:color="FFFFFF"/>
              <w:right w:val="single" w:sz="12" w:space="0" w:color="FFFFFF"/>
            </w:tcBorders>
            <w:vAlign w:val="center"/>
            <w:hideMark/>
          </w:tcPr>
          <w:p w14:paraId="76333672" w14:textId="77777777" w:rsidR="00110644" w:rsidRPr="00BA3674" w:rsidRDefault="00110644" w:rsidP="00385A02">
            <w:pPr>
              <w:rPr>
                <w:rFonts w:asciiTheme="minorHAnsi" w:hAnsiTheme="minorHAnsi" w:cs="Arial"/>
                <w:b/>
                <w:bCs/>
                <w:sz w:val="16"/>
                <w:szCs w:val="16"/>
              </w:rPr>
            </w:pPr>
          </w:p>
        </w:tc>
        <w:tc>
          <w:tcPr>
            <w:tcW w:w="1568" w:type="dxa"/>
            <w:vMerge/>
            <w:tcBorders>
              <w:top w:val="nil"/>
              <w:left w:val="single" w:sz="12" w:space="0" w:color="FFFFFF"/>
              <w:bottom w:val="single" w:sz="12" w:space="0" w:color="FFFFFF"/>
              <w:right w:val="single" w:sz="12" w:space="0" w:color="FFFFFF"/>
            </w:tcBorders>
            <w:vAlign w:val="center"/>
            <w:hideMark/>
          </w:tcPr>
          <w:p w14:paraId="25BCA89B" w14:textId="77777777" w:rsidR="00110644" w:rsidRPr="00BA3674" w:rsidRDefault="00110644" w:rsidP="00385A02">
            <w:pPr>
              <w:rPr>
                <w:rFonts w:asciiTheme="minorHAnsi" w:hAnsiTheme="minorHAnsi" w:cs="Arial"/>
                <w:b/>
                <w:bCs/>
                <w:sz w:val="16"/>
                <w:szCs w:val="16"/>
              </w:rPr>
            </w:pPr>
          </w:p>
        </w:tc>
        <w:tc>
          <w:tcPr>
            <w:tcW w:w="1262" w:type="dxa"/>
            <w:vMerge/>
            <w:tcBorders>
              <w:top w:val="nil"/>
              <w:left w:val="single" w:sz="12" w:space="0" w:color="FFFFFF"/>
              <w:bottom w:val="single" w:sz="12" w:space="0" w:color="FFFFFF"/>
              <w:right w:val="single" w:sz="12" w:space="0" w:color="FFFFFF"/>
            </w:tcBorders>
            <w:vAlign w:val="center"/>
            <w:hideMark/>
          </w:tcPr>
          <w:p w14:paraId="519CF915" w14:textId="77777777" w:rsidR="00110644" w:rsidRPr="00BA3674" w:rsidRDefault="00110644" w:rsidP="00385A02">
            <w:pPr>
              <w:rPr>
                <w:rFonts w:asciiTheme="minorHAnsi" w:hAnsiTheme="minorHAnsi" w:cs="Arial"/>
                <w:b/>
                <w:bCs/>
                <w:sz w:val="16"/>
                <w:szCs w:val="16"/>
              </w:rPr>
            </w:pPr>
          </w:p>
        </w:tc>
        <w:tc>
          <w:tcPr>
            <w:tcW w:w="1726" w:type="dxa"/>
            <w:vMerge/>
            <w:tcBorders>
              <w:top w:val="nil"/>
              <w:left w:val="single" w:sz="12" w:space="0" w:color="FFFFFF"/>
              <w:bottom w:val="single" w:sz="12" w:space="0" w:color="FFFFFF"/>
              <w:right w:val="single" w:sz="12" w:space="0" w:color="FFFFFF"/>
            </w:tcBorders>
            <w:vAlign w:val="center"/>
            <w:hideMark/>
          </w:tcPr>
          <w:p w14:paraId="0E0C6C01" w14:textId="77777777" w:rsidR="00110644" w:rsidRPr="00BA3674" w:rsidRDefault="00110644" w:rsidP="00385A02">
            <w:pPr>
              <w:rPr>
                <w:rFonts w:asciiTheme="minorHAnsi" w:hAnsiTheme="minorHAnsi" w:cs="Arial"/>
                <w:b/>
                <w:bCs/>
                <w:sz w:val="16"/>
                <w:szCs w:val="16"/>
              </w:rPr>
            </w:pPr>
          </w:p>
        </w:tc>
        <w:tc>
          <w:tcPr>
            <w:tcW w:w="1228" w:type="dxa"/>
            <w:vMerge/>
            <w:tcBorders>
              <w:top w:val="nil"/>
              <w:left w:val="single" w:sz="12" w:space="0" w:color="FFFFFF"/>
              <w:bottom w:val="single" w:sz="12" w:space="0" w:color="FFFFFF"/>
              <w:right w:val="single" w:sz="12" w:space="0" w:color="FFFFFF"/>
            </w:tcBorders>
            <w:vAlign w:val="center"/>
            <w:hideMark/>
          </w:tcPr>
          <w:p w14:paraId="0D981FE2" w14:textId="77777777" w:rsidR="00110644" w:rsidRPr="00BA3674" w:rsidRDefault="00110644" w:rsidP="00385A02">
            <w:pPr>
              <w:rPr>
                <w:rFonts w:asciiTheme="minorHAnsi" w:hAnsiTheme="minorHAnsi" w:cs="Arial"/>
                <w:b/>
                <w:bCs/>
                <w:sz w:val="16"/>
                <w:szCs w:val="16"/>
              </w:rPr>
            </w:pPr>
          </w:p>
        </w:tc>
        <w:tc>
          <w:tcPr>
            <w:tcW w:w="992" w:type="dxa"/>
            <w:vMerge/>
            <w:tcBorders>
              <w:top w:val="nil"/>
              <w:left w:val="single" w:sz="12" w:space="0" w:color="FFFFFF"/>
              <w:bottom w:val="single" w:sz="12" w:space="0" w:color="FFFFFF"/>
              <w:right w:val="single" w:sz="12" w:space="0" w:color="FFFFFF"/>
            </w:tcBorders>
            <w:vAlign w:val="center"/>
            <w:hideMark/>
          </w:tcPr>
          <w:p w14:paraId="200BD973" w14:textId="77777777" w:rsidR="00110644" w:rsidRPr="00BA3674" w:rsidRDefault="00110644" w:rsidP="00385A02">
            <w:pPr>
              <w:rPr>
                <w:rFonts w:asciiTheme="minorHAnsi" w:hAnsiTheme="minorHAnsi"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01A1DB09" w14:textId="77777777" w:rsidR="00110644" w:rsidRPr="00BA3674" w:rsidRDefault="00110644" w:rsidP="00385A02">
            <w:pPr>
              <w:rPr>
                <w:rFonts w:asciiTheme="minorHAnsi" w:hAnsiTheme="minorHAnsi" w:cs="Arial"/>
                <w:b/>
                <w:bCs/>
                <w:sz w:val="16"/>
                <w:szCs w:val="16"/>
              </w:rPr>
            </w:pPr>
          </w:p>
        </w:tc>
        <w:tc>
          <w:tcPr>
            <w:tcW w:w="615" w:type="dxa"/>
            <w:tcBorders>
              <w:top w:val="nil"/>
              <w:left w:val="nil"/>
              <w:bottom w:val="nil"/>
              <w:right w:val="single" w:sz="12" w:space="0" w:color="FFFFFF"/>
            </w:tcBorders>
            <w:shd w:val="clear" w:color="000000" w:fill="95B3D7"/>
            <w:vAlign w:val="center"/>
            <w:hideMark/>
          </w:tcPr>
          <w:p w14:paraId="395C9BF9"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2015</w:t>
            </w:r>
          </w:p>
        </w:tc>
        <w:tc>
          <w:tcPr>
            <w:tcW w:w="708" w:type="dxa"/>
            <w:tcBorders>
              <w:top w:val="nil"/>
              <w:left w:val="nil"/>
              <w:bottom w:val="single" w:sz="12" w:space="0" w:color="FFFFFF"/>
              <w:right w:val="single" w:sz="12" w:space="0" w:color="FFFFFF"/>
            </w:tcBorders>
            <w:shd w:val="clear" w:color="000000" w:fill="95B3D7"/>
            <w:vAlign w:val="center"/>
            <w:hideMark/>
          </w:tcPr>
          <w:p w14:paraId="30D85FAC"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2016</w:t>
            </w:r>
          </w:p>
        </w:tc>
        <w:tc>
          <w:tcPr>
            <w:tcW w:w="699" w:type="dxa"/>
            <w:tcBorders>
              <w:top w:val="nil"/>
              <w:left w:val="nil"/>
              <w:bottom w:val="single" w:sz="12" w:space="0" w:color="FFFFFF"/>
              <w:right w:val="single" w:sz="12" w:space="0" w:color="FFFFFF"/>
            </w:tcBorders>
            <w:shd w:val="clear" w:color="000000" w:fill="95B3D7"/>
            <w:vAlign w:val="center"/>
            <w:hideMark/>
          </w:tcPr>
          <w:p w14:paraId="77DB21F9"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2017</w:t>
            </w:r>
          </w:p>
        </w:tc>
        <w:tc>
          <w:tcPr>
            <w:tcW w:w="699" w:type="dxa"/>
            <w:tcBorders>
              <w:top w:val="nil"/>
              <w:left w:val="nil"/>
              <w:bottom w:val="single" w:sz="12" w:space="0" w:color="FFFFFF"/>
              <w:right w:val="single" w:sz="12" w:space="0" w:color="FFFFFF"/>
            </w:tcBorders>
            <w:shd w:val="clear" w:color="000000" w:fill="95B3D7"/>
            <w:vAlign w:val="center"/>
            <w:hideMark/>
          </w:tcPr>
          <w:p w14:paraId="2CB33B27" w14:textId="77777777" w:rsidR="00110644" w:rsidRPr="00BA3674" w:rsidRDefault="00110644" w:rsidP="00385A02">
            <w:pPr>
              <w:jc w:val="center"/>
              <w:rPr>
                <w:rFonts w:asciiTheme="minorHAnsi" w:hAnsiTheme="minorHAnsi" w:cs="Arial"/>
                <w:b/>
                <w:bCs/>
                <w:sz w:val="16"/>
                <w:szCs w:val="16"/>
              </w:rPr>
            </w:pPr>
            <w:r w:rsidRPr="00BA3674">
              <w:rPr>
                <w:rFonts w:asciiTheme="minorHAnsi" w:hAnsiTheme="minorHAnsi" w:cs="Arial"/>
                <w:b/>
                <w:bCs/>
                <w:sz w:val="16"/>
                <w:szCs w:val="16"/>
              </w:rPr>
              <w:t>2018</w:t>
            </w:r>
          </w:p>
        </w:tc>
        <w:tc>
          <w:tcPr>
            <w:tcW w:w="1203" w:type="dxa"/>
            <w:vMerge/>
            <w:tcBorders>
              <w:top w:val="nil"/>
              <w:left w:val="single" w:sz="12" w:space="0" w:color="FFFFFF"/>
              <w:bottom w:val="single" w:sz="12" w:space="0" w:color="FFFFFF"/>
              <w:right w:val="single" w:sz="12" w:space="0" w:color="FFFFFF"/>
            </w:tcBorders>
            <w:vAlign w:val="center"/>
            <w:hideMark/>
          </w:tcPr>
          <w:p w14:paraId="72F11E02" w14:textId="77777777" w:rsidR="00110644" w:rsidRPr="00BA3674" w:rsidRDefault="00110644" w:rsidP="00385A02">
            <w:pPr>
              <w:rPr>
                <w:rFonts w:asciiTheme="minorHAnsi" w:hAnsiTheme="minorHAnsi" w:cs="Arial"/>
                <w:b/>
                <w:bCs/>
                <w:sz w:val="16"/>
                <w:szCs w:val="16"/>
              </w:rPr>
            </w:pPr>
          </w:p>
        </w:tc>
      </w:tr>
      <w:tr w:rsidR="00110644" w:rsidRPr="00BA3674" w14:paraId="40F647B2" w14:textId="77777777" w:rsidTr="00BD7DB6">
        <w:trPr>
          <w:trHeight w:val="1650"/>
        </w:trPr>
        <w:tc>
          <w:tcPr>
            <w:tcW w:w="1267" w:type="dxa"/>
            <w:tcBorders>
              <w:top w:val="nil"/>
              <w:left w:val="single" w:sz="12" w:space="0" w:color="FFFFFF"/>
              <w:bottom w:val="nil"/>
              <w:right w:val="single" w:sz="12" w:space="0" w:color="FFFFFF"/>
            </w:tcBorders>
            <w:shd w:val="clear" w:color="000000" w:fill="D9D9D9"/>
            <w:vAlign w:val="center"/>
            <w:hideMark/>
          </w:tcPr>
          <w:p w14:paraId="0A0365F9"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Impulsar el crecimiento económico y generar empleo de calidad.</w:t>
            </w:r>
          </w:p>
        </w:tc>
        <w:tc>
          <w:tcPr>
            <w:tcW w:w="1568" w:type="dxa"/>
            <w:tcBorders>
              <w:top w:val="nil"/>
              <w:left w:val="nil"/>
              <w:bottom w:val="nil"/>
              <w:right w:val="single" w:sz="12" w:space="0" w:color="FFFFFF"/>
            </w:tcBorders>
            <w:shd w:val="clear" w:color="000000" w:fill="D9D9D9"/>
            <w:vAlign w:val="center"/>
            <w:hideMark/>
          </w:tcPr>
          <w:p w14:paraId="5756E4C6" w14:textId="77777777" w:rsidR="00110644" w:rsidRDefault="00110644" w:rsidP="00385A02">
            <w:pPr>
              <w:jc w:val="center"/>
              <w:rPr>
                <w:rFonts w:asciiTheme="minorHAnsi" w:hAnsiTheme="minorHAnsi" w:cs="Arial"/>
                <w:sz w:val="16"/>
                <w:szCs w:val="16"/>
              </w:rPr>
            </w:pPr>
            <w:r w:rsidRPr="00BA3674">
              <w:rPr>
                <w:rFonts w:asciiTheme="minorHAnsi" w:hAnsiTheme="minorHAnsi" w:cs="Arial"/>
                <w:sz w:val="16"/>
                <w:szCs w:val="16"/>
              </w:rPr>
              <w:t>1. Asegurar una política económica coherente y apropiada entre los participantes del Sector que coadyuve al crecimiento y estabilidad económica del país.</w:t>
            </w:r>
          </w:p>
          <w:p w14:paraId="3F6BA845" w14:textId="77777777" w:rsidR="00110644" w:rsidRPr="00BA3674" w:rsidRDefault="00110644" w:rsidP="00385A02">
            <w:pPr>
              <w:jc w:val="center"/>
              <w:rPr>
                <w:rFonts w:asciiTheme="minorHAnsi" w:hAnsiTheme="minorHAnsi" w:cs="Arial"/>
                <w:sz w:val="16"/>
                <w:szCs w:val="16"/>
              </w:rPr>
            </w:pPr>
          </w:p>
        </w:tc>
        <w:tc>
          <w:tcPr>
            <w:tcW w:w="1262" w:type="dxa"/>
            <w:tcBorders>
              <w:top w:val="nil"/>
              <w:left w:val="nil"/>
              <w:bottom w:val="nil"/>
              <w:right w:val="single" w:sz="12" w:space="0" w:color="FFFFFF"/>
            </w:tcBorders>
            <w:shd w:val="clear" w:color="000000" w:fill="D9D9D9"/>
            <w:vAlign w:val="center"/>
            <w:hideMark/>
          </w:tcPr>
          <w:p w14:paraId="20233C5B" w14:textId="576C4DAE"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1.3. Fortalecimiento de la regulación y supervisión micro</w:t>
            </w:r>
            <w:r w:rsidR="00BD7DB6">
              <w:rPr>
                <w:rFonts w:asciiTheme="minorHAnsi" w:hAnsiTheme="minorHAnsi" w:cs="Arial"/>
                <w:sz w:val="16"/>
                <w:szCs w:val="16"/>
              </w:rPr>
              <w:t>-</w:t>
            </w:r>
            <w:r w:rsidRPr="00BA3674">
              <w:rPr>
                <w:rFonts w:asciiTheme="minorHAnsi" w:hAnsiTheme="minorHAnsi" w:cs="Arial"/>
                <w:sz w:val="16"/>
                <w:szCs w:val="16"/>
              </w:rPr>
              <w:t>prudencial.</w:t>
            </w:r>
          </w:p>
        </w:tc>
        <w:tc>
          <w:tcPr>
            <w:tcW w:w="1726" w:type="dxa"/>
            <w:tcBorders>
              <w:top w:val="nil"/>
              <w:left w:val="nil"/>
              <w:bottom w:val="nil"/>
              <w:right w:val="single" w:sz="12" w:space="0" w:color="FFFFFF"/>
            </w:tcBorders>
            <w:shd w:val="clear" w:color="000000" w:fill="D9D9D9"/>
            <w:vAlign w:val="center"/>
            <w:hideMark/>
          </w:tcPr>
          <w:p w14:paraId="02CF2802" w14:textId="191FE8FD"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Coadyuvar a mantener la estabilidad del Sistema Financiero mediante el fortalecimiento de la supervisión y regulación micro</w:t>
            </w:r>
            <w:r w:rsidR="00BD7DB6">
              <w:rPr>
                <w:rFonts w:asciiTheme="minorHAnsi" w:hAnsiTheme="minorHAnsi" w:cs="Arial"/>
                <w:sz w:val="16"/>
                <w:szCs w:val="16"/>
              </w:rPr>
              <w:t>-</w:t>
            </w:r>
            <w:r w:rsidRPr="00BA3674">
              <w:rPr>
                <w:rFonts w:asciiTheme="minorHAnsi" w:hAnsiTheme="minorHAnsi" w:cs="Arial"/>
                <w:sz w:val="16"/>
                <w:szCs w:val="16"/>
              </w:rPr>
              <w:t>prudencial</w:t>
            </w:r>
          </w:p>
        </w:tc>
        <w:tc>
          <w:tcPr>
            <w:tcW w:w="1228" w:type="dxa"/>
            <w:tcBorders>
              <w:top w:val="nil"/>
              <w:left w:val="nil"/>
              <w:bottom w:val="nil"/>
              <w:right w:val="single" w:sz="12" w:space="0" w:color="FFFFFF"/>
            </w:tcBorders>
            <w:shd w:val="clear" w:color="000000" w:fill="D9D9D9"/>
            <w:vAlign w:val="center"/>
            <w:hideMark/>
          </w:tcPr>
          <w:p w14:paraId="603E8A00"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Aplicación de la supervisión basada en riesgos (SBR)</w:t>
            </w:r>
          </w:p>
        </w:tc>
        <w:tc>
          <w:tcPr>
            <w:tcW w:w="992" w:type="dxa"/>
            <w:tcBorders>
              <w:top w:val="nil"/>
              <w:left w:val="nil"/>
              <w:bottom w:val="nil"/>
              <w:right w:val="single" w:sz="12" w:space="0" w:color="FFFFFF"/>
            </w:tcBorders>
            <w:shd w:val="clear" w:color="000000" w:fill="D9D9D9"/>
            <w:vAlign w:val="center"/>
            <w:hideMark/>
          </w:tcPr>
          <w:p w14:paraId="5A410176"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0%</w:t>
            </w:r>
          </w:p>
        </w:tc>
        <w:tc>
          <w:tcPr>
            <w:tcW w:w="1134" w:type="dxa"/>
            <w:tcBorders>
              <w:top w:val="nil"/>
              <w:left w:val="nil"/>
              <w:bottom w:val="nil"/>
              <w:right w:val="single" w:sz="12" w:space="0" w:color="FFFFFF"/>
            </w:tcBorders>
            <w:shd w:val="clear" w:color="000000" w:fill="D9D9D9"/>
            <w:vAlign w:val="center"/>
            <w:hideMark/>
          </w:tcPr>
          <w:p w14:paraId="0AE1E616"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100%</w:t>
            </w:r>
          </w:p>
        </w:tc>
        <w:tc>
          <w:tcPr>
            <w:tcW w:w="615" w:type="dxa"/>
            <w:tcBorders>
              <w:top w:val="single" w:sz="12" w:space="0" w:color="FFFFFF"/>
              <w:left w:val="nil"/>
              <w:bottom w:val="nil"/>
              <w:right w:val="single" w:sz="12" w:space="0" w:color="FFFFFF"/>
            </w:tcBorders>
            <w:shd w:val="clear" w:color="000000" w:fill="D9D9D9"/>
            <w:vAlign w:val="center"/>
            <w:hideMark/>
          </w:tcPr>
          <w:p w14:paraId="174481C8"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0%</w:t>
            </w:r>
          </w:p>
        </w:tc>
        <w:tc>
          <w:tcPr>
            <w:tcW w:w="708" w:type="dxa"/>
            <w:tcBorders>
              <w:top w:val="nil"/>
              <w:left w:val="nil"/>
              <w:bottom w:val="nil"/>
              <w:right w:val="single" w:sz="12" w:space="0" w:color="FFFFFF"/>
            </w:tcBorders>
            <w:shd w:val="clear" w:color="000000" w:fill="D9D9D9"/>
            <w:vAlign w:val="center"/>
            <w:hideMark/>
          </w:tcPr>
          <w:p w14:paraId="3A339A71"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25%</w:t>
            </w:r>
          </w:p>
        </w:tc>
        <w:tc>
          <w:tcPr>
            <w:tcW w:w="699" w:type="dxa"/>
            <w:tcBorders>
              <w:top w:val="nil"/>
              <w:left w:val="nil"/>
              <w:bottom w:val="nil"/>
              <w:right w:val="single" w:sz="12" w:space="0" w:color="FFFFFF"/>
            </w:tcBorders>
            <w:shd w:val="clear" w:color="000000" w:fill="D9D9D9"/>
            <w:vAlign w:val="center"/>
            <w:hideMark/>
          </w:tcPr>
          <w:p w14:paraId="68B8B126"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50%</w:t>
            </w:r>
          </w:p>
        </w:tc>
        <w:tc>
          <w:tcPr>
            <w:tcW w:w="699" w:type="dxa"/>
            <w:tcBorders>
              <w:top w:val="nil"/>
              <w:left w:val="nil"/>
              <w:bottom w:val="nil"/>
              <w:right w:val="single" w:sz="12" w:space="0" w:color="FFFFFF"/>
            </w:tcBorders>
            <w:shd w:val="clear" w:color="000000" w:fill="D9D9D9"/>
            <w:vAlign w:val="center"/>
            <w:hideMark/>
          </w:tcPr>
          <w:p w14:paraId="1070DF51"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100%</w:t>
            </w:r>
          </w:p>
        </w:tc>
        <w:tc>
          <w:tcPr>
            <w:tcW w:w="1203" w:type="dxa"/>
            <w:tcBorders>
              <w:top w:val="nil"/>
              <w:left w:val="nil"/>
              <w:bottom w:val="nil"/>
              <w:right w:val="single" w:sz="12" w:space="0" w:color="FFFFFF"/>
            </w:tcBorders>
            <w:shd w:val="clear" w:color="000000" w:fill="D9D9D9"/>
            <w:vAlign w:val="center"/>
            <w:hideMark/>
          </w:tcPr>
          <w:p w14:paraId="5533D81A" w14:textId="77777777" w:rsidR="00110644" w:rsidRPr="00BA3674" w:rsidRDefault="00110644" w:rsidP="00385A02">
            <w:pPr>
              <w:jc w:val="center"/>
              <w:rPr>
                <w:rFonts w:asciiTheme="minorHAnsi" w:hAnsiTheme="minorHAnsi" w:cs="Arial"/>
                <w:sz w:val="16"/>
                <w:szCs w:val="16"/>
              </w:rPr>
            </w:pPr>
            <w:r w:rsidRPr="00BA3674">
              <w:rPr>
                <w:rFonts w:asciiTheme="minorHAnsi" w:hAnsiTheme="minorHAnsi" w:cs="Arial"/>
                <w:sz w:val="16"/>
                <w:szCs w:val="16"/>
              </w:rPr>
              <w:t>Nacional</w:t>
            </w:r>
          </w:p>
        </w:tc>
      </w:tr>
    </w:tbl>
    <w:p w14:paraId="432940DE" w14:textId="77777777" w:rsidR="00110644" w:rsidRPr="00BA3674" w:rsidRDefault="00110644" w:rsidP="00110644">
      <w:pPr>
        <w:rPr>
          <w:rFonts w:asciiTheme="minorHAnsi" w:hAnsiTheme="minorHAnsi"/>
          <w:color w:val="000000"/>
          <w:sz w:val="16"/>
          <w:szCs w:val="16"/>
        </w:rPr>
      </w:pPr>
    </w:p>
    <w:p w14:paraId="20AA703F" w14:textId="77777777" w:rsidR="00110644" w:rsidRPr="00BA3674" w:rsidRDefault="00110644" w:rsidP="00110644">
      <w:pPr>
        <w:rPr>
          <w:rFonts w:asciiTheme="minorHAnsi" w:hAnsiTheme="minorHAnsi"/>
          <w:color w:val="000000"/>
          <w:sz w:val="16"/>
          <w:szCs w:val="16"/>
        </w:rPr>
      </w:pPr>
    </w:p>
    <w:p w14:paraId="45A0F46F" w14:textId="1723C9B6" w:rsidR="00110644" w:rsidRDefault="00110644">
      <w:pPr>
        <w:rPr>
          <w:rFonts w:asciiTheme="minorHAnsi" w:hAnsiTheme="minorHAnsi"/>
          <w:color w:val="000000"/>
          <w:sz w:val="16"/>
          <w:szCs w:val="16"/>
        </w:rPr>
      </w:pPr>
      <w:r>
        <w:rPr>
          <w:rFonts w:asciiTheme="minorHAnsi" w:hAnsiTheme="minorHAnsi"/>
          <w:color w:val="000000"/>
          <w:sz w:val="16"/>
          <w:szCs w:val="16"/>
        </w:rPr>
        <w:br w:type="page"/>
      </w:r>
    </w:p>
    <w:p w14:paraId="52FE051C" w14:textId="77777777" w:rsidR="00110644" w:rsidRPr="00BA3674" w:rsidRDefault="00110644" w:rsidP="00110644">
      <w:pPr>
        <w:rPr>
          <w:rFonts w:asciiTheme="minorHAnsi" w:hAnsiTheme="minorHAnsi"/>
          <w:color w:val="000000"/>
          <w:sz w:val="16"/>
          <w:szCs w:val="16"/>
        </w:rPr>
      </w:pPr>
    </w:p>
    <w:tbl>
      <w:tblPr>
        <w:tblW w:w="13120" w:type="dxa"/>
        <w:tblLayout w:type="fixed"/>
        <w:tblCellMar>
          <w:left w:w="70" w:type="dxa"/>
          <w:right w:w="70" w:type="dxa"/>
        </w:tblCellMar>
        <w:tblLook w:val="04A0" w:firstRow="1" w:lastRow="0" w:firstColumn="1" w:lastColumn="0" w:noHBand="0" w:noVBand="1"/>
      </w:tblPr>
      <w:tblGrid>
        <w:gridCol w:w="2962"/>
        <w:gridCol w:w="1376"/>
        <w:gridCol w:w="1459"/>
        <w:gridCol w:w="1349"/>
        <w:gridCol w:w="1134"/>
        <w:gridCol w:w="1440"/>
        <w:gridCol w:w="1600"/>
        <w:gridCol w:w="1800"/>
      </w:tblGrid>
      <w:tr w:rsidR="00BD7DB6" w14:paraId="0763C571" w14:textId="77777777" w:rsidTr="00BD7DB6">
        <w:trPr>
          <w:trHeight w:val="448"/>
          <w:tblHeader/>
        </w:trPr>
        <w:tc>
          <w:tcPr>
            <w:tcW w:w="9720" w:type="dxa"/>
            <w:gridSpan w:val="6"/>
            <w:tcBorders>
              <w:top w:val="single" w:sz="12" w:space="0" w:color="FFFFFF"/>
              <w:left w:val="single" w:sz="12" w:space="0" w:color="FFFFFF"/>
              <w:bottom w:val="single" w:sz="12" w:space="0" w:color="FFFFFF"/>
              <w:right w:val="nil"/>
            </w:tcBorders>
            <w:shd w:val="clear" w:color="000000" w:fill="31869B"/>
            <w:noWrap/>
            <w:vAlign w:val="center"/>
            <w:hideMark/>
          </w:tcPr>
          <w:p w14:paraId="4192F54C" w14:textId="7B13E8AE" w:rsidR="00BD7DB6" w:rsidRDefault="00BD7DB6">
            <w:pPr>
              <w:rPr>
                <w:rFonts w:ascii="Arial" w:hAnsi="Arial" w:cs="Arial"/>
                <w:b/>
                <w:bCs/>
                <w:color w:val="FFFFFF"/>
                <w:sz w:val="16"/>
                <w:szCs w:val="16"/>
              </w:rPr>
            </w:pPr>
            <w:r>
              <w:rPr>
                <w:rFonts w:ascii="Arial" w:hAnsi="Arial" w:cs="Arial"/>
                <w:b/>
                <w:bCs/>
                <w:color w:val="FFFFFF"/>
                <w:sz w:val="16"/>
                <w:szCs w:val="16"/>
              </w:rPr>
              <w:t>PROGRAMACIÓN ESTRATÉGICA PRESUPUESTARIA 2015</w:t>
            </w:r>
          </w:p>
        </w:tc>
        <w:tc>
          <w:tcPr>
            <w:tcW w:w="1600" w:type="dxa"/>
            <w:tcBorders>
              <w:top w:val="single" w:sz="12" w:space="0" w:color="FFFFFF"/>
              <w:left w:val="nil"/>
              <w:bottom w:val="single" w:sz="12" w:space="0" w:color="FFFFFF"/>
              <w:right w:val="nil"/>
            </w:tcBorders>
            <w:shd w:val="clear" w:color="000000" w:fill="31869B"/>
            <w:noWrap/>
            <w:vAlign w:val="center"/>
            <w:hideMark/>
          </w:tcPr>
          <w:p w14:paraId="3DD949EA" w14:textId="77777777" w:rsidR="00BD7DB6" w:rsidRDefault="00BD7DB6">
            <w:pPr>
              <w:rPr>
                <w:rFonts w:ascii="Arial" w:hAnsi="Arial" w:cs="Arial"/>
                <w:b/>
                <w:bCs/>
                <w:color w:val="FFFFFF"/>
                <w:sz w:val="16"/>
                <w:szCs w:val="16"/>
              </w:rPr>
            </w:pPr>
            <w:r>
              <w:rPr>
                <w:rFonts w:ascii="Arial" w:hAnsi="Arial" w:cs="Arial"/>
                <w:b/>
                <w:bCs/>
                <w:color w:val="FFFFFF"/>
                <w:sz w:val="16"/>
                <w:szCs w:val="16"/>
              </w:rPr>
              <w:t> </w:t>
            </w:r>
          </w:p>
        </w:tc>
        <w:tc>
          <w:tcPr>
            <w:tcW w:w="1800" w:type="dxa"/>
            <w:tcBorders>
              <w:top w:val="single" w:sz="12" w:space="0" w:color="FFFFFF"/>
              <w:left w:val="nil"/>
              <w:bottom w:val="single" w:sz="12" w:space="0" w:color="FFFFFF"/>
              <w:right w:val="nil"/>
            </w:tcBorders>
            <w:shd w:val="clear" w:color="000000" w:fill="31869B"/>
            <w:noWrap/>
            <w:vAlign w:val="center"/>
            <w:hideMark/>
          </w:tcPr>
          <w:p w14:paraId="53F55FA9" w14:textId="77777777" w:rsidR="00BD7DB6" w:rsidRDefault="00BD7DB6">
            <w:pPr>
              <w:rPr>
                <w:rFonts w:ascii="Arial" w:hAnsi="Arial" w:cs="Arial"/>
                <w:b/>
                <w:bCs/>
                <w:color w:val="FFFFFF"/>
                <w:sz w:val="16"/>
                <w:szCs w:val="16"/>
              </w:rPr>
            </w:pPr>
            <w:r>
              <w:rPr>
                <w:rFonts w:ascii="Arial" w:hAnsi="Arial" w:cs="Arial"/>
                <w:b/>
                <w:bCs/>
                <w:color w:val="FFFFFF"/>
                <w:sz w:val="16"/>
                <w:szCs w:val="16"/>
              </w:rPr>
              <w:t> </w:t>
            </w:r>
          </w:p>
        </w:tc>
      </w:tr>
      <w:tr w:rsidR="00BD7DB6" w14:paraId="6CD44F90" w14:textId="77777777" w:rsidTr="00BD7DB6">
        <w:trPr>
          <w:trHeight w:val="398"/>
          <w:tblHeader/>
        </w:trPr>
        <w:tc>
          <w:tcPr>
            <w:tcW w:w="2962"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99A3ADF" w14:textId="77777777" w:rsidR="003F283D" w:rsidRDefault="003F283D">
            <w:pPr>
              <w:jc w:val="center"/>
              <w:rPr>
                <w:rFonts w:ascii="Arial" w:hAnsi="Arial" w:cs="Arial"/>
                <w:b/>
                <w:bCs/>
                <w:sz w:val="16"/>
                <w:szCs w:val="16"/>
              </w:rPr>
            </w:pPr>
            <w:r>
              <w:rPr>
                <w:rFonts w:ascii="Arial" w:hAnsi="Arial" w:cs="Arial"/>
                <w:b/>
                <w:bCs/>
                <w:sz w:val="16"/>
                <w:szCs w:val="16"/>
              </w:rPr>
              <w:t>OBJETIVOS ESTRATÉGICOS DEL PROGRAMA O PROYECTO DEL PND Y/O INSTITUCIONALES</w:t>
            </w:r>
          </w:p>
        </w:tc>
        <w:tc>
          <w:tcPr>
            <w:tcW w:w="137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CD1470A" w14:textId="77777777" w:rsidR="003F283D" w:rsidRDefault="003F283D">
            <w:pPr>
              <w:jc w:val="center"/>
              <w:rPr>
                <w:rFonts w:ascii="Arial" w:hAnsi="Arial" w:cs="Arial"/>
                <w:b/>
                <w:bCs/>
                <w:sz w:val="16"/>
                <w:szCs w:val="16"/>
              </w:rPr>
            </w:pPr>
            <w:r>
              <w:rPr>
                <w:rFonts w:ascii="Arial" w:hAnsi="Arial" w:cs="Arial"/>
                <w:b/>
                <w:bCs/>
                <w:sz w:val="16"/>
                <w:szCs w:val="16"/>
              </w:rPr>
              <w:t>NOMBRE DEL PROGRAMA O PROYECTO INSTITUCIONAL</w:t>
            </w:r>
          </w:p>
        </w:tc>
        <w:tc>
          <w:tcPr>
            <w:tcW w:w="1459"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139F3628" w14:textId="77777777" w:rsidR="003F283D" w:rsidRDefault="003F283D">
            <w:pPr>
              <w:jc w:val="center"/>
              <w:rPr>
                <w:rFonts w:ascii="Arial" w:hAnsi="Arial" w:cs="Arial"/>
                <w:b/>
                <w:bCs/>
                <w:sz w:val="16"/>
                <w:szCs w:val="16"/>
              </w:rPr>
            </w:pPr>
            <w:r>
              <w:rPr>
                <w:rFonts w:ascii="Arial" w:hAnsi="Arial" w:cs="Arial"/>
                <w:b/>
                <w:bCs/>
                <w:sz w:val="16"/>
                <w:szCs w:val="16"/>
              </w:rPr>
              <w:t>CODIGO Y NOMBRE DEL  PROGRAMA O SUBPROGRAMA PRESUPUESTARIO</w:t>
            </w:r>
          </w:p>
        </w:tc>
        <w:tc>
          <w:tcPr>
            <w:tcW w:w="1349"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DED691B" w14:textId="77777777" w:rsidR="003F283D" w:rsidRDefault="003F283D">
            <w:pPr>
              <w:jc w:val="center"/>
              <w:rPr>
                <w:rFonts w:ascii="Arial" w:hAnsi="Arial" w:cs="Arial"/>
                <w:b/>
                <w:bCs/>
                <w:sz w:val="16"/>
                <w:szCs w:val="16"/>
              </w:rPr>
            </w:pPr>
            <w:r>
              <w:rPr>
                <w:rFonts w:ascii="Arial" w:hAnsi="Arial" w:cs="Arial"/>
                <w:b/>
                <w:bCs/>
                <w:sz w:val="16"/>
                <w:szCs w:val="16"/>
              </w:rPr>
              <w:t>PRODUCTO FINAL (BIENES/</w:t>
            </w:r>
            <w:r>
              <w:rPr>
                <w:rFonts w:ascii="Arial" w:hAnsi="Arial" w:cs="Arial"/>
                <w:b/>
                <w:bCs/>
                <w:sz w:val="16"/>
                <w:szCs w:val="16"/>
              </w:rPr>
              <w:br/>
              <w:t>SERVICIOS)</w:t>
            </w:r>
          </w:p>
        </w:tc>
        <w:tc>
          <w:tcPr>
            <w:tcW w:w="1134"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7E62312" w14:textId="77777777" w:rsidR="003F283D" w:rsidRDefault="003F283D">
            <w:pPr>
              <w:jc w:val="center"/>
              <w:rPr>
                <w:rFonts w:ascii="Arial" w:hAnsi="Arial" w:cs="Arial"/>
                <w:b/>
                <w:bCs/>
                <w:sz w:val="16"/>
                <w:szCs w:val="16"/>
              </w:rPr>
            </w:pPr>
            <w:r>
              <w:rPr>
                <w:rFonts w:ascii="Arial" w:hAnsi="Arial" w:cs="Arial"/>
                <w:b/>
                <w:bCs/>
                <w:sz w:val="16"/>
                <w:szCs w:val="16"/>
              </w:rPr>
              <w:t>UNIDAD DE MEDIDA DEL PRODUCTO</w:t>
            </w:r>
          </w:p>
        </w:tc>
        <w:tc>
          <w:tcPr>
            <w:tcW w:w="4840" w:type="dxa"/>
            <w:gridSpan w:val="3"/>
            <w:tcBorders>
              <w:top w:val="single" w:sz="12" w:space="0" w:color="FFFFFF"/>
              <w:left w:val="nil"/>
              <w:bottom w:val="nil"/>
              <w:right w:val="nil"/>
            </w:tcBorders>
            <w:shd w:val="clear" w:color="000000" w:fill="16365C"/>
            <w:vAlign w:val="center"/>
            <w:hideMark/>
          </w:tcPr>
          <w:p w14:paraId="52DC69D1" w14:textId="77777777" w:rsidR="003F283D" w:rsidRDefault="003F283D">
            <w:pPr>
              <w:jc w:val="center"/>
              <w:rPr>
                <w:rFonts w:ascii="Arial" w:hAnsi="Arial" w:cs="Arial"/>
                <w:b/>
                <w:bCs/>
                <w:color w:val="FFFFFF"/>
                <w:sz w:val="16"/>
                <w:szCs w:val="16"/>
              </w:rPr>
            </w:pPr>
            <w:r>
              <w:rPr>
                <w:rFonts w:ascii="Arial" w:hAnsi="Arial" w:cs="Arial"/>
                <w:b/>
                <w:bCs/>
                <w:color w:val="FFFFFF"/>
                <w:sz w:val="16"/>
                <w:szCs w:val="16"/>
              </w:rPr>
              <w:t>POBLACIÓN META</w:t>
            </w:r>
          </w:p>
        </w:tc>
      </w:tr>
      <w:tr w:rsidR="003F283D" w14:paraId="4436133C" w14:textId="77777777" w:rsidTr="00BD7DB6">
        <w:trPr>
          <w:trHeight w:val="343"/>
          <w:tblHeader/>
        </w:trPr>
        <w:tc>
          <w:tcPr>
            <w:tcW w:w="2962" w:type="dxa"/>
            <w:vMerge/>
            <w:tcBorders>
              <w:top w:val="nil"/>
              <w:left w:val="single" w:sz="12" w:space="0" w:color="FFFFFF"/>
              <w:bottom w:val="single" w:sz="12" w:space="0" w:color="FFFFFF"/>
              <w:right w:val="single" w:sz="12" w:space="0" w:color="FFFFFF"/>
            </w:tcBorders>
            <w:vAlign w:val="center"/>
            <w:hideMark/>
          </w:tcPr>
          <w:p w14:paraId="27FD42F2"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39FE0CAA"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6238ABEC"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33287898"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32A71C5D" w14:textId="77777777" w:rsidR="003F283D" w:rsidRDefault="003F283D">
            <w:pPr>
              <w:rPr>
                <w:rFonts w:ascii="Arial" w:hAnsi="Arial" w:cs="Arial"/>
                <w:b/>
                <w:bCs/>
                <w:sz w:val="16"/>
                <w:szCs w:val="16"/>
              </w:rPr>
            </w:pPr>
          </w:p>
        </w:tc>
        <w:tc>
          <w:tcPr>
            <w:tcW w:w="1440" w:type="dxa"/>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4FF7D7A7" w14:textId="77777777" w:rsidR="003F283D" w:rsidRDefault="003F283D">
            <w:pPr>
              <w:jc w:val="center"/>
              <w:rPr>
                <w:rFonts w:ascii="Arial" w:hAnsi="Arial" w:cs="Arial"/>
                <w:b/>
                <w:bCs/>
                <w:sz w:val="16"/>
                <w:szCs w:val="16"/>
              </w:rPr>
            </w:pPr>
            <w:r>
              <w:rPr>
                <w:rFonts w:ascii="Arial" w:hAnsi="Arial" w:cs="Arial"/>
                <w:b/>
                <w:bCs/>
                <w:sz w:val="16"/>
                <w:szCs w:val="16"/>
              </w:rPr>
              <w:t>USUARIO (A)</w:t>
            </w:r>
          </w:p>
        </w:tc>
        <w:tc>
          <w:tcPr>
            <w:tcW w:w="3400" w:type="dxa"/>
            <w:gridSpan w:val="2"/>
            <w:tcBorders>
              <w:top w:val="single" w:sz="12" w:space="0" w:color="FFFFFF"/>
              <w:left w:val="nil"/>
              <w:bottom w:val="single" w:sz="12" w:space="0" w:color="FFFFFF"/>
              <w:right w:val="nil"/>
            </w:tcBorders>
            <w:shd w:val="clear" w:color="000000" w:fill="95B3D7"/>
            <w:vAlign w:val="center"/>
            <w:hideMark/>
          </w:tcPr>
          <w:p w14:paraId="72190086" w14:textId="77777777" w:rsidR="003F283D" w:rsidRDefault="003F283D">
            <w:pPr>
              <w:jc w:val="center"/>
              <w:rPr>
                <w:rFonts w:ascii="Arial" w:hAnsi="Arial" w:cs="Arial"/>
                <w:b/>
                <w:bCs/>
                <w:sz w:val="16"/>
                <w:szCs w:val="16"/>
              </w:rPr>
            </w:pPr>
            <w:r>
              <w:rPr>
                <w:rFonts w:ascii="Arial" w:hAnsi="Arial" w:cs="Arial"/>
                <w:b/>
                <w:bCs/>
                <w:sz w:val="16"/>
                <w:szCs w:val="16"/>
              </w:rPr>
              <w:t>CANTIDAD</w:t>
            </w:r>
          </w:p>
        </w:tc>
      </w:tr>
      <w:tr w:rsidR="003F283D" w14:paraId="7D9EEA3C" w14:textId="77777777" w:rsidTr="00BD7DB6">
        <w:trPr>
          <w:trHeight w:val="330"/>
          <w:tblHeader/>
        </w:trPr>
        <w:tc>
          <w:tcPr>
            <w:tcW w:w="2962" w:type="dxa"/>
            <w:vMerge/>
            <w:tcBorders>
              <w:top w:val="nil"/>
              <w:left w:val="single" w:sz="12" w:space="0" w:color="FFFFFF"/>
              <w:bottom w:val="single" w:sz="12" w:space="0" w:color="FFFFFF"/>
              <w:right w:val="single" w:sz="12" w:space="0" w:color="FFFFFF"/>
            </w:tcBorders>
            <w:vAlign w:val="center"/>
            <w:hideMark/>
          </w:tcPr>
          <w:p w14:paraId="698CB6B1"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56499298"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5F89B971"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419C174A"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1C3659A9" w14:textId="77777777" w:rsidR="003F283D" w:rsidRDefault="003F283D">
            <w:pPr>
              <w:rPr>
                <w:rFonts w:ascii="Arial" w:hAnsi="Arial" w:cs="Arial"/>
                <w:b/>
                <w:bCs/>
                <w:sz w:val="16"/>
                <w:szCs w:val="16"/>
              </w:rPr>
            </w:pPr>
          </w:p>
        </w:tc>
        <w:tc>
          <w:tcPr>
            <w:tcW w:w="1440" w:type="dxa"/>
            <w:vMerge/>
            <w:tcBorders>
              <w:top w:val="single" w:sz="12" w:space="0" w:color="FFFFFF"/>
              <w:left w:val="single" w:sz="12" w:space="0" w:color="FFFFFF"/>
              <w:bottom w:val="single" w:sz="12" w:space="0" w:color="FFFFFF"/>
              <w:right w:val="single" w:sz="12" w:space="0" w:color="FFFFFF"/>
            </w:tcBorders>
            <w:vAlign w:val="center"/>
            <w:hideMark/>
          </w:tcPr>
          <w:p w14:paraId="6C1A71D2" w14:textId="77777777" w:rsidR="003F283D" w:rsidRDefault="003F283D">
            <w:pPr>
              <w:rPr>
                <w:rFonts w:ascii="Arial" w:hAnsi="Arial" w:cs="Arial"/>
                <w:b/>
                <w:bCs/>
                <w:sz w:val="16"/>
                <w:szCs w:val="16"/>
              </w:rPr>
            </w:pPr>
          </w:p>
        </w:tc>
        <w:tc>
          <w:tcPr>
            <w:tcW w:w="160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4D8D85CA" w14:textId="77777777" w:rsidR="003F283D" w:rsidRDefault="003F283D">
            <w:pPr>
              <w:jc w:val="center"/>
              <w:rPr>
                <w:rFonts w:ascii="Arial" w:hAnsi="Arial" w:cs="Arial"/>
                <w:b/>
                <w:bCs/>
                <w:sz w:val="16"/>
                <w:szCs w:val="16"/>
              </w:rPr>
            </w:pPr>
            <w:r>
              <w:rPr>
                <w:rFonts w:ascii="Arial" w:hAnsi="Arial" w:cs="Arial"/>
                <w:b/>
                <w:bCs/>
                <w:sz w:val="16"/>
                <w:szCs w:val="16"/>
              </w:rPr>
              <w:t>HOMBRES</w:t>
            </w:r>
          </w:p>
        </w:tc>
        <w:tc>
          <w:tcPr>
            <w:tcW w:w="1800" w:type="dxa"/>
            <w:vMerge w:val="restart"/>
            <w:tcBorders>
              <w:top w:val="nil"/>
              <w:left w:val="single" w:sz="12" w:space="0" w:color="FFFFFF"/>
              <w:bottom w:val="single" w:sz="12" w:space="0" w:color="FFFFFF"/>
              <w:right w:val="nil"/>
            </w:tcBorders>
            <w:shd w:val="clear" w:color="000000" w:fill="95B3D7"/>
            <w:vAlign w:val="center"/>
            <w:hideMark/>
          </w:tcPr>
          <w:p w14:paraId="49528401" w14:textId="77777777" w:rsidR="003F283D" w:rsidRDefault="003F283D">
            <w:pPr>
              <w:jc w:val="center"/>
              <w:rPr>
                <w:rFonts w:ascii="Arial" w:hAnsi="Arial" w:cs="Arial"/>
                <w:b/>
                <w:bCs/>
                <w:sz w:val="16"/>
                <w:szCs w:val="16"/>
              </w:rPr>
            </w:pPr>
            <w:r>
              <w:rPr>
                <w:rFonts w:ascii="Arial" w:hAnsi="Arial" w:cs="Arial"/>
                <w:b/>
                <w:bCs/>
                <w:sz w:val="16"/>
                <w:szCs w:val="16"/>
              </w:rPr>
              <w:t>MUJERES</w:t>
            </w:r>
          </w:p>
        </w:tc>
      </w:tr>
      <w:tr w:rsidR="003F283D" w14:paraId="2C056EC8" w14:textId="77777777" w:rsidTr="00BD7DB6">
        <w:trPr>
          <w:trHeight w:val="570"/>
        </w:trPr>
        <w:tc>
          <w:tcPr>
            <w:tcW w:w="2962" w:type="dxa"/>
            <w:vMerge/>
            <w:tcBorders>
              <w:top w:val="nil"/>
              <w:left w:val="single" w:sz="12" w:space="0" w:color="FFFFFF"/>
              <w:bottom w:val="single" w:sz="12" w:space="0" w:color="FFFFFF"/>
              <w:right w:val="single" w:sz="12" w:space="0" w:color="FFFFFF"/>
            </w:tcBorders>
            <w:vAlign w:val="center"/>
            <w:hideMark/>
          </w:tcPr>
          <w:p w14:paraId="548CF1C3"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3E23AA52"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7949D584"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20911EF8"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7A5DC6DD" w14:textId="77777777" w:rsidR="003F283D" w:rsidRDefault="003F283D">
            <w:pPr>
              <w:rPr>
                <w:rFonts w:ascii="Arial" w:hAnsi="Arial" w:cs="Arial"/>
                <w:b/>
                <w:bCs/>
                <w:sz w:val="16"/>
                <w:szCs w:val="16"/>
              </w:rPr>
            </w:pPr>
          </w:p>
        </w:tc>
        <w:tc>
          <w:tcPr>
            <w:tcW w:w="1440" w:type="dxa"/>
            <w:vMerge/>
            <w:tcBorders>
              <w:top w:val="single" w:sz="12" w:space="0" w:color="FFFFFF"/>
              <w:left w:val="single" w:sz="12" w:space="0" w:color="FFFFFF"/>
              <w:bottom w:val="single" w:sz="12" w:space="0" w:color="FFFFFF"/>
              <w:right w:val="single" w:sz="12" w:space="0" w:color="FFFFFF"/>
            </w:tcBorders>
            <w:vAlign w:val="center"/>
            <w:hideMark/>
          </w:tcPr>
          <w:p w14:paraId="7AA30404" w14:textId="77777777" w:rsidR="003F283D" w:rsidRDefault="003F283D">
            <w:pPr>
              <w:rPr>
                <w:rFonts w:ascii="Arial" w:hAnsi="Arial" w:cs="Arial"/>
                <w:b/>
                <w:bCs/>
                <w:sz w:val="16"/>
                <w:szCs w:val="16"/>
              </w:rPr>
            </w:pPr>
          </w:p>
        </w:tc>
        <w:tc>
          <w:tcPr>
            <w:tcW w:w="1600" w:type="dxa"/>
            <w:vMerge/>
            <w:tcBorders>
              <w:top w:val="nil"/>
              <w:left w:val="single" w:sz="12" w:space="0" w:color="FFFFFF"/>
              <w:bottom w:val="single" w:sz="12" w:space="0" w:color="FFFFFF"/>
              <w:right w:val="single" w:sz="12" w:space="0" w:color="FFFFFF"/>
            </w:tcBorders>
            <w:vAlign w:val="center"/>
            <w:hideMark/>
          </w:tcPr>
          <w:p w14:paraId="5ADE17D8" w14:textId="77777777" w:rsidR="003F283D" w:rsidRDefault="003F283D">
            <w:pPr>
              <w:rPr>
                <w:rFonts w:ascii="Arial" w:hAnsi="Arial" w:cs="Arial"/>
                <w:b/>
                <w:bCs/>
                <w:sz w:val="16"/>
                <w:szCs w:val="16"/>
              </w:rPr>
            </w:pPr>
          </w:p>
        </w:tc>
        <w:tc>
          <w:tcPr>
            <w:tcW w:w="1800" w:type="dxa"/>
            <w:vMerge/>
            <w:tcBorders>
              <w:top w:val="nil"/>
              <w:left w:val="single" w:sz="12" w:space="0" w:color="FFFFFF"/>
              <w:bottom w:val="single" w:sz="12" w:space="0" w:color="FFFFFF"/>
              <w:right w:val="nil"/>
            </w:tcBorders>
            <w:vAlign w:val="center"/>
            <w:hideMark/>
          </w:tcPr>
          <w:p w14:paraId="1545A631" w14:textId="77777777" w:rsidR="003F283D" w:rsidRDefault="003F283D">
            <w:pPr>
              <w:rPr>
                <w:rFonts w:ascii="Arial" w:hAnsi="Arial" w:cs="Arial"/>
                <w:b/>
                <w:bCs/>
                <w:sz w:val="16"/>
                <w:szCs w:val="16"/>
              </w:rPr>
            </w:pPr>
          </w:p>
        </w:tc>
      </w:tr>
      <w:tr w:rsidR="003F283D" w14:paraId="53083ED8" w14:textId="77777777" w:rsidTr="00BD7DB6">
        <w:trPr>
          <w:trHeight w:val="276"/>
        </w:trPr>
        <w:tc>
          <w:tcPr>
            <w:tcW w:w="2962" w:type="dxa"/>
            <w:vMerge/>
            <w:tcBorders>
              <w:top w:val="nil"/>
              <w:left w:val="single" w:sz="12" w:space="0" w:color="FFFFFF"/>
              <w:bottom w:val="single" w:sz="12" w:space="0" w:color="FFFFFF"/>
              <w:right w:val="single" w:sz="12" w:space="0" w:color="FFFFFF"/>
            </w:tcBorders>
            <w:vAlign w:val="center"/>
            <w:hideMark/>
          </w:tcPr>
          <w:p w14:paraId="6777C559" w14:textId="77777777" w:rsidR="003F283D" w:rsidRDefault="003F283D">
            <w:pPr>
              <w:rPr>
                <w:rFonts w:ascii="Arial" w:hAnsi="Arial" w:cs="Arial"/>
                <w:b/>
                <w:bCs/>
                <w:sz w:val="16"/>
                <w:szCs w:val="16"/>
              </w:rPr>
            </w:pPr>
          </w:p>
        </w:tc>
        <w:tc>
          <w:tcPr>
            <w:tcW w:w="1376" w:type="dxa"/>
            <w:vMerge/>
            <w:tcBorders>
              <w:top w:val="nil"/>
              <w:left w:val="single" w:sz="12" w:space="0" w:color="FFFFFF"/>
              <w:bottom w:val="single" w:sz="12" w:space="0" w:color="FFFFFF"/>
              <w:right w:val="single" w:sz="12" w:space="0" w:color="FFFFFF"/>
            </w:tcBorders>
            <w:vAlign w:val="center"/>
            <w:hideMark/>
          </w:tcPr>
          <w:p w14:paraId="78DAC73D" w14:textId="77777777" w:rsidR="003F283D" w:rsidRDefault="003F283D">
            <w:pPr>
              <w:rPr>
                <w:rFonts w:ascii="Arial" w:hAnsi="Arial" w:cs="Arial"/>
                <w:b/>
                <w:bCs/>
                <w:sz w:val="16"/>
                <w:szCs w:val="16"/>
              </w:rPr>
            </w:pPr>
          </w:p>
        </w:tc>
        <w:tc>
          <w:tcPr>
            <w:tcW w:w="1459" w:type="dxa"/>
            <w:vMerge/>
            <w:tcBorders>
              <w:top w:val="nil"/>
              <w:left w:val="single" w:sz="12" w:space="0" w:color="FFFFFF"/>
              <w:bottom w:val="single" w:sz="12" w:space="0" w:color="FFFFFF"/>
              <w:right w:val="single" w:sz="12" w:space="0" w:color="FFFFFF"/>
            </w:tcBorders>
            <w:vAlign w:val="center"/>
            <w:hideMark/>
          </w:tcPr>
          <w:p w14:paraId="7C1A5C2D" w14:textId="77777777" w:rsidR="003F283D" w:rsidRDefault="003F283D">
            <w:pPr>
              <w:rPr>
                <w:rFonts w:ascii="Arial" w:hAnsi="Arial" w:cs="Arial"/>
                <w:b/>
                <w:bCs/>
                <w:sz w:val="16"/>
                <w:szCs w:val="16"/>
              </w:rPr>
            </w:pPr>
          </w:p>
        </w:tc>
        <w:tc>
          <w:tcPr>
            <w:tcW w:w="1349" w:type="dxa"/>
            <w:vMerge/>
            <w:tcBorders>
              <w:top w:val="nil"/>
              <w:left w:val="single" w:sz="12" w:space="0" w:color="FFFFFF"/>
              <w:bottom w:val="single" w:sz="12" w:space="0" w:color="FFFFFF"/>
              <w:right w:val="single" w:sz="12" w:space="0" w:color="FFFFFF"/>
            </w:tcBorders>
            <w:vAlign w:val="center"/>
            <w:hideMark/>
          </w:tcPr>
          <w:p w14:paraId="1A4F35A4" w14:textId="77777777" w:rsidR="003F283D" w:rsidRDefault="003F283D">
            <w:pPr>
              <w:rPr>
                <w:rFonts w:ascii="Arial" w:hAnsi="Arial" w:cs="Arial"/>
                <w:b/>
                <w:bCs/>
                <w:sz w:val="16"/>
                <w:szCs w:val="16"/>
              </w:rPr>
            </w:pPr>
          </w:p>
        </w:tc>
        <w:tc>
          <w:tcPr>
            <w:tcW w:w="1134" w:type="dxa"/>
            <w:vMerge/>
            <w:tcBorders>
              <w:top w:val="nil"/>
              <w:left w:val="single" w:sz="12" w:space="0" w:color="FFFFFF"/>
              <w:bottom w:val="single" w:sz="12" w:space="0" w:color="FFFFFF"/>
              <w:right w:val="single" w:sz="12" w:space="0" w:color="FFFFFF"/>
            </w:tcBorders>
            <w:vAlign w:val="center"/>
            <w:hideMark/>
          </w:tcPr>
          <w:p w14:paraId="6BC9A1D4" w14:textId="77777777" w:rsidR="003F283D" w:rsidRDefault="003F283D">
            <w:pPr>
              <w:rPr>
                <w:rFonts w:ascii="Arial" w:hAnsi="Arial" w:cs="Arial"/>
                <w:b/>
                <w:bCs/>
                <w:sz w:val="16"/>
                <w:szCs w:val="16"/>
              </w:rPr>
            </w:pPr>
          </w:p>
        </w:tc>
        <w:tc>
          <w:tcPr>
            <w:tcW w:w="1440" w:type="dxa"/>
            <w:vMerge/>
            <w:tcBorders>
              <w:top w:val="single" w:sz="12" w:space="0" w:color="FFFFFF"/>
              <w:left w:val="single" w:sz="12" w:space="0" w:color="FFFFFF"/>
              <w:bottom w:val="single" w:sz="12" w:space="0" w:color="FFFFFF"/>
              <w:right w:val="single" w:sz="12" w:space="0" w:color="FFFFFF"/>
            </w:tcBorders>
            <w:vAlign w:val="center"/>
            <w:hideMark/>
          </w:tcPr>
          <w:p w14:paraId="31522645" w14:textId="77777777" w:rsidR="003F283D" w:rsidRDefault="003F283D">
            <w:pPr>
              <w:rPr>
                <w:rFonts w:ascii="Arial" w:hAnsi="Arial" w:cs="Arial"/>
                <w:b/>
                <w:bCs/>
                <w:sz w:val="16"/>
                <w:szCs w:val="16"/>
              </w:rPr>
            </w:pPr>
          </w:p>
        </w:tc>
        <w:tc>
          <w:tcPr>
            <w:tcW w:w="1600" w:type="dxa"/>
            <w:vMerge/>
            <w:tcBorders>
              <w:top w:val="nil"/>
              <w:left w:val="single" w:sz="12" w:space="0" w:color="FFFFFF"/>
              <w:bottom w:val="single" w:sz="12" w:space="0" w:color="FFFFFF"/>
              <w:right w:val="single" w:sz="12" w:space="0" w:color="FFFFFF"/>
            </w:tcBorders>
            <w:vAlign w:val="center"/>
            <w:hideMark/>
          </w:tcPr>
          <w:p w14:paraId="37930068" w14:textId="77777777" w:rsidR="003F283D" w:rsidRDefault="003F283D">
            <w:pPr>
              <w:rPr>
                <w:rFonts w:ascii="Arial" w:hAnsi="Arial" w:cs="Arial"/>
                <w:b/>
                <w:bCs/>
                <w:sz w:val="16"/>
                <w:szCs w:val="16"/>
              </w:rPr>
            </w:pPr>
          </w:p>
        </w:tc>
        <w:tc>
          <w:tcPr>
            <w:tcW w:w="1800" w:type="dxa"/>
            <w:vMerge/>
            <w:tcBorders>
              <w:top w:val="nil"/>
              <w:left w:val="single" w:sz="12" w:space="0" w:color="FFFFFF"/>
              <w:bottom w:val="single" w:sz="12" w:space="0" w:color="FFFFFF"/>
              <w:right w:val="nil"/>
            </w:tcBorders>
            <w:vAlign w:val="center"/>
            <w:hideMark/>
          </w:tcPr>
          <w:p w14:paraId="1D83595E" w14:textId="77777777" w:rsidR="003F283D" w:rsidRDefault="003F283D">
            <w:pPr>
              <w:rPr>
                <w:rFonts w:ascii="Arial" w:hAnsi="Arial" w:cs="Arial"/>
                <w:b/>
                <w:bCs/>
                <w:sz w:val="16"/>
                <w:szCs w:val="16"/>
              </w:rPr>
            </w:pPr>
          </w:p>
        </w:tc>
      </w:tr>
      <w:tr w:rsidR="00BD7DB6" w14:paraId="2DB6CD96" w14:textId="77777777" w:rsidTr="00BD7DB6">
        <w:trPr>
          <w:trHeight w:val="1247"/>
        </w:trPr>
        <w:tc>
          <w:tcPr>
            <w:tcW w:w="2962" w:type="dxa"/>
            <w:tcBorders>
              <w:top w:val="nil"/>
              <w:left w:val="single" w:sz="12" w:space="0" w:color="FFFFFF"/>
              <w:bottom w:val="nil"/>
              <w:right w:val="single" w:sz="12" w:space="0" w:color="FFFFFF"/>
            </w:tcBorders>
            <w:shd w:val="clear" w:color="000000" w:fill="D9D9D9"/>
            <w:vAlign w:val="center"/>
            <w:hideMark/>
          </w:tcPr>
          <w:p w14:paraId="7E5FBA2F" w14:textId="77777777" w:rsidR="003F283D" w:rsidRPr="00634AD7" w:rsidRDefault="003F283D">
            <w:pPr>
              <w:rPr>
                <w:rFonts w:asciiTheme="minorHAnsi" w:hAnsiTheme="minorHAnsi" w:cs="Arial"/>
                <w:sz w:val="20"/>
                <w:szCs w:val="20"/>
              </w:rPr>
            </w:pPr>
            <w:r w:rsidRPr="00634AD7">
              <w:rPr>
                <w:rFonts w:asciiTheme="minorHAnsi" w:hAnsiTheme="minorHAnsi" w:cs="Arial"/>
                <w:sz w:val="20"/>
                <w:szCs w:val="20"/>
              </w:rPr>
              <w:t>Promover que las entidades supervisadas identifiquen y gestionen los riesgos basadas en criterios prudenciales con el fin de proteger los intereses de los afiliados.</w:t>
            </w:r>
          </w:p>
        </w:tc>
        <w:tc>
          <w:tcPr>
            <w:tcW w:w="1376" w:type="dxa"/>
            <w:tcBorders>
              <w:top w:val="nil"/>
              <w:left w:val="nil"/>
              <w:bottom w:val="nil"/>
              <w:right w:val="single" w:sz="12" w:space="0" w:color="FFFFFF"/>
            </w:tcBorders>
            <w:shd w:val="clear" w:color="000000" w:fill="D9D9D9"/>
            <w:vAlign w:val="center"/>
            <w:hideMark/>
          </w:tcPr>
          <w:p w14:paraId="3976957C"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Modelo de supervisión basado en Riesgo (MSBR)</w:t>
            </w:r>
          </w:p>
        </w:tc>
        <w:tc>
          <w:tcPr>
            <w:tcW w:w="1459" w:type="dxa"/>
            <w:tcBorders>
              <w:top w:val="nil"/>
              <w:left w:val="nil"/>
              <w:bottom w:val="nil"/>
              <w:right w:val="single" w:sz="12" w:space="0" w:color="FFFFFF"/>
            </w:tcBorders>
            <w:shd w:val="clear" w:color="000000" w:fill="D9D9D9"/>
            <w:vAlign w:val="center"/>
            <w:hideMark/>
          </w:tcPr>
          <w:p w14:paraId="15518BFE"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N.A</w:t>
            </w:r>
          </w:p>
        </w:tc>
        <w:tc>
          <w:tcPr>
            <w:tcW w:w="1349" w:type="dxa"/>
            <w:tcBorders>
              <w:top w:val="nil"/>
              <w:left w:val="nil"/>
              <w:bottom w:val="nil"/>
              <w:right w:val="single" w:sz="12" w:space="0" w:color="FFFFFF"/>
            </w:tcBorders>
            <w:shd w:val="clear" w:color="000000" w:fill="D9D9D9"/>
            <w:vAlign w:val="center"/>
            <w:hideMark/>
          </w:tcPr>
          <w:p w14:paraId="74744FDC"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Modelo de Supervisión</w:t>
            </w:r>
          </w:p>
        </w:tc>
        <w:tc>
          <w:tcPr>
            <w:tcW w:w="1134" w:type="dxa"/>
            <w:tcBorders>
              <w:top w:val="nil"/>
              <w:left w:val="nil"/>
              <w:bottom w:val="nil"/>
              <w:right w:val="single" w:sz="12" w:space="0" w:color="FFFFFF"/>
            </w:tcBorders>
            <w:shd w:val="clear" w:color="000000" w:fill="D9D9D9"/>
            <w:vAlign w:val="center"/>
            <w:hideMark/>
          </w:tcPr>
          <w:p w14:paraId="2D289ACB"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Documento de Principios y Guías</w:t>
            </w:r>
          </w:p>
        </w:tc>
        <w:tc>
          <w:tcPr>
            <w:tcW w:w="1440" w:type="dxa"/>
            <w:tcBorders>
              <w:top w:val="nil"/>
              <w:left w:val="nil"/>
              <w:bottom w:val="nil"/>
              <w:right w:val="single" w:sz="12" w:space="0" w:color="FFFFFF"/>
            </w:tcBorders>
            <w:shd w:val="clear" w:color="000000" w:fill="D9D9D9"/>
            <w:vAlign w:val="center"/>
            <w:hideMark/>
          </w:tcPr>
          <w:p w14:paraId="09C71892"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Afiliados</w:t>
            </w:r>
          </w:p>
        </w:tc>
        <w:tc>
          <w:tcPr>
            <w:tcW w:w="1600" w:type="dxa"/>
            <w:tcBorders>
              <w:top w:val="nil"/>
              <w:left w:val="nil"/>
              <w:bottom w:val="nil"/>
              <w:right w:val="single" w:sz="12" w:space="0" w:color="FFFFFF"/>
            </w:tcBorders>
            <w:shd w:val="clear" w:color="000000" w:fill="D9D9D9"/>
            <w:vAlign w:val="center"/>
            <w:hideMark/>
          </w:tcPr>
          <w:p w14:paraId="36063CB5" w14:textId="744D1356"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 xml:space="preserve">1,451,213 </w:t>
            </w:r>
          </w:p>
        </w:tc>
        <w:tc>
          <w:tcPr>
            <w:tcW w:w="1800" w:type="dxa"/>
            <w:tcBorders>
              <w:top w:val="nil"/>
              <w:left w:val="nil"/>
              <w:bottom w:val="nil"/>
              <w:right w:val="single" w:sz="12" w:space="0" w:color="FFFFFF"/>
            </w:tcBorders>
            <w:shd w:val="clear" w:color="000000" w:fill="D9D9D9"/>
            <w:vAlign w:val="center"/>
            <w:hideMark/>
          </w:tcPr>
          <w:p w14:paraId="2853B0EA" w14:textId="4BEBC32D"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 xml:space="preserve">  901,454 </w:t>
            </w:r>
          </w:p>
        </w:tc>
      </w:tr>
      <w:tr w:rsidR="00BD7DB6" w14:paraId="1B142F56" w14:textId="77777777" w:rsidTr="00BD7DB6">
        <w:trPr>
          <w:trHeight w:val="968"/>
        </w:trPr>
        <w:tc>
          <w:tcPr>
            <w:tcW w:w="2962" w:type="dxa"/>
            <w:tcBorders>
              <w:top w:val="single" w:sz="12" w:space="0" w:color="FFFFFF"/>
              <w:left w:val="single" w:sz="12" w:space="0" w:color="FFFFFF"/>
              <w:bottom w:val="nil"/>
              <w:right w:val="single" w:sz="12" w:space="0" w:color="FFFFFF"/>
            </w:tcBorders>
            <w:shd w:val="clear" w:color="000000" w:fill="D9D9D9"/>
            <w:vAlign w:val="center"/>
            <w:hideMark/>
          </w:tcPr>
          <w:p w14:paraId="58F9BF65" w14:textId="77777777" w:rsidR="003F283D" w:rsidRPr="00634AD7" w:rsidRDefault="003F283D">
            <w:pPr>
              <w:rPr>
                <w:rFonts w:asciiTheme="minorHAnsi" w:hAnsiTheme="minorHAnsi" w:cs="Arial"/>
                <w:sz w:val="20"/>
                <w:szCs w:val="20"/>
              </w:rPr>
            </w:pPr>
            <w:r w:rsidRPr="00634AD7">
              <w:rPr>
                <w:rFonts w:asciiTheme="minorHAnsi" w:hAnsiTheme="minorHAnsi" w:cs="Arial"/>
                <w:sz w:val="20"/>
                <w:szCs w:val="20"/>
              </w:rPr>
              <w:t xml:space="preserve">Propiciar una mejor gestión de los regímenes en la atención al cliente.  </w:t>
            </w:r>
          </w:p>
        </w:tc>
        <w:tc>
          <w:tcPr>
            <w:tcW w:w="1376" w:type="dxa"/>
            <w:tcBorders>
              <w:top w:val="single" w:sz="12" w:space="0" w:color="FFFFFF"/>
              <w:left w:val="nil"/>
              <w:bottom w:val="nil"/>
              <w:right w:val="single" w:sz="12" w:space="0" w:color="FFFFFF"/>
            </w:tcBorders>
            <w:shd w:val="clear" w:color="000000" w:fill="D9D9D9"/>
            <w:vAlign w:val="center"/>
            <w:hideMark/>
          </w:tcPr>
          <w:p w14:paraId="00305F9C"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Normativa de Disciplina de Mercado</w:t>
            </w:r>
          </w:p>
        </w:tc>
        <w:tc>
          <w:tcPr>
            <w:tcW w:w="1459" w:type="dxa"/>
            <w:tcBorders>
              <w:top w:val="single" w:sz="12" w:space="0" w:color="FFFFFF"/>
              <w:left w:val="nil"/>
              <w:bottom w:val="nil"/>
              <w:right w:val="single" w:sz="12" w:space="0" w:color="FFFFFF"/>
            </w:tcBorders>
            <w:shd w:val="clear" w:color="000000" w:fill="D9D9D9"/>
            <w:vAlign w:val="center"/>
            <w:hideMark/>
          </w:tcPr>
          <w:p w14:paraId="5AD095F3"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N.A</w:t>
            </w:r>
          </w:p>
        </w:tc>
        <w:tc>
          <w:tcPr>
            <w:tcW w:w="1349" w:type="dxa"/>
            <w:tcBorders>
              <w:top w:val="single" w:sz="12" w:space="0" w:color="FFFFFF"/>
              <w:left w:val="nil"/>
              <w:bottom w:val="nil"/>
              <w:right w:val="single" w:sz="12" w:space="0" w:color="FFFFFF"/>
            </w:tcBorders>
            <w:shd w:val="clear" w:color="000000" w:fill="D9D9D9"/>
            <w:vAlign w:val="center"/>
            <w:hideMark/>
          </w:tcPr>
          <w:p w14:paraId="0F15608D"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Normativa de Disciplina de Mercado</w:t>
            </w:r>
          </w:p>
        </w:tc>
        <w:tc>
          <w:tcPr>
            <w:tcW w:w="1134" w:type="dxa"/>
            <w:tcBorders>
              <w:top w:val="single" w:sz="12" w:space="0" w:color="FFFFFF"/>
              <w:left w:val="nil"/>
              <w:bottom w:val="nil"/>
              <w:right w:val="single" w:sz="12" w:space="0" w:color="FFFFFF"/>
            </w:tcBorders>
            <w:shd w:val="clear" w:color="000000" w:fill="D9D9D9"/>
            <w:vAlign w:val="center"/>
            <w:hideMark/>
          </w:tcPr>
          <w:p w14:paraId="4225B7D8"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Borrador de 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3C0AC345"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Afiliados</w:t>
            </w:r>
          </w:p>
        </w:tc>
        <w:tc>
          <w:tcPr>
            <w:tcW w:w="1600" w:type="dxa"/>
            <w:tcBorders>
              <w:top w:val="single" w:sz="12" w:space="0" w:color="FFFFFF"/>
              <w:left w:val="nil"/>
              <w:bottom w:val="nil"/>
              <w:right w:val="single" w:sz="12" w:space="0" w:color="FFFFFF"/>
            </w:tcBorders>
            <w:shd w:val="clear" w:color="000000" w:fill="D9D9D9"/>
            <w:vAlign w:val="center"/>
            <w:hideMark/>
          </w:tcPr>
          <w:p w14:paraId="03F1F3D4" w14:textId="2EAB75C8"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 xml:space="preserve">1,451,213 </w:t>
            </w:r>
          </w:p>
        </w:tc>
        <w:tc>
          <w:tcPr>
            <w:tcW w:w="1800" w:type="dxa"/>
            <w:tcBorders>
              <w:top w:val="single" w:sz="12" w:space="0" w:color="FFFFFF"/>
              <w:left w:val="nil"/>
              <w:bottom w:val="nil"/>
              <w:right w:val="single" w:sz="12" w:space="0" w:color="FFFFFF"/>
            </w:tcBorders>
            <w:shd w:val="clear" w:color="000000" w:fill="D9D9D9"/>
            <w:vAlign w:val="center"/>
            <w:hideMark/>
          </w:tcPr>
          <w:p w14:paraId="7423C39C" w14:textId="02D24ABC"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 xml:space="preserve">   901,454 </w:t>
            </w:r>
          </w:p>
        </w:tc>
      </w:tr>
      <w:tr w:rsidR="00BD7DB6" w14:paraId="6DF32172" w14:textId="77777777" w:rsidTr="00BD7DB6">
        <w:trPr>
          <w:trHeight w:val="1097"/>
        </w:trPr>
        <w:tc>
          <w:tcPr>
            <w:tcW w:w="2962" w:type="dxa"/>
            <w:tcBorders>
              <w:top w:val="single" w:sz="12" w:space="0" w:color="FFFFFF"/>
              <w:left w:val="single" w:sz="12" w:space="0" w:color="FFFFFF"/>
              <w:bottom w:val="nil"/>
              <w:right w:val="single" w:sz="12" w:space="0" w:color="FFFFFF"/>
            </w:tcBorders>
            <w:shd w:val="clear" w:color="000000" w:fill="D9D9D9"/>
            <w:vAlign w:val="center"/>
            <w:hideMark/>
          </w:tcPr>
          <w:p w14:paraId="7068ACDD" w14:textId="5730A78E" w:rsidR="003F283D" w:rsidRPr="00634AD7" w:rsidRDefault="00BD7DB6">
            <w:pPr>
              <w:rPr>
                <w:rFonts w:asciiTheme="minorHAnsi" w:hAnsiTheme="minorHAnsi"/>
                <w:color w:val="000000"/>
                <w:sz w:val="20"/>
                <w:szCs w:val="20"/>
              </w:rPr>
            </w:pPr>
            <w:r w:rsidRPr="00634AD7">
              <w:rPr>
                <w:rFonts w:asciiTheme="minorHAnsi" w:hAnsiTheme="minorHAnsi"/>
                <w:color w:val="000000"/>
                <w:sz w:val="20"/>
                <w:szCs w:val="20"/>
              </w:rPr>
              <w:t>Ampliar la oferta de Pro</w:t>
            </w:r>
            <w:r w:rsidR="003F283D" w:rsidRPr="00634AD7">
              <w:rPr>
                <w:rFonts w:asciiTheme="minorHAnsi" w:hAnsiTheme="minorHAnsi"/>
                <w:color w:val="000000"/>
                <w:sz w:val="20"/>
                <w:szCs w:val="20"/>
              </w:rPr>
              <w:t xml:space="preserve">ductos en el </w:t>
            </w:r>
            <w:r w:rsidRPr="00634AD7">
              <w:rPr>
                <w:rFonts w:asciiTheme="minorHAnsi" w:hAnsiTheme="minorHAnsi"/>
                <w:color w:val="000000"/>
                <w:sz w:val="20"/>
                <w:szCs w:val="20"/>
              </w:rPr>
              <w:t>Régimen</w:t>
            </w:r>
            <w:r w:rsidR="003F283D" w:rsidRPr="00634AD7">
              <w:rPr>
                <w:rFonts w:asciiTheme="minorHAnsi" w:hAnsiTheme="minorHAnsi"/>
                <w:color w:val="000000"/>
                <w:sz w:val="20"/>
                <w:szCs w:val="20"/>
              </w:rPr>
              <w:t xml:space="preserve"> Complementario de Pensiones</w:t>
            </w:r>
          </w:p>
        </w:tc>
        <w:tc>
          <w:tcPr>
            <w:tcW w:w="1376" w:type="dxa"/>
            <w:tcBorders>
              <w:top w:val="single" w:sz="12" w:space="0" w:color="FFFFFF"/>
              <w:left w:val="nil"/>
              <w:bottom w:val="nil"/>
              <w:right w:val="single" w:sz="12" w:space="0" w:color="FFFFFF"/>
            </w:tcBorders>
            <w:shd w:val="clear" w:color="000000" w:fill="D9D9D9"/>
            <w:vAlign w:val="center"/>
            <w:hideMark/>
          </w:tcPr>
          <w:p w14:paraId="7ABC8415"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Normativa de Productos autorizados</w:t>
            </w:r>
          </w:p>
        </w:tc>
        <w:tc>
          <w:tcPr>
            <w:tcW w:w="1459" w:type="dxa"/>
            <w:tcBorders>
              <w:top w:val="single" w:sz="12" w:space="0" w:color="FFFFFF"/>
              <w:left w:val="nil"/>
              <w:bottom w:val="nil"/>
              <w:right w:val="single" w:sz="12" w:space="0" w:color="FFFFFF"/>
            </w:tcBorders>
            <w:shd w:val="clear" w:color="000000" w:fill="D9D9D9"/>
            <w:vAlign w:val="center"/>
            <w:hideMark/>
          </w:tcPr>
          <w:p w14:paraId="2D2405C0"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N.A</w:t>
            </w:r>
          </w:p>
        </w:tc>
        <w:tc>
          <w:tcPr>
            <w:tcW w:w="1349" w:type="dxa"/>
            <w:tcBorders>
              <w:top w:val="single" w:sz="12" w:space="0" w:color="FFFFFF"/>
              <w:left w:val="nil"/>
              <w:bottom w:val="nil"/>
              <w:right w:val="single" w:sz="12" w:space="0" w:color="FFFFFF"/>
            </w:tcBorders>
            <w:shd w:val="clear" w:color="000000" w:fill="D9D9D9"/>
            <w:vAlign w:val="center"/>
            <w:hideMark/>
          </w:tcPr>
          <w:p w14:paraId="59FD74C9"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Normativa de Productos autorizados</w:t>
            </w:r>
          </w:p>
        </w:tc>
        <w:tc>
          <w:tcPr>
            <w:tcW w:w="1134" w:type="dxa"/>
            <w:tcBorders>
              <w:top w:val="single" w:sz="12" w:space="0" w:color="FFFFFF"/>
              <w:left w:val="nil"/>
              <w:bottom w:val="nil"/>
              <w:right w:val="single" w:sz="12" w:space="0" w:color="FFFFFF"/>
            </w:tcBorders>
            <w:shd w:val="clear" w:color="000000" w:fill="D9D9D9"/>
            <w:vAlign w:val="center"/>
            <w:hideMark/>
          </w:tcPr>
          <w:p w14:paraId="6B761B48"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Borrador de 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2D019850"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Regulados</w:t>
            </w:r>
          </w:p>
        </w:tc>
        <w:tc>
          <w:tcPr>
            <w:tcW w:w="1600" w:type="dxa"/>
            <w:tcBorders>
              <w:top w:val="single" w:sz="12" w:space="0" w:color="FFFFFF"/>
              <w:left w:val="nil"/>
              <w:bottom w:val="nil"/>
              <w:right w:val="single" w:sz="12" w:space="0" w:color="FFFFFF"/>
            </w:tcBorders>
            <w:shd w:val="clear" w:color="000000" w:fill="D9D9D9"/>
            <w:vAlign w:val="center"/>
            <w:hideMark/>
          </w:tcPr>
          <w:p w14:paraId="313CF1FB"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6</w:t>
            </w:r>
          </w:p>
        </w:tc>
        <w:tc>
          <w:tcPr>
            <w:tcW w:w="1800" w:type="dxa"/>
            <w:tcBorders>
              <w:top w:val="single" w:sz="12" w:space="0" w:color="FFFFFF"/>
              <w:left w:val="nil"/>
              <w:bottom w:val="nil"/>
              <w:right w:val="single" w:sz="12" w:space="0" w:color="FFFFFF"/>
            </w:tcBorders>
            <w:shd w:val="clear" w:color="000000" w:fill="D9D9D9"/>
            <w:vAlign w:val="center"/>
            <w:hideMark/>
          </w:tcPr>
          <w:p w14:paraId="0A1BF783"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 xml:space="preserve"> </w:t>
            </w:r>
          </w:p>
        </w:tc>
      </w:tr>
      <w:tr w:rsidR="00BD7DB6" w14:paraId="4B22ED1E" w14:textId="77777777" w:rsidTr="00BD7DB6">
        <w:trPr>
          <w:trHeight w:val="1170"/>
        </w:trPr>
        <w:tc>
          <w:tcPr>
            <w:tcW w:w="2962" w:type="dxa"/>
            <w:tcBorders>
              <w:top w:val="single" w:sz="12" w:space="0" w:color="FFFFFF"/>
              <w:left w:val="single" w:sz="12" w:space="0" w:color="FFFFFF"/>
              <w:bottom w:val="nil"/>
              <w:right w:val="single" w:sz="12" w:space="0" w:color="FFFFFF"/>
            </w:tcBorders>
            <w:shd w:val="clear" w:color="000000" w:fill="D9D9D9"/>
            <w:vAlign w:val="center"/>
            <w:hideMark/>
          </w:tcPr>
          <w:p w14:paraId="23570FD9" w14:textId="77777777" w:rsidR="003F283D" w:rsidRPr="00634AD7" w:rsidRDefault="003F283D">
            <w:pPr>
              <w:rPr>
                <w:rFonts w:asciiTheme="minorHAnsi" w:hAnsiTheme="minorHAnsi"/>
                <w:color w:val="000000"/>
                <w:sz w:val="20"/>
                <w:szCs w:val="20"/>
              </w:rPr>
            </w:pPr>
            <w:r w:rsidRPr="00634AD7">
              <w:rPr>
                <w:rFonts w:asciiTheme="minorHAnsi" w:hAnsiTheme="minorHAnsi"/>
                <w:color w:val="000000"/>
                <w:sz w:val="20"/>
                <w:szCs w:val="20"/>
              </w:rPr>
              <w:t>Favorecer los procesos de diversificación de las inversiones en los gestores</w:t>
            </w:r>
          </w:p>
        </w:tc>
        <w:tc>
          <w:tcPr>
            <w:tcW w:w="1376" w:type="dxa"/>
            <w:tcBorders>
              <w:top w:val="single" w:sz="12" w:space="0" w:color="FFFFFF"/>
              <w:left w:val="nil"/>
              <w:bottom w:val="nil"/>
              <w:right w:val="single" w:sz="12" w:space="0" w:color="FFFFFF"/>
            </w:tcBorders>
            <w:shd w:val="clear" w:color="000000" w:fill="D9D9D9"/>
            <w:vAlign w:val="center"/>
            <w:hideMark/>
          </w:tcPr>
          <w:p w14:paraId="5E07AE01"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Normativa de Inversiones</w:t>
            </w:r>
          </w:p>
        </w:tc>
        <w:tc>
          <w:tcPr>
            <w:tcW w:w="1459" w:type="dxa"/>
            <w:tcBorders>
              <w:top w:val="single" w:sz="12" w:space="0" w:color="FFFFFF"/>
              <w:left w:val="nil"/>
              <w:bottom w:val="nil"/>
              <w:right w:val="single" w:sz="12" w:space="0" w:color="FFFFFF"/>
            </w:tcBorders>
            <w:shd w:val="clear" w:color="000000" w:fill="D9D9D9"/>
            <w:vAlign w:val="center"/>
            <w:hideMark/>
          </w:tcPr>
          <w:p w14:paraId="67AB42B7" w14:textId="77777777" w:rsidR="003F283D" w:rsidRPr="00634AD7" w:rsidRDefault="003F283D">
            <w:pPr>
              <w:jc w:val="center"/>
              <w:rPr>
                <w:rFonts w:asciiTheme="minorHAnsi" w:hAnsiTheme="minorHAnsi" w:cs="Arial"/>
                <w:sz w:val="20"/>
                <w:szCs w:val="20"/>
              </w:rPr>
            </w:pPr>
            <w:r w:rsidRPr="00634AD7">
              <w:rPr>
                <w:rFonts w:asciiTheme="minorHAnsi" w:hAnsiTheme="minorHAnsi" w:cs="Arial"/>
                <w:sz w:val="20"/>
                <w:szCs w:val="20"/>
              </w:rPr>
              <w:t>N.A</w:t>
            </w:r>
          </w:p>
        </w:tc>
        <w:tc>
          <w:tcPr>
            <w:tcW w:w="1349" w:type="dxa"/>
            <w:tcBorders>
              <w:top w:val="single" w:sz="12" w:space="0" w:color="FFFFFF"/>
              <w:left w:val="nil"/>
              <w:bottom w:val="nil"/>
              <w:right w:val="single" w:sz="12" w:space="0" w:color="FFFFFF"/>
            </w:tcBorders>
            <w:shd w:val="clear" w:color="000000" w:fill="D9D9D9"/>
            <w:vAlign w:val="center"/>
            <w:hideMark/>
          </w:tcPr>
          <w:p w14:paraId="302B44F7"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Normativa de Inversiones</w:t>
            </w:r>
          </w:p>
        </w:tc>
        <w:tc>
          <w:tcPr>
            <w:tcW w:w="1134" w:type="dxa"/>
            <w:tcBorders>
              <w:top w:val="single" w:sz="12" w:space="0" w:color="FFFFFF"/>
              <w:left w:val="nil"/>
              <w:bottom w:val="nil"/>
              <w:right w:val="single" w:sz="12" w:space="0" w:color="FFFFFF"/>
            </w:tcBorders>
            <w:shd w:val="clear" w:color="000000" w:fill="D9D9D9"/>
            <w:vAlign w:val="center"/>
            <w:hideMark/>
          </w:tcPr>
          <w:p w14:paraId="07019372"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Borrador de Reglamento</w:t>
            </w:r>
          </w:p>
        </w:tc>
        <w:tc>
          <w:tcPr>
            <w:tcW w:w="1440" w:type="dxa"/>
            <w:tcBorders>
              <w:top w:val="single" w:sz="12" w:space="0" w:color="FFFFFF"/>
              <w:left w:val="nil"/>
              <w:bottom w:val="nil"/>
              <w:right w:val="single" w:sz="12" w:space="0" w:color="FFFFFF"/>
            </w:tcBorders>
            <w:shd w:val="clear" w:color="000000" w:fill="D9D9D9"/>
            <w:vAlign w:val="center"/>
            <w:hideMark/>
          </w:tcPr>
          <w:p w14:paraId="62823C7A"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Afiliados</w:t>
            </w:r>
          </w:p>
        </w:tc>
        <w:tc>
          <w:tcPr>
            <w:tcW w:w="1600" w:type="dxa"/>
            <w:tcBorders>
              <w:top w:val="single" w:sz="12" w:space="0" w:color="FFFFFF"/>
              <w:left w:val="nil"/>
              <w:bottom w:val="nil"/>
              <w:right w:val="single" w:sz="12" w:space="0" w:color="FFFFFF"/>
            </w:tcBorders>
            <w:shd w:val="clear" w:color="000000" w:fill="D9D9D9"/>
            <w:vAlign w:val="center"/>
            <w:hideMark/>
          </w:tcPr>
          <w:p w14:paraId="3956F9C6"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6</w:t>
            </w:r>
          </w:p>
        </w:tc>
        <w:tc>
          <w:tcPr>
            <w:tcW w:w="1800" w:type="dxa"/>
            <w:tcBorders>
              <w:top w:val="single" w:sz="12" w:space="0" w:color="FFFFFF"/>
              <w:left w:val="nil"/>
              <w:bottom w:val="nil"/>
              <w:right w:val="single" w:sz="12" w:space="0" w:color="FFFFFF"/>
            </w:tcBorders>
            <w:shd w:val="clear" w:color="000000" w:fill="D9D9D9"/>
            <w:vAlign w:val="center"/>
            <w:hideMark/>
          </w:tcPr>
          <w:p w14:paraId="58B8F885" w14:textId="77777777" w:rsidR="003F283D" w:rsidRPr="00634AD7" w:rsidRDefault="003F283D">
            <w:pPr>
              <w:jc w:val="center"/>
              <w:rPr>
                <w:rFonts w:asciiTheme="minorHAnsi" w:hAnsiTheme="minorHAnsi"/>
                <w:color w:val="000000"/>
                <w:sz w:val="20"/>
                <w:szCs w:val="20"/>
              </w:rPr>
            </w:pPr>
            <w:r w:rsidRPr="00634AD7">
              <w:rPr>
                <w:rFonts w:asciiTheme="minorHAnsi" w:hAnsiTheme="minorHAnsi"/>
                <w:color w:val="000000"/>
                <w:sz w:val="20"/>
                <w:szCs w:val="20"/>
              </w:rPr>
              <w:t xml:space="preserve"> </w:t>
            </w:r>
          </w:p>
        </w:tc>
      </w:tr>
      <w:tr w:rsidR="00BD7DB6" w14:paraId="530B8A62" w14:textId="77777777" w:rsidTr="00BD7DB6">
        <w:trPr>
          <w:trHeight w:val="2010"/>
        </w:trPr>
        <w:tc>
          <w:tcPr>
            <w:tcW w:w="2962" w:type="dxa"/>
            <w:tcBorders>
              <w:top w:val="single" w:sz="12" w:space="0" w:color="FFFFFF"/>
              <w:left w:val="single" w:sz="12" w:space="0" w:color="FFFFFF"/>
              <w:bottom w:val="nil"/>
              <w:right w:val="single" w:sz="12" w:space="0" w:color="FFFFFF"/>
            </w:tcBorders>
            <w:shd w:val="clear" w:color="000000" w:fill="DAEEF3"/>
            <w:vAlign w:val="center"/>
            <w:hideMark/>
          </w:tcPr>
          <w:p w14:paraId="15EF79D5" w14:textId="77777777" w:rsidR="003F283D" w:rsidRPr="000B222D" w:rsidRDefault="003F283D">
            <w:pPr>
              <w:rPr>
                <w:rFonts w:asciiTheme="minorHAnsi" w:hAnsiTheme="minorHAnsi"/>
                <w:color w:val="000000"/>
                <w:sz w:val="20"/>
                <w:szCs w:val="20"/>
              </w:rPr>
            </w:pPr>
            <w:r w:rsidRPr="000B222D">
              <w:rPr>
                <w:rFonts w:asciiTheme="minorHAnsi" w:hAnsiTheme="minorHAnsi"/>
                <w:color w:val="000000"/>
                <w:sz w:val="20"/>
                <w:szCs w:val="20"/>
              </w:rPr>
              <w:lastRenderedPageBreak/>
              <w:t xml:space="preserve">Identificar los riesgos del Sistema Nacional de Pensiones, y ejecutar oportunamente las acciones necesarias para que sean mitigados. </w:t>
            </w:r>
          </w:p>
        </w:tc>
        <w:tc>
          <w:tcPr>
            <w:tcW w:w="1376" w:type="dxa"/>
            <w:tcBorders>
              <w:top w:val="single" w:sz="12" w:space="0" w:color="FFFFFF"/>
              <w:left w:val="nil"/>
              <w:bottom w:val="nil"/>
              <w:right w:val="single" w:sz="12" w:space="0" w:color="FFFFFF"/>
            </w:tcBorders>
            <w:shd w:val="clear" w:color="000000" w:fill="DAEEF3"/>
            <w:vAlign w:val="center"/>
            <w:hideMark/>
          </w:tcPr>
          <w:p w14:paraId="1F21A35E"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Proceso de Supervisión</w:t>
            </w:r>
          </w:p>
        </w:tc>
        <w:tc>
          <w:tcPr>
            <w:tcW w:w="1459" w:type="dxa"/>
            <w:tcBorders>
              <w:top w:val="single" w:sz="12" w:space="0" w:color="FFFFFF"/>
              <w:left w:val="nil"/>
              <w:bottom w:val="nil"/>
              <w:right w:val="single" w:sz="12" w:space="0" w:color="FFFFFF"/>
            </w:tcBorders>
            <w:shd w:val="clear" w:color="000000" w:fill="DAEEF3"/>
            <w:vAlign w:val="center"/>
            <w:hideMark/>
          </w:tcPr>
          <w:p w14:paraId="68850F75"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N.A</w:t>
            </w:r>
          </w:p>
        </w:tc>
        <w:tc>
          <w:tcPr>
            <w:tcW w:w="1349" w:type="dxa"/>
            <w:tcBorders>
              <w:top w:val="single" w:sz="12" w:space="0" w:color="FFFFFF"/>
              <w:left w:val="nil"/>
              <w:bottom w:val="nil"/>
              <w:right w:val="single" w:sz="12" w:space="0" w:color="FFFFFF"/>
            </w:tcBorders>
            <w:shd w:val="clear" w:color="000000" w:fill="DAEEF3"/>
            <w:vAlign w:val="center"/>
            <w:hideMark/>
          </w:tcPr>
          <w:p w14:paraId="53AEF230"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Supervisión</w:t>
            </w:r>
          </w:p>
        </w:tc>
        <w:tc>
          <w:tcPr>
            <w:tcW w:w="1134" w:type="dxa"/>
            <w:tcBorders>
              <w:top w:val="single" w:sz="12" w:space="0" w:color="FFFFFF"/>
              <w:left w:val="nil"/>
              <w:bottom w:val="nil"/>
              <w:right w:val="single" w:sz="12" w:space="0" w:color="FFFFFF"/>
            </w:tcBorders>
            <w:shd w:val="clear" w:color="000000" w:fill="DAEEF3"/>
            <w:vAlign w:val="center"/>
            <w:hideMark/>
          </w:tcPr>
          <w:p w14:paraId="798E10D9"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Supervisión</w:t>
            </w:r>
          </w:p>
        </w:tc>
        <w:tc>
          <w:tcPr>
            <w:tcW w:w="1440" w:type="dxa"/>
            <w:tcBorders>
              <w:top w:val="single" w:sz="12" w:space="0" w:color="FFFFFF"/>
              <w:left w:val="nil"/>
              <w:bottom w:val="nil"/>
              <w:right w:val="single" w:sz="12" w:space="0" w:color="FFFFFF"/>
            </w:tcBorders>
            <w:shd w:val="clear" w:color="000000" w:fill="DAEEF3"/>
            <w:vAlign w:val="center"/>
            <w:hideMark/>
          </w:tcPr>
          <w:p w14:paraId="5A2946DF"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Afiliados</w:t>
            </w:r>
          </w:p>
        </w:tc>
        <w:tc>
          <w:tcPr>
            <w:tcW w:w="1600" w:type="dxa"/>
            <w:tcBorders>
              <w:top w:val="single" w:sz="12" w:space="0" w:color="FFFFFF"/>
              <w:left w:val="nil"/>
              <w:bottom w:val="nil"/>
              <w:right w:val="single" w:sz="12" w:space="0" w:color="FFFFFF"/>
            </w:tcBorders>
            <w:shd w:val="clear" w:color="000000" w:fill="DAEEF3"/>
            <w:vAlign w:val="center"/>
            <w:hideMark/>
          </w:tcPr>
          <w:p w14:paraId="7C90C488"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1,451,213</w:t>
            </w:r>
          </w:p>
        </w:tc>
        <w:tc>
          <w:tcPr>
            <w:tcW w:w="1800" w:type="dxa"/>
            <w:tcBorders>
              <w:top w:val="single" w:sz="12" w:space="0" w:color="FFFFFF"/>
              <w:left w:val="nil"/>
              <w:bottom w:val="nil"/>
              <w:right w:val="single" w:sz="12" w:space="0" w:color="FFFFFF"/>
            </w:tcBorders>
            <w:shd w:val="clear" w:color="000000" w:fill="DAEEF3"/>
            <w:vAlign w:val="center"/>
            <w:hideMark/>
          </w:tcPr>
          <w:p w14:paraId="58D08858"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901,454</w:t>
            </w:r>
          </w:p>
        </w:tc>
      </w:tr>
      <w:tr w:rsidR="00BD7DB6" w14:paraId="491F8AD7" w14:textId="77777777" w:rsidTr="009F5479">
        <w:trPr>
          <w:trHeight w:val="2861"/>
        </w:trPr>
        <w:tc>
          <w:tcPr>
            <w:tcW w:w="2962" w:type="dxa"/>
            <w:tcBorders>
              <w:top w:val="single" w:sz="12" w:space="0" w:color="FFFFFF"/>
              <w:left w:val="single" w:sz="12" w:space="0" w:color="FFFFFF"/>
              <w:bottom w:val="nil"/>
              <w:right w:val="single" w:sz="12" w:space="0" w:color="FFFFFF"/>
            </w:tcBorders>
            <w:shd w:val="clear" w:color="000000" w:fill="DAEEF3"/>
            <w:vAlign w:val="center"/>
            <w:hideMark/>
          </w:tcPr>
          <w:p w14:paraId="24CADC9A" w14:textId="77777777" w:rsidR="000B222D" w:rsidRDefault="003F283D">
            <w:pPr>
              <w:rPr>
                <w:rFonts w:asciiTheme="minorHAnsi" w:hAnsiTheme="minorHAnsi"/>
                <w:color w:val="000000"/>
                <w:sz w:val="20"/>
                <w:szCs w:val="20"/>
              </w:rPr>
            </w:pPr>
            <w:r w:rsidRPr="000B222D">
              <w:rPr>
                <w:rFonts w:asciiTheme="minorHAnsi" w:hAnsiTheme="minorHAnsi"/>
                <w:color w:val="000000"/>
                <w:sz w:val="20"/>
                <w:szCs w:val="20"/>
              </w:rPr>
              <w:t xml:space="preserve">1. Mantener el marco regulatorio del Sistema Nacional de Pensiones alineado con La protección </w:t>
            </w:r>
            <w:r w:rsidR="000B222D" w:rsidRPr="000B222D">
              <w:rPr>
                <w:rFonts w:asciiTheme="minorHAnsi" w:hAnsiTheme="minorHAnsi"/>
                <w:color w:val="000000"/>
                <w:sz w:val="20"/>
                <w:szCs w:val="20"/>
              </w:rPr>
              <w:t>de los</w:t>
            </w:r>
            <w:r w:rsidRPr="000B222D">
              <w:rPr>
                <w:rFonts w:asciiTheme="minorHAnsi" w:hAnsiTheme="minorHAnsi"/>
                <w:color w:val="000000"/>
                <w:sz w:val="20"/>
                <w:szCs w:val="20"/>
              </w:rPr>
              <w:t xml:space="preserve"> intereses de los </w:t>
            </w:r>
            <w:r w:rsidR="000B222D" w:rsidRPr="000B222D">
              <w:rPr>
                <w:rFonts w:asciiTheme="minorHAnsi" w:hAnsiTheme="minorHAnsi"/>
                <w:color w:val="000000"/>
                <w:sz w:val="20"/>
                <w:szCs w:val="20"/>
              </w:rPr>
              <w:t>afiliados, la</w:t>
            </w:r>
            <w:r w:rsidRPr="000B222D">
              <w:rPr>
                <w:rFonts w:asciiTheme="minorHAnsi" w:hAnsiTheme="minorHAnsi"/>
                <w:color w:val="000000"/>
                <w:sz w:val="20"/>
                <w:szCs w:val="20"/>
              </w:rPr>
              <w:t xml:space="preserve"> adecuada gestión </w:t>
            </w:r>
            <w:r w:rsidR="000B222D" w:rsidRPr="000B222D">
              <w:rPr>
                <w:rFonts w:asciiTheme="minorHAnsi" w:hAnsiTheme="minorHAnsi"/>
                <w:color w:val="000000"/>
                <w:sz w:val="20"/>
                <w:szCs w:val="20"/>
              </w:rPr>
              <w:t>de los</w:t>
            </w:r>
            <w:r w:rsidRPr="000B222D">
              <w:rPr>
                <w:rFonts w:asciiTheme="minorHAnsi" w:hAnsiTheme="minorHAnsi"/>
                <w:color w:val="000000"/>
                <w:sz w:val="20"/>
                <w:szCs w:val="20"/>
              </w:rPr>
              <w:t xml:space="preserve"> riesgos del Sistema Nacional de Pensiones, la aplicación de las mejores prácticas de gestión en los participantes.</w:t>
            </w:r>
          </w:p>
          <w:p w14:paraId="7CC8B973" w14:textId="794D47DD" w:rsidR="003F283D" w:rsidRPr="000B222D" w:rsidRDefault="003F283D">
            <w:pPr>
              <w:rPr>
                <w:rFonts w:asciiTheme="minorHAnsi" w:hAnsiTheme="minorHAnsi"/>
                <w:color w:val="000000"/>
                <w:sz w:val="20"/>
                <w:szCs w:val="20"/>
              </w:rPr>
            </w:pPr>
            <w:r w:rsidRPr="000B222D">
              <w:rPr>
                <w:rFonts w:asciiTheme="minorHAnsi" w:hAnsiTheme="minorHAnsi"/>
                <w:color w:val="000000"/>
                <w:sz w:val="20"/>
                <w:szCs w:val="20"/>
              </w:rPr>
              <w:t xml:space="preserve"> </w:t>
            </w:r>
            <w:r w:rsidRPr="000B222D">
              <w:rPr>
                <w:rFonts w:asciiTheme="minorHAnsi" w:hAnsiTheme="minorHAnsi"/>
                <w:color w:val="000000"/>
                <w:sz w:val="20"/>
                <w:szCs w:val="20"/>
              </w:rPr>
              <w:br/>
              <w:t xml:space="preserve">2. Tramitar oportunamente las solicitudes de aprobación y autorización requeridas por los participantes del Sistema Nacional de Pensiones. </w:t>
            </w:r>
          </w:p>
        </w:tc>
        <w:tc>
          <w:tcPr>
            <w:tcW w:w="1376" w:type="dxa"/>
            <w:tcBorders>
              <w:top w:val="single" w:sz="12" w:space="0" w:color="FFFFFF"/>
              <w:left w:val="nil"/>
              <w:bottom w:val="nil"/>
              <w:right w:val="single" w:sz="12" w:space="0" w:color="FFFFFF"/>
            </w:tcBorders>
            <w:shd w:val="clear" w:color="000000" w:fill="DAEEF3"/>
            <w:vAlign w:val="center"/>
            <w:hideMark/>
          </w:tcPr>
          <w:p w14:paraId="3B7F678A"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Proceso de Normativa</w:t>
            </w:r>
          </w:p>
        </w:tc>
        <w:tc>
          <w:tcPr>
            <w:tcW w:w="1459" w:type="dxa"/>
            <w:tcBorders>
              <w:top w:val="single" w:sz="12" w:space="0" w:color="FFFFFF"/>
              <w:left w:val="nil"/>
              <w:bottom w:val="nil"/>
              <w:right w:val="single" w:sz="12" w:space="0" w:color="FFFFFF"/>
            </w:tcBorders>
            <w:shd w:val="clear" w:color="000000" w:fill="DAEEF3"/>
            <w:vAlign w:val="center"/>
            <w:hideMark/>
          </w:tcPr>
          <w:p w14:paraId="21B3EF3A"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N.A</w:t>
            </w:r>
          </w:p>
        </w:tc>
        <w:tc>
          <w:tcPr>
            <w:tcW w:w="1349" w:type="dxa"/>
            <w:tcBorders>
              <w:top w:val="single" w:sz="12" w:space="0" w:color="FFFFFF"/>
              <w:left w:val="nil"/>
              <w:bottom w:val="nil"/>
              <w:right w:val="single" w:sz="12" w:space="0" w:color="FFFFFF"/>
            </w:tcBorders>
            <w:shd w:val="clear" w:color="000000" w:fill="DAEEF3"/>
            <w:vAlign w:val="center"/>
            <w:hideMark/>
          </w:tcPr>
          <w:p w14:paraId="0EED5299"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Autorizaciones</w:t>
            </w:r>
          </w:p>
        </w:tc>
        <w:tc>
          <w:tcPr>
            <w:tcW w:w="1134" w:type="dxa"/>
            <w:tcBorders>
              <w:top w:val="single" w:sz="12" w:space="0" w:color="FFFFFF"/>
              <w:left w:val="nil"/>
              <w:bottom w:val="nil"/>
              <w:right w:val="single" w:sz="12" w:space="0" w:color="FFFFFF"/>
            </w:tcBorders>
            <w:shd w:val="clear" w:color="000000" w:fill="DAEEF3"/>
            <w:vAlign w:val="center"/>
            <w:hideMark/>
          </w:tcPr>
          <w:p w14:paraId="418678D8"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Trámites Gestionados</w:t>
            </w:r>
          </w:p>
        </w:tc>
        <w:tc>
          <w:tcPr>
            <w:tcW w:w="1440" w:type="dxa"/>
            <w:tcBorders>
              <w:top w:val="single" w:sz="12" w:space="0" w:color="FFFFFF"/>
              <w:left w:val="nil"/>
              <w:bottom w:val="nil"/>
              <w:right w:val="single" w:sz="12" w:space="0" w:color="FFFFFF"/>
            </w:tcBorders>
            <w:shd w:val="clear" w:color="000000" w:fill="DAEEF3"/>
            <w:vAlign w:val="center"/>
            <w:hideMark/>
          </w:tcPr>
          <w:p w14:paraId="5ED6D853"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Regulados</w:t>
            </w:r>
          </w:p>
        </w:tc>
        <w:tc>
          <w:tcPr>
            <w:tcW w:w="1600" w:type="dxa"/>
            <w:tcBorders>
              <w:top w:val="single" w:sz="12" w:space="0" w:color="FFFFFF"/>
              <w:left w:val="nil"/>
              <w:bottom w:val="nil"/>
              <w:right w:val="single" w:sz="12" w:space="0" w:color="FFFFFF"/>
            </w:tcBorders>
            <w:shd w:val="clear" w:color="000000" w:fill="DAEEF3"/>
            <w:vAlign w:val="center"/>
            <w:hideMark/>
          </w:tcPr>
          <w:p w14:paraId="7335CA88"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16</w:t>
            </w:r>
          </w:p>
        </w:tc>
        <w:tc>
          <w:tcPr>
            <w:tcW w:w="1800" w:type="dxa"/>
            <w:tcBorders>
              <w:top w:val="single" w:sz="12" w:space="0" w:color="FFFFFF"/>
              <w:left w:val="nil"/>
              <w:bottom w:val="nil"/>
              <w:right w:val="single" w:sz="12" w:space="0" w:color="FFFFFF"/>
            </w:tcBorders>
            <w:shd w:val="clear" w:color="000000" w:fill="DAEEF3"/>
            <w:vAlign w:val="center"/>
            <w:hideMark/>
          </w:tcPr>
          <w:p w14:paraId="71A7B033"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 xml:space="preserve"> </w:t>
            </w:r>
          </w:p>
        </w:tc>
      </w:tr>
      <w:tr w:rsidR="00BD7DB6" w14:paraId="51297307" w14:textId="77777777" w:rsidTr="009F5479">
        <w:trPr>
          <w:trHeight w:val="1653"/>
        </w:trPr>
        <w:tc>
          <w:tcPr>
            <w:tcW w:w="2962" w:type="dxa"/>
            <w:tcBorders>
              <w:top w:val="single" w:sz="12" w:space="0" w:color="FFFFFF"/>
              <w:left w:val="single" w:sz="12" w:space="0" w:color="FFFFFF"/>
              <w:bottom w:val="nil"/>
              <w:right w:val="single" w:sz="12" w:space="0" w:color="FFFFFF"/>
            </w:tcBorders>
            <w:shd w:val="clear" w:color="000000" w:fill="DAEEF3"/>
            <w:vAlign w:val="center"/>
            <w:hideMark/>
          </w:tcPr>
          <w:p w14:paraId="5A1E2CC0" w14:textId="77777777" w:rsidR="003F283D" w:rsidRPr="000B222D" w:rsidRDefault="003F283D">
            <w:pPr>
              <w:rPr>
                <w:rFonts w:asciiTheme="minorHAnsi" w:hAnsiTheme="minorHAnsi"/>
                <w:color w:val="000000"/>
                <w:sz w:val="20"/>
                <w:szCs w:val="20"/>
              </w:rPr>
            </w:pPr>
            <w:r w:rsidRPr="000B222D">
              <w:rPr>
                <w:rFonts w:asciiTheme="minorHAnsi" w:hAnsiTheme="minorHAnsi"/>
                <w:color w:val="000000"/>
                <w:sz w:val="20"/>
                <w:szCs w:val="20"/>
              </w:rPr>
              <w:lastRenderedPageBreak/>
              <w:t xml:space="preserve">Fomentar en la población el desarrollo de una cultura previsional con el propósito de crear conciencia de la importancia de la pensión.  </w:t>
            </w:r>
          </w:p>
        </w:tc>
        <w:tc>
          <w:tcPr>
            <w:tcW w:w="1376" w:type="dxa"/>
            <w:tcBorders>
              <w:top w:val="single" w:sz="12" w:space="0" w:color="FFFFFF"/>
              <w:left w:val="nil"/>
              <w:bottom w:val="nil"/>
              <w:right w:val="single" w:sz="12" w:space="0" w:color="FFFFFF"/>
            </w:tcBorders>
            <w:shd w:val="clear" w:color="000000" w:fill="DAEEF3"/>
            <w:vAlign w:val="center"/>
            <w:hideMark/>
          </w:tcPr>
          <w:p w14:paraId="52A7A900" w14:textId="7600FF25" w:rsidR="003F283D" w:rsidRPr="000B222D" w:rsidRDefault="003F283D" w:rsidP="00BD7DB6">
            <w:pPr>
              <w:jc w:val="center"/>
              <w:rPr>
                <w:rFonts w:asciiTheme="minorHAnsi" w:hAnsiTheme="minorHAnsi"/>
                <w:color w:val="000000"/>
                <w:sz w:val="20"/>
                <w:szCs w:val="20"/>
              </w:rPr>
            </w:pPr>
            <w:r w:rsidRPr="000B222D">
              <w:rPr>
                <w:rFonts w:asciiTheme="minorHAnsi" w:hAnsiTheme="minorHAnsi"/>
                <w:color w:val="000000"/>
                <w:sz w:val="20"/>
                <w:szCs w:val="20"/>
              </w:rPr>
              <w:t>Proceso de Comunicación</w:t>
            </w:r>
          </w:p>
        </w:tc>
        <w:tc>
          <w:tcPr>
            <w:tcW w:w="1459" w:type="dxa"/>
            <w:tcBorders>
              <w:top w:val="single" w:sz="12" w:space="0" w:color="FFFFFF"/>
              <w:left w:val="nil"/>
              <w:bottom w:val="nil"/>
              <w:right w:val="single" w:sz="12" w:space="0" w:color="FFFFFF"/>
            </w:tcBorders>
            <w:shd w:val="clear" w:color="000000" w:fill="DAEEF3"/>
            <w:vAlign w:val="center"/>
            <w:hideMark/>
          </w:tcPr>
          <w:p w14:paraId="050B4A62"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N.A</w:t>
            </w:r>
          </w:p>
        </w:tc>
        <w:tc>
          <w:tcPr>
            <w:tcW w:w="1349" w:type="dxa"/>
            <w:tcBorders>
              <w:top w:val="single" w:sz="12" w:space="0" w:color="FFFFFF"/>
              <w:left w:val="nil"/>
              <w:bottom w:val="nil"/>
              <w:right w:val="single" w:sz="12" w:space="0" w:color="FFFFFF"/>
            </w:tcBorders>
            <w:shd w:val="clear" w:color="000000" w:fill="DAEEF3"/>
            <w:vAlign w:val="center"/>
            <w:hideMark/>
          </w:tcPr>
          <w:p w14:paraId="1D313BDD"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Actividades de Comunicación</w:t>
            </w:r>
          </w:p>
        </w:tc>
        <w:tc>
          <w:tcPr>
            <w:tcW w:w="1134" w:type="dxa"/>
            <w:tcBorders>
              <w:top w:val="single" w:sz="12" w:space="0" w:color="FFFFFF"/>
              <w:left w:val="nil"/>
              <w:bottom w:val="nil"/>
              <w:right w:val="single" w:sz="12" w:space="0" w:color="FFFFFF"/>
            </w:tcBorders>
            <w:shd w:val="clear" w:color="000000" w:fill="DAEEF3"/>
            <w:vAlign w:val="center"/>
            <w:hideMark/>
          </w:tcPr>
          <w:p w14:paraId="04D251D9" w14:textId="535BDB09" w:rsidR="003F283D" w:rsidRPr="000B222D" w:rsidRDefault="00BD7DB6">
            <w:pPr>
              <w:jc w:val="center"/>
              <w:rPr>
                <w:rFonts w:asciiTheme="minorHAnsi" w:hAnsiTheme="minorHAnsi"/>
                <w:color w:val="000000"/>
                <w:sz w:val="20"/>
                <w:szCs w:val="20"/>
              </w:rPr>
            </w:pPr>
            <w:r w:rsidRPr="000B222D">
              <w:rPr>
                <w:rFonts w:asciiTheme="minorHAnsi" w:hAnsiTheme="minorHAnsi"/>
                <w:color w:val="000000"/>
                <w:sz w:val="20"/>
                <w:szCs w:val="20"/>
              </w:rPr>
              <w:t>Activi</w:t>
            </w:r>
            <w:r w:rsidR="003F283D" w:rsidRPr="000B222D">
              <w:rPr>
                <w:rFonts w:asciiTheme="minorHAnsi" w:hAnsiTheme="minorHAnsi"/>
                <w:color w:val="000000"/>
                <w:sz w:val="20"/>
                <w:szCs w:val="20"/>
              </w:rPr>
              <w:t>dades Realizadas</w:t>
            </w:r>
          </w:p>
        </w:tc>
        <w:tc>
          <w:tcPr>
            <w:tcW w:w="1440" w:type="dxa"/>
            <w:tcBorders>
              <w:top w:val="single" w:sz="12" w:space="0" w:color="FFFFFF"/>
              <w:left w:val="nil"/>
              <w:bottom w:val="nil"/>
              <w:right w:val="single" w:sz="12" w:space="0" w:color="FFFFFF"/>
            </w:tcBorders>
            <w:shd w:val="clear" w:color="000000" w:fill="DAEEF3"/>
            <w:vAlign w:val="center"/>
            <w:hideMark/>
          </w:tcPr>
          <w:p w14:paraId="139AAD07"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Regulados</w:t>
            </w:r>
          </w:p>
        </w:tc>
        <w:tc>
          <w:tcPr>
            <w:tcW w:w="1600" w:type="dxa"/>
            <w:tcBorders>
              <w:top w:val="single" w:sz="12" w:space="0" w:color="FFFFFF"/>
              <w:left w:val="nil"/>
              <w:bottom w:val="nil"/>
              <w:right w:val="single" w:sz="12" w:space="0" w:color="FFFFFF"/>
            </w:tcBorders>
            <w:shd w:val="clear" w:color="000000" w:fill="DAEEF3"/>
            <w:vAlign w:val="center"/>
            <w:hideMark/>
          </w:tcPr>
          <w:p w14:paraId="2FECAC0D" w14:textId="7777777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16</w:t>
            </w:r>
          </w:p>
        </w:tc>
        <w:tc>
          <w:tcPr>
            <w:tcW w:w="1800" w:type="dxa"/>
            <w:tcBorders>
              <w:top w:val="single" w:sz="12" w:space="0" w:color="FFFFFF"/>
              <w:left w:val="nil"/>
              <w:bottom w:val="nil"/>
              <w:right w:val="single" w:sz="12" w:space="0" w:color="FFFFFF"/>
            </w:tcBorders>
            <w:shd w:val="clear" w:color="000000" w:fill="DAEEF3"/>
            <w:vAlign w:val="center"/>
            <w:hideMark/>
          </w:tcPr>
          <w:p w14:paraId="259145A4" w14:textId="634ABCE7" w:rsidR="003F283D" w:rsidRPr="000B222D" w:rsidRDefault="003F283D">
            <w:pPr>
              <w:jc w:val="center"/>
              <w:rPr>
                <w:rFonts w:asciiTheme="minorHAnsi" w:hAnsiTheme="minorHAnsi"/>
                <w:color w:val="000000"/>
                <w:sz w:val="20"/>
                <w:szCs w:val="20"/>
              </w:rPr>
            </w:pPr>
            <w:r w:rsidRPr="000B222D">
              <w:rPr>
                <w:rFonts w:asciiTheme="minorHAnsi" w:hAnsiTheme="minorHAnsi"/>
                <w:color w:val="000000"/>
                <w:sz w:val="20"/>
                <w:szCs w:val="20"/>
              </w:rPr>
              <w:t xml:space="preserve"> </w:t>
            </w:r>
          </w:p>
        </w:tc>
      </w:tr>
    </w:tbl>
    <w:p w14:paraId="4ACE0E1B" w14:textId="77777777" w:rsidR="00110644" w:rsidRDefault="00110644" w:rsidP="00110644">
      <w:pPr>
        <w:rPr>
          <w:rFonts w:asciiTheme="minorHAnsi" w:hAnsiTheme="minorHAnsi"/>
          <w:color w:val="000000"/>
          <w:sz w:val="16"/>
          <w:szCs w:val="16"/>
        </w:rPr>
      </w:pPr>
    </w:p>
    <w:p w14:paraId="0D1DF9CF" w14:textId="31870FD6" w:rsidR="003F283D" w:rsidRDefault="003F283D" w:rsidP="00110644">
      <w:pPr>
        <w:rPr>
          <w:rFonts w:asciiTheme="minorHAnsi" w:hAnsiTheme="minorHAnsi"/>
          <w:color w:val="000000"/>
          <w:sz w:val="16"/>
          <w:szCs w:val="16"/>
        </w:rPr>
      </w:pPr>
    </w:p>
    <w:p w14:paraId="59ABDE96" w14:textId="77777777" w:rsidR="003F283D" w:rsidRDefault="003F283D" w:rsidP="00110644">
      <w:pPr>
        <w:rPr>
          <w:rFonts w:asciiTheme="minorHAnsi" w:hAnsiTheme="minorHAnsi"/>
          <w:color w:val="000000"/>
          <w:sz w:val="16"/>
          <w:szCs w:val="16"/>
        </w:rPr>
      </w:pPr>
    </w:p>
    <w:p w14:paraId="793A1838" w14:textId="77777777" w:rsidR="009F5479" w:rsidRDefault="009F5479" w:rsidP="00110644">
      <w:pPr>
        <w:rPr>
          <w:rFonts w:asciiTheme="minorHAnsi" w:hAnsiTheme="minorHAnsi"/>
          <w:color w:val="000000"/>
          <w:sz w:val="16"/>
          <w:szCs w:val="16"/>
        </w:rPr>
      </w:pPr>
    </w:p>
    <w:p w14:paraId="1A7588C7" w14:textId="77777777" w:rsidR="009F5479" w:rsidRDefault="009F5479">
      <w:pPr>
        <w:rPr>
          <w:rFonts w:asciiTheme="minorHAnsi" w:hAnsiTheme="minorHAnsi"/>
          <w:color w:val="000000"/>
          <w:sz w:val="16"/>
          <w:szCs w:val="16"/>
        </w:rPr>
      </w:pPr>
      <w:r>
        <w:rPr>
          <w:rFonts w:asciiTheme="minorHAnsi" w:hAnsiTheme="minorHAnsi"/>
          <w:color w:val="000000"/>
          <w:sz w:val="16"/>
          <w:szCs w:val="16"/>
        </w:rPr>
        <w:br w:type="page"/>
      </w:r>
    </w:p>
    <w:p w14:paraId="2A0CF317" w14:textId="77777777" w:rsidR="009F5479" w:rsidRDefault="009F5479" w:rsidP="00110644">
      <w:pPr>
        <w:rPr>
          <w:rFonts w:asciiTheme="minorHAnsi" w:hAnsiTheme="minorHAnsi"/>
          <w:color w:val="000000"/>
          <w:sz w:val="16"/>
          <w:szCs w:val="16"/>
        </w:rPr>
      </w:pPr>
    </w:p>
    <w:tbl>
      <w:tblPr>
        <w:tblW w:w="12758" w:type="dxa"/>
        <w:tblCellMar>
          <w:left w:w="70" w:type="dxa"/>
          <w:right w:w="70" w:type="dxa"/>
        </w:tblCellMar>
        <w:tblLook w:val="04A0" w:firstRow="1" w:lastRow="0" w:firstColumn="1" w:lastColumn="0" w:noHBand="0" w:noVBand="1"/>
      </w:tblPr>
      <w:tblGrid>
        <w:gridCol w:w="1740"/>
        <w:gridCol w:w="1120"/>
        <w:gridCol w:w="1280"/>
        <w:gridCol w:w="1200"/>
        <w:gridCol w:w="1140"/>
        <w:gridCol w:w="1040"/>
        <w:gridCol w:w="985"/>
        <w:gridCol w:w="1776"/>
        <w:gridCol w:w="2477"/>
      </w:tblGrid>
      <w:tr w:rsidR="009F5479" w14:paraId="07764658" w14:textId="77777777" w:rsidTr="009F5479">
        <w:trPr>
          <w:trHeight w:val="306"/>
        </w:trPr>
        <w:tc>
          <w:tcPr>
            <w:tcW w:w="1740" w:type="dxa"/>
            <w:tcBorders>
              <w:top w:val="single" w:sz="12" w:space="0" w:color="FFFFFF"/>
              <w:left w:val="nil"/>
              <w:bottom w:val="single" w:sz="12" w:space="0" w:color="FFFFFF"/>
              <w:right w:val="nil"/>
            </w:tcBorders>
            <w:shd w:val="clear" w:color="000000" w:fill="31869B"/>
            <w:noWrap/>
            <w:vAlign w:val="center"/>
            <w:hideMark/>
          </w:tcPr>
          <w:p w14:paraId="0FB4D64B"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120" w:type="dxa"/>
            <w:tcBorders>
              <w:top w:val="single" w:sz="12" w:space="0" w:color="FFFFFF"/>
              <w:left w:val="nil"/>
              <w:bottom w:val="single" w:sz="12" w:space="0" w:color="FFFFFF"/>
              <w:right w:val="nil"/>
            </w:tcBorders>
            <w:shd w:val="clear" w:color="000000" w:fill="31869B"/>
            <w:noWrap/>
            <w:vAlign w:val="center"/>
            <w:hideMark/>
          </w:tcPr>
          <w:p w14:paraId="278DBDB6"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280" w:type="dxa"/>
            <w:tcBorders>
              <w:top w:val="single" w:sz="12" w:space="0" w:color="FFFFFF"/>
              <w:left w:val="nil"/>
              <w:bottom w:val="single" w:sz="12" w:space="0" w:color="FFFFFF"/>
              <w:right w:val="nil"/>
            </w:tcBorders>
            <w:shd w:val="clear" w:color="000000" w:fill="31869B"/>
            <w:noWrap/>
            <w:vAlign w:val="center"/>
            <w:hideMark/>
          </w:tcPr>
          <w:p w14:paraId="03B3A705"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200" w:type="dxa"/>
            <w:tcBorders>
              <w:top w:val="single" w:sz="12" w:space="0" w:color="FFFFFF"/>
              <w:left w:val="nil"/>
              <w:bottom w:val="single" w:sz="12" w:space="0" w:color="FFFFFF"/>
              <w:right w:val="nil"/>
            </w:tcBorders>
            <w:shd w:val="clear" w:color="000000" w:fill="31869B"/>
            <w:noWrap/>
            <w:vAlign w:val="center"/>
            <w:hideMark/>
          </w:tcPr>
          <w:p w14:paraId="1E1B0B43"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140" w:type="dxa"/>
            <w:tcBorders>
              <w:top w:val="single" w:sz="12" w:space="0" w:color="FFFFFF"/>
              <w:left w:val="nil"/>
              <w:bottom w:val="single" w:sz="12" w:space="0" w:color="FFFFFF"/>
              <w:right w:val="nil"/>
            </w:tcBorders>
            <w:shd w:val="clear" w:color="000000" w:fill="31869B"/>
            <w:noWrap/>
            <w:vAlign w:val="center"/>
            <w:hideMark/>
          </w:tcPr>
          <w:p w14:paraId="0E8BD5C5"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040" w:type="dxa"/>
            <w:tcBorders>
              <w:top w:val="single" w:sz="12" w:space="0" w:color="FFFFFF"/>
              <w:left w:val="nil"/>
              <w:bottom w:val="single" w:sz="12" w:space="0" w:color="FFFFFF"/>
              <w:right w:val="nil"/>
            </w:tcBorders>
            <w:shd w:val="clear" w:color="000000" w:fill="31869B"/>
            <w:noWrap/>
            <w:vAlign w:val="center"/>
            <w:hideMark/>
          </w:tcPr>
          <w:p w14:paraId="2594A489"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985" w:type="dxa"/>
            <w:tcBorders>
              <w:top w:val="single" w:sz="12" w:space="0" w:color="FFFFFF"/>
              <w:left w:val="nil"/>
              <w:bottom w:val="single" w:sz="12" w:space="0" w:color="FFFFFF"/>
              <w:right w:val="nil"/>
            </w:tcBorders>
            <w:shd w:val="clear" w:color="000000" w:fill="31869B"/>
            <w:noWrap/>
            <w:vAlign w:val="center"/>
            <w:hideMark/>
          </w:tcPr>
          <w:p w14:paraId="5278D790"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1776" w:type="dxa"/>
            <w:tcBorders>
              <w:top w:val="single" w:sz="12" w:space="0" w:color="FFFFFF"/>
              <w:left w:val="nil"/>
              <w:bottom w:val="single" w:sz="12" w:space="0" w:color="FFFFFF"/>
              <w:right w:val="nil"/>
            </w:tcBorders>
            <w:shd w:val="clear" w:color="000000" w:fill="31869B"/>
            <w:noWrap/>
            <w:vAlign w:val="center"/>
            <w:hideMark/>
          </w:tcPr>
          <w:p w14:paraId="00F28735" w14:textId="77777777" w:rsidR="009F5479" w:rsidRDefault="009F5479">
            <w:pPr>
              <w:rPr>
                <w:rFonts w:ascii="Calibri" w:hAnsi="Calibri"/>
                <w:b/>
                <w:bCs/>
                <w:color w:val="FFFFFF"/>
                <w:sz w:val="16"/>
                <w:szCs w:val="16"/>
              </w:rPr>
            </w:pPr>
            <w:r>
              <w:rPr>
                <w:rFonts w:ascii="Calibri" w:hAnsi="Calibri"/>
                <w:b/>
                <w:bCs/>
                <w:color w:val="FFFFFF"/>
                <w:sz w:val="16"/>
                <w:szCs w:val="16"/>
              </w:rPr>
              <w:t> </w:t>
            </w:r>
          </w:p>
        </w:tc>
        <w:tc>
          <w:tcPr>
            <w:tcW w:w="2477" w:type="dxa"/>
            <w:tcBorders>
              <w:top w:val="single" w:sz="12" w:space="0" w:color="FFFFFF"/>
              <w:left w:val="nil"/>
              <w:bottom w:val="single" w:sz="12" w:space="0" w:color="FFFFFF"/>
              <w:right w:val="single" w:sz="12" w:space="0" w:color="FFFFFF"/>
            </w:tcBorders>
            <w:shd w:val="clear" w:color="000000" w:fill="31869B"/>
            <w:noWrap/>
            <w:vAlign w:val="center"/>
            <w:hideMark/>
          </w:tcPr>
          <w:p w14:paraId="7339B233" w14:textId="77777777" w:rsidR="009F5479" w:rsidRDefault="009F5479">
            <w:pPr>
              <w:rPr>
                <w:rFonts w:ascii="Calibri" w:hAnsi="Calibri"/>
                <w:b/>
                <w:bCs/>
                <w:color w:val="FFFFFF"/>
                <w:sz w:val="16"/>
                <w:szCs w:val="16"/>
              </w:rPr>
            </w:pPr>
            <w:r>
              <w:rPr>
                <w:rFonts w:ascii="Calibri" w:hAnsi="Calibri"/>
                <w:b/>
                <w:bCs/>
                <w:color w:val="FFFFFF"/>
                <w:sz w:val="16"/>
                <w:szCs w:val="16"/>
              </w:rPr>
              <w:t> </w:t>
            </w:r>
          </w:p>
        </w:tc>
      </w:tr>
      <w:tr w:rsidR="009F5479" w14:paraId="6E5619B4" w14:textId="77777777" w:rsidTr="009F5479">
        <w:trPr>
          <w:trHeight w:val="1140"/>
        </w:trPr>
        <w:tc>
          <w:tcPr>
            <w:tcW w:w="174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5F7547B4" w14:textId="77777777" w:rsidR="009F5479" w:rsidRDefault="009F5479">
            <w:pPr>
              <w:jc w:val="center"/>
              <w:rPr>
                <w:rFonts w:ascii="Calibri" w:hAnsi="Calibri"/>
                <w:b/>
                <w:bCs/>
                <w:sz w:val="16"/>
                <w:szCs w:val="16"/>
              </w:rPr>
            </w:pPr>
            <w:r>
              <w:rPr>
                <w:rFonts w:ascii="Calibri" w:hAnsi="Calibri"/>
                <w:b/>
                <w:bCs/>
                <w:sz w:val="16"/>
                <w:szCs w:val="16"/>
              </w:rPr>
              <w:t xml:space="preserve">INDICADORES DE PRODUCTO  </w:t>
            </w:r>
          </w:p>
        </w:tc>
        <w:tc>
          <w:tcPr>
            <w:tcW w:w="1120"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314CA4E6" w14:textId="77777777" w:rsidR="009F5479" w:rsidRDefault="009F5479">
            <w:pPr>
              <w:jc w:val="center"/>
              <w:rPr>
                <w:rFonts w:ascii="Calibri" w:hAnsi="Calibri"/>
                <w:b/>
                <w:bCs/>
                <w:sz w:val="16"/>
                <w:szCs w:val="16"/>
              </w:rPr>
            </w:pPr>
            <w:r>
              <w:rPr>
                <w:rFonts w:ascii="Calibri" w:hAnsi="Calibri"/>
                <w:b/>
                <w:bCs/>
                <w:sz w:val="16"/>
                <w:szCs w:val="16"/>
              </w:rPr>
              <w:t>LÍNEA BASE</w:t>
            </w:r>
          </w:p>
        </w:tc>
        <w:tc>
          <w:tcPr>
            <w:tcW w:w="4660" w:type="dxa"/>
            <w:gridSpan w:val="4"/>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645EE398" w14:textId="77777777" w:rsidR="009F5479" w:rsidRDefault="009F5479">
            <w:pPr>
              <w:jc w:val="center"/>
              <w:rPr>
                <w:rFonts w:ascii="Calibri" w:hAnsi="Calibri"/>
                <w:b/>
                <w:bCs/>
                <w:sz w:val="16"/>
                <w:szCs w:val="16"/>
              </w:rPr>
            </w:pPr>
            <w:r>
              <w:rPr>
                <w:rFonts w:ascii="Calibri" w:hAnsi="Calibri"/>
                <w:b/>
                <w:bCs/>
                <w:sz w:val="16"/>
                <w:szCs w:val="16"/>
              </w:rPr>
              <w:t xml:space="preserve">METAS DEL INDICADOR </w:t>
            </w:r>
          </w:p>
        </w:tc>
        <w:tc>
          <w:tcPr>
            <w:tcW w:w="2761" w:type="dxa"/>
            <w:gridSpan w:val="2"/>
            <w:vMerge w:val="restart"/>
            <w:tcBorders>
              <w:top w:val="single" w:sz="12" w:space="0" w:color="FFFFFF"/>
              <w:left w:val="single" w:sz="12" w:space="0" w:color="FFFFFF"/>
              <w:bottom w:val="single" w:sz="12" w:space="0" w:color="FFFFFF"/>
              <w:right w:val="single" w:sz="12" w:space="0" w:color="FFFFFF"/>
            </w:tcBorders>
            <w:shd w:val="clear" w:color="000000" w:fill="95B3D7"/>
            <w:vAlign w:val="center"/>
            <w:hideMark/>
          </w:tcPr>
          <w:p w14:paraId="274E2878" w14:textId="77777777" w:rsidR="009F5479" w:rsidRDefault="009F5479">
            <w:pPr>
              <w:jc w:val="center"/>
              <w:rPr>
                <w:rFonts w:ascii="Calibri" w:hAnsi="Calibri"/>
                <w:b/>
                <w:bCs/>
                <w:sz w:val="16"/>
                <w:szCs w:val="16"/>
              </w:rPr>
            </w:pPr>
            <w:r>
              <w:rPr>
                <w:rFonts w:ascii="Calibri" w:hAnsi="Calibri"/>
                <w:b/>
                <w:bCs/>
                <w:sz w:val="16"/>
                <w:szCs w:val="16"/>
              </w:rPr>
              <w:t>ESTIMACIÓN ANUAL DE RECURSOS PRESUPUESTARIOS</w:t>
            </w:r>
            <w:r>
              <w:rPr>
                <w:rFonts w:ascii="Calibri" w:hAnsi="Calibri"/>
                <w:b/>
                <w:bCs/>
                <w:sz w:val="16"/>
                <w:szCs w:val="16"/>
              </w:rPr>
              <w:br/>
              <w:t xml:space="preserve"> (en millones de colones)</w:t>
            </w:r>
          </w:p>
        </w:tc>
        <w:tc>
          <w:tcPr>
            <w:tcW w:w="2477"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7C734CCC" w14:textId="77777777" w:rsidR="009F5479" w:rsidRDefault="009F5479">
            <w:pPr>
              <w:jc w:val="center"/>
              <w:rPr>
                <w:rFonts w:ascii="Calibri" w:hAnsi="Calibri"/>
                <w:b/>
                <w:bCs/>
                <w:sz w:val="16"/>
                <w:szCs w:val="16"/>
              </w:rPr>
            </w:pPr>
            <w:r>
              <w:rPr>
                <w:rFonts w:ascii="Calibri" w:hAnsi="Calibri"/>
                <w:b/>
                <w:bCs/>
                <w:sz w:val="16"/>
                <w:szCs w:val="16"/>
              </w:rPr>
              <w:t>SUPUESTOS, NOTAS TÉCNICAS Y OBSERVACIONES</w:t>
            </w:r>
          </w:p>
        </w:tc>
      </w:tr>
      <w:tr w:rsidR="009F5479" w14:paraId="1A114B28" w14:textId="77777777" w:rsidTr="009F5479">
        <w:trPr>
          <w:trHeight w:val="276"/>
        </w:trPr>
        <w:tc>
          <w:tcPr>
            <w:tcW w:w="1740" w:type="dxa"/>
            <w:vMerge/>
            <w:tcBorders>
              <w:top w:val="nil"/>
              <w:left w:val="single" w:sz="12" w:space="0" w:color="FFFFFF"/>
              <w:bottom w:val="single" w:sz="12" w:space="0" w:color="FFFFFF"/>
              <w:right w:val="single" w:sz="12" w:space="0" w:color="FFFFFF"/>
            </w:tcBorders>
            <w:vAlign w:val="center"/>
            <w:hideMark/>
          </w:tcPr>
          <w:p w14:paraId="7825084C"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3FBC39D4" w14:textId="77777777" w:rsidR="009F5479" w:rsidRDefault="009F5479">
            <w:pPr>
              <w:rPr>
                <w:rFonts w:ascii="Calibri" w:hAnsi="Calibri"/>
                <w:b/>
                <w:bCs/>
                <w:sz w:val="16"/>
                <w:szCs w:val="16"/>
              </w:rPr>
            </w:pPr>
          </w:p>
        </w:tc>
        <w:tc>
          <w:tcPr>
            <w:tcW w:w="4660"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33035B59" w14:textId="77777777" w:rsidR="009F5479" w:rsidRDefault="009F5479">
            <w:pPr>
              <w:rPr>
                <w:rFonts w:ascii="Calibri" w:hAnsi="Calibri"/>
                <w:b/>
                <w:bCs/>
                <w:sz w:val="16"/>
                <w:szCs w:val="16"/>
              </w:rPr>
            </w:pPr>
          </w:p>
        </w:tc>
        <w:tc>
          <w:tcPr>
            <w:tcW w:w="2761" w:type="dxa"/>
            <w:gridSpan w:val="2"/>
            <w:vMerge/>
            <w:tcBorders>
              <w:top w:val="single" w:sz="12" w:space="0" w:color="FFFFFF"/>
              <w:left w:val="single" w:sz="12" w:space="0" w:color="FFFFFF"/>
              <w:bottom w:val="single" w:sz="12" w:space="0" w:color="FFFFFF"/>
              <w:right w:val="single" w:sz="12" w:space="0" w:color="FFFFFF"/>
            </w:tcBorders>
            <w:vAlign w:val="center"/>
            <w:hideMark/>
          </w:tcPr>
          <w:p w14:paraId="22D43D4D" w14:textId="77777777" w:rsidR="009F5479" w:rsidRDefault="009F5479">
            <w:pPr>
              <w:rPr>
                <w:rFonts w:ascii="Calibri" w:hAnsi="Calibri"/>
                <w:b/>
                <w:bCs/>
                <w:sz w:val="16"/>
                <w:szCs w:val="16"/>
              </w:rPr>
            </w:pPr>
          </w:p>
        </w:tc>
        <w:tc>
          <w:tcPr>
            <w:tcW w:w="2477" w:type="dxa"/>
            <w:vMerge/>
            <w:tcBorders>
              <w:top w:val="nil"/>
              <w:left w:val="single" w:sz="12" w:space="0" w:color="FFFFFF"/>
              <w:bottom w:val="single" w:sz="12" w:space="0" w:color="FFFFFF"/>
              <w:right w:val="single" w:sz="12" w:space="0" w:color="FFFFFF"/>
            </w:tcBorders>
            <w:vAlign w:val="center"/>
            <w:hideMark/>
          </w:tcPr>
          <w:p w14:paraId="43406FE4" w14:textId="77777777" w:rsidR="009F5479" w:rsidRDefault="009F5479">
            <w:pPr>
              <w:rPr>
                <w:rFonts w:ascii="Calibri" w:hAnsi="Calibri"/>
                <w:b/>
                <w:bCs/>
                <w:sz w:val="16"/>
                <w:szCs w:val="16"/>
              </w:rPr>
            </w:pPr>
          </w:p>
        </w:tc>
      </w:tr>
      <w:tr w:rsidR="009F5479" w14:paraId="1BFCA57C" w14:textId="77777777" w:rsidTr="009F5479">
        <w:trPr>
          <w:trHeight w:val="330"/>
        </w:trPr>
        <w:tc>
          <w:tcPr>
            <w:tcW w:w="1740" w:type="dxa"/>
            <w:vMerge/>
            <w:tcBorders>
              <w:top w:val="nil"/>
              <w:left w:val="single" w:sz="12" w:space="0" w:color="FFFFFF"/>
              <w:bottom w:val="single" w:sz="12" w:space="0" w:color="FFFFFF"/>
              <w:right w:val="single" w:sz="12" w:space="0" w:color="FFFFFF"/>
            </w:tcBorders>
            <w:vAlign w:val="center"/>
            <w:hideMark/>
          </w:tcPr>
          <w:p w14:paraId="247D0264"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6AD18D64" w14:textId="77777777" w:rsidR="009F5479" w:rsidRDefault="009F5479">
            <w:pPr>
              <w:rPr>
                <w:rFonts w:ascii="Calibri" w:hAnsi="Calibri"/>
                <w:b/>
                <w:bCs/>
                <w:sz w:val="16"/>
                <w:szCs w:val="16"/>
              </w:rPr>
            </w:pPr>
          </w:p>
        </w:tc>
        <w:tc>
          <w:tcPr>
            <w:tcW w:w="4660" w:type="dxa"/>
            <w:gridSpan w:val="4"/>
            <w:vMerge/>
            <w:tcBorders>
              <w:top w:val="single" w:sz="12" w:space="0" w:color="FFFFFF"/>
              <w:left w:val="single" w:sz="12" w:space="0" w:color="FFFFFF"/>
              <w:bottom w:val="single" w:sz="12" w:space="0" w:color="FFFFFF"/>
              <w:right w:val="single" w:sz="12" w:space="0" w:color="FFFFFF"/>
            </w:tcBorders>
            <w:vAlign w:val="center"/>
            <w:hideMark/>
          </w:tcPr>
          <w:p w14:paraId="042A3815" w14:textId="77777777" w:rsidR="009F5479" w:rsidRDefault="009F5479">
            <w:pPr>
              <w:rPr>
                <w:rFonts w:ascii="Calibri" w:hAnsi="Calibri"/>
                <w:b/>
                <w:bCs/>
                <w:sz w:val="16"/>
                <w:szCs w:val="16"/>
              </w:rPr>
            </w:pPr>
          </w:p>
        </w:tc>
        <w:tc>
          <w:tcPr>
            <w:tcW w:w="985"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62B62FC1" w14:textId="77777777" w:rsidR="009F5479" w:rsidRDefault="009F5479">
            <w:pPr>
              <w:jc w:val="center"/>
              <w:rPr>
                <w:rFonts w:ascii="Calibri" w:hAnsi="Calibri"/>
                <w:b/>
                <w:bCs/>
                <w:sz w:val="16"/>
                <w:szCs w:val="16"/>
              </w:rPr>
            </w:pPr>
            <w:r>
              <w:rPr>
                <w:rFonts w:ascii="Calibri" w:hAnsi="Calibri"/>
                <w:b/>
                <w:bCs/>
                <w:sz w:val="16"/>
                <w:szCs w:val="16"/>
              </w:rPr>
              <w:t>MONTO</w:t>
            </w:r>
          </w:p>
        </w:tc>
        <w:tc>
          <w:tcPr>
            <w:tcW w:w="1776" w:type="dxa"/>
            <w:vMerge w:val="restart"/>
            <w:tcBorders>
              <w:top w:val="nil"/>
              <w:left w:val="single" w:sz="12" w:space="0" w:color="FFFFFF"/>
              <w:bottom w:val="single" w:sz="12" w:space="0" w:color="FFFFFF"/>
              <w:right w:val="single" w:sz="12" w:space="0" w:color="FFFFFF"/>
            </w:tcBorders>
            <w:shd w:val="clear" w:color="000000" w:fill="95B3D7"/>
            <w:vAlign w:val="center"/>
            <w:hideMark/>
          </w:tcPr>
          <w:p w14:paraId="0252ECD0" w14:textId="77777777" w:rsidR="009F5479" w:rsidRDefault="009F5479">
            <w:pPr>
              <w:jc w:val="center"/>
              <w:rPr>
                <w:rFonts w:ascii="Calibri" w:hAnsi="Calibri"/>
                <w:b/>
                <w:bCs/>
                <w:sz w:val="16"/>
                <w:szCs w:val="16"/>
              </w:rPr>
            </w:pPr>
            <w:r>
              <w:rPr>
                <w:rFonts w:ascii="Calibri" w:hAnsi="Calibri"/>
                <w:b/>
                <w:bCs/>
                <w:sz w:val="16"/>
                <w:szCs w:val="16"/>
              </w:rPr>
              <w:t>FUENTE DE FINANCIAMIENTO</w:t>
            </w:r>
          </w:p>
        </w:tc>
        <w:tc>
          <w:tcPr>
            <w:tcW w:w="2477" w:type="dxa"/>
            <w:vMerge/>
            <w:tcBorders>
              <w:top w:val="nil"/>
              <w:left w:val="single" w:sz="12" w:space="0" w:color="FFFFFF"/>
              <w:bottom w:val="single" w:sz="12" w:space="0" w:color="FFFFFF"/>
              <w:right w:val="single" w:sz="12" w:space="0" w:color="FFFFFF"/>
            </w:tcBorders>
            <w:vAlign w:val="center"/>
            <w:hideMark/>
          </w:tcPr>
          <w:p w14:paraId="4253980B" w14:textId="77777777" w:rsidR="009F5479" w:rsidRDefault="009F5479">
            <w:pPr>
              <w:rPr>
                <w:rFonts w:ascii="Calibri" w:hAnsi="Calibri"/>
                <w:b/>
                <w:bCs/>
                <w:sz w:val="16"/>
                <w:szCs w:val="16"/>
              </w:rPr>
            </w:pPr>
          </w:p>
        </w:tc>
      </w:tr>
      <w:tr w:rsidR="009F5479" w14:paraId="4CADB523" w14:textId="77777777" w:rsidTr="009F5479">
        <w:trPr>
          <w:trHeight w:val="300"/>
        </w:trPr>
        <w:tc>
          <w:tcPr>
            <w:tcW w:w="1740" w:type="dxa"/>
            <w:vMerge/>
            <w:tcBorders>
              <w:top w:val="nil"/>
              <w:left w:val="single" w:sz="12" w:space="0" w:color="FFFFFF"/>
              <w:bottom w:val="single" w:sz="12" w:space="0" w:color="FFFFFF"/>
              <w:right w:val="single" w:sz="12" w:space="0" w:color="FFFFFF"/>
            </w:tcBorders>
            <w:vAlign w:val="center"/>
            <w:hideMark/>
          </w:tcPr>
          <w:p w14:paraId="4665351A"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33B302FC" w14:textId="77777777" w:rsidR="009F5479" w:rsidRDefault="009F5479">
            <w:pPr>
              <w:rPr>
                <w:rFonts w:ascii="Calibri" w:hAnsi="Calibri"/>
                <w:b/>
                <w:bCs/>
                <w:sz w:val="16"/>
                <w:szCs w:val="16"/>
              </w:rPr>
            </w:pPr>
          </w:p>
        </w:tc>
        <w:tc>
          <w:tcPr>
            <w:tcW w:w="1280" w:type="dxa"/>
            <w:tcBorders>
              <w:top w:val="nil"/>
              <w:left w:val="nil"/>
              <w:bottom w:val="single" w:sz="12" w:space="0" w:color="FFFFFF"/>
              <w:right w:val="single" w:sz="8" w:space="0" w:color="FFFFFF"/>
            </w:tcBorders>
            <w:shd w:val="clear" w:color="000000" w:fill="C5D9F1"/>
            <w:vAlign w:val="center"/>
            <w:hideMark/>
          </w:tcPr>
          <w:p w14:paraId="75863D88" w14:textId="77777777" w:rsidR="009F5479" w:rsidRDefault="009F5479">
            <w:pPr>
              <w:jc w:val="center"/>
              <w:rPr>
                <w:rFonts w:ascii="Calibri" w:hAnsi="Calibri"/>
                <w:b/>
                <w:bCs/>
                <w:sz w:val="16"/>
                <w:szCs w:val="16"/>
              </w:rPr>
            </w:pPr>
            <w:r>
              <w:rPr>
                <w:rFonts w:ascii="Calibri" w:hAnsi="Calibri"/>
                <w:b/>
                <w:bCs/>
                <w:sz w:val="16"/>
                <w:szCs w:val="16"/>
              </w:rPr>
              <w:t>t</w:t>
            </w:r>
          </w:p>
        </w:tc>
        <w:tc>
          <w:tcPr>
            <w:tcW w:w="3380" w:type="dxa"/>
            <w:gridSpan w:val="3"/>
            <w:tcBorders>
              <w:top w:val="single" w:sz="12" w:space="0" w:color="FFFFFF"/>
              <w:left w:val="nil"/>
              <w:bottom w:val="single" w:sz="12" w:space="0" w:color="FFFFFF"/>
              <w:right w:val="single" w:sz="8" w:space="0" w:color="FFFFFF"/>
            </w:tcBorders>
            <w:shd w:val="clear" w:color="000000" w:fill="16365C"/>
            <w:vAlign w:val="center"/>
            <w:hideMark/>
          </w:tcPr>
          <w:p w14:paraId="39F38F41" w14:textId="77777777" w:rsidR="009F5479" w:rsidRDefault="009F5479">
            <w:pPr>
              <w:jc w:val="center"/>
              <w:rPr>
                <w:rFonts w:ascii="Calibri" w:hAnsi="Calibri"/>
                <w:b/>
                <w:bCs/>
                <w:color w:val="FFFFFF"/>
                <w:sz w:val="16"/>
                <w:szCs w:val="16"/>
              </w:rPr>
            </w:pPr>
            <w:r>
              <w:rPr>
                <w:rFonts w:ascii="Calibri" w:hAnsi="Calibri"/>
                <w:b/>
                <w:bCs/>
                <w:color w:val="FFFFFF"/>
                <w:sz w:val="16"/>
                <w:szCs w:val="16"/>
              </w:rPr>
              <w:t>DESEMPEÑO PROYECTADO</w:t>
            </w:r>
          </w:p>
        </w:tc>
        <w:tc>
          <w:tcPr>
            <w:tcW w:w="985" w:type="dxa"/>
            <w:vMerge/>
            <w:tcBorders>
              <w:top w:val="nil"/>
              <w:left w:val="single" w:sz="12" w:space="0" w:color="FFFFFF"/>
              <w:bottom w:val="single" w:sz="12" w:space="0" w:color="FFFFFF"/>
              <w:right w:val="single" w:sz="12" w:space="0" w:color="FFFFFF"/>
            </w:tcBorders>
            <w:vAlign w:val="center"/>
            <w:hideMark/>
          </w:tcPr>
          <w:p w14:paraId="4FCB8C66" w14:textId="77777777" w:rsidR="009F5479" w:rsidRDefault="009F5479">
            <w:pPr>
              <w:rPr>
                <w:rFonts w:ascii="Calibri" w:hAnsi="Calibri"/>
                <w:b/>
                <w:bCs/>
                <w:sz w:val="16"/>
                <w:szCs w:val="16"/>
              </w:rPr>
            </w:pPr>
          </w:p>
        </w:tc>
        <w:tc>
          <w:tcPr>
            <w:tcW w:w="1776" w:type="dxa"/>
            <w:vMerge/>
            <w:tcBorders>
              <w:top w:val="nil"/>
              <w:left w:val="single" w:sz="12" w:space="0" w:color="FFFFFF"/>
              <w:bottom w:val="single" w:sz="12" w:space="0" w:color="FFFFFF"/>
              <w:right w:val="single" w:sz="12" w:space="0" w:color="FFFFFF"/>
            </w:tcBorders>
            <w:vAlign w:val="center"/>
            <w:hideMark/>
          </w:tcPr>
          <w:p w14:paraId="4ED61273" w14:textId="77777777" w:rsidR="009F5479" w:rsidRDefault="009F5479">
            <w:pPr>
              <w:rPr>
                <w:rFonts w:ascii="Calibri" w:hAnsi="Calibri"/>
                <w:b/>
                <w:bCs/>
                <w:sz w:val="16"/>
                <w:szCs w:val="16"/>
              </w:rPr>
            </w:pPr>
          </w:p>
        </w:tc>
        <w:tc>
          <w:tcPr>
            <w:tcW w:w="2477" w:type="dxa"/>
            <w:vMerge/>
            <w:tcBorders>
              <w:top w:val="nil"/>
              <w:left w:val="single" w:sz="12" w:space="0" w:color="FFFFFF"/>
              <w:bottom w:val="single" w:sz="12" w:space="0" w:color="FFFFFF"/>
              <w:right w:val="single" w:sz="12" w:space="0" w:color="FFFFFF"/>
            </w:tcBorders>
            <w:vAlign w:val="center"/>
            <w:hideMark/>
          </w:tcPr>
          <w:p w14:paraId="058EA71D" w14:textId="77777777" w:rsidR="009F5479" w:rsidRDefault="009F5479">
            <w:pPr>
              <w:rPr>
                <w:rFonts w:ascii="Calibri" w:hAnsi="Calibri"/>
                <w:b/>
                <w:bCs/>
                <w:sz w:val="16"/>
                <w:szCs w:val="16"/>
              </w:rPr>
            </w:pPr>
          </w:p>
        </w:tc>
      </w:tr>
      <w:tr w:rsidR="009F5479" w14:paraId="1774CC30" w14:textId="77777777" w:rsidTr="009F5479">
        <w:trPr>
          <w:trHeight w:val="40"/>
        </w:trPr>
        <w:tc>
          <w:tcPr>
            <w:tcW w:w="1740" w:type="dxa"/>
            <w:vMerge/>
            <w:tcBorders>
              <w:top w:val="nil"/>
              <w:left w:val="single" w:sz="12" w:space="0" w:color="FFFFFF"/>
              <w:bottom w:val="single" w:sz="12" w:space="0" w:color="FFFFFF"/>
              <w:right w:val="single" w:sz="12" w:space="0" w:color="FFFFFF"/>
            </w:tcBorders>
            <w:vAlign w:val="center"/>
            <w:hideMark/>
          </w:tcPr>
          <w:p w14:paraId="3F0AE2FF" w14:textId="77777777" w:rsidR="009F5479" w:rsidRDefault="009F5479">
            <w:pPr>
              <w:rPr>
                <w:rFonts w:ascii="Calibri" w:hAnsi="Calibri"/>
                <w:b/>
                <w:bCs/>
                <w:sz w:val="16"/>
                <w:szCs w:val="16"/>
              </w:rPr>
            </w:pPr>
          </w:p>
        </w:tc>
        <w:tc>
          <w:tcPr>
            <w:tcW w:w="1120" w:type="dxa"/>
            <w:vMerge/>
            <w:tcBorders>
              <w:top w:val="nil"/>
              <w:left w:val="single" w:sz="12" w:space="0" w:color="FFFFFF"/>
              <w:bottom w:val="single" w:sz="12" w:space="0" w:color="FFFFFF"/>
              <w:right w:val="single" w:sz="12" w:space="0" w:color="FFFFFF"/>
            </w:tcBorders>
            <w:vAlign w:val="center"/>
            <w:hideMark/>
          </w:tcPr>
          <w:p w14:paraId="1FB31DF7" w14:textId="77777777" w:rsidR="009F5479" w:rsidRDefault="009F5479">
            <w:pPr>
              <w:rPr>
                <w:rFonts w:ascii="Calibri" w:hAnsi="Calibri"/>
                <w:b/>
                <w:bCs/>
                <w:sz w:val="16"/>
                <w:szCs w:val="16"/>
              </w:rPr>
            </w:pPr>
          </w:p>
        </w:tc>
        <w:tc>
          <w:tcPr>
            <w:tcW w:w="1280" w:type="dxa"/>
            <w:tcBorders>
              <w:top w:val="nil"/>
              <w:left w:val="single" w:sz="8" w:space="0" w:color="FFFFFF"/>
              <w:bottom w:val="single" w:sz="8" w:space="0" w:color="FFFFFF"/>
              <w:right w:val="single" w:sz="12" w:space="0" w:color="FFFFFF"/>
            </w:tcBorders>
            <w:shd w:val="clear" w:color="000000" w:fill="95B3D7"/>
            <w:vAlign w:val="center"/>
            <w:hideMark/>
          </w:tcPr>
          <w:p w14:paraId="35915197" w14:textId="77777777" w:rsidR="009F5479" w:rsidRDefault="009F5479">
            <w:pPr>
              <w:jc w:val="center"/>
              <w:rPr>
                <w:rFonts w:ascii="Calibri" w:hAnsi="Calibri"/>
                <w:b/>
                <w:bCs/>
                <w:sz w:val="16"/>
                <w:szCs w:val="16"/>
              </w:rPr>
            </w:pPr>
            <w:r>
              <w:rPr>
                <w:rFonts w:ascii="Calibri" w:hAnsi="Calibri"/>
                <w:b/>
                <w:bCs/>
                <w:sz w:val="16"/>
                <w:szCs w:val="16"/>
              </w:rPr>
              <w:t>ANUAL</w:t>
            </w:r>
          </w:p>
        </w:tc>
        <w:tc>
          <w:tcPr>
            <w:tcW w:w="1200" w:type="dxa"/>
            <w:tcBorders>
              <w:top w:val="nil"/>
              <w:left w:val="nil"/>
              <w:bottom w:val="single" w:sz="8" w:space="0" w:color="FFFFFF"/>
              <w:right w:val="nil"/>
            </w:tcBorders>
            <w:shd w:val="clear" w:color="000000" w:fill="95B3D7"/>
            <w:vAlign w:val="center"/>
            <w:hideMark/>
          </w:tcPr>
          <w:p w14:paraId="22F3E4ED" w14:textId="77777777" w:rsidR="009F5479" w:rsidRDefault="009F5479">
            <w:pPr>
              <w:jc w:val="center"/>
              <w:rPr>
                <w:rFonts w:ascii="Calibri" w:hAnsi="Calibri"/>
                <w:b/>
                <w:bCs/>
                <w:sz w:val="16"/>
                <w:szCs w:val="16"/>
              </w:rPr>
            </w:pPr>
            <w:r>
              <w:rPr>
                <w:rFonts w:ascii="Calibri" w:hAnsi="Calibri"/>
                <w:b/>
                <w:bCs/>
                <w:sz w:val="16"/>
                <w:szCs w:val="16"/>
              </w:rPr>
              <w:t>t+1</w:t>
            </w:r>
          </w:p>
        </w:tc>
        <w:tc>
          <w:tcPr>
            <w:tcW w:w="1140" w:type="dxa"/>
            <w:tcBorders>
              <w:top w:val="nil"/>
              <w:left w:val="single" w:sz="12" w:space="0" w:color="FFFFFF"/>
              <w:bottom w:val="single" w:sz="8" w:space="0" w:color="FFFFFF"/>
              <w:right w:val="nil"/>
            </w:tcBorders>
            <w:shd w:val="clear" w:color="000000" w:fill="95B3D7"/>
            <w:vAlign w:val="center"/>
            <w:hideMark/>
          </w:tcPr>
          <w:p w14:paraId="01A20E20" w14:textId="77777777" w:rsidR="009F5479" w:rsidRDefault="009F5479">
            <w:pPr>
              <w:jc w:val="center"/>
              <w:rPr>
                <w:rFonts w:ascii="Calibri" w:hAnsi="Calibri"/>
                <w:b/>
                <w:bCs/>
                <w:sz w:val="16"/>
                <w:szCs w:val="16"/>
              </w:rPr>
            </w:pPr>
            <w:r>
              <w:rPr>
                <w:rFonts w:ascii="Calibri" w:hAnsi="Calibri"/>
                <w:b/>
                <w:bCs/>
                <w:sz w:val="16"/>
                <w:szCs w:val="16"/>
              </w:rPr>
              <w:t>t+2</w:t>
            </w:r>
          </w:p>
        </w:tc>
        <w:tc>
          <w:tcPr>
            <w:tcW w:w="1040" w:type="dxa"/>
            <w:tcBorders>
              <w:top w:val="nil"/>
              <w:left w:val="single" w:sz="12" w:space="0" w:color="FFFFFF"/>
              <w:bottom w:val="single" w:sz="12" w:space="0" w:color="FFFFFF"/>
              <w:right w:val="single" w:sz="12" w:space="0" w:color="FFFFFF"/>
            </w:tcBorders>
            <w:shd w:val="clear" w:color="000000" w:fill="95B3D7"/>
            <w:vAlign w:val="center"/>
            <w:hideMark/>
          </w:tcPr>
          <w:p w14:paraId="410493AD" w14:textId="77777777" w:rsidR="009F5479" w:rsidRDefault="009F5479">
            <w:pPr>
              <w:jc w:val="center"/>
              <w:rPr>
                <w:rFonts w:ascii="Calibri" w:hAnsi="Calibri"/>
                <w:b/>
                <w:bCs/>
                <w:sz w:val="16"/>
                <w:szCs w:val="16"/>
              </w:rPr>
            </w:pPr>
            <w:r>
              <w:rPr>
                <w:rFonts w:ascii="Calibri" w:hAnsi="Calibri"/>
                <w:b/>
                <w:bCs/>
                <w:sz w:val="16"/>
                <w:szCs w:val="16"/>
              </w:rPr>
              <w:t>t+3</w:t>
            </w:r>
          </w:p>
        </w:tc>
        <w:tc>
          <w:tcPr>
            <w:tcW w:w="985" w:type="dxa"/>
            <w:vMerge/>
            <w:tcBorders>
              <w:top w:val="nil"/>
              <w:left w:val="single" w:sz="12" w:space="0" w:color="FFFFFF"/>
              <w:bottom w:val="single" w:sz="12" w:space="0" w:color="FFFFFF"/>
              <w:right w:val="single" w:sz="12" w:space="0" w:color="FFFFFF"/>
            </w:tcBorders>
            <w:vAlign w:val="center"/>
            <w:hideMark/>
          </w:tcPr>
          <w:p w14:paraId="67A23A93" w14:textId="77777777" w:rsidR="009F5479" w:rsidRDefault="009F5479">
            <w:pPr>
              <w:rPr>
                <w:rFonts w:ascii="Calibri" w:hAnsi="Calibri"/>
                <w:b/>
                <w:bCs/>
                <w:sz w:val="16"/>
                <w:szCs w:val="16"/>
              </w:rPr>
            </w:pPr>
          </w:p>
        </w:tc>
        <w:tc>
          <w:tcPr>
            <w:tcW w:w="1776" w:type="dxa"/>
            <w:vMerge/>
            <w:tcBorders>
              <w:top w:val="nil"/>
              <w:left w:val="single" w:sz="12" w:space="0" w:color="FFFFFF"/>
              <w:bottom w:val="single" w:sz="12" w:space="0" w:color="FFFFFF"/>
              <w:right w:val="single" w:sz="12" w:space="0" w:color="FFFFFF"/>
            </w:tcBorders>
            <w:vAlign w:val="center"/>
            <w:hideMark/>
          </w:tcPr>
          <w:p w14:paraId="55ADFFD4" w14:textId="77777777" w:rsidR="009F5479" w:rsidRDefault="009F5479">
            <w:pPr>
              <w:rPr>
                <w:rFonts w:ascii="Calibri" w:hAnsi="Calibri"/>
                <w:b/>
                <w:bCs/>
                <w:sz w:val="16"/>
                <w:szCs w:val="16"/>
              </w:rPr>
            </w:pPr>
          </w:p>
        </w:tc>
        <w:tc>
          <w:tcPr>
            <w:tcW w:w="2477" w:type="dxa"/>
            <w:vMerge/>
            <w:tcBorders>
              <w:top w:val="nil"/>
              <w:left w:val="single" w:sz="12" w:space="0" w:color="FFFFFF"/>
              <w:bottom w:val="single" w:sz="12" w:space="0" w:color="FFFFFF"/>
              <w:right w:val="single" w:sz="12" w:space="0" w:color="FFFFFF"/>
            </w:tcBorders>
            <w:vAlign w:val="center"/>
            <w:hideMark/>
          </w:tcPr>
          <w:p w14:paraId="0F3C4D79" w14:textId="77777777" w:rsidR="009F5479" w:rsidRDefault="009F5479">
            <w:pPr>
              <w:rPr>
                <w:rFonts w:ascii="Calibri" w:hAnsi="Calibri"/>
                <w:b/>
                <w:bCs/>
                <w:sz w:val="16"/>
                <w:szCs w:val="16"/>
              </w:rPr>
            </w:pPr>
          </w:p>
        </w:tc>
      </w:tr>
      <w:tr w:rsidR="009F5479" w14:paraId="6C54D862" w14:textId="77777777" w:rsidTr="009F5479">
        <w:trPr>
          <w:trHeight w:val="308"/>
        </w:trPr>
        <w:tc>
          <w:tcPr>
            <w:tcW w:w="1740" w:type="dxa"/>
            <w:tcBorders>
              <w:top w:val="nil"/>
              <w:left w:val="single" w:sz="12" w:space="0" w:color="FFFFFF"/>
              <w:bottom w:val="nil"/>
              <w:right w:val="single" w:sz="12" w:space="0" w:color="FFFFFF"/>
            </w:tcBorders>
            <w:shd w:val="clear" w:color="000000" w:fill="D9D9D9"/>
            <w:vAlign w:val="center"/>
            <w:hideMark/>
          </w:tcPr>
          <w:p w14:paraId="76CA0DDF" w14:textId="77777777" w:rsidR="009F5479" w:rsidRDefault="009F5479">
            <w:pPr>
              <w:jc w:val="center"/>
              <w:rPr>
                <w:rFonts w:ascii="Calibri" w:hAnsi="Calibri"/>
                <w:sz w:val="16"/>
                <w:szCs w:val="16"/>
              </w:rPr>
            </w:pPr>
            <w:r>
              <w:rPr>
                <w:rFonts w:ascii="Calibri" w:hAnsi="Calibri"/>
                <w:sz w:val="16"/>
                <w:szCs w:val="16"/>
              </w:rPr>
              <w:t>Implementación SBR</w:t>
            </w:r>
          </w:p>
        </w:tc>
        <w:tc>
          <w:tcPr>
            <w:tcW w:w="1120" w:type="dxa"/>
            <w:tcBorders>
              <w:top w:val="nil"/>
              <w:left w:val="nil"/>
              <w:bottom w:val="nil"/>
              <w:right w:val="single" w:sz="12" w:space="0" w:color="FFFFFF"/>
            </w:tcBorders>
            <w:shd w:val="clear" w:color="000000" w:fill="D9D9D9"/>
            <w:vAlign w:val="center"/>
            <w:hideMark/>
          </w:tcPr>
          <w:p w14:paraId="40832C4E" w14:textId="77777777" w:rsidR="009F5479" w:rsidRDefault="009F5479">
            <w:pPr>
              <w:jc w:val="center"/>
              <w:rPr>
                <w:rFonts w:ascii="Calibri" w:hAnsi="Calibri"/>
                <w:sz w:val="16"/>
                <w:szCs w:val="16"/>
              </w:rPr>
            </w:pPr>
            <w:r>
              <w:rPr>
                <w:rFonts w:ascii="Calibri" w:hAnsi="Calibri"/>
                <w:sz w:val="16"/>
                <w:szCs w:val="16"/>
              </w:rPr>
              <w:t>0%</w:t>
            </w:r>
          </w:p>
        </w:tc>
        <w:tc>
          <w:tcPr>
            <w:tcW w:w="1280" w:type="dxa"/>
            <w:tcBorders>
              <w:top w:val="single" w:sz="12" w:space="0" w:color="FFFFFF"/>
              <w:left w:val="nil"/>
              <w:bottom w:val="nil"/>
              <w:right w:val="single" w:sz="12" w:space="0" w:color="FFFFFF"/>
            </w:tcBorders>
            <w:shd w:val="clear" w:color="000000" w:fill="D9D9D9"/>
            <w:vAlign w:val="center"/>
            <w:hideMark/>
          </w:tcPr>
          <w:p w14:paraId="034795C4" w14:textId="77777777" w:rsidR="009F5479" w:rsidRDefault="009F5479">
            <w:pPr>
              <w:jc w:val="center"/>
              <w:rPr>
                <w:rFonts w:ascii="Calibri" w:hAnsi="Calibri"/>
                <w:sz w:val="16"/>
                <w:szCs w:val="16"/>
              </w:rPr>
            </w:pPr>
            <w:r>
              <w:rPr>
                <w:rFonts w:ascii="Calibri" w:hAnsi="Calibri"/>
                <w:sz w:val="16"/>
                <w:szCs w:val="16"/>
              </w:rPr>
              <w:t>25%</w:t>
            </w:r>
          </w:p>
        </w:tc>
        <w:tc>
          <w:tcPr>
            <w:tcW w:w="1200" w:type="dxa"/>
            <w:tcBorders>
              <w:top w:val="single" w:sz="12" w:space="0" w:color="FFFFFF"/>
              <w:left w:val="nil"/>
              <w:bottom w:val="nil"/>
              <w:right w:val="single" w:sz="12" w:space="0" w:color="FFFFFF"/>
            </w:tcBorders>
            <w:shd w:val="clear" w:color="000000" w:fill="D9D9D9"/>
            <w:vAlign w:val="center"/>
            <w:hideMark/>
          </w:tcPr>
          <w:p w14:paraId="6C49231E" w14:textId="77777777" w:rsidR="009F5479" w:rsidRDefault="009F5479">
            <w:pPr>
              <w:jc w:val="center"/>
              <w:rPr>
                <w:rFonts w:ascii="Calibri" w:hAnsi="Calibri"/>
                <w:sz w:val="16"/>
                <w:szCs w:val="16"/>
              </w:rPr>
            </w:pPr>
            <w:r>
              <w:rPr>
                <w:rFonts w:ascii="Calibri" w:hAnsi="Calibri"/>
                <w:sz w:val="16"/>
                <w:szCs w:val="16"/>
              </w:rPr>
              <w:t>50%</w:t>
            </w:r>
          </w:p>
        </w:tc>
        <w:tc>
          <w:tcPr>
            <w:tcW w:w="1140" w:type="dxa"/>
            <w:tcBorders>
              <w:top w:val="single" w:sz="12" w:space="0" w:color="FFFFFF"/>
              <w:left w:val="nil"/>
              <w:bottom w:val="nil"/>
              <w:right w:val="single" w:sz="12" w:space="0" w:color="FFFFFF"/>
            </w:tcBorders>
            <w:shd w:val="clear" w:color="000000" w:fill="D9D9D9"/>
            <w:vAlign w:val="center"/>
            <w:hideMark/>
          </w:tcPr>
          <w:p w14:paraId="4CD52877" w14:textId="77777777" w:rsidR="009F5479" w:rsidRDefault="009F5479">
            <w:pPr>
              <w:jc w:val="center"/>
              <w:rPr>
                <w:rFonts w:ascii="Calibri" w:hAnsi="Calibri"/>
                <w:sz w:val="16"/>
                <w:szCs w:val="16"/>
              </w:rPr>
            </w:pPr>
            <w:r>
              <w:rPr>
                <w:rFonts w:ascii="Calibri" w:hAnsi="Calibri"/>
                <w:sz w:val="16"/>
                <w:szCs w:val="16"/>
              </w:rPr>
              <w:t>100%</w:t>
            </w:r>
          </w:p>
        </w:tc>
        <w:tc>
          <w:tcPr>
            <w:tcW w:w="1040" w:type="dxa"/>
            <w:tcBorders>
              <w:top w:val="nil"/>
              <w:left w:val="nil"/>
              <w:bottom w:val="nil"/>
              <w:right w:val="single" w:sz="12" w:space="0" w:color="FFFFFF"/>
            </w:tcBorders>
            <w:shd w:val="clear" w:color="000000" w:fill="D9D9D9"/>
            <w:vAlign w:val="center"/>
            <w:hideMark/>
          </w:tcPr>
          <w:p w14:paraId="287E43A9"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nil"/>
              <w:left w:val="nil"/>
              <w:bottom w:val="nil"/>
              <w:right w:val="single" w:sz="12" w:space="0" w:color="FFFFFF"/>
            </w:tcBorders>
            <w:shd w:val="clear" w:color="000000" w:fill="D9D9D9"/>
            <w:vAlign w:val="center"/>
            <w:hideMark/>
          </w:tcPr>
          <w:p w14:paraId="0EF6697D" w14:textId="77777777" w:rsidR="009F5479" w:rsidRDefault="009F5479">
            <w:pPr>
              <w:jc w:val="center"/>
              <w:rPr>
                <w:rFonts w:ascii="Calibri" w:hAnsi="Calibri"/>
                <w:sz w:val="16"/>
                <w:szCs w:val="16"/>
              </w:rPr>
            </w:pPr>
            <w:r>
              <w:rPr>
                <w:rFonts w:ascii="Calibri" w:hAnsi="Calibri"/>
                <w:sz w:val="16"/>
                <w:szCs w:val="16"/>
              </w:rPr>
              <w:t>₡770.4</w:t>
            </w:r>
          </w:p>
        </w:tc>
        <w:tc>
          <w:tcPr>
            <w:tcW w:w="1776" w:type="dxa"/>
            <w:tcBorders>
              <w:top w:val="nil"/>
              <w:left w:val="nil"/>
              <w:bottom w:val="nil"/>
              <w:right w:val="single" w:sz="12" w:space="0" w:color="FFFFFF"/>
            </w:tcBorders>
            <w:shd w:val="clear" w:color="000000" w:fill="D9D9D9"/>
            <w:vAlign w:val="center"/>
            <w:hideMark/>
          </w:tcPr>
          <w:p w14:paraId="1E3991A4"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nil"/>
              <w:left w:val="nil"/>
              <w:bottom w:val="nil"/>
              <w:right w:val="nil"/>
            </w:tcBorders>
            <w:shd w:val="clear" w:color="000000" w:fill="D9D9D9"/>
            <w:vAlign w:val="center"/>
            <w:hideMark/>
          </w:tcPr>
          <w:p w14:paraId="21950105" w14:textId="77777777" w:rsidR="009F5479" w:rsidRDefault="009F5479">
            <w:pPr>
              <w:jc w:val="center"/>
              <w:rPr>
                <w:rFonts w:ascii="Calibri" w:hAnsi="Calibri"/>
                <w:sz w:val="16"/>
                <w:szCs w:val="16"/>
              </w:rPr>
            </w:pPr>
            <w:r>
              <w:rPr>
                <w:rFonts w:ascii="Calibri" w:hAnsi="Calibri"/>
                <w:sz w:val="16"/>
                <w:szCs w:val="16"/>
              </w:rPr>
              <w:t> </w:t>
            </w:r>
          </w:p>
        </w:tc>
      </w:tr>
      <w:tr w:rsidR="009F5479" w14:paraId="510F42DB" w14:textId="77777777" w:rsidTr="009F5479">
        <w:trPr>
          <w:trHeight w:val="399"/>
        </w:trPr>
        <w:tc>
          <w:tcPr>
            <w:tcW w:w="1740" w:type="dxa"/>
            <w:tcBorders>
              <w:top w:val="single" w:sz="12" w:space="0" w:color="FFFFFF"/>
              <w:left w:val="single" w:sz="12" w:space="0" w:color="FFFFFF"/>
              <w:bottom w:val="nil"/>
              <w:right w:val="single" w:sz="12" w:space="0" w:color="FFFFFF"/>
            </w:tcBorders>
            <w:shd w:val="clear" w:color="000000" w:fill="D9D9D9"/>
            <w:vAlign w:val="center"/>
            <w:hideMark/>
          </w:tcPr>
          <w:p w14:paraId="0DFE10F4" w14:textId="77777777" w:rsidR="009F5479" w:rsidRDefault="009F5479">
            <w:pPr>
              <w:jc w:val="center"/>
              <w:rPr>
                <w:rFonts w:ascii="Calibri" w:hAnsi="Calibri"/>
                <w:sz w:val="16"/>
                <w:szCs w:val="16"/>
              </w:rPr>
            </w:pPr>
            <w:r>
              <w:rPr>
                <w:rFonts w:ascii="Calibri" w:hAnsi="Calibri"/>
                <w:sz w:val="16"/>
                <w:szCs w:val="16"/>
              </w:rPr>
              <w:t>Cronograma</w:t>
            </w:r>
          </w:p>
        </w:tc>
        <w:tc>
          <w:tcPr>
            <w:tcW w:w="1120" w:type="dxa"/>
            <w:tcBorders>
              <w:top w:val="single" w:sz="12" w:space="0" w:color="FFFFFF"/>
              <w:left w:val="nil"/>
              <w:bottom w:val="nil"/>
              <w:right w:val="single" w:sz="12" w:space="0" w:color="FFFFFF"/>
            </w:tcBorders>
            <w:shd w:val="clear" w:color="000000" w:fill="D9D9D9"/>
            <w:vAlign w:val="center"/>
            <w:hideMark/>
          </w:tcPr>
          <w:p w14:paraId="66DD231A" w14:textId="77777777" w:rsidR="009F5479" w:rsidRDefault="009F5479">
            <w:pPr>
              <w:jc w:val="center"/>
              <w:rPr>
                <w:rFonts w:ascii="Calibri" w:hAnsi="Calibri"/>
                <w:sz w:val="16"/>
                <w:szCs w:val="16"/>
              </w:rPr>
            </w:pPr>
            <w:r>
              <w:rPr>
                <w:rFonts w:ascii="Calibri" w:hAnsi="Calibri"/>
                <w:sz w:val="16"/>
                <w:szCs w:val="16"/>
              </w:rPr>
              <w:t>40%</w:t>
            </w:r>
          </w:p>
        </w:tc>
        <w:tc>
          <w:tcPr>
            <w:tcW w:w="1280" w:type="dxa"/>
            <w:tcBorders>
              <w:top w:val="single" w:sz="12" w:space="0" w:color="FFFFFF"/>
              <w:left w:val="nil"/>
              <w:bottom w:val="nil"/>
              <w:right w:val="single" w:sz="12" w:space="0" w:color="FFFFFF"/>
            </w:tcBorders>
            <w:shd w:val="clear" w:color="000000" w:fill="D9D9D9"/>
            <w:vAlign w:val="center"/>
            <w:hideMark/>
          </w:tcPr>
          <w:p w14:paraId="4C987AB4" w14:textId="77777777" w:rsidR="009F5479" w:rsidRDefault="009F5479">
            <w:pPr>
              <w:jc w:val="center"/>
              <w:rPr>
                <w:rFonts w:ascii="Calibri" w:hAnsi="Calibri"/>
                <w:sz w:val="16"/>
                <w:szCs w:val="16"/>
              </w:rPr>
            </w:pPr>
            <w:r>
              <w:rPr>
                <w:rFonts w:ascii="Calibri" w:hAnsi="Calibri"/>
                <w:sz w:val="16"/>
                <w:szCs w:val="16"/>
              </w:rPr>
              <w:t>80%</w:t>
            </w:r>
          </w:p>
        </w:tc>
        <w:tc>
          <w:tcPr>
            <w:tcW w:w="1200" w:type="dxa"/>
            <w:tcBorders>
              <w:top w:val="single" w:sz="12" w:space="0" w:color="FFFFFF"/>
              <w:left w:val="nil"/>
              <w:bottom w:val="nil"/>
              <w:right w:val="single" w:sz="12" w:space="0" w:color="FFFFFF"/>
            </w:tcBorders>
            <w:shd w:val="clear" w:color="000000" w:fill="D9D9D9"/>
            <w:vAlign w:val="center"/>
            <w:hideMark/>
          </w:tcPr>
          <w:p w14:paraId="10A83890" w14:textId="77777777" w:rsidR="009F5479" w:rsidRDefault="009F5479">
            <w:pPr>
              <w:jc w:val="center"/>
              <w:rPr>
                <w:rFonts w:ascii="Calibri" w:hAnsi="Calibri"/>
                <w:sz w:val="16"/>
                <w:szCs w:val="16"/>
              </w:rPr>
            </w:pPr>
            <w:r>
              <w:rPr>
                <w:rFonts w:ascii="Calibri" w:hAnsi="Calibri"/>
                <w:sz w:val="16"/>
                <w:szCs w:val="16"/>
              </w:rPr>
              <w:t>100%</w:t>
            </w:r>
          </w:p>
        </w:tc>
        <w:tc>
          <w:tcPr>
            <w:tcW w:w="1140" w:type="dxa"/>
            <w:tcBorders>
              <w:top w:val="single" w:sz="12" w:space="0" w:color="FFFFFF"/>
              <w:left w:val="nil"/>
              <w:bottom w:val="nil"/>
              <w:right w:val="single" w:sz="12" w:space="0" w:color="FFFFFF"/>
            </w:tcBorders>
            <w:shd w:val="clear" w:color="000000" w:fill="D9D9D9"/>
            <w:vAlign w:val="center"/>
            <w:hideMark/>
          </w:tcPr>
          <w:p w14:paraId="208EB8BE" w14:textId="77777777" w:rsidR="009F5479" w:rsidRDefault="009F5479">
            <w:pPr>
              <w:jc w:val="center"/>
              <w:rPr>
                <w:rFonts w:ascii="Calibri" w:hAnsi="Calibri"/>
                <w:sz w:val="16"/>
                <w:szCs w:val="16"/>
              </w:rPr>
            </w:pPr>
            <w:r>
              <w:rPr>
                <w:rFonts w:ascii="Calibri" w:hAnsi="Calibri"/>
                <w:sz w:val="16"/>
                <w:szCs w:val="16"/>
              </w:rPr>
              <w:t>N.D</w:t>
            </w:r>
          </w:p>
        </w:tc>
        <w:tc>
          <w:tcPr>
            <w:tcW w:w="1040" w:type="dxa"/>
            <w:tcBorders>
              <w:top w:val="single" w:sz="12" w:space="0" w:color="FFFFFF"/>
              <w:left w:val="nil"/>
              <w:bottom w:val="nil"/>
              <w:right w:val="single" w:sz="12" w:space="0" w:color="FFFFFF"/>
            </w:tcBorders>
            <w:shd w:val="clear" w:color="000000" w:fill="D9D9D9"/>
            <w:vAlign w:val="center"/>
            <w:hideMark/>
          </w:tcPr>
          <w:p w14:paraId="1E520EFE"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single" w:sz="12" w:space="0" w:color="FFFFFF"/>
              <w:left w:val="nil"/>
              <w:bottom w:val="nil"/>
              <w:right w:val="single" w:sz="12" w:space="0" w:color="FFFFFF"/>
            </w:tcBorders>
            <w:shd w:val="clear" w:color="000000" w:fill="D9D9D9"/>
            <w:vAlign w:val="center"/>
            <w:hideMark/>
          </w:tcPr>
          <w:p w14:paraId="4D15E211" w14:textId="77777777" w:rsidR="009F5479" w:rsidRDefault="009F5479">
            <w:pPr>
              <w:jc w:val="center"/>
              <w:rPr>
                <w:rFonts w:ascii="Calibri" w:hAnsi="Calibri"/>
                <w:sz w:val="16"/>
                <w:szCs w:val="16"/>
              </w:rPr>
            </w:pPr>
            <w:r>
              <w:rPr>
                <w:rFonts w:ascii="Calibri" w:hAnsi="Calibri"/>
                <w:sz w:val="16"/>
                <w:szCs w:val="16"/>
              </w:rPr>
              <w:t>₡67.1</w:t>
            </w:r>
          </w:p>
        </w:tc>
        <w:tc>
          <w:tcPr>
            <w:tcW w:w="1776" w:type="dxa"/>
            <w:tcBorders>
              <w:top w:val="single" w:sz="12" w:space="0" w:color="FFFFFF"/>
              <w:left w:val="nil"/>
              <w:bottom w:val="nil"/>
              <w:right w:val="single" w:sz="12" w:space="0" w:color="FFFFFF"/>
            </w:tcBorders>
            <w:shd w:val="clear" w:color="000000" w:fill="D9D9D9"/>
            <w:vAlign w:val="center"/>
            <w:hideMark/>
          </w:tcPr>
          <w:p w14:paraId="5B8E7E11"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single" w:sz="12" w:space="0" w:color="FFFFFF"/>
              <w:left w:val="nil"/>
              <w:bottom w:val="nil"/>
              <w:right w:val="nil"/>
            </w:tcBorders>
            <w:shd w:val="clear" w:color="000000" w:fill="D9D9D9"/>
            <w:vAlign w:val="center"/>
            <w:hideMark/>
          </w:tcPr>
          <w:p w14:paraId="04872E7E" w14:textId="77777777" w:rsidR="009F5479" w:rsidRDefault="009F5479">
            <w:pPr>
              <w:jc w:val="center"/>
              <w:rPr>
                <w:rFonts w:ascii="Calibri" w:hAnsi="Calibri"/>
                <w:sz w:val="16"/>
                <w:szCs w:val="16"/>
              </w:rPr>
            </w:pPr>
            <w:r>
              <w:rPr>
                <w:rFonts w:ascii="Calibri" w:hAnsi="Calibri"/>
                <w:sz w:val="16"/>
                <w:szCs w:val="16"/>
              </w:rPr>
              <w:t> </w:t>
            </w:r>
          </w:p>
        </w:tc>
      </w:tr>
      <w:tr w:rsidR="009F5479" w14:paraId="30463A4E" w14:textId="77777777" w:rsidTr="009F5479">
        <w:trPr>
          <w:trHeight w:val="391"/>
        </w:trPr>
        <w:tc>
          <w:tcPr>
            <w:tcW w:w="1740" w:type="dxa"/>
            <w:tcBorders>
              <w:top w:val="single" w:sz="12" w:space="0" w:color="FFFFFF"/>
              <w:left w:val="single" w:sz="12" w:space="0" w:color="FFFFFF"/>
              <w:bottom w:val="nil"/>
              <w:right w:val="single" w:sz="12" w:space="0" w:color="FFFFFF"/>
            </w:tcBorders>
            <w:shd w:val="clear" w:color="000000" w:fill="D9D9D9"/>
            <w:vAlign w:val="center"/>
            <w:hideMark/>
          </w:tcPr>
          <w:p w14:paraId="5184B668" w14:textId="77777777" w:rsidR="009F5479" w:rsidRDefault="009F5479">
            <w:pPr>
              <w:jc w:val="center"/>
              <w:rPr>
                <w:rFonts w:ascii="Calibri" w:hAnsi="Calibri"/>
                <w:color w:val="000000"/>
                <w:sz w:val="16"/>
                <w:szCs w:val="16"/>
              </w:rPr>
            </w:pPr>
            <w:r>
              <w:rPr>
                <w:rFonts w:ascii="Calibri" w:hAnsi="Calibri"/>
                <w:color w:val="000000"/>
                <w:sz w:val="16"/>
                <w:szCs w:val="16"/>
              </w:rPr>
              <w:t>Cronograma</w:t>
            </w:r>
          </w:p>
        </w:tc>
        <w:tc>
          <w:tcPr>
            <w:tcW w:w="1120" w:type="dxa"/>
            <w:tcBorders>
              <w:top w:val="single" w:sz="12" w:space="0" w:color="FFFFFF"/>
              <w:left w:val="nil"/>
              <w:bottom w:val="nil"/>
              <w:right w:val="single" w:sz="12" w:space="0" w:color="FFFFFF"/>
            </w:tcBorders>
            <w:shd w:val="clear" w:color="000000" w:fill="D9D9D9"/>
            <w:vAlign w:val="center"/>
            <w:hideMark/>
          </w:tcPr>
          <w:p w14:paraId="6B568E5E" w14:textId="77777777" w:rsidR="009F5479" w:rsidRDefault="009F5479">
            <w:pPr>
              <w:jc w:val="center"/>
              <w:rPr>
                <w:rFonts w:ascii="Calibri" w:hAnsi="Calibri"/>
                <w:sz w:val="16"/>
                <w:szCs w:val="16"/>
              </w:rPr>
            </w:pPr>
            <w:r>
              <w:rPr>
                <w:rFonts w:ascii="Calibri" w:hAnsi="Calibri"/>
                <w:sz w:val="16"/>
                <w:szCs w:val="16"/>
              </w:rPr>
              <w:t>40%</w:t>
            </w:r>
          </w:p>
        </w:tc>
        <w:tc>
          <w:tcPr>
            <w:tcW w:w="1280" w:type="dxa"/>
            <w:tcBorders>
              <w:top w:val="single" w:sz="12" w:space="0" w:color="FFFFFF"/>
              <w:left w:val="nil"/>
              <w:bottom w:val="nil"/>
              <w:right w:val="single" w:sz="12" w:space="0" w:color="FFFFFF"/>
            </w:tcBorders>
            <w:shd w:val="clear" w:color="000000" w:fill="D9D9D9"/>
            <w:vAlign w:val="center"/>
            <w:hideMark/>
          </w:tcPr>
          <w:p w14:paraId="72A09D23" w14:textId="77777777" w:rsidR="009F5479" w:rsidRDefault="009F5479">
            <w:pPr>
              <w:jc w:val="center"/>
              <w:rPr>
                <w:rFonts w:ascii="Calibri" w:hAnsi="Calibri"/>
                <w:sz w:val="16"/>
                <w:szCs w:val="16"/>
              </w:rPr>
            </w:pPr>
            <w:r>
              <w:rPr>
                <w:rFonts w:ascii="Calibri" w:hAnsi="Calibri"/>
                <w:sz w:val="16"/>
                <w:szCs w:val="16"/>
              </w:rPr>
              <w:t>80%</w:t>
            </w:r>
          </w:p>
        </w:tc>
        <w:tc>
          <w:tcPr>
            <w:tcW w:w="1200" w:type="dxa"/>
            <w:tcBorders>
              <w:top w:val="single" w:sz="12" w:space="0" w:color="FFFFFF"/>
              <w:left w:val="nil"/>
              <w:bottom w:val="nil"/>
              <w:right w:val="single" w:sz="12" w:space="0" w:color="FFFFFF"/>
            </w:tcBorders>
            <w:shd w:val="clear" w:color="000000" w:fill="D9D9D9"/>
            <w:vAlign w:val="center"/>
            <w:hideMark/>
          </w:tcPr>
          <w:p w14:paraId="16B944A0" w14:textId="77777777" w:rsidR="009F5479" w:rsidRDefault="009F5479">
            <w:pPr>
              <w:jc w:val="center"/>
              <w:rPr>
                <w:rFonts w:ascii="Calibri" w:hAnsi="Calibri"/>
                <w:sz w:val="16"/>
                <w:szCs w:val="16"/>
              </w:rPr>
            </w:pPr>
            <w:r>
              <w:rPr>
                <w:rFonts w:ascii="Calibri" w:hAnsi="Calibri"/>
                <w:sz w:val="16"/>
                <w:szCs w:val="16"/>
              </w:rPr>
              <w:t>100%</w:t>
            </w:r>
          </w:p>
        </w:tc>
        <w:tc>
          <w:tcPr>
            <w:tcW w:w="1140" w:type="dxa"/>
            <w:tcBorders>
              <w:top w:val="single" w:sz="12" w:space="0" w:color="FFFFFF"/>
              <w:left w:val="nil"/>
              <w:bottom w:val="nil"/>
              <w:right w:val="single" w:sz="12" w:space="0" w:color="FFFFFF"/>
            </w:tcBorders>
            <w:shd w:val="clear" w:color="000000" w:fill="D9D9D9"/>
            <w:vAlign w:val="center"/>
            <w:hideMark/>
          </w:tcPr>
          <w:p w14:paraId="5C8A59CF" w14:textId="77777777" w:rsidR="009F5479" w:rsidRDefault="009F5479">
            <w:pPr>
              <w:jc w:val="center"/>
              <w:rPr>
                <w:rFonts w:ascii="Calibri" w:hAnsi="Calibri"/>
                <w:sz w:val="16"/>
                <w:szCs w:val="16"/>
              </w:rPr>
            </w:pPr>
            <w:r>
              <w:rPr>
                <w:rFonts w:ascii="Calibri" w:hAnsi="Calibri"/>
                <w:sz w:val="16"/>
                <w:szCs w:val="16"/>
              </w:rPr>
              <w:t>N.D</w:t>
            </w:r>
          </w:p>
        </w:tc>
        <w:tc>
          <w:tcPr>
            <w:tcW w:w="1040" w:type="dxa"/>
            <w:tcBorders>
              <w:top w:val="single" w:sz="12" w:space="0" w:color="FFFFFF"/>
              <w:left w:val="nil"/>
              <w:bottom w:val="nil"/>
              <w:right w:val="single" w:sz="12" w:space="0" w:color="FFFFFF"/>
            </w:tcBorders>
            <w:shd w:val="clear" w:color="000000" w:fill="D9D9D9"/>
            <w:vAlign w:val="center"/>
            <w:hideMark/>
          </w:tcPr>
          <w:p w14:paraId="42A43011"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single" w:sz="12" w:space="0" w:color="FFFFFF"/>
              <w:left w:val="nil"/>
              <w:bottom w:val="nil"/>
              <w:right w:val="single" w:sz="12" w:space="0" w:color="FFFFFF"/>
            </w:tcBorders>
            <w:shd w:val="clear" w:color="000000" w:fill="D9D9D9"/>
            <w:vAlign w:val="center"/>
            <w:hideMark/>
          </w:tcPr>
          <w:p w14:paraId="2FD4DC29" w14:textId="77777777" w:rsidR="009F5479" w:rsidRDefault="009F5479">
            <w:pPr>
              <w:jc w:val="center"/>
              <w:rPr>
                <w:rFonts w:ascii="Calibri" w:hAnsi="Calibri"/>
                <w:sz w:val="16"/>
                <w:szCs w:val="16"/>
              </w:rPr>
            </w:pPr>
            <w:r>
              <w:rPr>
                <w:rFonts w:ascii="Calibri" w:hAnsi="Calibri"/>
                <w:sz w:val="16"/>
                <w:szCs w:val="16"/>
              </w:rPr>
              <w:t>₡69.3</w:t>
            </w:r>
          </w:p>
        </w:tc>
        <w:tc>
          <w:tcPr>
            <w:tcW w:w="1776" w:type="dxa"/>
            <w:tcBorders>
              <w:top w:val="single" w:sz="12" w:space="0" w:color="FFFFFF"/>
              <w:left w:val="nil"/>
              <w:bottom w:val="nil"/>
              <w:right w:val="single" w:sz="12" w:space="0" w:color="FFFFFF"/>
            </w:tcBorders>
            <w:shd w:val="clear" w:color="000000" w:fill="D9D9D9"/>
            <w:vAlign w:val="center"/>
            <w:hideMark/>
          </w:tcPr>
          <w:p w14:paraId="140EDE86"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single" w:sz="12" w:space="0" w:color="FFFFFF"/>
              <w:left w:val="nil"/>
              <w:bottom w:val="nil"/>
              <w:right w:val="single" w:sz="12" w:space="0" w:color="FFFFFF"/>
            </w:tcBorders>
            <w:shd w:val="clear" w:color="000000" w:fill="D9D9D9"/>
            <w:vAlign w:val="center"/>
            <w:hideMark/>
          </w:tcPr>
          <w:p w14:paraId="197B750D"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7655BA14" w14:textId="77777777" w:rsidTr="009F5479">
        <w:trPr>
          <w:trHeight w:val="269"/>
        </w:trPr>
        <w:tc>
          <w:tcPr>
            <w:tcW w:w="1740" w:type="dxa"/>
            <w:tcBorders>
              <w:top w:val="single" w:sz="12" w:space="0" w:color="FFFFFF"/>
              <w:left w:val="single" w:sz="12" w:space="0" w:color="FFFFFF"/>
              <w:bottom w:val="nil"/>
              <w:right w:val="single" w:sz="12" w:space="0" w:color="FFFFFF"/>
            </w:tcBorders>
            <w:shd w:val="clear" w:color="000000" w:fill="D9D9D9"/>
            <w:vAlign w:val="center"/>
            <w:hideMark/>
          </w:tcPr>
          <w:p w14:paraId="1137A039" w14:textId="77777777" w:rsidR="009F5479" w:rsidRDefault="009F5479">
            <w:pPr>
              <w:jc w:val="center"/>
              <w:rPr>
                <w:rFonts w:ascii="Calibri" w:hAnsi="Calibri"/>
                <w:color w:val="000000"/>
                <w:sz w:val="16"/>
                <w:szCs w:val="16"/>
              </w:rPr>
            </w:pPr>
            <w:r>
              <w:rPr>
                <w:rFonts w:ascii="Calibri" w:hAnsi="Calibri"/>
                <w:color w:val="000000"/>
                <w:sz w:val="16"/>
                <w:szCs w:val="16"/>
              </w:rPr>
              <w:t>Cronograma</w:t>
            </w:r>
          </w:p>
        </w:tc>
        <w:tc>
          <w:tcPr>
            <w:tcW w:w="1120" w:type="dxa"/>
            <w:tcBorders>
              <w:top w:val="single" w:sz="12" w:space="0" w:color="FFFFFF"/>
              <w:left w:val="nil"/>
              <w:bottom w:val="nil"/>
              <w:right w:val="single" w:sz="12" w:space="0" w:color="FFFFFF"/>
            </w:tcBorders>
            <w:shd w:val="clear" w:color="000000" w:fill="D9D9D9"/>
            <w:vAlign w:val="center"/>
            <w:hideMark/>
          </w:tcPr>
          <w:p w14:paraId="1E0A750A" w14:textId="77777777" w:rsidR="009F5479" w:rsidRDefault="009F5479">
            <w:pPr>
              <w:jc w:val="center"/>
              <w:rPr>
                <w:rFonts w:ascii="Calibri" w:hAnsi="Calibri"/>
                <w:sz w:val="16"/>
                <w:szCs w:val="16"/>
              </w:rPr>
            </w:pPr>
            <w:r>
              <w:rPr>
                <w:rFonts w:ascii="Calibri" w:hAnsi="Calibri"/>
                <w:sz w:val="16"/>
                <w:szCs w:val="16"/>
              </w:rPr>
              <w:t>5%</w:t>
            </w:r>
          </w:p>
        </w:tc>
        <w:tc>
          <w:tcPr>
            <w:tcW w:w="1280" w:type="dxa"/>
            <w:tcBorders>
              <w:top w:val="single" w:sz="12" w:space="0" w:color="FFFFFF"/>
              <w:left w:val="nil"/>
              <w:bottom w:val="nil"/>
              <w:right w:val="single" w:sz="12" w:space="0" w:color="FFFFFF"/>
            </w:tcBorders>
            <w:shd w:val="clear" w:color="000000" w:fill="D9D9D9"/>
            <w:vAlign w:val="center"/>
            <w:hideMark/>
          </w:tcPr>
          <w:p w14:paraId="1238BB4E" w14:textId="77777777" w:rsidR="009F5479" w:rsidRDefault="009F5479">
            <w:pPr>
              <w:jc w:val="center"/>
              <w:rPr>
                <w:rFonts w:ascii="Calibri" w:hAnsi="Calibri"/>
                <w:sz w:val="16"/>
                <w:szCs w:val="16"/>
              </w:rPr>
            </w:pPr>
            <w:r>
              <w:rPr>
                <w:rFonts w:ascii="Calibri" w:hAnsi="Calibri"/>
                <w:sz w:val="16"/>
                <w:szCs w:val="16"/>
              </w:rPr>
              <w:t>80%</w:t>
            </w:r>
          </w:p>
        </w:tc>
        <w:tc>
          <w:tcPr>
            <w:tcW w:w="1200" w:type="dxa"/>
            <w:tcBorders>
              <w:top w:val="single" w:sz="12" w:space="0" w:color="FFFFFF"/>
              <w:left w:val="nil"/>
              <w:bottom w:val="nil"/>
              <w:right w:val="single" w:sz="12" w:space="0" w:color="FFFFFF"/>
            </w:tcBorders>
            <w:shd w:val="clear" w:color="000000" w:fill="D9D9D9"/>
            <w:vAlign w:val="center"/>
            <w:hideMark/>
          </w:tcPr>
          <w:p w14:paraId="25765B6E" w14:textId="77777777" w:rsidR="009F5479" w:rsidRDefault="009F5479">
            <w:pPr>
              <w:jc w:val="center"/>
              <w:rPr>
                <w:rFonts w:ascii="Calibri" w:hAnsi="Calibri"/>
                <w:sz w:val="16"/>
                <w:szCs w:val="16"/>
              </w:rPr>
            </w:pPr>
            <w:r>
              <w:rPr>
                <w:rFonts w:ascii="Calibri" w:hAnsi="Calibri"/>
                <w:sz w:val="16"/>
                <w:szCs w:val="16"/>
              </w:rPr>
              <w:t>100%</w:t>
            </w:r>
          </w:p>
        </w:tc>
        <w:tc>
          <w:tcPr>
            <w:tcW w:w="1140" w:type="dxa"/>
            <w:tcBorders>
              <w:top w:val="single" w:sz="12" w:space="0" w:color="FFFFFF"/>
              <w:left w:val="nil"/>
              <w:bottom w:val="nil"/>
              <w:right w:val="single" w:sz="12" w:space="0" w:color="FFFFFF"/>
            </w:tcBorders>
            <w:shd w:val="clear" w:color="000000" w:fill="D9D9D9"/>
            <w:vAlign w:val="center"/>
            <w:hideMark/>
          </w:tcPr>
          <w:p w14:paraId="489E585D" w14:textId="77777777" w:rsidR="009F5479" w:rsidRDefault="009F5479">
            <w:pPr>
              <w:jc w:val="center"/>
              <w:rPr>
                <w:rFonts w:ascii="Calibri" w:hAnsi="Calibri"/>
                <w:sz w:val="16"/>
                <w:szCs w:val="16"/>
              </w:rPr>
            </w:pPr>
            <w:r>
              <w:rPr>
                <w:rFonts w:ascii="Calibri" w:hAnsi="Calibri"/>
                <w:sz w:val="16"/>
                <w:szCs w:val="16"/>
              </w:rPr>
              <w:t>N.D</w:t>
            </w:r>
          </w:p>
        </w:tc>
        <w:tc>
          <w:tcPr>
            <w:tcW w:w="1040" w:type="dxa"/>
            <w:tcBorders>
              <w:top w:val="single" w:sz="12" w:space="0" w:color="FFFFFF"/>
              <w:left w:val="nil"/>
              <w:bottom w:val="nil"/>
              <w:right w:val="single" w:sz="12" w:space="0" w:color="FFFFFF"/>
            </w:tcBorders>
            <w:shd w:val="clear" w:color="000000" w:fill="D9D9D9"/>
            <w:vAlign w:val="center"/>
            <w:hideMark/>
          </w:tcPr>
          <w:p w14:paraId="7DB0B39C" w14:textId="77777777" w:rsidR="009F5479" w:rsidRDefault="009F5479">
            <w:pPr>
              <w:jc w:val="center"/>
              <w:rPr>
                <w:rFonts w:ascii="Calibri" w:hAnsi="Calibri"/>
                <w:sz w:val="16"/>
                <w:szCs w:val="16"/>
              </w:rPr>
            </w:pPr>
            <w:r>
              <w:rPr>
                <w:rFonts w:ascii="Calibri" w:hAnsi="Calibri"/>
                <w:sz w:val="16"/>
                <w:szCs w:val="16"/>
              </w:rPr>
              <w:t>N.D</w:t>
            </w:r>
          </w:p>
        </w:tc>
        <w:tc>
          <w:tcPr>
            <w:tcW w:w="985" w:type="dxa"/>
            <w:tcBorders>
              <w:top w:val="single" w:sz="12" w:space="0" w:color="FFFFFF"/>
              <w:left w:val="nil"/>
              <w:bottom w:val="nil"/>
              <w:right w:val="single" w:sz="12" w:space="0" w:color="FFFFFF"/>
            </w:tcBorders>
            <w:shd w:val="clear" w:color="000000" w:fill="D9D9D9"/>
            <w:vAlign w:val="center"/>
            <w:hideMark/>
          </w:tcPr>
          <w:p w14:paraId="7EE760FA" w14:textId="77777777" w:rsidR="009F5479" w:rsidRDefault="009F5479">
            <w:pPr>
              <w:jc w:val="center"/>
              <w:rPr>
                <w:rFonts w:ascii="Calibri" w:hAnsi="Calibri"/>
                <w:sz w:val="16"/>
                <w:szCs w:val="16"/>
              </w:rPr>
            </w:pPr>
            <w:r>
              <w:rPr>
                <w:rFonts w:ascii="Calibri" w:hAnsi="Calibri"/>
                <w:sz w:val="16"/>
                <w:szCs w:val="16"/>
              </w:rPr>
              <w:t>₡125.8</w:t>
            </w:r>
          </w:p>
        </w:tc>
        <w:tc>
          <w:tcPr>
            <w:tcW w:w="1776" w:type="dxa"/>
            <w:tcBorders>
              <w:top w:val="single" w:sz="12" w:space="0" w:color="FFFFFF"/>
              <w:left w:val="nil"/>
              <w:bottom w:val="nil"/>
              <w:right w:val="single" w:sz="12" w:space="0" w:color="FFFFFF"/>
            </w:tcBorders>
            <w:shd w:val="clear" w:color="000000" w:fill="D9D9D9"/>
            <w:vAlign w:val="center"/>
            <w:hideMark/>
          </w:tcPr>
          <w:p w14:paraId="0D805A06" w14:textId="77777777" w:rsidR="009F5479" w:rsidRDefault="009F5479">
            <w:pPr>
              <w:jc w:val="center"/>
              <w:rPr>
                <w:rFonts w:ascii="Calibri" w:hAnsi="Calibri"/>
                <w:sz w:val="16"/>
                <w:szCs w:val="16"/>
              </w:rPr>
            </w:pPr>
            <w:r>
              <w:rPr>
                <w:rFonts w:ascii="Calibri" w:hAnsi="Calibri"/>
                <w:sz w:val="16"/>
                <w:szCs w:val="16"/>
              </w:rPr>
              <w:t>Recursos propios</w:t>
            </w:r>
          </w:p>
        </w:tc>
        <w:tc>
          <w:tcPr>
            <w:tcW w:w="2477" w:type="dxa"/>
            <w:tcBorders>
              <w:top w:val="single" w:sz="12" w:space="0" w:color="FFFFFF"/>
              <w:left w:val="nil"/>
              <w:bottom w:val="nil"/>
              <w:right w:val="single" w:sz="12" w:space="0" w:color="FFFFFF"/>
            </w:tcBorders>
            <w:shd w:val="clear" w:color="000000" w:fill="D9D9D9"/>
            <w:vAlign w:val="center"/>
            <w:hideMark/>
          </w:tcPr>
          <w:p w14:paraId="100A4DC2"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3B438577" w14:textId="77777777" w:rsidTr="009F5479">
        <w:trPr>
          <w:trHeight w:val="385"/>
        </w:trPr>
        <w:tc>
          <w:tcPr>
            <w:tcW w:w="1740" w:type="dxa"/>
            <w:tcBorders>
              <w:top w:val="single" w:sz="12" w:space="0" w:color="FFFFFF"/>
              <w:left w:val="single" w:sz="12" w:space="0" w:color="FFFFFF"/>
              <w:bottom w:val="nil"/>
              <w:right w:val="single" w:sz="12" w:space="0" w:color="FFFFFF"/>
            </w:tcBorders>
            <w:shd w:val="clear" w:color="000000" w:fill="DAEEF3"/>
            <w:vAlign w:val="center"/>
            <w:hideMark/>
          </w:tcPr>
          <w:p w14:paraId="51D090B8" w14:textId="77777777" w:rsidR="009F5479" w:rsidRDefault="009F5479">
            <w:pPr>
              <w:jc w:val="center"/>
              <w:rPr>
                <w:rFonts w:ascii="Calibri" w:hAnsi="Calibri"/>
                <w:color w:val="000000"/>
                <w:sz w:val="16"/>
                <w:szCs w:val="16"/>
              </w:rPr>
            </w:pPr>
            <w:r>
              <w:rPr>
                <w:rFonts w:ascii="Calibri" w:hAnsi="Calibri"/>
                <w:color w:val="000000"/>
                <w:sz w:val="16"/>
                <w:szCs w:val="16"/>
              </w:rPr>
              <w:t>Mapas de riesgos</w:t>
            </w:r>
          </w:p>
        </w:tc>
        <w:tc>
          <w:tcPr>
            <w:tcW w:w="1120" w:type="dxa"/>
            <w:tcBorders>
              <w:top w:val="single" w:sz="12" w:space="0" w:color="FFFFFF"/>
              <w:left w:val="nil"/>
              <w:bottom w:val="nil"/>
              <w:right w:val="single" w:sz="12" w:space="0" w:color="FFFFFF"/>
            </w:tcBorders>
            <w:shd w:val="clear" w:color="000000" w:fill="DAEEF3"/>
            <w:vAlign w:val="center"/>
            <w:hideMark/>
          </w:tcPr>
          <w:p w14:paraId="494CBBA2" w14:textId="77777777" w:rsidR="009F5479" w:rsidRDefault="009F5479">
            <w:pPr>
              <w:jc w:val="center"/>
              <w:rPr>
                <w:rFonts w:ascii="Calibri" w:hAnsi="Calibri"/>
                <w:color w:val="000000"/>
                <w:sz w:val="16"/>
                <w:szCs w:val="16"/>
              </w:rPr>
            </w:pPr>
            <w:r>
              <w:rPr>
                <w:rFonts w:ascii="Calibri" w:hAnsi="Calibri"/>
                <w:color w:val="000000"/>
                <w:sz w:val="16"/>
                <w:szCs w:val="16"/>
              </w:rPr>
              <w:t>0%</w:t>
            </w:r>
          </w:p>
        </w:tc>
        <w:tc>
          <w:tcPr>
            <w:tcW w:w="1280" w:type="dxa"/>
            <w:tcBorders>
              <w:top w:val="single" w:sz="12" w:space="0" w:color="FFFFFF"/>
              <w:left w:val="nil"/>
              <w:bottom w:val="nil"/>
              <w:right w:val="single" w:sz="12" w:space="0" w:color="FFFFFF"/>
            </w:tcBorders>
            <w:shd w:val="clear" w:color="000000" w:fill="DAEEF3"/>
            <w:vAlign w:val="center"/>
            <w:hideMark/>
          </w:tcPr>
          <w:p w14:paraId="1FC7190F" w14:textId="77777777" w:rsidR="009F5479" w:rsidRDefault="009F5479">
            <w:pPr>
              <w:jc w:val="center"/>
              <w:rPr>
                <w:rFonts w:ascii="Calibri" w:hAnsi="Calibri"/>
                <w:color w:val="000000"/>
                <w:sz w:val="16"/>
                <w:szCs w:val="16"/>
              </w:rPr>
            </w:pPr>
            <w:r>
              <w:rPr>
                <w:rFonts w:ascii="Calibri" w:hAnsi="Calibri"/>
                <w:color w:val="000000"/>
                <w:sz w:val="16"/>
                <w:szCs w:val="16"/>
              </w:rPr>
              <w:t>100%</w:t>
            </w:r>
          </w:p>
        </w:tc>
        <w:tc>
          <w:tcPr>
            <w:tcW w:w="1200" w:type="dxa"/>
            <w:tcBorders>
              <w:top w:val="single" w:sz="12" w:space="0" w:color="FFFFFF"/>
              <w:left w:val="nil"/>
              <w:bottom w:val="nil"/>
              <w:right w:val="single" w:sz="12" w:space="0" w:color="FFFFFF"/>
            </w:tcBorders>
            <w:shd w:val="clear" w:color="000000" w:fill="DAEEF3"/>
            <w:vAlign w:val="center"/>
            <w:hideMark/>
          </w:tcPr>
          <w:p w14:paraId="34191ACF"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140" w:type="dxa"/>
            <w:tcBorders>
              <w:top w:val="single" w:sz="12" w:space="0" w:color="FFFFFF"/>
              <w:left w:val="nil"/>
              <w:bottom w:val="nil"/>
              <w:right w:val="single" w:sz="12" w:space="0" w:color="FFFFFF"/>
            </w:tcBorders>
            <w:shd w:val="clear" w:color="000000" w:fill="DAEEF3"/>
            <w:vAlign w:val="center"/>
            <w:hideMark/>
          </w:tcPr>
          <w:p w14:paraId="4226402E"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040" w:type="dxa"/>
            <w:tcBorders>
              <w:top w:val="single" w:sz="12" w:space="0" w:color="FFFFFF"/>
              <w:left w:val="nil"/>
              <w:bottom w:val="nil"/>
              <w:right w:val="single" w:sz="12" w:space="0" w:color="FFFFFF"/>
            </w:tcBorders>
            <w:shd w:val="clear" w:color="000000" w:fill="DAEEF3"/>
            <w:vAlign w:val="center"/>
            <w:hideMark/>
          </w:tcPr>
          <w:p w14:paraId="5078FB67"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985" w:type="dxa"/>
            <w:tcBorders>
              <w:top w:val="single" w:sz="12" w:space="0" w:color="FFFFFF"/>
              <w:left w:val="nil"/>
              <w:bottom w:val="nil"/>
              <w:right w:val="single" w:sz="12" w:space="0" w:color="FFFFFF"/>
            </w:tcBorders>
            <w:shd w:val="clear" w:color="000000" w:fill="DAEEF3"/>
            <w:vAlign w:val="center"/>
            <w:hideMark/>
          </w:tcPr>
          <w:p w14:paraId="4C517E53" w14:textId="77777777" w:rsidR="009F5479" w:rsidRDefault="009F5479">
            <w:pPr>
              <w:jc w:val="center"/>
              <w:rPr>
                <w:rFonts w:ascii="Calibri" w:hAnsi="Calibri"/>
                <w:sz w:val="16"/>
                <w:szCs w:val="16"/>
              </w:rPr>
            </w:pPr>
            <w:r>
              <w:rPr>
                <w:rFonts w:ascii="Calibri" w:hAnsi="Calibri"/>
                <w:sz w:val="16"/>
                <w:szCs w:val="16"/>
              </w:rPr>
              <w:t>₡3,520.8</w:t>
            </w:r>
          </w:p>
        </w:tc>
        <w:tc>
          <w:tcPr>
            <w:tcW w:w="1776" w:type="dxa"/>
            <w:tcBorders>
              <w:top w:val="single" w:sz="12" w:space="0" w:color="FFFFFF"/>
              <w:left w:val="nil"/>
              <w:bottom w:val="nil"/>
              <w:right w:val="single" w:sz="12" w:space="0" w:color="FFFFFF"/>
            </w:tcBorders>
            <w:shd w:val="clear" w:color="000000" w:fill="DAEEF3"/>
            <w:vAlign w:val="center"/>
            <w:hideMark/>
          </w:tcPr>
          <w:p w14:paraId="6D68232C" w14:textId="77777777" w:rsidR="009F5479" w:rsidRDefault="009F5479">
            <w:pPr>
              <w:jc w:val="center"/>
              <w:rPr>
                <w:rFonts w:ascii="Calibri" w:hAnsi="Calibri"/>
                <w:color w:val="000000"/>
                <w:sz w:val="16"/>
                <w:szCs w:val="16"/>
              </w:rPr>
            </w:pPr>
            <w:r>
              <w:rPr>
                <w:rFonts w:ascii="Calibri" w:hAnsi="Calibri"/>
                <w:color w:val="000000"/>
                <w:sz w:val="16"/>
                <w:szCs w:val="16"/>
              </w:rPr>
              <w:t>Recursos propios</w:t>
            </w:r>
          </w:p>
        </w:tc>
        <w:tc>
          <w:tcPr>
            <w:tcW w:w="2477" w:type="dxa"/>
            <w:tcBorders>
              <w:top w:val="single" w:sz="12" w:space="0" w:color="FFFFFF"/>
              <w:left w:val="nil"/>
              <w:bottom w:val="nil"/>
              <w:right w:val="single" w:sz="12" w:space="0" w:color="FFFFFF"/>
            </w:tcBorders>
            <w:shd w:val="clear" w:color="000000" w:fill="DAEEF3"/>
            <w:vAlign w:val="center"/>
            <w:hideMark/>
          </w:tcPr>
          <w:p w14:paraId="4F1A33D6"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531456A6" w14:textId="77777777" w:rsidTr="009F5479">
        <w:trPr>
          <w:trHeight w:val="391"/>
        </w:trPr>
        <w:tc>
          <w:tcPr>
            <w:tcW w:w="1740" w:type="dxa"/>
            <w:tcBorders>
              <w:top w:val="single" w:sz="12" w:space="0" w:color="FFFFFF"/>
              <w:left w:val="single" w:sz="12" w:space="0" w:color="FFFFFF"/>
              <w:bottom w:val="nil"/>
              <w:right w:val="single" w:sz="12" w:space="0" w:color="FFFFFF"/>
            </w:tcBorders>
            <w:shd w:val="clear" w:color="000000" w:fill="DAEEF3"/>
            <w:vAlign w:val="center"/>
            <w:hideMark/>
          </w:tcPr>
          <w:p w14:paraId="2863EF36" w14:textId="77777777" w:rsidR="009F5479" w:rsidRDefault="009F5479">
            <w:pPr>
              <w:jc w:val="center"/>
              <w:rPr>
                <w:rFonts w:ascii="Calibri" w:hAnsi="Calibri"/>
                <w:color w:val="000000"/>
                <w:sz w:val="16"/>
                <w:szCs w:val="16"/>
              </w:rPr>
            </w:pPr>
            <w:r>
              <w:rPr>
                <w:rFonts w:ascii="Calibri" w:hAnsi="Calibri"/>
                <w:color w:val="000000"/>
                <w:sz w:val="16"/>
                <w:szCs w:val="16"/>
              </w:rPr>
              <w:t>Atención de plazos</w:t>
            </w:r>
          </w:p>
        </w:tc>
        <w:tc>
          <w:tcPr>
            <w:tcW w:w="1120" w:type="dxa"/>
            <w:tcBorders>
              <w:top w:val="single" w:sz="12" w:space="0" w:color="FFFFFF"/>
              <w:left w:val="nil"/>
              <w:bottom w:val="nil"/>
              <w:right w:val="single" w:sz="12" w:space="0" w:color="FFFFFF"/>
            </w:tcBorders>
            <w:shd w:val="clear" w:color="000000" w:fill="DAEEF3"/>
            <w:vAlign w:val="center"/>
            <w:hideMark/>
          </w:tcPr>
          <w:p w14:paraId="1CDCC150" w14:textId="77777777" w:rsidR="009F5479" w:rsidRDefault="009F5479">
            <w:pPr>
              <w:jc w:val="center"/>
              <w:rPr>
                <w:rFonts w:ascii="Calibri" w:hAnsi="Calibri"/>
                <w:color w:val="000000"/>
                <w:sz w:val="16"/>
                <w:szCs w:val="16"/>
              </w:rPr>
            </w:pPr>
            <w:r>
              <w:rPr>
                <w:rFonts w:ascii="Calibri" w:hAnsi="Calibri"/>
                <w:color w:val="000000"/>
                <w:sz w:val="16"/>
                <w:szCs w:val="16"/>
              </w:rPr>
              <w:t>0%</w:t>
            </w:r>
          </w:p>
        </w:tc>
        <w:tc>
          <w:tcPr>
            <w:tcW w:w="1280" w:type="dxa"/>
            <w:tcBorders>
              <w:top w:val="single" w:sz="12" w:space="0" w:color="FFFFFF"/>
              <w:left w:val="nil"/>
              <w:bottom w:val="nil"/>
              <w:right w:val="single" w:sz="12" w:space="0" w:color="FFFFFF"/>
            </w:tcBorders>
            <w:shd w:val="clear" w:color="000000" w:fill="DAEEF3"/>
            <w:vAlign w:val="center"/>
            <w:hideMark/>
          </w:tcPr>
          <w:p w14:paraId="5BF0D39B" w14:textId="77777777" w:rsidR="009F5479" w:rsidRDefault="009F5479">
            <w:pPr>
              <w:jc w:val="center"/>
              <w:rPr>
                <w:rFonts w:ascii="Calibri" w:hAnsi="Calibri"/>
                <w:color w:val="000000"/>
                <w:sz w:val="16"/>
                <w:szCs w:val="16"/>
              </w:rPr>
            </w:pPr>
            <w:r>
              <w:rPr>
                <w:rFonts w:ascii="Calibri" w:hAnsi="Calibri"/>
                <w:color w:val="000000"/>
                <w:sz w:val="16"/>
                <w:szCs w:val="16"/>
              </w:rPr>
              <w:t>100%</w:t>
            </w:r>
          </w:p>
        </w:tc>
        <w:tc>
          <w:tcPr>
            <w:tcW w:w="1200" w:type="dxa"/>
            <w:tcBorders>
              <w:top w:val="single" w:sz="12" w:space="0" w:color="FFFFFF"/>
              <w:left w:val="nil"/>
              <w:bottom w:val="nil"/>
              <w:right w:val="single" w:sz="12" w:space="0" w:color="FFFFFF"/>
            </w:tcBorders>
            <w:shd w:val="clear" w:color="000000" w:fill="DAEEF3"/>
            <w:vAlign w:val="center"/>
            <w:hideMark/>
          </w:tcPr>
          <w:p w14:paraId="40F2CE54"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140" w:type="dxa"/>
            <w:tcBorders>
              <w:top w:val="single" w:sz="12" w:space="0" w:color="FFFFFF"/>
              <w:left w:val="nil"/>
              <w:bottom w:val="nil"/>
              <w:right w:val="single" w:sz="12" w:space="0" w:color="FFFFFF"/>
            </w:tcBorders>
            <w:shd w:val="clear" w:color="000000" w:fill="DAEEF3"/>
            <w:vAlign w:val="center"/>
            <w:hideMark/>
          </w:tcPr>
          <w:p w14:paraId="3DE2515F"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040" w:type="dxa"/>
            <w:tcBorders>
              <w:top w:val="single" w:sz="12" w:space="0" w:color="FFFFFF"/>
              <w:left w:val="nil"/>
              <w:bottom w:val="nil"/>
              <w:right w:val="single" w:sz="12" w:space="0" w:color="FFFFFF"/>
            </w:tcBorders>
            <w:shd w:val="clear" w:color="000000" w:fill="DAEEF3"/>
            <w:vAlign w:val="center"/>
            <w:hideMark/>
          </w:tcPr>
          <w:p w14:paraId="2E586FB9"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985" w:type="dxa"/>
            <w:tcBorders>
              <w:top w:val="single" w:sz="12" w:space="0" w:color="FFFFFF"/>
              <w:left w:val="nil"/>
              <w:bottom w:val="nil"/>
              <w:right w:val="single" w:sz="12" w:space="0" w:color="FFFFFF"/>
            </w:tcBorders>
            <w:shd w:val="clear" w:color="000000" w:fill="DAEEF3"/>
            <w:vAlign w:val="center"/>
            <w:hideMark/>
          </w:tcPr>
          <w:p w14:paraId="11C2C741" w14:textId="77777777" w:rsidR="009F5479" w:rsidRDefault="009F5479">
            <w:pPr>
              <w:jc w:val="center"/>
              <w:rPr>
                <w:rFonts w:ascii="Calibri" w:hAnsi="Calibri"/>
                <w:sz w:val="16"/>
                <w:szCs w:val="16"/>
              </w:rPr>
            </w:pPr>
            <w:r>
              <w:rPr>
                <w:rFonts w:ascii="Calibri" w:hAnsi="Calibri"/>
                <w:sz w:val="16"/>
                <w:szCs w:val="16"/>
              </w:rPr>
              <w:t>₡244.8</w:t>
            </w:r>
          </w:p>
        </w:tc>
        <w:tc>
          <w:tcPr>
            <w:tcW w:w="1776" w:type="dxa"/>
            <w:tcBorders>
              <w:top w:val="single" w:sz="12" w:space="0" w:color="FFFFFF"/>
              <w:left w:val="nil"/>
              <w:bottom w:val="nil"/>
              <w:right w:val="single" w:sz="12" w:space="0" w:color="FFFFFF"/>
            </w:tcBorders>
            <w:shd w:val="clear" w:color="000000" w:fill="DAEEF3"/>
            <w:vAlign w:val="center"/>
            <w:hideMark/>
          </w:tcPr>
          <w:p w14:paraId="7862C12E" w14:textId="77777777" w:rsidR="009F5479" w:rsidRDefault="009F5479">
            <w:pPr>
              <w:jc w:val="center"/>
              <w:rPr>
                <w:rFonts w:ascii="Calibri" w:hAnsi="Calibri"/>
                <w:color w:val="000000"/>
                <w:sz w:val="16"/>
                <w:szCs w:val="16"/>
              </w:rPr>
            </w:pPr>
            <w:r>
              <w:rPr>
                <w:rFonts w:ascii="Calibri" w:hAnsi="Calibri"/>
                <w:color w:val="000000"/>
                <w:sz w:val="16"/>
                <w:szCs w:val="16"/>
              </w:rPr>
              <w:t>Recursos propios</w:t>
            </w:r>
          </w:p>
        </w:tc>
        <w:tc>
          <w:tcPr>
            <w:tcW w:w="2477" w:type="dxa"/>
            <w:tcBorders>
              <w:top w:val="single" w:sz="12" w:space="0" w:color="FFFFFF"/>
              <w:left w:val="nil"/>
              <w:bottom w:val="nil"/>
              <w:right w:val="single" w:sz="12" w:space="0" w:color="FFFFFF"/>
            </w:tcBorders>
            <w:shd w:val="clear" w:color="000000" w:fill="DAEEF3"/>
            <w:vAlign w:val="center"/>
            <w:hideMark/>
          </w:tcPr>
          <w:p w14:paraId="7F9A073B"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0193744A" w14:textId="77777777" w:rsidTr="009F5479">
        <w:trPr>
          <w:trHeight w:val="390"/>
        </w:trPr>
        <w:tc>
          <w:tcPr>
            <w:tcW w:w="1740" w:type="dxa"/>
            <w:tcBorders>
              <w:top w:val="single" w:sz="12" w:space="0" w:color="FFFFFF"/>
              <w:left w:val="single" w:sz="12" w:space="0" w:color="FFFFFF"/>
              <w:bottom w:val="nil"/>
              <w:right w:val="single" w:sz="12" w:space="0" w:color="FFFFFF"/>
            </w:tcBorders>
            <w:shd w:val="clear" w:color="000000" w:fill="DAEEF3"/>
            <w:vAlign w:val="center"/>
            <w:hideMark/>
          </w:tcPr>
          <w:p w14:paraId="4E4CEDA7" w14:textId="77777777" w:rsidR="009F5479" w:rsidRDefault="009F5479">
            <w:pPr>
              <w:jc w:val="center"/>
              <w:rPr>
                <w:rFonts w:ascii="Calibri" w:hAnsi="Calibri"/>
                <w:color w:val="000000"/>
                <w:sz w:val="16"/>
                <w:szCs w:val="16"/>
              </w:rPr>
            </w:pPr>
            <w:r>
              <w:rPr>
                <w:rFonts w:ascii="Calibri" w:hAnsi="Calibri"/>
                <w:color w:val="000000"/>
                <w:sz w:val="16"/>
                <w:szCs w:val="16"/>
              </w:rPr>
              <w:t>Plan comunicación</w:t>
            </w:r>
          </w:p>
        </w:tc>
        <w:tc>
          <w:tcPr>
            <w:tcW w:w="1120" w:type="dxa"/>
            <w:tcBorders>
              <w:top w:val="single" w:sz="12" w:space="0" w:color="FFFFFF"/>
              <w:left w:val="nil"/>
              <w:bottom w:val="nil"/>
              <w:right w:val="single" w:sz="12" w:space="0" w:color="FFFFFF"/>
            </w:tcBorders>
            <w:shd w:val="clear" w:color="000000" w:fill="DAEEF3"/>
            <w:vAlign w:val="center"/>
            <w:hideMark/>
          </w:tcPr>
          <w:p w14:paraId="78460737" w14:textId="77777777" w:rsidR="009F5479" w:rsidRDefault="009F5479">
            <w:pPr>
              <w:jc w:val="center"/>
              <w:rPr>
                <w:rFonts w:ascii="Calibri" w:hAnsi="Calibri"/>
                <w:color w:val="000000"/>
                <w:sz w:val="16"/>
                <w:szCs w:val="16"/>
              </w:rPr>
            </w:pPr>
            <w:r>
              <w:rPr>
                <w:rFonts w:ascii="Calibri" w:hAnsi="Calibri"/>
                <w:color w:val="000000"/>
                <w:sz w:val="16"/>
                <w:szCs w:val="16"/>
              </w:rPr>
              <w:t>0%</w:t>
            </w:r>
          </w:p>
        </w:tc>
        <w:tc>
          <w:tcPr>
            <w:tcW w:w="1280" w:type="dxa"/>
            <w:tcBorders>
              <w:top w:val="single" w:sz="12" w:space="0" w:color="FFFFFF"/>
              <w:left w:val="nil"/>
              <w:bottom w:val="nil"/>
              <w:right w:val="single" w:sz="12" w:space="0" w:color="FFFFFF"/>
            </w:tcBorders>
            <w:shd w:val="clear" w:color="000000" w:fill="DAEEF3"/>
            <w:vAlign w:val="center"/>
            <w:hideMark/>
          </w:tcPr>
          <w:p w14:paraId="318FCA3C" w14:textId="77777777" w:rsidR="009F5479" w:rsidRDefault="009F5479">
            <w:pPr>
              <w:jc w:val="center"/>
              <w:rPr>
                <w:rFonts w:ascii="Calibri" w:hAnsi="Calibri"/>
                <w:color w:val="000000"/>
                <w:sz w:val="16"/>
                <w:szCs w:val="16"/>
              </w:rPr>
            </w:pPr>
            <w:r>
              <w:rPr>
                <w:rFonts w:ascii="Calibri" w:hAnsi="Calibri"/>
                <w:color w:val="000000"/>
                <w:sz w:val="16"/>
                <w:szCs w:val="16"/>
              </w:rPr>
              <w:t>100%</w:t>
            </w:r>
          </w:p>
        </w:tc>
        <w:tc>
          <w:tcPr>
            <w:tcW w:w="1200" w:type="dxa"/>
            <w:tcBorders>
              <w:top w:val="single" w:sz="12" w:space="0" w:color="FFFFFF"/>
              <w:left w:val="nil"/>
              <w:bottom w:val="nil"/>
              <w:right w:val="single" w:sz="12" w:space="0" w:color="FFFFFF"/>
            </w:tcBorders>
            <w:shd w:val="clear" w:color="000000" w:fill="DAEEF3"/>
            <w:vAlign w:val="center"/>
            <w:hideMark/>
          </w:tcPr>
          <w:p w14:paraId="744E2002"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140" w:type="dxa"/>
            <w:tcBorders>
              <w:top w:val="single" w:sz="12" w:space="0" w:color="FFFFFF"/>
              <w:left w:val="nil"/>
              <w:bottom w:val="nil"/>
              <w:right w:val="single" w:sz="12" w:space="0" w:color="FFFFFF"/>
            </w:tcBorders>
            <w:shd w:val="clear" w:color="000000" w:fill="DAEEF3"/>
            <w:vAlign w:val="center"/>
            <w:hideMark/>
          </w:tcPr>
          <w:p w14:paraId="742EE01D"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1040" w:type="dxa"/>
            <w:tcBorders>
              <w:top w:val="single" w:sz="12" w:space="0" w:color="FFFFFF"/>
              <w:left w:val="nil"/>
              <w:bottom w:val="nil"/>
              <w:right w:val="single" w:sz="12" w:space="0" w:color="FFFFFF"/>
            </w:tcBorders>
            <w:shd w:val="clear" w:color="000000" w:fill="DAEEF3"/>
            <w:vAlign w:val="center"/>
            <w:hideMark/>
          </w:tcPr>
          <w:p w14:paraId="4558AE3F" w14:textId="77777777" w:rsidR="009F5479" w:rsidRDefault="009F5479">
            <w:pPr>
              <w:jc w:val="center"/>
              <w:rPr>
                <w:rFonts w:ascii="Calibri" w:hAnsi="Calibri"/>
                <w:color w:val="000000"/>
                <w:sz w:val="16"/>
                <w:szCs w:val="16"/>
              </w:rPr>
            </w:pPr>
            <w:r>
              <w:rPr>
                <w:rFonts w:ascii="Calibri" w:hAnsi="Calibri"/>
                <w:color w:val="000000"/>
                <w:sz w:val="16"/>
                <w:szCs w:val="16"/>
              </w:rPr>
              <w:t>N.D</w:t>
            </w:r>
          </w:p>
        </w:tc>
        <w:tc>
          <w:tcPr>
            <w:tcW w:w="985" w:type="dxa"/>
            <w:tcBorders>
              <w:top w:val="single" w:sz="12" w:space="0" w:color="FFFFFF"/>
              <w:left w:val="nil"/>
              <w:bottom w:val="nil"/>
              <w:right w:val="single" w:sz="12" w:space="0" w:color="FFFFFF"/>
            </w:tcBorders>
            <w:shd w:val="clear" w:color="000000" w:fill="DAEEF3"/>
            <w:vAlign w:val="center"/>
            <w:hideMark/>
          </w:tcPr>
          <w:p w14:paraId="76218E82" w14:textId="77777777" w:rsidR="009F5479" w:rsidRDefault="009F5479">
            <w:pPr>
              <w:jc w:val="center"/>
              <w:rPr>
                <w:rFonts w:ascii="Calibri" w:hAnsi="Calibri"/>
                <w:sz w:val="16"/>
                <w:szCs w:val="16"/>
              </w:rPr>
            </w:pPr>
            <w:r>
              <w:rPr>
                <w:rFonts w:ascii="Calibri" w:hAnsi="Calibri"/>
                <w:sz w:val="16"/>
                <w:szCs w:val="16"/>
              </w:rPr>
              <w:t>₡399.7</w:t>
            </w:r>
          </w:p>
        </w:tc>
        <w:tc>
          <w:tcPr>
            <w:tcW w:w="1776" w:type="dxa"/>
            <w:tcBorders>
              <w:top w:val="single" w:sz="12" w:space="0" w:color="FFFFFF"/>
              <w:left w:val="nil"/>
              <w:bottom w:val="nil"/>
              <w:right w:val="single" w:sz="12" w:space="0" w:color="FFFFFF"/>
            </w:tcBorders>
            <w:shd w:val="clear" w:color="000000" w:fill="DAEEF3"/>
            <w:vAlign w:val="center"/>
            <w:hideMark/>
          </w:tcPr>
          <w:p w14:paraId="00651973" w14:textId="77777777" w:rsidR="009F5479" w:rsidRDefault="009F5479">
            <w:pPr>
              <w:jc w:val="center"/>
              <w:rPr>
                <w:rFonts w:ascii="Calibri" w:hAnsi="Calibri"/>
                <w:color w:val="000000"/>
                <w:sz w:val="16"/>
                <w:szCs w:val="16"/>
              </w:rPr>
            </w:pPr>
            <w:r>
              <w:rPr>
                <w:rFonts w:ascii="Calibri" w:hAnsi="Calibri"/>
                <w:color w:val="000000"/>
                <w:sz w:val="16"/>
                <w:szCs w:val="16"/>
              </w:rPr>
              <w:t>Recursos propios</w:t>
            </w:r>
          </w:p>
        </w:tc>
        <w:tc>
          <w:tcPr>
            <w:tcW w:w="2477" w:type="dxa"/>
            <w:tcBorders>
              <w:top w:val="single" w:sz="12" w:space="0" w:color="FFFFFF"/>
              <w:left w:val="nil"/>
              <w:bottom w:val="nil"/>
              <w:right w:val="single" w:sz="12" w:space="0" w:color="FFFFFF"/>
            </w:tcBorders>
            <w:shd w:val="clear" w:color="000000" w:fill="DAEEF3"/>
            <w:vAlign w:val="center"/>
            <w:hideMark/>
          </w:tcPr>
          <w:p w14:paraId="418E0CF2" w14:textId="77777777" w:rsidR="009F5479" w:rsidRDefault="009F5479">
            <w:pPr>
              <w:jc w:val="center"/>
              <w:rPr>
                <w:rFonts w:ascii="Calibri" w:hAnsi="Calibri"/>
                <w:color w:val="000000"/>
                <w:sz w:val="16"/>
                <w:szCs w:val="16"/>
              </w:rPr>
            </w:pPr>
            <w:r>
              <w:rPr>
                <w:rFonts w:ascii="Calibri" w:hAnsi="Calibri"/>
                <w:color w:val="000000"/>
                <w:sz w:val="16"/>
                <w:szCs w:val="16"/>
              </w:rPr>
              <w:t> </w:t>
            </w:r>
          </w:p>
        </w:tc>
      </w:tr>
      <w:tr w:rsidR="009F5479" w14:paraId="2173C60C" w14:textId="77777777" w:rsidTr="004B7407">
        <w:trPr>
          <w:trHeight w:val="249"/>
        </w:trPr>
        <w:tc>
          <w:tcPr>
            <w:tcW w:w="1740" w:type="dxa"/>
            <w:tcBorders>
              <w:top w:val="nil"/>
              <w:left w:val="nil"/>
              <w:bottom w:val="nil"/>
              <w:right w:val="nil"/>
            </w:tcBorders>
            <w:shd w:val="clear" w:color="auto" w:fill="D9D9D9" w:themeFill="background1" w:themeFillShade="D9"/>
            <w:noWrap/>
            <w:vAlign w:val="bottom"/>
            <w:hideMark/>
          </w:tcPr>
          <w:p w14:paraId="10E0EA9E" w14:textId="77777777" w:rsidR="009F5479" w:rsidRDefault="009F5479">
            <w:pPr>
              <w:jc w:val="center"/>
              <w:rPr>
                <w:rFonts w:ascii="Calibri" w:hAnsi="Calibri"/>
                <w:color w:val="000000"/>
                <w:sz w:val="16"/>
                <w:szCs w:val="16"/>
              </w:rPr>
            </w:pPr>
          </w:p>
        </w:tc>
        <w:tc>
          <w:tcPr>
            <w:tcW w:w="5780" w:type="dxa"/>
            <w:gridSpan w:val="5"/>
            <w:tcBorders>
              <w:top w:val="nil"/>
              <w:left w:val="nil"/>
              <w:bottom w:val="nil"/>
              <w:right w:val="nil"/>
            </w:tcBorders>
            <w:shd w:val="clear" w:color="auto" w:fill="D9D9D9" w:themeFill="background1" w:themeFillShade="D9"/>
            <w:noWrap/>
            <w:vAlign w:val="center"/>
            <w:hideMark/>
          </w:tcPr>
          <w:p w14:paraId="1F955790" w14:textId="77777777" w:rsidR="009F5479" w:rsidRDefault="009F5479">
            <w:pPr>
              <w:jc w:val="center"/>
              <w:rPr>
                <w:rFonts w:ascii="Calibri" w:hAnsi="Calibri"/>
                <w:b/>
                <w:bCs/>
                <w:color w:val="000000"/>
                <w:sz w:val="16"/>
                <w:szCs w:val="16"/>
              </w:rPr>
            </w:pPr>
            <w:r>
              <w:rPr>
                <w:rFonts w:ascii="Calibri" w:hAnsi="Calibri"/>
                <w:b/>
                <w:bCs/>
                <w:color w:val="000000"/>
                <w:sz w:val="16"/>
                <w:szCs w:val="16"/>
              </w:rPr>
              <w:t>Total del Presupuesto</w:t>
            </w:r>
          </w:p>
        </w:tc>
        <w:tc>
          <w:tcPr>
            <w:tcW w:w="985" w:type="dxa"/>
            <w:tcBorders>
              <w:top w:val="nil"/>
              <w:left w:val="nil"/>
              <w:bottom w:val="nil"/>
              <w:right w:val="nil"/>
            </w:tcBorders>
            <w:shd w:val="clear" w:color="auto" w:fill="D9D9D9" w:themeFill="background1" w:themeFillShade="D9"/>
            <w:noWrap/>
            <w:vAlign w:val="center"/>
            <w:hideMark/>
          </w:tcPr>
          <w:p w14:paraId="3F4CFC14" w14:textId="05B88A60" w:rsidR="009F5479" w:rsidRDefault="001F2E88">
            <w:pPr>
              <w:jc w:val="center"/>
              <w:rPr>
                <w:rFonts w:ascii="Calibri" w:hAnsi="Calibri"/>
                <w:b/>
                <w:bCs/>
                <w:sz w:val="16"/>
                <w:szCs w:val="16"/>
              </w:rPr>
            </w:pPr>
            <w:r w:rsidRPr="001F2E88">
              <w:rPr>
                <w:rFonts w:ascii="Calibri" w:hAnsi="Calibri"/>
                <w:b/>
                <w:bCs/>
                <w:sz w:val="16"/>
                <w:szCs w:val="16"/>
              </w:rPr>
              <w:t>₡</w:t>
            </w:r>
            <w:r w:rsidR="009F5479">
              <w:rPr>
                <w:rFonts w:ascii="Calibri" w:hAnsi="Calibri"/>
                <w:b/>
                <w:bCs/>
                <w:sz w:val="16"/>
                <w:szCs w:val="16"/>
              </w:rPr>
              <w:t xml:space="preserve"> 5,197.89 </w:t>
            </w:r>
          </w:p>
        </w:tc>
        <w:tc>
          <w:tcPr>
            <w:tcW w:w="1776" w:type="dxa"/>
            <w:tcBorders>
              <w:top w:val="nil"/>
              <w:left w:val="nil"/>
              <w:bottom w:val="nil"/>
              <w:right w:val="nil"/>
            </w:tcBorders>
            <w:shd w:val="clear" w:color="auto" w:fill="D9D9D9" w:themeFill="background1" w:themeFillShade="D9"/>
            <w:noWrap/>
            <w:vAlign w:val="bottom"/>
            <w:hideMark/>
          </w:tcPr>
          <w:p w14:paraId="076F5569" w14:textId="77777777" w:rsidR="009F5479" w:rsidRDefault="009F5479">
            <w:pPr>
              <w:jc w:val="center"/>
              <w:rPr>
                <w:rFonts w:ascii="Calibri" w:hAnsi="Calibri"/>
                <w:b/>
                <w:bCs/>
                <w:sz w:val="16"/>
                <w:szCs w:val="16"/>
              </w:rPr>
            </w:pPr>
          </w:p>
        </w:tc>
        <w:tc>
          <w:tcPr>
            <w:tcW w:w="2477" w:type="dxa"/>
            <w:tcBorders>
              <w:top w:val="nil"/>
              <w:left w:val="nil"/>
              <w:bottom w:val="nil"/>
              <w:right w:val="nil"/>
            </w:tcBorders>
            <w:shd w:val="clear" w:color="auto" w:fill="D9D9D9" w:themeFill="background1" w:themeFillShade="D9"/>
            <w:noWrap/>
            <w:vAlign w:val="bottom"/>
            <w:hideMark/>
          </w:tcPr>
          <w:p w14:paraId="552C5989" w14:textId="77777777" w:rsidR="009F5479" w:rsidRDefault="009F5479">
            <w:pPr>
              <w:rPr>
                <w:sz w:val="20"/>
                <w:szCs w:val="20"/>
              </w:rPr>
            </w:pPr>
          </w:p>
        </w:tc>
      </w:tr>
    </w:tbl>
    <w:p w14:paraId="61B906D8" w14:textId="77777777" w:rsidR="009F5479" w:rsidRPr="00BA3674" w:rsidRDefault="009F5479" w:rsidP="00110644">
      <w:pPr>
        <w:rPr>
          <w:rFonts w:asciiTheme="minorHAnsi" w:hAnsiTheme="minorHAnsi"/>
          <w:color w:val="000000"/>
          <w:sz w:val="16"/>
          <w:szCs w:val="16"/>
        </w:rPr>
      </w:pPr>
    </w:p>
    <w:p w14:paraId="3D29B207" w14:textId="77777777" w:rsidR="00E55D83" w:rsidRDefault="00E55D83" w:rsidP="004A2776">
      <w:pPr>
        <w:rPr>
          <w:lang w:val="es-ES_tradnl" w:eastAsia="es-ES_tradnl"/>
        </w:rPr>
      </w:pPr>
    </w:p>
    <w:p w14:paraId="1D649160" w14:textId="48A36CA7" w:rsidR="00110644" w:rsidRDefault="00110644" w:rsidP="004A2776">
      <w:pPr>
        <w:rPr>
          <w:lang w:val="es-ES_tradnl" w:eastAsia="es-ES_tradnl"/>
        </w:rPr>
      </w:pPr>
    </w:p>
    <w:p w14:paraId="29FF77CB" w14:textId="77777777" w:rsidR="00110644" w:rsidRDefault="00110644" w:rsidP="004A2776">
      <w:pPr>
        <w:rPr>
          <w:lang w:val="es-ES_tradnl" w:eastAsia="es-ES_tradnl"/>
        </w:rPr>
      </w:pPr>
    </w:p>
    <w:p w14:paraId="4103A799" w14:textId="6D07AB31" w:rsidR="00110644" w:rsidRDefault="00110644" w:rsidP="004A2776">
      <w:pPr>
        <w:rPr>
          <w:lang w:val="es-ES_tradnl" w:eastAsia="es-ES_tradnl"/>
        </w:rPr>
      </w:pPr>
    </w:p>
    <w:p w14:paraId="1B67828A" w14:textId="77777777" w:rsidR="00110644" w:rsidRDefault="00110644" w:rsidP="004A2776">
      <w:pPr>
        <w:rPr>
          <w:lang w:val="es-ES_tradnl" w:eastAsia="es-ES_tradnl"/>
        </w:rPr>
        <w:sectPr w:rsidR="00110644" w:rsidSect="00710882">
          <w:pgSz w:w="15842" w:h="12242" w:orient="landscape" w:code="1"/>
          <w:pgMar w:top="1701" w:right="1418" w:bottom="476" w:left="1418" w:header="709" w:footer="709" w:gutter="0"/>
          <w:cols w:space="708"/>
          <w:docGrid w:linePitch="360"/>
        </w:sectPr>
      </w:pPr>
    </w:p>
    <w:p w14:paraId="43E15EAF" w14:textId="37FA35E4" w:rsidR="00360736" w:rsidRDefault="00360736" w:rsidP="004A2776">
      <w:pPr>
        <w:rPr>
          <w:lang w:val="es-ES_tradnl" w:eastAsia="es-ES_tradnl"/>
        </w:rPr>
      </w:pPr>
    </w:p>
    <w:p w14:paraId="26088AFE" w14:textId="77777777" w:rsidR="00710882" w:rsidRDefault="00710882" w:rsidP="004A2776">
      <w:pPr>
        <w:rPr>
          <w:lang w:val="es-ES_tradnl" w:eastAsia="es-ES_tradnl"/>
        </w:rPr>
      </w:pPr>
    </w:p>
    <w:p w14:paraId="7F7E9481" w14:textId="77777777" w:rsidR="00710882" w:rsidRDefault="00710882" w:rsidP="004A2776">
      <w:pPr>
        <w:rPr>
          <w:lang w:val="es-ES_tradnl" w:eastAsia="es-ES_tradnl"/>
        </w:rPr>
      </w:pPr>
    </w:p>
    <w:p w14:paraId="36142847" w14:textId="77777777" w:rsidR="00710882" w:rsidRDefault="00710882" w:rsidP="004A2776">
      <w:pPr>
        <w:rPr>
          <w:lang w:val="es-ES_tradnl" w:eastAsia="es-ES_tradnl"/>
        </w:rPr>
      </w:pPr>
    </w:p>
    <w:p w14:paraId="3E59F898" w14:textId="77777777" w:rsidR="00710882" w:rsidRDefault="00710882" w:rsidP="004A2776">
      <w:pPr>
        <w:rPr>
          <w:lang w:val="es-ES_tradnl" w:eastAsia="es-ES_tradnl"/>
        </w:rPr>
      </w:pPr>
    </w:p>
    <w:p w14:paraId="1CA2C007" w14:textId="77777777" w:rsidR="00710882" w:rsidRDefault="00710882" w:rsidP="004A2776">
      <w:pPr>
        <w:rPr>
          <w:lang w:val="es-ES_tradnl" w:eastAsia="es-ES_tradnl"/>
        </w:rPr>
      </w:pPr>
    </w:p>
    <w:p w14:paraId="2AAD9A18" w14:textId="77777777" w:rsidR="00710882" w:rsidRDefault="00710882" w:rsidP="004A2776">
      <w:pPr>
        <w:rPr>
          <w:lang w:val="es-ES_tradnl" w:eastAsia="es-ES_tradnl"/>
        </w:rPr>
      </w:pPr>
    </w:p>
    <w:p w14:paraId="60FD647B" w14:textId="77777777" w:rsidR="00710882" w:rsidRDefault="00710882" w:rsidP="004A2776">
      <w:pPr>
        <w:rPr>
          <w:lang w:val="es-ES_tradnl" w:eastAsia="es-ES_tradnl"/>
        </w:rPr>
      </w:pPr>
    </w:p>
    <w:p w14:paraId="7404B3BF" w14:textId="77777777" w:rsidR="00710882" w:rsidRDefault="00710882" w:rsidP="004A2776">
      <w:pPr>
        <w:rPr>
          <w:lang w:val="es-ES_tradnl" w:eastAsia="es-ES_tradnl"/>
        </w:rPr>
      </w:pPr>
    </w:p>
    <w:p w14:paraId="1D99AE5C" w14:textId="77777777" w:rsidR="00710882" w:rsidRDefault="00710882" w:rsidP="004A2776">
      <w:pPr>
        <w:rPr>
          <w:lang w:val="es-ES_tradnl" w:eastAsia="es-ES_tradnl"/>
        </w:rPr>
      </w:pPr>
    </w:p>
    <w:p w14:paraId="2BC2B3F3" w14:textId="77777777" w:rsidR="00710882" w:rsidRDefault="00710882" w:rsidP="004A2776">
      <w:pPr>
        <w:rPr>
          <w:lang w:val="es-ES_tradnl" w:eastAsia="es-ES_tradnl"/>
        </w:rPr>
      </w:pPr>
    </w:p>
    <w:p w14:paraId="7370AA42" w14:textId="77777777" w:rsidR="00710882" w:rsidRDefault="00710882" w:rsidP="004A2776">
      <w:pPr>
        <w:rPr>
          <w:lang w:val="es-ES_tradnl" w:eastAsia="es-ES_tradnl"/>
        </w:rPr>
      </w:pPr>
    </w:p>
    <w:p w14:paraId="44409A31" w14:textId="77777777" w:rsidR="00710882" w:rsidRDefault="00710882" w:rsidP="004A2776">
      <w:pPr>
        <w:rPr>
          <w:lang w:val="es-ES_tradnl" w:eastAsia="es-ES_tradnl"/>
        </w:rPr>
      </w:pPr>
    </w:p>
    <w:p w14:paraId="7D681925" w14:textId="77777777" w:rsidR="00710882" w:rsidRDefault="00710882" w:rsidP="004A2776">
      <w:pPr>
        <w:rPr>
          <w:lang w:val="es-ES_tradnl" w:eastAsia="es-ES_tradnl"/>
        </w:rPr>
      </w:pPr>
    </w:p>
    <w:p w14:paraId="5D42FBA6" w14:textId="6F6D04AC" w:rsidR="00710882" w:rsidRDefault="002830C4" w:rsidP="00AF3E26">
      <w:pPr>
        <w:rPr>
          <w:rFonts w:asciiTheme="majorHAnsi" w:hAnsiTheme="majorHAnsi"/>
          <w:b/>
          <w:sz w:val="56"/>
          <w:szCs w:val="56"/>
        </w:rPr>
      </w:pPr>
      <w:r>
        <w:rPr>
          <w:rFonts w:asciiTheme="majorHAnsi" w:hAnsiTheme="majorHAnsi"/>
          <w:sz w:val="56"/>
          <w:szCs w:val="56"/>
        </w:rPr>
        <w:t>Cuadros de P</w:t>
      </w:r>
      <w:r w:rsidR="00710882">
        <w:rPr>
          <w:rFonts w:asciiTheme="majorHAnsi" w:hAnsiTheme="majorHAnsi"/>
          <w:sz w:val="56"/>
          <w:szCs w:val="56"/>
        </w:rPr>
        <w:t>resupuesto</w:t>
      </w:r>
    </w:p>
    <w:p w14:paraId="28FA07B4" w14:textId="77777777" w:rsidR="00710882" w:rsidRDefault="00710882" w:rsidP="004A2776">
      <w:pPr>
        <w:rPr>
          <w:lang w:val="es-ES_tradnl" w:eastAsia="es-ES_tradnl"/>
        </w:rPr>
      </w:pPr>
    </w:p>
    <w:p w14:paraId="1B0656F7" w14:textId="677E316A" w:rsidR="00710882" w:rsidRDefault="00710882">
      <w:pPr>
        <w:rPr>
          <w:lang w:val="es-ES_tradnl" w:eastAsia="es-ES_tradnl"/>
        </w:rPr>
      </w:pPr>
      <w:r>
        <w:rPr>
          <w:lang w:val="es-ES_tradnl" w:eastAsia="es-ES_tradnl"/>
        </w:rPr>
        <w:br w:type="page"/>
      </w:r>
    </w:p>
    <w:p w14:paraId="6F3A9BED" w14:textId="77777777" w:rsidR="00710882" w:rsidRDefault="00710882" w:rsidP="004A2776">
      <w:pPr>
        <w:rPr>
          <w:lang w:val="es-ES_tradnl" w:eastAsia="es-ES_tradnl"/>
        </w:rPr>
      </w:pPr>
    </w:p>
    <w:p w14:paraId="6A81FBEE" w14:textId="42010918" w:rsidR="000F18A2" w:rsidRDefault="002830C4" w:rsidP="000F18A2">
      <w:pPr>
        <w:pStyle w:val="NormalWeb"/>
        <w:tabs>
          <w:tab w:val="left" w:pos="567"/>
        </w:tabs>
        <w:outlineLvl w:val="0"/>
        <w:rPr>
          <w:rFonts w:asciiTheme="majorHAnsi" w:hAnsiTheme="majorHAnsi" w:cs="Tahoma"/>
          <w:b/>
          <w:bCs/>
          <w:smallCaps/>
          <w:sz w:val="28"/>
        </w:rPr>
      </w:pPr>
      <w:bookmarkStart w:id="58" w:name="_Toc429563211"/>
      <w:r w:rsidRPr="009208A5">
        <w:rPr>
          <w:rFonts w:asciiTheme="majorHAnsi" w:hAnsiTheme="majorHAnsi" w:cs="Tahoma"/>
          <w:b/>
          <w:bCs/>
          <w:smallCaps/>
          <w:sz w:val="28"/>
        </w:rPr>
        <w:t xml:space="preserve">4. </w:t>
      </w:r>
      <w:r w:rsidRPr="009208A5">
        <w:rPr>
          <w:rFonts w:asciiTheme="majorHAnsi" w:hAnsiTheme="majorHAnsi" w:cs="Tahoma"/>
          <w:b/>
          <w:bCs/>
          <w:smallCaps/>
          <w:sz w:val="28"/>
        </w:rPr>
        <w:tab/>
        <w:t>Cuadros</w:t>
      </w:r>
      <w:r w:rsidR="000F18A2" w:rsidRPr="009208A5">
        <w:rPr>
          <w:rFonts w:asciiTheme="majorHAnsi" w:hAnsiTheme="majorHAnsi" w:cs="Tahoma"/>
          <w:b/>
          <w:bCs/>
          <w:smallCaps/>
          <w:sz w:val="28"/>
        </w:rPr>
        <w:t xml:space="preserve"> </w:t>
      </w:r>
      <w:r w:rsidRPr="009208A5">
        <w:rPr>
          <w:rFonts w:asciiTheme="majorHAnsi" w:hAnsiTheme="majorHAnsi" w:cs="Tahoma"/>
          <w:b/>
          <w:bCs/>
          <w:smallCaps/>
          <w:sz w:val="28"/>
        </w:rPr>
        <w:t xml:space="preserve">de </w:t>
      </w:r>
      <w:r w:rsidR="000F18A2" w:rsidRPr="009208A5">
        <w:rPr>
          <w:rFonts w:asciiTheme="majorHAnsi" w:hAnsiTheme="majorHAnsi" w:cs="Tahoma"/>
          <w:b/>
          <w:bCs/>
          <w:smallCaps/>
          <w:sz w:val="28"/>
        </w:rPr>
        <w:t>Presupuesto</w:t>
      </w:r>
      <w:bookmarkEnd w:id="58"/>
      <w:r w:rsidR="009208A5">
        <w:rPr>
          <w:rFonts w:asciiTheme="majorHAnsi" w:hAnsiTheme="majorHAnsi" w:cs="Tahoma"/>
          <w:b/>
          <w:bCs/>
          <w:smallCaps/>
          <w:sz w:val="28"/>
        </w:rPr>
        <w:t xml:space="preserve"> </w:t>
      </w:r>
    </w:p>
    <w:p w14:paraId="619349C5" w14:textId="6A2105C5" w:rsidR="000F18A2" w:rsidRDefault="000F18A2" w:rsidP="004A2776">
      <w:pPr>
        <w:rPr>
          <w:noProof/>
        </w:rPr>
      </w:pPr>
    </w:p>
    <w:p w14:paraId="0FE74756" w14:textId="1A2C8AB1" w:rsidR="001F5F65" w:rsidRDefault="00E705D8" w:rsidP="004A2776">
      <w:pPr>
        <w:rPr>
          <w:lang w:val="es-ES_tradnl" w:eastAsia="es-ES_tradnl"/>
        </w:rPr>
      </w:pPr>
      <w:r w:rsidRPr="00E705D8">
        <w:rPr>
          <w:noProof/>
        </w:rPr>
        <w:drawing>
          <wp:inline distT="0" distB="0" distL="0" distR="0" wp14:anchorId="3B11E5F0" wp14:editId="3D5C53D3">
            <wp:extent cx="6120765" cy="2025001"/>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765" cy="2025001"/>
                    </a:xfrm>
                    <a:prstGeom prst="rect">
                      <a:avLst/>
                    </a:prstGeom>
                    <a:noFill/>
                    <a:ln>
                      <a:noFill/>
                    </a:ln>
                  </pic:spPr>
                </pic:pic>
              </a:graphicData>
            </a:graphic>
          </wp:inline>
        </w:drawing>
      </w:r>
    </w:p>
    <w:p w14:paraId="367CCCEF" w14:textId="77777777" w:rsidR="00710882" w:rsidRPr="002830C4" w:rsidRDefault="00710882" w:rsidP="004A2776">
      <w:pPr>
        <w:rPr>
          <w:color w:val="1F497D" w:themeColor="text2"/>
          <w:lang w:val="es-ES_tradnl" w:eastAsia="es-ES_tradnl"/>
        </w:rPr>
      </w:pPr>
    </w:p>
    <w:p w14:paraId="0E97B45C" w14:textId="77777777" w:rsidR="00224389" w:rsidRPr="002830C4" w:rsidRDefault="00224389" w:rsidP="004A2776">
      <w:pPr>
        <w:rPr>
          <w:color w:val="1F497D" w:themeColor="text2"/>
          <w:lang w:val="es-ES_tradnl" w:eastAsia="es-ES_tradnl"/>
        </w:rPr>
      </w:pPr>
    </w:p>
    <w:p w14:paraId="0ECB6D0F" w14:textId="6FC6CCA6" w:rsidR="00224389" w:rsidRDefault="00224389">
      <w:pPr>
        <w:rPr>
          <w:lang w:val="es-ES_tradnl" w:eastAsia="es-ES_tradnl"/>
        </w:rPr>
      </w:pPr>
      <w:r>
        <w:rPr>
          <w:lang w:val="es-ES_tradnl" w:eastAsia="es-ES_tradnl"/>
        </w:rPr>
        <w:br w:type="page"/>
      </w:r>
    </w:p>
    <w:p w14:paraId="21EEF7F9" w14:textId="77777777" w:rsidR="00224389" w:rsidRDefault="00224389" w:rsidP="004A2776">
      <w:pPr>
        <w:rPr>
          <w:lang w:val="es-ES_tradnl" w:eastAsia="es-ES_tradnl"/>
        </w:rPr>
      </w:pPr>
    </w:p>
    <w:p w14:paraId="67ABC7EC" w14:textId="77777777" w:rsidR="00224389" w:rsidRDefault="00224389" w:rsidP="004A2776">
      <w:pPr>
        <w:rPr>
          <w:lang w:val="es-ES_tradnl" w:eastAsia="es-ES_tradnl"/>
        </w:rPr>
      </w:pPr>
    </w:p>
    <w:p w14:paraId="36B39951" w14:textId="77777777" w:rsidR="00224389" w:rsidRDefault="00224389" w:rsidP="004A2776">
      <w:pPr>
        <w:rPr>
          <w:lang w:val="es-ES_tradnl" w:eastAsia="es-ES_tradnl"/>
        </w:rPr>
      </w:pPr>
    </w:p>
    <w:p w14:paraId="442198FA" w14:textId="14C9B496" w:rsidR="00224389" w:rsidRDefault="00E705D8" w:rsidP="00164829">
      <w:pPr>
        <w:jc w:val="center"/>
        <w:rPr>
          <w:lang w:val="es-ES_tradnl" w:eastAsia="es-ES_tradnl"/>
        </w:rPr>
      </w:pPr>
      <w:r w:rsidRPr="00E705D8">
        <w:rPr>
          <w:noProof/>
        </w:rPr>
        <w:drawing>
          <wp:inline distT="0" distB="0" distL="0" distR="0" wp14:anchorId="4D79E72F" wp14:editId="1B6AA684">
            <wp:extent cx="6120765" cy="3162979"/>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765" cy="3162979"/>
                    </a:xfrm>
                    <a:prstGeom prst="rect">
                      <a:avLst/>
                    </a:prstGeom>
                    <a:noFill/>
                    <a:ln>
                      <a:noFill/>
                    </a:ln>
                  </pic:spPr>
                </pic:pic>
              </a:graphicData>
            </a:graphic>
          </wp:inline>
        </w:drawing>
      </w:r>
    </w:p>
    <w:p w14:paraId="230D7FD6" w14:textId="77777777" w:rsidR="00224389" w:rsidRDefault="00224389" w:rsidP="004A2776">
      <w:pPr>
        <w:rPr>
          <w:lang w:val="es-ES_tradnl" w:eastAsia="es-ES_tradnl"/>
        </w:rPr>
      </w:pPr>
    </w:p>
    <w:p w14:paraId="57EDEC30" w14:textId="5D8AD729" w:rsidR="00224389" w:rsidRDefault="00224389">
      <w:pPr>
        <w:rPr>
          <w:lang w:val="es-ES_tradnl" w:eastAsia="es-ES_tradnl"/>
        </w:rPr>
      </w:pPr>
      <w:r>
        <w:rPr>
          <w:lang w:val="es-ES_tradnl" w:eastAsia="es-ES_tradnl"/>
        </w:rPr>
        <w:br w:type="page"/>
      </w:r>
    </w:p>
    <w:p w14:paraId="2580AB19" w14:textId="025674E0" w:rsidR="00B97927" w:rsidRDefault="00B97927" w:rsidP="00164829">
      <w:pPr>
        <w:jc w:val="center"/>
        <w:rPr>
          <w:lang w:val="es-ES_tradnl" w:eastAsia="es-ES_tradnl"/>
        </w:rPr>
      </w:pPr>
    </w:p>
    <w:p w14:paraId="5F9564BD" w14:textId="4B5F735D" w:rsidR="00522D94" w:rsidRDefault="00E705D8" w:rsidP="00164829">
      <w:pPr>
        <w:jc w:val="center"/>
        <w:rPr>
          <w:lang w:val="es-ES_tradnl" w:eastAsia="es-ES_tradnl"/>
        </w:rPr>
      </w:pPr>
      <w:r w:rsidRPr="00E705D8">
        <w:rPr>
          <w:noProof/>
        </w:rPr>
        <w:drawing>
          <wp:inline distT="0" distB="0" distL="0" distR="0" wp14:anchorId="1F2BC47F" wp14:editId="62A4D676">
            <wp:extent cx="6120765" cy="671221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6712210"/>
                    </a:xfrm>
                    <a:prstGeom prst="rect">
                      <a:avLst/>
                    </a:prstGeom>
                    <a:noFill/>
                    <a:ln>
                      <a:noFill/>
                    </a:ln>
                  </pic:spPr>
                </pic:pic>
              </a:graphicData>
            </a:graphic>
          </wp:inline>
        </w:drawing>
      </w:r>
    </w:p>
    <w:p w14:paraId="644A02F9" w14:textId="014698A1" w:rsidR="00224389" w:rsidRDefault="00224389" w:rsidP="00164829">
      <w:pPr>
        <w:jc w:val="center"/>
        <w:rPr>
          <w:lang w:val="es-ES_tradnl" w:eastAsia="es-ES_tradnl"/>
        </w:rPr>
      </w:pPr>
      <w:r>
        <w:rPr>
          <w:lang w:val="es-ES_tradnl" w:eastAsia="es-ES_tradnl"/>
        </w:rPr>
        <w:br w:type="page"/>
      </w:r>
    </w:p>
    <w:p w14:paraId="652554A3" w14:textId="00CD5CD3" w:rsidR="00B97927" w:rsidRDefault="00E705D8" w:rsidP="00770876">
      <w:pPr>
        <w:jc w:val="center"/>
        <w:rPr>
          <w:lang w:val="es-ES_tradnl" w:eastAsia="es-ES_tradnl"/>
        </w:rPr>
      </w:pPr>
      <w:r w:rsidRPr="00E705D8">
        <w:rPr>
          <w:noProof/>
        </w:rPr>
        <w:lastRenderedPageBreak/>
        <w:drawing>
          <wp:inline distT="0" distB="0" distL="0" distR="0" wp14:anchorId="24D5119D" wp14:editId="5F43A47C">
            <wp:extent cx="6120765" cy="7973041"/>
            <wp:effectExtent l="0" t="0" r="0" b="952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765" cy="7973041"/>
                    </a:xfrm>
                    <a:prstGeom prst="rect">
                      <a:avLst/>
                    </a:prstGeom>
                    <a:noFill/>
                    <a:ln>
                      <a:noFill/>
                    </a:ln>
                  </pic:spPr>
                </pic:pic>
              </a:graphicData>
            </a:graphic>
          </wp:inline>
        </w:drawing>
      </w:r>
    </w:p>
    <w:p w14:paraId="2314AC86" w14:textId="2608F0B6" w:rsidR="004237E0" w:rsidRDefault="00E705D8" w:rsidP="00770876">
      <w:pPr>
        <w:jc w:val="center"/>
        <w:rPr>
          <w:lang w:val="es-ES_tradnl" w:eastAsia="es-ES_tradnl"/>
        </w:rPr>
      </w:pPr>
      <w:r w:rsidRPr="00E705D8">
        <w:rPr>
          <w:noProof/>
        </w:rPr>
        <w:lastRenderedPageBreak/>
        <w:drawing>
          <wp:inline distT="0" distB="0" distL="0" distR="0" wp14:anchorId="49A9A40D" wp14:editId="2F8ADF25">
            <wp:extent cx="6120765" cy="7950117"/>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7950117"/>
                    </a:xfrm>
                    <a:prstGeom prst="rect">
                      <a:avLst/>
                    </a:prstGeom>
                    <a:noFill/>
                    <a:ln>
                      <a:noFill/>
                    </a:ln>
                  </pic:spPr>
                </pic:pic>
              </a:graphicData>
            </a:graphic>
          </wp:inline>
        </w:drawing>
      </w:r>
    </w:p>
    <w:p w14:paraId="78F68700" w14:textId="0C857CCC" w:rsidR="009B5A21" w:rsidRDefault="009B5A21" w:rsidP="00BF3A9E">
      <w:pPr>
        <w:jc w:val="center"/>
        <w:rPr>
          <w:lang w:val="es-ES_tradnl" w:eastAsia="es-ES_tradnl"/>
        </w:rPr>
      </w:pPr>
    </w:p>
    <w:p w14:paraId="04FFE679" w14:textId="227A2444" w:rsidR="00DD6B12" w:rsidRDefault="00E705D8" w:rsidP="00BF3A9E">
      <w:pPr>
        <w:jc w:val="center"/>
        <w:rPr>
          <w:lang w:val="es-ES_tradnl" w:eastAsia="es-ES_tradnl"/>
        </w:rPr>
      </w:pPr>
      <w:r w:rsidRPr="00E705D8">
        <w:rPr>
          <w:noProof/>
        </w:rPr>
        <w:drawing>
          <wp:inline distT="0" distB="0" distL="0" distR="0" wp14:anchorId="17C37C52" wp14:editId="28D3124F">
            <wp:extent cx="6120765" cy="4053001"/>
            <wp:effectExtent l="0" t="0" r="0" b="508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765" cy="4053001"/>
                    </a:xfrm>
                    <a:prstGeom prst="rect">
                      <a:avLst/>
                    </a:prstGeom>
                    <a:noFill/>
                    <a:ln>
                      <a:noFill/>
                    </a:ln>
                  </pic:spPr>
                </pic:pic>
              </a:graphicData>
            </a:graphic>
          </wp:inline>
        </w:drawing>
      </w:r>
    </w:p>
    <w:p w14:paraId="10172681" w14:textId="78116344" w:rsidR="009B5A21" w:rsidRDefault="009B5A21" w:rsidP="00BF3A9E">
      <w:pPr>
        <w:jc w:val="center"/>
        <w:rPr>
          <w:lang w:val="es-ES_tradnl" w:eastAsia="es-ES_tradnl"/>
        </w:rPr>
      </w:pPr>
    </w:p>
    <w:p w14:paraId="087F379B" w14:textId="77777777" w:rsidR="002830C4" w:rsidRDefault="002830C4" w:rsidP="00BF3A9E">
      <w:pPr>
        <w:jc w:val="center"/>
        <w:rPr>
          <w:lang w:val="es-ES_tradnl" w:eastAsia="es-ES_tradnl"/>
        </w:rPr>
      </w:pPr>
    </w:p>
    <w:p w14:paraId="1AAAADE7" w14:textId="6F2521EC" w:rsidR="00CC0A80" w:rsidRPr="00BF3A9E" w:rsidRDefault="00CC0A80" w:rsidP="002830C4">
      <w:pPr>
        <w:rPr>
          <w:lang w:val="es-ES_tradnl" w:eastAsia="es-ES_tradnl"/>
        </w:rPr>
      </w:pPr>
      <w:r>
        <w:rPr>
          <w:lang w:val="es-ES_tradnl" w:eastAsia="es-ES_tradnl"/>
        </w:rPr>
        <w:br w:type="page"/>
      </w:r>
    </w:p>
    <w:p w14:paraId="3FECDCB5" w14:textId="43645CB6" w:rsidR="00CC0A80" w:rsidRDefault="00E705D8" w:rsidP="00164829">
      <w:pPr>
        <w:jc w:val="center"/>
        <w:rPr>
          <w:lang w:val="es-ES_tradnl" w:eastAsia="es-ES_tradnl"/>
        </w:rPr>
      </w:pPr>
      <w:r w:rsidRPr="00E705D8">
        <w:rPr>
          <w:noProof/>
        </w:rPr>
        <w:lastRenderedPageBreak/>
        <w:drawing>
          <wp:inline distT="0" distB="0" distL="0" distR="0" wp14:anchorId="1DC2B1E2" wp14:editId="3DFF50CD">
            <wp:extent cx="5989738" cy="7797800"/>
            <wp:effectExtent l="0" t="0" r="0" b="0"/>
            <wp:docPr id="80448" name="Imagen 8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91820" cy="7800511"/>
                    </a:xfrm>
                    <a:prstGeom prst="rect">
                      <a:avLst/>
                    </a:prstGeom>
                    <a:noFill/>
                    <a:ln>
                      <a:noFill/>
                    </a:ln>
                  </pic:spPr>
                </pic:pic>
              </a:graphicData>
            </a:graphic>
          </wp:inline>
        </w:drawing>
      </w:r>
    </w:p>
    <w:p w14:paraId="4B5C78DF" w14:textId="095664A0" w:rsidR="00A77EC9" w:rsidRDefault="00E705D8" w:rsidP="00013FEC">
      <w:pPr>
        <w:jc w:val="center"/>
        <w:rPr>
          <w:noProof/>
        </w:rPr>
      </w:pPr>
      <w:r w:rsidRPr="00E705D8">
        <w:rPr>
          <w:noProof/>
        </w:rPr>
        <w:lastRenderedPageBreak/>
        <w:drawing>
          <wp:inline distT="0" distB="0" distL="0" distR="0" wp14:anchorId="4463A286" wp14:editId="2FDE6305">
            <wp:extent cx="6120765" cy="6699934"/>
            <wp:effectExtent l="0" t="0" r="0" b="5715"/>
            <wp:docPr id="80449" name="Imagen 8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765" cy="6699934"/>
                    </a:xfrm>
                    <a:prstGeom prst="rect">
                      <a:avLst/>
                    </a:prstGeom>
                    <a:noFill/>
                    <a:ln>
                      <a:noFill/>
                    </a:ln>
                  </pic:spPr>
                </pic:pic>
              </a:graphicData>
            </a:graphic>
          </wp:inline>
        </w:drawing>
      </w:r>
    </w:p>
    <w:p w14:paraId="79310AA5" w14:textId="77777777" w:rsidR="00984811" w:rsidRDefault="00984811" w:rsidP="00013FEC">
      <w:pPr>
        <w:jc w:val="center"/>
        <w:rPr>
          <w:lang w:val="es-ES_tradnl" w:eastAsia="es-ES_tradnl"/>
        </w:rPr>
      </w:pPr>
    </w:p>
    <w:p w14:paraId="34535D55" w14:textId="77777777" w:rsidR="00A77EC9" w:rsidRDefault="00A77EC9" w:rsidP="004A2776">
      <w:pPr>
        <w:rPr>
          <w:lang w:val="es-ES_tradnl" w:eastAsia="es-ES_tradnl"/>
        </w:rPr>
        <w:sectPr w:rsidR="00A77EC9" w:rsidSect="00B61EB6">
          <w:pgSz w:w="12242" w:h="15842" w:code="1"/>
          <w:pgMar w:top="1418" w:right="902" w:bottom="1418" w:left="1701" w:header="709" w:footer="709" w:gutter="0"/>
          <w:cols w:space="708"/>
          <w:docGrid w:linePitch="360"/>
        </w:sectPr>
      </w:pPr>
    </w:p>
    <w:p w14:paraId="20A852EB" w14:textId="3DA80936" w:rsidR="00A77EC9" w:rsidRDefault="00E705D8" w:rsidP="004A2776">
      <w:pPr>
        <w:rPr>
          <w:lang w:val="es-ES_tradnl" w:eastAsia="es-ES_tradnl"/>
        </w:rPr>
      </w:pPr>
      <w:r w:rsidRPr="00E705D8">
        <w:rPr>
          <w:noProof/>
        </w:rPr>
        <w:lastRenderedPageBreak/>
        <w:drawing>
          <wp:inline distT="0" distB="0" distL="0" distR="0" wp14:anchorId="036D7C34" wp14:editId="39905A44">
            <wp:extent cx="8550910" cy="5245795"/>
            <wp:effectExtent l="0" t="0" r="2540" b="0"/>
            <wp:docPr id="80451" name="Imagen 8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550910" cy="5245795"/>
                    </a:xfrm>
                    <a:prstGeom prst="rect">
                      <a:avLst/>
                    </a:prstGeom>
                    <a:noFill/>
                    <a:ln>
                      <a:noFill/>
                    </a:ln>
                  </pic:spPr>
                </pic:pic>
              </a:graphicData>
            </a:graphic>
          </wp:inline>
        </w:drawing>
      </w:r>
    </w:p>
    <w:p w14:paraId="4022E1DD" w14:textId="6B8FBB3B" w:rsidR="00B61EB6" w:rsidRDefault="00B61EB6">
      <w:pPr>
        <w:rPr>
          <w:lang w:val="es-ES_tradnl" w:eastAsia="es-ES_tradnl"/>
        </w:rPr>
      </w:pPr>
      <w:r>
        <w:rPr>
          <w:lang w:val="es-ES_tradnl" w:eastAsia="es-ES_tradnl"/>
        </w:rPr>
        <w:br w:type="page"/>
      </w:r>
    </w:p>
    <w:p w14:paraId="040EB3AF" w14:textId="6D609729" w:rsidR="00A77EC9" w:rsidRDefault="00F35105" w:rsidP="004A2776">
      <w:pPr>
        <w:rPr>
          <w:lang w:val="es-ES_tradnl" w:eastAsia="es-ES_tradnl"/>
        </w:rPr>
      </w:pPr>
      <w:r w:rsidRPr="00F35105">
        <w:rPr>
          <w:noProof/>
        </w:rPr>
        <w:lastRenderedPageBreak/>
        <w:drawing>
          <wp:inline distT="0" distB="0" distL="0" distR="0" wp14:anchorId="354F8822" wp14:editId="409E1776">
            <wp:extent cx="8550910" cy="5143131"/>
            <wp:effectExtent l="0" t="0" r="2540" b="635"/>
            <wp:docPr id="80452" name="Imagen 8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50910" cy="5143131"/>
                    </a:xfrm>
                    <a:prstGeom prst="rect">
                      <a:avLst/>
                    </a:prstGeom>
                    <a:noFill/>
                    <a:ln>
                      <a:noFill/>
                    </a:ln>
                  </pic:spPr>
                </pic:pic>
              </a:graphicData>
            </a:graphic>
          </wp:inline>
        </w:drawing>
      </w:r>
    </w:p>
    <w:p w14:paraId="5DA9EFA4" w14:textId="77777777" w:rsidR="007B6C67" w:rsidRDefault="007B6C67" w:rsidP="004A2776">
      <w:pPr>
        <w:rPr>
          <w:lang w:val="es-ES_tradnl" w:eastAsia="es-ES_tradnl"/>
        </w:rPr>
      </w:pPr>
    </w:p>
    <w:p w14:paraId="00E77D62" w14:textId="41459A93" w:rsidR="00984811" w:rsidRDefault="00F35105" w:rsidP="004A2776">
      <w:pPr>
        <w:rPr>
          <w:noProof/>
        </w:rPr>
      </w:pPr>
      <w:r w:rsidRPr="00F35105">
        <w:rPr>
          <w:noProof/>
        </w:rPr>
        <w:lastRenderedPageBreak/>
        <w:drawing>
          <wp:inline distT="0" distB="0" distL="0" distR="0" wp14:anchorId="66EE01AE" wp14:editId="55268192">
            <wp:extent cx="8550910" cy="5474305"/>
            <wp:effectExtent l="0" t="0" r="2540" b="0"/>
            <wp:docPr id="80453" name="Imagen 8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50910" cy="5474305"/>
                    </a:xfrm>
                    <a:prstGeom prst="rect">
                      <a:avLst/>
                    </a:prstGeom>
                    <a:noFill/>
                    <a:ln>
                      <a:noFill/>
                    </a:ln>
                  </pic:spPr>
                </pic:pic>
              </a:graphicData>
            </a:graphic>
          </wp:inline>
        </w:drawing>
      </w:r>
    </w:p>
    <w:p w14:paraId="76B8E77A" w14:textId="77777777" w:rsidR="00013FEC" w:rsidRPr="00C74695" w:rsidRDefault="00013FEC" w:rsidP="004A2776">
      <w:pPr>
        <w:rPr>
          <w:noProof/>
        </w:rPr>
        <w:sectPr w:rsidR="00013FEC" w:rsidRPr="00C74695" w:rsidSect="00A77EC9">
          <w:pgSz w:w="15842" w:h="12242" w:orient="landscape" w:code="1"/>
          <w:pgMar w:top="1701" w:right="958" w:bottom="1701" w:left="1418" w:header="709" w:footer="709" w:gutter="0"/>
          <w:cols w:space="708"/>
          <w:docGrid w:linePitch="360"/>
        </w:sectPr>
      </w:pPr>
    </w:p>
    <w:p w14:paraId="44DD5B9E" w14:textId="7B109A48" w:rsidR="00A77EC9" w:rsidRDefault="00A77EC9" w:rsidP="004A2776">
      <w:pPr>
        <w:rPr>
          <w:lang w:val="es-ES_tradnl" w:eastAsia="es-ES_tradnl"/>
        </w:rPr>
      </w:pPr>
    </w:p>
    <w:p w14:paraId="3CDCCEDD" w14:textId="0E8F05C6" w:rsidR="00C32229" w:rsidRDefault="001E2A97" w:rsidP="004A2776">
      <w:pPr>
        <w:rPr>
          <w:noProof/>
        </w:rPr>
      </w:pPr>
      <w:r w:rsidRPr="001E2A97">
        <w:rPr>
          <w:noProof/>
        </w:rPr>
        <w:drawing>
          <wp:inline distT="0" distB="0" distL="0" distR="0" wp14:anchorId="2C799E0A" wp14:editId="66C50E6D">
            <wp:extent cx="6120765" cy="2483069"/>
            <wp:effectExtent l="0" t="0" r="0" b="0"/>
            <wp:docPr id="80454" name="Imagen 8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765" cy="2483069"/>
                    </a:xfrm>
                    <a:prstGeom prst="rect">
                      <a:avLst/>
                    </a:prstGeom>
                    <a:noFill/>
                    <a:ln>
                      <a:noFill/>
                    </a:ln>
                  </pic:spPr>
                </pic:pic>
              </a:graphicData>
            </a:graphic>
          </wp:inline>
        </w:drawing>
      </w:r>
    </w:p>
    <w:p w14:paraId="62C908B2" w14:textId="750A5016" w:rsidR="001F48A2" w:rsidRDefault="001F48A2" w:rsidP="004A2776">
      <w:pPr>
        <w:rPr>
          <w:lang w:val="es-ES_tradnl" w:eastAsia="es-ES_tradnl"/>
        </w:rPr>
      </w:pPr>
    </w:p>
    <w:p w14:paraId="35AB0A99" w14:textId="060320C1" w:rsidR="001F48A2" w:rsidRDefault="001F48A2" w:rsidP="004A2776">
      <w:pPr>
        <w:rPr>
          <w:lang w:val="es-ES_tradnl" w:eastAsia="es-ES_tradnl"/>
        </w:rPr>
      </w:pPr>
    </w:p>
    <w:p w14:paraId="56CA7C3D" w14:textId="77777777" w:rsidR="001F48A2" w:rsidRDefault="001F48A2" w:rsidP="004A2776">
      <w:pPr>
        <w:rPr>
          <w:lang w:val="es-ES_tradnl" w:eastAsia="es-ES_tradnl"/>
        </w:rPr>
      </w:pPr>
    </w:p>
    <w:p w14:paraId="6D235906" w14:textId="77777777" w:rsidR="001F48A2" w:rsidRDefault="001F48A2" w:rsidP="004A2776">
      <w:pPr>
        <w:rPr>
          <w:lang w:val="es-ES_tradnl" w:eastAsia="es-ES_tradnl"/>
        </w:rPr>
        <w:sectPr w:rsidR="001F48A2" w:rsidSect="001F48A2">
          <w:pgSz w:w="12242" w:h="15842" w:code="1"/>
          <w:pgMar w:top="1418" w:right="902" w:bottom="1418" w:left="1701" w:header="709" w:footer="709" w:gutter="0"/>
          <w:cols w:space="708"/>
          <w:docGrid w:linePitch="360"/>
        </w:sectPr>
      </w:pPr>
    </w:p>
    <w:p w14:paraId="310D1504" w14:textId="387EA241" w:rsidR="001F48A2" w:rsidRDefault="001F48A2" w:rsidP="004A2776">
      <w:pPr>
        <w:rPr>
          <w:lang w:val="es-ES_tradnl" w:eastAsia="es-ES_tradnl"/>
        </w:rPr>
      </w:pPr>
    </w:p>
    <w:p w14:paraId="02EB7C2D" w14:textId="77777777" w:rsidR="00C32229" w:rsidRDefault="00C32229" w:rsidP="004A2776">
      <w:pPr>
        <w:rPr>
          <w:lang w:val="es-ES_tradnl" w:eastAsia="es-ES_tradnl"/>
        </w:rPr>
      </w:pPr>
    </w:p>
    <w:p w14:paraId="795B23F0" w14:textId="1CECA1FC" w:rsidR="001F48A2" w:rsidRDefault="001E2A97" w:rsidP="004A2776">
      <w:pPr>
        <w:rPr>
          <w:lang w:val="es-ES_tradnl" w:eastAsia="es-ES_tradnl"/>
        </w:rPr>
      </w:pPr>
      <w:r w:rsidRPr="001E2A97">
        <w:rPr>
          <w:noProof/>
        </w:rPr>
        <w:drawing>
          <wp:inline distT="0" distB="0" distL="0" distR="0" wp14:anchorId="54750781" wp14:editId="1C0C2619">
            <wp:extent cx="8258810" cy="3694731"/>
            <wp:effectExtent l="0" t="0" r="0" b="1270"/>
            <wp:docPr id="80456" name="Imagen 8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58810" cy="3694731"/>
                    </a:xfrm>
                    <a:prstGeom prst="rect">
                      <a:avLst/>
                    </a:prstGeom>
                    <a:noFill/>
                    <a:ln>
                      <a:noFill/>
                    </a:ln>
                  </pic:spPr>
                </pic:pic>
              </a:graphicData>
            </a:graphic>
          </wp:inline>
        </w:drawing>
      </w:r>
    </w:p>
    <w:p w14:paraId="64AE89CE" w14:textId="77777777" w:rsidR="009B5A21" w:rsidRDefault="009B5A21" w:rsidP="004A2776">
      <w:pPr>
        <w:rPr>
          <w:lang w:val="es-ES_tradnl" w:eastAsia="es-ES_tradnl"/>
        </w:rPr>
      </w:pPr>
    </w:p>
    <w:p w14:paraId="7DC25D6E" w14:textId="77777777" w:rsidR="001F48A2" w:rsidRDefault="001F48A2" w:rsidP="004A2776">
      <w:pPr>
        <w:rPr>
          <w:lang w:val="es-ES_tradnl" w:eastAsia="es-ES_tradnl"/>
        </w:rPr>
      </w:pPr>
    </w:p>
    <w:p w14:paraId="59456898" w14:textId="77777777" w:rsidR="001F48A2" w:rsidRDefault="001F48A2" w:rsidP="004A2776">
      <w:pPr>
        <w:rPr>
          <w:lang w:val="es-ES_tradnl" w:eastAsia="es-ES_tradnl"/>
        </w:rPr>
        <w:sectPr w:rsidR="001F48A2" w:rsidSect="001F48A2">
          <w:pgSz w:w="15842" w:h="12242" w:orient="landscape" w:code="1"/>
          <w:pgMar w:top="1701" w:right="1418" w:bottom="902" w:left="1418" w:header="709" w:footer="709" w:gutter="0"/>
          <w:cols w:space="708"/>
          <w:docGrid w:linePitch="360"/>
        </w:sectPr>
      </w:pPr>
    </w:p>
    <w:p w14:paraId="7B2AC678" w14:textId="23A4C15B" w:rsidR="00910DA5" w:rsidRDefault="001E2A97" w:rsidP="00910DA5">
      <w:pPr>
        <w:jc w:val="center"/>
        <w:rPr>
          <w:noProof/>
        </w:rPr>
      </w:pPr>
      <w:r w:rsidRPr="001E2A97">
        <w:rPr>
          <w:noProof/>
        </w:rPr>
        <w:lastRenderedPageBreak/>
        <w:drawing>
          <wp:inline distT="0" distB="0" distL="0" distR="0" wp14:anchorId="081BC40C" wp14:editId="07AECC3C">
            <wp:extent cx="5125788" cy="7467600"/>
            <wp:effectExtent l="0" t="0" r="0" b="0"/>
            <wp:docPr id="80457" name="Imagen 8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30791" cy="7474889"/>
                    </a:xfrm>
                    <a:prstGeom prst="rect">
                      <a:avLst/>
                    </a:prstGeom>
                    <a:noFill/>
                    <a:ln>
                      <a:noFill/>
                    </a:ln>
                  </pic:spPr>
                </pic:pic>
              </a:graphicData>
            </a:graphic>
          </wp:inline>
        </w:drawing>
      </w:r>
    </w:p>
    <w:p w14:paraId="17ABB5BC" w14:textId="77777777" w:rsidR="00910DA5" w:rsidRDefault="00910DA5">
      <w:pPr>
        <w:rPr>
          <w:lang w:val="es-ES_tradnl" w:eastAsia="es-ES_tradnl"/>
        </w:rPr>
      </w:pPr>
      <w:r>
        <w:rPr>
          <w:lang w:val="es-ES_tradnl" w:eastAsia="es-ES_tradnl"/>
        </w:rPr>
        <w:br w:type="page"/>
      </w:r>
    </w:p>
    <w:p w14:paraId="7AE00677" w14:textId="77777777" w:rsidR="00215F95" w:rsidRDefault="00215F95">
      <w:pPr>
        <w:rPr>
          <w:lang w:val="es-ES_tradnl" w:eastAsia="es-ES_tradnl"/>
        </w:rPr>
      </w:pPr>
    </w:p>
    <w:p w14:paraId="777C71A6" w14:textId="693A2098" w:rsidR="001F48A2" w:rsidRDefault="001E2A97" w:rsidP="00910DA5">
      <w:pPr>
        <w:jc w:val="center"/>
        <w:rPr>
          <w:lang w:val="es-ES_tradnl" w:eastAsia="es-ES_tradnl"/>
        </w:rPr>
      </w:pPr>
      <w:r w:rsidRPr="001E2A97">
        <w:rPr>
          <w:noProof/>
        </w:rPr>
        <w:drawing>
          <wp:inline distT="0" distB="0" distL="0" distR="0" wp14:anchorId="1CB882B0" wp14:editId="7DEFC74F">
            <wp:extent cx="5360328" cy="7524750"/>
            <wp:effectExtent l="0" t="0" r="0" b="0"/>
            <wp:docPr id="80458" name="Imagen 8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62416" cy="7527681"/>
                    </a:xfrm>
                    <a:prstGeom prst="rect">
                      <a:avLst/>
                    </a:prstGeom>
                    <a:noFill/>
                    <a:ln>
                      <a:noFill/>
                    </a:ln>
                  </pic:spPr>
                </pic:pic>
              </a:graphicData>
            </a:graphic>
          </wp:inline>
        </w:drawing>
      </w:r>
    </w:p>
    <w:p w14:paraId="3595D3A3" w14:textId="0CAEAD7A" w:rsidR="00A77EC9" w:rsidRDefault="00A77EC9" w:rsidP="00332C65">
      <w:pPr>
        <w:jc w:val="center"/>
        <w:rPr>
          <w:lang w:val="es-ES_tradnl" w:eastAsia="es-ES_tradnl"/>
        </w:rPr>
      </w:pPr>
      <w:r>
        <w:rPr>
          <w:lang w:val="es-ES_tradnl" w:eastAsia="es-ES_tradnl"/>
        </w:rPr>
        <w:br w:type="page"/>
      </w:r>
    </w:p>
    <w:p w14:paraId="0776D14D" w14:textId="5AC6F9FF" w:rsidR="00910DA5" w:rsidRDefault="00910DA5" w:rsidP="004A2776">
      <w:pPr>
        <w:rPr>
          <w:lang w:val="es-ES_tradnl" w:eastAsia="es-ES_tradnl"/>
        </w:rPr>
      </w:pPr>
    </w:p>
    <w:p w14:paraId="32961A7C" w14:textId="24EB5EC0" w:rsidR="00910DA5" w:rsidRDefault="001E2A97" w:rsidP="00C74695">
      <w:pPr>
        <w:jc w:val="center"/>
        <w:rPr>
          <w:noProof/>
        </w:rPr>
      </w:pPr>
      <w:r w:rsidRPr="001E2A97">
        <w:rPr>
          <w:noProof/>
        </w:rPr>
        <w:drawing>
          <wp:inline distT="0" distB="0" distL="0" distR="0" wp14:anchorId="47A6F948" wp14:editId="5D4E77AD">
            <wp:extent cx="5141896" cy="6807200"/>
            <wp:effectExtent l="0" t="0" r="0" b="0"/>
            <wp:docPr id="80459" name="Imagen 80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43688" cy="6809573"/>
                    </a:xfrm>
                    <a:prstGeom prst="rect">
                      <a:avLst/>
                    </a:prstGeom>
                    <a:noFill/>
                    <a:ln>
                      <a:noFill/>
                    </a:ln>
                  </pic:spPr>
                </pic:pic>
              </a:graphicData>
            </a:graphic>
          </wp:inline>
        </w:drawing>
      </w:r>
    </w:p>
    <w:p w14:paraId="211D3445" w14:textId="77777777" w:rsidR="00F9231C" w:rsidRDefault="00F9231C" w:rsidP="004A2776">
      <w:pPr>
        <w:rPr>
          <w:noProof/>
        </w:rPr>
      </w:pPr>
    </w:p>
    <w:p w14:paraId="0B52B11E" w14:textId="77777777" w:rsidR="00702D5C" w:rsidRDefault="00702D5C" w:rsidP="004A2776">
      <w:pPr>
        <w:rPr>
          <w:lang w:val="es-ES_tradnl" w:eastAsia="es-ES_tradnl"/>
        </w:rPr>
        <w:sectPr w:rsidR="00702D5C" w:rsidSect="004E39A1">
          <w:pgSz w:w="12242" w:h="15842" w:code="1"/>
          <w:pgMar w:top="1418" w:right="1701" w:bottom="1418" w:left="1701" w:header="709" w:footer="709" w:gutter="0"/>
          <w:cols w:space="708"/>
          <w:docGrid w:linePitch="360"/>
        </w:sectPr>
      </w:pPr>
    </w:p>
    <w:p w14:paraId="1BBF58ED" w14:textId="0177EDCC" w:rsidR="00910DA5" w:rsidRDefault="00910DA5" w:rsidP="004A2776">
      <w:pPr>
        <w:rPr>
          <w:lang w:val="es-ES_tradnl" w:eastAsia="es-ES_tradnl"/>
        </w:rPr>
      </w:pPr>
    </w:p>
    <w:p w14:paraId="5AB233BE" w14:textId="0A9E38CB" w:rsidR="00F73F4B" w:rsidRDefault="00215F95" w:rsidP="004A2776">
      <w:pPr>
        <w:rPr>
          <w:lang w:val="es-ES_tradnl" w:eastAsia="es-ES_tradnl"/>
        </w:rPr>
      </w:pPr>
      <w:r w:rsidRPr="00215F95">
        <w:rPr>
          <w:noProof/>
        </w:rPr>
        <w:drawing>
          <wp:inline distT="0" distB="0" distL="0" distR="0" wp14:anchorId="551FD87D" wp14:editId="521C6099">
            <wp:extent cx="8258810" cy="3891175"/>
            <wp:effectExtent l="0" t="0" r="0" b="0"/>
            <wp:docPr id="80460" name="Imagen 80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58810" cy="3891175"/>
                    </a:xfrm>
                    <a:prstGeom prst="rect">
                      <a:avLst/>
                    </a:prstGeom>
                    <a:noFill/>
                    <a:ln>
                      <a:noFill/>
                    </a:ln>
                  </pic:spPr>
                </pic:pic>
              </a:graphicData>
            </a:graphic>
          </wp:inline>
        </w:drawing>
      </w:r>
    </w:p>
    <w:p w14:paraId="672CF7CB" w14:textId="77777777" w:rsidR="00910DA5" w:rsidRDefault="00910DA5" w:rsidP="004A2776">
      <w:pPr>
        <w:rPr>
          <w:lang w:val="es-ES_tradnl" w:eastAsia="es-ES_tradnl"/>
        </w:rPr>
      </w:pPr>
    </w:p>
    <w:p w14:paraId="432B224E" w14:textId="77777777" w:rsidR="00910DA5" w:rsidRDefault="00910DA5" w:rsidP="004A2776">
      <w:pPr>
        <w:rPr>
          <w:lang w:val="es-ES_tradnl" w:eastAsia="es-ES_tradnl"/>
        </w:rPr>
        <w:sectPr w:rsidR="00910DA5" w:rsidSect="00910DA5">
          <w:pgSz w:w="15842" w:h="12242" w:orient="landscape" w:code="1"/>
          <w:pgMar w:top="1701" w:right="1418" w:bottom="1701" w:left="1418" w:header="709" w:footer="709" w:gutter="0"/>
          <w:cols w:space="708"/>
          <w:docGrid w:linePitch="360"/>
        </w:sectPr>
      </w:pPr>
    </w:p>
    <w:p w14:paraId="1D2C9952" w14:textId="530292CA" w:rsidR="00910DA5" w:rsidRDefault="00910DA5" w:rsidP="004A2776">
      <w:pPr>
        <w:rPr>
          <w:lang w:val="es-ES_tradnl" w:eastAsia="es-ES_tradnl"/>
        </w:rPr>
      </w:pPr>
    </w:p>
    <w:p w14:paraId="1D17355E" w14:textId="77777777" w:rsidR="007B6C67" w:rsidRDefault="007B6C67" w:rsidP="004A2776">
      <w:pPr>
        <w:rPr>
          <w:lang w:val="es-ES_tradnl" w:eastAsia="es-ES_tradnl"/>
        </w:rPr>
      </w:pPr>
    </w:p>
    <w:p w14:paraId="16C337AB" w14:textId="6FD17D29" w:rsidR="00910DA5" w:rsidRDefault="001E2A97" w:rsidP="00C74695">
      <w:pPr>
        <w:jc w:val="center"/>
        <w:rPr>
          <w:lang w:val="es-ES_tradnl" w:eastAsia="es-ES_tradnl"/>
        </w:rPr>
      </w:pPr>
      <w:r w:rsidRPr="001E2A97">
        <w:rPr>
          <w:noProof/>
        </w:rPr>
        <w:drawing>
          <wp:inline distT="0" distB="0" distL="0" distR="0" wp14:anchorId="63E4D31F" wp14:editId="106F95DB">
            <wp:extent cx="5613400" cy="3883165"/>
            <wp:effectExtent l="0" t="0" r="6350" b="3175"/>
            <wp:docPr id="80461" name="Imagen 8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3400" cy="3883165"/>
                    </a:xfrm>
                    <a:prstGeom prst="rect">
                      <a:avLst/>
                    </a:prstGeom>
                    <a:noFill/>
                    <a:ln>
                      <a:noFill/>
                    </a:ln>
                  </pic:spPr>
                </pic:pic>
              </a:graphicData>
            </a:graphic>
          </wp:inline>
        </w:drawing>
      </w:r>
    </w:p>
    <w:p w14:paraId="6590C26F" w14:textId="77777777" w:rsidR="00910DA5" w:rsidRDefault="00910DA5" w:rsidP="004A2776">
      <w:pPr>
        <w:rPr>
          <w:lang w:val="es-ES_tradnl" w:eastAsia="es-ES_tradnl"/>
        </w:rPr>
      </w:pPr>
    </w:p>
    <w:p w14:paraId="6C04A09B" w14:textId="0892484F" w:rsidR="00910DA5" w:rsidRDefault="00910DA5">
      <w:pPr>
        <w:rPr>
          <w:lang w:val="es-ES_tradnl" w:eastAsia="es-ES_tradnl"/>
        </w:rPr>
      </w:pPr>
      <w:r>
        <w:rPr>
          <w:lang w:val="es-ES_tradnl" w:eastAsia="es-ES_tradnl"/>
        </w:rPr>
        <w:br w:type="page"/>
      </w:r>
    </w:p>
    <w:p w14:paraId="6EECA4AF" w14:textId="77777777" w:rsidR="00910DA5" w:rsidRDefault="00910DA5" w:rsidP="004A2776">
      <w:pPr>
        <w:rPr>
          <w:lang w:val="es-ES_tradnl" w:eastAsia="es-ES_tradnl"/>
        </w:rPr>
      </w:pPr>
    </w:p>
    <w:p w14:paraId="10480667" w14:textId="77777777" w:rsidR="00910DA5" w:rsidRDefault="00910DA5" w:rsidP="004A2776">
      <w:pPr>
        <w:rPr>
          <w:lang w:val="es-ES_tradnl" w:eastAsia="es-ES_tradnl"/>
        </w:rPr>
      </w:pPr>
    </w:p>
    <w:p w14:paraId="4D55B808" w14:textId="77777777" w:rsidR="0023798F" w:rsidRDefault="0023798F" w:rsidP="004A2776">
      <w:pPr>
        <w:rPr>
          <w:lang w:val="es-ES_tradnl" w:eastAsia="es-ES_tradnl"/>
        </w:rPr>
      </w:pPr>
    </w:p>
    <w:p w14:paraId="0F597ED6" w14:textId="77777777" w:rsidR="0023798F" w:rsidRDefault="0023798F" w:rsidP="004A2776">
      <w:pPr>
        <w:rPr>
          <w:lang w:val="es-ES_tradnl" w:eastAsia="es-ES_tradnl"/>
        </w:rPr>
      </w:pPr>
    </w:p>
    <w:p w14:paraId="390B4B27" w14:textId="77777777" w:rsidR="0023798F" w:rsidRDefault="0023798F" w:rsidP="004A2776">
      <w:pPr>
        <w:rPr>
          <w:lang w:val="es-ES_tradnl" w:eastAsia="es-ES_tradnl"/>
        </w:rPr>
      </w:pPr>
    </w:p>
    <w:p w14:paraId="014ED750" w14:textId="77777777" w:rsidR="0023798F" w:rsidRDefault="0023798F" w:rsidP="004A2776">
      <w:pPr>
        <w:rPr>
          <w:lang w:val="es-ES_tradnl" w:eastAsia="es-ES_tradnl"/>
        </w:rPr>
      </w:pPr>
    </w:p>
    <w:p w14:paraId="48A6B7C2" w14:textId="77777777" w:rsidR="0023798F" w:rsidRDefault="0023798F" w:rsidP="004A2776">
      <w:pPr>
        <w:rPr>
          <w:lang w:val="es-ES_tradnl" w:eastAsia="es-ES_tradnl"/>
        </w:rPr>
      </w:pPr>
    </w:p>
    <w:p w14:paraId="776380BA" w14:textId="77777777" w:rsidR="0023798F" w:rsidRDefault="0023798F" w:rsidP="004A2776">
      <w:pPr>
        <w:rPr>
          <w:lang w:val="es-ES_tradnl" w:eastAsia="es-ES_tradnl"/>
        </w:rPr>
      </w:pPr>
    </w:p>
    <w:p w14:paraId="3F4E471F" w14:textId="77777777" w:rsidR="0023798F" w:rsidRDefault="0023798F" w:rsidP="004A2776">
      <w:pPr>
        <w:rPr>
          <w:lang w:val="es-ES_tradnl" w:eastAsia="es-ES_tradnl"/>
        </w:rPr>
      </w:pPr>
    </w:p>
    <w:p w14:paraId="6C81EB90" w14:textId="12F30026" w:rsidR="0023798F" w:rsidRDefault="0023798F" w:rsidP="00AF3E26">
      <w:pPr>
        <w:rPr>
          <w:lang w:val="es-ES_tradnl" w:eastAsia="es-ES_tradnl"/>
        </w:rPr>
      </w:pPr>
      <w:r>
        <w:rPr>
          <w:rFonts w:asciiTheme="majorHAnsi" w:hAnsiTheme="majorHAnsi"/>
          <w:sz w:val="56"/>
          <w:szCs w:val="56"/>
        </w:rPr>
        <w:t>Documentos</w:t>
      </w:r>
    </w:p>
    <w:p w14:paraId="362A59F6" w14:textId="77777777" w:rsidR="00910DA5" w:rsidRDefault="00910DA5" w:rsidP="004A2776">
      <w:pPr>
        <w:rPr>
          <w:lang w:val="es-ES_tradnl" w:eastAsia="es-ES_tradnl"/>
        </w:rPr>
      </w:pPr>
    </w:p>
    <w:p w14:paraId="5790B8FD" w14:textId="77777777" w:rsidR="00563B93" w:rsidRDefault="00563B93" w:rsidP="004A2776">
      <w:pPr>
        <w:rPr>
          <w:lang w:val="es-ES_tradnl" w:eastAsia="es-ES_tradnl"/>
        </w:rPr>
      </w:pPr>
    </w:p>
    <w:p w14:paraId="69B4A0E4" w14:textId="77777777" w:rsidR="00563B93" w:rsidRDefault="00563B93" w:rsidP="004A2776">
      <w:pPr>
        <w:rPr>
          <w:lang w:val="es-ES_tradnl" w:eastAsia="es-ES_tradnl"/>
        </w:rPr>
        <w:sectPr w:rsidR="00563B93" w:rsidSect="004E39A1">
          <w:pgSz w:w="12242" w:h="15842" w:code="1"/>
          <w:pgMar w:top="1418" w:right="1701" w:bottom="1418" w:left="1701" w:header="709" w:footer="709" w:gutter="0"/>
          <w:cols w:space="708"/>
          <w:docGrid w:linePitch="360"/>
        </w:sectPr>
      </w:pPr>
    </w:p>
    <w:p w14:paraId="26A89178" w14:textId="18A9382D" w:rsidR="00563B93" w:rsidRPr="002830C4" w:rsidRDefault="00232424" w:rsidP="00563B93">
      <w:pPr>
        <w:pStyle w:val="NormalWeb"/>
        <w:tabs>
          <w:tab w:val="left" w:pos="567"/>
        </w:tabs>
        <w:outlineLvl w:val="0"/>
        <w:rPr>
          <w:rFonts w:asciiTheme="majorHAnsi" w:hAnsiTheme="majorHAnsi" w:cs="Tahoma"/>
          <w:b/>
          <w:bCs/>
          <w:smallCaps/>
          <w:sz w:val="28"/>
        </w:rPr>
      </w:pPr>
      <w:bookmarkStart w:id="59" w:name="_Toc429563212"/>
      <w:r>
        <w:rPr>
          <w:noProof/>
        </w:rPr>
        <w:lastRenderedPageBreak/>
        <mc:AlternateContent>
          <mc:Choice Requires="wpg">
            <w:drawing>
              <wp:anchor distT="0" distB="0" distL="228600" distR="228600" simplePos="0" relativeHeight="251732992" behindDoc="1" locked="0" layoutInCell="1" allowOverlap="1" wp14:anchorId="3A070528" wp14:editId="07565437">
                <wp:simplePos x="0" y="0"/>
                <wp:positionH relativeFrom="margin">
                  <wp:posOffset>4926330</wp:posOffset>
                </wp:positionH>
                <wp:positionV relativeFrom="margin">
                  <wp:posOffset>17145</wp:posOffset>
                </wp:positionV>
                <wp:extent cx="1562100" cy="7404100"/>
                <wp:effectExtent l="0" t="0" r="0" b="6350"/>
                <wp:wrapSquare wrapText="bothSides"/>
                <wp:docPr id="1" name="Grupo 1"/>
                <wp:cNvGraphicFramePr/>
                <a:graphic xmlns:a="http://schemas.openxmlformats.org/drawingml/2006/main">
                  <a:graphicData uri="http://schemas.microsoft.com/office/word/2010/wordprocessingGroup">
                    <wpg:wgp>
                      <wpg:cNvGrpSpPr/>
                      <wpg:grpSpPr>
                        <a:xfrm>
                          <a:off x="0" y="0"/>
                          <a:ext cx="1562100" cy="7404100"/>
                          <a:chOff x="-211540" y="0"/>
                          <a:chExt cx="2323550" cy="8836925"/>
                        </a:xfrm>
                      </wpg:grpSpPr>
                      <wps:wsp>
                        <wps:cNvPr id="6" name="Rectángulo 6"/>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ángulo 15"/>
                        <wps:cNvSpPr/>
                        <wps:spPr>
                          <a:xfrm>
                            <a:off x="-211540" y="2149521"/>
                            <a:ext cx="2323550" cy="668740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F221E7" w14:textId="77777777" w:rsidR="00722C76" w:rsidRDefault="00722C76" w:rsidP="00547B19">
                              <w:pPr>
                                <w:jc w:val="center"/>
                                <w:rPr>
                                  <w:color w:val="FFFFFF" w:themeColor="background1"/>
                                  <w:lang w:val="es-CR"/>
                                </w:rPr>
                              </w:pPr>
                            </w:p>
                            <w:p w14:paraId="4B0B671F" w14:textId="77777777" w:rsidR="00722C76" w:rsidRDefault="00722C76" w:rsidP="00547B19">
                              <w:pPr>
                                <w:jc w:val="center"/>
                                <w:rPr>
                                  <w:color w:val="FFFFFF" w:themeColor="background1"/>
                                  <w:lang w:val="es-CR"/>
                                </w:rPr>
                              </w:pPr>
                            </w:p>
                            <w:p w14:paraId="0F7FDFB0" w14:textId="77777777" w:rsidR="00722C76" w:rsidRDefault="00722C76" w:rsidP="00547B19">
                              <w:pPr>
                                <w:jc w:val="center"/>
                                <w:rPr>
                                  <w:color w:val="FFFFFF" w:themeColor="background1"/>
                                  <w:lang w:val="es-CR"/>
                                </w:rPr>
                              </w:pPr>
                            </w:p>
                            <w:p w14:paraId="37B52B18" w14:textId="77777777" w:rsidR="00722C76" w:rsidRDefault="00722C76" w:rsidP="00547B19">
                              <w:pPr>
                                <w:jc w:val="center"/>
                                <w:rPr>
                                  <w:color w:val="FFFFFF" w:themeColor="background1"/>
                                  <w:lang w:val="es-CR"/>
                                </w:rPr>
                              </w:pPr>
                            </w:p>
                            <w:p w14:paraId="3C430E7C" w14:textId="77777777" w:rsidR="00722C76" w:rsidRDefault="00722C76" w:rsidP="00547B19">
                              <w:pPr>
                                <w:jc w:val="center"/>
                                <w:rPr>
                                  <w:color w:val="FFFFFF" w:themeColor="background1"/>
                                  <w:lang w:val="es-CR"/>
                                </w:rPr>
                              </w:pPr>
                            </w:p>
                            <w:p w14:paraId="738F91EC" w14:textId="77777777" w:rsidR="00722C76" w:rsidRDefault="00722C76" w:rsidP="00547B19">
                              <w:pPr>
                                <w:jc w:val="center"/>
                                <w:rPr>
                                  <w:color w:val="FFFFFF" w:themeColor="background1"/>
                                  <w:lang w:val="es-CR"/>
                                </w:rPr>
                              </w:pPr>
                            </w:p>
                            <w:p w14:paraId="65DDF3A2" w14:textId="77777777" w:rsidR="00722C76" w:rsidRDefault="00722C76" w:rsidP="00547B19">
                              <w:pPr>
                                <w:jc w:val="center"/>
                                <w:rPr>
                                  <w:color w:val="FFFFFF" w:themeColor="background1"/>
                                  <w:lang w:val="es-CR"/>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7" name="Cuadro de texto 17"/>
                        <wps:cNvSpPr txBox="1"/>
                        <wps:spPr>
                          <a:xfrm>
                            <a:off x="-140487" y="231821"/>
                            <a:ext cx="2111240" cy="108757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9833B" w14:textId="77777777" w:rsidR="00722C76" w:rsidRDefault="00722C76" w:rsidP="00547B19">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699C28E0" w14:textId="77777777" w:rsidR="00722C76" w:rsidRDefault="00722C76" w:rsidP="00547B19">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2016-2020</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070528" id="Grupo 1" o:spid="_x0000_s1026" style="position:absolute;margin-left:387.9pt;margin-top:1.35pt;width:123pt;height:583pt;z-index:-251583488;mso-wrap-distance-left:18pt;mso-wrap-distance-right:18pt;mso-position-horizontal-relative:margin;mso-position-vertical-relative:margin;mso-width-relative:margin;mso-height-relative:margin" coordorigin="-2115" coordsize="23235,88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">
                <v:rect id="Rectángulo 6" o:spid="_x0000_s1027" style="position:absolute;width:1828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Rw6MMA&#10;AADaAAAADwAAAGRycy9kb3ducmV2LnhtbESPQWsCMRSE7wX/Q3iCt5q10KVsjdIKlR7ViujtsXlu&#10;lm5ewibrrv31jSB4HGbmG2a+HGwjLtSG2rGC2TQDQVw6XXOlYP/z9fwGIkRkjY1jUnClAMvF6GmO&#10;hXY9b+myi5VIEA4FKjAx+kLKUBqyGKbOEyfv7FqLMcm2krrFPsFtI1+yLJcWa04LBj2tDJW/u84q&#10;8Ov95nQ2n77Pr4fX9VB1x7+6U2oyHj7eQUQa4iN8b39rBTncrqQb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Rw6MMAAADaAAAADwAAAAAAAAAAAAAAAACYAgAAZHJzL2Rv&#10;d25yZXYueG1sUEsFBgAAAAAEAAQA9QAAAIgDAAAAAA==&#10;" fillcolor="#4f81bd [3204]" stroked="f" strokeweight="2pt"/>
                <v:rect id="Rectángulo 15" o:spid="_x0000_s1028" style="position:absolute;left:-2115;top:21495;width:23235;height:66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u24MQA&#10;AADbAAAADwAAAGRycy9kb3ducmV2LnhtbERPTWsCMRC9C/6HMAVvNbsFS12NUkpbPAilVmm9TZPp&#10;7uJmsk3iuv57Uyh4m8f7nPmyt43oyIfasYJ8nIEg1s7UXCrYfrzcPoAIEdlg45gUnCnAcjEczLEw&#10;7sTv1G1iKVIIhwIVVDG2hZRBV2QxjF1LnLgf5y3GBH0pjcdTCreNvMuye2mx5tRQYUtPFenD5mgV&#10;fL96/fu2a/dbc5zmn1/d+jkvtVKjm/5xBiJSH6/if/fKpPkT+PslH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rtuDEAAAA2wAAAA8AAAAAAAAAAAAAAAAAmAIAAGRycy9k&#10;b3ducmV2LnhtbFBLBQYAAAAABAAEAPUAAACJAwAAAAA=&#10;" fillcolor="#4f81bd [3204]" stroked="f" strokeweight="2pt">
                  <v:textbox inset=",14.4pt,8.64pt,18pt">
                    <w:txbxContent>
                      <w:p w14:paraId="13F221E7" w14:textId="77777777" w:rsidR="00722C76" w:rsidRDefault="00722C76" w:rsidP="00547B19">
                        <w:pPr>
                          <w:jc w:val="center"/>
                          <w:rPr>
                            <w:color w:val="FFFFFF" w:themeColor="background1"/>
                            <w:lang w:val="es-CR"/>
                          </w:rPr>
                        </w:pPr>
                      </w:p>
                      <w:p w14:paraId="4B0B671F" w14:textId="77777777" w:rsidR="00722C76" w:rsidRDefault="00722C76" w:rsidP="00547B19">
                        <w:pPr>
                          <w:jc w:val="center"/>
                          <w:rPr>
                            <w:color w:val="FFFFFF" w:themeColor="background1"/>
                            <w:lang w:val="es-CR"/>
                          </w:rPr>
                        </w:pPr>
                      </w:p>
                      <w:p w14:paraId="0F7FDFB0" w14:textId="77777777" w:rsidR="00722C76" w:rsidRDefault="00722C76" w:rsidP="00547B19">
                        <w:pPr>
                          <w:jc w:val="center"/>
                          <w:rPr>
                            <w:color w:val="FFFFFF" w:themeColor="background1"/>
                            <w:lang w:val="es-CR"/>
                          </w:rPr>
                        </w:pPr>
                      </w:p>
                      <w:p w14:paraId="37B52B18" w14:textId="77777777" w:rsidR="00722C76" w:rsidRDefault="00722C76" w:rsidP="00547B19">
                        <w:pPr>
                          <w:jc w:val="center"/>
                          <w:rPr>
                            <w:color w:val="FFFFFF" w:themeColor="background1"/>
                            <w:lang w:val="es-CR"/>
                          </w:rPr>
                        </w:pPr>
                      </w:p>
                      <w:p w14:paraId="3C430E7C" w14:textId="77777777" w:rsidR="00722C76" w:rsidRDefault="00722C76" w:rsidP="00547B19">
                        <w:pPr>
                          <w:jc w:val="center"/>
                          <w:rPr>
                            <w:color w:val="FFFFFF" w:themeColor="background1"/>
                            <w:lang w:val="es-CR"/>
                          </w:rPr>
                        </w:pPr>
                      </w:p>
                      <w:p w14:paraId="738F91EC" w14:textId="77777777" w:rsidR="00722C76" w:rsidRDefault="00722C76" w:rsidP="00547B19">
                        <w:pPr>
                          <w:jc w:val="center"/>
                          <w:rPr>
                            <w:color w:val="FFFFFF" w:themeColor="background1"/>
                            <w:lang w:val="es-CR"/>
                          </w:rPr>
                        </w:pPr>
                      </w:p>
                      <w:p w14:paraId="65DDF3A2" w14:textId="77777777" w:rsidR="00722C76" w:rsidRDefault="00722C76" w:rsidP="00547B19">
                        <w:pPr>
                          <w:jc w:val="center"/>
                          <w:rPr>
                            <w:color w:val="FFFFFF" w:themeColor="background1"/>
                            <w:lang w:val="es-CR"/>
                          </w:rPr>
                        </w:pPr>
                      </w:p>
                    </w:txbxContent>
                  </v:textbox>
                </v:rect>
                <v:shapetype id="_x0000_t202" coordsize="21600,21600" o:spt="202" path="m,l,21600r21600,l21600,xe">
                  <v:stroke joinstyle="miter"/>
                  <v:path gradientshapeok="t" o:connecttype="rect"/>
                </v:shapetype>
                <v:shape id="Cuadro de texto 17" o:spid="_x0000_s1029" type="#_x0000_t202" style="position:absolute;left:-1404;top:2318;width:21111;height:10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cwMr4A&#10;AADbAAAADwAAAGRycy9kb3ducmV2LnhtbERPTWvCQBC9F/wPywje6sZCtERXEYvWq6kXb0N2TILZ&#10;2bA7avrvu4VCb/N4n7PaDK5TDwqx9WxgNs1AEVfetlwbOH/tX99BRUG22HkmA98UYbMevaywsP7J&#10;J3qUUqsUwrFAA41IX2gdq4YcxqnviRN39cGhJBhqbQM+U7jr9FuWzbXDllNDgz3tGqpu5d0ZkEOc&#10;HfOzfM7DJf/IbakpkDZmMh62S1BCg/yL/9xHm+Yv4PeXdIBe/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FnMDK+AAAA2wAAAA8AAAAAAAAAAAAAAAAAmAIAAGRycy9kb3ducmV2&#10;LnhtbFBLBQYAAAAABAAEAPUAAACDAwAAAAA=&#10;" fillcolor="white [3212]" stroked="f" strokeweight=".5pt">
                  <v:textbox inset=",7.2pt,,7.2pt">
                    <w:txbxContent>
                      <w:p w14:paraId="0E29833B" w14:textId="77777777" w:rsidR="00722C76" w:rsidRDefault="00722C76" w:rsidP="00547B19">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Plan estratégico</w:t>
                        </w:r>
                      </w:p>
                      <w:p w14:paraId="699C28E0" w14:textId="77777777" w:rsidR="00722C76" w:rsidRDefault="00722C76" w:rsidP="00547B19">
                        <w:pPr>
                          <w:pStyle w:val="Sinespaciado"/>
                          <w:jc w:val="center"/>
                          <w:rPr>
                            <w:rFonts w:asciiTheme="majorHAnsi" w:eastAsiaTheme="majorEastAsia" w:hAnsiTheme="majorHAnsi" w:cstheme="majorBidi"/>
                            <w:caps/>
                            <w:color w:val="4F81BD" w:themeColor="accent1"/>
                            <w:sz w:val="28"/>
                            <w:szCs w:val="28"/>
                          </w:rPr>
                        </w:pPr>
                        <w:r>
                          <w:rPr>
                            <w:rFonts w:asciiTheme="majorHAnsi" w:eastAsiaTheme="majorEastAsia" w:hAnsiTheme="majorHAnsi" w:cstheme="majorBidi"/>
                            <w:caps/>
                            <w:color w:val="4F81BD" w:themeColor="accent1"/>
                            <w:sz w:val="28"/>
                            <w:szCs w:val="28"/>
                          </w:rPr>
                          <w:t>2016-2020</w:t>
                        </w:r>
                      </w:p>
                    </w:txbxContent>
                  </v:textbox>
                </v:shape>
                <w10:wrap type="square" anchorx="margin" anchory="margin"/>
              </v:group>
            </w:pict>
          </mc:Fallback>
        </mc:AlternateContent>
      </w:r>
      <w:r w:rsidR="00563B93" w:rsidRPr="002830C4">
        <w:rPr>
          <w:rFonts w:asciiTheme="majorHAnsi" w:hAnsiTheme="majorHAnsi" w:cs="Tahoma"/>
          <w:b/>
          <w:bCs/>
          <w:smallCaps/>
          <w:sz w:val="28"/>
        </w:rPr>
        <w:t xml:space="preserve">5. </w:t>
      </w:r>
      <w:r w:rsidR="00563B93" w:rsidRPr="002830C4">
        <w:rPr>
          <w:rFonts w:asciiTheme="majorHAnsi" w:hAnsiTheme="majorHAnsi" w:cs="Tahoma"/>
          <w:b/>
          <w:bCs/>
          <w:smallCaps/>
          <w:sz w:val="28"/>
        </w:rPr>
        <w:tab/>
        <w:t>Plan Estratégico 201</w:t>
      </w:r>
      <w:r w:rsidR="003A637D">
        <w:rPr>
          <w:rFonts w:asciiTheme="majorHAnsi" w:hAnsiTheme="majorHAnsi" w:cs="Tahoma"/>
          <w:b/>
          <w:bCs/>
          <w:smallCaps/>
          <w:sz w:val="28"/>
        </w:rPr>
        <w:t>6</w:t>
      </w:r>
      <w:r w:rsidR="00563B93" w:rsidRPr="002830C4">
        <w:rPr>
          <w:rFonts w:asciiTheme="majorHAnsi" w:hAnsiTheme="majorHAnsi" w:cs="Tahoma"/>
          <w:b/>
          <w:bCs/>
          <w:smallCaps/>
          <w:sz w:val="28"/>
        </w:rPr>
        <w:t>- 20</w:t>
      </w:r>
      <w:r w:rsidR="003A637D">
        <w:rPr>
          <w:rFonts w:asciiTheme="majorHAnsi" w:hAnsiTheme="majorHAnsi" w:cs="Tahoma"/>
          <w:b/>
          <w:bCs/>
          <w:smallCaps/>
          <w:sz w:val="28"/>
        </w:rPr>
        <w:t>20</w:t>
      </w:r>
      <w:bookmarkEnd w:id="59"/>
    </w:p>
    <w:p w14:paraId="6FDFA9A5" w14:textId="01363C05" w:rsidR="00547B19" w:rsidRDefault="00547B19" w:rsidP="00547B19">
      <w:pPr>
        <w:sectPr w:rsidR="00547B19" w:rsidSect="00965E81">
          <w:headerReference w:type="default" r:id="rId69"/>
          <w:footerReference w:type="default" r:id="rId70"/>
          <w:pgSz w:w="12240" w:h="15840"/>
          <w:pgMar w:top="720" w:right="720" w:bottom="720" w:left="720" w:header="708" w:footer="708" w:gutter="0"/>
          <w:cols w:space="708"/>
          <w:titlePg/>
          <w:docGrid w:linePitch="360"/>
        </w:sectPr>
      </w:pPr>
      <w:r w:rsidRPr="00656660">
        <w:rPr>
          <w:noProof/>
        </w:rPr>
        <w:drawing>
          <wp:anchor distT="0" distB="0" distL="114300" distR="114300" simplePos="0" relativeHeight="251731968" behindDoc="0" locked="0" layoutInCell="1" allowOverlap="1" wp14:anchorId="35D5B795" wp14:editId="62F09B2E">
            <wp:simplePos x="0" y="0"/>
            <wp:positionH relativeFrom="margin">
              <wp:posOffset>0</wp:posOffset>
            </wp:positionH>
            <wp:positionV relativeFrom="margin">
              <wp:posOffset>3638550</wp:posOffset>
            </wp:positionV>
            <wp:extent cx="3589655" cy="1388745"/>
            <wp:effectExtent l="0" t="0" r="0" b="1905"/>
            <wp:wrapSquare wrapText="bothSides"/>
            <wp:docPr id="40"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CD22652" w14:textId="77777777" w:rsidR="00547B19" w:rsidRPr="00AA1D26" w:rsidRDefault="00547B19" w:rsidP="00547B19">
      <w:pPr>
        <w:pStyle w:val="Ttulo1"/>
        <w:rPr>
          <w:noProof/>
        </w:rPr>
      </w:pPr>
      <w:bookmarkStart w:id="60" w:name="_Toc426468691"/>
      <w:bookmarkStart w:id="61" w:name="_Toc426979406"/>
      <w:bookmarkStart w:id="62" w:name="_Toc426979437"/>
      <w:bookmarkStart w:id="63" w:name="_Toc427911614"/>
      <w:bookmarkStart w:id="64" w:name="_Toc429562749"/>
      <w:bookmarkStart w:id="65" w:name="_Toc429563059"/>
      <w:bookmarkStart w:id="66" w:name="_Toc429563214"/>
      <w:r w:rsidRPr="00AA1D26">
        <w:lastRenderedPageBreak/>
        <w:t>Tabla de contenido</w:t>
      </w:r>
      <w:bookmarkEnd w:id="60"/>
      <w:bookmarkEnd w:id="61"/>
      <w:bookmarkEnd w:id="62"/>
      <w:bookmarkEnd w:id="63"/>
      <w:bookmarkEnd w:id="64"/>
      <w:bookmarkEnd w:id="65"/>
      <w:bookmarkEnd w:id="66"/>
      <w:r w:rsidRPr="00AA1D26">
        <w:rPr>
          <w:rFonts w:eastAsiaTheme="majorEastAsia"/>
          <w:color w:val="365F91" w:themeColor="accent1" w:themeShade="BF"/>
          <w:sz w:val="40"/>
        </w:rPr>
        <w:fldChar w:fldCharType="begin"/>
      </w:r>
      <w:r w:rsidRPr="00AA1D26">
        <w:instrText xml:space="preserve"> TOC \o "1-1" \h \z \u </w:instrText>
      </w:r>
      <w:r w:rsidRPr="00AA1D26">
        <w:rPr>
          <w:rFonts w:eastAsiaTheme="majorEastAsia"/>
          <w:color w:val="365F91" w:themeColor="accent1" w:themeShade="BF"/>
          <w:sz w:val="40"/>
        </w:rPr>
        <w:fldChar w:fldCharType="separate"/>
      </w:r>
    </w:p>
    <w:p w14:paraId="6514F73F" w14:textId="77777777" w:rsidR="00547B19" w:rsidRPr="00AA1D26" w:rsidRDefault="00722C76" w:rsidP="0043587E">
      <w:pPr>
        <w:pStyle w:val="TDC1"/>
      </w:pPr>
      <w:hyperlink w:anchor="_Toc427911615" w:history="1">
        <w:r w:rsidR="00547B19" w:rsidRPr="00AA1D26">
          <w:rPr>
            <w:rStyle w:val="Hipervnculo"/>
            <w:rFonts w:ascii="Arial" w:hAnsi="Arial" w:cs="Arial"/>
          </w:rPr>
          <w:t>Información general</w:t>
        </w:r>
        <w:r w:rsidR="00547B19" w:rsidRPr="00AA1D26">
          <w:rPr>
            <w:webHidden/>
          </w:rPr>
          <w:tab/>
        </w:r>
        <w:r w:rsidR="00547B19" w:rsidRPr="00AA1D26">
          <w:rPr>
            <w:webHidden/>
          </w:rPr>
          <w:fldChar w:fldCharType="begin"/>
        </w:r>
        <w:r w:rsidR="00547B19" w:rsidRPr="00AA1D26">
          <w:rPr>
            <w:webHidden/>
          </w:rPr>
          <w:instrText xml:space="preserve"> PAGEREF _Toc427911615 \h </w:instrText>
        </w:r>
        <w:r w:rsidR="00547B19" w:rsidRPr="00AA1D26">
          <w:rPr>
            <w:webHidden/>
          </w:rPr>
        </w:r>
        <w:r w:rsidR="00547B19" w:rsidRPr="00AA1D26">
          <w:rPr>
            <w:webHidden/>
          </w:rPr>
          <w:fldChar w:fldCharType="separate"/>
        </w:r>
        <w:r w:rsidR="00A17DFE">
          <w:rPr>
            <w:webHidden/>
          </w:rPr>
          <w:t>84</w:t>
        </w:r>
        <w:r w:rsidR="00547B19" w:rsidRPr="00AA1D26">
          <w:rPr>
            <w:webHidden/>
          </w:rPr>
          <w:fldChar w:fldCharType="end"/>
        </w:r>
      </w:hyperlink>
    </w:p>
    <w:p w14:paraId="705E1575" w14:textId="77777777" w:rsidR="00547B19" w:rsidRPr="00AA1D26" w:rsidRDefault="00722C76" w:rsidP="0043587E">
      <w:pPr>
        <w:pStyle w:val="TDC1"/>
      </w:pPr>
      <w:hyperlink w:anchor="_Toc427911616" w:history="1">
        <w:r w:rsidR="00547B19" w:rsidRPr="00AA1D26">
          <w:rPr>
            <w:rStyle w:val="Hipervnculo"/>
            <w:rFonts w:ascii="Arial" w:hAnsi="Arial" w:cs="Arial"/>
          </w:rPr>
          <w:t>Objetivo 1: Vigilar a los participantes en el SNP</w:t>
        </w:r>
        <w:r w:rsidR="00547B19" w:rsidRPr="00AA1D26">
          <w:rPr>
            <w:webHidden/>
          </w:rPr>
          <w:tab/>
        </w:r>
        <w:r w:rsidR="00547B19" w:rsidRPr="00AA1D26">
          <w:rPr>
            <w:webHidden/>
          </w:rPr>
          <w:fldChar w:fldCharType="begin"/>
        </w:r>
        <w:r w:rsidR="00547B19" w:rsidRPr="00AA1D26">
          <w:rPr>
            <w:webHidden/>
          </w:rPr>
          <w:instrText xml:space="preserve"> PAGEREF _Toc427911616 \h </w:instrText>
        </w:r>
        <w:r w:rsidR="00547B19" w:rsidRPr="00AA1D26">
          <w:rPr>
            <w:webHidden/>
          </w:rPr>
        </w:r>
        <w:r w:rsidR="00547B19" w:rsidRPr="00AA1D26">
          <w:rPr>
            <w:webHidden/>
          </w:rPr>
          <w:fldChar w:fldCharType="separate"/>
        </w:r>
        <w:r w:rsidR="00A17DFE">
          <w:rPr>
            <w:webHidden/>
          </w:rPr>
          <w:t>86</w:t>
        </w:r>
        <w:r w:rsidR="00547B19" w:rsidRPr="00AA1D26">
          <w:rPr>
            <w:webHidden/>
          </w:rPr>
          <w:fldChar w:fldCharType="end"/>
        </w:r>
      </w:hyperlink>
    </w:p>
    <w:p w14:paraId="646A2715" w14:textId="77777777" w:rsidR="00547B19" w:rsidRPr="00AA1D26" w:rsidRDefault="00722C76" w:rsidP="0043587E">
      <w:pPr>
        <w:pStyle w:val="TDC1"/>
      </w:pPr>
      <w:hyperlink w:anchor="_Toc427911617" w:history="1">
        <w:r w:rsidR="00547B19" w:rsidRPr="00AA1D26">
          <w:rPr>
            <w:rStyle w:val="Hipervnculo"/>
            <w:rFonts w:ascii="Arial" w:hAnsi="Arial" w:cs="Arial"/>
          </w:rPr>
          <w:t>Objetivo 2: Fortalecer el sistema de pensiones y ahorro laboral</w:t>
        </w:r>
        <w:r w:rsidR="00547B19" w:rsidRPr="00AA1D26">
          <w:rPr>
            <w:webHidden/>
          </w:rPr>
          <w:tab/>
        </w:r>
        <w:r w:rsidR="00547B19" w:rsidRPr="00AA1D26">
          <w:rPr>
            <w:webHidden/>
          </w:rPr>
          <w:fldChar w:fldCharType="begin"/>
        </w:r>
        <w:r w:rsidR="00547B19" w:rsidRPr="00AA1D26">
          <w:rPr>
            <w:webHidden/>
          </w:rPr>
          <w:instrText xml:space="preserve"> PAGEREF _Toc427911617 \h </w:instrText>
        </w:r>
        <w:r w:rsidR="00547B19" w:rsidRPr="00AA1D26">
          <w:rPr>
            <w:webHidden/>
          </w:rPr>
        </w:r>
        <w:r w:rsidR="00547B19" w:rsidRPr="00AA1D26">
          <w:rPr>
            <w:webHidden/>
          </w:rPr>
          <w:fldChar w:fldCharType="separate"/>
        </w:r>
        <w:r w:rsidR="00A17DFE">
          <w:rPr>
            <w:webHidden/>
          </w:rPr>
          <w:t>89</w:t>
        </w:r>
        <w:r w:rsidR="00547B19" w:rsidRPr="00AA1D26">
          <w:rPr>
            <w:webHidden/>
          </w:rPr>
          <w:fldChar w:fldCharType="end"/>
        </w:r>
      </w:hyperlink>
    </w:p>
    <w:p w14:paraId="576A3AF3" w14:textId="77777777" w:rsidR="00547B19" w:rsidRPr="00AA1D26" w:rsidRDefault="00722C76" w:rsidP="0043587E">
      <w:pPr>
        <w:pStyle w:val="TDC1"/>
      </w:pPr>
      <w:hyperlink w:anchor="_Toc427911618" w:history="1">
        <w:r w:rsidR="00547B19" w:rsidRPr="00AA1D26">
          <w:rPr>
            <w:rStyle w:val="Hipervnculo"/>
            <w:rFonts w:ascii="Arial" w:hAnsi="Arial" w:cs="Arial"/>
          </w:rPr>
          <w:t>Objetivo 3: Empoderar al afiliado</w:t>
        </w:r>
        <w:r w:rsidR="00547B19" w:rsidRPr="00AA1D26">
          <w:rPr>
            <w:webHidden/>
          </w:rPr>
          <w:tab/>
        </w:r>
        <w:r w:rsidR="00547B19" w:rsidRPr="00AA1D26">
          <w:rPr>
            <w:webHidden/>
          </w:rPr>
          <w:fldChar w:fldCharType="begin"/>
        </w:r>
        <w:r w:rsidR="00547B19" w:rsidRPr="00AA1D26">
          <w:rPr>
            <w:webHidden/>
          </w:rPr>
          <w:instrText xml:space="preserve"> PAGEREF _Toc427911618 \h </w:instrText>
        </w:r>
        <w:r w:rsidR="00547B19" w:rsidRPr="00AA1D26">
          <w:rPr>
            <w:webHidden/>
          </w:rPr>
        </w:r>
        <w:r w:rsidR="00547B19" w:rsidRPr="00AA1D26">
          <w:rPr>
            <w:webHidden/>
          </w:rPr>
          <w:fldChar w:fldCharType="separate"/>
        </w:r>
        <w:r w:rsidR="00A17DFE">
          <w:rPr>
            <w:webHidden/>
          </w:rPr>
          <w:t>92</w:t>
        </w:r>
        <w:r w:rsidR="00547B19" w:rsidRPr="00AA1D26">
          <w:rPr>
            <w:webHidden/>
          </w:rPr>
          <w:fldChar w:fldCharType="end"/>
        </w:r>
      </w:hyperlink>
    </w:p>
    <w:p w14:paraId="216472D1" w14:textId="77777777" w:rsidR="00547B19" w:rsidRPr="00AA1D26" w:rsidRDefault="00722C76" w:rsidP="0043587E">
      <w:pPr>
        <w:pStyle w:val="TDC1"/>
      </w:pPr>
      <w:hyperlink w:anchor="_Toc427911619" w:history="1">
        <w:r w:rsidR="00547B19" w:rsidRPr="00AA1D26">
          <w:rPr>
            <w:rStyle w:val="Hipervnculo"/>
            <w:rFonts w:ascii="Arial" w:hAnsi="Arial" w:cs="Arial"/>
          </w:rPr>
          <w:t>Partes interesadas</w:t>
        </w:r>
        <w:r w:rsidR="00547B19" w:rsidRPr="00AA1D26">
          <w:rPr>
            <w:webHidden/>
          </w:rPr>
          <w:tab/>
        </w:r>
        <w:r w:rsidR="00547B19" w:rsidRPr="00AA1D26">
          <w:rPr>
            <w:webHidden/>
          </w:rPr>
          <w:fldChar w:fldCharType="begin"/>
        </w:r>
        <w:r w:rsidR="00547B19" w:rsidRPr="00AA1D26">
          <w:rPr>
            <w:webHidden/>
          </w:rPr>
          <w:instrText xml:space="preserve"> PAGEREF _Toc427911619 \h </w:instrText>
        </w:r>
        <w:r w:rsidR="00547B19" w:rsidRPr="00AA1D26">
          <w:rPr>
            <w:webHidden/>
          </w:rPr>
        </w:r>
        <w:r w:rsidR="00547B19" w:rsidRPr="00AA1D26">
          <w:rPr>
            <w:webHidden/>
          </w:rPr>
          <w:fldChar w:fldCharType="separate"/>
        </w:r>
        <w:r w:rsidR="00A17DFE">
          <w:rPr>
            <w:webHidden/>
          </w:rPr>
          <w:t>94</w:t>
        </w:r>
        <w:r w:rsidR="00547B19" w:rsidRPr="00AA1D26">
          <w:rPr>
            <w:webHidden/>
          </w:rPr>
          <w:fldChar w:fldCharType="end"/>
        </w:r>
      </w:hyperlink>
    </w:p>
    <w:p w14:paraId="25957D0A" w14:textId="77777777" w:rsidR="00547B19" w:rsidRPr="00AA1D26" w:rsidRDefault="00722C76" w:rsidP="0043587E">
      <w:pPr>
        <w:pStyle w:val="TDC1"/>
      </w:pPr>
      <w:hyperlink w:anchor="_Toc427911620" w:history="1">
        <w:r w:rsidR="00547B19" w:rsidRPr="00AA1D26">
          <w:rPr>
            <w:rStyle w:val="Hipervnculo"/>
            <w:rFonts w:ascii="Arial" w:hAnsi="Arial" w:cs="Arial"/>
          </w:rPr>
          <w:t>Hoja de ruta</w:t>
        </w:r>
        <w:r w:rsidR="00547B19" w:rsidRPr="00AA1D26">
          <w:rPr>
            <w:webHidden/>
          </w:rPr>
          <w:tab/>
        </w:r>
        <w:r w:rsidR="00547B19" w:rsidRPr="00AA1D26">
          <w:rPr>
            <w:webHidden/>
          </w:rPr>
          <w:fldChar w:fldCharType="begin"/>
        </w:r>
        <w:r w:rsidR="00547B19" w:rsidRPr="00AA1D26">
          <w:rPr>
            <w:webHidden/>
          </w:rPr>
          <w:instrText xml:space="preserve"> PAGEREF _Toc427911620 \h </w:instrText>
        </w:r>
        <w:r w:rsidR="00547B19" w:rsidRPr="00AA1D26">
          <w:rPr>
            <w:webHidden/>
          </w:rPr>
        </w:r>
        <w:r w:rsidR="00547B19" w:rsidRPr="00AA1D26">
          <w:rPr>
            <w:webHidden/>
          </w:rPr>
          <w:fldChar w:fldCharType="separate"/>
        </w:r>
        <w:r w:rsidR="00A17DFE">
          <w:rPr>
            <w:webHidden/>
          </w:rPr>
          <w:t>95</w:t>
        </w:r>
        <w:r w:rsidR="00547B19" w:rsidRPr="00AA1D26">
          <w:rPr>
            <w:webHidden/>
          </w:rPr>
          <w:fldChar w:fldCharType="end"/>
        </w:r>
      </w:hyperlink>
    </w:p>
    <w:p w14:paraId="72EABC8D" w14:textId="77777777" w:rsidR="00547B19" w:rsidRPr="00AA1D26" w:rsidRDefault="00722C76" w:rsidP="0043587E">
      <w:pPr>
        <w:pStyle w:val="TDC1"/>
      </w:pPr>
      <w:hyperlink w:anchor="_Toc427911621" w:history="1">
        <w:r w:rsidR="00547B19" w:rsidRPr="00AA1D26">
          <w:rPr>
            <w:rStyle w:val="Hipervnculo"/>
            <w:rFonts w:ascii="Arial" w:hAnsi="Arial" w:cs="Arial"/>
          </w:rPr>
          <w:t>Glosario de abreviaturas</w:t>
        </w:r>
        <w:r w:rsidR="00547B19" w:rsidRPr="00AA1D26">
          <w:rPr>
            <w:webHidden/>
          </w:rPr>
          <w:tab/>
        </w:r>
        <w:r w:rsidR="00547B19" w:rsidRPr="00AA1D26">
          <w:rPr>
            <w:webHidden/>
          </w:rPr>
          <w:fldChar w:fldCharType="begin"/>
        </w:r>
        <w:r w:rsidR="00547B19" w:rsidRPr="00AA1D26">
          <w:rPr>
            <w:webHidden/>
          </w:rPr>
          <w:instrText xml:space="preserve"> PAGEREF _Toc427911621 \h </w:instrText>
        </w:r>
        <w:r w:rsidR="00547B19" w:rsidRPr="00AA1D26">
          <w:rPr>
            <w:webHidden/>
          </w:rPr>
        </w:r>
        <w:r w:rsidR="00547B19" w:rsidRPr="00AA1D26">
          <w:rPr>
            <w:webHidden/>
          </w:rPr>
          <w:fldChar w:fldCharType="separate"/>
        </w:r>
        <w:r w:rsidR="00A17DFE">
          <w:rPr>
            <w:webHidden/>
          </w:rPr>
          <w:t>95</w:t>
        </w:r>
        <w:r w:rsidR="00547B19" w:rsidRPr="00AA1D26">
          <w:rPr>
            <w:webHidden/>
          </w:rPr>
          <w:fldChar w:fldCharType="end"/>
        </w:r>
      </w:hyperlink>
    </w:p>
    <w:p w14:paraId="325057D9" w14:textId="77777777" w:rsidR="00547B19" w:rsidRPr="00AA1D26" w:rsidRDefault="00547B19" w:rsidP="00547B19">
      <w:pPr>
        <w:rPr>
          <w:rFonts w:ascii="Arial" w:hAnsi="Arial" w:cs="Arial"/>
        </w:rPr>
        <w:sectPr w:rsidR="00547B19" w:rsidRPr="00AA1D26">
          <w:pgSz w:w="12240" w:h="15840"/>
          <w:pgMar w:top="1417" w:right="1701" w:bottom="1417" w:left="1701" w:header="708" w:footer="708" w:gutter="0"/>
          <w:cols w:space="708"/>
          <w:docGrid w:linePitch="360"/>
        </w:sectPr>
      </w:pPr>
      <w:r w:rsidRPr="00AA1D26">
        <w:rPr>
          <w:rFonts w:ascii="Arial" w:hAnsi="Arial" w:cs="Arial"/>
        </w:rPr>
        <w:fldChar w:fldCharType="end"/>
      </w:r>
      <w:r w:rsidRPr="00AA1D26">
        <w:rPr>
          <w:rFonts w:ascii="Arial" w:hAnsi="Arial" w:cs="Arial"/>
        </w:rPr>
        <w:t xml:space="preserve"> </w:t>
      </w:r>
    </w:p>
    <w:p w14:paraId="4F46E597" w14:textId="77777777" w:rsidR="00547B19" w:rsidRPr="00AA1D26" w:rsidRDefault="00547B19" w:rsidP="00547B19">
      <w:pPr>
        <w:pStyle w:val="Ttulo1"/>
      </w:pPr>
      <w:bookmarkStart w:id="67" w:name="_Toc427911615"/>
      <w:bookmarkStart w:id="68" w:name="_Toc429562750"/>
      <w:bookmarkStart w:id="69" w:name="_Toc429563060"/>
      <w:bookmarkStart w:id="70" w:name="_Toc429563215"/>
      <w:r w:rsidRPr="00AA1D26">
        <w:lastRenderedPageBreak/>
        <w:t>Información general</w:t>
      </w:r>
      <w:bookmarkEnd w:id="67"/>
      <w:bookmarkEnd w:id="68"/>
      <w:bookmarkEnd w:id="69"/>
      <w:bookmarkEnd w:id="70"/>
    </w:p>
    <w:p w14:paraId="6DE2AFD0" w14:textId="77777777" w:rsidR="00547B19" w:rsidRPr="00AA1D26" w:rsidRDefault="00547B19" w:rsidP="00547B19">
      <w:pPr>
        <w:pStyle w:val="Ttulo2"/>
        <w:sectPr w:rsidR="00547B19" w:rsidRPr="00AA1D26">
          <w:pgSz w:w="12240" w:h="15840"/>
          <w:pgMar w:top="1417" w:right="1701" w:bottom="1417" w:left="1701" w:header="708" w:footer="708" w:gutter="0"/>
          <w:cols w:space="708"/>
          <w:docGrid w:linePitch="360"/>
        </w:sectPr>
      </w:pPr>
    </w:p>
    <w:p w14:paraId="2C7FB639" w14:textId="77777777" w:rsidR="00547B19" w:rsidRPr="00AA1D26" w:rsidRDefault="00547B19" w:rsidP="00547B19">
      <w:pPr>
        <w:pStyle w:val="Ttulo2"/>
      </w:pPr>
      <w:bookmarkStart w:id="71" w:name="_Toc429562751"/>
      <w:bookmarkStart w:id="72" w:name="_Toc429563061"/>
      <w:bookmarkStart w:id="73" w:name="_Toc429563216"/>
      <w:r w:rsidRPr="00AA1D26">
        <w:t>Misión</w:t>
      </w:r>
      <w:bookmarkEnd w:id="71"/>
      <w:bookmarkEnd w:id="72"/>
      <w:bookmarkEnd w:id="73"/>
    </w:p>
    <w:p w14:paraId="3A7E85B2" w14:textId="77777777" w:rsidR="00547B19" w:rsidRPr="00AA1D26" w:rsidRDefault="00547B19" w:rsidP="00547B19">
      <w:pPr>
        <w:jc w:val="both"/>
        <w:rPr>
          <w:rFonts w:ascii="Arial" w:hAnsi="Arial" w:cs="Arial"/>
        </w:rPr>
      </w:pPr>
      <w:r w:rsidRPr="00AA1D26">
        <w:rPr>
          <w:rFonts w:ascii="Arial" w:hAnsi="Arial" w:cs="Arial"/>
        </w:rPr>
        <w:t>Promover pensiones dignas.</w:t>
      </w:r>
    </w:p>
    <w:p w14:paraId="22DBC11A" w14:textId="77777777" w:rsidR="00547B19" w:rsidRPr="00AA1D26" w:rsidRDefault="00547B19" w:rsidP="00547B19">
      <w:pPr>
        <w:pStyle w:val="Ttulo2"/>
      </w:pPr>
      <w:bookmarkStart w:id="74" w:name="_Toc429562752"/>
      <w:bookmarkStart w:id="75" w:name="_Toc429563062"/>
      <w:bookmarkStart w:id="76" w:name="_Toc429563217"/>
      <w:r w:rsidRPr="00AA1D26">
        <w:t>Visión</w:t>
      </w:r>
      <w:bookmarkEnd w:id="74"/>
      <w:bookmarkEnd w:id="75"/>
      <w:bookmarkEnd w:id="76"/>
    </w:p>
    <w:p w14:paraId="638BC834" w14:textId="77777777" w:rsidR="00547B19" w:rsidRPr="00AA1D26" w:rsidRDefault="00547B19" w:rsidP="00547B19">
      <w:pPr>
        <w:rPr>
          <w:rFonts w:ascii="Arial" w:hAnsi="Arial" w:cs="Arial"/>
        </w:rPr>
      </w:pPr>
      <w:r w:rsidRPr="00AA1D26">
        <w:rPr>
          <w:rFonts w:ascii="Arial" w:hAnsi="Arial" w:cs="Arial"/>
        </w:rPr>
        <w:t>Ser un referente técnico en el fortalecimiento del Sistema Nacional de Pensiones.</w:t>
      </w:r>
    </w:p>
    <w:p w14:paraId="048C50DB" w14:textId="77777777" w:rsidR="00547B19" w:rsidRPr="00AA1D26" w:rsidRDefault="00547B19" w:rsidP="00547B19">
      <w:pPr>
        <w:pStyle w:val="Ttulo2"/>
      </w:pPr>
      <w:bookmarkStart w:id="77" w:name="_Toc429562753"/>
      <w:bookmarkStart w:id="78" w:name="_Toc429563063"/>
      <w:bookmarkStart w:id="79" w:name="_Toc429563218"/>
      <w:r w:rsidRPr="00AA1D26">
        <w:t>Valores</w:t>
      </w:r>
      <w:bookmarkEnd w:id="77"/>
      <w:bookmarkEnd w:id="78"/>
      <w:bookmarkEnd w:id="79"/>
    </w:p>
    <w:p w14:paraId="16068C7F" w14:textId="05E5E597" w:rsidR="00547B19" w:rsidRPr="00AA1D26" w:rsidRDefault="00547B19" w:rsidP="00547B19">
      <w:pPr>
        <w:contextualSpacing/>
        <w:jc w:val="both"/>
        <w:rPr>
          <w:rFonts w:ascii="Arial" w:hAnsi="Arial" w:cs="Arial"/>
          <w:sz w:val="22"/>
        </w:rPr>
      </w:pPr>
      <w:r w:rsidRPr="00AA1D26">
        <w:rPr>
          <w:rFonts w:ascii="Arial" w:hAnsi="Arial" w:cs="Arial"/>
          <w:b/>
        </w:rPr>
        <w:t>Integridad:</w:t>
      </w:r>
      <w:r w:rsidR="007D20C1">
        <w:rPr>
          <w:rFonts w:ascii="Arial" w:hAnsi="Arial" w:cs="Arial"/>
        </w:rPr>
        <w:t xml:space="preserve"> A</w:t>
      </w:r>
      <w:r w:rsidRPr="00AA1D26">
        <w:rPr>
          <w:rFonts w:ascii="Arial" w:hAnsi="Arial" w:cs="Arial"/>
        </w:rPr>
        <w:t>ctuamos con rectitud para cumplir con nuestros compromisos.</w:t>
      </w:r>
    </w:p>
    <w:p w14:paraId="14489AB0" w14:textId="77777777" w:rsidR="00547B19" w:rsidRPr="00AA1D26" w:rsidRDefault="00547B19" w:rsidP="00547B19">
      <w:pPr>
        <w:ind w:left="720"/>
        <w:contextualSpacing/>
        <w:jc w:val="both"/>
        <w:rPr>
          <w:rFonts w:ascii="Arial" w:hAnsi="Arial" w:cs="Arial"/>
        </w:rPr>
      </w:pPr>
    </w:p>
    <w:p w14:paraId="40630E68" w14:textId="5CC611C4" w:rsidR="00547B19" w:rsidRPr="00AA1D26" w:rsidRDefault="00547B19" w:rsidP="00547B19">
      <w:pPr>
        <w:contextualSpacing/>
        <w:jc w:val="both"/>
        <w:rPr>
          <w:rFonts w:ascii="Arial" w:hAnsi="Arial" w:cs="Arial"/>
        </w:rPr>
      </w:pPr>
      <w:r w:rsidRPr="00AA1D26">
        <w:rPr>
          <w:rFonts w:ascii="Arial" w:hAnsi="Arial" w:cs="Arial"/>
          <w:b/>
        </w:rPr>
        <w:t>Transparencia:</w:t>
      </w:r>
      <w:r w:rsidR="007D20C1">
        <w:rPr>
          <w:rFonts w:ascii="Arial" w:hAnsi="Arial" w:cs="Arial"/>
        </w:rPr>
        <w:t xml:space="preserve"> I</w:t>
      </w:r>
      <w:r w:rsidRPr="00AA1D26">
        <w:rPr>
          <w:rFonts w:ascii="Arial" w:hAnsi="Arial" w:cs="Arial"/>
        </w:rPr>
        <w:t>nformamos con claridad, veracidad y oportunidad sobre nuestras actuaciones.</w:t>
      </w:r>
    </w:p>
    <w:p w14:paraId="332C75A9" w14:textId="77777777" w:rsidR="00547B19" w:rsidRPr="00AA1D26" w:rsidRDefault="00547B19" w:rsidP="00547B19">
      <w:pPr>
        <w:contextualSpacing/>
        <w:jc w:val="both"/>
        <w:rPr>
          <w:rFonts w:ascii="Arial" w:hAnsi="Arial" w:cs="Arial"/>
        </w:rPr>
      </w:pPr>
    </w:p>
    <w:p w14:paraId="4BAAB1FB" w14:textId="23ABDE00" w:rsidR="00547B19" w:rsidRPr="00AA1D26" w:rsidRDefault="00547B19" w:rsidP="007D20C1">
      <w:pPr>
        <w:jc w:val="both"/>
        <w:rPr>
          <w:rFonts w:ascii="Arial" w:hAnsi="Arial" w:cs="Arial"/>
        </w:rPr>
      </w:pPr>
      <w:r w:rsidRPr="00AA1D26">
        <w:rPr>
          <w:rFonts w:ascii="Arial" w:hAnsi="Arial" w:cs="Arial"/>
          <w:b/>
        </w:rPr>
        <w:t>Mejora continua:</w:t>
      </w:r>
      <w:r w:rsidR="007D20C1">
        <w:rPr>
          <w:rFonts w:ascii="Arial" w:hAnsi="Arial" w:cs="Arial"/>
        </w:rPr>
        <w:t xml:space="preserve"> P</w:t>
      </w:r>
      <w:r w:rsidRPr="00AA1D26">
        <w:rPr>
          <w:rFonts w:ascii="Arial" w:hAnsi="Arial" w:cs="Arial"/>
        </w:rPr>
        <w:t>romovemos el uso de mejores prácticas para brindar servicios de alta calidad a nuestros clientes.</w:t>
      </w:r>
    </w:p>
    <w:p w14:paraId="6E7ABF00" w14:textId="1856D5C6" w:rsidR="00547B19" w:rsidRPr="00AA1D26" w:rsidRDefault="00547B19" w:rsidP="007D20C1">
      <w:pPr>
        <w:contextualSpacing/>
        <w:jc w:val="both"/>
        <w:rPr>
          <w:rFonts w:ascii="Arial" w:hAnsi="Arial" w:cs="Arial"/>
          <w:sz w:val="22"/>
        </w:rPr>
      </w:pPr>
      <w:r w:rsidRPr="00AA1D26">
        <w:rPr>
          <w:rFonts w:ascii="Arial" w:hAnsi="Arial" w:cs="Arial"/>
          <w:b/>
        </w:rPr>
        <w:t>Trabajo en equipo:</w:t>
      </w:r>
      <w:r w:rsidR="007D20C1">
        <w:rPr>
          <w:rFonts w:ascii="Arial" w:hAnsi="Arial" w:cs="Arial"/>
        </w:rPr>
        <w:t xml:space="preserve"> L</w:t>
      </w:r>
      <w:r w:rsidRPr="00AA1D26">
        <w:rPr>
          <w:rFonts w:ascii="Arial" w:hAnsi="Arial" w:cs="Arial"/>
        </w:rPr>
        <w:t xml:space="preserve">aboramos de manera coordinada, en un ambiente de respeto   y cordialidad, para alcanzar los objetivos de la organización. </w:t>
      </w:r>
    </w:p>
    <w:p w14:paraId="75FE5483" w14:textId="77777777" w:rsidR="00547B19" w:rsidRPr="00AA1D26" w:rsidRDefault="00547B19" w:rsidP="00547B19">
      <w:pPr>
        <w:pStyle w:val="Ttulo2"/>
      </w:pPr>
      <w:bookmarkStart w:id="80" w:name="_Toc429562754"/>
      <w:bookmarkStart w:id="81" w:name="_Toc429563064"/>
      <w:bookmarkStart w:id="82" w:name="_Toc429563219"/>
      <w:r w:rsidRPr="00AA1D26">
        <w:t>Objetivo estratégico 1</w:t>
      </w:r>
      <w:bookmarkEnd w:id="80"/>
      <w:bookmarkEnd w:id="81"/>
      <w:bookmarkEnd w:id="82"/>
    </w:p>
    <w:p w14:paraId="38FD2CFC" w14:textId="77777777" w:rsidR="00547B19" w:rsidRPr="00AA1D26" w:rsidRDefault="00547B19" w:rsidP="00547B19">
      <w:pPr>
        <w:rPr>
          <w:rFonts w:ascii="Arial" w:hAnsi="Arial" w:cs="Arial"/>
          <w:b/>
        </w:rPr>
      </w:pPr>
      <w:r w:rsidRPr="00AA1D26">
        <w:rPr>
          <w:rFonts w:ascii="Arial" w:hAnsi="Arial" w:cs="Arial"/>
        </w:rPr>
        <w:t>Vigilar a los participantes en el SNP</w:t>
      </w:r>
    </w:p>
    <w:p w14:paraId="63B3A213" w14:textId="77777777" w:rsidR="00547B19" w:rsidRPr="00AA1D26" w:rsidRDefault="00547B19" w:rsidP="00547B19">
      <w:pPr>
        <w:pStyle w:val="Ttulo2"/>
      </w:pPr>
      <w:bookmarkStart w:id="83" w:name="_Toc429562755"/>
      <w:bookmarkStart w:id="84" w:name="_Toc429563065"/>
      <w:bookmarkStart w:id="85" w:name="_Toc429563220"/>
      <w:r w:rsidRPr="00AA1D26">
        <w:t>Objetivo estratégico 2</w:t>
      </w:r>
      <w:bookmarkEnd w:id="83"/>
      <w:bookmarkEnd w:id="84"/>
      <w:bookmarkEnd w:id="85"/>
    </w:p>
    <w:p w14:paraId="7D5DADA2" w14:textId="77777777" w:rsidR="00547B19" w:rsidRPr="00AA1D26" w:rsidRDefault="00547B19" w:rsidP="00547B19">
      <w:pPr>
        <w:rPr>
          <w:rFonts w:ascii="Arial" w:hAnsi="Arial" w:cs="Arial"/>
          <w:b/>
        </w:rPr>
      </w:pPr>
      <w:r w:rsidRPr="00AA1D26">
        <w:rPr>
          <w:rFonts w:ascii="Arial" w:hAnsi="Arial" w:cs="Arial"/>
        </w:rPr>
        <w:t>Fortalecer el sistema de pensiones y ahorro laboral</w:t>
      </w:r>
    </w:p>
    <w:p w14:paraId="0DDB0DED" w14:textId="77777777" w:rsidR="00547B19" w:rsidRPr="00AA1D26" w:rsidRDefault="00547B19" w:rsidP="00547B19">
      <w:pPr>
        <w:pStyle w:val="Ttulo2"/>
      </w:pPr>
      <w:bookmarkStart w:id="86" w:name="_Toc429562756"/>
      <w:bookmarkStart w:id="87" w:name="_Toc429563066"/>
      <w:bookmarkStart w:id="88" w:name="_Toc429563221"/>
      <w:r w:rsidRPr="00AA1D26">
        <w:t>Objetivo estratégico 3</w:t>
      </w:r>
      <w:bookmarkEnd w:id="86"/>
      <w:bookmarkEnd w:id="87"/>
      <w:bookmarkEnd w:id="88"/>
    </w:p>
    <w:p w14:paraId="27B1EA22" w14:textId="77777777" w:rsidR="00547B19" w:rsidRDefault="00547B19" w:rsidP="00547B19">
      <w:pPr>
        <w:rPr>
          <w:rFonts w:ascii="Arial" w:hAnsi="Arial" w:cs="Arial"/>
        </w:rPr>
      </w:pPr>
      <w:r w:rsidRPr="00AA1D26">
        <w:rPr>
          <w:rFonts w:ascii="Arial" w:hAnsi="Arial" w:cs="Arial"/>
        </w:rPr>
        <w:t>Empoderar al afiliado</w:t>
      </w:r>
    </w:p>
    <w:p w14:paraId="2923CC00" w14:textId="77777777" w:rsidR="00AA1D26" w:rsidRPr="00AA1D26" w:rsidRDefault="00AA1D26" w:rsidP="00547B19">
      <w:pPr>
        <w:rPr>
          <w:rFonts w:ascii="Arial" w:hAnsi="Arial" w:cs="Arial"/>
          <w:b/>
        </w:rPr>
      </w:pPr>
    </w:p>
    <w:p w14:paraId="6F6FD432" w14:textId="77777777" w:rsidR="00547B19" w:rsidRPr="00AA1D26" w:rsidRDefault="00547B19" w:rsidP="00547B19">
      <w:pPr>
        <w:pStyle w:val="Ttulo2"/>
      </w:pPr>
      <w:bookmarkStart w:id="89" w:name="_Toc429562757"/>
      <w:bookmarkStart w:id="90" w:name="_Toc429563067"/>
      <w:bookmarkStart w:id="91" w:name="_Toc429563222"/>
      <w:r w:rsidRPr="00AA1D26">
        <w:t>La organización</w:t>
      </w:r>
      <w:bookmarkEnd w:id="89"/>
      <w:bookmarkEnd w:id="90"/>
      <w:bookmarkEnd w:id="91"/>
    </w:p>
    <w:p w14:paraId="302C64B2" w14:textId="77777777" w:rsidR="00547B19" w:rsidRPr="00AA1D26" w:rsidRDefault="00547B19" w:rsidP="00547B19">
      <w:pPr>
        <w:jc w:val="both"/>
        <w:rPr>
          <w:rFonts w:ascii="Arial" w:hAnsi="Arial" w:cs="Arial"/>
        </w:rPr>
      </w:pPr>
      <w:r w:rsidRPr="00AA1D26">
        <w:rPr>
          <w:rFonts w:ascii="Arial" w:hAnsi="Arial" w:cs="Arial"/>
        </w:rPr>
        <w:t xml:space="preserve">La SUPEN es un órgano de máxima desconcentración adscrito al Banco Central de Costa Rica, funciona bajo la dirección del Consejo Nacional de Supervisión del Sistema Financiero (CONASSIF). </w:t>
      </w:r>
    </w:p>
    <w:p w14:paraId="321FD51C" w14:textId="7C0E0AD2" w:rsidR="00547B19" w:rsidRDefault="00547B19" w:rsidP="00547B19">
      <w:pPr>
        <w:jc w:val="both"/>
        <w:rPr>
          <w:rFonts w:ascii="Arial" w:hAnsi="Arial" w:cs="Arial"/>
        </w:rPr>
      </w:pPr>
      <w:r w:rsidRPr="00AA1D26">
        <w:rPr>
          <w:rFonts w:ascii="Arial" w:hAnsi="Arial" w:cs="Arial"/>
        </w:rPr>
        <w:t>La Ley del Régimen Privado de Pensiones Comp</w:t>
      </w:r>
      <w:r w:rsidR="007D20C1">
        <w:rPr>
          <w:rFonts w:ascii="Arial" w:hAnsi="Arial" w:cs="Arial"/>
        </w:rPr>
        <w:t>lementarias y sus reformas, N°</w:t>
      </w:r>
      <w:r w:rsidRPr="00AA1D26">
        <w:rPr>
          <w:rFonts w:ascii="Arial" w:hAnsi="Arial" w:cs="Arial"/>
        </w:rPr>
        <w:t xml:space="preserve">7523 del 7 de julio de 1995, autorizó la creación de los sistemas o planes privados de pensiones complementarias, destinados a brindar a los beneficiarios protección adicional ante los riesgos de invalidez, vejez y muerte. Dicha ley creó la SUPEN, la cual empezó a funcionar a partir de agosto de 1996. Desde su origen el </w:t>
      </w:r>
      <w:r w:rsidRPr="00AA1D26">
        <w:rPr>
          <w:rFonts w:ascii="Arial" w:hAnsi="Arial" w:cs="Arial"/>
        </w:rPr>
        <w:t>objetivo principal de la entidad ha sido regular y fiscalizar las pensiones.</w:t>
      </w:r>
    </w:p>
    <w:p w14:paraId="596F29B6" w14:textId="77777777" w:rsidR="00AA1D26" w:rsidRPr="00AA1D26" w:rsidRDefault="00AA1D26" w:rsidP="00547B19">
      <w:pPr>
        <w:jc w:val="both"/>
        <w:rPr>
          <w:rFonts w:ascii="Arial" w:hAnsi="Arial" w:cs="Arial"/>
        </w:rPr>
      </w:pPr>
    </w:p>
    <w:p w14:paraId="0A3F61DA" w14:textId="77777777" w:rsidR="00547B19" w:rsidRPr="00AA1D26" w:rsidRDefault="00547B19" w:rsidP="00547B19">
      <w:pPr>
        <w:pStyle w:val="Ttulo2"/>
      </w:pPr>
      <w:bookmarkStart w:id="92" w:name="_Toc429562758"/>
      <w:bookmarkStart w:id="93" w:name="_Toc429563068"/>
      <w:bookmarkStart w:id="94" w:name="_Toc429563223"/>
      <w:r w:rsidRPr="00AA1D26">
        <w:t>Responsabilidades</w:t>
      </w:r>
      <w:bookmarkEnd w:id="92"/>
      <w:bookmarkEnd w:id="93"/>
      <w:bookmarkEnd w:id="94"/>
    </w:p>
    <w:p w14:paraId="3C999108" w14:textId="349AFFF2" w:rsidR="00547B19" w:rsidRPr="00AA1D26" w:rsidRDefault="00547B19" w:rsidP="00547B19">
      <w:pPr>
        <w:jc w:val="both"/>
        <w:rPr>
          <w:rFonts w:ascii="Arial" w:hAnsi="Arial" w:cs="Arial"/>
        </w:rPr>
      </w:pPr>
      <w:r w:rsidRPr="00AA1D26">
        <w:rPr>
          <w:rFonts w:ascii="Arial" w:hAnsi="Arial" w:cs="Arial"/>
        </w:rPr>
        <w:t xml:space="preserve">A partir de la publicación de la Ley </w:t>
      </w:r>
      <w:r w:rsidR="007D20C1">
        <w:rPr>
          <w:rFonts w:ascii="Arial" w:hAnsi="Arial" w:cs="Arial"/>
        </w:rPr>
        <w:t>de Protección al Trabajador, N°</w:t>
      </w:r>
      <w:r w:rsidRPr="00AA1D26">
        <w:rPr>
          <w:rFonts w:ascii="Arial" w:hAnsi="Arial" w:cs="Arial"/>
        </w:rPr>
        <w:t xml:space="preserve">7983 del 18 de febrero del 2000, el ámbito de acción de la SUPEN se amplió dando potestades para fiscalizar los regímenes básicos de pensiones, tanto el Régimen de Invalidez, Vejez y Muerte administrado por la Caja Costarricense de Seguro Social (CCSS) como los regímenes básicos sustitutos de éste, los fondos complementarios de pensiones creados por leyes especiales o convenciones colectivas y el Régimen No Contributivo de la CCSS. </w:t>
      </w:r>
    </w:p>
    <w:p w14:paraId="6A5DB985" w14:textId="455E7DA3" w:rsidR="00547B19" w:rsidRPr="00AA1D26" w:rsidRDefault="00547B19" w:rsidP="00547B19">
      <w:pPr>
        <w:jc w:val="both"/>
        <w:rPr>
          <w:rFonts w:ascii="Arial" w:hAnsi="Arial" w:cs="Arial"/>
        </w:rPr>
      </w:pPr>
      <w:r w:rsidRPr="00AA1D26">
        <w:rPr>
          <w:rFonts w:ascii="Arial" w:hAnsi="Arial" w:cs="Arial"/>
        </w:rPr>
        <w:t xml:space="preserve">A la SUPEN le fue encargada la regulación y supervisión de los regímenes normados en la Ley de Protección al Trabajador, a saber: el Régimen Obligatorio de Pensiones Complementarias, los Fondos de Capitalización Laboral, el Ahorro Voluntario, basados en sistemas de capitalización individual, adicional al Régimen Voluntario de Pensiones Complementarias, </w:t>
      </w:r>
      <w:r w:rsidR="007D20C1">
        <w:rPr>
          <w:rFonts w:ascii="Arial" w:hAnsi="Arial" w:cs="Arial"/>
        </w:rPr>
        <w:t xml:space="preserve">que se tenía desde la misma Ley </w:t>
      </w:r>
      <w:r w:rsidRPr="00AA1D26">
        <w:rPr>
          <w:rFonts w:ascii="Arial" w:hAnsi="Arial" w:cs="Arial"/>
        </w:rPr>
        <w:t xml:space="preserve">7523. Además, la Ley le asignó la obligación de velar por el otorgamiento de los beneficios a los afiliados al Sistema Nacional de Pensiones por parte de las entidades autorizadas, regímenes básicos y fondos creados por leyes especiales, aspecto que no estaba contemplado en la legislación anterior. </w:t>
      </w:r>
    </w:p>
    <w:p w14:paraId="28A30673" w14:textId="6F5D1D70" w:rsidR="00547B19" w:rsidRPr="00AA1D26" w:rsidRDefault="00547B19" w:rsidP="00547B19">
      <w:pPr>
        <w:jc w:val="both"/>
        <w:rPr>
          <w:rFonts w:ascii="Arial" w:hAnsi="Arial" w:cs="Arial"/>
        </w:rPr>
      </w:pPr>
      <w:r w:rsidRPr="00AA1D26">
        <w:rPr>
          <w:rFonts w:ascii="Arial" w:hAnsi="Arial" w:cs="Arial"/>
        </w:rPr>
        <w:t xml:space="preserve">Por último, la Ley </w:t>
      </w:r>
      <w:r w:rsidR="007D20C1">
        <w:rPr>
          <w:rFonts w:ascii="Arial" w:hAnsi="Arial" w:cs="Arial"/>
        </w:rPr>
        <w:t xml:space="preserve">de Contingencia Fiscal, Ley </w:t>
      </w:r>
      <w:r w:rsidRPr="00AA1D26">
        <w:rPr>
          <w:rFonts w:ascii="Arial" w:hAnsi="Arial" w:cs="Arial"/>
        </w:rPr>
        <w:t>8343 del 18 de diciembre del 2002, modificó la Ley 7523 en su artículo 36, para encargar a la SUPEN la supervisión de la labor realizada por la Dirección Nacional de Pensiones del Ministerio de Trabajo y Seguridad Social, en el otorgamiento de las pensione</w:t>
      </w:r>
      <w:r w:rsidR="007D20C1">
        <w:rPr>
          <w:rFonts w:ascii="Arial" w:hAnsi="Arial" w:cs="Arial"/>
        </w:rPr>
        <w:t>s con cargo al Presupuesto N</w:t>
      </w:r>
      <w:r w:rsidRPr="00AA1D26">
        <w:rPr>
          <w:rFonts w:ascii="Arial" w:hAnsi="Arial" w:cs="Arial"/>
        </w:rPr>
        <w:t>acional, en relación con la legalidad y oportunidad de las resoluciones y en lo relativo a las modificaciones y revalorizaciones de las pensiones que son competencia de la mencionada Dirección.</w:t>
      </w:r>
    </w:p>
    <w:p w14:paraId="113B292B" w14:textId="77777777" w:rsidR="00547B19" w:rsidRPr="00AA1D26" w:rsidRDefault="00547B19" w:rsidP="00547B19">
      <w:pPr>
        <w:pStyle w:val="Ttulo2"/>
      </w:pPr>
      <w:bookmarkStart w:id="95" w:name="_Toc429562759"/>
      <w:bookmarkStart w:id="96" w:name="_Toc429563069"/>
      <w:bookmarkStart w:id="97" w:name="_Toc429563224"/>
      <w:r w:rsidRPr="00AA1D26">
        <w:lastRenderedPageBreak/>
        <w:t>Dirección</w:t>
      </w:r>
      <w:bookmarkEnd w:id="95"/>
      <w:bookmarkEnd w:id="96"/>
      <w:bookmarkEnd w:id="97"/>
    </w:p>
    <w:p w14:paraId="25A723B9" w14:textId="77777777" w:rsidR="00547B19" w:rsidRPr="00AA1D26" w:rsidRDefault="00547B19" w:rsidP="00547B19">
      <w:pPr>
        <w:jc w:val="both"/>
        <w:rPr>
          <w:rFonts w:ascii="Arial" w:hAnsi="Arial" w:cs="Arial"/>
        </w:rPr>
      </w:pPr>
      <w:r w:rsidRPr="00AA1D26">
        <w:rPr>
          <w:rFonts w:ascii="Arial" w:hAnsi="Arial" w:cs="Arial"/>
        </w:rPr>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18124687" w14:textId="77777777" w:rsidR="00547B19" w:rsidRPr="00AA1D26" w:rsidRDefault="00547B19" w:rsidP="00547B19">
      <w:pPr>
        <w:pStyle w:val="Ttulo2"/>
        <w:jc w:val="both"/>
      </w:pPr>
      <w:bookmarkStart w:id="98" w:name="_Toc429562760"/>
      <w:bookmarkStart w:id="99" w:name="_Toc429563070"/>
      <w:bookmarkStart w:id="100" w:name="_Toc429563225"/>
      <w:r w:rsidRPr="00AA1D26">
        <w:t>El proceso de Planificación</w:t>
      </w:r>
      <w:bookmarkEnd w:id="98"/>
      <w:bookmarkEnd w:id="99"/>
      <w:bookmarkEnd w:id="100"/>
    </w:p>
    <w:p w14:paraId="1028661D" w14:textId="77777777" w:rsidR="00547B19" w:rsidRPr="007D20C1" w:rsidRDefault="00547B19" w:rsidP="00547B19">
      <w:pPr>
        <w:jc w:val="both"/>
        <w:rPr>
          <w:rFonts w:ascii="Arial" w:hAnsi="Arial" w:cs="Arial"/>
          <w:color w:val="365F91" w:themeColor="accent1" w:themeShade="BF"/>
        </w:rPr>
      </w:pPr>
      <w:r w:rsidRPr="00AA1D26">
        <w:rPr>
          <w:rFonts w:ascii="Arial" w:hAnsi="Arial" w:cs="Arial"/>
        </w:rPr>
        <w:t xml:space="preserve">La confección de este documento se logró gracias a un proceso de discusión con las diferentes partes interesadas de la organización (citadas al final de este documento), para evaluar las mejores opciones posibles en un horizonte de 5 años, dado un entorno económico y político complejo, en el sentido de que se han heredado retos que es necesario afrontar cuanto antes, a efecto de poder evitar a futuro medidas más severas en lo que a los diseños de los esquemas de los fondos de pensiones se refiere. El documento ha sido puesto en consideración de Consejo Nacional de Supervisión del Sistema Financiero, del </w:t>
      </w:r>
      <w:r w:rsidRPr="008D3C10">
        <w:rPr>
          <w:rFonts w:ascii="Arial" w:hAnsi="Arial" w:cs="Arial"/>
        </w:rPr>
        <w:t>Ministerio de Planificación Nacional y Política Económica y de la Contraloría General de la República</w:t>
      </w:r>
      <w:r w:rsidRPr="007D20C1">
        <w:rPr>
          <w:rFonts w:ascii="Arial" w:hAnsi="Arial" w:cs="Arial"/>
          <w:color w:val="365F91" w:themeColor="accent1" w:themeShade="BF"/>
        </w:rPr>
        <w:t>.</w:t>
      </w:r>
    </w:p>
    <w:p w14:paraId="78E21B6E" w14:textId="77777777" w:rsidR="00547B19" w:rsidRPr="00AA1D26" w:rsidRDefault="00547B19" w:rsidP="00547B19">
      <w:pPr>
        <w:pStyle w:val="Ttulo2"/>
      </w:pPr>
      <w:bookmarkStart w:id="101" w:name="_Toc429562761"/>
      <w:bookmarkStart w:id="102" w:name="_Toc429563071"/>
      <w:bookmarkStart w:id="103" w:name="_Toc429563226"/>
      <w:r w:rsidRPr="00AA1D26">
        <w:t>Recursos</w:t>
      </w:r>
      <w:bookmarkEnd w:id="101"/>
      <w:bookmarkEnd w:id="102"/>
      <w:bookmarkEnd w:id="103"/>
    </w:p>
    <w:p w14:paraId="1543544F" w14:textId="77777777" w:rsidR="00547B19" w:rsidRPr="00AA1D26" w:rsidRDefault="00547B19" w:rsidP="00547B19">
      <w:pPr>
        <w:jc w:val="both"/>
        <w:rPr>
          <w:rFonts w:ascii="Arial" w:hAnsi="Arial" w:cs="Arial"/>
        </w:rPr>
      </w:pPr>
      <w:r w:rsidRPr="00AA1D26">
        <w:rPr>
          <w:rFonts w:ascii="Arial" w:hAnsi="Arial" w:cs="Arial"/>
        </w:rPr>
        <w:t>El financiamiento de las operaciones de la Superintendencia de Pensiones proviene de dos vías. Una primera parte del presupuesto del Banco Central de Costa Rica quien provee recursos por un 80% del presupuesto. El segundo componente corresponde al financiamiento por parte de los gestores de fondos de pensiones, quienes contribuyen con un 20% del presupuesto ejecutado.</w:t>
      </w:r>
    </w:p>
    <w:p w14:paraId="53060C3A" w14:textId="77777777" w:rsidR="00547B19" w:rsidRPr="00AA1D26" w:rsidRDefault="00547B19" w:rsidP="00547B19">
      <w:pPr>
        <w:pStyle w:val="Ttulo2"/>
      </w:pPr>
      <w:bookmarkStart w:id="104" w:name="_Toc429562762"/>
      <w:bookmarkStart w:id="105" w:name="_Toc429563072"/>
      <w:bookmarkStart w:id="106" w:name="_Toc429563227"/>
      <w:r w:rsidRPr="00AA1D26">
        <w:t>Redacción</w:t>
      </w:r>
      <w:bookmarkEnd w:id="104"/>
      <w:bookmarkEnd w:id="105"/>
      <w:bookmarkEnd w:id="106"/>
    </w:p>
    <w:p w14:paraId="2A0FE962" w14:textId="77777777" w:rsidR="00547B19" w:rsidRPr="00AA1D26" w:rsidRDefault="00547B19" w:rsidP="00547B19">
      <w:pPr>
        <w:jc w:val="both"/>
        <w:rPr>
          <w:rFonts w:ascii="Arial" w:hAnsi="Arial" w:cs="Arial"/>
        </w:rPr>
      </w:pPr>
      <w:r w:rsidRPr="00AA1D26">
        <w:rPr>
          <w:rFonts w:ascii="Arial" w:hAnsi="Arial" w:cs="Arial"/>
        </w:rPr>
        <w:t>La confección de este documento estuvo a cargo de la División de Planificación y Normativa de la SUPEN.</w:t>
      </w:r>
    </w:p>
    <w:p w14:paraId="3F79260D" w14:textId="77777777" w:rsidR="00547B19" w:rsidRPr="00AA1D26" w:rsidRDefault="00547B19" w:rsidP="00547B19">
      <w:pPr>
        <w:pStyle w:val="Ttulo2"/>
      </w:pPr>
      <w:bookmarkStart w:id="107" w:name="_Toc429562763"/>
      <w:bookmarkStart w:id="108" w:name="_Toc429563073"/>
      <w:bookmarkStart w:id="109" w:name="_Toc429563228"/>
      <w:r w:rsidRPr="00AA1D26">
        <w:t>Contacto</w:t>
      </w:r>
      <w:bookmarkEnd w:id="107"/>
      <w:bookmarkEnd w:id="108"/>
      <w:bookmarkEnd w:id="109"/>
    </w:p>
    <w:p w14:paraId="25B58536" w14:textId="77777777" w:rsidR="00547B19" w:rsidRPr="00AA1D26" w:rsidRDefault="00547B19" w:rsidP="00547B19">
      <w:pPr>
        <w:rPr>
          <w:rFonts w:ascii="Arial" w:hAnsi="Arial" w:cs="Arial"/>
        </w:rPr>
        <w:sectPr w:rsidR="00547B19" w:rsidRPr="00AA1D26" w:rsidSect="00965E81">
          <w:type w:val="continuous"/>
          <w:pgSz w:w="12240" w:h="15840"/>
          <w:pgMar w:top="720" w:right="616" w:bottom="720" w:left="720" w:header="708" w:footer="708" w:gutter="0"/>
          <w:cols w:num="2" w:space="708"/>
          <w:docGrid w:linePitch="360"/>
        </w:sectPr>
      </w:pPr>
      <w:r w:rsidRPr="00AA1D26">
        <w:rPr>
          <w:rFonts w:ascii="Arial" w:hAnsi="Arial" w:cs="Arial"/>
        </w:rPr>
        <w:t xml:space="preserve">La Superintendencia de Pensiones cuenta con un sitio web: </w:t>
      </w:r>
      <w:hyperlink r:id="rId72" w:history="1">
        <w:r w:rsidRPr="00AA1D26">
          <w:rPr>
            <w:rStyle w:val="Hipervnculo"/>
            <w:rFonts w:ascii="Arial" w:hAnsi="Arial" w:cs="Arial"/>
          </w:rPr>
          <w:t>www.supen.fi.cr</w:t>
        </w:r>
      </w:hyperlink>
      <w:r w:rsidRPr="00AA1D26">
        <w:rPr>
          <w:rFonts w:ascii="Arial" w:hAnsi="Arial" w:cs="Arial"/>
        </w:rPr>
        <w:t xml:space="preserve"> donde se proporciona información para los afiliados y para los participantes del SNP. También se puede contactar al teléfono (506) 2243-4445.</w:t>
      </w:r>
    </w:p>
    <w:p w14:paraId="3FC41CD8" w14:textId="77777777" w:rsidR="00547B19" w:rsidRPr="00AA1D26" w:rsidRDefault="00547B19" w:rsidP="00547B19">
      <w:pPr>
        <w:pStyle w:val="Ttulo1"/>
        <w:sectPr w:rsidR="00547B19" w:rsidRPr="00AA1D26" w:rsidSect="00965E81">
          <w:type w:val="continuous"/>
          <w:pgSz w:w="12240" w:h="15840"/>
          <w:pgMar w:top="1417" w:right="1701" w:bottom="1417" w:left="1701" w:header="708" w:footer="708" w:gutter="0"/>
          <w:cols w:space="708"/>
          <w:docGrid w:linePitch="360"/>
        </w:sectPr>
      </w:pPr>
    </w:p>
    <w:p w14:paraId="61935518" w14:textId="77777777" w:rsidR="00547B19" w:rsidRPr="00AA1D26" w:rsidRDefault="00547B19" w:rsidP="00547B19">
      <w:pPr>
        <w:pStyle w:val="Ttulo1"/>
      </w:pPr>
      <w:bookmarkStart w:id="110" w:name="_Toc427911616"/>
      <w:bookmarkStart w:id="111" w:name="_Toc429562764"/>
      <w:bookmarkStart w:id="112" w:name="_Toc429563074"/>
      <w:bookmarkStart w:id="113" w:name="_Toc429563229"/>
      <w:r w:rsidRPr="00AA1D26">
        <w:lastRenderedPageBreak/>
        <w:t>Objetivo 1: Vigilar a los participantes en el SNP</w:t>
      </w:r>
      <w:bookmarkEnd w:id="110"/>
      <w:bookmarkEnd w:id="111"/>
      <w:bookmarkEnd w:id="112"/>
      <w:bookmarkEnd w:id="113"/>
    </w:p>
    <w:p w14:paraId="6C34769F" w14:textId="77777777" w:rsidR="00547B19" w:rsidRDefault="00547B19" w:rsidP="00547B19">
      <w:pPr>
        <w:jc w:val="both"/>
        <w:rPr>
          <w:rFonts w:ascii="Arial" w:hAnsi="Arial" w:cs="Arial"/>
        </w:rPr>
      </w:pPr>
      <w:r w:rsidRPr="00AA1D26">
        <w:rPr>
          <w:rFonts w:ascii="Arial" w:hAnsi="Arial" w:cs="Arial"/>
        </w:rPr>
        <w:t>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evaluar y calificar los diferentes riesgos a que pueden ser expuestos los distintos regímenes de pensiones establecidos por ley, que pudieran afectar la administración de los recursos de los 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p>
    <w:p w14:paraId="4B91DE8F" w14:textId="77777777" w:rsidR="00AA1D26" w:rsidRPr="00AA1D26" w:rsidRDefault="00AA1D26" w:rsidP="00547B19">
      <w:pPr>
        <w:jc w:val="both"/>
        <w:rPr>
          <w:rFonts w:ascii="Arial" w:hAnsi="Arial" w:cs="Arial"/>
        </w:rPr>
      </w:pPr>
    </w:p>
    <w:p w14:paraId="33B7AA19" w14:textId="77777777" w:rsidR="00547B19" w:rsidRPr="00AA1D26" w:rsidRDefault="00547B19" w:rsidP="00547B19">
      <w:pPr>
        <w:pStyle w:val="Ttulo2"/>
      </w:pPr>
      <w:bookmarkStart w:id="114" w:name="_Toc429562765"/>
      <w:bookmarkStart w:id="115" w:name="_Toc429563075"/>
      <w:bookmarkStart w:id="116" w:name="_Toc429563230"/>
      <w:r w:rsidRPr="00AA1D26">
        <w:t>Retos actuales</w:t>
      </w:r>
      <w:bookmarkEnd w:id="114"/>
      <w:bookmarkEnd w:id="115"/>
      <w:bookmarkEnd w:id="116"/>
    </w:p>
    <w:p w14:paraId="28055022" w14:textId="77777777" w:rsidR="00547B19" w:rsidRDefault="00547B19" w:rsidP="007D20C1">
      <w:pPr>
        <w:jc w:val="both"/>
        <w:rPr>
          <w:rFonts w:ascii="Arial" w:hAnsi="Arial" w:cs="Arial"/>
        </w:rPr>
      </w:pPr>
      <w:r w:rsidRPr="00AA1D26">
        <w:rPr>
          <w:rFonts w:ascii="Arial" w:hAnsi="Arial" w:cs="Arial"/>
        </w:rPr>
        <w:t>Para el presente Plan Estratégico se han seleccionado como retos por enfrentar en este objetivo:</w:t>
      </w:r>
    </w:p>
    <w:p w14:paraId="3079634D" w14:textId="77777777" w:rsidR="00AA1D26" w:rsidRPr="00AA1D26" w:rsidRDefault="00AA1D26" w:rsidP="00AA1D26">
      <w:pPr>
        <w:rPr>
          <w:rFonts w:ascii="Arial" w:hAnsi="Arial" w:cs="Arial"/>
        </w:rPr>
      </w:pPr>
    </w:p>
    <w:p w14:paraId="6EDFF407" w14:textId="68FC7A0B" w:rsidR="00547B19" w:rsidRPr="00AA1D26" w:rsidRDefault="00547B19" w:rsidP="005360A5">
      <w:pPr>
        <w:pStyle w:val="Prrafodelista"/>
        <w:numPr>
          <w:ilvl w:val="0"/>
          <w:numId w:val="69"/>
        </w:numPr>
        <w:spacing w:after="200"/>
        <w:rPr>
          <w:rFonts w:ascii="Arial" w:hAnsi="Arial" w:cs="Arial"/>
        </w:rPr>
      </w:pPr>
      <w:r w:rsidRPr="00AA1D26">
        <w:rPr>
          <w:rFonts w:ascii="Arial" w:hAnsi="Arial" w:cs="Arial"/>
        </w:rPr>
        <w:t>La necesidad de aplicar el modelo de supervisión recientemente desarrollado por el supervisor a todos los participantes en el S</w:t>
      </w:r>
      <w:r w:rsidR="007D20C1">
        <w:rPr>
          <w:rFonts w:ascii="Arial" w:hAnsi="Arial" w:cs="Arial"/>
        </w:rPr>
        <w:t>NP, de tal manera que se amplíe</w:t>
      </w:r>
      <w:r w:rsidRPr="00AA1D26">
        <w:rPr>
          <w:rFonts w:ascii="Arial" w:hAnsi="Arial" w:cs="Arial"/>
        </w:rPr>
        <w:t xml:space="preserve"> el marco de diagnóstico mediante el cual se identifican y priorizan las mejoras que el gestor debe incluir en sus procesos, a efecto de que cumpla con la misión de proteger y potenciar el ahorro de los trabajadores de cara a las pensiones.</w:t>
      </w:r>
    </w:p>
    <w:p w14:paraId="20A19BEB" w14:textId="4D75FE7F" w:rsidR="00547B19" w:rsidRPr="00AA1D26" w:rsidRDefault="00547B19" w:rsidP="005360A5">
      <w:pPr>
        <w:pStyle w:val="Prrafodelista"/>
        <w:numPr>
          <w:ilvl w:val="0"/>
          <w:numId w:val="69"/>
        </w:numPr>
        <w:spacing w:after="200"/>
        <w:rPr>
          <w:rFonts w:ascii="Arial" w:hAnsi="Arial" w:cs="Arial"/>
        </w:rPr>
      </w:pPr>
      <w:r w:rsidRPr="00AA1D26">
        <w:rPr>
          <w:rFonts w:ascii="Arial" w:hAnsi="Arial" w:cs="Arial"/>
        </w:rPr>
        <w:t>El remozamiento del marco regulatorio para que se adapte al nuevo modelo de supervisión, ya que en la actualidad los reglamentos, acuerdos y manuales se ha</w:t>
      </w:r>
      <w:r w:rsidR="007D20C1">
        <w:rPr>
          <w:rFonts w:ascii="Arial" w:hAnsi="Arial" w:cs="Arial"/>
        </w:rPr>
        <w:t>n</w:t>
      </w:r>
      <w:r w:rsidRPr="00AA1D26">
        <w:rPr>
          <w:rFonts w:ascii="Arial" w:hAnsi="Arial" w:cs="Arial"/>
        </w:rPr>
        <w:t xml:space="preserve"> desarrollado en diferentes momentos en el tiempo, lo que ha hecho que algunos se adapten mejor que otros a la visión de la nueva supervisión. Se hace necesario entrar en un proceso integral de revisión que no sólo actualice, sino que desregule aquello que por madurez o estándar de gestión ya no sea necesario establecer, de tal manera que se simplifique y alinee su entendimiento para todos los participantes.</w:t>
      </w:r>
    </w:p>
    <w:p w14:paraId="72E74515" w14:textId="77777777" w:rsidR="00547B19" w:rsidRPr="00AA1D26" w:rsidRDefault="00547B19" w:rsidP="005360A5">
      <w:pPr>
        <w:pStyle w:val="Prrafodelista"/>
        <w:numPr>
          <w:ilvl w:val="0"/>
          <w:numId w:val="69"/>
        </w:numPr>
        <w:spacing w:after="200"/>
        <w:rPr>
          <w:rFonts w:ascii="Arial" w:hAnsi="Arial" w:cs="Arial"/>
        </w:rPr>
      </w:pPr>
      <w:r w:rsidRPr="00AA1D26">
        <w:rPr>
          <w:rFonts w:ascii="Arial" w:hAnsi="Arial" w:cs="Arial"/>
        </w:rPr>
        <w:t>Es necesario que el supervisor promueva el mejoramiento de la industria previsional, en el sentido de que pueda atender mejor las necesidades de los clientes y pueda optimizar procesos de cara a la gestión que se exige en ámbitos de competencia o de transparencia para los afiliados. Se está pensando en promover la creación de más y mejores servicios para los afiliados, así como la posibilidad de eliminar los controles establecidos vía regulación que generan gastos y que no son acompañados necesariamente con la generación de valor para quienes los poseen.</w:t>
      </w:r>
    </w:p>
    <w:p w14:paraId="2D52381B" w14:textId="77777777" w:rsidR="00547B19" w:rsidRPr="00AA1D26" w:rsidRDefault="00547B19" w:rsidP="00547B19">
      <w:pPr>
        <w:pStyle w:val="Ttulo2"/>
      </w:pPr>
      <w:bookmarkStart w:id="117" w:name="_Toc429562766"/>
      <w:bookmarkStart w:id="118" w:name="_Toc429563076"/>
      <w:bookmarkStart w:id="119" w:name="_Toc429563231"/>
      <w:r w:rsidRPr="00AA1D26">
        <w:t>Proyectos para cumplir el objetivo</w:t>
      </w:r>
      <w:bookmarkEnd w:id="117"/>
      <w:bookmarkEnd w:id="118"/>
      <w:bookmarkEnd w:id="119"/>
    </w:p>
    <w:p w14:paraId="463F38DA" w14:textId="77777777" w:rsidR="00547B19" w:rsidRPr="00AA1D26" w:rsidRDefault="00547B19" w:rsidP="00547B19">
      <w:pPr>
        <w:rPr>
          <w:rFonts w:ascii="Arial" w:hAnsi="Arial" w:cs="Arial"/>
        </w:rPr>
      </w:pPr>
      <w:r w:rsidRPr="00AA1D26">
        <w:rPr>
          <w:rFonts w:ascii="Arial" w:hAnsi="Arial" w:cs="Arial"/>
        </w:rPr>
        <w:t>El Plan Estratégico pretende atender los retos citados con los siguientes proyectos asociados:</w:t>
      </w:r>
    </w:p>
    <w:p w14:paraId="7EED534E" w14:textId="77777777" w:rsidR="00AA1D26" w:rsidRDefault="00AA1D26" w:rsidP="00547B19">
      <w:pPr>
        <w:rPr>
          <w:rFonts w:ascii="Arial" w:hAnsi="Arial" w:cs="Arial"/>
          <w:b/>
        </w:rPr>
      </w:pPr>
    </w:p>
    <w:p w14:paraId="0274E342" w14:textId="77777777" w:rsidR="00547B19" w:rsidRPr="00AA1D26" w:rsidRDefault="00547B19" w:rsidP="00547B19">
      <w:pPr>
        <w:rPr>
          <w:rFonts w:ascii="Arial" w:hAnsi="Arial" w:cs="Arial"/>
          <w:b/>
        </w:rPr>
      </w:pPr>
      <w:r w:rsidRPr="00AA1D26">
        <w:rPr>
          <w:rFonts w:ascii="Arial" w:hAnsi="Arial" w:cs="Arial"/>
          <w:b/>
        </w:rPr>
        <w:t>Proyecto 1: Aplicación de la supervisión basada en riesgos (SBR)</w:t>
      </w:r>
    </w:p>
    <w:p w14:paraId="593F0935" w14:textId="77777777" w:rsidR="00547B19" w:rsidRPr="00AA1D26" w:rsidRDefault="00547B19" w:rsidP="00547B19">
      <w:pPr>
        <w:jc w:val="both"/>
        <w:rPr>
          <w:rFonts w:ascii="Arial" w:hAnsi="Arial" w:cs="Arial"/>
        </w:rPr>
      </w:pPr>
      <w:r w:rsidRPr="00AA1D26">
        <w:rPr>
          <w:rFonts w:ascii="Arial" w:hAnsi="Arial" w:cs="Arial"/>
        </w:rPr>
        <w:t>La SUPEN ha mejorado su modelo de supervisión. En los años 2014 y 2015 ha diseñado guías y estrategias para mejorar la calidad de los diagnósticos acerca de las áreas de riesgo relevantes. Así las cosas, para este quinquenio lo que queda pendiente en esta tarea es aplicar las nuevas herramientas de supervisión de manera gradual a todos los administradores, ajustándolas según sea la necesidad.</w:t>
      </w:r>
    </w:p>
    <w:p w14:paraId="625112DE" w14:textId="77777777" w:rsidR="00547B19" w:rsidRDefault="00547B19" w:rsidP="00547B19">
      <w:pPr>
        <w:jc w:val="both"/>
        <w:rPr>
          <w:rFonts w:ascii="Arial" w:hAnsi="Arial" w:cs="Arial"/>
        </w:rPr>
      </w:pPr>
      <w:r w:rsidRPr="00AA1D26">
        <w:rPr>
          <w:rFonts w:ascii="Arial" w:hAnsi="Arial" w:cs="Arial"/>
        </w:rPr>
        <w:t>La implementación de modelo mejorado implica ajustes en regulaciones como el Reglamento de Gestión de Riesgos, Reglamento de la Calificación de la Situación Financiera y el Reglamento de Apertura y Funcionamiento, entre otros. Además, requiere el desarrollo de programas de supervisión para la evaluación de los riesgos más relevantes y un  proceso de capacitación tanto a nivel de la industria como de los supervisores.</w:t>
      </w:r>
    </w:p>
    <w:p w14:paraId="05706971" w14:textId="77777777" w:rsidR="00AA1D26" w:rsidRPr="00AA1D26" w:rsidRDefault="00AA1D26" w:rsidP="00547B19">
      <w:pPr>
        <w:jc w:val="both"/>
        <w:rPr>
          <w:rFonts w:ascii="Arial" w:hAnsi="Arial" w:cs="Arial"/>
        </w:rPr>
      </w:pPr>
    </w:p>
    <w:p w14:paraId="5B4DAC9B" w14:textId="77777777" w:rsidR="00547B19" w:rsidRPr="00AA1D26" w:rsidRDefault="00547B19" w:rsidP="00547B19">
      <w:pPr>
        <w:rPr>
          <w:rFonts w:ascii="Arial" w:hAnsi="Arial" w:cs="Arial"/>
          <w:b/>
        </w:rPr>
      </w:pPr>
      <w:r w:rsidRPr="00AA1D26">
        <w:rPr>
          <w:rFonts w:ascii="Arial" w:hAnsi="Arial" w:cs="Arial"/>
          <w:b/>
        </w:rPr>
        <w:t>Proyecto 2: Reglamento de inversiones</w:t>
      </w:r>
    </w:p>
    <w:p w14:paraId="4DE3ADF8" w14:textId="77777777" w:rsidR="00547B19" w:rsidRDefault="00547B19" w:rsidP="00547B19">
      <w:pPr>
        <w:jc w:val="both"/>
        <w:rPr>
          <w:rFonts w:ascii="Arial" w:hAnsi="Arial" w:cs="Arial"/>
        </w:rPr>
      </w:pPr>
      <w:r w:rsidRPr="00AA1D26">
        <w:rPr>
          <w:rFonts w:ascii="Arial" w:hAnsi="Arial" w:cs="Arial"/>
        </w:rPr>
        <w:t>Además de los aportes a los planes de pensiones, el principal motor de crecimiento lo representan los rendimientos que se generan producto de la gestión de las inversiones. Es necesario que el supervisor propicie un marco normativo que permita asegurar la existencia de suficientes instrumentos accesibles para que pueda darse una planificación estratégica de los portafolios, tomando en cuenta los riesgos asociados y los cambios en los factores de riesgo de las diversas oportunidades de inversiones. Este proyecto pretende flexibilizar el marco normativo en temas de inversiones, de tal manera que le permita al gestor ampliar las posibilidades de seleccionar instrumentos y pueda diseñar estrategias particulares de acuerdo con el perfil social y económico de los afiliados.</w:t>
      </w:r>
    </w:p>
    <w:p w14:paraId="1880DFC2" w14:textId="77777777" w:rsidR="00AA1D26" w:rsidRPr="00AA1D26" w:rsidRDefault="00AA1D26" w:rsidP="00547B19">
      <w:pPr>
        <w:jc w:val="both"/>
        <w:rPr>
          <w:rFonts w:ascii="Arial" w:hAnsi="Arial" w:cs="Arial"/>
        </w:rPr>
      </w:pPr>
    </w:p>
    <w:p w14:paraId="3295E002" w14:textId="77777777" w:rsidR="00547B19" w:rsidRPr="00AA1D26" w:rsidRDefault="00547B19" w:rsidP="00547B19">
      <w:pPr>
        <w:rPr>
          <w:rFonts w:ascii="Arial" w:hAnsi="Arial" w:cs="Arial"/>
          <w:b/>
        </w:rPr>
      </w:pPr>
      <w:r w:rsidRPr="00AA1D26">
        <w:rPr>
          <w:rFonts w:ascii="Arial" w:hAnsi="Arial" w:cs="Arial"/>
          <w:b/>
        </w:rPr>
        <w:t xml:space="preserve">Proyecto 3: Reducción de costos innecesarios de la industria </w:t>
      </w:r>
    </w:p>
    <w:p w14:paraId="3ABF6932" w14:textId="77777777" w:rsidR="00547B19" w:rsidRDefault="00547B19" w:rsidP="00547B19">
      <w:pPr>
        <w:jc w:val="both"/>
        <w:rPr>
          <w:rFonts w:ascii="Arial" w:hAnsi="Arial" w:cs="Arial"/>
        </w:rPr>
      </w:pPr>
      <w:r w:rsidRPr="00AA1D26">
        <w:rPr>
          <w:rFonts w:ascii="Arial" w:hAnsi="Arial" w:cs="Arial"/>
        </w:rPr>
        <w:t>Actualmente, para los administradores de recursos, existen costos asociados difíciles de gestionar (gestión de automáticos, cuentas sin movimientos, entre otros); se debe propiciar un ambiente saludable para que la industria no tenga que traducir esos altos costos en comisiones onerosas a los afiliados. Se pretende crear una agenda consensuada con los gestores mediante la cual se introduzcan en el sistema complementario cambios en los procedimientos asociados a la gestión de las cuentas, que haga que se puedan optimizar procesos y que la gestión se concentre en lo sustantivo, que repercuta directamente en beneficios para los afiliados y pensionados.</w:t>
      </w:r>
    </w:p>
    <w:p w14:paraId="3C73B9A3" w14:textId="77777777" w:rsidR="00AA1D26" w:rsidRPr="00AA1D26" w:rsidRDefault="00AA1D26" w:rsidP="00547B19">
      <w:pPr>
        <w:jc w:val="both"/>
        <w:rPr>
          <w:rFonts w:ascii="Arial" w:hAnsi="Arial" w:cs="Arial"/>
        </w:rPr>
      </w:pPr>
    </w:p>
    <w:p w14:paraId="5C336D0B" w14:textId="77777777" w:rsidR="00547B19" w:rsidRPr="00AA1D26" w:rsidRDefault="00547B19" w:rsidP="00547B19">
      <w:pPr>
        <w:jc w:val="both"/>
        <w:rPr>
          <w:rFonts w:ascii="Arial" w:hAnsi="Arial" w:cs="Arial"/>
          <w:b/>
        </w:rPr>
      </w:pPr>
      <w:r w:rsidRPr="00AA1D26">
        <w:rPr>
          <w:rFonts w:ascii="Arial" w:hAnsi="Arial" w:cs="Arial"/>
          <w:b/>
        </w:rPr>
        <w:t>Proyecto 4: Revisión de la normativa emitida</w:t>
      </w:r>
    </w:p>
    <w:p w14:paraId="3BEB1C95" w14:textId="77777777" w:rsidR="00547B19" w:rsidRDefault="00547B19" w:rsidP="00547B19">
      <w:pPr>
        <w:jc w:val="both"/>
        <w:rPr>
          <w:rFonts w:ascii="Arial" w:hAnsi="Arial" w:cs="Arial"/>
        </w:rPr>
      </w:pPr>
      <w:r w:rsidRPr="00AA1D26">
        <w:rPr>
          <w:rFonts w:ascii="Arial" w:hAnsi="Arial" w:cs="Arial"/>
        </w:rPr>
        <w:t>Se busca crear una agenda de revisión y modernización de toda la normativa emitida por el supervisor, de tal manera que se consolide en un digesto por tema y esté debidamente estructurada para que sea de fácil acceso a las partes interesadas. Es necesario además, verificar la vigencia de la norma, estableciendo controles mediante los cuales se estén monitoreando los documentos más antiguos sin modificación, a efecto de que tengan revisiones periódicas que permitan determinar si son o no aplicables en el momento de la revisión.</w:t>
      </w:r>
    </w:p>
    <w:p w14:paraId="51BDA4A5" w14:textId="0E590BFC" w:rsidR="00AA1D26" w:rsidRDefault="00AA1D26" w:rsidP="00547B19">
      <w:pPr>
        <w:jc w:val="both"/>
        <w:rPr>
          <w:rFonts w:ascii="Arial" w:hAnsi="Arial" w:cs="Arial"/>
        </w:rPr>
      </w:pPr>
    </w:p>
    <w:p w14:paraId="28B04BCF" w14:textId="77777777" w:rsidR="00AA1D26" w:rsidRPr="00AA1D26" w:rsidRDefault="00AA1D26" w:rsidP="00547B19">
      <w:pPr>
        <w:jc w:val="both"/>
        <w:rPr>
          <w:rFonts w:ascii="Arial" w:hAnsi="Arial" w:cs="Arial"/>
        </w:rPr>
      </w:pPr>
    </w:p>
    <w:p w14:paraId="45B454F3" w14:textId="77777777" w:rsidR="00547B19" w:rsidRPr="00AA1D26" w:rsidRDefault="00547B19" w:rsidP="00547B19">
      <w:pPr>
        <w:jc w:val="both"/>
        <w:rPr>
          <w:rFonts w:ascii="Arial" w:hAnsi="Arial" w:cs="Arial"/>
          <w:b/>
        </w:rPr>
      </w:pPr>
      <w:r w:rsidRPr="00AA1D26">
        <w:rPr>
          <w:rFonts w:ascii="Arial" w:hAnsi="Arial" w:cs="Arial"/>
          <w:b/>
        </w:rPr>
        <w:lastRenderedPageBreak/>
        <w:t>Proyecto 5: Marco sancionatorio</w:t>
      </w:r>
    </w:p>
    <w:p w14:paraId="322BB96E" w14:textId="77777777" w:rsidR="00547B19" w:rsidRDefault="00547B19" w:rsidP="00547B19">
      <w:pPr>
        <w:jc w:val="both"/>
        <w:rPr>
          <w:rFonts w:ascii="Arial" w:hAnsi="Arial" w:cs="Arial"/>
        </w:rPr>
      </w:pPr>
      <w:r w:rsidRPr="00AA1D26">
        <w:rPr>
          <w:rFonts w:ascii="Arial" w:hAnsi="Arial" w:cs="Arial"/>
        </w:rPr>
        <w:t xml:space="preserve">Se pretende fortalecer el proceso disciplinario de que dispone la organización, buscando que existan nuevos mecanismos para corregir el comportamiento indebido de los gestores. Este cambio parte de la adición en las potestades legales y termina en la aplicación de este nuevo marco en los gestores. </w:t>
      </w:r>
    </w:p>
    <w:p w14:paraId="2B011AEF" w14:textId="77777777" w:rsidR="00AA1D26" w:rsidRPr="00AA1D26" w:rsidRDefault="00AA1D26" w:rsidP="00547B19">
      <w:pPr>
        <w:jc w:val="both"/>
        <w:rPr>
          <w:rFonts w:ascii="Arial" w:hAnsi="Arial" w:cs="Arial"/>
        </w:rPr>
      </w:pPr>
    </w:p>
    <w:p w14:paraId="527591EB" w14:textId="77777777" w:rsidR="00547B19" w:rsidRPr="00AA1D26" w:rsidRDefault="00547B19" w:rsidP="00547B19">
      <w:pPr>
        <w:jc w:val="both"/>
        <w:rPr>
          <w:rFonts w:ascii="Arial" w:hAnsi="Arial" w:cs="Arial"/>
          <w:b/>
        </w:rPr>
      </w:pPr>
      <w:r w:rsidRPr="00AA1D26">
        <w:rPr>
          <w:rFonts w:ascii="Arial" w:hAnsi="Arial" w:cs="Arial"/>
          <w:b/>
        </w:rPr>
        <w:t>Proyecto 6: Potestades de supervisión</w:t>
      </w:r>
    </w:p>
    <w:p w14:paraId="036BBFDD" w14:textId="77777777" w:rsidR="00547B19" w:rsidRPr="00AA1D26" w:rsidRDefault="00547B19" w:rsidP="00547B19">
      <w:pPr>
        <w:jc w:val="both"/>
        <w:rPr>
          <w:rFonts w:ascii="Arial" w:hAnsi="Arial" w:cs="Arial"/>
        </w:rPr>
        <w:sectPr w:rsidR="00547B19" w:rsidRPr="00AA1D26" w:rsidSect="00965E81">
          <w:pgSz w:w="12240" w:h="15840"/>
          <w:pgMar w:top="1417" w:right="1701" w:bottom="1417" w:left="1701" w:header="708" w:footer="708" w:gutter="0"/>
          <w:cols w:space="708"/>
          <w:docGrid w:linePitch="360"/>
        </w:sectPr>
      </w:pPr>
      <w:r w:rsidRPr="00AA1D26">
        <w:rPr>
          <w:rFonts w:ascii="Arial" w:hAnsi="Arial" w:cs="Arial"/>
        </w:rPr>
        <w:t>Proponer un cambio en las potestades de supervisión de la SUPEN, en el sentido de que disponga de posibilidades de evaluar a todos los participantes en el sistema de pensiones, desde la recaudación hasta la prestación de servicios por parte de todos los gestores. Con esto el supervisor podrá focalizar esfuerzos a lo largo de toda la cadena de valor en lo que a prestación de las pensiones se refiere, teniendo así mejores posibilidades de atacar los puntos en los que los riesgos se estén materializando.</w:t>
      </w:r>
    </w:p>
    <w:p w14:paraId="57AC2C71" w14:textId="77777777" w:rsidR="00547B19" w:rsidRPr="00AA1D26" w:rsidRDefault="00547B19" w:rsidP="00272609">
      <w:pPr>
        <w:pStyle w:val="Ttulo1"/>
        <w:jc w:val="both"/>
      </w:pPr>
      <w:bookmarkStart w:id="120" w:name="_Toc427911617"/>
      <w:bookmarkStart w:id="121" w:name="_Toc429562767"/>
      <w:bookmarkStart w:id="122" w:name="_Toc429563077"/>
      <w:bookmarkStart w:id="123" w:name="_Toc429563232"/>
      <w:r w:rsidRPr="00AA1D26">
        <w:lastRenderedPageBreak/>
        <w:t>Objetivo 2: Fortalecer el sistema de pensiones y ahorro laboral</w:t>
      </w:r>
      <w:bookmarkEnd w:id="120"/>
      <w:bookmarkEnd w:id="121"/>
      <w:bookmarkEnd w:id="122"/>
      <w:bookmarkEnd w:id="123"/>
    </w:p>
    <w:p w14:paraId="0331DCDF" w14:textId="77777777" w:rsidR="00547B19" w:rsidRPr="00AA1D26" w:rsidRDefault="00547B19" w:rsidP="00547B19">
      <w:pPr>
        <w:jc w:val="both"/>
        <w:rPr>
          <w:rFonts w:ascii="Arial" w:hAnsi="Arial" w:cs="Arial"/>
        </w:rPr>
      </w:pPr>
      <w:r w:rsidRPr="00AA1D26">
        <w:rPr>
          <w:rFonts w:ascii="Arial" w:hAnsi="Arial" w:cs="Arial"/>
        </w:rPr>
        <w:t xml:space="preserve">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w:t>
      </w:r>
    </w:p>
    <w:p w14:paraId="2AF3071E" w14:textId="77777777" w:rsidR="00547B19" w:rsidRPr="00AA1D26" w:rsidRDefault="00547B19" w:rsidP="00547B19">
      <w:pPr>
        <w:jc w:val="both"/>
        <w:rPr>
          <w:rFonts w:ascii="Arial" w:hAnsi="Arial" w:cs="Arial"/>
        </w:rPr>
      </w:pPr>
      <w:r w:rsidRPr="00AA1D26">
        <w:rPr>
          <w:rFonts w:ascii="Arial" w:hAnsi="Arial" w:cs="Arial"/>
        </w:rPr>
        <w:t xml:space="preserve">Para el presente ciclo de planificación, la SUPEN procura formular cambios o adiciones a las reglas que operan en el SNP, para ampliar las posibilidades de ahorro y crear consensos en los cambios que deberán trabajarse en los próximos cinco años, para asegurar el futuro de los trabajadores. </w:t>
      </w:r>
    </w:p>
    <w:p w14:paraId="4864D4E7" w14:textId="77777777" w:rsidR="00547B19" w:rsidRDefault="00547B19" w:rsidP="00547B19">
      <w:pPr>
        <w:jc w:val="both"/>
        <w:rPr>
          <w:rFonts w:ascii="Arial" w:hAnsi="Arial" w:cs="Arial"/>
        </w:rPr>
      </w:pPr>
      <w:r w:rsidRPr="00AA1D26">
        <w:rPr>
          <w:rFonts w:ascii="Arial" w:hAnsi="Arial" w:cs="Arial"/>
        </w:rPr>
        <w:t>Este objetivo parte de la necesidad de crear un diálogo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puedan compartir y diseñar con suficiente tiempo los cambios que eviten problemas futuros al sistema como un todo.</w:t>
      </w:r>
    </w:p>
    <w:p w14:paraId="6D1379D0" w14:textId="77777777" w:rsidR="00AA1D26" w:rsidRPr="00AA1D26" w:rsidRDefault="00AA1D26" w:rsidP="00547B19">
      <w:pPr>
        <w:jc w:val="both"/>
        <w:rPr>
          <w:rFonts w:ascii="Arial" w:hAnsi="Arial" w:cs="Arial"/>
        </w:rPr>
      </w:pPr>
    </w:p>
    <w:p w14:paraId="5F488BF1" w14:textId="77777777" w:rsidR="00547B19" w:rsidRPr="00AA1D26" w:rsidRDefault="00547B19" w:rsidP="00547B19">
      <w:pPr>
        <w:pStyle w:val="Ttulo2"/>
      </w:pPr>
      <w:bookmarkStart w:id="124" w:name="_Toc429562768"/>
      <w:bookmarkStart w:id="125" w:name="_Toc429563078"/>
      <w:bookmarkStart w:id="126" w:name="_Toc429563233"/>
      <w:r w:rsidRPr="00AA1D26">
        <w:t>Retos actuales</w:t>
      </w:r>
      <w:bookmarkEnd w:id="124"/>
      <w:bookmarkEnd w:id="125"/>
      <w:bookmarkEnd w:id="126"/>
    </w:p>
    <w:p w14:paraId="7D2D7736" w14:textId="77777777" w:rsidR="00547B19" w:rsidRDefault="00547B19" w:rsidP="00547B19">
      <w:pPr>
        <w:jc w:val="both"/>
        <w:rPr>
          <w:rFonts w:ascii="Arial" w:hAnsi="Arial" w:cs="Arial"/>
        </w:rPr>
      </w:pPr>
      <w:r w:rsidRPr="00AA1D26">
        <w:rPr>
          <w:rFonts w:ascii="Arial" w:hAnsi="Arial" w:cs="Arial"/>
        </w:rPr>
        <w:t>Para el presente Plan Estratégico se han seleccionado como retos a enfrentar en este objetivo:</w:t>
      </w:r>
    </w:p>
    <w:p w14:paraId="7CC2EFC1" w14:textId="77777777" w:rsidR="00AA1D26" w:rsidRPr="00AA1D26" w:rsidRDefault="00AA1D26" w:rsidP="00AA1D26">
      <w:pPr>
        <w:jc w:val="both"/>
        <w:rPr>
          <w:rFonts w:ascii="Arial" w:hAnsi="Arial" w:cs="Arial"/>
        </w:rPr>
      </w:pPr>
    </w:p>
    <w:p w14:paraId="54434A94" w14:textId="77777777" w:rsidR="00547B19" w:rsidRPr="00AA1D26" w:rsidRDefault="00547B19" w:rsidP="005360A5">
      <w:pPr>
        <w:pStyle w:val="Prrafodelista"/>
        <w:numPr>
          <w:ilvl w:val="0"/>
          <w:numId w:val="68"/>
        </w:numPr>
        <w:spacing w:after="200"/>
        <w:rPr>
          <w:rFonts w:ascii="Arial" w:hAnsi="Arial" w:cs="Arial"/>
        </w:rPr>
      </w:pPr>
      <w:r w:rsidRPr="00AA1D26">
        <w:rPr>
          <w:rFonts w:ascii="Arial" w:hAnsi="Arial" w:cs="Arial"/>
        </w:rPr>
        <w:t>Algunos planes de pensión tienen problemas de diseño, porque los beneficios que se otorgan no son sostenibles en el largo plazo, debido principalmente a que fueron establecidos en épocas y con condiciones diferentes. Es necesario, por lo tanto, iniciar un debate nacional que transparente los problemas existentes y evitar que alguno de los fondos de pensión entre en estado de insolvencia. De este debate debe surgir una propuesta de ajuste a los sistemas, políticamente viable, que establezca una agenda de reformas legales en beneficio de los afiliados, con un horizonte de largo plazo.</w:t>
      </w:r>
    </w:p>
    <w:p w14:paraId="3490E243" w14:textId="77777777" w:rsidR="00547B19" w:rsidRPr="00AA1D26" w:rsidRDefault="00547B19" w:rsidP="005360A5">
      <w:pPr>
        <w:pStyle w:val="Prrafodelista"/>
        <w:numPr>
          <w:ilvl w:val="0"/>
          <w:numId w:val="68"/>
        </w:numPr>
        <w:spacing w:after="200"/>
        <w:rPr>
          <w:rFonts w:ascii="Arial" w:hAnsi="Arial" w:cs="Arial"/>
        </w:rPr>
      </w:pPr>
      <w:r w:rsidRPr="00AA1D26">
        <w:rPr>
          <w:rFonts w:ascii="Arial" w:hAnsi="Arial" w:cs="Arial"/>
        </w:rPr>
        <w:t>El país enfrenta problemas de desempleo y de trabajo informal que incrementan la masa de trabajadores no asalariada o con desempleo, en este sentido parte de la fuerza laboral no cotiza ni realiza ahorro previsional alguno. Es necesario establecer los mecanismos y arreglos institucionales para que los productos previsionales logren cubrir los vacíos en cotización de estas poblaciones y eventualmente para que los ahorros puedan ser utilizados de manera excepcional para cubrir las necesidades durante el desempleo.</w:t>
      </w:r>
    </w:p>
    <w:p w14:paraId="3544FDA8" w14:textId="38E72620" w:rsidR="00547B19" w:rsidRPr="008D3C10" w:rsidRDefault="00547B19" w:rsidP="005360A5">
      <w:pPr>
        <w:pStyle w:val="Prrafodelista"/>
        <w:numPr>
          <w:ilvl w:val="0"/>
          <w:numId w:val="68"/>
        </w:numPr>
        <w:spacing w:after="200"/>
        <w:rPr>
          <w:rFonts w:ascii="Arial" w:hAnsi="Arial" w:cs="Arial"/>
        </w:rPr>
      </w:pPr>
      <w:r w:rsidRPr="008D3C10">
        <w:rPr>
          <w:rFonts w:ascii="Arial" w:hAnsi="Arial" w:cs="Arial"/>
        </w:rPr>
        <w:t>E</w:t>
      </w:r>
      <w:r w:rsidR="008D3C10" w:rsidRPr="008D3C10">
        <w:rPr>
          <w:rFonts w:ascii="Arial" w:hAnsi="Arial" w:cs="Arial"/>
        </w:rPr>
        <w:t>n el</w:t>
      </w:r>
      <w:r w:rsidRPr="008D3C10">
        <w:rPr>
          <w:rFonts w:ascii="Arial" w:hAnsi="Arial" w:cs="Arial"/>
        </w:rPr>
        <w:t xml:space="preserve"> país </w:t>
      </w:r>
      <w:r w:rsidR="008D3C10" w:rsidRPr="008D3C10">
        <w:rPr>
          <w:rFonts w:ascii="Arial" w:hAnsi="Arial" w:cs="Arial"/>
        </w:rPr>
        <w:t xml:space="preserve">se </w:t>
      </w:r>
      <w:r w:rsidRPr="008D3C10">
        <w:rPr>
          <w:rFonts w:ascii="Arial" w:hAnsi="Arial" w:cs="Arial"/>
        </w:rPr>
        <w:t>debe promover la aplicación completa de la universalización de pensiones y aspectos de la calidad del servicio que ya hoy están dentro de la regulación, en donde se consigna la ampliación de la cobertura del IVM y la universalización de las pensiones para los adultos mayores en condiciones de pobreza.</w:t>
      </w:r>
    </w:p>
    <w:p w14:paraId="32C3DD4A" w14:textId="77777777" w:rsidR="00547B19" w:rsidRPr="00AA1D26" w:rsidRDefault="00547B19" w:rsidP="00547B19">
      <w:pPr>
        <w:pStyle w:val="Ttulo2"/>
      </w:pPr>
      <w:bookmarkStart w:id="127" w:name="_Toc429562769"/>
      <w:bookmarkStart w:id="128" w:name="_Toc429563079"/>
      <w:bookmarkStart w:id="129" w:name="_Toc429563234"/>
      <w:r w:rsidRPr="00AA1D26">
        <w:lastRenderedPageBreak/>
        <w:t>Proyectos para cumplir el objetivo</w:t>
      </w:r>
      <w:bookmarkEnd w:id="127"/>
      <w:bookmarkEnd w:id="128"/>
      <w:bookmarkEnd w:id="129"/>
    </w:p>
    <w:p w14:paraId="1F0D2FC2" w14:textId="77777777" w:rsidR="00547B19" w:rsidRPr="00AA1D26" w:rsidRDefault="00547B19" w:rsidP="00547B19">
      <w:pPr>
        <w:rPr>
          <w:rFonts w:ascii="Arial" w:hAnsi="Arial" w:cs="Arial"/>
        </w:rPr>
      </w:pPr>
      <w:r w:rsidRPr="00AA1D26">
        <w:rPr>
          <w:rFonts w:ascii="Arial" w:hAnsi="Arial" w:cs="Arial"/>
        </w:rPr>
        <w:t>El Plan Estratégico pretende atender estos retos con los siguientes proyectos asociados:</w:t>
      </w:r>
    </w:p>
    <w:p w14:paraId="57EDF114" w14:textId="77777777" w:rsidR="00547B19" w:rsidRPr="00AA1D26" w:rsidRDefault="00547B19" w:rsidP="00547B19">
      <w:pPr>
        <w:rPr>
          <w:rFonts w:ascii="Arial" w:hAnsi="Arial" w:cs="Arial"/>
          <w:b/>
        </w:rPr>
      </w:pPr>
      <w:r w:rsidRPr="00AA1D26">
        <w:rPr>
          <w:rFonts w:ascii="Arial" w:hAnsi="Arial" w:cs="Arial"/>
          <w:b/>
        </w:rPr>
        <w:t>Proyecto 1: Coordinación de un diálogo nacional de temas previsionales</w:t>
      </w:r>
    </w:p>
    <w:p w14:paraId="5E4670AB" w14:textId="77777777" w:rsidR="00547B19" w:rsidRPr="00AA1D26" w:rsidRDefault="00547B19" w:rsidP="00547B19">
      <w:pPr>
        <w:jc w:val="both"/>
        <w:rPr>
          <w:rFonts w:ascii="Arial" w:hAnsi="Arial" w:cs="Arial"/>
        </w:rPr>
      </w:pPr>
      <w:r w:rsidRPr="00AA1D26">
        <w:rPr>
          <w:rFonts w:ascii="Arial" w:hAnsi="Arial" w:cs="Arial"/>
        </w:rPr>
        <w:t>La gran cantidad de participantes en el SNP, cada uno representado en sus distintos grupos de interés: trabajadores, patronos, administradores y Estado, hace que los diálogos sean complejos y tiendan a ser parciales en cuanto a las visiones entre las partes. Luego de más de quince años de la primera mesa de concertación nacional en temas de seguridad social, en lo que a pensiones se refiere, se hace necesario proponer un nuevo diálogo entre las partes, mediante el cual se continúe en los procesos de mejora del sistema multipilar</w:t>
      </w:r>
      <w:r w:rsidRPr="00AA1D26">
        <w:rPr>
          <w:rStyle w:val="Refdenotaalpie"/>
          <w:rFonts w:ascii="Arial" w:hAnsi="Arial" w:cs="Arial"/>
        </w:rPr>
        <w:footnoteReference w:id="6"/>
      </w:r>
      <w:r w:rsidRPr="00AA1D26">
        <w:rPr>
          <w:rFonts w:ascii="Arial" w:hAnsi="Arial" w:cs="Arial"/>
        </w:rPr>
        <w:t>, buscando:</w:t>
      </w:r>
    </w:p>
    <w:p w14:paraId="4F5D393F"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Pensión no contributiva para la población vulnerable en estado de pobreza de acuerdo a lo que la legislación disponga, con financiamiento sostenible a largo plazo.</w:t>
      </w:r>
    </w:p>
    <w:p w14:paraId="4669F9A8"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Incorporación obligatoria de no asalariados y subsidios a los ahorros previsionales, focalizados por edad e ingreso.</w:t>
      </w:r>
    </w:p>
    <w:p w14:paraId="6A9B7EB7"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Establecimiento de mecanismos de ahorro automático para ahorro previsional en trabajadores no asalariados.</w:t>
      </w:r>
    </w:p>
    <w:p w14:paraId="6A5926C4"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Mayor fiscalización laboral y tributaria para incrementar la formalidad.</w:t>
      </w:r>
    </w:p>
    <w:p w14:paraId="793129CE"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Fomentar la formalidad del empleo.</w:t>
      </w:r>
    </w:p>
    <w:p w14:paraId="6E1DC6A9"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Fomentar una mayor información de los afiliados y mayor educación financiera de la población.</w:t>
      </w:r>
    </w:p>
    <w:p w14:paraId="075B20EF"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Ajustes a los esquemas de beneficio entre los diferentes regímenes de tal manera que no existan incentivos para el favorecimiento de grupos particulares.</w:t>
      </w:r>
    </w:p>
    <w:p w14:paraId="4E0B14B7" w14:textId="77777777" w:rsidR="00547B19" w:rsidRPr="00AA1D26" w:rsidRDefault="00547B19" w:rsidP="00AA1D26">
      <w:pPr>
        <w:pStyle w:val="Prrafodelista"/>
        <w:numPr>
          <w:ilvl w:val="0"/>
          <w:numId w:val="63"/>
        </w:numPr>
        <w:spacing w:after="200"/>
        <w:ind w:left="567"/>
        <w:rPr>
          <w:rFonts w:ascii="Arial" w:hAnsi="Arial" w:cs="Arial"/>
        </w:rPr>
      </w:pPr>
      <w:r w:rsidRPr="00AA1D26">
        <w:rPr>
          <w:rFonts w:ascii="Arial" w:hAnsi="Arial" w:cs="Arial"/>
        </w:rPr>
        <w:t>Creación de mecanismos de portabilidad entre los regímenes básicos, para que los trabajadores que por diversas razones cambian de patrono asociado, puedan consolidar derechos sin mayores contratiempos.</w:t>
      </w:r>
    </w:p>
    <w:p w14:paraId="1A268A8C" w14:textId="77777777" w:rsidR="00547B19" w:rsidRPr="00AA1D26" w:rsidRDefault="00547B19" w:rsidP="00547B19">
      <w:pPr>
        <w:rPr>
          <w:rFonts w:ascii="Arial" w:hAnsi="Arial" w:cs="Arial"/>
          <w:b/>
        </w:rPr>
      </w:pPr>
      <w:r w:rsidRPr="00AA1D26">
        <w:rPr>
          <w:rFonts w:ascii="Arial" w:hAnsi="Arial" w:cs="Arial"/>
          <w:b/>
        </w:rPr>
        <w:t>Proyecto 2: Aumentar el ahorro previsional</w:t>
      </w:r>
    </w:p>
    <w:p w14:paraId="539DDD12" w14:textId="77777777" w:rsidR="00547B19" w:rsidRPr="00AA1D26" w:rsidRDefault="00547B19" w:rsidP="00547B19">
      <w:pPr>
        <w:jc w:val="both"/>
        <w:rPr>
          <w:rFonts w:ascii="Arial" w:hAnsi="Arial" w:cs="Arial"/>
          <w:b/>
        </w:rPr>
      </w:pPr>
      <w:r w:rsidRPr="00AA1D26">
        <w:rPr>
          <w:rFonts w:ascii="Arial" w:hAnsi="Arial" w:cs="Arial"/>
        </w:rPr>
        <w:t>Es un hecho que la tasa de cotización de nuestro país, suponiendo 40 años de cotización, apenas permitirá tasas de remplazo cercanas al 60% del último salario. Mejorar esta situación es posible logrando incrementar los ahorros que se generen en el período laboral activo. A sabiendas de que los trabajadores tienen muchas necesidades de consumo y que es complicado por múltiples razones el generar este ahorro adicional, la SUPEN propone una serie de cambios en las condiciones operativas que impactan significativamente en las posibilidades de ahorro, sin que se afecte de manera significativa las condiciones actuales del trabajador. Por ejemplo:</w:t>
      </w:r>
    </w:p>
    <w:p w14:paraId="6A36EEED" w14:textId="77777777" w:rsidR="00547B19" w:rsidRPr="00AA1D26" w:rsidRDefault="00547B19" w:rsidP="00AA1D26">
      <w:pPr>
        <w:pStyle w:val="Prrafodelista"/>
        <w:numPr>
          <w:ilvl w:val="0"/>
          <w:numId w:val="61"/>
        </w:numPr>
        <w:spacing w:after="200"/>
        <w:rPr>
          <w:rFonts w:ascii="Arial" w:hAnsi="Arial" w:cs="Arial"/>
        </w:rPr>
      </w:pPr>
      <w:r w:rsidRPr="00AA1D26">
        <w:rPr>
          <w:rFonts w:ascii="Arial" w:hAnsi="Arial" w:cs="Arial"/>
        </w:rPr>
        <w:t>Adicionar una afiliación automática por defecto a planes voluntarios o una contribución extra al ROP a los trabajadores que ingresen al sistema, con una contribución significativa, que pueda ser eliminado si el trabajador lo desea.</w:t>
      </w:r>
    </w:p>
    <w:p w14:paraId="5878EFCF" w14:textId="77777777" w:rsidR="00547B19" w:rsidRPr="00AA1D26" w:rsidRDefault="00547B19" w:rsidP="00AA1D26">
      <w:pPr>
        <w:pStyle w:val="Prrafodelista"/>
        <w:numPr>
          <w:ilvl w:val="0"/>
          <w:numId w:val="61"/>
        </w:numPr>
        <w:spacing w:after="200"/>
        <w:rPr>
          <w:rFonts w:ascii="Arial" w:hAnsi="Arial" w:cs="Arial"/>
        </w:rPr>
      </w:pPr>
      <w:r w:rsidRPr="00AA1D26">
        <w:rPr>
          <w:rFonts w:ascii="Arial" w:hAnsi="Arial" w:cs="Arial"/>
        </w:rPr>
        <w:lastRenderedPageBreak/>
        <w:t>Eliminar los pasos de recursos que tiene el fondo obligatorio, en donde primero se dirigen al Fondo de Capitalización Laboral (FCL), al ahorro del Banco Popular, lo cual impide que ingresen de una vez a la cuenta individual y sean invertidos en las carteras de inversión del ROP.</w:t>
      </w:r>
    </w:p>
    <w:p w14:paraId="3294BFC0" w14:textId="77777777" w:rsidR="00547B19" w:rsidRPr="00AA1D26" w:rsidRDefault="00547B19" w:rsidP="00AA1D26">
      <w:pPr>
        <w:pStyle w:val="Prrafodelista"/>
        <w:numPr>
          <w:ilvl w:val="0"/>
          <w:numId w:val="61"/>
        </w:numPr>
        <w:spacing w:after="200"/>
        <w:rPr>
          <w:rFonts w:ascii="Arial" w:hAnsi="Arial" w:cs="Arial"/>
        </w:rPr>
      </w:pPr>
      <w:r w:rsidRPr="00AA1D26">
        <w:rPr>
          <w:rFonts w:ascii="Arial" w:hAnsi="Arial" w:cs="Arial"/>
        </w:rPr>
        <w:t>Ampliar la base de cotización a los fondos obligatorios, de tal manera que puedan considerarse, además de las remuneraciones, otros ingresos del trabajador.</w:t>
      </w:r>
    </w:p>
    <w:p w14:paraId="0F8D03A4" w14:textId="77777777" w:rsidR="00547B19" w:rsidRPr="00AA1D26" w:rsidRDefault="00547B19" w:rsidP="00AA1D26">
      <w:pPr>
        <w:pStyle w:val="Prrafodelista"/>
        <w:numPr>
          <w:ilvl w:val="0"/>
          <w:numId w:val="61"/>
        </w:numPr>
        <w:spacing w:after="200"/>
        <w:rPr>
          <w:rFonts w:ascii="Arial" w:hAnsi="Arial" w:cs="Arial"/>
        </w:rPr>
      </w:pPr>
      <w:r w:rsidRPr="00AA1D26">
        <w:rPr>
          <w:rFonts w:ascii="Arial" w:hAnsi="Arial" w:cs="Arial"/>
        </w:rPr>
        <w:t>Bonificar las comisiones de los fondos obligatorios de tal manera que se pueda cobrar menos por la administración de los recursos a los afiliados con fidelidad con la entidad. De esta manera el saldo se incrementaría y se podrían reducir las guerras comerciales entre entidades, que incrementan la libre transferencia.</w:t>
      </w:r>
    </w:p>
    <w:p w14:paraId="2FD16AB8" w14:textId="5F5260D6" w:rsidR="00547B19" w:rsidRPr="008D3C10" w:rsidRDefault="00547B19" w:rsidP="00AA1D26">
      <w:pPr>
        <w:pStyle w:val="Prrafodelista"/>
        <w:numPr>
          <w:ilvl w:val="0"/>
          <w:numId w:val="61"/>
        </w:numPr>
        <w:spacing w:after="200"/>
        <w:rPr>
          <w:rFonts w:ascii="Arial" w:hAnsi="Arial" w:cs="Arial"/>
        </w:rPr>
      </w:pPr>
      <w:r w:rsidRPr="008D3C10">
        <w:rPr>
          <w:rFonts w:ascii="Arial" w:hAnsi="Arial" w:cs="Arial"/>
        </w:rPr>
        <w:t>Pro</w:t>
      </w:r>
      <w:r w:rsidR="008D3C10" w:rsidRPr="008D3C10">
        <w:rPr>
          <w:rFonts w:ascii="Arial" w:hAnsi="Arial" w:cs="Arial"/>
        </w:rPr>
        <w:t>mover la posibilidad de gestionar una fuente de financiamiento que subsidie en</w:t>
      </w:r>
      <w:r w:rsidRPr="008D3C10">
        <w:rPr>
          <w:rFonts w:ascii="Arial" w:hAnsi="Arial" w:cs="Arial"/>
        </w:rPr>
        <w:t xml:space="preserve"> forma proporcional las cotizaciones al Régimen Complementario Obligatorio y al Voluntario a fin de incentivar el ahorro previsional.</w:t>
      </w:r>
    </w:p>
    <w:p w14:paraId="0FF7DAE8" w14:textId="7010386C" w:rsidR="00547B19" w:rsidRPr="00087D28" w:rsidRDefault="00087D28" w:rsidP="00AA1D26">
      <w:pPr>
        <w:pStyle w:val="Prrafodelista"/>
        <w:numPr>
          <w:ilvl w:val="0"/>
          <w:numId w:val="61"/>
        </w:numPr>
        <w:spacing w:after="200"/>
        <w:rPr>
          <w:rFonts w:ascii="Arial" w:hAnsi="Arial" w:cs="Arial"/>
        </w:rPr>
      </w:pPr>
      <w:r w:rsidRPr="00087D28">
        <w:rPr>
          <w:rFonts w:ascii="Arial" w:hAnsi="Arial" w:cs="Arial"/>
        </w:rPr>
        <w:t>Analizar la posibilidad de establecer la</w:t>
      </w:r>
      <w:r w:rsidR="00547B19" w:rsidRPr="00087D28">
        <w:rPr>
          <w:rFonts w:ascii="Arial" w:hAnsi="Arial" w:cs="Arial"/>
        </w:rPr>
        <w:t xml:space="preserve"> figura de hipotecas inversas para promover fuentes de financiamiento de las prestaciones.</w:t>
      </w:r>
    </w:p>
    <w:p w14:paraId="31A9F424" w14:textId="1FCB893D" w:rsidR="00547B19" w:rsidRPr="00AA1D26" w:rsidRDefault="00087D28" w:rsidP="00AA1D26">
      <w:pPr>
        <w:pStyle w:val="Prrafodelista"/>
        <w:numPr>
          <w:ilvl w:val="0"/>
          <w:numId w:val="61"/>
        </w:numPr>
        <w:spacing w:after="200"/>
        <w:rPr>
          <w:rFonts w:ascii="Arial" w:hAnsi="Arial" w:cs="Arial"/>
        </w:rPr>
      </w:pPr>
      <w:r>
        <w:rPr>
          <w:rFonts w:ascii="Arial" w:hAnsi="Arial" w:cs="Arial"/>
        </w:rPr>
        <w:t>Fomentar los</w:t>
      </w:r>
      <w:r w:rsidR="00547B19" w:rsidRPr="00AA1D26">
        <w:rPr>
          <w:rFonts w:ascii="Arial" w:hAnsi="Arial" w:cs="Arial"/>
        </w:rPr>
        <w:t xml:space="preserve"> programas de comunicación y de recordatorio por diversos medios (móviles, cartas, correos, estados de cuenta, electrónicos, entre otros) para fomentar el ahorro y la educación financiera.</w:t>
      </w:r>
    </w:p>
    <w:p w14:paraId="6007E77C" w14:textId="77777777" w:rsidR="00547B19" w:rsidRPr="00AA1D26" w:rsidRDefault="00547B19" w:rsidP="00547B19">
      <w:pPr>
        <w:rPr>
          <w:rFonts w:ascii="Arial" w:hAnsi="Arial" w:cs="Arial"/>
          <w:b/>
        </w:rPr>
      </w:pPr>
      <w:r w:rsidRPr="00AA1D26">
        <w:rPr>
          <w:rFonts w:ascii="Arial" w:hAnsi="Arial" w:cs="Arial"/>
          <w:b/>
        </w:rPr>
        <w:t>Proyecto 3: Auxilio para el desempleo</w:t>
      </w:r>
    </w:p>
    <w:p w14:paraId="2A487B28" w14:textId="77777777" w:rsidR="00547B19" w:rsidRPr="00AA1D26" w:rsidRDefault="00547B19" w:rsidP="00547B19">
      <w:pPr>
        <w:jc w:val="both"/>
        <w:rPr>
          <w:rFonts w:ascii="Arial" w:hAnsi="Arial" w:cs="Arial"/>
        </w:rPr>
      </w:pPr>
      <w:r w:rsidRPr="00AA1D26">
        <w:rPr>
          <w:rFonts w:ascii="Arial" w:hAnsi="Arial" w:cs="Arial"/>
        </w:rPr>
        <w:t>Producto del comportamiento del sector real de la economía costarricense, en donde el desempleo es un fenómeno que en el corto plazo no presenta señales de contraerse, ha surgido la necesidad de buscar opciones para mitigar el impacto de falta de ingresos por el lapso durante el cual los trabajadores no encuentran trabajo. El proyecto pretende presentar una propuesta de modificación a la Ley de Protección al Trabajador (LPT), mediante la cual se puedan alcanzar dos objetivos: favorecer a los trabajadores que quedan desempleados con una renta temporal y posibilitar un aumento en las tasas de remplazo de las pensiones complementarias, principalmente por procesos optimizados y disminución de costos.</w:t>
      </w:r>
    </w:p>
    <w:p w14:paraId="39A971B7" w14:textId="77777777" w:rsidR="00547B19" w:rsidRPr="00AA1D26" w:rsidRDefault="00547B19" w:rsidP="00547B19">
      <w:pPr>
        <w:jc w:val="both"/>
        <w:rPr>
          <w:rFonts w:ascii="Arial" w:hAnsi="Arial" w:cs="Arial"/>
        </w:rPr>
        <w:sectPr w:rsidR="00547B19" w:rsidRPr="00AA1D26" w:rsidSect="00965E81">
          <w:pgSz w:w="12240" w:h="15840"/>
          <w:pgMar w:top="1417" w:right="1701" w:bottom="1417" w:left="1701" w:header="708" w:footer="708" w:gutter="0"/>
          <w:cols w:space="708"/>
          <w:docGrid w:linePitch="360"/>
        </w:sectPr>
      </w:pPr>
    </w:p>
    <w:p w14:paraId="347C5E8F" w14:textId="77777777" w:rsidR="00547B19" w:rsidRPr="00AA1D26" w:rsidRDefault="00547B19" w:rsidP="00547B19">
      <w:pPr>
        <w:pStyle w:val="Ttulo1"/>
      </w:pPr>
      <w:bookmarkStart w:id="130" w:name="_Toc427911618"/>
      <w:bookmarkStart w:id="131" w:name="_Toc429562770"/>
      <w:bookmarkStart w:id="132" w:name="_Toc429563080"/>
      <w:bookmarkStart w:id="133" w:name="_Toc429563235"/>
      <w:r w:rsidRPr="00AA1D26">
        <w:lastRenderedPageBreak/>
        <w:t>Objetivo 3: Empoderar al afiliado</w:t>
      </w:r>
      <w:bookmarkEnd w:id="130"/>
      <w:bookmarkEnd w:id="131"/>
      <w:bookmarkEnd w:id="132"/>
      <w:bookmarkEnd w:id="133"/>
    </w:p>
    <w:p w14:paraId="22446F10" w14:textId="77777777" w:rsidR="00547B19" w:rsidRDefault="00547B19" w:rsidP="00547B19">
      <w:pPr>
        <w:jc w:val="both"/>
        <w:rPr>
          <w:rFonts w:ascii="Arial" w:hAnsi="Arial" w:cs="Arial"/>
        </w:rPr>
      </w:pPr>
      <w:r w:rsidRPr="00AA1D26">
        <w:rPr>
          <w:rFonts w:ascii="Arial" w:hAnsi="Arial" w:cs="Arial"/>
        </w:rPr>
        <w:t>Este plan estratégico propone un eje que apunte hacia la mejora de los procesos del SNP de cara al afiliado. En este caso la SUPEN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les ofrecen los administradores, procurando en todo momento que este conocimiento del afiliado le permita la toma de mejores decisiones y la demanda por servicios de mayor calidad, las cuales deben adaptarse a las necesidades siempre cambiantes de los afiliados.</w:t>
      </w:r>
    </w:p>
    <w:p w14:paraId="2F62BAD2" w14:textId="77777777" w:rsidR="00AA1D26" w:rsidRPr="00AA1D26" w:rsidRDefault="00AA1D26" w:rsidP="00547B19">
      <w:pPr>
        <w:jc w:val="both"/>
        <w:rPr>
          <w:rFonts w:ascii="Arial" w:hAnsi="Arial" w:cs="Arial"/>
        </w:rPr>
      </w:pPr>
    </w:p>
    <w:p w14:paraId="36658DDB" w14:textId="77777777" w:rsidR="00547B19" w:rsidRPr="00AA1D26" w:rsidRDefault="00547B19" w:rsidP="00547B19">
      <w:pPr>
        <w:pStyle w:val="Ttulo2"/>
      </w:pPr>
      <w:bookmarkStart w:id="134" w:name="_Toc429562771"/>
      <w:bookmarkStart w:id="135" w:name="_Toc429563081"/>
      <w:bookmarkStart w:id="136" w:name="_Toc429563236"/>
      <w:r w:rsidRPr="00AA1D26">
        <w:t>Retos actuales</w:t>
      </w:r>
      <w:bookmarkEnd w:id="134"/>
      <w:bookmarkEnd w:id="135"/>
      <w:bookmarkEnd w:id="136"/>
    </w:p>
    <w:p w14:paraId="70FFEA9D" w14:textId="77777777" w:rsidR="00547B19" w:rsidRPr="00AA1D26" w:rsidRDefault="00547B19" w:rsidP="00547B19">
      <w:pPr>
        <w:rPr>
          <w:rFonts w:ascii="Arial" w:hAnsi="Arial" w:cs="Arial"/>
        </w:rPr>
      </w:pPr>
      <w:r w:rsidRPr="00AA1D26">
        <w:rPr>
          <w:rFonts w:ascii="Arial" w:hAnsi="Arial" w:cs="Arial"/>
        </w:rPr>
        <w:t>El Plan Estratégico pretende atender estos retos:</w:t>
      </w:r>
    </w:p>
    <w:p w14:paraId="24D883FF" w14:textId="77777777" w:rsidR="00547B19" w:rsidRPr="00AA1D26" w:rsidRDefault="00547B19" w:rsidP="005360A5">
      <w:pPr>
        <w:pStyle w:val="Prrafodelista"/>
        <w:numPr>
          <w:ilvl w:val="0"/>
          <w:numId w:val="67"/>
        </w:numPr>
        <w:spacing w:after="200"/>
        <w:rPr>
          <w:rFonts w:ascii="Arial" w:hAnsi="Arial" w:cs="Arial"/>
        </w:rPr>
      </w:pPr>
      <w:r w:rsidRPr="00AA1D26">
        <w:rPr>
          <w:rFonts w:ascii="Arial" w:hAnsi="Arial" w:cs="Arial"/>
        </w:rPr>
        <w:t>Deben desarrollarse, a nivel de industria, mecanismos que legitimen la relación afiliado – gestor, en el sentido de que se deben dar acuerdos mutuamente beneficiosos entre las partes. Es necesario que los recursos que se pagan a los administradores por la gestión de los ahorros sean resarcidos con un buen servicio en todos los trámites que se brinden, con rendimientos competitivos, con una verdadera asesoría previsional y sobre todo que se den en condiciones de mercado justo entre todos los participantes.</w:t>
      </w:r>
    </w:p>
    <w:p w14:paraId="214C83F6" w14:textId="77777777" w:rsidR="00547B19" w:rsidRPr="00AA1D26" w:rsidRDefault="00547B19" w:rsidP="005360A5">
      <w:pPr>
        <w:pStyle w:val="Prrafodelista"/>
        <w:numPr>
          <w:ilvl w:val="0"/>
          <w:numId w:val="67"/>
        </w:numPr>
        <w:spacing w:after="200"/>
        <w:rPr>
          <w:rFonts w:ascii="Arial" w:hAnsi="Arial" w:cs="Arial"/>
        </w:rPr>
      </w:pPr>
      <w:r w:rsidRPr="00AA1D26">
        <w:rPr>
          <w:rFonts w:ascii="Arial" w:hAnsi="Arial" w:cs="Arial"/>
        </w:rPr>
        <w:t>El costarricense tiene escasa educación financiera que le dificulta tomar decisiones acertadas para generar oportunidades de ahorro en generar oportunidades de ahorro. Es necesario crear mecanismos que orienten su actuar y promuevan que fácilmente tenga acceso a destinar parte de los recursos actuales a consumo futuro.</w:t>
      </w:r>
    </w:p>
    <w:p w14:paraId="0F6F424C" w14:textId="77777777" w:rsidR="00547B19" w:rsidRPr="00AA1D26" w:rsidRDefault="00547B19" w:rsidP="005360A5">
      <w:pPr>
        <w:pStyle w:val="Prrafodelista"/>
        <w:numPr>
          <w:ilvl w:val="0"/>
          <w:numId w:val="67"/>
        </w:numPr>
        <w:spacing w:after="200"/>
        <w:rPr>
          <w:rFonts w:ascii="Arial" w:hAnsi="Arial" w:cs="Arial"/>
        </w:rPr>
      </w:pPr>
      <w:r w:rsidRPr="00AA1D26">
        <w:rPr>
          <w:rFonts w:ascii="Arial" w:hAnsi="Arial" w:cs="Arial"/>
        </w:rPr>
        <w:t>Las tecnologías de información día a día permiten aprovechar de una mejor manera los datos que se generan en el Sistema de Pensiones. Hoy existen las condiciones particulares para integrar las bases de datos de los diferentes participantes en una única plataforma de gestión de las cuentas de los trabajadores. Actualmente la no integración hace difícil saber cuántos y cuáles productos consume un trabajador, su frecuencia de aportación, si existen o no inconsistencias de la información que se reporta. Con la creación de una plataforma de esta magnitud se favorecería la validación de los datos y se abriría la posibilidad de realizar estudios particulares que tengan la visión integral del sistema.</w:t>
      </w:r>
    </w:p>
    <w:p w14:paraId="3A4F0D7D" w14:textId="77777777" w:rsidR="00547B19" w:rsidRPr="00AA1D26" w:rsidRDefault="00547B19" w:rsidP="005360A5">
      <w:pPr>
        <w:pStyle w:val="Prrafodelista"/>
        <w:numPr>
          <w:ilvl w:val="0"/>
          <w:numId w:val="67"/>
        </w:numPr>
        <w:spacing w:after="200"/>
        <w:rPr>
          <w:rFonts w:ascii="Arial" w:hAnsi="Arial" w:cs="Arial"/>
        </w:rPr>
      </w:pPr>
      <w:r w:rsidRPr="00AA1D26">
        <w:rPr>
          <w:rFonts w:ascii="Arial" w:hAnsi="Arial" w:cs="Arial"/>
        </w:rPr>
        <w:t xml:space="preserve">Es necesario que el afiliado se convierta en el primer supervisor de sus recursos, que disponga no sólo del conocimiento necesario para verificar las condiciones asociadas a los derechos que posee, sino que además tenga información oportuna, veraz y útil para respaldar las decisiones tomadas. </w:t>
      </w:r>
    </w:p>
    <w:p w14:paraId="05C550E0" w14:textId="77777777" w:rsidR="00547B19" w:rsidRPr="00AA1D26" w:rsidRDefault="00547B19" w:rsidP="005360A5">
      <w:pPr>
        <w:pStyle w:val="Prrafodelista"/>
        <w:numPr>
          <w:ilvl w:val="0"/>
          <w:numId w:val="67"/>
        </w:numPr>
        <w:spacing w:after="200"/>
        <w:rPr>
          <w:rFonts w:ascii="Arial" w:hAnsi="Arial" w:cs="Arial"/>
        </w:rPr>
      </w:pPr>
      <w:r w:rsidRPr="00AA1D26">
        <w:rPr>
          <w:rFonts w:ascii="Arial" w:hAnsi="Arial" w:cs="Arial"/>
        </w:rPr>
        <w:t>Por asuntos demográficos se prevé que en los próximos años el país tenga relaciones de dependencia de pensionados a masa cotizante cada vez menores. Esta situación representa un reto, desde ahora se deben diseñar los nuevos servicios que mantendrán la calidad de vida de los afiliados y que eviten el depender de la masa activa para el financiamiento de las pensiones.</w:t>
      </w:r>
    </w:p>
    <w:p w14:paraId="7DBC5A64" w14:textId="77777777" w:rsidR="00547B19" w:rsidRPr="00AA1D26" w:rsidRDefault="00547B19" w:rsidP="00547B19">
      <w:pPr>
        <w:pStyle w:val="Ttulo2"/>
      </w:pPr>
      <w:bookmarkStart w:id="137" w:name="_Toc429562772"/>
      <w:bookmarkStart w:id="138" w:name="_Toc429563082"/>
      <w:bookmarkStart w:id="139" w:name="_Toc429563237"/>
      <w:r w:rsidRPr="00AA1D26">
        <w:lastRenderedPageBreak/>
        <w:t>Proyectos para cumplir el objetivo</w:t>
      </w:r>
      <w:bookmarkEnd w:id="137"/>
      <w:bookmarkEnd w:id="138"/>
      <w:bookmarkEnd w:id="139"/>
    </w:p>
    <w:p w14:paraId="3DE4B74C" w14:textId="77777777" w:rsidR="00547B19" w:rsidRPr="00AA1D26" w:rsidRDefault="00547B19" w:rsidP="00547B19">
      <w:pPr>
        <w:jc w:val="both"/>
        <w:rPr>
          <w:rFonts w:ascii="Arial" w:hAnsi="Arial" w:cs="Arial"/>
        </w:rPr>
      </w:pPr>
      <w:r w:rsidRPr="00AA1D26">
        <w:rPr>
          <w:rFonts w:ascii="Arial" w:hAnsi="Arial" w:cs="Arial"/>
        </w:rPr>
        <w:t>El Plan Estratégico pretende atender estos retos con los siguientes proyectos asociados:</w:t>
      </w:r>
    </w:p>
    <w:p w14:paraId="63AA80D4" w14:textId="77777777" w:rsidR="005A661B" w:rsidRDefault="005A661B" w:rsidP="00547B19">
      <w:pPr>
        <w:rPr>
          <w:rFonts w:ascii="Arial" w:hAnsi="Arial" w:cs="Arial"/>
          <w:b/>
        </w:rPr>
      </w:pPr>
    </w:p>
    <w:p w14:paraId="0A58B9F3" w14:textId="77777777" w:rsidR="00547B19" w:rsidRPr="00AA1D26" w:rsidRDefault="00547B19" w:rsidP="00547B19">
      <w:pPr>
        <w:rPr>
          <w:rFonts w:ascii="Arial" w:hAnsi="Arial" w:cs="Arial"/>
          <w:b/>
        </w:rPr>
      </w:pPr>
      <w:r w:rsidRPr="00AA1D26">
        <w:rPr>
          <w:rFonts w:ascii="Arial" w:hAnsi="Arial" w:cs="Arial"/>
          <w:b/>
        </w:rPr>
        <w:t>Proyecto 1: Reglamento de disciplina de mercado</w:t>
      </w:r>
    </w:p>
    <w:p w14:paraId="08E262DE" w14:textId="77777777" w:rsidR="00547B19" w:rsidRPr="00AA1D26" w:rsidRDefault="00547B19" w:rsidP="00547B19">
      <w:pPr>
        <w:jc w:val="both"/>
        <w:rPr>
          <w:rFonts w:ascii="Arial" w:hAnsi="Arial" w:cs="Arial"/>
        </w:rPr>
      </w:pPr>
      <w:r w:rsidRPr="00AA1D26">
        <w:rPr>
          <w:rFonts w:ascii="Arial" w:hAnsi="Arial" w:cs="Arial"/>
        </w:rPr>
        <w:t>El afiliado debe ser el centro de atención del Sistema Nacional de Pensiones. Todos los gestores de pensiones y demás participantes debieran preocuparse por su bienestar, tanto en la acumulación de recursos, como en los servicios que se les brindan. Es interés del supervisor el trabajar en los próximos años en levantar el estándar de los servicios en: la atención de quejas, asesoría para la toma de decisiones y transparencia en la gestión. Se propone, por lo tanto, crear una regulación que establezca las mejoras prácticas posibles entre los gestores y los clientes para que se fortalezcan los canales de comunicación y supervisión entre afiliados y gestores</w:t>
      </w:r>
      <w:r w:rsidRPr="00AA1D26">
        <w:rPr>
          <w:rStyle w:val="Refdenotaalpie"/>
          <w:rFonts w:ascii="Arial" w:hAnsi="Arial" w:cs="Arial"/>
        </w:rPr>
        <w:footnoteReference w:id="7"/>
      </w:r>
      <w:r w:rsidRPr="00AA1D26">
        <w:rPr>
          <w:rFonts w:ascii="Arial" w:hAnsi="Arial" w:cs="Arial"/>
        </w:rPr>
        <w:t>.</w:t>
      </w:r>
    </w:p>
    <w:p w14:paraId="0BF19098" w14:textId="77777777" w:rsidR="005A661B" w:rsidRDefault="005A661B" w:rsidP="00547B19">
      <w:pPr>
        <w:rPr>
          <w:rFonts w:ascii="Arial" w:hAnsi="Arial" w:cs="Arial"/>
          <w:b/>
        </w:rPr>
      </w:pPr>
    </w:p>
    <w:p w14:paraId="6FF78BFA" w14:textId="77777777" w:rsidR="00547B19" w:rsidRPr="00AA1D26" w:rsidRDefault="00547B19" w:rsidP="00547B19">
      <w:pPr>
        <w:rPr>
          <w:rFonts w:ascii="Arial" w:hAnsi="Arial" w:cs="Arial"/>
          <w:b/>
        </w:rPr>
      </w:pPr>
      <w:r w:rsidRPr="00AA1D26">
        <w:rPr>
          <w:rFonts w:ascii="Arial" w:hAnsi="Arial" w:cs="Arial"/>
          <w:b/>
        </w:rPr>
        <w:t>Proyecto 2: Reglamento de productos autorizados</w:t>
      </w:r>
    </w:p>
    <w:p w14:paraId="06C1F1E8" w14:textId="77777777" w:rsidR="00547B19" w:rsidRPr="00AA1D26" w:rsidRDefault="00547B19" w:rsidP="00547B19">
      <w:pPr>
        <w:jc w:val="both"/>
        <w:rPr>
          <w:rFonts w:ascii="Arial" w:hAnsi="Arial" w:cs="Arial"/>
        </w:rPr>
      </w:pPr>
      <w:r w:rsidRPr="00AA1D26">
        <w:rPr>
          <w:rFonts w:ascii="Arial" w:hAnsi="Arial" w:cs="Arial"/>
        </w:rPr>
        <w:t>Actualmente la oferta de servicios que brindan los gestores de pensión se basa en productos con poca posibilidad de diferenciación y muy concentrados en la prestación de rentas. La SUPEN pretende en los próximos años que la industria pueda diferenciar los productos que existen, pudiendo estos adaptarse más a las necesidades de los afiliados, ampliando incluso la cantidad de servicios a acceder por parte de los afiliados</w:t>
      </w:r>
      <w:r w:rsidRPr="00AA1D26">
        <w:rPr>
          <w:rStyle w:val="Refdenotaalpie"/>
          <w:rFonts w:ascii="Arial" w:hAnsi="Arial" w:cs="Arial"/>
        </w:rPr>
        <w:footnoteReference w:id="8"/>
      </w:r>
      <w:r w:rsidRPr="00AA1D26">
        <w:rPr>
          <w:rFonts w:ascii="Arial" w:hAnsi="Arial" w:cs="Arial"/>
        </w:rPr>
        <w:t>.</w:t>
      </w:r>
    </w:p>
    <w:p w14:paraId="27088568" w14:textId="77777777" w:rsidR="005A661B" w:rsidRDefault="005A661B" w:rsidP="00547B19">
      <w:pPr>
        <w:jc w:val="both"/>
        <w:rPr>
          <w:rFonts w:ascii="Arial" w:hAnsi="Arial" w:cs="Arial"/>
          <w:b/>
        </w:rPr>
      </w:pPr>
    </w:p>
    <w:p w14:paraId="5969FCF7" w14:textId="77777777" w:rsidR="00547B19" w:rsidRPr="00AA1D26" w:rsidRDefault="00547B19" w:rsidP="00547B19">
      <w:pPr>
        <w:jc w:val="both"/>
        <w:rPr>
          <w:rFonts w:ascii="Arial" w:hAnsi="Arial" w:cs="Arial"/>
          <w:b/>
        </w:rPr>
      </w:pPr>
      <w:r w:rsidRPr="00AA1D26">
        <w:rPr>
          <w:rFonts w:ascii="Arial" w:hAnsi="Arial" w:cs="Arial"/>
          <w:b/>
        </w:rPr>
        <w:t>Proyecto 3: Expediente previsional</w:t>
      </w:r>
    </w:p>
    <w:p w14:paraId="521A6599" w14:textId="77777777" w:rsidR="00547B19" w:rsidRPr="00AA1D26" w:rsidRDefault="00547B19" w:rsidP="00547B19">
      <w:pPr>
        <w:jc w:val="both"/>
        <w:rPr>
          <w:rFonts w:ascii="Arial" w:hAnsi="Arial" w:cs="Arial"/>
        </w:rPr>
      </w:pPr>
      <w:r w:rsidRPr="00AA1D26">
        <w:rPr>
          <w:rFonts w:ascii="Arial" w:hAnsi="Arial" w:cs="Arial"/>
        </w:rPr>
        <w:t>Consolidar la información que se recibe en la SUPEN de los diferentes gestores en una plataforma común al servicio de la supervisión y de la información que se puede brindar a los afiliados. La idea es tener en una única plataforma el expediente previsional del trabajador, que permita supervisar pensiones múltiples, consolidación de derechos, verificación de información común entre gestores, etc. Este producto puede ser compartido con los afiliados de tal manera que en un único repositorio de información dispongan de un expediente previsional consolidado.</w:t>
      </w:r>
    </w:p>
    <w:p w14:paraId="25FCAB92" w14:textId="77777777" w:rsidR="005A661B" w:rsidRDefault="005A661B" w:rsidP="00547B19">
      <w:pPr>
        <w:rPr>
          <w:rFonts w:ascii="Arial" w:hAnsi="Arial" w:cs="Arial"/>
          <w:b/>
        </w:rPr>
      </w:pPr>
    </w:p>
    <w:p w14:paraId="59B87E90" w14:textId="77777777" w:rsidR="00547B19" w:rsidRPr="00AA1D26" w:rsidRDefault="00547B19" w:rsidP="00547B19">
      <w:pPr>
        <w:rPr>
          <w:rFonts w:ascii="Arial" w:hAnsi="Arial" w:cs="Arial"/>
          <w:b/>
        </w:rPr>
      </w:pPr>
      <w:r w:rsidRPr="00AA1D26">
        <w:rPr>
          <w:rFonts w:ascii="Arial" w:hAnsi="Arial" w:cs="Arial"/>
          <w:b/>
        </w:rPr>
        <w:t>Proyecto 4: Afiliación automática</w:t>
      </w:r>
    </w:p>
    <w:p w14:paraId="15DC4E4E" w14:textId="77777777" w:rsidR="00547B19" w:rsidRPr="00AA1D26" w:rsidRDefault="00547B19" w:rsidP="00547B19">
      <w:pPr>
        <w:jc w:val="both"/>
        <w:rPr>
          <w:rFonts w:ascii="Arial" w:hAnsi="Arial" w:cs="Arial"/>
        </w:rPr>
      </w:pPr>
      <w:r w:rsidRPr="00AA1D26">
        <w:rPr>
          <w:rFonts w:ascii="Arial" w:hAnsi="Arial" w:cs="Arial"/>
        </w:rPr>
        <w:t>Este plan propone llevar adelante una modificación en la legislación para que los mecanismos de afiliación automática sean por períodos de tiempo a la entidad que en el momento de la decisión presente mejores condiciones para los nuevos trabajadores, creando mayor dinamismo y competencia en la industria. No se considera prudente continuar con el esquema vigente porque crea diferencias arbitrarias entre gestores, en donde las entidades disponen de un beneficio particular en detrimento de las demás entidades participantes en el sistema.</w:t>
      </w:r>
    </w:p>
    <w:p w14:paraId="0243E0C9" w14:textId="77777777" w:rsidR="005A661B" w:rsidRDefault="005A661B" w:rsidP="00547B19">
      <w:pPr>
        <w:rPr>
          <w:rFonts w:ascii="Arial" w:hAnsi="Arial" w:cs="Arial"/>
          <w:b/>
        </w:rPr>
      </w:pPr>
    </w:p>
    <w:p w14:paraId="3FB4C0B5" w14:textId="77777777" w:rsidR="00547B19" w:rsidRPr="00AA1D26" w:rsidRDefault="00547B19" w:rsidP="00547B19">
      <w:pPr>
        <w:rPr>
          <w:rFonts w:ascii="Arial" w:hAnsi="Arial" w:cs="Arial"/>
          <w:b/>
        </w:rPr>
      </w:pPr>
      <w:r w:rsidRPr="00AA1D26">
        <w:rPr>
          <w:rFonts w:ascii="Arial" w:hAnsi="Arial" w:cs="Arial"/>
          <w:b/>
        </w:rPr>
        <w:t>Proyecto 4: Simplificación de Trámites</w:t>
      </w:r>
    </w:p>
    <w:p w14:paraId="1451A657" w14:textId="77777777" w:rsidR="00547B19" w:rsidRPr="00AA1D26" w:rsidRDefault="00547B19" w:rsidP="00547B19">
      <w:pPr>
        <w:jc w:val="both"/>
        <w:rPr>
          <w:rFonts w:ascii="Arial" w:hAnsi="Arial" w:cs="Arial"/>
        </w:rPr>
      </w:pPr>
      <w:r w:rsidRPr="00AA1D26">
        <w:rPr>
          <w:rFonts w:ascii="Arial" w:hAnsi="Arial" w:cs="Arial"/>
        </w:rPr>
        <w:lastRenderedPageBreak/>
        <w:t>Como parte de la ley de simplificación de trámites la SUPEN ha entrado en una fase de depuración de los procesos asociados a los servicios que brinda de cara al público, en donde se busca no sólo mejorar los tiempos de atención sino que además aumentar los servicios que pudieran prestarse vía web. Es necesario continuar con estos esfuerzos y crear nuevos y mejores servicios de cara a los afiliados, asociados a estadísticas, información de su expediente, fechas importantes en el sistema y mecanismos para elevar su nivel de cultura financiera.</w:t>
      </w:r>
    </w:p>
    <w:p w14:paraId="1B670F21" w14:textId="77777777" w:rsidR="00547B19" w:rsidRDefault="00547B19" w:rsidP="00547B19">
      <w:pPr>
        <w:rPr>
          <w:rFonts w:ascii="Arial" w:hAnsi="Arial" w:cs="Arial"/>
        </w:rPr>
      </w:pPr>
    </w:p>
    <w:p w14:paraId="5BBC2F51" w14:textId="77777777" w:rsidR="00547B19" w:rsidRPr="00AA1D26" w:rsidRDefault="00547B19" w:rsidP="00547B19">
      <w:pPr>
        <w:pStyle w:val="Ttulo1"/>
      </w:pPr>
      <w:bookmarkStart w:id="140" w:name="_Toc427911619"/>
      <w:bookmarkStart w:id="141" w:name="_Toc429562773"/>
      <w:bookmarkStart w:id="142" w:name="_Toc429563083"/>
      <w:bookmarkStart w:id="143" w:name="_Toc429563238"/>
      <w:r w:rsidRPr="00AA1D26">
        <w:t>Partes interesadas</w:t>
      </w:r>
      <w:bookmarkEnd w:id="140"/>
      <w:bookmarkEnd w:id="141"/>
      <w:bookmarkEnd w:id="142"/>
      <w:bookmarkEnd w:id="143"/>
    </w:p>
    <w:p w14:paraId="5D701775" w14:textId="77777777" w:rsidR="00547B19" w:rsidRDefault="00547B19" w:rsidP="00547B19">
      <w:pPr>
        <w:rPr>
          <w:rFonts w:ascii="Arial" w:hAnsi="Arial" w:cs="Arial"/>
        </w:rPr>
      </w:pPr>
      <w:r w:rsidRPr="00AA1D26">
        <w:rPr>
          <w:rFonts w:ascii="Arial" w:hAnsi="Arial" w:cs="Arial"/>
        </w:rPr>
        <w:t>Para la formulación de este Plan Estratégico se contó con información y requerimientos de las siguientes partes interesadas:</w:t>
      </w:r>
    </w:p>
    <w:p w14:paraId="764564E3" w14:textId="77777777" w:rsidR="00AA1D26" w:rsidRPr="00AA1D26" w:rsidRDefault="00AA1D26" w:rsidP="00547B19">
      <w:pPr>
        <w:rPr>
          <w:rFonts w:ascii="Arial" w:hAnsi="Arial" w:cs="Arial"/>
        </w:rPr>
      </w:pPr>
    </w:p>
    <w:p w14:paraId="3040C5F6"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Consejo Nacional de Supervisión del Sistema Financiero.</w:t>
      </w:r>
    </w:p>
    <w:p w14:paraId="3FF73BC5"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Banco Central de Costa Rica</w:t>
      </w:r>
    </w:p>
    <w:p w14:paraId="0ABCC066"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Junta Directiva de la CCSS.</w:t>
      </w:r>
    </w:p>
    <w:p w14:paraId="062DB5A4"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Corte Plena, Poder Judicial.</w:t>
      </w:r>
    </w:p>
    <w:p w14:paraId="229E0AFA"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Ministerio de Trabajo y Seguridad Social.</w:t>
      </w:r>
    </w:p>
    <w:p w14:paraId="2417EDB7"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Ministerio de Planificación Nacional y Política Económica.</w:t>
      </w:r>
    </w:p>
    <w:p w14:paraId="4507579A"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Ministerio de Hacienda.</w:t>
      </w:r>
    </w:p>
    <w:p w14:paraId="45B88BC8"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Asociación Nacional de Empleados Públicos (ANEP).</w:t>
      </w:r>
    </w:p>
    <w:p w14:paraId="53D75384"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Asociación Costarricense de Operadoras de Pensiones (ACOP).</w:t>
      </w:r>
    </w:p>
    <w:p w14:paraId="06ABE352" w14:textId="77777777" w:rsidR="00547B19" w:rsidRPr="00AA1D26" w:rsidRDefault="00547B19" w:rsidP="00547B19">
      <w:pPr>
        <w:pStyle w:val="Prrafodelista"/>
        <w:numPr>
          <w:ilvl w:val="0"/>
          <w:numId w:val="59"/>
        </w:numPr>
        <w:spacing w:after="200" w:line="276" w:lineRule="auto"/>
        <w:jc w:val="left"/>
        <w:rPr>
          <w:rFonts w:ascii="Arial" w:hAnsi="Arial" w:cs="Arial"/>
        </w:rPr>
      </w:pPr>
      <w:r w:rsidRPr="00AA1D26">
        <w:rPr>
          <w:rFonts w:ascii="Arial" w:hAnsi="Arial" w:cs="Arial"/>
        </w:rPr>
        <w:t>Asociación Internacional de Organismos de Supervisión (AIOS).</w:t>
      </w:r>
    </w:p>
    <w:p w14:paraId="0B3C77A4" w14:textId="77777777" w:rsidR="00547B19" w:rsidRPr="00AA1D26" w:rsidRDefault="00547B19" w:rsidP="00547B19">
      <w:pPr>
        <w:pStyle w:val="Prrafodelista"/>
        <w:numPr>
          <w:ilvl w:val="0"/>
          <w:numId w:val="59"/>
        </w:numPr>
        <w:spacing w:after="200" w:line="276" w:lineRule="auto"/>
        <w:jc w:val="left"/>
        <w:rPr>
          <w:rFonts w:ascii="Arial" w:hAnsi="Arial" w:cs="Arial"/>
          <w:lang w:val="en-US"/>
        </w:rPr>
      </w:pPr>
      <w:r w:rsidRPr="00AA1D26">
        <w:rPr>
          <w:rFonts w:ascii="Arial" w:hAnsi="Arial" w:cs="Arial"/>
          <w:lang w:val="en-US"/>
        </w:rPr>
        <w:t>Organization for Economic Co-operation and Development (OECD).</w:t>
      </w:r>
    </w:p>
    <w:p w14:paraId="29C6808F" w14:textId="77777777" w:rsidR="00547B19" w:rsidRPr="00AA1D26" w:rsidRDefault="00547B19" w:rsidP="00547B19">
      <w:pPr>
        <w:pStyle w:val="Prrafodelista"/>
        <w:numPr>
          <w:ilvl w:val="0"/>
          <w:numId w:val="59"/>
        </w:numPr>
        <w:spacing w:after="200" w:line="276" w:lineRule="auto"/>
        <w:jc w:val="left"/>
        <w:rPr>
          <w:rFonts w:ascii="Arial" w:hAnsi="Arial" w:cs="Arial"/>
          <w:lang w:val="en-US"/>
        </w:rPr>
      </w:pPr>
      <w:r w:rsidRPr="00AA1D26">
        <w:rPr>
          <w:rFonts w:ascii="Arial" w:hAnsi="Arial" w:cs="Arial"/>
          <w:lang w:val="en-US"/>
        </w:rPr>
        <w:t>International Organization of Pension Supervisors (IOPS).</w:t>
      </w:r>
    </w:p>
    <w:p w14:paraId="3F3EA758" w14:textId="77777777" w:rsidR="00547B19" w:rsidRPr="00AA1D26" w:rsidRDefault="00547B19" w:rsidP="00547B19">
      <w:pPr>
        <w:pStyle w:val="Prrafodelista"/>
        <w:numPr>
          <w:ilvl w:val="0"/>
          <w:numId w:val="59"/>
        </w:numPr>
        <w:spacing w:after="200" w:line="276" w:lineRule="auto"/>
        <w:jc w:val="left"/>
        <w:rPr>
          <w:rFonts w:ascii="Arial" w:hAnsi="Arial" w:cs="Arial"/>
          <w:lang w:val="en-US"/>
        </w:rPr>
      </w:pPr>
      <w:r w:rsidRPr="00AA1D26">
        <w:rPr>
          <w:rFonts w:ascii="Arial" w:hAnsi="Arial" w:cs="Arial"/>
          <w:lang w:val="en-US"/>
        </w:rPr>
        <w:t>World Bank (WB).</w:t>
      </w:r>
    </w:p>
    <w:p w14:paraId="61A6BA0D" w14:textId="77777777" w:rsidR="00547B19" w:rsidRPr="00AA1D26" w:rsidRDefault="00547B19" w:rsidP="00547B19">
      <w:pPr>
        <w:ind w:left="360"/>
        <w:rPr>
          <w:rFonts w:ascii="Arial" w:hAnsi="Arial" w:cs="Arial"/>
          <w:lang w:val="en-US"/>
        </w:rPr>
      </w:pPr>
    </w:p>
    <w:p w14:paraId="543C71D1" w14:textId="77777777" w:rsidR="00547B19" w:rsidRPr="00AA1D26" w:rsidRDefault="00547B19" w:rsidP="00547B19">
      <w:pPr>
        <w:ind w:left="360"/>
        <w:rPr>
          <w:rFonts w:ascii="Arial" w:hAnsi="Arial" w:cs="Arial"/>
          <w:lang w:val="en-US"/>
        </w:rPr>
        <w:sectPr w:rsidR="00547B19" w:rsidRPr="00AA1D26" w:rsidSect="00965E81">
          <w:pgSz w:w="12240" w:h="15840"/>
          <w:pgMar w:top="1417" w:right="1701" w:bottom="1417" w:left="1701" w:header="708" w:footer="708" w:gutter="0"/>
          <w:cols w:space="708"/>
          <w:docGrid w:linePitch="360"/>
        </w:sectPr>
      </w:pPr>
    </w:p>
    <w:p w14:paraId="2DE74AC0" w14:textId="77777777" w:rsidR="00547B19" w:rsidRPr="00AA1D26" w:rsidRDefault="00547B19" w:rsidP="00547B19">
      <w:pPr>
        <w:pStyle w:val="Ttulo1"/>
        <w:rPr>
          <w:lang w:val="en-US"/>
        </w:rPr>
      </w:pPr>
      <w:bookmarkStart w:id="144" w:name="_Toc427911620"/>
      <w:bookmarkStart w:id="145" w:name="_Toc429562774"/>
      <w:bookmarkStart w:id="146" w:name="_Toc429563084"/>
      <w:bookmarkStart w:id="147" w:name="_Toc429563239"/>
      <w:r w:rsidRPr="00AA1D26">
        <w:rPr>
          <w:lang w:val="es-CR"/>
        </w:rPr>
        <w:lastRenderedPageBreak/>
        <w:t>Hoja de ruta</w:t>
      </w:r>
      <w:bookmarkEnd w:id="144"/>
      <w:bookmarkEnd w:id="145"/>
      <w:bookmarkEnd w:id="146"/>
      <w:bookmarkEnd w:id="147"/>
    </w:p>
    <w:tbl>
      <w:tblPr>
        <w:tblStyle w:val="Tablaconcuadrcula"/>
        <w:tblW w:w="0" w:type="auto"/>
        <w:jc w:val="center"/>
        <w:tblLook w:val="04A0" w:firstRow="1" w:lastRow="0" w:firstColumn="1" w:lastColumn="0" w:noHBand="0" w:noVBand="1"/>
      </w:tblPr>
      <w:tblGrid>
        <w:gridCol w:w="3823"/>
        <w:gridCol w:w="750"/>
        <w:gridCol w:w="834"/>
        <w:gridCol w:w="750"/>
        <w:gridCol w:w="809"/>
        <w:gridCol w:w="750"/>
      </w:tblGrid>
      <w:tr w:rsidR="00547B19" w:rsidRPr="00AA1D26" w14:paraId="0B64D8EC" w14:textId="77777777" w:rsidTr="00965E81">
        <w:trPr>
          <w:jc w:val="center"/>
        </w:trPr>
        <w:tc>
          <w:tcPr>
            <w:tcW w:w="3823" w:type="dxa"/>
          </w:tcPr>
          <w:p w14:paraId="1D2B69D7" w14:textId="77777777" w:rsidR="00547B19" w:rsidRPr="00AA1D26" w:rsidRDefault="00547B19" w:rsidP="00965E81">
            <w:pPr>
              <w:rPr>
                <w:rFonts w:ascii="Arial" w:hAnsi="Arial" w:cs="Arial"/>
                <w:b/>
              </w:rPr>
            </w:pPr>
            <w:r w:rsidRPr="00AA1D26">
              <w:rPr>
                <w:rFonts w:ascii="Arial" w:hAnsi="Arial" w:cs="Arial"/>
                <w:b/>
              </w:rPr>
              <w:t>Objetivos</w:t>
            </w:r>
          </w:p>
        </w:tc>
        <w:tc>
          <w:tcPr>
            <w:tcW w:w="750" w:type="dxa"/>
          </w:tcPr>
          <w:p w14:paraId="25881887" w14:textId="77777777" w:rsidR="00547B19" w:rsidRPr="00AA1D26" w:rsidRDefault="00547B19" w:rsidP="00965E81">
            <w:pPr>
              <w:rPr>
                <w:rFonts w:ascii="Arial" w:hAnsi="Arial" w:cs="Arial"/>
                <w:b/>
              </w:rPr>
            </w:pPr>
            <w:r w:rsidRPr="00AA1D26">
              <w:rPr>
                <w:rFonts w:ascii="Arial" w:hAnsi="Arial" w:cs="Arial"/>
                <w:b/>
              </w:rPr>
              <w:t>2016</w:t>
            </w:r>
          </w:p>
        </w:tc>
        <w:tc>
          <w:tcPr>
            <w:tcW w:w="834" w:type="dxa"/>
          </w:tcPr>
          <w:p w14:paraId="7121A817" w14:textId="77777777" w:rsidR="00547B19" w:rsidRPr="00AA1D26" w:rsidRDefault="00547B19" w:rsidP="00965E81">
            <w:pPr>
              <w:rPr>
                <w:rFonts w:ascii="Arial" w:hAnsi="Arial" w:cs="Arial"/>
                <w:b/>
              </w:rPr>
            </w:pPr>
            <w:r w:rsidRPr="00AA1D26">
              <w:rPr>
                <w:rFonts w:ascii="Arial" w:hAnsi="Arial" w:cs="Arial"/>
                <w:b/>
              </w:rPr>
              <w:t>2017</w:t>
            </w:r>
          </w:p>
        </w:tc>
        <w:tc>
          <w:tcPr>
            <w:tcW w:w="750" w:type="dxa"/>
          </w:tcPr>
          <w:p w14:paraId="333A6B46" w14:textId="77777777" w:rsidR="00547B19" w:rsidRPr="00AA1D26" w:rsidRDefault="00547B19" w:rsidP="00965E81">
            <w:pPr>
              <w:rPr>
                <w:rFonts w:ascii="Arial" w:hAnsi="Arial" w:cs="Arial"/>
                <w:b/>
              </w:rPr>
            </w:pPr>
            <w:r w:rsidRPr="00AA1D26">
              <w:rPr>
                <w:rFonts w:ascii="Arial" w:hAnsi="Arial" w:cs="Arial"/>
                <w:b/>
              </w:rPr>
              <w:t>2018</w:t>
            </w:r>
          </w:p>
        </w:tc>
        <w:tc>
          <w:tcPr>
            <w:tcW w:w="809" w:type="dxa"/>
          </w:tcPr>
          <w:p w14:paraId="63322C14" w14:textId="77777777" w:rsidR="00547B19" w:rsidRPr="00AA1D26" w:rsidRDefault="00547B19" w:rsidP="00965E81">
            <w:pPr>
              <w:rPr>
                <w:rFonts w:ascii="Arial" w:hAnsi="Arial" w:cs="Arial"/>
                <w:b/>
              </w:rPr>
            </w:pPr>
            <w:r w:rsidRPr="00AA1D26">
              <w:rPr>
                <w:rFonts w:ascii="Arial" w:hAnsi="Arial" w:cs="Arial"/>
                <w:b/>
              </w:rPr>
              <w:t>2019</w:t>
            </w:r>
          </w:p>
        </w:tc>
        <w:tc>
          <w:tcPr>
            <w:tcW w:w="750" w:type="dxa"/>
          </w:tcPr>
          <w:p w14:paraId="16D1D854" w14:textId="77777777" w:rsidR="00547B19" w:rsidRPr="00AA1D26" w:rsidRDefault="00547B19" w:rsidP="00965E81">
            <w:pPr>
              <w:rPr>
                <w:rFonts w:ascii="Arial" w:hAnsi="Arial" w:cs="Arial"/>
                <w:b/>
              </w:rPr>
            </w:pPr>
            <w:r w:rsidRPr="00AA1D26">
              <w:rPr>
                <w:rFonts w:ascii="Arial" w:hAnsi="Arial" w:cs="Arial"/>
                <w:b/>
              </w:rPr>
              <w:t>2020</w:t>
            </w:r>
          </w:p>
        </w:tc>
      </w:tr>
      <w:tr w:rsidR="00547B19" w:rsidRPr="00AA1D26" w14:paraId="46CE2BB6" w14:textId="77777777" w:rsidTr="00965E81">
        <w:trPr>
          <w:jc w:val="center"/>
        </w:trPr>
        <w:tc>
          <w:tcPr>
            <w:tcW w:w="3823" w:type="dxa"/>
          </w:tcPr>
          <w:p w14:paraId="36E2975F" w14:textId="77777777" w:rsidR="00547B19" w:rsidRPr="00AA1D26" w:rsidRDefault="00547B19" w:rsidP="00965E81">
            <w:pPr>
              <w:rPr>
                <w:rFonts w:ascii="Arial" w:hAnsi="Arial" w:cs="Arial"/>
                <w:b/>
              </w:rPr>
            </w:pPr>
          </w:p>
        </w:tc>
        <w:tc>
          <w:tcPr>
            <w:tcW w:w="750" w:type="dxa"/>
          </w:tcPr>
          <w:p w14:paraId="2DD5F5D9" w14:textId="77777777" w:rsidR="00547B19" w:rsidRPr="00AA1D26" w:rsidRDefault="00547B19" w:rsidP="00965E81">
            <w:pPr>
              <w:rPr>
                <w:rFonts w:ascii="Arial" w:hAnsi="Arial" w:cs="Arial"/>
                <w:b/>
              </w:rPr>
            </w:pPr>
          </w:p>
        </w:tc>
        <w:tc>
          <w:tcPr>
            <w:tcW w:w="834" w:type="dxa"/>
          </w:tcPr>
          <w:p w14:paraId="0445539D" w14:textId="77777777" w:rsidR="00547B19" w:rsidRPr="00AA1D26" w:rsidRDefault="00547B19" w:rsidP="00965E81">
            <w:pPr>
              <w:rPr>
                <w:rFonts w:ascii="Arial" w:hAnsi="Arial" w:cs="Arial"/>
                <w:b/>
              </w:rPr>
            </w:pPr>
          </w:p>
        </w:tc>
        <w:tc>
          <w:tcPr>
            <w:tcW w:w="750" w:type="dxa"/>
          </w:tcPr>
          <w:p w14:paraId="72A54FFA" w14:textId="77777777" w:rsidR="00547B19" w:rsidRPr="00AA1D26" w:rsidRDefault="00547B19" w:rsidP="00965E81">
            <w:pPr>
              <w:rPr>
                <w:rFonts w:ascii="Arial" w:hAnsi="Arial" w:cs="Arial"/>
                <w:b/>
              </w:rPr>
            </w:pPr>
          </w:p>
        </w:tc>
        <w:tc>
          <w:tcPr>
            <w:tcW w:w="809" w:type="dxa"/>
          </w:tcPr>
          <w:p w14:paraId="4AFA0E86" w14:textId="77777777" w:rsidR="00547B19" w:rsidRPr="00AA1D26" w:rsidRDefault="00547B19" w:rsidP="00965E81">
            <w:pPr>
              <w:rPr>
                <w:rFonts w:ascii="Arial" w:hAnsi="Arial" w:cs="Arial"/>
                <w:b/>
              </w:rPr>
            </w:pPr>
          </w:p>
        </w:tc>
        <w:tc>
          <w:tcPr>
            <w:tcW w:w="750" w:type="dxa"/>
          </w:tcPr>
          <w:p w14:paraId="760C0950" w14:textId="77777777" w:rsidR="00547B19" w:rsidRPr="00AA1D26" w:rsidRDefault="00547B19" w:rsidP="00965E81">
            <w:pPr>
              <w:rPr>
                <w:rFonts w:ascii="Arial" w:hAnsi="Arial" w:cs="Arial"/>
                <w:b/>
              </w:rPr>
            </w:pPr>
          </w:p>
        </w:tc>
      </w:tr>
      <w:tr w:rsidR="00547B19" w:rsidRPr="00AA1D26" w14:paraId="174E5620" w14:textId="77777777" w:rsidTr="00965E81">
        <w:trPr>
          <w:jc w:val="center"/>
        </w:trPr>
        <w:tc>
          <w:tcPr>
            <w:tcW w:w="3823" w:type="dxa"/>
          </w:tcPr>
          <w:p w14:paraId="6E6FC373" w14:textId="77777777" w:rsidR="00547B19" w:rsidRPr="00AA1D26" w:rsidRDefault="00547B19" w:rsidP="00965E81">
            <w:pPr>
              <w:rPr>
                <w:rFonts w:ascii="Arial" w:hAnsi="Arial" w:cs="Arial"/>
                <w:b/>
              </w:rPr>
            </w:pPr>
            <w:r w:rsidRPr="00AA1D26">
              <w:rPr>
                <w:rFonts w:ascii="Arial" w:hAnsi="Arial" w:cs="Arial"/>
                <w:b/>
              </w:rPr>
              <w:t>Objetivo 1</w:t>
            </w:r>
          </w:p>
        </w:tc>
        <w:tc>
          <w:tcPr>
            <w:tcW w:w="750" w:type="dxa"/>
          </w:tcPr>
          <w:p w14:paraId="50AA06EA" w14:textId="77777777" w:rsidR="00547B19" w:rsidRPr="00AA1D26" w:rsidRDefault="00547B19" w:rsidP="00965E81">
            <w:pPr>
              <w:rPr>
                <w:rFonts w:ascii="Arial" w:hAnsi="Arial" w:cs="Arial"/>
                <w:b/>
              </w:rPr>
            </w:pPr>
          </w:p>
        </w:tc>
        <w:tc>
          <w:tcPr>
            <w:tcW w:w="834" w:type="dxa"/>
          </w:tcPr>
          <w:p w14:paraId="25D82DD4" w14:textId="77777777" w:rsidR="00547B19" w:rsidRPr="00AA1D26" w:rsidRDefault="00547B19" w:rsidP="00965E81">
            <w:pPr>
              <w:rPr>
                <w:rFonts w:ascii="Arial" w:hAnsi="Arial" w:cs="Arial"/>
                <w:b/>
              </w:rPr>
            </w:pPr>
          </w:p>
        </w:tc>
        <w:tc>
          <w:tcPr>
            <w:tcW w:w="750" w:type="dxa"/>
          </w:tcPr>
          <w:p w14:paraId="7162EA4A" w14:textId="77777777" w:rsidR="00547B19" w:rsidRPr="00AA1D26" w:rsidRDefault="00547B19" w:rsidP="00965E81">
            <w:pPr>
              <w:rPr>
                <w:rFonts w:ascii="Arial" w:hAnsi="Arial" w:cs="Arial"/>
                <w:b/>
              </w:rPr>
            </w:pPr>
          </w:p>
        </w:tc>
        <w:tc>
          <w:tcPr>
            <w:tcW w:w="809" w:type="dxa"/>
          </w:tcPr>
          <w:p w14:paraId="7AC315A3" w14:textId="77777777" w:rsidR="00547B19" w:rsidRPr="00AA1D26" w:rsidRDefault="00547B19" w:rsidP="00965E81">
            <w:pPr>
              <w:rPr>
                <w:rFonts w:ascii="Arial" w:hAnsi="Arial" w:cs="Arial"/>
                <w:b/>
              </w:rPr>
            </w:pPr>
          </w:p>
        </w:tc>
        <w:tc>
          <w:tcPr>
            <w:tcW w:w="750" w:type="dxa"/>
          </w:tcPr>
          <w:p w14:paraId="2921F8B1" w14:textId="77777777" w:rsidR="00547B19" w:rsidRPr="00AA1D26" w:rsidRDefault="00547B19" w:rsidP="00965E81">
            <w:pPr>
              <w:rPr>
                <w:rFonts w:ascii="Arial" w:hAnsi="Arial" w:cs="Arial"/>
                <w:b/>
              </w:rPr>
            </w:pPr>
          </w:p>
        </w:tc>
      </w:tr>
      <w:tr w:rsidR="00547B19" w:rsidRPr="00AA1D26" w14:paraId="20EFC31C" w14:textId="77777777" w:rsidTr="00965E81">
        <w:trPr>
          <w:jc w:val="center"/>
        </w:trPr>
        <w:tc>
          <w:tcPr>
            <w:tcW w:w="3823" w:type="dxa"/>
          </w:tcPr>
          <w:p w14:paraId="334AC977" w14:textId="77777777" w:rsidR="00547B19" w:rsidRPr="00AA1D26" w:rsidRDefault="00547B19" w:rsidP="00965E81">
            <w:pPr>
              <w:rPr>
                <w:rFonts w:ascii="Arial" w:hAnsi="Arial" w:cs="Arial"/>
              </w:rPr>
            </w:pPr>
            <w:r w:rsidRPr="00AA1D26">
              <w:rPr>
                <w:rFonts w:ascii="Arial" w:hAnsi="Arial" w:cs="Arial"/>
              </w:rPr>
              <w:t>MSBR*</w:t>
            </w:r>
          </w:p>
        </w:tc>
        <w:tc>
          <w:tcPr>
            <w:tcW w:w="750" w:type="dxa"/>
            <w:shd w:val="clear" w:color="auto" w:fill="000000" w:themeFill="text1"/>
          </w:tcPr>
          <w:p w14:paraId="571FAAC7" w14:textId="77777777" w:rsidR="00547B19" w:rsidRPr="00AA1D26" w:rsidRDefault="00547B19" w:rsidP="00965E81">
            <w:pPr>
              <w:rPr>
                <w:rFonts w:ascii="Arial" w:hAnsi="Arial" w:cs="Arial"/>
                <w:b/>
              </w:rPr>
            </w:pPr>
          </w:p>
        </w:tc>
        <w:tc>
          <w:tcPr>
            <w:tcW w:w="834" w:type="dxa"/>
            <w:shd w:val="clear" w:color="auto" w:fill="000000" w:themeFill="text1"/>
          </w:tcPr>
          <w:p w14:paraId="74E7783F" w14:textId="77777777" w:rsidR="00547B19" w:rsidRPr="00AA1D26" w:rsidRDefault="00547B19" w:rsidP="00965E81">
            <w:pPr>
              <w:rPr>
                <w:rFonts w:ascii="Arial" w:hAnsi="Arial" w:cs="Arial"/>
                <w:b/>
              </w:rPr>
            </w:pPr>
          </w:p>
        </w:tc>
        <w:tc>
          <w:tcPr>
            <w:tcW w:w="750" w:type="dxa"/>
            <w:shd w:val="clear" w:color="auto" w:fill="000000" w:themeFill="text1"/>
          </w:tcPr>
          <w:p w14:paraId="6EFCEE90" w14:textId="77777777" w:rsidR="00547B19" w:rsidRPr="00AA1D26" w:rsidRDefault="00547B19" w:rsidP="00965E81">
            <w:pPr>
              <w:rPr>
                <w:rFonts w:ascii="Arial" w:hAnsi="Arial" w:cs="Arial"/>
                <w:b/>
              </w:rPr>
            </w:pPr>
          </w:p>
        </w:tc>
        <w:tc>
          <w:tcPr>
            <w:tcW w:w="809" w:type="dxa"/>
          </w:tcPr>
          <w:p w14:paraId="7858F6E1" w14:textId="77777777" w:rsidR="00547B19" w:rsidRPr="00AA1D26" w:rsidRDefault="00547B19" w:rsidP="00965E81">
            <w:pPr>
              <w:rPr>
                <w:rFonts w:ascii="Arial" w:hAnsi="Arial" w:cs="Arial"/>
                <w:b/>
              </w:rPr>
            </w:pPr>
          </w:p>
        </w:tc>
        <w:tc>
          <w:tcPr>
            <w:tcW w:w="750" w:type="dxa"/>
          </w:tcPr>
          <w:p w14:paraId="08041D96" w14:textId="77777777" w:rsidR="00547B19" w:rsidRPr="00AA1D26" w:rsidRDefault="00547B19" w:rsidP="00965E81">
            <w:pPr>
              <w:rPr>
                <w:rFonts w:ascii="Arial" w:hAnsi="Arial" w:cs="Arial"/>
                <w:b/>
              </w:rPr>
            </w:pPr>
          </w:p>
        </w:tc>
      </w:tr>
      <w:tr w:rsidR="00547B19" w:rsidRPr="00AA1D26" w14:paraId="3AFC254B" w14:textId="77777777" w:rsidTr="00965E81">
        <w:trPr>
          <w:jc w:val="center"/>
        </w:trPr>
        <w:tc>
          <w:tcPr>
            <w:tcW w:w="3823" w:type="dxa"/>
          </w:tcPr>
          <w:p w14:paraId="291CC4D1" w14:textId="77777777" w:rsidR="00547B19" w:rsidRPr="00AA1D26" w:rsidRDefault="00547B19" w:rsidP="00965E81">
            <w:pPr>
              <w:rPr>
                <w:rFonts w:ascii="Arial" w:hAnsi="Arial" w:cs="Arial"/>
              </w:rPr>
            </w:pPr>
            <w:r w:rsidRPr="00AA1D26">
              <w:rPr>
                <w:rFonts w:ascii="Arial" w:hAnsi="Arial" w:cs="Arial"/>
              </w:rPr>
              <w:t>Reg. Inversiones</w:t>
            </w:r>
          </w:p>
        </w:tc>
        <w:tc>
          <w:tcPr>
            <w:tcW w:w="750" w:type="dxa"/>
            <w:shd w:val="clear" w:color="auto" w:fill="000000" w:themeFill="text1"/>
          </w:tcPr>
          <w:p w14:paraId="4FB74FE1" w14:textId="77777777" w:rsidR="00547B19" w:rsidRPr="00AA1D26" w:rsidRDefault="00547B19" w:rsidP="00965E81">
            <w:pPr>
              <w:rPr>
                <w:rFonts w:ascii="Arial" w:hAnsi="Arial" w:cs="Arial"/>
                <w:b/>
              </w:rPr>
            </w:pPr>
          </w:p>
        </w:tc>
        <w:tc>
          <w:tcPr>
            <w:tcW w:w="834" w:type="dxa"/>
            <w:shd w:val="clear" w:color="auto" w:fill="000000" w:themeFill="text1"/>
          </w:tcPr>
          <w:p w14:paraId="46804F4B" w14:textId="77777777" w:rsidR="00547B19" w:rsidRPr="00AA1D26" w:rsidRDefault="00547B19" w:rsidP="00965E81">
            <w:pPr>
              <w:rPr>
                <w:rFonts w:ascii="Arial" w:hAnsi="Arial" w:cs="Arial"/>
                <w:b/>
              </w:rPr>
            </w:pPr>
          </w:p>
        </w:tc>
        <w:tc>
          <w:tcPr>
            <w:tcW w:w="750" w:type="dxa"/>
          </w:tcPr>
          <w:p w14:paraId="436EC0F2" w14:textId="77777777" w:rsidR="00547B19" w:rsidRPr="00AA1D26" w:rsidRDefault="00547B19" w:rsidP="00965E81">
            <w:pPr>
              <w:rPr>
                <w:rFonts w:ascii="Arial" w:hAnsi="Arial" w:cs="Arial"/>
                <w:b/>
              </w:rPr>
            </w:pPr>
          </w:p>
        </w:tc>
        <w:tc>
          <w:tcPr>
            <w:tcW w:w="809" w:type="dxa"/>
          </w:tcPr>
          <w:p w14:paraId="0AECCF72" w14:textId="77777777" w:rsidR="00547B19" w:rsidRPr="00AA1D26" w:rsidRDefault="00547B19" w:rsidP="00965E81">
            <w:pPr>
              <w:rPr>
                <w:rFonts w:ascii="Arial" w:hAnsi="Arial" w:cs="Arial"/>
                <w:b/>
              </w:rPr>
            </w:pPr>
          </w:p>
        </w:tc>
        <w:tc>
          <w:tcPr>
            <w:tcW w:w="750" w:type="dxa"/>
          </w:tcPr>
          <w:p w14:paraId="39DEFF7D" w14:textId="77777777" w:rsidR="00547B19" w:rsidRPr="00AA1D26" w:rsidRDefault="00547B19" w:rsidP="00965E81">
            <w:pPr>
              <w:rPr>
                <w:rFonts w:ascii="Arial" w:hAnsi="Arial" w:cs="Arial"/>
                <w:b/>
              </w:rPr>
            </w:pPr>
          </w:p>
        </w:tc>
      </w:tr>
      <w:tr w:rsidR="00547B19" w:rsidRPr="00AA1D26" w14:paraId="377EA51D" w14:textId="77777777" w:rsidTr="00965E81">
        <w:trPr>
          <w:jc w:val="center"/>
        </w:trPr>
        <w:tc>
          <w:tcPr>
            <w:tcW w:w="3823" w:type="dxa"/>
          </w:tcPr>
          <w:p w14:paraId="762F81A3" w14:textId="77777777" w:rsidR="00547B19" w:rsidRPr="00AA1D26" w:rsidRDefault="00547B19" w:rsidP="00965E81">
            <w:pPr>
              <w:rPr>
                <w:rFonts w:ascii="Arial" w:hAnsi="Arial" w:cs="Arial"/>
              </w:rPr>
            </w:pPr>
            <w:r w:rsidRPr="00AA1D26">
              <w:rPr>
                <w:rFonts w:ascii="Arial" w:hAnsi="Arial" w:cs="Arial"/>
              </w:rPr>
              <w:t>Reducción costos del SNP</w:t>
            </w:r>
          </w:p>
        </w:tc>
        <w:tc>
          <w:tcPr>
            <w:tcW w:w="750" w:type="dxa"/>
          </w:tcPr>
          <w:p w14:paraId="178D50CA" w14:textId="77777777" w:rsidR="00547B19" w:rsidRPr="00AA1D26" w:rsidRDefault="00547B19" w:rsidP="00965E81">
            <w:pPr>
              <w:rPr>
                <w:rFonts w:ascii="Arial" w:hAnsi="Arial" w:cs="Arial"/>
                <w:b/>
              </w:rPr>
            </w:pPr>
          </w:p>
        </w:tc>
        <w:tc>
          <w:tcPr>
            <w:tcW w:w="834" w:type="dxa"/>
          </w:tcPr>
          <w:p w14:paraId="2361118D" w14:textId="77777777" w:rsidR="00547B19" w:rsidRPr="00AA1D26" w:rsidRDefault="00547B19" w:rsidP="00965E81">
            <w:pPr>
              <w:rPr>
                <w:rFonts w:ascii="Arial" w:hAnsi="Arial" w:cs="Arial"/>
                <w:b/>
              </w:rPr>
            </w:pPr>
          </w:p>
        </w:tc>
        <w:tc>
          <w:tcPr>
            <w:tcW w:w="750" w:type="dxa"/>
            <w:shd w:val="clear" w:color="auto" w:fill="000000" w:themeFill="text1"/>
          </w:tcPr>
          <w:p w14:paraId="5DEB2297" w14:textId="77777777" w:rsidR="00547B19" w:rsidRPr="00AA1D26" w:rsidRDefault="00547B19" w:rsidP="00965E81">
            <w:pPr>
              <w:rPr>
                <w:rFonts w:ascii="Arial" w:hAnsi="Arial" w:cs="Arial"/>
                <w:b/>
              </w:rPr>
            </w:pPr>
          </w:p>
        </w:tc>
        <w:tc>
          <w:tcPr>
            <w:tcW w:w="809" w:type="dxa"/>
            <w:shd w:val="clear" w:color="auto" w:fill="000000" w:themeFill="text1"/>
          </w:tcPr>
          <w:p w14:paraId="209AE8ED" w14:textId="77777777" w:rsidR="00547B19" w:rsidRPr="00AA1D26" w:rsidRDefault="00547B19" w:rsidP="00965E81">
            <w:pPr>
              <w:rPr>
                <w:rFonts w:ascii="Arial" w:hAnsi="Arial" w:cs="Arial"/>
                <w:b/>
              </w:rPr>
            </w:pPr>
          </w:p>
        </w:tc>
        <w:tc>
          <w:tcPr>
            <w:tcW w:w="750" w:type="dxa"/>
          </w:tcPr>
          <w:p w14:paraId="71E69F6A" w14:textId="77777777" w:rsidR="00547B19" w:rsidRPr="00AA1D26" w:rsidRDefault="00547B19" w:rsidP="00965E81">
            <w:pPr>
              <w:rPr>
                <w:rFonts w:ascii="Arial" w:hAnsi="Arial" w:cs="Arial"/>
                <w:b/>
              </w:rPr>
            </w:pPr>
          </w:p>
        </w:tc>
      </w:tr>
      <w:tr w:rsidR="00547B19" w:rsidRPr="00AA1D26" w14:paraId="200E481C" w14:textId="77777777" w:rsidTr="00965E81">
        <w:trPr>
          <w:jc w:val="center"/>
        </w:trPr>
        <w:tc>
          <w:tcPr>
            <w:tcW w:w="3823" w:type="dxa"/>
          </w:tcPr>
          <w:p w14:paraId="109109E7" w14:textId="77777777" w:rsidR="00547B19" w:rsidRPr="00AA1D26" w:rsidRDefault="00547B19" w:rsidP="00965E81">
            <w:pPr>
              <w:rPr>
                <w:rFonts w:ascii="Arial" w:hAnsi="Arial" w:cs="Arial"/>
              </w:rPr>
            </w:pPr>
            <w:r w:rsidRPr="00AA1D26">
              <w:rPr>
                <w:rFonts w:ascii="Arial" w:hAnsi="Arial" w:cs="Arial"/>
              </w:rPr>
              <w:t>Rev. de Normativa emitida</w:t>
            </w:r>
          </w:p>
        </w:tc>
        <w:tc>
          <w:tcPr>
            <w:tcW w:w="750" w:type="dxa"/>
          </w:tcPr>
          <w:p w14:paraId="27359785" w14:textId="77777777" w:rsidR="00547B19" w:rsidRPr="00AA1D26" w:rsidRDefault="00547B19" w:rsidP="00965E81">
            <w:pPr>
              <w:rPr>
                <w:rFonts w:ascii="Arial" w:hAnsi="Arial" w:cs="Arial"/>
                <w:b/>
              </w:rPr>
            </w:pPr>
          </w:p>
        </w:tc>
        <w:tc>
          <w:tcPr>
            <w:tcW w:w="834" w:type="dxa"/>
            <w:shd w:val="clear" w:color="auto" w:fill="000000" w:themeFill="text1"/>
          </w:tcPr>
          <w:p w14:paraId="4E02906C" w14:textId="77777777" w:rsidR="00547B19" w:rsidRPr="00AA1D26" w:rsidRDefault="00547B19" w:rsidP="00965E81">
            <w:pPr>
              <w:rPr>
                <w:rFonts w:ascii="Arial" w:hAnsi="Arial" w:cs="Arial"/>
                <w:b/>
              </w:rPr>
            </w:pPr>
          </w:p>
        </w:tc>
        <w:tc>
          <w:tcPr>
            <w:tcW w:w="750" w:type="dxa"/>
            <w:shd w:val="clear" w:color="auto" w:fill="000000" w:themeFill="text1"/>
          </w:tcPr>
          <w:p w14:paraId="536B6789" w14:textId="77777777" w:rsidR="00547B19" w:rsidRPr="00AA1D26" w:rsidRDefault="00547B19" w:rsidP="00965E81">
            <w:pPr>
              <w:rPr>
                <w:rFonts w:ascii="Arial" w:hAnsi="Arial" w:cs="Arial"/>
                <w:b/>
              </w:rPr>
            </w:pPr>
          </w:p>
        </w:tc>
        <w:tc>
          <w:tcPr>
            <w:tcW w:w="809" w:type="dxa"/>
            <w:shd w:val="clear" w:color="auto" w:fill="000000" w:themeFill="text1"/>
          </w:tcPr>
          <w:p w14:paraId="5A6FC69D" w14:textId="77777777" w:rsidR="00547B19" w:rsidRPr="00AA1D26" w:rsidRDefault="00547B19" w:rsidP="00965E81">
            <w:pPr>
              <w:rPr>
                <w:rFonts w:ascii="Arial" w:hAnsi="Arial" w:cs="Arial"/>
                <w:b/>
              </w:rPr>
            </w:pPr>
          </w:p>
        </w:tc>
        <w:tc>
          <w:tcPr>
            <w:tcW w:w="750" w:type="dxa"/>
          </w:tcPr>
          <w:p w14:paraId="0D2358B1" w14:textId="77777777" w:rsidR="00547B19" w:rsidRPr="00AA1D26" w:rsidRDefault="00547B19" w:rsidP="00965E81">
            <w:pPr>
              <w:rPr>
                <w:rFonts w:ascii="Arial" w:hAnsi="Arial" w:cs="Arial"/>
                <w:b/>
              </w:rPr>
            </w:pPr>
          </w:p>
        </w:tc>
      </w:tr>
      <w:tr w:rsidR="00547B19" w:rsidRPr="00AA1D26" w14:paraId="7F35F6D0" w14:textId="77777777" w:rsidTr="00965E81">
        <w:trPr>
          <w:jc w:val="center"/>
        </w:trPr>
        <w:tc>
          <w:tcPr>
            <w:tcW w:w="3823" w:type="dxa"/>
          </w:tcPr>
          <w:p w14:paraId="5EF10A6D" w14:textId="77777777" w:rsidR="00547B19" w:rsidRPr="00AA1D26" w:rsidRDefault="00547B19" w:rsidP="00965E81">
            <w:pPr>
              <w:rPr>
                <w:rFonts w:ascii="Arial" w:hAnsi="Arial" w:cs="Arial"/>
              </w:rPr>
            </w:pPr>
            <w:r w:rsidRPr="00AA1D26">
              <w:rPr>
                <w:rFonts w:ascii="Arial" w:hAnsi="Arial" w:cs="Arial"/>
              </w:rPr>
              <w:t>Marco sancionatorio</w:t>
            </w:r>
          </w:p>
        </w:tc>
        <w:tc>
          <w:tcPr>
            <w:tcW w:w="750" w:type="dxa"/>
          </w:tcPr>
          <w:p w14:paraId="6029D089" w14:textId="77777777" w:rsidR="00547B19" w:rsidRPr="00AA1D26" w:rsidRDefault="00547B19" w:rsidP="00965E81">
            <w:pPr>
              <w:rPr>
                <w:rFonts w:ascii="Arial" w:hAnsi="Arial" w:cs="Arial"/>
                <w:b/>
              </w:rPr>
            </w:pPr>
          </w:p>
        </w:tc>
        <w:tc>
          <w:tcPr>
            <w:tcW w:w="834" w:type="dxa"/>
          </w:tcPr>
          <w:p w14:paraId="3F3208E9" w14:textId="77777777" w:rsidR="00547B19" w:rsidRPr="00AA1D26" w:rsidRDefault="00547B19" w:rsidP="00965E81">
            <w:pPr>
              <w:rPr>
                <w:rFonts w:ascii="Arial" w:hAnsi="Arial" w:cs="Arial"/>
                <w:b/>
              </w:rPr>
            </w:pPr>
          </w:p>
        </w:tc>
        <w:tc>
          <w:tcPr>
            <w:tcW w:w="750" w:type="dxa"/>
          </w:tcPr>
          <w:p w14:paraId="7D8CB71F" w14:textId="77777777" w:rsidR="00547B19" w:rsidRPr="00AA1D26" w:rsidRDefault="00547B19" w:rsidP="00965E81">
            <w:pPr>
              <w:rPr>
                <w:rFonts w:ascii="Arial" w:hAnsi="Arial" w:cs="Arial"/>
                <w:b/>
              </w:rPr>
            </w:pPr>
          </w:p>
        </w:tc>
        <w:tc>
          <w:tcPr>
            <w:tcW w:w="809" w:type="dxa"/>
            <w:shd w:val="clear" w:color="auto" w:fill="000000" w:themeFill="text1"/>
          </w:tcPr>
          <w:p w14:paraId="1A5A105B" w14:textId="77777777" w:rsidR="00547B19" w:rsidRPr="00AA1D26" w:rsidRDefault="00547B19" w:rsidP="00965E81">
            <w:pPr>
              <w:rPr>
                <w:rFonts w:ascii="Arial" w:hAnsi="Arial" w:cs="Arial"/>
                <w:b/>
              </w:rPr>
            </w:pPr>
          </w:p>
        </w:tc>
        <w:tc>
          <w:tcPr>
            <w:tcW w:w="750" w:type="dxa"/>
            <w:shd w:val="clear" w:color="auto" w:fill="000000" w:themeFill="text1"/>
          </w:tcPr>
          <w:p w14:paraId="0C3242B6" w14:textId="77777777" w:rsidR="00547B19" w:rsidRPr="00AA1D26" w:rsidRDefault="00547B19" w:rsidP="00965E81">
            <w:pPr>
              <w:rPr>
                <w:rFonts w:ascii="Arial" w:hAnsi="Arial" w:cs="Arial"/>
                <w:b/>
              </w:rPr>
            </w:pPr>
          </w:p>
        </w:tc>
      </w:tr>
      <w:tr w:rsidR="00547B19" w:rsidRPr="00AA1D26" w14:paraId="65D7C95D" w14:textId="77777777" w:rsidTr="00965E81">
        <w:trPr>
          <w:jc w:val="center"/>
        </w:trPr>
        <w:tc>
          <w:tcPr>
            <w:tcW w:w="3823" w:type="dxa"/>
          </w:tcPr>
          <w:p w14:paraId="544A7A54" w14:textId="77777777" w:rsidR="00547B19" w:rsidRPr="00AA1D26" w:rsidRDefault="00547B19" w:rsidP="00965E81">
            <w:pPr>
              <w:rPr>
                <w:rFonts w:ascii="Arial" w:hAnsi="Arial" w:cs="Arial"/>
              </w:rPr>
            </w:pPr>
            <w:r w:rsidRPr="00AA1D26">
              <w:rPr>
                <w:rFonts w:ascii="Arial" w:hAnsi="Arial" w:cs="Arial"/>
              </w:rPr>
              <w:t>Potestades de supervisión</w:t>
            </w:r>
          </w:p>
        </w:tc>
        <w:tc>
          <w:tcPr>
            <w:tcW w:w="750" w:type="dxa"/>
          </w:tcPr>
          <w:p w14:paraId="4843D097" w14:textId="77777777" w:rsidR="00547B19" w:rsidRPr="00AA1D26" w:rsidRDefault="00547B19" w:rsidP="00965E81">
            <w:pPr>
              <w:rPr>
                <w:rFonts w:ascii="Arial" w:hAnsi="Arial" w:cs="Arial"/>
                <w:b/>
              </w:rPr>
            </w:pPr>
          </w:p>
        </w:tc>
        <w:tc>
          <w:tcPr>
            <w:tcW w:w="834" w:type="dxa"/>
          </w:tcPr>
          <w:p w14:paraId="6CA61628" w14:textId="77777777" w:rsidR="00547B19" w:rsidRPr="00AA1D26" w:rsidRDefault="00547B19" w:rsidP="00965E81">
            <w:pPr>
              <w:rPr>
                <w:rFonts w:ascii="Arial" w:hAnsi="Arial" w:cs="Arial"/>
                <w:b/>
              </w:rPr>
            </w:pPr>
          </w:p>
        </w:tc>
        <w:tc>
          <w:tcPr>
            <w:tcW w:w="750" w:type="dxa"/>
          </w:tcPr>
          <w:p w14:paraId="3AACEC8D" w14:textId="77777777" w:rsidR="00547B19" w:rsidRPr="00AA1D26" w:rsidRDefault="00547B19" w:rsidP="00965E81">
            <w:pPr>
              <w:rPr>
                <w:rFonts w:ascii="Arial" w:hAnsi="Arial" w:cs="Arial"/>
                <w:b/>
              </w:rPr>
            </w:pPr>
          </w:p>
        </w:tc>
        <w:tc>
          <w:tcPr>
            <w:tcW w:w="809" w:type="dxa"/>
            <w:shd w:val="clear" w:color="auto" w:fill="000000" w:themeFill="text1"/>
          </w:tcPr>
          <w:p w14:paraId="16FBA5FB" w14:textId="77777777" w:rsidR="00547B19" w:rsidRPr="00AA1D26" w:rsidRDefault="00547B19" w:rsidP="00965E81">
            <w:pPr>
              <w:rPr>
                <w:rFonts w:ascii="Arial" w:hAnsi="Arial" w:cs="Arial"/>
                <w:b/>
              </w:rPr>
            </w:pPr>
          </w:p>
        </w:tc>
        <w:tc>
          <w:tcPr>
            <w:tcW w:w="750" w:type="dxa"/>
            <w:shd w:val="clear" w:color="auto" w:fill="000000" w:themeFill="text1"/>
          </w:tcPr>
          <w:p w14:paraId="4F1B4FF8" w14:textId="77777777" w:rsidR="00547B19" w:rsidRPr="00AA1D26" w:rsidRDefault="00547B19" w:rsidP="00965E81">
            <w:pPr>
              <w:rPr>
                <w:rFonts w:ascii="Arial" w:hAnsi="Arial" w:cs="Arial"/>
                <w:b/>
              </w:rPr>
            </w:pPr>
          </w:p>
        </w:tc>
      </w:tr>
      <w:tr w:rsidR="00547B19" w:rsidRPr="00AA1D26" w14:paraId="275F573F" w14:textId="77777777" w:rsidTr="00965E81">
        <w:trPr>
          <w:jc w:val="center"/>
        </w:trPr>
        <w:tc>
          <w:tcPr>
            <w:tcW w:w="3823" w:type="dxa"/>
          </w:tcPr>
          <w:p w14:paraId="2254E0AF" w14:textId="77777777" w:rsidR="00547B19" w:rsidRPr="00AA1D26" w:rsidRDefault="00547B19" w:rsidP="00965E81">
            <w:pPr>
              <w:rPr>
                <w:rFonts w:ascii="Arial" w:hAnsi="Arial" w:cs="Arial"/>
              </w:rPr>
            </w:pPr>
          </w:p>
        </w:tc>
        <w:tc>
          <w:tcPr>
            <w:tcW w:w="750" w:type="dxa"/>
          </w:tcPr>
          <w:p w14:paraId="2D3C62A1" w14:textId="77777777" w:rsidR="00547B19" w:rsidRPr="00AA1D26" w:rsidRDefault="00547B19" w:rsidP="00965E81">
            <w:pPr>
              <w:rPr>
                <w:rFonts w:ascii="Arial" w:hAnsi="Arial" w:cs="Arial"/>
                <w:b/>
              </w:rPr>
            </w:pPr>
          </w:p>
        </w:tc>
        <w:tc>
          <w:tcPr>
            <w:tcW w:w="834" w:type="dxa"/>
          </w:tcPr>
          <w:p w14:paraId="00A09827" w14:textId="77777777" w:rsidR="00547B19" w:rsidRPr="00AA1D26" w:rsidRDefault="00547B19" w:rsidP="00965E81">
            <w:pPr>
              <w:rPr>
                <w:rFonts w:ascii="Arial" w:hAnsi="Arial" w:cs="Arial"/>
                <w:b/>
              </w:rPr>
            </w:pPr>
          </w:p>
        </w:tc>
        <w:tc>
          <w:tcPr>
            <w:tcW w:w="750" w:type="dxa"/>
            <w:shd w:val="clear" w:color="auto" w:fill="FFFFFF" w:themeFill="background1"/>
          </w:tcPr>
          <w:p w14:paraId="2BF9C598" w14:textId="77777777" w:rsidR="00547B19" w:rsidRPr="00AA1D26" w:rsidRDefault="00547B19" w:rsidP="00965E81">
            <w:pPr>
              <w:rPr>
                <w:rFonts w:ascii="Arial" w:hAnsi="Arial" w:cs="Arial"/>
                <w:b/>
              </w:rPr>
            </w:pPr>
          </w:p>
        </w:tc>
        <w:tc>
          <w:tcPr>
            <w:tcW w:w="809" w:type="dxa"/>
            <w:shd w:val="clear" w:color="auto" w:fill="FFFFFF" w:themeFill="background1"/>
          </w:tcPr>
          <w:p w14:paraId="281E1F41" w14:textId="77777777" w:rsidR="00547B19" w:rsidRPr="00AA1D26" w:rsidRDefault="00547B19" w:rsidP="00965E81">
            <w:pPr>
              <w:rPr>
                <w:rFonts w:ascii="Arial" w:hAnsi="Arial" w:cs="Arial"/>
                <w:b/>
              </w:rPr>
            </w:pPr>
          </w:p>
        </w:tc>
        <w:tc>
          <w:tcPr>
            <w:tcW w:w="750" w:type="dxa"/>
            <w:shd w:val="clear" w:color="auto" w:fill="FFFFFF" w:themeFill="background1"/>
          </w:tcPr>
          <w:p w14:paraId="26A1C716" w14:textId="77777777" w:rsidR="00547B19" w:rsidRPr="00AA1D26" w:rsidRDefault="00547B19" w:rsidP="00965E81">
            <w:pPr>
              <w:rPr>
                <w:rFonts w:ascii="Arial" w:hAnsi="Arial" w:cs="Arial"/>
                <w:b/>
              </w:rPr>
            </w:pPr>
          </w:p>
        </w:tc>
      </w:tr>
      <w:tr w:rsidR="00547B19" w:rsidRPr="00AA1D26" w14:paraId="75574127" w14:textId="77777777" w:rsidTr="00965E81">
        <w:trPr>
          <w:jc w:val="center"/>
        </w:trPr>
        <w:tc>
          <w:tcPr>
            <w:tcW w:w="3823" w:type="dxa"/>
          </w:tcPr>
          <w:p w14:paraId="0FA2C938" w14:textId="77777777" w:rsidR="00547B19" w:rsidRPr="00AA1D26" w:rsidRDefault="00547B19" w:rsidP="00965E81">
            <w:pPr>
              <w:rPr>
                <w:rFonts w:ascii="Arial" w:hAnsi="Arial" w:cs="Arial"/>
                <w:b/>
              </w:rPr>
            </w:pPr>
            <w:r w:rsidRPr="00AA1D26">
              <w:rPr>
                <w:rFonts w:ascii="Arial" w:hAnsi="Arial" w:cs="Arial"/>
                <w:b/>
              </w:rPr>
              <w:t>Objetivo 2</w:t>
            </w:r>
          </w:p>
        </w:tc>
        <w:tc>
          <w:tcPr>
            <w:tcW w:w="750" w:type="dxa"/>
          </w:tcPr>
          <w:p w14:paraId="730E2373" w14:textId="77777777" w:rsidR="00547B19" w:rsidRPr="00AA1D26" w:rsidRDefault="00547B19" w:rsidP="00965E81">
            <w:pPr>
              <w:rPr>
                <w:rFonts w:ascii="Arial" w:hAnsi="Arial" w:cs="Arial"/>
                <w:b/>
              </w:rPr>
            </w:pPr>
          </w:p>
        </w:tc>
        <w:tc>
          <w:tcPr>
            <w:tcW w:w="834" w:type="dxa"/>
          </w:tcPr>
          <w:p w14:paraId="0072DA85" w14:textId="77777777" w:rsidR="00547B19" w:rsidRPr="00AA1D26" w:rsidRDefault="00547B19" w:rsidP="00965E81">
            <w:pPr>
              <w:rPr>
                <w:rFonts w:ascii="Arial" w:hAnsi="Arial" w:cs="Arial"/>
                <w:b/>
              </w:rPr>
            </w:pPr>
          </w:p>
        </w:tc>
        <w:tc>
          <w:tcPr>
            <w:tcW w:w="750" w:type="dxa"/>
            <w:shd w:val="clear" w:color="auto" w:fill="FFFFFF" w:themeFill="background1"/>
          </w:tcPr>
          <w:p w14:paraId="5135D331" w14:textId="77777777" w:rsidR="00547B19" w:rsidRPr="00AA1D26" w:rsidRDefault="00547B19" w:rsidP="00965E81">
            <w:pPr>
              <w:rPr>
                <w:rFonts w:ascii="Arial" w:hAnsi="Arial" w:cs="Arial"/>
                <w:b/>
              </w:rPr>
            </w:pPr>
          </w:p>
        </w:tc>
        <w:tc>
          <w:tcPr>
            <w:tcW w:w="809" w:type="dxa"/>
            <w:shd w:val="clear" w:color="auto" w:fill="FFFFFF" w:themeFill="background1"/>
          </w:tcPr>
          <w:p w14:paraId="18F3E575" w14:textId="77777777" w:rsidR="00547B19" w:rsidRPr="00AA1D26" w:rsidRDefault="00547B19" w:rsidP="00965E81">
            <w:pPr>
              <w:rPr>
                <w:rFonts w:ascii="Arial" w:hAnsi="Arial" w:cs="Arial"/>
                <w:b/>
              </w:rPr>
            </w:pPr>
          </w:p>
        </w:tc>
        <w:tc>
          <w:tcPr>
            <w:tcW w:w="750" w:type="dxa"/>
            <w:shd w:val="clear" w:color="auto" w:fill="FFFFFF" w:themeFill="background1"/>
          </w:tcPr>
          <w:p w14:paraId="5FB67299" w14:textId="77777777" w:rsidR="00547B19" w:rsidRPr="00AA1D26" w:rsidRDefault="00547B19" w:rsidP="00965E81">
            <w:pPr>
              <w:rPr>
                <w:rFonts w:ascii="Arial" w:hAnsi="Arial" w:cs="Arial"/>
                <w:b/>
              </w:rPr>
            </w:pPr>
          </w:p>
        </w:tc>
      </w:tr>
      <w:tr w:rsidR="00547B19" w:rsidRPr="00AA1D26" w14:paraId="77336930" w14:textId="77777777" w:rsidTr="00965E81">
        <w:trPr>
          <w:jc w:val="center"/>
        </w:trPr>
        <w:tc>
          <w:tcPr>
            <w:tcW w:w="3823" w:type="dxa"/>
          </w:tcPr>
          <w:p w14:paraId="2F6B72C0" w14:textId="77777777" w:rsidR="00547B19" w:rsidRPr="00AA1D26" w:rsidRDefault="00547B19" w:rsidP="00965E81">
            <w:pPr>
              <w:rPr>
                <w:rFonts w:ascii="Arial" w:hAnsi="Arial" w:cs="Arial"/>
              </w:rPr>
            </w:pPr>
            <w:r w:rsidRPr="00AA1D26">
              <w:rPr>
                <w:rFonts w:ascii="Arial" w:hAnsi="Arial" w:cs="Arial"/>
              </w:rPr>
              <w:t>Diálogo Nacional</w:t>
            </w:r>
          </w:p>
        </w:tc>
        <w:tc>
          <w:tcPr>
            <w:tcW w:w="750" w:type="dxa"/>
          </w:tcPr>
          <w:p w14:paraId="481DF3B6" w14:textId="77777777" w:rsidR="00547B19" w:rsidRPr="00AA1D26" w:rsidRDefault="00547B19" w:rsidP="00965E81">
            <w:pPr>
              <w:rPr>
                <w:rFonts w:ascii="Arial" w:hAnsi="Arial" w:cs="Arial"/>
                <w:b/>
              </w:rPr>
            </w:pPr>
          </w:p>
        </w:tc>
        <w:tc>
          <w:tcPr>
            <w:tcW w:w="834" w:type="dxa"/>
            <w:shd w:val="clear" w:color="auto" w:fill="000000" w:themeFill="text1"/>
          </w:tcPr>
          <w:p w14:paraId="401B5D4A" w14:textId="77777777" w:rsidR="00547B19" w:rsidRPr="00AA1D26" w:rsidRDefault="00547B19" w:rsidP="00965E81">
            <w:pPr>
              <w:rPr>
                <w:rFonts w:ascii="Arial" w:hAnsi="Arial" w:cs="Arial"/>
                <w:b/>
              </w:rPr>
            </w:pPr>
          </w:p>
        </w:tc>
        <w:tc>
          <w:tcPr>
            <w:tcW w:w="750" w:type="dxa"/>
            <w:shd w:val="clear" w:color="auto" w:fill="000000" w:themeFill="text1"/>
          </w:tcPr>
          <w:p w14:paraId="74D6C75B" w14:textId="77777777" w:rsidR="00547B19" w:rsidRPr="00AA1D26" w:rsidRDefault="00547B19" w:rsidP="00965E81">
            <w:pPr>
              <w:rPr>
                <w:rFonts w:ascii="Arial" w:hAnsi="Arial" w:cs="Arial"/>
                <w:b/>
              </w:rPr>
            </w:pPr>
          </w:p>
        </w:tc>
        <w:tc>
          <w:tcPr>
            <w:tcW w:w="809" w:type="dxa"/>
            <w:shd w:val="clear" w:color="auto" w:fill="FFFFFF" w:themeFill="background1"/>
          </w:tcPr>
          <w:p w14:paraId="6EAAE857" w14:textId="77777777" w:rsidR="00547B19" w:rsidRPr="00AA1D26" w:rsidRDefault="00547B19" w:rsidP="00965E81">
            <w:pPr>
              <w:rPr>
                <w:rFonts w:ascii="Arial" w:hAnsi="Arial" w:cs="Arial"/>
                <w:b/>
              </w:rPr>
            </w:pPr>
          </w:p>
        </w:tc>
        <w:tc>
          <w:tcPr>
            <w:tcW w:w="750" w:type="dxa"/>
            <w:shd w:val="clear" w:color="auto" w:fill="FFFFFF" w:themeFill="background1"/>
          </w:tcPr>
          <w:p w14:paraId="2DA03C3B" w14:textId="77777777" w:rsidR="00547B19" w:rsidRPr="00AA1D26" w:rsidRDefault="00547B19" w:rsidP="00965E81">
            <w:pPr>
              <w:rPr>
                <w:rFonts w:ascii="Arial" w:hAnsi="Arial" w:cs="Arial"/>
                <w:b/>
              </w:rPr>
            </w:pPr>
          </w:p>
        </w:tc>
      </w:tr>
      <w:tr w:rsidR="00547B19" w:rsidRPr="00AA1D26" w14:paraId="487ED655" w14:textId="77777777" w:rsidTr="00965E81">
        <w:trPr>
          <w:jc w:val="center"/>
        </w:trPr>
        <w:tc>
          <w:tcPr>
            <w:tcW w:w="3823" w:type="dxa"/>
          </w:tcPr>
          <w:p w14:paraId="0A575AC4" w14:textId="77777777" w:rsidR="00547B19" w:rsidRPr="00AA1D26" w:rsidRDefault="00547B19" w:rsidP="00965E81">
            <w:pPr>
              <w:rPr>
                <w:rFonts w:ascii="Arial" w:hAnsi="Arial" w:cs="Arial"/>
              </w:rPr>
            </w:pPr>
            <w:r w:rsidRPr="00AA1D26">
              <w:rPr>
                <w:rFonts w:ascii="Arial" w:hAnsi="Arial" w:cs="Arial"/>
              </w:rPr>
              <w:t>Aumentar ahorro</w:t>
            </w:r>
          </w:p>
        </w:tc>
        <w:tc>
          <w:tcPr>
            <w:tcW w:w="750" w:type="dxa"/>
          </w:tcPr>
          <w:p w14:paraId="5441BC49" w14:textId="77777777" w:rsidR="00547B19" w:rsidRPr="00AA1D26" w:rsidRDefault="00547B19" w:rsidP="00965E81">
            <w:pPr>
              <w:rPr>
                <w:rFonts w:ascii="Arial" w:hAnsi="Arial" w:cs="Arial"/>
                <w:b/>
              </w:rPr>
            </w:pPr>
          </w:p>
        </w:tc>
        <w:tc>
          <w:tcPr>
            <w:tcW w:w="834" w:type="dxa"/>
            <w:shd w:val="clear" w:color="auto" w:fill="000000" w:themeFill="text1"/>
          </w:tcPr>
          <w:p w14:paraId="78E1275D" w14:textId="77777777" w:rsidR="00547B19" w:rsidRPr="00AA1D26" w:rsidRDefault="00547B19" w:rsidP="00965E81">
            <w:pPr>
              <w:rPr>
                <w:rFonts w:ascii="Arial" w:hAnsi="Arial" w:cs="Arial"/>
                <w:b/>
              </w:rPr>
            </w:pPr>
          </w:p>
        </w:tc>
        <w:tc>
          <w:tcPr>
            <w:tcW w:w="750" w:type="dxa"/>
            <w:shd w:val="clear" w:color="auto" w:fill="000000" w:themeFill="text1"/>
          </w:tcPr>
          <w:p w14:paraId="70B01BBC" w14:textId="77777777" w:rsidR="00547B19" w:rsidRPr="00AA1D26" w:rsidRDefault="00547B19" w:rsidP="00965E81">
            <w:pPr>
              <w:rPr>
                <w:rFonts w:ascii="Arial" w:hAnsi="Arial" w:cs="Arial"/>
                <w:b/>
              </w:rPr>
            </w:pPr>
          </w:p>
        </w:tc>
        <w:tc>
          <w:tcPr>
            <w:tcW w:w="809" w:type="dxa"/>
            <w:shd w:val="clear" w:color="auto" w:fill="000000" w:themeFill="text1"/>
          </w:tcPr>
          <w:p w14:paraId="2F24EC5D" w14:textId="77777777" w:rsidR="00547B19" w:rsidRPr="00AA1D26" w:rsidRDefault="00547B19" w:rsidP="00965E81">
            <w:pPr>
              <w:rPr>
                <w:rFonts w:ascii="Arial" w:hAnsi="Arial" w:cs="Arial"/>
                <w:b/>
              </w:rPr>
            </w:pPr>
          </w:p>
        </w:tc>
        <w:tc>
          <w:tcPr>
            <w:tcW w:w="750" w:type="dxa"/>
            <w:shd w:val="clear" w:color="auto" w:fill="000000" w:themeFill="text1"/>
          </w:tcPr>
          <w:p w14:paraId="368C895F" w14:textId="77777777" w:rsidR="00547B19" w:rsidRPr="00AA1D26" w:rsidRDefault="00547B19" w:rsidP="00965E81">
            <w:pPr>
              <w:rPr>
                <w:rFonts w:ascii="Arial" w:hAnsi="Arial" w:cs="Arial"/>
                <w:b/>
              </w:rPr>
            </w:pPr>
          </w:p>
        </w:tc>
      </w:tr>
      <w:tr w:rsidR="00547B19" w:rsidRPr="00AA1D26" w14:paraId="6AAD7870" w14:textId="77777777" w:rsidTr="00965E81">
        <w:trPr>
          <w:jc w:val="center"/>
        </w:trPr>
        <w:tc>
          <w:tcPr>
            <w:tcW w:w="3823" w:type="dxa"/>
          </w:tcPr>
          <w:p w14:paraId="44F14608" w14:textId="77777777" w:rsidR="00547B19" w:rsidRPr="00AA1D26" w:rsidRDefault="00547B19" w:rsidP="00965E81">
            <w:pPr>
              <w:rPr>
                <w:rFonts w:ascii="Arial" w:hAnsi="Arial" w:cs="Arial"/>
              </w:rPr>
            </w:pPr>
            <w:r w:rsidRPr="00AA1D26">
              <w:rPr>
                <w:rFonts w:ascii="Arial" w:hAnsi="Arial" w:cs="Arial"/>
              </w:rPr>
              <w:t>Auxilio desempleo</w:t>
            </w:r>
          </w:p>
        </w:tc>
        <w:tc>
          <w:tcPr>
            <w:tcW w:w="750" w:type="dxa"/>
            <w:shd w:val="clear" w:color="auto" w:fill="000000" w:themeFill="text1"/>
          </w:tcPr>
          <w:p w14:paraId="771881DC" w14:textId="77777777" w:rsidR="00547B19" w:rsidRPr="00AA1D26" w:rsidRDefault="00547B19" w:rsidP="00965E81">
            <w:pPr>
              <w:rPr>
                <w:rFonts w:ascii="Arial" w:hAnsi="Arial" w:cs="Arial"/>
                <w:b/>
              </w:rPr>
            </w:pPr>
          </w:p>
        </w:tc>
        <w:tc>
          <w:tcPr>
            <w:tcW w:w="834" w:type="dxa"/>
            <w:shd w:val="clear" w:color="auto" w:fill="000000" w:themeFill="text1"/>
          </w:tcPr>
          <w:p w14:paraId="023AD6C7" w14:textId="77777777" w:rsidR="00547B19" w:rsidRPr="00AA1D26" w:rsidRDefault="00547B19" w:rsidP="00965E81">
            <w:pPr>
              <w:rPr>
                <w:rFonts w:ascii="Arial" w:hAnsi="Arial" w:cs="Arial"/>
                <w:b/>
              </w:rPr>
            </w:pPr>
          </w:p>
        </w:tc>
        <w:tc>
          <w:tcPr>
            <w:tcW w:w="750" w:type="dxa"/>
            <w:shd w:val="clear" w:color="auto" w:fill="FFFFFF" w:themeFill="background1"/>
          </w:tcPr>
          <w:p w14:paraId="264E3B87" w14:textId="77777777" w:rsidR="00547B19" w:rsidRPr="00AA1D26" w:rsidRDefault="00547B19" w:rsidP="00965E81">
            <w:pPr>
              <w:rPr>
                <w:rFonts w:ascii="Arial" w:hAnsi="Arial" w:cs="Arial"/>
                <w:b/>
              </w:rPr>
            </w:pPr>
          </w:p>
        </w:tc>
        <w:tc>
          <w:tcPr>
            <w:tcW w:w="809" w:type="dxa"/>
            <w:shd w:val="clear" w:color="auto" w:fill="FFFFFF" w:themeFill="background1"/>
          </w:tcPr>
          <w:p w14:paraId="224E7C78" w14:textId="77777777" w:rsidR="00547B19" w:rsidRPr="00AA1D26" w:rsidRDefault="00547B19" w:rsidP="00965E81">
            <w:pPr>
              <w:rPr>
                <w:rFonts w:ascii="Arial" w:hAnsi="Arial" w:cs="Arial"/>
                <w:b/>
              </w:rPr>
            </w:pPr>
          </w:p>
        </w:tc>
        <w:tc>
          <w:tcPr>
            <w:tcW w:w="750" w:type="dxa"/>
            <w:shd w:val="clear" w:color="auto" w:fill="FFFFFF" w:themeFill="background1"/>
          </w:tcPr>
          <w:p w14:paraId="3809CA95" w14:textId="77777777" w:rsidR="00547B19" w:rsidRPr="00AA1D26" w:rsidRDefault="00547B19" w:rsidP="00965E81">
            <w:pPr>
              <w:rPr>
                <w:rFonts w:ascii="Arial" w:hAnsi="Arial" w:cs="Arial"/>
                <w:b/>
              </w:rPr>
            </w:pPr>
          </w:p>
        </w:tc>
      </w:tr>
      <w:tr w:rsidR="00547B19" w:rsidRPr="00AA1D26" w14:paraId="4C606AE5" w14:textId="77777777" w:rsidTr="00965E81">
        <w:trPr>
          <w:jc w:val="center"/>
        </w:trPr>
        <w:tc>
          <w:tcPr>
            <w:tcW w:w="3823" w:type="dxa"/>
          </w:tcPr>
          <w:p w14:paraId="1BF25760" w14:textId="77777777" w:rsidR="00547B19" w:rsidRPr="00AA1D26" w:rsidRDefault="00547B19" w:rsidP="00965E81">
            <w:pPr>
              <w:rPr>
                <w:rFonts w:ascii="Arial" w:hAnsi="Arial" w:cs="Arial"/>
              </w:rPr>
            </w:pPr>
          </w:p>
        </w:tc>
        <w:tc>
          <w:tcPr>
            <w:tcW w:w="750" w:type="dxa"/>
          </w:tcPr>
          <w:p w14:paraId="3B0ECCED" w14:textId="77777777" w:rsidR="00547B19" w:rsidRPr="00AA1D26" w:rsidRDefault="00547B19" w:rsidP="00965E81">
            <w:pPr>
              <w:rPr>
                <w:rFonts w:ascii="Arial" w:hAnsi="Arial" w:cs="Arial"/>
                <w:b/>
              </w:rPr>
            </w:pPr>
          </w:p>
        </w:tc>
        <w:tc>
          <w:tcPr>
            <w:tcW w:w="834" w:type="dxa"/>
            <w:shd w:val="clear" w:color="auto" w:fill="FFFFFF" w:themeFill="background1"/>
          </w:tcPr>
          <w:p w14:paraId="41D86BC7" w14:textId="77777777" w:rsidR="00547B19" w:rsidRPr="00AA1D26" w:rsidRDefault="00547B19" w:rsidP="00965E81">
            <w:pPr>
              <w:rPr>
                <w:rFonts w:ascii="Arial" w:hAnsi="Arial" w:cs="Arial"/>
                <w:b/>
              </w:rPr>
            </w:pPr>
          </w:p>
        </w:tc>
        <w:tc>
          <w:tcPr>
            <w:tcW w:w="750" w:type="dxa"/>
            <w:shd w:val="clear" w:color="auto" w:fill="FFFFFF" w:themeFill="background1"/>
          </w:tcPr>
          <w:p w14:paraId="26AB764E" w14:textId="77777777" w:rsidR="00547B19" w:rsidRPr="00AA1D26" w:rsidRDefault="00547B19" w:rsidP="00965E81">
            <w:pPr>
              <w:rPr>
                <w:rFonts w:ascii="Arial" w:hAnsi="Arial" w:cs="Arial"/>
                <w:b/>
              </w:rPr>
            </w:pPr>
          </w:p>
        </w:tc>
        <w:tc>
          <w:tcPr>
            <w:tcW w:w="809" w:type="dxa"/>
            <w:shd w:val="clear" w:color="auto" w:fill="FFFFFF" w:themeFill="background1"/>
          </w:tcPr>
          <w:p w14:paraId="1AE64CFB" w14:textId="77777777" w:rsidR="00547B19" w:rsidRPr="00AA1D26" w:rsidRDefault="00547B19" w:rsidP="00965E81">
            <w:pPr>
              <w:rPr>
                <w:rFonts w:ascii="Arial" w:hAnsi="Arial" w:cs="Arial"/>
                <w:b/>
              </w:rPr>
            </w:pPr>
          </w:p>
        </w:tc>
        <w:tc>
          <w:tcPr>
            <w:tcW w:w="750" w:type="dxa"/>
            <w:shd w:val="clear" w:color="auto" w:fill="FFFFFF" w:themeFill="background1"/>
          </w:tcPr>
          <w:p w14:paraId="1023E6F8" w14:textId="77777777" w:rsidR="00547B19" w:rsidRPr="00AA1D26" w:rsidRDefault="00547B19" w:rsidP="00965E81">
            <w:pPr>
              <w:rPr>
                <w:rFonts w:ascii="Arial" w:hAnsi="Arial" w:cs="Arial"/>
                <w:b/>
              </w:rPr>
            </w:pPr>
          </w:p>
        </w:tc>
      </w:tr>
      <w:tr w:rsidR="00547B19" w:rsidRPr="00AA1D26" w14:paraId="6680D9F1" w14:textId="77777777" w:rsidTr="00965E81">
        <w:trPr>
          <w:jc w:val="center"/>
        </w:trPr>
        <w:tc>
          <w:tcPr>
            <w:tcW w:w="3823" w:type="dxa"/>
          </w:tcPr>
          <w:p w14:paraId="29F1B2E0" w14:textId="77777777" w:rsidR="00547B19" w:rsidRPr="00AA1D26" w:rsidRDefault="00547B19" w:rsidP="00965E81">
            <w:pPr>
              <w:rPr>
                <w:rFonts w:ascii="Arial" w:hAnsi="Arial" w:cs="Arial"/>
                <w:b/>
              </w:rPr>
            </w:pPr>
            <w:r w:rsidRPr="00AA1D26">
              <w:rPr>
                <w:rFonts w:ascii="Arial" w:hAnsi="Arial" w:cs="Arial"/>
                <w:b/>
              </w:rPr>
              <w:t>Objetivo 3</w:t>
            </w:r>
          </w:p>
        </w:tc>
        <w:tc>
          <w:tcPr>
            <w:tcW w:w="750" w:type="dxa"/>
          </w:tcPr>
          <w:p w14:paraId="3868137E" w14:textId="77777777" w:rsidR="00547B19" w:rsidRPr="00AA1D26" w:rsidRDefault="00547B19" w:rsidP="00965E81">
            <w:pPr>
              <w:rPr>
                <w:rFonts w:ascii="Arial" w:hAnsi="Arial" w:cs="Arial"/>
                <w:b/>
              </w:rPr>
            </w:pPr>
          </w:p>
        </w:tc>
        <w:tc>
          <w:tcPr>
            <w:tcW w:w="834" w:type="dxa"/>
            <w:shd w:val="clear" w:color="auto" w:fill="FFFFFF" w:themeFill="background1"/>
          </w:tcPr>
          <w:p w14:paraId="0BC093A1" w14:textId="77777777" w:rsidR="00547B19" w:rsidRPr="00AA1D26" w:rsidRDefault="00547B19" w:rsidP="00965E81">
            <w:pPr>
              <w:rPr>
                <w:rFonts w:ascii="Arial" w:hAnsi="Arial" w:cs="Arial"/>
                <w:b/>
              </w:rPr>
            </w:pPr>
          </w:p>
        </w:tc>
        <w:tc>
          <w:tcPr>
            <w:tcW w:w="750" w:type="dxa"/>
            <w:shd w:val="clear" w:color="auto" w:fill="FFFFFF" w:themeFill="background1"/>
          </w:tcPr>
          <w:p w14:paraId="75EC4C92" w14:textId="77777777" w:rsidR="00547B19" w:rsidRPr="00AA1D26" w:rsidRDefault="00547B19" w:rsidP="00965E81">
            <w:pPr>
              <w:rPr>
                <w:rFonts w:ascii="Arial" w:hAnsi="Arial" w:cs="Arial"/>
                <w:b/>
              </w:rPr>
            </w:pPr>
          </w:p>
        </w:tc>
        <w:tc>
          <w:tcPr>
            <w:tcW w:w="809" w:type="dxa"/>
            <w:shd w:val="clear" w:color="auto" w:fill="FFFFFF" w:themeFill="background1"/>
          </w:tcPr>
          <w:p w14:paraId="05426904" w14:textId="77777777" w:rsidR="00547B19" w:rsidRPr="00AA1D26" w:rsidRDefault="00547B19" w:rsidP="00965E81">
            <w:pPr>
              <w:rPr>
                <w:rFonts w:ascii="Arial" w:hAnsi="Arial" w:cs="Arial"/>
                <w:b/>
              </w:rPr>
            </w:pPr>
          </w:p>
        </w:tc>
        <w:tc>
          <w:tcPr>
            <w:tcW w:w="750" w:type="dxa"/>
            <w:shd w:val="clear" w:color="auto" w:fill="FFFFFF" w:themeFill="background1"/>
          </w:tcPr>
          <w:p w14:paraId="5FC36830" w14:textId="77777777" w:rsidR="00547B19" w:rsidRPr="00AA1D26" w:rsidRDefault="00547B19" w:rsidP="00965E81">
            <w:pPr>
              <w:rPr>
                <w:rFonts w:ascii="Arial" w:hAnsi="Arial" w:cs="Arial"/>
                <w:b/>
              </w:rPr>
            </w:pPr>
          </w:p>
        </w:tc>
      </w:tr>
      <w:tr w:rsidR="00547B19" w:rsidRPr="00AA1D26" w14:paraId="2BE93820" w14:textId="77777777" w:rsidTr="00965E81">
        <w:trPr>
          <w:jc w:val="center"/>
        </w:trPr>
        <w:tc>
          <w:tcPr>
            <w:tcW w:w="3823" w:type="dxa"/>
          </w:tcPr>
          <w:p w14:paraId="7835F0F4" w14:textId="77777777" w:rsidR="00547B19" w:rsidRPr="00AA1D26" w:rsidRDefault="00547B19" w:rsidP="00965E81">
            <w:pPr>
              <w:rPr>
                <w:rFonts w:ascii="Arial" w:hAnsi="Arial" w:cs="Arial"/>
              </w:rPr>
            </w:pPr>
            <w:r w:rsidRPr="00AA1D26">
              <w:rPr>
                <w:rFonts w:ascii="Arial" w:hAnsi="Arial" w:cs="Arial"/>
              </w:rPr>
              <w:t>Disciplina de mercado*</w:t>
            </w:r>
          </w:p>
        </w:tc>
        <w:tc>
          <w:tcPr>
            <w:tcW w:w="750" w:type="dxa"/>
            <w:shd w:val="clear" w:color="auto" w:fill="000000" w:themeFill="text1"/>
          </w:tcPr>
          <w:p w14:paraId="4869AAE4" w14:textId="77777777" w:rsidR="00547B19" w:rsidRPr="00AA1D26" w:rsidRDefault="00547B19" w:rsidP="00965E81">
            <w:pPr>
              <w:rPr>
                <w:rFonts w:ascii="Arial" w:hAnsi="Arial" w:cs="Arial"/>
                <w:b/>
              </w:rPr>
            </w:pPr>
          </w:p>
        </w:tc>
        <w:tc>
          <w:tcPr>
            <w:tcW w:w="834" w:type="dxa"/>
            <w:shd w:val="clear" w:color="auto" w:fill="000000" w:themeFill="text1"/>
          </w:tcPr>
          <w:p w14:paraId="18CDB630" w14:textId="77777777" w:rsidR="00547B19" w:rsidRPr="00AA1D26" w:rsidRDefault="00547B19" w:rsidP="00965E81">
            <w:pPr>
              <w:rPr>
                <w:rFonts w:ascii="Arial" w:hAnsi="Arial" w:cs="Arial"/>
                <w:b/>
              </w:rPr>
            </w:pPr>
          </w:p>
        </w:tc>
        <w:tc>
          <w:tcPr>
            <w:tcW w:w="750" w:type="dxa"/>
            <w:shd w:val="clear" w:color="auto" w:fill="FFFFFF" w:themeFill="background1"/>
          </w:tcPr>
          <w:p w14:paraId="26D2FC3F" w14:textId="77777777" w:rsidR="00547B19" w:rsidRPr="00AA1D26" w:rsidRDefault="00547B19" w:rsidP="00965E81">
            <w:pPr>
              <w:rPr>
                <w:rFonts w:ascii="Arial" w:hAnsi="Arial" w:cs="Arial"/>
                <w:b/>
              </w:rPr>
            </w:pPr>
          </w:p>
        </w:tc>
        <w:tc>
          <w:tcPr>
            <w:tcW w:w="809" w:type="dxa"/>
            <w:shd w:val="clear" w:color="auto" w:fill="FFFFFF" w:themeFill="background1"/>
          </w:tcPr>
          <w:p w14:paraId="0723C832" w14:textId="77777777" w:rsidR="00547B19" w:rsidRPr="00AA1D26" w:rsidRDefault="00547B19" w:rsidP="00965E81">
            <w:pPr>
              <w:rPr>
                <w:rFonts w:ascii="Arial" w:hAnsi="Arial" w:cs="Arial"/>
                <w:b/>
              </w:rPr>
            </w:pPr>
          </w:p>
        </w:tc>
        <w:tc>
          <w:tcPr>
            <w:tcW w:w="750" w:type="dxa"/>
            <w:shd w:val="clear" w:color="auto" w:fill="FFFFFF" w:themeFill="background1"/>
          </w:tcPr>
          <w:p w14:paraId="02C3C856" w14:textId="77777777" w:rsidR="00547B19" w:rsidRPr="00AA1D26" w:rsidRDefault="00547B19" w:rsidP="00965E81">
            <w:pPr>
              <w:rPr>
                <w:rFonts w:ascii="Arial" w:hAnsi="Arial" w:cs="Arial"/>
                <w:b/>
              </w:rPr>
            </w:pPr>
          </w:p>
        </w:tc>
      </w:tr>
      <w:tr w:rsidR="00547B19" w:rsidRPr="00AA1D26" w14:paraId="4AF835BF" w14:textId="77777777" w:rsidTr="00965E81">
        <w:trPr>
          <w:jc w:val="center"/>
        </w:trPr>
        <w:tc>
          <w:tcPr>
            <w:tcW w:w="3823" w:type="dxa"/>
          </w:tcPr>
          <w:p w14:paraId="2D1AF5E6" w14:textId="77777777" w:rsidR="00547B19" w:rsidRPr="00AA1D26" w:rsidRDefault="00547B19" w:rsidP="00965E81">
            <w:pPr>
              <w:rPr>
                <w:rFonts w:ascii="Arial" w:hAnsi="Arial" w:cs="Arial"/>
              </w:rPr>
            </w:pPr>
            <w:r w:rsidRPr="00AA1D26">
              <w:rPr>
                <w:rFonts w:ascii="Arial" w:hAnsi="Arial" w:cs="Arial"/>
              </w:rPr>
              <w:t>Productos autorizados*</w:t>
            </w:r>
          </w:p>
        </w:tc>
        <w:tc>
          <w:tcPr>
            <w:tcW w:w="750" w:type="dxa"/>
            <w:shd w:val="clear" w:color="auto" w:fill="000000" w:themeFill="text1"/>
          </w:tcPr>
          <w:p w14:paraId="7E5853F7" w14:textId="77777777" w:rsidR="00547B19" w:rsidRPr="00AA1D26" w:rsidRDefault="00547B19" w:rsidP="00965E81">
            <w:pPr>
              <w:rPr>
                <w:rFonts w:ascii="Arial" w:hAnsi="Arial" w:cs="Arial"/>
                <w:b/>
              </w:rPr>
            </w:pPr>
          </w:p>
        </w:tc>
        <w:tc>
          <w:tcPr>
            <w:tcW w:w="834" w:type="dxa"/>
            <w:shd w:val="clear" w:color="auto" w:fill="000000" w:themeFill="text1"/>
          </w:tcPr>
          <w:p w14:paraId="1D9A1BA6" w14:textId="77777777" w:rsidR="00547B19" w:rsidRPr="00AA1D26" w:rsidRDefault="00547B19" w:rsidP="00965E81">
            <w:pPr>
              <w:rPr>
                <w:rFonts w:ascii="Arial" w:hAnsi="Arial" w:cs="Arial"/>
                <w:b/>
              </w:rPr>
            </w:pPr>
          </w:p>
        </w:tc>
        <w:tc>
          <w:tcPr>
            <w:tcW w:w="750" w:type="dxa"/>
            <w:shd w:val="clear" w:color="auto" w:fill="FFFFFF" w:themeFill="background1"/>
          </w:tcPr>
          <w:p w14:paraId="3C237EF4" w14:textId="77777777" w:rsidR="00547B19" w:rsidRPr="00AA1D26" w:rsidRDefault="00547B19" w:rsidP="00965E81">
            <w:pPr>
              <w:rPr>
                <w:rFonts w:ascii="Arial" w:hAnsi="Arial" w:cs="Arial"/>
                <w:b/>
              </w:rPr>
            </w:pPr>
          </w:p>
        </w:tc>
        <w:tc>
          <w:tcPr>
            <w:tcW w:w="809" w:type="dxa"/>
            <w:shd w:val="clear" w:color="auto" w:fill="FFFFFF" w:themeFill="background1"/>
          </w:tcPr>
          <w:p w14:paraId="38CA33B4" w14:textId="77777777" w:rsidR="00547B19" w:rsidRPr="00AA1D26" w:rsidRDefault="00547B19" w:rsidP="00965E81">
            <w:pPr>
              <w:rPr>
                <w:rFonts w:ascii="Arial" w:hAnsi="Arial" w:cs="Arial"/>
                <w:b/>
              </w:rPr>
            </w:pPr>
          </w:p>
        </w:tc>
        <w:tc>
          <w:tcPr>
            <w:tcW w:w="750" w:type="dxa"/>
            <w:shd w:val="clear" w:color="auto" w:fill="FFFFFF" w:themeFill="background1"/>
          </w:tcPr>
          <w:p w14:paraId="402E4ACB" w14:textId="77777777" w:rsidR="00547B19" w:rsidRPr="00AA1D26" w:rsidRDefault="00547B19" w:rsidP="00965E81">
            <w:pPr>
              <w:rPr>
                <w:rFonts w:ascii="Arial" w:hAnsi="Arial" w:cs="Arial"/>
                <w:b/>
              </w:rPr>
            </w:pPr>
          </w:p>
        </w:tc>
      </w:tr>
      <w:tr w:rsidR="00547B19" w:rsidRPr="00AA1D26" w14:paraId="50156154" w14:textId="77777777" w:rsidTr="00965E81">
        <w:trPr>
          <w:jc w:val="center"/>
        </w:trPr>
        <w:tc>
          <w:tcPr>
            <w:tcW w:w="3823" w:type="dxa"/>
          </w:tcPr>
          <w:p w14:paraId="2F32BEB9" w14:textId="77777777" w:rsidR="00547B19" w:rsidRPr="00AA1D26" w:rsidRDefault="00547B19" w:rsidP="00965E81">
            <w:pPr>
              <w:rPr>
                <w:rFonts w:ascii="Arial" w:hAnsi="Arial" w:cs="Arial"/>
              </w:rPr>
            </w:pPr>
            <w:r w:rsidRPr="00AA1D26">
              <w:rPr>
                <w:rFonts w:ascii="Arial" w:hAnsi="Arial" w:cs="Arial"/>
              </w:rPr>
              <w:t>Expediente previsional</w:t>
            </w:r>
          </w:p>
        </w:tc>
        <w:tc>
          <w:tcPr>
            <w:tcW w:w="750" w:type="dxa"/>
            <w:shd w:val="clear" w:color="auto" w:fill="FFFFFF" w:themeFill="background1"/>
          </w:tcPr>
          <w:p w14:paraId="48CB8CFB" w14:textId="77777777" w:rsidR="00547B19" w:rsidRPr="00AA1D26" w:rsidRDefault="00547B19" w:rsidP="00965E81">
            <w:pPr>
              <w:rPr>
                <w:rFonts w:ascii="Arial" w:hAnsi="Arial" w:cs="Arial"/>
                <w:b/>
              </w:rPr>
            </w:pPr>
          </w:p>
        </w:tc>
        <w:tc>
          <w:tcPr>
            <w:tcW w:w="834" w:type="dxa"/>
            <w:shd w:val="clear" w:color="auto" w:fill="FFFFFF" w:themeFill="background1"/>
          </w:tcPr>
          <w:p w14:paraId="43EC67DA" w14:textId="77777777" w:rsidR="00547B19" w:rsidRPr="00AA1D26" w:rsidRDefault="00547B19" w:rsidP="00965E81">
            <w:pPr>
              <w:rPr>
                <w:rFonts w:ascii="Arial" w:hAnsi="Arial" w:cs="Arial"/>
                <w:b/>
              </w:rPr>
            </w:pPr>
          </w:p>
        </w:tc>
        <w:tc>
          <w:tcPr>
            <w:tcW w:w="750" w:type="dxa"/>
            <w:shd w:val="clear" w:color="auto" w:fill="000000" w:themeFill="text1"/>
          </w:tcPr>
          <w:p w14:paraId="5F58FAE6" w14:textId="77777777" w:rsidR="00547B19" w:rsidRPr="00AA1D26" w:rsidRDefault="00547B19" w:rsidP="00965E81">
            <w:pPr>
              <w:rPr>
                <w:rFonts w:ascii="Arial" w:hAnsi="Arial" w:cs="Arial"/>
                <w:b/>
              </w:rPr>
            </w:pPr>
          </w:p>
        </w:tc>
        <w:tc>
          <w:tcPr>
            <w:tcW w:w="809" w:type="dxa"/>
            <w:shd w:val="clear" w:color="auto" w:fill="000000" w:themeFill="text1"/>
          </w:tcPr>
          <w:p w14:paraId="739E2830" w14:textId="77777777" w:rsidR="00547B19" w:rsidRPr="00AA1D26" w:rsidRDefault="00547B19" w:rsidP="00965E81">
            <w:pPr>
              <w:rPr>
                <w:rFonts w:ascii="Arial" w:hAnsi="Arial" w:cs="Arial"/>
                <w:b/>
              </w:rPr>
            </w:pPr>
          </w:p>
        </w:tc>
        <w:tc>
          <w:tcPr>
            <w:tcW w:w="750" w:type="dxa"/>
            <w:shd w:val="clear" w:color="auto" w:fill="000000" w:themeFill="text1"/>
          </w:tcPr>
          <w:p w14:paraId="1578A317" w14:textId="77777777" w:rsidR="00547B19" w:rsidRPr="00AA1D26" w:rsidRDefault="00547B19" w:rsidP="00965E81">
            <w:pPr>
              <w:rPr>
                <w:rFonts w:ascii="Arial" w:hAnsi="Arial" w:cs="Arial"/>
                <w:b/>
              </w:rPr>
            </w:pPr>
          </w:p>
        </w:tc>
      </w:tr>
      <w:tr w:rsidR="00547B19" w:rsidRPr="00AA1D26" w14:paraId="22830D44" w14:textId="77777777" w:rsidTr="00965E81">
        <w:trPr>
          <w:jc w:val="center"/>
        </w:trPr>
        <w:tc>
          <w:tcPr>
            <w:tcW w:w="3823" w:type="dxa"/>
          </w:tcPr>
          <w:p w14:paraId="5F43A14A" w14:textId="77777777" w:rsidR="00547B19" w:rsidRPr="00AA1D26" w:rsidRDefault="00547B19" w:rsidP="00965E81">
            <w:pPr>
              <w:rPr>
                <w:rFonts w:ascii="Arial" w:hAnsi="Arial" w:cs="Arial"/>
              </w:rPr>
            </w:pPr>
            <w:r w:rsidRPr="00AA1D26">
              <w:rPr>
                <w:rFonts w:ascii="Arial" w:hAnsi="Arial" w:cs="Arial"/>
              </w:rPr>
              <w:t>Afiliación automática</w:t>
            </w:r>
          </w:p>
        </w:tc>
        <w:tc>
          <w:tcPr>
            <w:tcW w:w="750" w:type="dxa"/>
            <w:shd w:val="clear" w:color="auto" w:fill="FFFFFF" w:themeFill="background1"/>
          </w:tcPr>
          <w:p w14:paraId="408F828D" w14:textId="77777777" w:rsidR="00547B19" w:rsidRPr="00AA1D26" w:rsidRDefault="00547B19" w:rsidP="00965E81">
            <w:pPr>
              <w:rPr>
                <w:rFonts w:ascii="Arial" w:hAnsi="Arial" w:cs="Arial"/>
                <w:b/>
              </w:rPr>
            </w:pPr>
          </w:p>
        </w:tc>
        <w:tc>
          <w:tcPr>
            <w:tcW w:w="834" w:type="dxa"/>
            <w:shd w:val="clear" w:color="auto" w:fill="FFFFFF" w:themeFill="background1"/>
          </w:tcPr>
          <w:p w14:paraId="5C903FED" w14:textId="77777777" w:rsidR="00547B19" w:rsidRPr="00AA1D26" w:rsidRDefault="00547B19" w:rsidP="00965E81">
            <w:pPr>
              <w:rPr>
                <w:rFonts w:ascii="Arial" w:hAnsi="Arial" w:cs="Arial"/>
                <w:b/>
              </w:rPr>
            </w:pPr>
          </w:p>
        </w:tc>
        <w:tc>
          <w:tcPr>
            <w:tcW w:w="750" w:type="dxa"/>
            <w:shd w:val="clear" w:color="auto" w:fill="000000" w:themeFill="text1"/>
          </w:tcPr>
          <w:p w14:paraId="24F145BC" w14:textId="77777777" w:rsidR="00547B19" w:rsidRPr="00AA1D26" w:rsidRDefault="00547B19" w:rsidP="00965E81">
            <w:pPr>
              <w:rPr>
                <w:rFonts w:ascii="Arial" w:hAnsi="Arial" w:cs="Arial"/>
                <w:b/>
              </w:rPr>
            </w:pPr>
          </w:p>
        </w:tc>
        <w:tc>
          <w:tcPr>
            <w:tcW w:w="809" w:type="dxa"/>
            <w:shd w:val="clear" w:color="auto" w:fill="000000" w:themeFill="text1"/>
          </w:tcPr>
          <w:p w14:paraId="570D0095" w14:textId="77777777" w:rsidR="00547B19" w:rsidRPr="00AA1D26" w:rsidRDefault="00547B19" w:rsidP="00965E81">
            <w:pPr>
              <w:rPr>
                <w:rFonts w:ascii="Arial" w:hAnsi="Arial" w:cs="Arial"/>
                <w:b/>
              </w:rPr>
            </w:pPr>
          </w:p>
        </w:tc>
        <w:tc>
          <w:tcPr>
            <w:tcW w:w="750" w:type="dxa"/>
            <w:shd w:val="clear" w:color="auto" w:fill="FFFFFF" w:themeFill="background1"/>
          </w:tcPr>
          <w:p w14:paraId="28DC3251" w14:textId="77777777" w:rsidR="00547B19" w:rsidRPr="00AA1D26" w:rsidRDefault="00547B19" w:rsidP="00965E81">
            <w:pPr>
              <w:rPr>
                <w:rFonts w:ascii="Arial" w:hAnsi="Arial" w:cs="Arial"/>
                <w:b/>
              </w:rPr>
            </w:pPr>
          </w:p>
        </w:tc>
      </w:tr>
      <w:tr w:rsidR="00547B19" w:rsidRPr="00AA1D26" w14:paraId="6F910934" w14:textId="77777777" w:rsidTr="00965E81">
        <w:trPr>
          <w:jc w:val="center"/>
        </w:trPr>
        <w:tc>
          <w:tcPr>
            <w:tcW w:w="3823" w:type="dxa"/>
          </w:tcPr>
          <w:p w14:paraId="18A0BA41" w14:textId="77777777" w:rsidR="00547B19" w:rsidRPr="00AA1D26" w:rsidRDefault="00547B19" w:rsidP="00965E81">
            <w:pPr>
              <w:rPr>
                <w:rFonts w:ascii="Arial" w:hAnsi="Arial" w:cs="Arial"/>
              </w:rPr>
            </w:pPr>
            <w:r w:rsidRPr="00AA1D26">
              <w:rPr>
                <w:rFonts w:ascii="Arial" w:hAnsi="Arial" w:cs="Arial"/>
              </w:rPr>
              <w:t>Simplificación de Trámites</w:t>
            </w:r>
          </w:p>
        </w:tc>
        <w:tc>
          <w:tcPr>
            <w:tcW w:w="750" w:type="dxa"/>
            <w:shd w:val="clear" w:color="auto" w:fill="FFFFFF" w:themeFill="background1"/>
          </w:tcPr>
          <w:p w14:paraId="69160D34" w14:textId="77777777" w:rsidR="00547B19" w:rsidRPr="00AA1D26" w:rsidRDefault="00547B19" w:rsidP="00965E81">
            <w:pPr>
              <w:rPr>
                <w:rFonts w:ascii="Arial" w:hAnsi="Arial" w:cs="Arial"/>
                <w:b/>
              </w:rPr>
            </w:pPr>
          </w:p>
        </w:tc>
        <w:tc>
          <w:tcPr>
            <w:tcW w:w="834" w:type="dxa"/>
            <w:shd w:val="clear" w:color="auto" w:fill="FFFFFF" w:themeFill="background1"/>
          </w:tcPr>
          <w:p w14:paraId="0E056992" w14:textId="77777777" w:rsidR="00547B19" w:rsidRPr="00AA1D26" w:rsidRDefault="00547B19" w:rsidP="00965E81">
            <w:pPr>
              <w:rPr>
                <w:rFonts w:ascii="Arial" w:hAnsi="Arial" w:cs="Arial"/>
                <w:b/>
              </w:rPr>
            </w:pPr>
          </w:p>
        </w:tc>
        <w:tc>
          <w:tcPr>
            <w:tcW w:w="750" w:type="dxa"/>
            <w:shd w:val="clear" w:color="auto" w:fill="FFFFFF" w:themeFill="background1"/>
          </w:tcPr>
          <w:p w14:paraId="00AFCC2D" w14:textId="77777777" w:rsidR="00547B19" w:rsidRPr="00AA1D26" w:rsidRDefault="00547B19" w:rsidP="00965E81">
            <w:pPr>
              <w:rPr>
                <w:rFonts w:ascii="Arial" w:hAnsi="Arial" w:cs="Arial"/>
                <w:b/>
              </w:rPr>
            </w:pPr>
          </w:p>
        </w:tc>
        <w:tc>
          <w:tcPr>
            <w:tcW w:w="809" w:type="dxa"/>
            <w:shd w:val="clear" w:color="auto" w:fill="000000" w:themeFill="text1"/>
          </w:tcPr>
          <w:p w14:paraId="73388E6C" w14:textId="77777777" w:rsidR="00547B19" w:rsidRPr="00AA1D26" w:rsidRDefault="00547B19" w:rsidP="00965E81">
            <w:pPr>
              <w:rPr>
                <w:rFonts w:ascii="Arial" w:hAnsi="Arial" w:cs="Arial"/>
                <w:b/>
              </w:rPr>
            </w:pPr>
          </w:p>
        </w:tc>
        <w:tc>
          <w:tcPr>
            <w:tcW w:w="750" w:type="dxa"/>
            <w:shd w:val="clear" w:color="auto" w:fill="000000" w:themeFill="text1"/>
          </w:tcPr>
          <w:p w14:paraId="5BBCA84A" w14:textId="77777777" w:rsidR="00547B19" w:rsidRPr="00AA1D26" w:rsidRDefault="00547B19" w:rsidP="00965E81">
            <w:pPr>
              <w:rPr>
                <w:rFonts w:ascii="Arial" w:hAnsi="Arial" w:cs="Arial"/>
                <w:b/>
              </w:rPr>
            </w:pPr>
          </w:p>
        </w:tc>
      </w:tr>
    </w:tbl>
    <w:p w14:paraId="2A1B066E" w14:textId="77777777" w:rsidR="00547B19" w:rsidRPr="00AA1D26" w:rsidRDefault="00547B19" w:rsidP="00547B19">
      <w:pPr>
        <w:rPr>
          <w:rFonts w:ascii="Arial" w:hAnsi="Arial" w:cs="Arial"/>
          <w:b/>
        </w:rPr>
      </w:pPr>
    </w:p>
    <w:p w14:paraId="69D26B39" w14:textId="77777777" w:rsidR="00547B19" w:rsidRPr="00AA1D26" w:rsidRDefault="00547B19" w:rsidP="00547B19">
      <w:pPr>
        <w:rPr>
          <w:rFonts w:ascii="Arial" w:hAnsi="Arial" w:cs="Arial"/>
        </w:rPr>
      </w:pPr>
      <w:r w:rsidRPr="00AA1D26">
        <w:rPr>
          <w:rFonts w:ascii="Arial" w:hAnsi="Arial" w:cs="Arial"/>
          <w:b/>
        </w:rPr>
        <w:t>Nota</w:t>
      </w:r>
      <w:r w:rsidRPr="00AA1D26">
        <w:rPr>
          <w:rFonts w:ascii="Arial" w:hAnsi="Arial" w:cs="Arial"/>
        </w:rPr>
        <w:t>: Los proyectos con (*) son heredados del Plan Estratégico anterior.</w:t>
      </w:r>
    </w:p>
    <w:p w14:paraId="0F628EEE" w14:textId="77777777" w:rsidR="005A661B" w:rsidRDefault="005A661B" w:rsidP="00547B19">
      <w:pPr>
        <w:pStyle w:val="Ttulo1"/>
        <w:rPr>
          <w:lang w:val="es-CR"/>
        </w:rPr>
      </w:pPr>
      <w:bookmarkStart w:id="148" w:name="_Toc427911621"/>
    </w:p>
    <w:p w14:paraId="6427B5B1" w14:textId="77777777" w:rsidR="00547B19" w:rsidRPr="00AA1D26" w:rsidRDefault="00547B19" w:rsidP="00547B19">
      <w:pPr>
        <w:pStyle w:val="Ttulo1"/>
        <w:rPr>
          <w:lang w:val="es-CR"/>
        </w:rPr>
      </w:pPr>
      <w:bookmarkStart w:id="149" w:name="_Toc429562775"/>
      <w:bookmarkStart w:id="150" w:name="_Toc429563085"/>
      <w:bookmarkStart w:id="151" w:name="_Toc429563240"/>
      <w:r w:rsidRPr="00AA1D26">
        <w:rPr>
          <w:lang w:val="es-CR"/>
        </w:rPr>
        <w:t>Glosario de abreviaturas</w:t>
      </w:r>
      <w:bookmarkEnd w:id="148"/>
      <w:bookmarkEnd w:id="149"/>
      <w:bookmarkEnd w:id="150"/>
      <w:bookmarkEnd w:id="151"/>
    </w:p>
    <w:p w14:paraId="62723418" w14:textId="77777777" w:rsidR="00547B19" w:rsidRPr="00AA1D26" w:rsidRDefault="00547B19" w:rsidP="00547B19">
      <w:pPr>
        <w:rPr>
          <w:rFonts w:ascii="Arial" w:hAnsi="Arial" w:cs="Arial"/>
          <w:b/>
        </w:rPr>
      </w:pPr>
      <w:r w:rsidRPr="00AA1D26">
        <w:rPr>
          <w:rFonts w:ascii="Arial" w:hAnsi="Arial" w:cs="Arial"/>
        </w:rPr>
        <w:t>CCSS</w:t>
      </w:r>
      <w:r w:rsidRPr="00AA1D26">
        <w:rPr>
          <w:rFonts w:ascii="Arial" w:hAnsi="Arial" w:cs="Arial"/>
        </w:rPr>
        <w:tab/>
      </w:r>
      <w:r w:rsidRPr="00AA1D26">
        <w:rPr>
          <w:rFonts w:ascii="Arial" w:hAnsi="Arial" w:cs="Arial"/>
        </w:rPr>
        <w:tab/>
        <w:t>Caja Costarricense de Seguro Social</w:t>
      </w:r>
    </w:p>
    <w:p w14:paraId="52457308" w14:textId="77777777" w:rsidR="00547B19" w:rsidRPr="00AA1D26" w:rsidRDefault="00547B19" w:rsidP="00547B19">
      <w:pPr>
        <w:rPr>
          <w:rFonts w:ascii="Arial" w:hAnsi="Arial" w:cs="Arial"/>
          <w:b/>
        </w:rPr>
      </w:pPr>
      <w:r w:rsidRPr="00AA1D26">
        <w:rPr>
          <w:rFonts w:ascii="Arial" w:hAnsi="Arial" w:cs="Arial"/>
        </w:rPr>
        <w:t>CONASSIF</w:t>
      </w:r>
      <w:r w:rsidRPr="00AA1D26">
        <w:rPr>
          <w:rFonts w:ascii="Arial" w:hAnsi="Arial" w:cs="Arial"/>
        </w:rPr>
        <w:tab/>
        <w:t>Consejo Nacional de Supervisión del Sistema Financiero</w:t>
      </w:r>
    </w:p>
    <w:p w14:paraId="4D5ACC7A" w14:textId="77777777" w:rsidR="00547B19" w:rsidRPr="00AA1D26" w:rsidRDefault="00547B19" w:rsidP="00547B19">
      <w:pPr>
        <w:rPr>
          <w:rFonts w:ascii="Arial" w:hAnsi="Arial" w:cs="Arial"/>
          <w:b/>
        </w:rPr>
      </w:pPr>
      <w:r w:rsidRPr="00AA1D26">
        <w:rPr>
          <w:rFonts w:ascii="Arial" w:hAnsi="Arial" w:cs="Arial"/>
        </w:rPr>
        <w:t>FCL</w:t>
      </w:r>
      <w:r w:rsidRPr="00AA1D26">
        <w:rPr>
          <w:rFonts w:ascii="Arial" w:hAnsi="Arial" w:cs="Arial"/>
        </w:rPr>
        <w:tab/>
      </w:r>
      <w:r w:rsidRPr="00AA1D26">
        <w:rPr>
          <w:rFonts w:ascii="Arial" w:hAnsi="Arial" w:cs="Arial"/>
        </w:rPr>
        <w:tab/>
        <w:t>Fondo de Capitalización Laboral</w:t>
      </w:r>
    </w:p>
    <w:p w14:paraId="2F63449B" w14:textId="77777777" w:rsidR="00547B19" w:rsidRPr="00AA1D26" w:rsidRDefault="00547B19" w:rsidP="00547B19">
      <w:pPr>
        <w:rPr>
          <w:rFonts w:ascii="Arial" w:hAnsi="Arial" w:cs="Arial"/>
        </w:rPr>
      </w:pPr>
      <w:r w:rsidRPr="00AA1D26">
        <w:rPr>
          <w:rFonts w:ascii="Arial" w:hAnsi="Arial" w:cs="Arial"/>
        </w:rPr>
        <w:t>LPT</w:t>
      </w:r>
      <w:r w:rsidRPr="00AA1D26">
        <w:rPr>
          <w:rFonts w:ascii="Arial" w:hAnsi="Arial" w:cs="Arial"/>
        </w:rPr>
        <w:tab/>
      </w:r>
      <w:r w:rsidRPr="00AA1D26">
        <w:rPr>
          <w:rFonts w:ascii="Arial" w:hAnsi="Arial" w:cs="Arial"/>
        </w:rPr>
        <w:tab/>
        <w:t>Ley de Protección al Trabajador</w:t>
      </w:r>
    </w:p>
    <w:p w14:paraId="0E4BB173" w14:textId="77777777" w:rsidR="00547B19" w:rsidRPr="00AA1D26" w:rsidRDefault="00547B19" w:rsidP="00547B19">
      <w:pPr>
        <w:rPr>
          <w:rFonts w:ascii="Arial" w:hAnsi="Arial" w:cs="Arial"/>
          <w:b/>
        </w:rPr>
      </w:pPr>
      <w:r w:rsidRPr="00AA1D26">
        <w:rPr>
          <w:rFonts w:ascii="Arial" w:hAnsi="Arial" w:cs="Arial"/>
        </w:rPr>
        <w:t>SBR</w:t>
      </w:r>
      <w:r w:rsidRPr="00AA1D26">
        <w:rPr>
          <w:rFonts w:ascii="Arial" w:hAnsi="Arial" w:cs="Arial"/>
        </w:rPr>
        <w:tab/>
      </w:r>
      <w:r w:rsidRPr="00AA1D26">
        <w:rPr>
          <w:rFonts w:ascii="Arial" w:hAnsi="Arial" w:cs="Arial"/>
        </w:rPr>
        <w:tab/>
        <w:t>Supervisión Basada en Riesgos</w:t>
      </w:r>
    </w:p>
    <w:p w14:paraId="08E332AA" w14:textId="77777777" w:rsidR="00547B19" w:rsidRPr="00AA1D26" w:rsidRDefault="00547B19" w:rsidP="00547B19">
      <w:pPr>
        <w:rPr>
          <w:rFonts w:ascii="Arial" w:hAnsi="Arial" w:cs="Arial"/>
          <w:b/>
        </w:rPr>
      </w:pPr>
      <w:r w:rsidRPr="00AA1D26">
        <w:rPr>
          <w:rFonts w:ascii="Arial" w:hAnsi="Arial" w:cs="Arial"/>
        </w:rPr>
        <w:t>SNP</w:t>
      </w:r>
      <w:r w:rsidRPr="00AA1D26">
        <w:rPr>
          <w:rFonts w:ascii="Arial" w:hAnsi="Arial" w:cs="Arial"/>
        </w:rPr>
        <w:tab/>
      </w:r>
      <w:r w:rsidRPr="00AA1D26">
        <w:rPr>
          <w:rFonts w:ascii="Arial" w:hAnsi="Arial" w:cs="Arial"/>
        </w:rPr>
        <w:tab/>
        <w:t>Sistema Nacional de Pensiones</w:t>
      </w:r>
    </w:p>
    <w:p w14:paraId="0F1B6BD8" w14:textId="77777777" w:rsidR="00547B19" w:rsidRPr="00AA1D26" w:rsidRDefault="00547B19" w:rsidP="00547B19">
      <w:pPr>
        <w:rPr>
          <w:rFonts w:ascii="Arial" w:hAnsi="Arial" w:cs="Arial"/>
          <w:lang w:val="es-CR"/>
        </w:rPr>
      </w:pPr>
      <w:r w:rsidRPr="007D66B7">
        <w:rPr>
          <w:rFonts w:ascii="Arial" w:hAnsi="Arial" w:cs="Arial"/>
        </w:rPr>
        <w:t>SUPEN</w:t>
      </w:r>
      <w:r w:rsidRPr="007D66B7">
        <w:rPr>
          <w:rFonts w:ascii="Arial" w:hAnsi="Arial" w:cs="Arial"/>
        </w:rPr>
        <w:tab/>
      </w:r>
      <w:r w:rsidRPr="00AA1D26">
        <w:rPr>
          <w:rFonts w:ascii="Arial" w:hAnsi="Arial" w:cs="Arial"/>
          <w:lang w:val="es-CR"/>
        </w:rPr>
        <w:t>Superintendencia de Pensiones</w:t>
      </w:r>
    </w:p>
    <w:p w14:paraId="2A04E6E8" w14:textId="77777777" w:rsidR="00547B19" w:rsidRPr="007D66B7" w:rsidRDefault="00547B19" w:rsidP="00547B19">
      <w:pPr>
        <w:rPr>
          <w:rFonts w:ascii="Arial" w:hAnsi="Arial" w:cs="Arial"/>
        </w:rPr>
      </w:pPr>
    </w:p>
    <w:p w14:paraId="3F4AF788" w14:textId="77777777" w:rsidR="00547B19" w:rsidRPr="00AA1D26" w:rsidRDefault="00547B19" w:rsidP="00547B19">
      <w:pPr>
        <w:rPr>
          <w:rFonts w:ascii="Arial" w:hAnsi="Arial" w:cs="Arial"/>
        </w:rPr>
      </w:pPr>
    </w:p>
    <w:p w14:paraId="0CBE22A3" w14:textId="77777777" w:rsidR="0091660D" w:rsidRPr="00AA1D26" w:rsidRDefault="0091660D">
      <w:pPr>
        <w:rPr>
          <w:rFonts w:ascii="Arial" w:hAnsi="Arial" w:cs="Arial"/>
          <w:b/>
          <w:sz w:val="20"/>
          <w:szCs w:val="20"/>
        </w:rPr>
      </w:pPr>
    </w:p>
    <w:p w14:paraId="46851136" w14:textId="07815A71" w:rsidR="00A964FD" w:rsidRPr="00AA1D26" w:rsidRDefault="00A964FD">
      <w:pPr>
        <w:rPr>
          <w:rFonts w:ascii="Arial" w:hAnsi="Arial" w:cs="Arial"/>
          <w:b/>
          <w:sz w:val="20"/>
          <w:szCs w:val="20"/>
        </w:rPr>
      </w:pPr>
    </w:p>
    <w:p w14:paraId="08775E7F" w14:textId="77777777" w:rsidR="00A964FD" w:rsidRDefault="00A964FD">
      <w:pPr>
        <w:rPr>
          <w:rFonts w:ascii="Century Gothic" w:hAnsi="Century Gothic"/>
          <w:b/>
          <w:sz w:val="20"/>
          <w:szCs w:val="20"/>
        </w:rPr>
      </w:pPr>
      <w:r>
        <w:rPr>
          <w:rFonts w:ascii="Century Gothic" w:hAnsi="Century Gothic"/>
          <w:b/>
          <w:sz w:val="20"/>
          <w:szCs w:val="20"/>
        </w:rPr>
        <w:br w:type="page"/>
      </w:r>
    </w:p>
    <w:p w14:paraId="2ECC7CBC" w14:textId="415FA39A" w:rsidR="00A964FD" w:rsidRDefault="00A964FD">
      <w:pPr>
        <w:rPr>
          <w:rFonts w:ascii="Century Gothic" w:hAnsi="Century Gothic"/>
          <w:b/>
          <w:sz w:val="20"/>
          <w:szCs w:val="20"/>
        </w:rPr>
      </w:pPr>
    </w:p>
    <w:p w14:paraId="6EB4DD7B" w14:textId="7F36A5E4" w:rsidR="00563B93" w:rsidRPr="002830C4" w:rsidRDefault="001C3E10" w:rsidP="00563B93">
      <w:pPr>
        <w:pStyle w:val="NormalWeb"/>
        <w:tabs>
          <w:tab w:val="left" w:pos="567"/>
        </w:tabs>
        <w:outlineLvl w:val="0"/>
        <w:rPr>
          <w:rFonts w:asciiTheme="majorHAnsi" w:hAnsiTheme="majorHAnsi" w:cs="Tahoma"/>
          <w:b/>
          <w:bCs/>
          <w:smallCaps/>
          <w:sz w:val="28"/>
        </w:rPr>
      </w:pPr>
      <w:bookmarkStart w:id="152" w:name="_Toc429563241"/>
      <w:r w:rsidRPr="002830C4">
        <w:rPr>
          <w:noProof/>
        </w:rPr>
        <w:drawing>
          <wp:anchor distT="0" distB="0" distL="114300" distR="114300" simplePos="0" relativeHeight="251723776" behindDoc="1" locked="0" layoutInCell="1" allowOverlap="1" wp14:anchorId="56E4103E" wp14:editId="5BF910DD">
            <wp:simplePos x="0" y="0"/>
            <wp:positionH relativeFrom="column">
              <wp:posOffset>-203835</wp:posOffset>
            </wp:positionH>
            <wp:positionV relativeFrom="paragraph">
              <wp:posOffset>461011</wp:posOffset>
            </wp:positionV>
            <wp:extent cx="5607050" cy="7252974"/>
            <wp:effectExtent l="0" t="0" r="0" b="5080"/>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rabajos\Identidad BCCR\portadaDocumentos-2011.jp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607050" cy="7252974"/>
                    </a:xfrm>
                    <a:prstGeom prst="rect">
                      <a:avLst/>
                    </a:prstGeom>
                    <a:noFill/>
                    <a:ln>
                      <a:noFill/>
                    </a:ln>
                  </pic:spPr>
                </pic:pic>
              </a:graphicData>
            </a:graphic>
            <wp14:sizeRelH relativeFrom="page">
              <wp14:pctWidth>0</wp14:pctWidth>
            </wp14:sizeRelH>
            <wp14:sizeRelV relativeFrom="page">
              <wp14:pctHeight>0</wp14:pctHeight>
            </wp14:sizeRelV>
          </wp:anchor>
        </w:drawing>
      </w:r>
      <w:r w:rsidR="00563B93" w:rsidRPr="002830C4">
        <w:rPr>
          <w:rFonts w:asciiTheme="majorHAnsi" w:hAnsiTheme="majorHAnsi" w:cs="Tahoma"/>
          <w:b/>
          <w:bCs/>
          <w:smallCaps/>
          <w:sz w:val="28"/>
        </w:rPr>
        <w:t xml:space="preserve">6. </w:t>
      </w:r>
      <w:r w:rsidR="00563B93" w:rsidRPr="002830C4">
        <w:rPr>
          <w:rFonts w:asciiTheme="majorHAnsi" w:hAnsiTheme="majorHAnsi" w:cs="Tahoma"/>
          <w:b/>
          <w:bCs/>
          <w:smallCaps/>
          <w:sz w:val="28"/>
        </w:rPr>
        <w:tab/>
        <w:t>Plan Estratégico Informático</w:t>
      </w:r>
      <w:bookmarkEnd w:id="152"/>
    </w:p>
    <w:p w14:paraId="7684CB7D" w14:textId="31BEC920" w:rsidR="001C3E10" w:rsidRDefault="001C3E10" w:rsidP="001C3E10">
      <w:pPr>
        <w:pStyle w:val="TtuloInicial"/>
        <w:ind w:left="2124" w:hanging="2124"/>
      </w:pPr>
      <w:r>
        <w:rPr>
          <w:noProof/>
          <w:lang w:val="es-ES" w:eastAsia="es-ES"/>
        </w:rPr>
        <mc:AlternateContent>
          <mc:Choice Requires="wps">
            <w:drawing>
              <wp:anchor distT="0" distB="0" distL="114300" distR="114300" simplePos="0" relativeHeight="251724800" behindDoc="0" locked="0" layoutInCell="1" allowOverlap="1" wp14:anchorId="27A54F3E" wp14:editId="1EC952BF">
                <wp:simplePos x="0" y="0"/>
                <wp:positionH relativeFrom="column">
                  <wp:posOffset>-102235</wp:posOffset>
                </wp:positionH>
                <wp:positionV relativeFrom="paragraph">
                  <wp:posOffset>3084830</wp:posOffset>
                </wp:positionV>
                <wp:extent cx="5267960" cy="1625600"/>
                <wp:effectExtent l="0" t="0" r="0" b="0"/>
                <wp:wrapNone/>
                <wp:docPr id="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6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BAE92" w14:textId="77777777" w:rsidR="00722C76" w:rsidRPr="00D1226D" w:rsidRDefault="00722C76" w:rsidP="001C3E10">
                            <w:pPr>
                              <w:pStyle w:val="TtuloInicial"/>
                              <w:rPr>
                                <w:b/>
                              </w:rPr>
                            </w:pPr>
                            <w:r w:rsidRPr="00D1226D">
                              <w:rPr>
                                <w:b/>
                              </w:rPr>
                              <w:t>Estrat</w:t>
                            </w:r>
                            <w:r>
                              <w:rPr>
                                <w:b/>
                              </w:rPr>
                              <w:t>egia de Tecnología de la Información</w:t>
                            </w:r>
                          </w:p>
                          <w:p w14:paraId="7CE4E7E2" w14:textId="77777777" w:rsidR="00722C76" w:rsidRPr="001C3E10" w:rsidRDefault="00722C76" w:rsidP="001C3E10">
                            <w:pPr>
                              <w:pStyle w:val="Subttulo"/>
                              <w:rPr>
                                <w:lang w:val="es-CR"/>
                              </w:rPr>
                            </w:pPr>
                            <w:r w:rsidRPr="001C3E10">
                              <w:rPr>
                                <w:lang w:val="es-CR"/>
                              </w:rPr>
                              <w:t>División de Servicios Tecnológicos</w:t>
                            </w:r>
                          </w:p>
                          <w:p w14:paraId="74A0C8ED" w14:textId="77777777" w:rsidR="00722C76" w:rsidRPr="001C3E10" w:rsidRDefault="00722C76" w:rsidP="001C3E10">
                            <w:pPr>
                              <w:rPr>
                                <w:rFonts w:asciiTheme="majorHAnsi" w:hAnsiTheme="majorHAnsi"/>
                                <w:sz w:val="28"/>
                                <w:szCs w:val="28"/>
                                <w:lang w:val="es-CR"/>
                              </w:rPr>
                            </w:pPr>
                          </w:p>
                          <w:p w14:paraId="574927CE" w14:textId="77777777" w:rsidR="00722C76" w:rsidRPr="001C3E10" w:rsidRDefault="00722C76" w:rsidP="001C3E10">
                            <w:pPr>
                              <w:rPr>
                                <w:rFonts w:asciiTheme="majorHAnsi" w:hAnsiTheme="majorHAnsi"/>
                                <w:sz w:val="28"/>
                                <w:szCs w:val="28"/>
                                <w:lang w:val="es-CR"/>
                              </w:rPr>
                            </w:pPr>
                          </w:p>
                          <w:p w14:paraId="2C88DF7B" w14:textId="77777777" w:rsidR="00722C76" w:rsidRDefault="00722C76" w:rsidP="001C3E10">
                            <w:pPr>
                              <w:rPr>
                                <w:rFonts w:asciiTheme="majorHAnsi" w:hAnsiTheme="majorHAnsi"/>
                                <w:sz w:val="28"/>
                                <w:szCs w:val="28"/>
                                <w:lang w:val="en-US"/>
                              </w:rPr>
                            </w:pPr>
                          </w:p>
                          <w:p w14:paraId="19F23CC4" w14:textId="77777777" w:rsidR="00722C76" w:rsidRDefault="00722C76" w:rsidP="001C3E10">
                            <w:pPr>
                              <w:rPr>
                                <w:rFonts w:asciiTheme="majorHAnsi" w:hAnsiTheme="majorHAnsi"/>
                                <w:sz w:val="28"/>
                                <w:szCs w:val="28"/>
                                <w:lang w:val="en-US"/>
                              </w:rPr>
                            </w:pPr>
                          </w:p>
                          <w:p w14:paraId="7D11DED3" w14:textId="77777777" w:rsidR="00722C76" w:rsidRDefault="00722C76" w:rsidP="001C3E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4F3E" id="Text Box 5" o:spid="_x0000_s1030" type="#_x0000_t202" style="position:absolute;left:0;text-align:left;margin-left:-8.05pt;margin-top:242.9pt;width:414.8pt;height:12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BQug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" filled="f" stroked="f">
                <v:textbox>
                  <w:txbxContent>
                    <w:p w14:paraId="2D7BAE92" w14:textId="77777777" w:rsidR="00722C76" w:rsidRPr="00D1226D" w:rsidRDefault="00722C76" w:rsidP="001C3E10">
                      <w:pPr>
                        <w:pStyle w:val="TtuloInicial"/>
                        <w:rPr>
                          <w:b/>
                        </w:rPr>
                      </w:pPr>
                      <w:r w:rsidRPr="00D1226D">
                        <w:rPr>
                          <w:b/>
                        </w:rPr>
                        <w:t>Estrat</w:t>
                      </w:r>
                      <w:r>
                        <w:rPr>
                          <w:b/>
                        </w:rPr>
                        <w:t>egia de Tecnología de la Información</w:t>
                      </w:r>
                    </w:p>
                    <w:p w14:paraId="7CE4E7E2" w14:textId="77777777" w:rsidR="00722C76" w:rsidRPr="001C3E10" w:rsidRDefault="00722C76" w:rsidP="001C3E10">
                      <w:pPr>
                        <w:pStyle w:val="Subttulo"/>
                        <w:rPr>
                          <w:lang w:val="es-CR"/>
                        </w:rPr>
                      </w:pPr>
                      <w:r w:rsidRPr="001C3E10">
                        <w:rPr>
                          <w:lang w:val="es-CR"/>
                        </w:rPr>
                        <w:t>División de Servicios Tecnológicos</w:t>
                      </w:r>
                    </w:p>
                    <w:p w14:paraId="74A0C8ED" w14:textId="77777777" w:rsidR="00722C76" w:rsidRPr="001C3E10" w:rsidRDefault="00722C76" w:rsidP="001C3E10">
                      <w:pPr>
                        <w:rPr>
                          <w:rFonts w:asciiTheme="majorHAnsi" w:hAnsiTheme="majorHAnsi"/>
                          <w:sz w:val="28"/>
                          <w:szCs w:val="28"/>
                          <w:lang w:val="es-CR"/>
                        </w:rPr>
                      </w:pPr>
                    </w:p>
                    <w:p w14:paraId="574927CE" w14:textId="77777777" w:rsidR="00722C76" w:rsidRPr="001C3E10" w:rsidRDefault="00722C76" w:rsidP="001C3E10">
                      <w:pPr>
                        <w:rPr>
                          <w:rFonts w:asciiTheme="majorHAnsi" w:hAnsiTheme="majorHAnsi"/>
                          <w:sz w:val="28"/>
                          <w:szCs w:val="28"/>
                          <w:lang w:val="es-CR"/>
                        </w:rPr>
                      </w:pPr>
                    </w:p>
                    <w:p w14:paraId="2C88DF7B" w14:textId="77777777" w:rsidR="00722C76" w:rsidRDefault="00722C76" w:rsidP="001C3E10">
                      <w:pPr>
                        <w:rPr>
                          <w:rFonts w:asciiTheme="majorHAnsi" w:hAnsiTheme="majorHAnsi"/>
                          <w:sz w:val="28"/>
                          <w:szCs w:val="28"/>
                          <w:lang w:val="en-US"/>
                        </w:rPr>
                      </w:pPr>
                    </w:p>
                    <w:p w14:paraId="19F23CC4" w14:textId="77777777" w:rsidR="00722C76" w:rsidRDefault="00722C76" w:rsidP="001C3E10">
                      <w:pPr>
                        <w:rPr>
                          <w:rFonts w:asciiTheme="majorHAnsi" w:hAnsiTheme="majorHAnsi"/>
                          <w:sz w:val="28"/>
                          <w:szCs w:val="28"/>
                          <w:lang w:val="en-US"/>
                        </w:rPr>
                      </w:pPr>
                    </w:p>
                    <w:p w14:paraId="7D11DED3" w14:textId="77777777" w:rsidR="00722C76" w:rsidRDefault="00722C76" w:rsidP="001C3E10"/>
                  </w:txbxContent>
                </v:textbox>
              </v:shape>
            </w:pict>
          </mc:Fallback>
        </mc:AlternateContent>
      </w:r>
      <w:r>
        <w:rPr>
          <w:noProof/>
          <w:lang w:val="es-ES" w:eastAsia="es-ES"/>
        </w:rPr>
        <mc:AlternateContent>
          <mc:Choice Requires="wps">
            <w:drawing>
              <wp:anchor distT="0" distB="0" distL="114300" distR="114300" simplePos="0" relativeHeight="251725824" behindDoc="0" locked="0" layoutInCell="1" allowOverlap="1" wp14:anchorId="46CE2965" wp14:editId="6E16D52A">
                <wp:simplePos x="0" y="0"/>
                <wp:positionH relativeFrom="column">
                  <wp:posOffset>-266436</wp:posOffset>
                </wp:positionH>
                <wp:positionV relativeFrom="paragraph">
                  <wp:posOffset>8223250</wp:posOffset>
                </wp:positionV>
                <wp:extent cx="2717165" cy="456565"/>
                <wp:effectExtent l="0" t="0" r="0" b="635"/>
                <wp:wrapNone/>
                <wp:docPr id="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456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AD46" w14:textId="77777777" w:rsidR="00722C76" w:rsidRPr="00C42BCB" w:rsidRDefault="00722C76" w:rsidP="001C3E10">
                            <w:pPr>
                              <w:pStyle w:val="Fecha"/>
                              <w:rPr>
                                <w:lang w:val="en-US"/>
                              </w:rPr>
                            </w:pPr>
                            <w:r>
                              <w:rPr>
                                <w:lang w:val="en-US"/>
                              </w:rPr>
                              <w:t>Marzo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E2965" id="_x0000_s1031" type="#_x0000_t202" style="position:absolute;left:0;text-align:left;margin-left:-21pt;margin-top:647.5pt;width:213.95pt;height:35.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" filled="f" stroked="f">
                <v:textbox>
                  <w:txbxContent>
                    <w:p w14:paraId="20A1AD46" w14:textId="77777777" w:rsidR="00722C76" w:rsidRPr="00C42BCB" w:rsidRDefault="00722C76" w:rsidP="001C3E10">
                      <w:pPr>
                        <w:pStyle w:val="Fecha"/>
                        <w:rPr>
                          <w:lang w:val="en-US"/>
                        </w:rPr>
                      </w:pPr>
                      <w:r>
                        <w:rPr>
                          <w:lang w:val="en-US"/>
                        </w:rPr>
                        <w:t>Marzo 2015.</w:t>
                      </w:r>
                    </w:p>
                  </w:txbxContent>
                </v:textbox>
              </v:shape>
            </w:pict>
          </mc:Fallback>
        </mc:AlternateContent>
      </w:r>
      <w:r>
        <w:br w:type="page"/>
      </w:r>
    </w:p>
    <w:sdt>
      <w:sdtPr>
        <w:rPr>
          <w:rFonts w:asciiTheme="minorHAnsi" w:eastAsiaTheme="minorHAnsi" w:hAnsiTheme="minorHAnsi" w:cstheme="minorBidi"/>
          <w:b w:val="0"/>
          <w:bCs w:val="0"/>
          <w:color w:val="auto"/>
          <w:sz w:val="22"/>
          <w:szCs w:val="22"/>
          <w:lang w:eastAsia="en-US"/>
        </w:rPr>
        <w:id w:val="1701907048"/>
        <w:docPartObj>
          <w:docPartGallery w:val="Table of Contents"/>
          <w:docPartUnique/>
        </w:docPartObj>
      </w:sdtPr>
      <w:sdtEndPr>
        <w:rPr>
          <w:rFonts w:ascii="Times New Roman" w:eastAsia="Times New Roman" w:hAnsi="Times New Roman" w:cs="Times New Roman"/>
          <w:sz w:val="24"/>
          <w:szCs w:val="24"/>
          <w:lang w:eastAsia="es-ES"/>
        </w:rPr>
      </w:sdtEndPr>
      <w:sdtContent>
        <w:p w14:paraId="5F7F69FA" w14:textId="77777777" w:rsidR="001C3E10" w:rsidRDefault="001C3E10" w:rsidP="001C3E10">
          <w:pPr>
            <w:pStyle w:val="TtulodeTDC"/>
          </w:pPr>
          <w:r>
            <w:t>Tabla de contenido</w:t>
          </w:r>
        </w:p>
        <w:p w14:paraId="3611877E" w14:textId="77777777" w:rsidR="001C3E10" w:rsidRDefault="001C3E10" w:rsidP="0043587E">
          <w:pPr>
            <w:pStyle w:val="TDC1"/>
            <w:rPr>
              <w:lang w:eastAsia="es-CR"/>
            </w:rPr>
          </w:pPr>
          <w:r>
            <w:fldChar w:fldCharType="begin"/>
          </w:r>
          <w:r>
            <w:instrText xml:space="preserve"> TOC \o "1-2" \h \z \u </w:instrText>
          </w:r>
          <w:r>
            <w:fldChar w:fldCharType="separate"/>
          </w:r>
          <w:hyperlink w:anchor="_Toc414532006" w:history="1">
            <w:r w:rsidRPr="00337DCF">
              <w:rPr>
                <w:rStyle w:val="Hipervnculo"/>
              </w:rPr>
              <w:t>1.</w:t>
            </w:r>
            <w:r>
              <w:rPr>
                <w:lang w:eastAsia="es-CR"/>
              </w:rPr>
              <w:tab/>
            </w:r>
            <w:r w:rsidRPr="00337DCF">
              <w:rPr>
                <w:rStyle w:val="Hipervnculo"/>
              </w:rPr>
              <w:t>Resumen ejecutivo</w:t>
            </w:r>
            <w:r>
              <w:rPr>
                <w:webHidden/>
              </w:rPr>
              <w:tab/>
            </w:r>
            <w:r>
              <w:rPr>
                <w:webHidden/>
              </w:rPr>
              <w:fldChar w:fldCharType="begin"/>
            </w:r>
            <w:r>
              <w:rPr>
                <w:webHidden/>
              </w:rPr>
              <w:instrText xml:space="preserve"> PAGEREF _Toc414532006 \h </w:instrText>
            </w:r>
            <w:r>
              <w:rPr>
                <w:webHidden/>
              </w:rPr>
            </w:r>
            <w:r>
              <w:rPr>
                <w:webHidden/>
              </w:rPr>
              <w:fldChar w:fldCharType="separate"/>
            </w:r>
            <w:r w:rsidR="00A17DFE">
              <w:rPr>
                <w:webHidden/>
              </w:rPr>
              <w:t>98</w:t>
            </w:r>
            <w:r>
              <w:rPr>
                <w:webHidden/>
              </w:rPr>
              <w:fldChar w:fldCharType="end"/>
            </w:r>
          </w:hyperlink>
        </w:p>
        <w:p w14:paraId="5987C749" w14:textId="77777777" w:rsidR="001C3E10" w:rsidRDefault="00722C76" w:rsidP="0043587E">
          <w:pPr>
            <w:pStyle w:val="TDC1"/>
            <w:rPr>
              <w:lang w:eastAsia="es-CR"/>
            </w:rPr>
          </w:pPr>
          <w:hyperlink w:anchor="_Toc414532007" w:history="1">
            <w:r w:rsidR="001C3E10" w:rsidRPr="00337DCF">
              <w:rPr>
                <w:rStyle w:val="Hipervnculo"/>
              </w:rPr>
              <w:t>2.</w:t>
            </w:r>
            <w:r w:rsidR="001C3E10">
              <w:rPr>
                <w:lang w:eastAsia="es-CR"/>
              </w:rPr>
              <w:tab/>
            </w:r>
            <w:r w:rsidR="001C3E10" w:rsidRPr="00337DCF">
              <w:rPr>
                <w:rStyle w:val="Hipervnculo"/>
              </w:rPr>
              <w:t>Introducción</w:t>
            </w:r>
            <w:r w:rsidR="001C3E10">
              <w:rPr>
                <w:webHidden/>
              </w:rPr>
              <w:tab/>
            </w:r>
            <w:r w:rsidR="001C3E10">
              <w:rPr>
                <w:webHidden/>
              </w:rPr>
              <w:fldChar w:fldCharType="begin"/>
            </w:r>
            <w:r w:rsidR="001C3E10">
              <w:rPr>
                <w:webHidden/>
              </w:rPr>
              <w:instrText xml:space="preserve"> PAGEREF _Toc414532007 \h </w:instrText>
            </w:r>
            <w:r w:rsidR="001C3E10">
              <w:rPr>
                <w:webHidden/>
              </w:rPr>
            </w:r>
            <w:r w:rsidR="001C3E10">
              <w:rPr>
                <w:webHidden/>
              </w:rPr>
              <w:fldChar w:fldCharType="separate"/>
            </w:r>
            <w:r w:rsidR="00A17DFE">
              <w:rPr>
                <w:webHidden/>
              </w:rPr>
              <w:t>99</w:t>
            </w:r>
            <w:r w:rsidR="001C3E10">
              <w:rPr>
                <w:webHidden/>
              </w:rPr>
              <w:fldChar w:fldCharType="end"/>
            </w:r>
          </w:hyperlink>
        </w:p>
        <w:p w14:paraId="48F5258B" w14:textId="77777777" w:rsidR="001C3E10" w:rsidRDefault="00722C76" w:rsidP="0043587E">
          <w:pPr>
            <w:pStyle w:val="TDC1"/>
            <w:rPr>
              <w:lang w:eastAsia="es-CR"/>
            </w:rPr>
          </w:pPr>
          <w:hyperlink w:anchor="_Toc414532008" w:history="1">
            <w:r w:rsidR="001C3E10" w:rsidRPr="00337DCF">
              <w:rPr>
                <w:rStyle w:val="Hipervnculo"/>
              </w:rPr>
              <w:t>3.</w:t>
            </w:r>
            <w:r w:rsidR="001C3E10">
              <w:rPr>
                <w:lang w:eastAsia="es-CR"/>
              </w:rPr>
              <w:tab/>
            </w:r>
            <w:r w:rsidR="001C3E10" w:rsidRPr="00337DCF">
              <w:rPr>
                <w:rStyle w:val="Hipervnculo"/>
              </w:rPr>
              <w:t>Demanda</w:t>
            </w:r>
            <w:r w:rsidR="001C3E10">
              <w:rPr>
                <w:webHidden/>
              </w:rPr>
              <w:tab/>
            </w:r>
            <w:r w:rsidR="001C3E10">
              <w:rPr>
                <w:webHidden/>
              </w:rPr>
              <w:fldChar w:fldCharType="begin"/>
            </w:r>
            <w:r w:rsidR="001C3E10">
              <w:rPr>
                <w:webHidden/>
              </w:rPr>
              <w:instrText xml:space="preserve"> PAGEREF _Toc414532008 \h </w:instrText>
            </w:r>
            <w:r w:rsidR="001C3E10">
              <w:rPr>
                <w:webHidden/>
              </w:rPr>
            </w:r>
            <w:r w:rsidR="001C3E10">
              <w:rPr>
                <w:webHidden/>
              </w:rPr>
              <w:fldChar w:fldCharType="separate"/>
            </w:r>
            <w:r w:rsidR="00A17DFE">
              <w:rPr>
                <w:webHidden/>
              </w:rPr>
              <w:t>100</w:t>
            </w:r>
            <w:r w:rsidR="001C3E10">
              <w:rPr>
                <w:webHidden/>
              </w:rPr>
              <w:fldChar w:fldCharType="end"/>
            </w:r>
          </w:hyperlink>
        </w:p>
        <w:p w14:paraId="7FAE2028" w14:textId="77777777" w:rsidR="001C3E10" w:rsidRDefault="00722C76" w:rsidP="003A637D">
          <w:pPr>
            <w:pStyle w:val="TDC2"/>
            <w:rPr>
              <w:rFonts w:eastAsiaTheme="minorEastAsia"/>
              <w:lang w:eastAsia="es-CR"/>
            </w:rPr>
          </w:pPr>
          <w:hyperlink w:anchor="_Toc414532009" w:history="1">
            <w:r w:rsidR="001C3E10" w:rsidRPr="00337DCF">
              <w:rPr>
                <w:rStyle w:val="Hipervnculo"/>
                <w14:scene3d>
                  <w14:camera w14:prst="orthographicFront"/>
                  <w14:lightRig w14:rig="threePt" w14:dir="t">
                    <w14:rot w14:lat="0" w14:lon="0" w14:rev="0"/>
                  </w14:lightRig>
                </w14:scene3d>
              </w:rPr>
              <w:t>3.1</w:t>
            </w:r>
            <w:r w:rsidR="001C3E10">
              <w:rPr>
                <w:rFonts w:eastAsiaTheme="minorEastAsia"/>
                <w:lang w:eastAsia="es-CR"/>
              </w:rPr>
              <w:tab/>
            </w:r>
            <w:r w:rsidR="001C3E10" w:rsidRPr="00337DCF">
              <w:rPr>
                <w:rStyle w:val="Hipervnculo"/>
              </w:rPr>
              <w:t>Contexto de la organización</w:t>
            </w:r>
            <w:r w:rsidR="001C3E10">
              <w:rPr>
                <w:webHidden/>
              </w:rPr>
              <w:tab/>
            </w:r>
            <w:r w:rsidR="001C3E10">
              <w:rPr>
                <w:webHidden/>
              </w:rPr>
              <w:fldChar w:fldCharType="begin"/>
            </w:r>
            <w:r w:rsidR="001C3E10">
              <w:rPr>
                <w:webHidden/>
              </w:rPr>
              <w:instrText xml:space="preserve"> PAGEREF _Toc414532009 \h </w:instrText>
            </w:r>
            <w:r w:rsidR="001C3E10">
              <w:rPr>
                <w:webHidden/>
              </w:rPr>
            </w:r>
            <w:r w:rsidR="001C3E10">
              <w:rPr>
                <w:webHidden/>
              </w:rPr>
              <w:fldChar w:fldCharType="separate"/>
            </w:r>
            <w:r w:rsidR="00A17DFE">
              <w:rPr>
                <w:webHidden/>
              </w:rPr>
              <w:t>100</w:t>
            </w:r>
            <w:r w:rsidR="001C3E10">
              <w:rPr>
                <w:webHidden/>
              </w:rPr>
              <w:fldChar w:fldCharType="end"/>
            </w:r>
          </w:hyperlink>
        </w:p>
        <w:p w14:paraId="5614967E" w14:textId="77777777" w:rsidR="001C3E10" w:rsidRDefault="00722C76" w:rsidP="003A637D">
          <w:pPr>
            <w:pStyle w:val="TDC2"/>
            <w:rPr>
              <w:rFonts w:eastAsiaTheme="minorEastAsia"/>
              <w:lang w:eastAsia="es-CR"/>
            </w:rPr>
          </w:pPr>
          <w:hyperlink w:anchor="_Toc414532010" w:history="1">
            <w:r w:rsidR="001C3E10" w:rsidRPr="00337DCF">
              <w:rPr>
                <w:rStyle w:val="Hipervnculo"/>
                <w14:scene3d>
                  <w14:camera w14:prst="orthographicFront"/>
                  <w14:lightRig w14:rig="threePt" w14:dir="t">
                    <w14:rot w14:lat="0" w14:lon="0" w14:rev="0"/>
                  </w14:lightRig>
                </w14:scene3d>
              </w:rPr>
              <w:t>3.2</w:t>
            </w:r>
            <w:r w:rsidR="001C3E10">
              <w:rPr>
                <w:rFonts w:eastAsiaTheme="minorEastAsia"/>
                <w:lang w:eastAsia="es-CR"/>
              </w:rPr>
              <w:tab/>
            </w:r>
            <w:r w:rsidR="001C3E10" w:rsidRPr="00337DCF">
              <w:rPr>
                <w:rStyle w:val="Hipervnculo"/>
              </w:rPr>
              <w:t>Criterios de éxito de la organización</w:t>
            </w:r>
            <w:r w:rsidR="001C3E10">
              <w:rPr>
                <w:webHidden/>
              </w:rPr>
              <w:tab/>
            </w:r>
            <w:r w:rsidR="001C3E10">
              <w:rPr>
                <w:webHidden/>
              </w:rPr>
              <w:fldChar w:fldCharType="begin"/>
            </w:r>
            <w:r w:rsidR="001C3E10">
              <w:rPr>
                <w:webHidden/>
              </w:rPr>
              <w:instrText xml:space="preserve"> PAGEREF _Toc414532010 \h </w:instrText>
            </w:r>
            <w:r w:rsidR="001C3E10">
              <w:rPr>
                <w:webHidden/>
              </w:rPr>
            </w:r>
            <w:r w:rsidR="001C3E10">
              <w:rPr>
                <w:webHidden/>
              </w:rPr>
              <w:fldChar w:fldCharType="separate"/>
            </w:r>
            <w:r w:rsidR="00A17DFE">
              <w:rPr>
                <w:webHidden/>
              </w:rPr>
              <w:t>101</w:t>
            </w:r>
            <w:r w:rsidR="001C3E10">
              <w:rPr>
                <w:webHidden/>
              </w:rPr>
              <w:fldChar w:fldCharType="end"/>
            </w:r>
          </w:hyperlink>
        </w:p>
        <w:p w14:paraId="6EDE3244" w14:textId="77777777" w:rsidR="001C3E10" w:rsidRDefault="00722C76" w:rsidP="003A637D">
          <w:pPr>
            <w:pStyle w:val="TDC2"/>
            <w:rPr>
              <w:rFonts w:eastAsiaTheme="minorEastAsia"/>
              <w:lang w:eastAsia="es-CR"/>
            </w:rPr>
          </w:pPr>
          <w:hyperlink w:anchor="_Toc414532011" w:history="1">
            <w:r w:rsidR="001C3E10" w:rsidRPr="00337DCF">
              <w:rPr>
                <w:rStyle w:val="Hipervnculo"/>
                <w14:scene3d>
                  <w14:camera w14:prst="orthographicFront"/>
                  <w14:lightRig w14:rig="threePt" w14:dir="t">
                    <w14:rot w14:lat="0" w14:lon="0" w14:rev="0"/>
                  </w14:lightRig>
                </w14:scene3d>
              </w:rPr>
              <w:t>3.3</w:t>
            </w:r>
            <w:r w:rsidR="001C3E10">
              <w:rPr>
                <w:rFonts w:eastAsiaTheme="minorEastAsia"/>
                <w:lang w:eastAsia="es-CR"/>
              </w:rPr>
              <w:tab/>
            </w:r>
            <w:r w:rsidR="001C3E10" w:rsidRPr="00337DCF">
              <w:rPr>
                <w:rStyle w:val="Hipervnculo"/>
              </w:rPr>
              <w:t>Capacidades de la organización</w:t>
            </w:r>
            <w:r w:rsidR="001C3E10">
              <w:rPr>
                <w:webHidden/>
              </w:rPr>
              <w:tab/>
            </w:r>
            <w:r w:rsidR="001C3E10">
              <w:rPr>
                <w:webHidden/>
              </w:rPr>
              <w:fldChar w:fldCharType="begin"/>
            </w:r>
            <w:r w:rsidR="001C3E10">
              <w:rPr>
                <w:webHidden/>
              </w:rPr>
              <w:instrText xml:space="preserve"> PAGEREF _Toc414532011 \h </w:instrText>
            </w:r>
            <w:r w:rsidR="001C3E10">
              <w:rPr>
                <w:webHidden/>
              </w:rPr>
            </w:r>
            <w:r w:rsidR="001C3E10">
              <w:rPr>
                <w:webHidden/>
              </w:rPr>
              <w:fldChar w:fldCharType="separate"/>
            </w:r>
            <w:r w:rsidR="00A17DFE">
              <w:rPr>
                <w:webHidden/>
              </w:rPr>
              <w:t>105</w:t>
            </w:r>
            <w:r w:rsidR="001C3E10">
              <w:rPr>
                <w:webHidden/>
              </w:rPr>
              <w:fldChar w:fldCharType="end"/>
            </w:r>
          </w:hyperlink>
        </w:p>
        <w:p w14:paraId="5D3B5A61" w14:textId="77777777" w:rsidR="001C3E10" w:rsidRDefault="00722C76" w:rsidP="003A637D">
          <w:pPr>
            <w:pStyle w:val="TDC2"/>
            <w:rPr>
              <w:rFonts w:eastAsiaTheme="minorEastAsia"/>
              <w:lang w:eastAsia="es-CR"/>
            </w:rPr>
          </w:pPr>
          <w:hyperlink w:anchor="_Toc414532012" w:history="1">
            <w:r w:rsidR="001C3E10" w:rsidRPr="00337DCF">
              <w:rPr>
                <w:rStyle w:val="Hipervnculo"/>
                <w14:scene3d>
                  <w14:camera w14:prst="orthographicFront"/>
                  <w14:lightRig w14:rig="threePt" w14:dir="t">
                    <w14:rot w14:lat="0" w14:lon="0" w14:rev="0"/>
                  </w14:lightRig>
                </w14:scene3d>
              </w:rPr>
              <w:t>3.4</w:t>
            </w:r>
            <w:r w:rsidR="001C3E10">
              <w:rPr>
                <w:rFonts w:eastAsiaTheme="minorEastAsia"/>
                <w:lang w:eastAsia="es-CR"/>
              </w:rPr>
              <w:tab/>
            </w:r>
            <w:r w:rsidR="001C3E10" w:rsidRPr="00337DCF">
              <w:rPr>
                <w:rStyle w:val="Hipervnculo"/>
              </w:rPr>
              <w:t>Contribución de TI</w:t>
            </w:r>
            <w:r w:rsidR="001C3E10">
              <w:rPr>
                <w:webHidden/>
              </w:rPr>
              <w:tab/>
            </w:r>
            <w:r w:rsidR="001C3E10">
              <w:rPr>
                <w:webHidden/>
              </w:rPr>
              <w:fldChar w:fldCharType="begin"/>
            </w:r>
            <w:r w:rsidR="001C3E10">
              <w:rPr>
                <w:webHidden/>
              </w:rPr>
              <w:instrText xml:space="preserve"> PAGEREF _Toc414532012 \h </w:instrText>
            </w:r>
            <w:r w:rsidR="001C3E10">
              <w:rPr>
                <w:webHidden/>
              </w:rPr>
            </w:r>
            <w:r w:rsidR="001C3E10">
              <w:rPr>
                <w:webHidden/>
              </w:rPr>
              <w:fldChar w:fldCharType="separate"/>
            </w:r>
            <w:r w:rsidR="00A17DFE">
              <w:rPr>
                <w:webHidden/>
              </w:rPr>
              <w:t>107</w:t>
            </w:r>
            <w:r w:rsidR="001C3E10">
              <w:rPr>
                <w:webHidden/>
              </w:rPr>
              <w:fldChar w:fldCharType="end"/>
            </w:r>
          </w:hyperlink>
        </w:p>
        <w:p w14:paraId="490728DC" w14:textId="77777777" w:rsidR="001C3E10" w:rsidRDefault="00722C76" w:rsidP="0043587E">
          <w:pPr>
            <w:pStyle w:val="TDC1"/>
            <w:rPr>
              <w:lang w:eastAsia="es-CR"/>
            </w:rPr>
          </w:pPr>
          <w:hyperlink w:anchor="_Toc414532013" w:history="1">
            <w:r w:rsidR="001C3E10" w:rsidRPr="00337DCF">
              <w:rPr>
                <w:rStyle w:val="Hipervnculo"/>
              </w:rPr>
              <w:t>4.</w:t>
            </w:r>
            <w:r w:rsidR="001C3E10">
              <w:rPr>
                <w:lang w:eastAsia="es-CR"/>
              </w:rPr>
              <w:tab/>
            </w:r>
            <w:r w:rsidR="001C3E10" w:rsidRPr="00337DCF">
              <w:rPr>
                <w:rStyle w:val="Hipervnculo"/>
              </w:rPr>
              <w:t>Control</w:t>
            </w:r>
            <w:r w:rsidR="001C3E10">
              <w:rPr>
                <w:webHidden/>
              </w:rPr>
              <w:tab/>
            </w:r>
            <w:r w:rsidR="001C3E10">
              <w:rPr>
                <w:webHidden/>
              </w:rPr>
              <w:fldChar w:fldCharType="begin"/>
            </w:r>
            <w:r w:rsidR="001C3E10">
              <w:rPr>
                <w:webHidden/>
              </w:rPr>
              <w:instrText xml:space="preserve"> PAGEREF _Toc414532013 \h </w:instrText>
            </w:r>
            <w:r w:rsidR="001C3E10">
              <w:rPr>
                <w:webHidden/>
              </w:rPr>
            </w:r>
            <w:r w:rsidR="001C3E10">
              <w:rPr>
                <w:webHidden/>
              </w:rPr>
              <w:fldChar w:fldCharType="separate"/>
            </w:r>
            <w:r w:rsidR="00A17DFE">
              <w:rPr>
                <w:webHidden/>
              </w:rPr>
              <w:t>110</w:t>
            </w:r>
            <w:r w:rsidR="001C3E10">
              <w:rPr>
                <w:webHidden/>
              </w:rPr>
              <w:fldChar w:fldCharType="end"/>
            </w:r>
          </w:hyperlink>
        </w:p>
        <w:p w14:paraId="32B74FCC" w14:textId="77777777" w:rsidR="001C3E10" w:rsidRDefault="00722C76" w:rsidP="003A637D">
          <w:pPr>
            <w:pStyle w:val="TDC2"/>
            <w:rPr>
              <w:rFonts w:eastAsiaTheme="minorEastAsia"/>
              <w:lang w:eastAsia="es-CR"/>
            </w:rPr>
          </w:pPr>
          <w:hyperlink w:anchor="_Toc414532014" w:history="1">
            <w:r w:rsidR="001C3E10" w:rsidRPr="00337DCF">
              <w:rPr>
                <w:rStyle w:val="Hipervnculo"/>
                <w14:scene3d>
                  <w14:camera w14:prst="orthographicFront"/>
                  <w14:lightRig w14:rig="threePt" w14:dir="t">
                    <w14:rot w14:lat="0" w14:lon="0" w14:rev="0"/>
                  </w14:lightRig>
                </w14:scene3d>
              </w:rPr>
              <w:t>4.1</w:t>
            </w:r>
            <w:r w:rsidR="001C3E10">
              <w:rPr>
                <w:rFonts w:eastAsiaTheme="minorEastAsia"/>
                <w:lang w:eastAsia="es-CR"/>
              </w:rPr>
              <w:tab/>
            </w:r>
            <w:r w:rsidR="001C3E10" w:rsidRPr="00337DCF">
              <w:rPr>
                <w:rStyle w:val="Hipervnculo"/>
              </w:rPr>
              <w:t>Principios de TI</w:t>
            </w:r>
            <w:r w:rsidR="001C3E10">
              <w:rPr>
                <w:webHidden/>
              </w:rPr>
              <w:tab/>
            </w:r>
            <w:r w:rsidR="001C3E10">
              <w:rPr>
                <w:webHidden/>
              </w:rPr>
              <w:fldChar w:fldCharType="begin"/>
            </w:r>
            <w:r w:rsidR="001C3E10">
              <w:rPr>
                <w:webHidden/>
              </w:rPr>
              <w:instrText xml:space="preserve"> PAGEREF _Toc414532014 \h </w:instrText>
            </w:r>
            <w:r w:rsidR="001C3E10">
              <w:rPr>
                <w:webHidden/>
              </w:rPr>
            </w:r>
            <w:r w:rsidR="001C3E10">
              <w:rPr>
                <w:webHidden/>
              </w:rPr>
              <w:fldChar w:fldCharType="separate"/>
            </w:r>
            <w:r w:rsidR="00A17DFE">
              <w:rPr>
                <w:webHidden/>
              </w:rPr>
              <w:t>110</w:t>
            </w:r>
            <w:r w:rsidR="001C3E10">
              <w:rPr>
                <w:webHidden/>
              </w:rPr>
              <w:fldChar w:fldCharType="end"/>
            </w:r>
          </w:hyperlink>
        </w:p>
        <w:p w14:paraId="3D7D10B6" w14:textId="77777777" w:rsidR="001C3E10" w:rsidRDefault="00722C76" w:rsidP="003A637D">
          <w:pPr>
            <w:pStyle w:val="TDC2"/>
            <w:rPr>
              <w:rFonts w:eastAsiaTheme="minorEastAsia"/>
              <w:lang w:eastAsia="es-CR"/>
            </w:rPr>
          </w:pPr>
          <w:hyperlink w:anchor="_Toc414532015" w:history="1">
            <w:r w:rsidR="001C3E10" w:rsidRPr="00337DCF">
              <w:rPr>
                <w:rStyle w:val="Hipervnculo"/>
                <w14:scene3d>
                  <w14:camera w14:prst="orthographicFront"/>
                  <w14:lightRig w14:rig="threePt" w14:dir="t">
                    <w14:rot w14:lat="0" w14:lon="0" w14:rev="0"/>
                  </w14:lightRig>
                </w14:scene3d>
              </w:rPr>
              <w:t>4.2</w:t>
            </w:r>
            <w:r w:rsidR="001C3E10">
              <w:rPr>
                <w:rFonts w:eastAsiaTheme="minorEastAsia"/>
                <w:lang w:eastAsia="es-CR"/>
              </w:rPr>
              <w:tab/>
            </w:r>
            <w:r w:rsidR="001C3E10" w:rsidRPr="00337DCF">
              <w:rPr>
                <w:rStyle w:val="Hipervnculo"/>
              </w:rPr>
              <w:t>Gobernanza de TI</w:t>
            </w:r>
            <w:r w:rsidR="001C3E10">
              <w:rPr>
                <w:webHidden/>
              </w:rPr>
              <w:tab/>
            </w:r>
            <w:r w:rsidR="001C3E10">
              <w:rPr>
                <w:webHidden/>
              </w:rPr>
              <w:fldChar w:fldCharType="begin"/>
            </w:r>
            <w:r w:rsidR="001C3E10">
              <w:rPr>
                <w:webHidden/>
              </w:rPr>
              <w:instrText xml:space="preserve"> PAGEREF _Toc414532015 \h </w:instrText>
            </w:r>
            <w:r w:rsidR="001C3E10">
              <w:rPr>
                <w:webHidden/>
              </w:rPr>
            </w:r>
            <w:r w:rsidR="001C3E10">
              <w:rPr>
                <w:webHidden/>
              </w:rPr>
              <w:fldChar w:fldCharType="separate"/>
            </w:r>
            <w:r w:rsidR="00A17DFE">
              <w:rPr>
                <w:webHidden/>
              </w:rPr>
              <w:t>110</w:t>
            </w:r>
            <w:r w:rsidR="001C3E10">
              <w:rPr>
                <w:webHidden/>
              </w:rPr>
              <w:fldChar w:fldCharType="end"/>
            </w:r>
          </w:hyperlink>
        </w:p>
        <w:p w14:paraId="01F6FA86" w14:textId="77777777" w:rsidR="001C3E10" w:rsidRDefault="00722C76" w:rsidP="003A637D">
          <w:pPr>
            <w:pStyle w:val="TDC2"/>
            <w:rPr>
              <w:rFonts w:eastAsiaTheme="minorEastAsia"/>
              <w:lang w:eastAsia="es-CR"/>
            </w:rPr>
          </w:pPr>
          <w:hyperlink w:anchor="_Toc414532016" w:history="1">
            <w:r w:rsidR="001C3E10" w:rsidRPr="00337DCF">
              <w:rPr>
                <w:rStyle w:val="Hipervnculo"/>
                <w14:scene3d>
                  <w14:camera w14:prst="orthographicFront"/>
                  <w14:lightRig w14:rig="threePt" w14:dir="t">
                    <w14:rot w14:lat="0" w14:lon="0" w14:rev="0"/>
                  </w14:lightRig>
                </w14:scene3d>
              </w:rPr>
              <w:t>4.3</w:t>
            </w:r>
            <w:r w:rsidR="001C3E10">
              <w:rPr>
                <w:rFonts w:eastAsiaTheme="minorEastAsia"/>
                <w:lang w:eastAsia="es-CR"/>
              </w:rPr>
              <w:tab/>
            </w:r>
            <w:r w:rsidR="001C3E10" w:rsidRPr="00337DCF">
              <w:rPr>
                <w:rStyle w:val="Hipervnculo"/>
              </w:rPr>
              <w:t>Gestión financiera de TI</w:t>
            </w:r>
            <w:r w:rsidR="001C3E10">
              <w:rPr>
                <w:webHidden/>
              </w:rPr>
              <w:tab/>
            </w:r>
            <w:r w:rsidR="001C3E10">
              <w:rPr>
                <w:webHidden/>
              </w:rPr>
              <w:fldChar w:fldCharType="begin"/>
            </w:r>
            <w:r w:rsidR="001C3E10">
              <w:rPr>
                <w:webHidden/>
              </w:rPr>
              <w:instrText xml:space="preserve"> PAGEREF _Toc414532016 \h </w:instrText>
            </w:r>
            <w:r w:rsidR="001C3E10">
              <w:rPr>
                <w:webHidden/>
              </w:rPr>
            </w:r>
            <w:r w:rsidR="001C3E10">
              <w:rPr>
                <w:webHidden/>
              </w:rPr>
              <w:fldChar w:fldCharType="separate"/>
            </w:r>
            <w:r w:rsidR="00A17DFE">
              <w:rPr>
                <w:webHidden/>
              </w:rPr>
              <w:t>111</w:t>
            </w:r>
            <w:r w:rsidR="001C3E10">
              <w:rPr>
                <w:webHidden/>
              </w:rPr>
              <w:fldChar w:fldCharType="end"/>
            </w:r>
          </w:hyperlink>
        </w:p>
        <w:p w14:paraId="7AF5A970" w14:textId="77777777" w:rsidR="001C3E10" w:rsidRDefault="00722C76" w:rsidP="003A637D">
          <w:pPr>
            <w:pStyle w:val="TDC2"/>
            <w:rPr>
              <w:rFonts w:eastAsiaTheme="minorEastAsia"/>
              <w:lang w:eastAsia="es-CR"/>
            </w:rPr>
          </w:pPr>
          <w:hyperlink w:anchor="_Toc414532017" w:history="1">
            <w:r w:rsidR="001C3E10" w:rsidRPr="00337DCF">
              <w:rPr>
                <w:rStyle w:val="Hipervnculo"/>
                <w14:scene3d>
                  <w14:camera w14:prst="orthographicFront"/>
                  <w14:lightRig w14:rig="threePt" w14:dir="t">
                    <w14:rot w14:lat="0" w14:lon="0" w14:rev="0"/>
                  </w14:lightRig>
                </w14:scene3d>
              </w:rPr>
              <w:t>4.4</w:t>
            </w:r>
            <w:r w:rsidR="001C3E10">
              <w:rPr>
                <w:rFonts w:eastAsiaTheme="minorEastAsia"/>
                <w:lang w:eastAsia="es-CR"/>
              </w:rPr>
              <w:tab/>
            </w:r>
            <w:r w:rsidR="001C3E10" w:rsidRPr="00337DCF">
              <w:rPr>
                <w:rStyle w:val="Hipervnculo"/>
              </w:rPr>
              <w:t>Métricas</w:t>
            </w:r>
            <w:r w:rsidR="001C3E10">
              <w:rPr>
                <w:webHidden/>
              </w:rPr>
              <w:tab/>
            </w:r>
            <w:r w:rsidR="001C3E10">
              <w:rPr>
                <w:webHidden/>
              </w:rPr>
              <w:fldChar w:fldCharType="begin"/>
            </w:r>
            <w:r w:rsidR="001C3E10">
              <w:rPr>
                <w:webHidden/>
              </w:rPr>
              <w:instrText xml:space="preserve"> PAGEREF _Toc414532017 \h </w:instrText>
            </w:r>
            <w:r w:rsidR="001C3E10">
              <w:rPr>
                <w:webHidden/>
              </w:rPr>
            </w:r>
            <w:r w:rsidR="001C3E10">
              <w:rPr>
                <w:webHidden/>
              </w:rPr>
              <w:fldChar w:fldCharType="separate"/>
            </w:r>
            <w:r w:rsidR="00A17DFE">
              <w:rPr>
                <w:webHidden/>
              </w:rPr>
              <w:t>112</w:t>
            </w:r>
            <w:r w:rsidR="001C3E10">
              <w:rPr>
                <w:webHidden/>
              </w:rPr>
              <w:fldChar w:fldCharType="end"/>
            </w:r>
          </w:hyperlink>
        </w:p>
        <w:p w14:paraId="3D7227D3" w14:textId="77777777" w:rsidR="001C3E10" w:rsidRDefault="00722C76" w:rsidP="0043587E">
          <w:pPr>
            <w:pStyle w:val="TDC1"/>
            <w:rPr>
              <w:lang w:eastAsia="es-CR"/>
            </w:rPr>
          </w:pPr>
          <w:hyperlink w:anchor="_Toc414532018" w:history="1">
            <w:r w:rsidR="001C3E10" w:rsidRPr="00337DCF">
              <w:rPr>
                <w:rStyle w:val="Hipervnculo"/>
              </w:rPr>
              <w:t>5.</w:t>
            </w:r>
            <w:r w:rsidR="001C3E10">
              <w:rPr>
                <w:lang w:eastAsia="es-CR"/>
              </w:rPr>
              <w:tab/>
            </w:r>
            <w:r w:rsidR="001C3E10" w:rsidRPr="00337DCF">
              <w:rPr>
                <w:rStyle w:val="Hipervnculo"/>
              </w:rPr>
              <w:t>Aprovisionamiento</w:t>
            </w:r>
            <w:r w:rsidR="001C3E10">
              <w:rPr>
                <w:webHidden/>
              </w:rPr>
              <w:tab/>
            </w:r>
            <w:r w:rsidR="001C3E10">
              <w:rPr>
                <w:webHidden/>
              </w:rPr>
              <w:fldChar w:fldCharType="begin"/>
            </w:r>
            <w:r w:rsidR="001C3E10">
              <w:rPr>
                <w:webHidden/>
              </w:rPr>
              <w:instrText xml:space="preserve"> PAGEREF _Toc414532018 \h </w:instrText>
            </w:r>
            <w:r w:rsidR="001C3E10">
              <w:rPr>
                <w:webHidden/>
              </w:rPr>
            </w:r>
            <w:r w:rsidR="001C3E10">
              <w:rPr>
                <w:webHidden/>
              </w:rPr>
              <w:fldChar w:fldCharType="separate"/>
            </w:r>
            <w:r w:rsidR="00A17DFE">
              <w:rPr>
                <w:webHidden/>
              </w:rPr>
              <w:t>114</w:t>
            </w:r>
            <w:r w:rsidR="001C3E10">
              <w:rPr>
                <w:webHidden/>
              </w:rPr>
              <w:fldChar w:fldCharType="end"/>
            </w:r>
          </w:hyperlink>
        </w:p>
        <w:p w14:paraId="5F6E970D" w14:textId="77777777" w:rsidR="001C3E10" w:rsidRDefault="00722C76" w:rsidP="003A637D">
          <w:pPr>
            <w:pStyle w:val="TDC2"/>
            <w:rPr>
              <w:rFonts w:eastAsiaTheme="minorEastAsia"/>
              <w:lang w:eastAsia="es-CR"/>
            </w:rPr>
          </w:pPr>
          <w:hyperlink w:anchor="_Toc414532019" w:history="1">
            <w:r w:rsidR="001C3E10" w:rsidRPr="00337DCF">
              <w:rPr>
                <w:rStyle w:val="Hipervnculo"/>
                <w14:scene3d>
                  <w14:camera w14:prst="orthographicFront"/>
                  <w14:lightRig w14:rig="threePt" w14:dir="t">
                    <w14:rot w14:lat="0" w14:lon="0" w14:rev="0"/>
                  </w14:lightRig>
                </w14:scene3d>
              </w:rPr>
              <w:t>5.1</w:t>
            </w:r>
            <w:r w:rsidR="001C3E10">
              <w:rPr>
                <w:rFonts w:eastAsiaTheme="minorEastAsia"/>
                <w:lang w:eastAsia="es-CR"/>
              </w:rPr>
              <w:tab/>
            </w:r>
            <w:r w:rsidR="001C3E10" w:rsidRPr="00337DCF">
              <w:rPr>
                <w:rStyle w:val="Hipervnculo"/>
              </w:rPr>
              <w:t>Servicios de TI</w:t>
            </w:r>
            <w:r w:rsidR="001C3E10">
              <w:rPr>
                <w:webHidden/>
              </w:rPr>
              <w:tab/>
            </w:r>
            <w:r w:rsidR="001C3E10">
              <w:rPr>
                <w:webHidden/>
              </w:rPr>
              <w:fldChar w:fldCharType="begin"/>
            </w:r>
            <w:r w:rsidR="001C3E10">
              <w:rPr>
                <w:webHidden/>
              </w:rPr>
              <w:instrText xml:space="preserve"> PAGEREF _Toc414532019 \h </w:instrText>
            </w:r>
            <w:r w:rsidR="001C3E10">
              <w:rPr>
                <w:webHidden/>
              </w:rPr>
            </w:r>
            <w:r w:rsidR="001C3E10">
              <w:rPr>
                <w:webHidden/>
              </w:rPr>
              <w:fldChar w:fldCharType="separate"/>
            </w:r>
            <w:r w:rsidR="00A17DFE">
              <w:rPr>
                <w:webHidden/>
              </w:rPr>
              <w:t>114</w:t>
            </w:r>
            <w:r w:rsidR="001C3E10">
              <w:rPr>
                <w:webHidden/>
              </w:rPr>
              <w:fldChar w:fldCharType="end"/>
            </w:r>
          </w:hyperlink>
        </w:p>
        <w:p w14:paraId="30A5BFEA" w14:textId="77777777" w:rsidR="001C3E10" w:rsidRDefault="00722C76" w:rsidP="003A637D">
          <w:pPr>
            <w:pStyle w:val="TDC2"/>
            <w:rPr>
              <w:rFonts w:eastAsiaTheme="minorEastAsia"/>
              <w:lang w:eastAsia="es-CR"/>
            </w:rPr>
          </w:pPr>
          <w:hyperlink w:anchor="_Toc414532020" w:history="1">
            <w:r w:rsidR="001C3E10" w:rsidRPr="00337DCF">
              <w:rPr>
                <w:rStyle w:val="Hipervnculo"/>
                <w14:scene3d>
                  <w14:camera w14:prst="orthographicFront"/>
                  <w14:lightRig w14:rig="threePt" w14:dir="t">
                    <w14:rot w14:lat="0" w14:lon="0" w14:rev="0"/>
                  </w14:lightRig>
                </w14:scene3d>
              </w:rPr>
              <w:t>5.2</w:t>
            </w:r>
            <w:r w:rsidR="001C3E10">
              <w:rPr>
                <w:rFonts w:eastAsiaTheme="minorEastAsia"/>
                <w:lang w:eastAsia="es-CR"/>
              </w:rPr>
              <w:tab/>
            </w:r>
            <w:r w:rsidR="001C3E10" w:rsidRPr="00337DCF">
              <w:rPr>
                <w:rStyle w:val="Hipervnculo"/>
              </w:rPr>
              <w:t>Arquitectura</w:t>
            </w:r>
            <w:r w:rsidR="001C3E10">
              <w:rPr>
                <w:webHidden/>
              </w:rPr>
              <w:tab/>
            </w:r>
            <w:r w:rsidR="001C3E10">
              <w:rPr>
                <w:webHidden/>
              </w:rPr>
              <w:fldChar w:fldCharType="begin"/>
            </w:r>
            <w:r w:rsidR="001C3E10">
              <w:rPr>
                <w:webHidden/>
              </w:rPr>
              <w:instrText xml:space="preserve"> PAGEREF _Toc414532020 \h </w:instrText>
            </w:r>
            <w:r w:rsidR="001C3E10">
              <w:rPr>
                <w:webHidden/>
              </w:rPr>
            </w:r>
            <w:r w:rsidR="001C3E10">
              <w:rPr>
                <w:webHidden/>
              </w:rPr>
              <w:fldChar w:fldCharType="separate"/>
            </w:r>
            <w:r w:rsidR="00A17DFE">
              <w:rPr>
                <w:webHidden/>
              </w:rPr>
              <w:t>116</w:t>
            </w:r>
            <w:r w:rsidR="001C3E10">
              <w:rPr>
                <w:webHidden/>
              </w:rPr>
              <w:fldChar w:fldCharType="end"/>
            </w:r>
          </w:hyperlink>
        </w:p>
        <w:p w14:paraId="61C046F4" w14:textId="77777777" w:rsidR="001C3E10" w:rsidRDefault="00722C76" w:rsidP="003A637D">
          <w:pPr>
            <w:pStyle w:val="TDC2"/>
            <w:rPr>
              <w:rFonts w:eastAsiaTheme="minorEastAsia"/>
              <w:lang w:eastAsia="es-CR"/>
            </w:rPr>
          </w:pPr>
          <w:hyperlink w:anchor="_Toc414532021" w:history="1">
            <w:r w:rsidR="001C3E10" w:rsidRPr="00337DCF">
              <w:rPr>
                <w:rStyle w:val="Hipervnculo"/>
                <w14:scene3d>
                  <w14:camera w14:prst="orthographicFront"/>
                  <w14:lightRig w14:rig="threePt" w14:dir="t">
                    <w14:rot w14:lat="0" w14:lon="0" w14:rev="0"/>
                  </w14:lightRig>
                </w14:scene3d>
              </w:rPr>
              <w:t>5.3</w:t>
            </w:r>
            <w:r w:rsidR="001C3E10">
              <w:rPr>
                <w:rFonts w:eastAsiaTheme="minorEastAsia"/>
                <w:lang w:eastAsia="es-CR"/>
              </w:rPr>
              <w:tab/>
            </w:r>
            <w:r w:rsidR="001C3E10" w:rsidRPr="00337DCF">
              <w:rPr>
                <w:rStyle w:val="Hipervnculo"/>
              </w:rPr>
              <w:t>Personas</w:t>
            </w:r>
            <w:r w:rsidR="001C3E10">
              <w:rPr>
                <w:webHidden/>
              </w:rPr>
              <w:tab/>
            </w:r>
            <w:r w:rsidR="001C3E10">
              <w:rPr>
                <w:webHidden/>
              </w:rPr>
              <w:fldChar w:fldCharType="begin"/>
            </w:r>
            <w:r w:rsidR="001C3E10">
              <w:rPr>
                <w:webHidden/>
              </w:rPr>
              <w:instrText xml:space="preserve"> PAGEREF _Toc414532021 \h </w:instrText>
            </w:r>
            <w:r w:rsidR="001C3E10">
              <w:rPr>
                <w:webHidden/>
              </w:rPr>
            </w:r>
            <w:r w:rsidR="001C3E10">
              <w:rPr>
                <w:webHidden/>
              </w:rPr>
              <w:fldChar w:fldCharType="separate"/>
            </w:r>
            <w:r w:rsidR="00A17DFE">
              <w:rPr>
                <w:webHidden/>
              </w:rPr>
              <w:t>118</w:t>
            </w:r>
            <w:r w:rsidR="001C3E10">
              <w:rPr>
                <w:webHidden/>
              </w:rPr>
              <w:fldChar w:fldCharType="end"/>
            </w:r>
          </w:hyperlink>
        </w:p>
        <w:p w14:paraId="286EDB67" w14:textId="77777777" w:rsidR="001C3E10" w:rsidRDefault="00722C76" w:rsidP="003A637D">
          <w:pPr>
            <w:pStyle w:val="TDC2"/>
            <w:rPr>
              <w:rFonts w:eastAsiaTheme="minorEastAsia"/>
              <w:lang w:eastAsia="es-CR"/>
            </w:rPr>
          </w:pPr>
          <w:hyperlink w:anchor="_Toc414532022" w:history="1">
            <w:r w:rsidR="001C3E10" w:rsidRPr="00337DCF">
              <w:rPr>
                <w:rStyle w:val="Hipervnculo"/>
                <w14:scene3d>
                  <w14:camera w14:prst="orthographicFront"/>
                  <w14:lightRig w14:rig="threePt" w14:dir="t">
                    <w14:rot w14:lat="0" w14:lon="0" w14:rev="0"/>
                  </w14:lightRig>
                </w14:scene3d>
              </w:rPr>
              <w:t>5.4</w:t>
            </w:r>
            <w:r w:rsidR="001C3E10">
              <w:rPr>
                <w:rFonts w:eastAsiaTheme="minorEastAsia"/>
                <w:lang w:eastAsia="es-CR"/>
              </w:rPr>
              <w:tab/>
            </w:r>
            <w:r w:rsidR="001C3E10" w:rsidRPr="00337DCF">
              <w:rPr>
                <w:rStyle w:val="Hipervnculo"/>
              </w:rPr>
              <w:t>Fuentes de aprovisionamiento</w:t>
            </w:r>
            <w:r w:rsidR="001C3E10">
              <w:rPr>
                <w:webHidden/>
              </w:rPr>
              <w:tab/>
            </w:r>
            <w:r w:rsidR="001C3E10">
              <w:rPr>
                <w:webHidden/>
              </w:rPr>
              <w:fldChar w:fldCharType="begin"/>
            </w:r>
            <w:r w:rsidR="001C3E10">
              <w:rPr>
                <w:webHidden/>
              </w:rPr>
              <w:instrText xml:space="preserve"> PAGEREF _Toc414532022 \h </w:instrText>
            </w:r>
            <w:r w:rsidR="001C3E10">
              <w:rPr>
                <w:webHidden/>
              </w:rPr>
            </w:r>
            <w:r w:rsidR="001C3E10">
              <w:rPr>
                <w:webHidden/>
              </w:rPr>
              <w:fldChar w:fldCharType="separate"/>
            </w:r>
            <w:r w:rsidR="00A17DFE">
              <w:rPr>
                <w:webHidden/>
              </w:rPr>
              <w:t>118</w:t>
            </w:r>
            <w:r w:rsidR="001C3E10">
              <w:rPr>
                <w:webHidden/>
              </w:rPr>
              <w:fldChar w:fldCharType="end"/>
            </w:r>
          </w:hyperlink>
        </w:p>
        <w:p w14:paraId="3FE3D350" w14:textId="77777777" w:rsidR="001C3E10" w:rsidRDefault="00722C76" w:rsidP="0043587E">
          <w:pPr>
            <w:pStyle w:val="TDC1"/>
            <w:rPr>
              <w:lang w:eastAsia="es-CR"/>
            </w:rPr>
          </w:pPr>
          <w:hyperlink w:anchor="_Toc414532023" w:history="1">
            <w:r w:rsidR="001C3E10" w:rsidRPr="00337DCF">
              <w:rPr>
                <w:rStyle w:val="Hipervnculo"/>
              </w:rPr>
              <w:t>6.</w:t>
            </w:r>
            <w:r w:rsidR="001C3E10">
              <w:rPr>
                <w:lang w:eastAsia="es-CR"/>
              </w:rPr>
              <w:tab/>
            </w:r>
            <w:r w:rsidR="001C3E10" w:rsidRPr="00337DCF">
              <w:rPr>
                <w:rStyle w:val="Hipervnculo"/>
              </w:rPr>
              <w:t>Riesgos</w:t>
            </w:r>
            <w:r w:rsidR="001C3E10">
              <w:rPr>
                <w:webHidden/>
              </w:rPr>
              <w:tab/>
            </w:r>
            <w:r w:rsidR="001C3E10">
              <w:rPr>
                <w:webHidden/>
              </w:rPr>
              <w:fldChar w:fldCharType="begin"/>
            </w:r>
            <w:r w:rsidR="001C3E10">
              <w:rPr>
                <w:webHidden/>
              </w:rPr>
              <w:instrText xml:space="preserve"> PAGEREF _Toc414532023 \h </w:instrText>
            </w:r>
            <w:r w:rsidR="001C3E10">
              <w:rPr>
                <w:webHidden/>
              </w:rPr>
            </w:r>
            <w:r w:rsidR="001C3E10">
              <w:rPr>
                <w:webHidden/>
              </w:rPr>
              <w:fldChar w:fldCharType="separate"/>
            </w:r>
            <w:r w:rsidR="00A17DFE">
              <w:rPr>
                <w:webHidden/>
              </w:rPr>
              <w:t>120</w:t>
            </w:r>
            <w:r w:rsidR="001C3E10">
              <w:rPr>
                <w:webHidden/>
              </w:rPr>
              <w:fldChar w:fldCharType="end"/>
            </w:r>
          </w:hyperlink>
        </w:p>
        <w:p w14:paraId="222E7630" w14:textId="77777777" w:rsidR="001C3E10" w:rsidRDefault="00722C76" w:rsidP="0043587E">
          <w:pPr>
            <w:pStyle w:val="TDC1"/>
            <w:rPr>
              <w:lang w:eastAsia="es-CR"/>
            </w:rPr>
          </w:pPr>
          <w:hyperlink w:anchor="_Toc414532024" w:history="1">
            <w:r w:rsidR="001C3E10" w:rsidRPr="00337DCF">
              <w:rPr>
                <w:rStyle w:val="Hipervnculo"/>
              </w:rPr>
              <w:t>7.</w:t>
            </w:r>
            <w:r w:rsidR="001C3E10">
              <w:rPr>
                <w:lang w:eastAsia="es-CR"/>
              </w:rPr>
              <w:tab/>
            </w:r>
            <w:r w:rsidR="001C3E10" w:rsidRPr="00337DCF">
              <w:rPr>
                <w:rStyle w:val="Hipervnculo"/>
              </w:rPr>
              <w:t>Apéndices</w:t>
            </w:r>
            <w:r w:rsidR="001C3E10">
              <w:rPr>
                <w:webHidden/>
              </w:rPr>
              <w:tab/>
            </w:r>
            <w:r w:rsidR="001C3E10">
              <w:rPr>
                <w:webHidden/>
              </w:rPr>
              <w:fldChar w:fldCharType="begin"/>
            </w:r>
            <w:r w:rsidR="001C3E10">
              <w:rPr>
                <w:webHidden/>
              </w:rPr>
              <w:instrText xml:space="preserve"> PAGEREF _Toc414532024 \h </w:instrText>
            </w:r>
            <w:r w:rsidR="001C3E10">
              <w:rPr>
                <w:webHidden/>
              </w:rPr>
            </w:r>
            <w:r w:rsidR="001C3E10">
              <w:rPr>
                <w:webHidden/>
              </w:rPr>
              <w:fldChar w:fldCharType="separate"/>
            </w:r>
            <w:r w:rsidR="00A17DFE">
              <w:rPr>
                <w:webHidden/>
              </w:rPr>
              <w:t>121</w:t>
            </w:r>
            <w:r w:rsidR="001C3E10">
              <w:rPr>
                <w:webHidden/>
              </w:rPr>
              <w:fldChar w:fldCharType="end"/>
            </w:r>
          </w:hyperlink>
        </w:p>
        <w:p w14:paraId="6B78C5E8" w14:textId="77777777" w:rsidR="001C3E10" w:rsidRDefault="00722C76" w:rsidP="003A637D">
          <w:pPr>
            <w:pStyle w:val="TDC2"/>
            <w:rPr>
              <w:rFonts w:eastAsiaTheme="minorEastAsia"/>
              <w:lang w:eastAsia="es-CR"/>
            </w:rPr>
          </w:pPr>
          <w:hyperlink w:anchor="_Toc414532025" w:history="1">
            <w:r w:rsidR="001C3E10" w:rsidRPr="00337DCF">
              <w:rPr>
                <w:rStyle w:val="Hipervnculo"/>
                <w14:scene3d>
                  <w14:camera w14:prst="orthographicFront"/>
                  <w14:lightRig w14:rig="threePt" w14:dir="t">
                    <w14:rot w14:lat="0" w14:lon="0" w14:rev="0"/>
                  </w14:lightRig>
                </w14:scene3d>
              </w:rPr>
              <w:t>7.1</w:t>
            </w:r>
            <w:r w:rsidR="001C3E10">
              <w:rPr>
                <w:rFonts w:eastAsiaTheme="minorEastAsia"/>
                <w:lang w:eastAsia="es-CR"/>
              </w:rPr>
              <w:tab/>
            </w:r>
            <w:r w:rsidR="001C3E10" w:rsidRPr="00337DCF">
              <w:rPr>
                <w:rStyle w:val="Hipervnculo"/>
              </w:rPr>
              <w:t>Análisis del entorno</w:t>
            </w:r>
            <w:r w:rsidR="001C3E10">
              <w:rPr>
                <w:webHidden/>
              </w:rPr>
              <w:tab/>
            </w:r>
            <w:r w:rsidR="001C3E10">
              <w:rPr>
                <w:webHidden/>
              </w:rPr>
              <w:fldChar w:fldCharType="begin"/>
            </w:r>
            <w:r w:rsidR="001C3E10">
              <w:rPr>
                <w:webHidden/>
              </w:rPr>
              <w:instrText xml:space="preserve"> PAGEREF _Toc414532025 \h </w:instrText>
            </w:r>
            <w:r w:rsidR="001C3E10">
              <w:rPr>
                <w:webHidden/>
              </w:rPr>
            </w:r>
            <w:r w:rsidR="001C3E10">
              <w:rPr>
                <w:webHidden/>
              </w:rPr>
              <w:fldChar w:fldCharType="separate"/>
            </w:r>
            <w:r w:rsidR="00A17DFE">
              <w:rPr>
                <w:webHidden/>
              </w:rPr>
              <w:t>121</w:t>
            </w:r>
            <w:r w:rsidR="001C3E10">
              <w:rPr>
                <w:webHidden/>
              </w:rPr>
              <w:fldChar w:fldCharType="end"/>
            </w:r>
          </w:hyperlink>
        </w:p>
        <w:p w14:paraId="134D5782" w14:textId="77777777" w:rsidR="001C3E10" w:rsidRDefault="00722C76" w:rsidP="003A637D">
          <w:pPr>
            <w:pStyle w:val="TDC2"/>
            <w:rPr>
              <w:rFonts w:eastAsiaTheme="minorEastAsia"/>
              <w:lang w:eastAsia="es-CR"/>
            </w:rPr>
          </w:pPr>
          <w:hyperlink w:anchor="_Toc414532026" w:history="1">
            <w:r w:rsidR="001C3E10" w:rsidRPr="00337DCF">
              <w:rPr>
                <w:rStyle w:val="Hipervnculo"/>
                <w14:scene3d>
                  <w14:camera w14:prst="orthographicFront"/>
                  <w14:lightRig w14:rig="threePt" w14:dir="t">
                    <w14:rot w14:lat="0" w14:lon="0" w14:rev="0"/>
                  </w14:lightRig>
                </w14:scene3d>
              </w:rPr>
              <w:t>7.2</w:t>
            </w:r>
            <w:r w:rsidR="001C3E10">
              <w:rPr>
                <w:rFonts w:eastAsiaTheme="minorEastAsia"/>
                <w:lang w:eastAsia="es-CR"/>
              </w:rPr>
              <w:tab/>
            </w:r>
            <w:r w:rsidR="001C3E10" w:rsidRPr="00337DCF">
              <w:rPr>
                <w:rStyle w:val="Hipervnculo"/>
              </w:rPr>
              <w:t>Modelo de capacidades</w:t>
            </w:r>
            <w:r w:rsidR="001C3E10">
              <w:rPr>
                <w:webHidden/>
              </w:rPr>
              <w:tab/>
            </w:r>
            <w:r w:rsidR="001C3E10">
              <w:rPr>
                <w:webHidden/>
              </w:rPr>
              <w:fldChar w:fldCharType="begin"/>
            </w:r>
            <w:r w:rsidR="001C3E10">
              <w:rPr>
                <w:webHidden/>
              </w:rPr>
              <w:instrText xml:space="preserve"> PAGEREF _Toc414532026 \h </w:instrText>
            </w:r>
            <w:r w:rsidR="001C3E10">
              <w:rPr>
                <w:webHidden/>
              </w:rPr>
            </w:r>
            <w:r w:rsidR="001C3E10">
              <w:rPr>
                <w:webHidden/>
              </w:rPr>
              <w:fldChar w:fldCharType="separate"/>
            </w:r>
            <w:r w:rsidR="00A17DFE">
              <w:rPr>
                <w:webHidden/>
              </w:rPr>
              <w:t>121</w:t>
            </w:r>
            <w:r w:rsidR="001C3E10">
              <w:rPr>
                <w:webHidden/>
              </w:rPr>
              <w:fldChar w:fldCharType="end"/>
            </w:r>
          </w:hyperlink>
        </w:p>
        <w:p w14:paraId="1922E461" w14:textId="77777777" w:rsidR="001C3E10" w:rsidRDefault="00722C76" w:rsidP="003A637D">
          <w:pPr>
            <w:pStyle w:val="TDC2"/>
            <w:rPr>
              <w:rFonts w:eastAsiaTheme="minorEastAsia"/>
              <w:lang w:eastAsia="es-CR"/>
            </w:rPr>
          </w:pPr>
          <w:hyperlink w:anchor="_Toc414532027" w:history="1">
            <w:r w:rsidR="001C3E10" w:rsidRPr="00337DCF">
              <w:rPr>
                <w:rStyle w:val="Hipervnculo"/>
                <w14:scene3d>
                  <w14:camera w14:prst="orthographicFront"/>
                  <w14:lightRig w14:rig="threePt" w14:dir="t">
                    <w14:rot w14:lat="0" w14:lon="0" w14:rev="0"/>
                  </w14:lightRig>
                </w14:scene3d>
              </w:rPr>
              <w:t>7.3</w:t>
            </w:r>
            <w:r w:rsidR="001C3E10">
              <w:rPr>
                <w:rFonts w:eastAsiaTheme="minorEastAsia"/>
                <w:lang w:eastAsia="es-CR"/>
              </w:rPr>
              <w:tab/>
            </w:r>
            <w:r w:rsidR="001C3E10" w:rsidRPr="00337DCF">
              <w:rPr>
                <w:rStyle w:val="Hipervnculo"/>
              </w:rPr>
              <w:t>IT Score de Gartner sobre Arquitectura Empresarial</w:t>
            </w:r>
            <w:r w:rsidR="001C3E10">
              <w:rPr>
                <w:webHidden/>
              </w:rPr>
              <w:tab/>
            </w:r>
            <w:r w:rsidR="001C3E10">
              <w:rPr>
                <w:webHidden/>
              </w:rPr>
              <w:fldChar w:fldCharType="begin"/>
            </w:r>
            <w:r w:rsidR="001C3E10">
              <w:rPr>
                <w:webHidden/>
              </w:rPr>
              <w:instrText xml:space="preserve"> PAGEREF _Toc414532027 \h </w:instrText>
            </w:r>
            <w:r w:rsidR="001C3E10">
              <w:rPr>
                <w:webHidden/>
              </w:rPr>
            </w:r>
            <w:r w:rsidR="001C3E10">
              <w:rPr>
                <w:webHidden/>
              </w:rPr>
              <w:fldChar w:fldCharType="separate"/>
            </w:r>
            <w:r w:rsidR="00A17DFE">
              <w:rPr>
                <w:webHidden/>
              </w:rPr>
              <w:t>130</w:t>
            </w:r>
            <w:r w:rsidR="001C3E10">
              <w:rPr>
                <w:webHidden/>
              </w:rPr>
              <w:fldChar w:fldCharType="end"/>
            </w:r>
          </w:hyperlink>
        </w:p>
        <w:p w14:paraId="6AA02205" w14:textId="77777777" w:rsidR="001C3E10" w:rsidRDefault="00722C76" w:rsidP="003A637D">
          <w:pPr>
            <w:pStyle w:val="TDC2"/>
            <w:rPr>
              <w:rFonts w:eastAsiaTheme="minorEastAsia"/>
              <w:lang w:eastAsia="es-CR"/>
            </w:rPr>
          </w:pPr>
          <w:hyperlink w:anchor="_Toc414532028" w:history="1">
            <w:r w:rsidR="001C3E10" w:rsidRPr="00337DCF">
              <w:rPr>
                <w:rStyle w:val="Hipervnculo"/>
                <w14:scene3d>
                  <w14:camera w14:prst="orthographicFront"/>
                  <w14:lightRig w14:rig="threePt" w14:dir="t">
                    <w14:rot w14:lat="0" w14:lon="0" w14:rev="0"/>
                  </w14:lightRig>
                </w14:scene3d>
              </w:rPr>
              <w:t>7.4</w:t>
            </w:r>
            <w:r w:rsidR="001C3E10">
              <w:rPr>
                <w:rFonts w:eastAsiaTheme="minorEastAsia"/>
                <w:lang w:eastAsia="es-CR"/>
              </w:rPr>
              <w:tab/>
            </w:r>
            <w:r w:rsidR="001C3E10" w:rsidRPr="00337DCF">
              <w:rPr>
                <w:rStyle w:val="Hipervnculo"/>
              </w:rPr>
              <w:t>Gestión del portafolio de aplicaciones de software</w:t>
            </w:r>
            <w:r w:rsidR="001C3E10">
              <w:rPr>
                <w:webHidden/>
              </w:rPr>
              <w:tab/>
            </w:r>
            <w:r w:rsidR="001C3E10">
              <w:rPr>
                <w:webHidden/>
              </w:rPr>
              <w:fldChar w:fldCharType="begin"/>
            </w:r>
            <w:r w:rsidR="001C3E10">
              <w:rPr>
                <w:webHidden/>
              </w:rPr>
              <w:instrText xml:space="preserve"> PAGEREF _Toc414532028 \h </w:instrText>
            </w:r>
            <w:r w:rsidR="001C3E10">
              <w:rPr>
                <w:webHidden/>
              </w:rPr>
            </w:r>
            <w:r w:rsidR="001C3E10">
              <w:rPr>
                <w:webHidden/>
              </w:rPr>
              <w:fldChar w:fldCharType="separate"/>
            </w:r>
            <w:r w:rsidR="00A17DFE">
              <w:rPr>
                <w:webHidden/>
              </w:rPr>
              <w:t>133</w:t>
            </w:r>
            <w:r w:rsidR="001C3E10">
              <w:rPr>
                <w:webHidden/>
              </w:rPr>
              <w:fldChar w:fldCharType="end"/>
            </w:r>
          </w:hyperlink>
        </w:p>
        <w:p w14:paraId="1C461048" w14:textId="77777777" w:rsidR="001C3E10" w:rsidRDefault="00722C76" w:rsidP="003A637D">
          <w:pPr>
            <w:pStyle w:val="TDC2"/>
            <w:rPr>
              <w:rFonts w:eastAsiaTheme="minorEastAsia"/>
              <w:lang w:eastAsia="es-CR"/>
            </w:rPr>
          </w:pPr>
          <w:hyperlink w:anchor="_Toc414532029" w:history="1">
            <w:r w:rsidR="001C3E10" w:rsidRPr="00337DCF">
              <w:rPr>
                <w:rStyle w:val="Hipervnculo"/>
                <w14:scene3d>
                  <w14:camera w14:prst="orthographicFront"/>
                  <w14:lightRig w14:rig="threePt" w14:dir="t">
                    <w14:rot w14:lat="0" w14:lon="0" w14:rev="0"/>
                  </w14:lightRig>
                </w14:scene3d>
              </w:rPr>
              <w:t>7.5</w:t>
            </w:r>
            <w:r w:rsidR="001C3E10">
              <w:rPr>
                <w:rFonts w:eastAsiaTheme="minorEastAsia"/>
                <w:lang w:eastAsia="es-CR"/>
              </w:rPr>
              <w:tab/>
            </w:r>
            <w:r w:rsidR="001C3E10" w:rsidRPr="00337DCF">
              <w:rPr>
                <w:rStyle w:val="Hipervnculo"/>
              </w:rPr>
              <w:t>Glosario</w:t>
            </w:r>
            <w:r w:rsidR="001C3E10">
              <w:rPr>
                <w:webHidden/>
              </w:rPr>
              <w:tab/>
            </w:r>
            <w:r w:rsidR="001C3E10">
              <w:rPr>
                <w:webHidden/>
              </w:rPr>
              <w:fldChar w:fldCharType="begin"/>
            </w:r>
            <w:r w:rsidR="001C3E10">
              <w:rPr>
                <w:webHidden/>
              </w:rPr>
              <w:instrText xml:space="preserve"> PAGEREF _Toc414532029 \h </w:instrText>
            </w:r>
            <w:r w:rsidR="001C3E10">
              <w:rPr>
                <w:webHidden/>
              </w:rPr>
            </w:r>
            <w:r w:rsidR="001C3E10">
              <w:rPr>
                <w:webHidden/>
              </w:rPr>
              <w:fldChar w:fldCharType="separate"/>
            </w:r>
            <w:r w:rsidR="00A17DFE">
              <w:rPr>
                <w:webHidden/>
              </w:rPr>
              <w:t>137</w:t>
            </w:r>
            <w:r w:rsidR="001C3E10">
              <w:rPr>
                <w:webHidden/>
              </w:rPr>
              <w:fldChar w:fldCharType="end"/>
            </w:r>
          </w:hyperlink>
        </w:p>
        <w:p w14:paraId="46EB544D" w14:textId="77777777" w:rsidR="001C3E10" w:rsidRDefault="00722C76" w:rsidP="003A637D">
          <w:pPr>
            <w:pStyle w:val="TDC2"/>
            <w:rPr>
              <w:rFonts w:eastAsiaTheme="minorEastAsia"/>
              <w:lang w:eastAsia="es-CR"/>
            </w:rPr>
          </w:pPr>
          <w:hyperlink w:anchor="_Toc414532030" w:history="1">
            <w:r w:rsidR="001C3E10" w:rsidRPr="00337DCF">
              <w:rPr>
                <w:rStyle w:val="Hipervnculo"/>
                <w14:scene3d>
                  <w14:camera w14:prst="orthographicFront"/>
                  <w14:lightRig w14:rig="threePt" w14:dir="t">
                    <w14:rot w14:lat="0" w14:lon="0" w14:rev="0"/>
                  </w14:lightRig>
                </w14:scene3d>
              </w:rPr>
              <w:t>7.6</w:t>
            </w:r>
            <w:r w:rsidR="001C3E10">
              <w:rPr>
                <w:rFonts w:eastAsiaTheme="minorEastAsia"/>
                <w:lang w:eastAsia="es-CR"/>
              </w:rPr>
              <w:tab/>
            </w:r>
            <w:r w:rsidR="001C3E10" w:rsidRPr="00337DCF">
              <w:rPr>
                <w:rStyle w:val="Hipervnculo"/>
              </w:rPr>
              <w:t>Bibliografía</w:t>
            </w:r>
            <w:r w:rsidR="001C3E10">
              <w:rPr>
                <w:webHidden/>
              </w:rPr>
              <w:tab/>
            </w:r>
            <w:r w:rsidR="001C3E10">
              <w:rPr>
                <w:webHidden/>
              </w:rPr>
              <w:fldChar w:fldCharType="begin"/>
            </w:r>
            <w:r w:rsidR="001C3E10">
              <w:rPr>
                <w:webHidden/>
              </w:rPr>
              <w:instrText xml:space="preserve"> PAGEREF _Toc414532030 \h </w:instrText>
            </w:r>
            <w:r w:rsidR="001C3E10">
              <w:rPr>
                <w:webHidden/>
              </w:rPr>
            </w:r>
            <w:r w:rsidR="001C3E10">
              <w:rPr>
                <w:webHidden/>
              </w:rPr>
              <w:fldChar w:fldCharType="separate"/>
            </w:r>
            <w:r w:rsidR="00A17DFE">
              <w:rPr>
                <w:webHidden/>
              </w:rPr>
              <w:t>140</w:t>
            </w:r>
            <w:r w:rsidR="001C3E10">
              <w:rPr>
                <w:webHidden/>
              </w:rPr>
              <w:fldChar w:fldCharType="end"/>
            </w:r>
          </w:hyperlink>
        </w:p>
        <w:p w14:paraId="4D0DE603" w14:textId="77777777" w:rsidR="001C3E10" w:rsidRDefault="001C3E10" w:rsidP="001C3E10">
          <w:r>
            <w:fldChar w:fldCharType="end"/>
          </w:r>
        </w:p>
      </w:sdtContent>
    </w:sdt>
    <w:p w14:paraId="293DEB57"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r>
        <w:br w:type="page"/>
      </w:r>
      <w:bookmarkStart w:id="153" w:name="_Toc414532006"/>
      <w:bookmarkStart w:id="154" w:name="_Toc429555135"/>
      <w:bookmarkStart w:id="155" w:name="_Toc429562777"/>
      <w:bookmarkStart w:id="156" w:name="_Toc429563087"/>
      <w:bookmarkStart w:id="157" w:name="_Toc429563242"/>
      <w:r w:rsidRPr="001C3E10">
        <w:rPr>
          <w:rFonts w:asciiTheme="minorHAnsi" w:hAnsiTheme="minorHAnsi"/>
          <w:sz w:val="22"/>
          <w:szCs w:val="22"/>
        </w:rPr>
        <w:lastRenderedPageBreak/>
        <w:t>Resumen ejecutivo</w:t>
      </w:r>
      <w:bookmarkEnd w:id="153"/>
      <w:bookmarkEnd w:id="154"/>
      <w:bookmarkEnd w:id="155"/>
      <w:bookmarkEnd w:id="156"/>
      <w:bookmarkEnd w:id="157"/>
    </w:p>
    <w:p w14:paraId="477A31CF" w14:textId="2DAA74B2"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w:t>
      </w:r>
      <w:r w:rsidRPr="004D7122">
        <w:rPr>
          <w:rFonts w:asciiTheme="minorHAnsi" w:hAnsiTheme="minorHAnsi"/>
          <w:sz w:val="22"/>
          <w:szCs w:val="22"/>
        </w:rPr>
        <w:t>Tecnología de la Información</w:t>
      </w:r>
      <w:r w:rsidRPr="001C3E10">
        <w:rPr>
          <w:rFonts w:asciiTheme="minorHAnsi" w:hAnsiTheme="minorHAnsi"/>
          <w:sz w:val="22"/>
          <w:szCs w:val="22"/>
        </w:rPr>
        <w:t xml:space="preserve"> (TI) busca aportar valor y facilitar la forma en la que las organizaciones puedan cumplir sus objetivos. El soporte en las operaciones diarias, las mejoras realizadas a la tecnología que apoya a la </w:t>
      </w:r>
      <w:r w:rsidRPr="004D7122">
        <w:rPr>
          <w:rFonts w:asciiTheme="minorHAnsi" w:hAnsiTheme="minorHAnsi"/>
          <w:sz w:val="22"/>
          <w:szCs w:val="22"/>
        </w:rPr>
        <w:t>Corporación</w:t>
      </w:r>
      <w:r w:rsidRPr="001C3E10">
        <w:rPr>
          <w:rFonts w:asciiTheme="minorHAnsi" w:hAnsiTheme="minorHAnsi"/>
          <w:sz w:val="22"/>
          <w:szCs w:val="22"/>
        </w:rPr>
        <w:t xml:space="preserve"> y el desarrollo de nuevos proyectos por medio de los cuales se logre la transformación de la organización, son las áreas puntuales en las que la TI apoya a las organizaciones para el cumplimiento de sus objetivos.</w:t>
      </w:r>
    </w:p>
    <w:p w14:paraId="51AB5DCB" w14:textId="77777777" w:rsidR="002830C4" w:rsidRPr="001C3E10" w:rsidRDefault="002830C4" w:rsidP="001C3E10">
      <w:pPr>
        <w:spacing w:line="276" w:lineRule="auto"/>
        <w:jc w:val="both"/>
        <w:rPr>
          <w:rFonts w:asciiTheme="minorHAnsi" w:hAnsiTheme="minorHAnsi"/>
          <w:sz w:val="22"/>
          <w:szCs w:val="22"/>
        </w:rPr>
      </w:pPr>
    </w:p>
    <w:p w14:paraId="35D5BDCC" w14:textId="314683CF"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División de Servicios Tecnológicos (DST), para el periodo 2015 al 2018, como proveedora de todos los </w:t>
      </w:r>
      <w:r w:rsidRPr="004D7122">
        <w:rPr>
          <w:rFonts w:asciiTheme="minorHAnsi" w:hAnsiTheme="minorHAnsi"/>
          <w:sz w:val="22"/>
          <w:szCs w:val="22"/>
        </w:rPr>
        <w:t>servicios de TI</w:t>
      </w:r>
      <w:r w:rsidRPr="001C3E10">
        <w:rPr>
          <w:rFonts w:asciiTheme="minorHAnsi" w:hAnsiTheme="minorHAnsi"/>
          <w:sz w:val="22"/>
          <w:szCs w:val="22"/>
        </w:rPr>
        <w:t xml:space="preserve"> del Banco Central de Costa Rica (BCCR) y sus </w:t>
      </w:r>
      <w:r w:rsidRPr="004D7122">
        <w:rPr>
          <w:rFonts w:asciiTheme="minorHAnsi" w:hAnsiTheme="minorHAnsi"/>
          <w:sz w:val="22"/>
          <w:szCs w:val="22"/>
        </w:rPr>
        <w:t>Órganos de Desconcentración Máxima</w:t>
      </w:r>
      <w:r w:rsidRPr="001C3E10">
        <w:rPr>
          <w:rFonts w:asciiTheme="minorHAnsi" w:hAnsiTheme="minorHAnsi"/>
          <w:sz w:val="22"/>
          <w:szCs w:val="22"/>
        </w:rPr>
        <w:t xml:space="preserve"> (ODM), plantea su aporte de valor a través de cuatro objetivos: </w:t>
      </w:r>
    </w:p>
    <w:p w14:paraId="2C782DF3" w14:textId="77777777" w:rsidR="001C3E10" w:rsidRPr="001C3E10" w:rsidRDefault="001C3E10" w:rsidP="001C3E10">
      <w:pPr>
        <w:spacing w:line="276" w:lineRule="auto"/>
        <w:jc w:val="both"/>
        <w:rPr>
          <w:rFonts w:asciiTheme="minorHAnsi" w:hAnsiTheme="minorHAnsi"/>
          <w:sz w:val="22"/>
          <w:szCs w:val="22"/>
        </w:rPr>
      </w:pPr>
    </w:p>
    <w:p w14:paraId="63DF0EA7" w14:textId="753E1C91"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sz w:val="22"/>
        </w:rPr>
        <w:t xml:space="preserve">Fortalecer la operación de los servicios críticos, incorporando a los </w:t>
      </w:r>
      <w:r w:rsidRPr="004D7122">
        <w:rPr>
          <w:rFonts w:asciiTheme="minorHAnsi" w:hAnsiTheme="minorHAnsi"/>
          <w:sz w:val="22"/>
        </w:rPr>
        <w:t>Acuerdos de Nivel de Servicio</w:t>
      </w:r>
      <w:r w:rsidRPr="001C3E10">
        <w:rPr>
          <w:rFonts w:asciiTheme="minorHAnsi" w:hAnsiTheme="minorHAnsi"/>
          <w:sz w:val="22"/>
        </w:rPr>
        <w:t xml:space="preserve"> (ANS) que la División tiene suscritos con las áreas a las que provee tecnología, compromisos sobre nuevos atributos de calidad (Disponibilidad, Eficiencia, Seguridad, Riesgo y Costo) de las soluciones y lograr un nivel de cumplimiento del 90% de estos acuerdos, antes de finalizar el año 2018. </w:t>
      </w:r>
    </w:p>
    <w:p w14:paraId="7F420ACF" w14:textId="77777777" w:rsidR="001C3E10" w:rsidRPr="001C3E10" w:rsidRDefault="001C3E10" w:rsidP="001C3E10">
      <w:pPr>
        <w:pStyle w:val="Prrafodelista"/>
        <w:spacing w:line="276" w:lineRule="auto"/>
        <w:ind w:left="708"/>
        <w:rPr>
          <w:rFonts w:asciiTheme="minorHAnsi" w:hAnsiTheme="minorHAnsi"/>
          <w:sz w:val="22"/>
        </w:rPr>
      </w:pPr>
    </w:p>
    <w:p w14:paraId="23A5A7DA" w14:textId="6876B2E6"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sz w:val="22"/>
        </w:rPr>
        <w:t xml:space="preserve">Entregar el 90% de las </w:t>
      </w:r>
      <w:r w:rsidRPr="004D7122">
        <w:rPr>
          <w:rFonts w:asciiTheme="minorHAnsi" w:hAnsiTheme="minorHAnsi"/>
          <w:sz w:val="22"/>
        </w:rPr>
        <w:t>mejoras</w:t>
      </w:r>
      <w:r w:rsidRPr="001C3E10">
        <w:rPr>
          <w:rFonts w:asciiTheme="minorHAnsi" w:hAnsiTheme="minorHAnsi"/>
          <w:sz w:val="22"/>
        </w:rPr>
        <w:t xml:space="preserve"> que impactan a los servicios críticos con una desviación menor al 10% en el tiempo, presupuesto y requerimientos definidos, con el propósito de apoyar el crecimiento de las áreas sustantivas de la Corporación, antes de finalizar el año 2018.</w:t>
      </w:r>
    </w:p>
    <w:p w14:paraId="25252B64" w14:textId="77777777" w:rsidR="001C3E10" w:rsidRPr="001C3E10" w:rsidRDefault="001C3E10" w:rsidP="001C3E10">
      <w:pPr>
        <w:pStyle w:val="Prrafodelista"/>
        <w:spacing w:line="276" w:lineRule="auto"/>
        <w:rPr>
          <w:rFonts w:asciiTheme="minorHAnsi" w:hAnsiTheme="minorHAnsi"/>
          <w:sz w:val="22"/>
        </w:rPr>
      </w:pPr>
    </w:p>
    <w:p w14:paraId="1DFE62F6" w14:textId="77777777"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sz w:val="22"/>
        </w:rPr>
        <w:t xml:space="preserve">Apoyar la transformación de las áreas sustantivas a través del cumplimiento de los atributos de calidad que propone la gestión moderna de proyectos (Presupuesto, Alcance, Tiempo, Liderazgo, Gestión del cambio y Administración del proyecto) y lograr un 90% en el nivel de cumplimiento de los esfuerzos de transformación, antes de finalizar el año 2018. </w:t>
      </w:r>
    </w:p>
    <w:p w14:paraId="432743B8" w14:textId="77777777" w:rsidR="001C3E10" w:rsidRPr="001C3E10" w:rsidRDefault="001C3E10" w:rsidP="001C3E10">
      <w:pPr>
        <w:pStyle w:val="Prrafodelista"/>
        <w:spacing w:line="276" w:lineRule="auto"/>
        <w:rPr>
          <w:rFonts w:asciiTheme="minorHAnsi" w:hAnsiTheme="minorHAnsi"/>
          <w:sz w:val="22"/>
        </w:rPr>
      </w:pPr>
    </w:p>
    <w:p w14:paraId="545DC734" w14:textId="77777777"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sz w:val="22"/>
        </w:rPr>
        <w:t>Brindar los servicios de TI a todas las dependencias de la Corporación utilizando los mismos procesos, herramientas y competencias en el personal de TI, antes de finalizar el año 2018.</w:t>
      </w:r>
    </w:p>
    <w:p w14:paraId="2CAFFC2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cumplimiento de los mismos se logrará realizando esfuerzos en tres principales pilares: personas, herramientas y procesos, mismos que permitirán lograr la excelencia operacional tanto de TI como de las áreas de la organización que utilicen las herramientas y los procesos relacionados con la tecnología.</w:t>
      </w:r>
    </w:p>
    <w:p w14:paraId="7669D52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br w:type="page"/>
      </w:r>
    </w:p>
    <w:p w14:paraId="55227F8C" w14:textId="77777777" w:rsid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158" w:name="_Toc414532007"/>
      <w:bookmarkStart w:id="159" w:name="_Toc429555136"/>
      <w:bookmarkStart w:id="160" w:name="_Toc429562778"/>
      <w:bookmarkStart w:id="161" w:name="_Toc429563088"/>
      <w:bookmarkStart w:id="162" w:name="_Toc429563243"/>
      <w:r w:rsidRPr="001C3E10">
        <w:rPr>
          <w:rFonts w:asciiTheme="minorHAnsi" w:hAnsiTheme="minorHAnsi"/>
          <w:sz w:val="22"/>
          <w:szCs w:val="22"/>
        </w:rPr>
        <w:lastRenderedPageBreak/>
        <w:t>Introducción</w:t>
      </w:r>
      <w:bookmarkEnd w:id="158"/>
      <w:bookmarkEnd w:id="159"/>
      <w:bookmarkEnd w:id="160"/>
      <w:bookmarkEnd w:id="161"/>
      <w:bookmarkEnd w:id="162"/>
    </w:p>
    <w:p w14:paraId="3B905DD5" w14:textId="77777777" w:rsidR="00B30C48" w:rsidRPr="00B30C48" w:rsidRDefault="00B30C48" w:rsidP="00B30C48"/>
    <w:p w14:paraId="278403F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organizaciones definen a través de la estrategia la dirección que seguirán durante un periodo determinado, esto en respuesta a la realidad que les rodea. La estrategia de una organización requiere del correcto alineamiento de su estructura, toma de decisiones, arquitectura, procesos, cultura y métricas para ser efectiva. La Estrategia de TI es la respuesta que los equipos de Tecnología de la Información desarrollan para lograr el correcto alineamiento y contribuir con el éxito de la organización, es decir, apoyar la consecución de la estrategia de la organización.</w:t>
      </w:r>
    </w:p>
    <w:p w14:paraId="0E99CA7E"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Esta estrategia comprende dos documentos, el primero de ellos, nombrado “Estrategia de TI”, desarrolla la esencia misma de la estrategia, mientras que el segundo documento, llamado “Plan Estratégico de TI”, describe la planificación del conjunto de iniciativas a través de las cuales se busca cumplir con la estrategia definida.</w:t>
      </w:r>
    </w:p>
    <w:p w14:paraId="6B01B52D" w14:textId="77777777" w:rsidR="00B30C48" w:rsidRPr="001C3E10" w:rsidRDefault="00B30C48" w:rsidP="001C3E10">
      <w:pPr>
        <w:spacing w:line="276" w:lineRule="auto"/>
        <w:jc w:val="both"/>
        <w:rPr>
          <w:rFonts w:asciiTheme="minorHAnsi" w:hAnsiTheme="minorHAnsi"/>
          <w:sz w:val="22"/>
          <w:szCs w:val="22"/>
        </w:rPr>
      </w:pPr>
    </w:p>
    <w:p w14:paraId="3CFA057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estructura de este documento tiene su fundamento en el conjunto de buenas prácticas que en materia de Planificación Estratégica de TI ha desarrollado desde hace muchos años la empresa Gartner, una de las principales firmas de asesoría y consultoría en TI a nivel mundial. En esta guía, se desarrolla la Estrategia de TI alrededor de tres ejes principales: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_Ref408236343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A17DFE" w:rsidRPr="00A17DFE">
        <w:rPr>
          <w:rFonts w:asciiTheme="minorHAnsi" w:hAnsiTheme="minorHAnsi"/>
          <w:i/>
          <w:sz w:val="22"/>
          <w:szCs w:val="22"/>
        </w:rPr>
        <w:t>Demanda</w:t>
      </w:r>
      <w:r w:rsidRPr="001C3E10">
        <w:rPr>
          <w:rFonts w:asciiTheme="minorHAnsi" w:hAnsiTheme="minorHAnsi"/>
          <w:i/>
          <w:sz w:val="22"/>
          <w:szCs w:val="22"/>
        </w:rPr>
        <w:fldChar w:fldCharType="end"/>
      </w:r>
      <w:r w:rsidRPr="001C3E10">
        <w:rPr>
          <w:rFonts w:asciiTheme="minorHAnsi" w:hAnsiTheme="minorHAnsi"/>
          <w:sz w:val="22"/>
          <w:szCs w:val="22"/>
        </w:rPr>
        <w:t xml:space="preserve">, donde se resume lo que para la organización significa alcanzar el éxito y cómo la TI contribuirá con ello;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_Ref410915368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A17DFE" w:rsidRPr="00A17DFE">
        <w:rPr>
          <w:rFonts w:asciiTheme="minorHAnsi" w:hAnsiTheme="minorHAnsi"/>
          <w:i/>
          <w:sz w:val="22"/>
          <w:szCs w:val="22"/>
        </w:rPr>
        <w:t>Control</w:t>
      </w:r>
      <w:r w:rsidRPr="001C3E10">
        <w:rPr>
          <w:rFonts w:asciiTheme="minorHAnsi" w:hAnsiTheme="minorHAnsi"/>
          <w:i/>
          <w:sz w:val="22"/>
          <w:szCs w:val="22"/>
        </w:rPr>
        <w:fldChar w:fldCharType="end"/>
      </w:r>
      <w:r w:rsidRPr="001C3E10">
        <w:rPr>
          <w:rFonts w:asciiTheme="minorHAnsi" w:hAnsiTheme="minorHAnsi"/>
          <w:sz w:val="22"/>
          <w:szCs w:val="22"/>
        </w:rPr>
        <w:t xml:space="preserve"> que define los mecanismos de control necesarios para que la gestión de TI se realice acorde con lo requerido por la organización; y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_Ref410915384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A17DFE" w:rsidRPr="00A17DFE">
        <w:rPr>
          <w:rFonts w:asciiTheme="minorHAnsi" w:hAnsiTheme="minorHAnsi"/>
          <w:i/>
          <w:sz w:val="22"/>
          <w:szCs w:val="22"/>
        </w:rPr>
        <w:t>Aprovisionamiento</w:t>
      </w:r>
      <w:r w:rsidRPr="001C3E10">
        <w:rPr>
          <w:rFonts w:asciiTheme="minorHAnsi" w:hAnsiTheme="minorHAnsi"/>
          <w:i/>
          <w:sz w:val="22"/>
          <w:szCs w:val="22"/>
        </w:rPr>
        <w:fldChar w:fldCharType="end"/>
      </w:r>
      <w:r w:rsidRPr="001C3E10">
        <w:rPr>
          <w:rFonts w:asciiTheme="minorHAnsi" w:hAnsiTheme="minorHAnsi"/>
          <w:sz w:val="22"/>
          <w:szCs w:val="22"/>
        </w:rPr>
        <w:t>, donde se esquematiza la forma en la que la TI cumplirá con la contribución establecida.</w:t>
      </w:r>
    </w:p>
    <w:p w14:paraId="2C6C902B" w14:textId="77777777" w:rsidR="00B30C48" w:rsidRDefault="00B30C48" w:rsidP="001C3E10">
      <w:pPr>
        <w:spacing w:line="276" w:lineRule="auto"/>
        <w:jc w:val="both"/>
        <w:rPr>
          <w:rFonts w:asciiTheme="minorHAnsi" w:hAnsiTheme="minorHAnsi"/>
          <w:sz w:val="22"/>
          <w:szCs w:val="22"/>
        </w:rPr>
      </w:pPr>
    </w:p>
    <w:p w14:paraId="5EB14B5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Cada una de las tres secciones principales se subdivide a su vez en cuatro partes. La sección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_Ref408236343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A17DFE" w:rsidRPr="00A17DFE">
        <w:rPr>
          <w:rFonts w:asciiTheme="minorHAnsi" w:hAnsiTheme="minorHAnsi"/>
          <w:i/>
          <w:sz w:val="22"/>
          <w:szCs w:val="22"/>
        </w:rPr>
        <w:t>Demanda</w:t>
      </w:r>
      <w:r w:rsidRPr="001C3E10">
        <w:rPr>
          <w:rFonts w:asciiTheme="minorHAnsi" w:hAnsiTheme="minorHAnsi"/>
          <w:i/>
          <w:sz w:val="22"/>
          <w:szCs w:val="22"/>
        </w:rPr>
        <w:fldChar w:fldCharType="end"/>
      </w:r>
      <w:r w:rsidRPr="001C3E10">
        <w:rPr>
          <w:rFonts w:asciiTheme="minorHAnsi" w:hAnsiTheme="minorHAnsi"/>
          <w:i/>
          <w:sz w:val="22"/>
          <w:szCs w:val="22"/>
        </w:rPr>
        <w:t xml:space="preserve"> </w:t>
      </w:r>
      <w:r w:rsidRPr="001C3E10">
        <w:rPr>
          <w:rFonts w:asciiTheme="minorHAnsi" w:hAnsiTheme="minorHAnsi"/>
          <w:sz w:val="22"/>
          <w:szCs w:val="22"/>
        </w:rPr>
        <w:t>se desarrolla a través de las siguientes:</w:t>
      </w:r>
    </w:p>
    <w:p w14:paraId="52A48559"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_Ref406443576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Contexto de la organización</w:t>
      </w:r>
      <w:r w:rsidRPr="001C3E10">
        <w:rPr>
          <w:rFonts w:asciiTheme="minorHAnsi" w:hAnsiTheme="minorHAnsi"/>
          <w:i/>
          <w:sz w:val="22"/>
        </w:rPr>
        <w:fldChar w:fldCharType="end"/>
      </w:r>
      <w:r w:rsidRPr="001C3E10">
        <w:rPr>
          <w:rFonts w:asciiTheme="minorHAnsi" w:hAnsiTheme="minorHAnsi"/>
          <w:sz w:val="22"/>
        </w:rPr>
        <w:t>, que resume la principal razón de ser de la organización.</w:t>
      </w:r>
    </w:p>
    <w:p w14:paraId="0C9C9661"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_Ref405280852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Criterios de éxito de la organización</w:t>
      </w:r>
      <w:r w:rsidRPr="001C3E10">
        <w:rPr>
          <w:rFonts w:asciiTheme="minorHAnsi" w:hAnsiTheme="minorHAnsi"/>
          <w:i/>
          <w:sz w:val="22"/>
        </w:rPr>
        <w:fldChar w:fldCharType="end"/>
      </w:r>
      <w:r w:rsidRPr="001C3E10">
        <w:rPr>
          <w:rFonts w:asciiTheme="minorHAnsi" w:hAnsiTheme="minorHAnsi"/>
          <w:sz w:val="22"/>
        </w:rPr>
        <w:t>, donde se presenta de manera concreta la estrategia de la organización.</w:t>
      </w:r>
    </w:p>
    <w:p w14:paraId="6E41C20E" w14:textId="7B5D64C4"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_Ref406443581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Capacidades de la organización</w:t>
      </w:r>
      <w:r w:rsidRPr="001C3E10">
        <w:rPr>
          <w:rFonts w:asciiTheme="minorHAnsi" w:hAnsiTheme="minorHAnsi"/>
          <w:i/>
          <w:sz w:val="22"/>
        </w:rPr>
        <w:fldChar w:fldCharType="end"/>
      </w:r>
      <w:r w:rsidRPr="001C3E10">
        <w:rPr>
          <w:rFonts w:asciiTheme="minorHAnsi" w:hAnsiTheme="minorHAnsi"/>
          <w:sz w:val="22"/>
        </w:rPr>
        <w:t xml:space="preserve">, muestra las habilidades organizacionales necesarias para que la Corporación pueda lograr lo planteado en la estrategia. </w:t>
      </w:r>
    </w:p>
    <w:p w14:paraId="6BBE837A"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_Ref406424620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Contribución de TI</w:t>
      </w:r>
      <w:r w:rsidRPr="001C3E10">
        <w:rPr>
          <w:rFonts w:asciiTheme="minorHAnsi" w:hAnsiTheme="minorHAnsi"/>
          <w:i/>
          <w:sz w:val="22"/>
        </w:rPr>
        <w:fldChar w:fldCharType="end"/>
      </w:r>
      <w:r w:rsidRPr="001C3E10">
        <w:rPr>
          <w:rFonts w:asciiTheme="minorHAnsi" w:hAnsiTheme="minorHAnsi"/>
          <w:sz w:val="22"/>
        </w:rPr>
        <w:t>, donde se describe en general la forma en la que TI apoyará a la organización en la consecución de su estrategia con base en las subsecciones anteriores.</w:t>
      </w:r>
    </w:p>
    <w:p w14:paraId="06C6CAD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sección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_Ref406443697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A17DFE" w:rsidRPr="001C3E10">
        <w:rPr>
          <w:rFonts w:asciiTheme="minorHAnsi" w:hAnsiTheme="minorHAnsi"/>
          <w:sz w:val="22"/>
          <w:szCs w:val="22"/>
        </w:rPr>
        <w:t>Control</w:t>
      </w:r>
      <w:r w:rsidRPr="001C3E10">
        <w:rPr>
          <w:rFonts w:asciiTheme="minorHAnsi" w:hAnsiTheme="minorHAnsi"/>
          <w:i/>
          <w:sz w:val="22"/>
          <w:szCs w:val="22"/>
        </w:rPr>
        <w:fldChar w:fldCharType="end"/>
      </w:r>
      <w:r w:rsidRPr="001C3E10">
        <w:rPr>
          <w:rFonts w:asciiTheme="minorHAnsi" w:hAnsiTheme="minorHAnsi"/>
          <w:sz w:val="22"/>
          <w:szCs w:val="22"/>
        </w:rPr>
        <w:t xml:space="preserve"> consta de los siguientes apartados:</w:t>
      </w:r>
    </w:p>
    <w:p w14:paraId="13608D20"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_Ref406443612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Principios de TI</w:t>
      </w:r>
      <w:r w:rsidRPr="001C3E10">
        <w:rPr>
          <w:rFonts w:asciiTheme="minorHAnsi" w:hAnsiTheme="minorHAnsi"/>
          <w:i/>
          <w:sz w:val="22"/>
        </w:rPr>
        <w:fldChar w:fldCharType="end"/>
      </w:r>
      <w:r w:rsidRPr="001C3E10">
        <w:rPr>
          <w:rFonts w:asciiTheme="minorHAnsi" w:hAnsiTheme="minorHAnsi"/>
          <w:sz w:val="22"/>
        </w:rPr>
        <w:t>, contiene los principales lineamientos que pueden ser utilizados para guiar el comportamiento y las decisiones del personal de TI, acorde con la estrategia planteada.</w:t>
      </w:r>
    </w:p>
    <w:p w14:paraId="7A12B121"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_Ref406443614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Gobernanza de TI</w:t>
      </w:r>
      <w:r w:rsidRPr="001C3E10">
        <w:rPr>
          <w:rFonts w:asciiTheme="minorHAnsi" w:hAnsiTheme="minorHAnsi"/>
          <w:i/>
          <w:sz w:val="22"/>
        </w:rPr>
        <w:fldChar w:fldCharType="end"/>
      </w:r>
      <w:r w:rsidRPr="001C3E10">
        <w:rPr>
          <w:rFonts w:asciiTheme="minorHAnsi" w:hAnsiTheme="minorHAnsi"/>
          <w:sz w:val="22"/>
        </w:rPr>
        <w:t>, resume los procesos, las personas y las herramientas requeridas para la toma de los distintos tipos de decisiones relacionadas con la gestión de la TI en la Corporación.</w:t>
      </w:r>
    </w:p>
    <w:p w14:paraId="3A223B25" w14:textId="2EBCAECA"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lastRenderedPageBreak/>
        <w:fldChar w:fldCharType="begin"/>
      </w:r>
      <w:r w:rsidRPr="001C3E10">
        <w:rPr>
          <w:rFonts w:asciiTheme="minorHAnsi" w:hAnsiTheme="minorHAnsi"/>
          <w:i/>
          <w:sz w:val="22"/>
        </w:rPr>
        <w:instrText xml:space="preserve"> REF _Ref406443616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Gestión financiera de TI</w:t>
      </w:r>
      <w:r w:rsidRPr="001C3E10">
        <w:rPr>
          <w:rFonts w:asciiTheme="minorHAnsi" w:hAnsiTheme="minorHAnsi"/>
          <w:i/>
          <w:sz w:val="22"/>
        </w:rPr>
        <w:fldChar w:fldCharType="end"/>
      </w:r>
      <w:r w:rsidRPr="001C3E10">
        <w:rPr>
          <w:rFonts w:asciiTheme="minorHAnsi" w:hAnsiTheme="minorHAnsi"/>
          <w:sz w:val="22"/>
        </w:rPr>
        <w:t xml:space="preserve">, describe la forma en la que es obtenido el financiamiento requerido para la operación y el desarrollo de la TI, además de la forma en la que los </w:t>
      </w:r>
      <w:r w:rsidRPr="004D7122">
        <w:rPr>
          <w:rFonts w:asciiTheme="minorHAnsi" w:hAnsiTheme="minorHAnsi"/>
          <w:sz w:val="22"/>
        </w:rPr>
        <w:t>costos</w:t>
      </w:r>
      <w:r w:rsidRPr="001C3E10">
        <w:rPr>
          <w:rFonts w:asciiTheme="minorHAnsi" w:hAnsiTheme="minorHAnsi"/>
          <w:sz w:val="22"/>
        </w:rPr>
        <w:t xml:space="preserve"> asociados con la TI son distribuidos.</w:t>
      </w:r>
    </w:p>
    <w:p w14:paraId="4E43D388"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t>Métricas</w:t>
      </w:r>
      <w:r w:rsidRPr="001C3E10">
        <w:rPr>
          <w:rFonts w:asciiTheme="minorHAnsi" w:hAnsiTheme="minorHAnsi"/>
          <w:sz w:val="22"/>
        </w:rPr>
        <w:t xml:space="preserve">, esenciales para lograr transparencia y control, elementos necesarios para demostrar el aporte de valor que brinda TI. </w:t>
      </w:r>
    </w:p>
    <w:p w14:paraId="1B16E120" w14:textId="77777777" w:rsidR="001C3E10" w:rsidRPr="001C3E10" w:rsidRDefault="001C3E10" w:rsidP="001C3E10">
      <w:pPr>
        <w:spacing w:line="276" w:lineRule="auto"/>
        <w:jc w:val="both"/>
        <w:rPr>
          <w:rFonts w:asciiTheme="minorHAnsi" w:eastAsiaTheme="majorEastAsia" w:hAnsiTheme="minorHAnsi" w:cstheme="majorBidi"/>
          <w:b/>
          <w:bCs/>
          <w:color w:val="365F91" w:themeColor="accent1" w:themeShade="BF"/>
          <w:sz w:val="22"/>
          <w:szCs w:val="22"/>
        </w:rPr>
      </w:pPr>
      <w:r w:rsidRPr="001C3E10">
        <w:rPr>
          <w:rFonts w:asciiTheme="minorHAnsi" w:hAnsiTheme="minorHAnsi"/>
          <w:sz w:val="22"/>
          <w:szCs w:val="22"/>
        </w:rPr>
        <w:t xml:space="preserve">Cada parte comprendida en la sección </w:t>
      </w:r>
      <w:r w:rsidRPr="001C3E10">
        <w:rPr>
          <w:rFonts w:asciiTheme="minorHAnsi" w:hAnsiTheme="minorHAnsi"/>
          <w:i/>
          <w:sz w:val="22"/>
          <w:szCs w:val="22"/>
        </w:rPr>
        <w:fldChar w:fldCharType="begin"/>
      </w:r>
      <w:r w:rsidRPr="001C3E10">
        <w:rPr>
          <w:rFonts w:asciiTheme="minorHAnsi" w:hAnsiTheme="minorHAnsi"/>
          <w:i/>
          <w:sz w:val="22"/>
          <w:szCs w:val="22"/>
        </w:rPr>
        <w:instrText xml:space="preserve"> REF _Ref406537297 \h  \* MERGEFORMAT </w:instrText>
      </w:r>
      <w:r w:rsidRPr="001C3E10">
        <w:rPr>
          <w:rFonts w:asciiTheme="minorHAnsi" w:hAnsiTheme="minorHAnsi"/>
          <w:i/>
          <w:sz w:val="22"/>
          <w:szCs w:val="22"/>
        </w:rPr>
      </w:r>
      <w:r w:rsidRPr="001C3E10">
        <w:rPr>
          <w:rFonts w:asciiTheme="minorHAnsi" w:hAnsiTheme="minorHAnsi"/>
          <w:i/>
          <w:sz w:val="22"/>
          <w:szCs w:val="22"/>
        </w:rPr>
        <w:fldChar w:fldCharType="separate"/>
      </w:r>
      <w:r w:rsidR="00A17DFE" w:rsidRPr="001C3E10">
        <w:rPr>
          <w:rFonts w:asciiTheme="minorHAnsi" w:hAnsiTheme="minorHAnsi"/>
          <w:sz w:val="22"/>
          <w:szCs w:val="22"/>
        </w:rPr>
        <w:t>Aprovisionamiento</w:t>
      </w:r>
      <w:r w:rsidRPr="001C3E10">
        <w:rPr>
          <w:rFonts w:asciiTheme="minorHAnsi" w:hAnsiTheme="minorHAnsi"/>
          <w:i/>
          <w:sz w:val="22"/>
          <w:szCs w:val="22"/>
        </w:rPr>
        <w:fldChar w:fldCharType="end"/>
      </w:r>
      <w:r w:rsidRPr="001C3E10">
        <w:rPr>
          <w:rFonts w:asciiTheme="minorHAnsi" w:hAnsiTheme="minorHAnsi"/>
          <w:sz w:val="22"/>
          <w:szCs w:val="22"/>
        </w:rPr>
        <w:t xml:space="preserve"> resume la situación que en la actualidad se presenta y las estrategias formuladas para colaborar con el alcance de los objetivos estratégicos de la Corporación. Lo descrito en esta sección refleja las estrategias que TI desarrollará a lo largo del periodo:</w:t>
      </w:r>
    </w:p>
    <w:p w14:paraId="57C73E7F"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_Ref406443623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Servicios de TI</w:t>
      </w:r>
      <w:r w:rsidRPr="001C3E10">
        <w:rPr>
          <w:rFonts w:asciiTheme="minorHAnsi" w:hAnsiTheme="minorHAnsi"/>
          <w:i/>
          <w:sz w:val="22"/>
        </w:rPr>
        <w:fldChar w:fldCharType="end"/>
      </w:r>
      <w:r w:rsidRPr="001C3E10">
        <w:rPr>
          <w:rFonts w:asciiTheme="minorHAnsi" w:hAnsiTheme="minorHAnsi"/>
          <w:sz w:val="22"/>
        </w:rPr>
        <w:t>, descripción básica de los servicios que TI brinda a la Corporación.</w:t>
      </w:r>
    </w:p>
    <w:p w14:paraId="11B57EFB"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_Ref406443629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Arquitectura</w:t>
      </w:r>
      <w:r w:rsidRPr="001C3E10">
        <w:rPr>
          <w:rFonts w:asciiTheme="minorHAnsi" w:hAnsiTheme="minorHAnsi"/>
          <w:i/>
          <w:sz w:val="22"/>
        </w:rPr>
        <w:fldChar w:fldCharType="end"/>
      </w:r>
      <w:r w:rsidRPr="001C3E10">
        <w:rPr>
          <w:rFonts w:asciiTheme="minorHAnsi" w:hAnsiTheme="minorHAnsi"/>
          <w:sz w:val="22"/>
        </w:rPr>
        <w:t>, síntesis del diseño de los servicios de TI y los principales cambios que sobre el mismo deberán realizarse para cubrir las brechas existentes en las capacidades de la organización.</w:t>
      </w:r>
    </w:p>
    <w:p w14:paraId="7AD52BC9"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_Ref410915519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Personas</w:t>
      </w:r>
      <w:r w:rsidRPr="001C3E10">
        <w:rPr>
          <w:rFonts w:asciiTheme="minorHAnsi" w:hAnsiTheme="minorHAnsi"/>
          <w:i/>
          <w:sz w:val="22"/>
        </w:rPr>
        <w:fldChar w:fldCharType="end"/>
      </w:r>
      <w:r w:rsidRPr="001C3E10">
        <w:rPr>
          <w:rFonts w:asciiTheme="minorHAnsi" w:hAnsiTheme="minorHAnsi"/>
          <w:sz w:val="22"/>
        </w:rPr>
        <w:t>, resume la estructura, las habilidades y las prácticas que existen en la organización de TI y que se requerirán para cubrir las necesidades institucionales del periodo.</w:t>
      </w:r>
    </w:p>
    <w:p w14:paraId="5EFDBE98" w14:textId="77777777" w:rsidR="001C3E10" w:rsidRPr="001C3E10" w:rsidRDefault="001C3E10" w:rsidP="00547B19">
      <w:pPr>
        <w:pStyle w:val="Prrafodelista"/>
        <w:numPr>
          <w:ilvl w:val="0"/>
          <w:numId w:val="46"/>
        </w:numPr>
        <w:spacing w:after="200" w:line="276" w:lineRule="auto"/>
        <w:rPr>
          <w:rFonts w:asciiTheme="minorHAnsi" w:hAnsiTheme="minorHAnsi"/>
          <w:sz w:val="22"/>
        </w:rPr>
      </w:pPr>
      <w:r w:rsidRPr="001C3E10">
        <w:rPr>
          <w:rFonts w:asciiTheme="minorHAnsi" w:hAnsiTheme="minorHAnsi"/>
          <w:i/>
          <w:sz w:val="22"/>
        </w:rPr>
        <w:fldChar w:fldCharType="begin"/>
      </w:r>
      <w:r w:rsidRPr="001C3E10">
        <w:rPr>
          <w:rFonts w:asciiTheme="minorHAnsi" w:hAnsiTheme="minorHAnsi"/>
          <w:i/>
          <w:sz w:val="22"/>
        </w:rPr>
        <w:instrText xml:space="preserve"> REF _Ref406443635 \h  \* MERGEFORMAT </w:instrText>
      </w:r>
      <w:r w:rsidRPr="001C3E10">
        <w:rPr>
          <w:rFonts w:asciiTheme="minorHAnsi" w:hAnsiTheme="minorHAnsi"/>
          <w:i/>
          <w:sz w:val="22"/>
        </w:rPr>
      </w:r>
      <w:r w:rsidRPr="001C3E10">
        <w:rPr>
          <w:rFonts w:asciiTheme="minorHAnsi" w:hAnsiTheme="minorHAnsi"/>
          <w:i/>
          <w:sz w:val="22"/>
        </w:rPr>
        <w:fldChar w:fldCharType="separate"/>
      </w:r>
      <w:r w:rsidR="00A17DFE" w:rsidRPr="00A17DFE">
        <w:rPr>
          <w:rFonts w:asciiTheme="minorHAnsi" w:hAnsiTheme="minorHAnsi"/>
          <w:i/>
          <w:sz w:val="22"/>
        </w:rPr>
        <w:t>Fuentes</w:t>
      </w:r>
      <w:r w:rsidR="00A17DFE" w:rsidRPr="001C3E10">
        <w:rPr>
          <w:rFonts w:asciiTheme="minorHAnsi" w:hAnsiTheme="minorHAnsi"/>
          <w:sz w:val="22"/>
        </w:rPr>
        <w:t xml:space="preserve"> de aprovisionamiento</w:t>
      </w:r>
      <w:r w:rsidRPr="001C3E10">
        <w:rPr>
          <w:rFonts w:asciiTheme="minorHAnsi" w:hAnsiTheme="minorHAnsi"/>
          <w:i/>
          <w:sz w:val="22"/>
        </w:rPr>
        <w:fldChar w:fldCharType="end"/>
      </w:r>
      <w:r w:rsidRPr="001C3E10">
        <w:rPr>
          <w:rFonts w:asciiTheme="minorHAnsi" w:hAnsiTheme="minorHAnsi"/>
          <w:sz w:val="22"/>
        </w:rPr>
        <w:t>, los modelos de aprovisionamiento, gestión de proveedores y selección de tecnología que serán utilizados por TI.</w:t>
      </w:r>
    </w:p>
    <w:p w14:paraId="4785C1BB" w14:textId="4DA3E9B9"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Algunos temas tratados en esta estrategia requieren de mayores detalles para que se logre profundizar en ellos e interpretar de una mejor manera lo expuesto. Es por esto que se incorpora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_Ref410917361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Apéndices</w:t>
      </w:r>
      <w:r w:rsidRPr="001C3E10">
        <w:rPr>
          <w:rFonts w:asciiTheme="minorHAnsi" w:hAnsiTheme="minorHAnsi"/>
          <w:sz w:val="22"/>
          <w:szCs w:val="22"/>
        </w:rPr>
        <w:fldChar w:fldCharType="end"/>
      </w:r>
      <w:r w:rsidRPr="001C3E10">
        <w:rPr>
          <w:rFonts w:asciiTheme="minorHAnsi" w:hAnsiTheme="minorHAnsi"/>
          <w:sz w:val="22"/>
          <w:szCs w:val="22"/>
        </w:rPr>
        <w:t xml:space="preserve"> un conjunto de ampliaciones que facilitan la lectura de esta estrategia.</w:t>
      </w:r>
    </w:p>
    <w:p w14:paraId="71660E14"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163" w:name="_Ref408236343"/>
      <w:bookmarkStart w:id="164" w:name="_Toc414532008"/>
      <w:bookmarkStart w:id="165" w:name="_Toc429555137"/>
      <w:bookmarkStart w:id="166" w:name="_Toc429562779"/>
      <w:bookmarkStart w:id="167" w:name="_Toc429563089"/>
      <w:bookmarkStart w:id="168" w:name="_Toc429563244"/>
      <w:r w:rsidRPr="001C3E10">
        <w:rPr>
          <w:rFonts w:asciiTheme="minorHAnsi" w:hAnsiTheme="minorHAnsi"/>
          <w:sz w:val="22"/>
          <w:szCs w:val="22"/>
        </w:rPr>
        <w:t>Demanda</w:t>
      </w:r>
      <w:bookmarkEnd w:id="163"/>
      <w:bookmarkEnd w:id="164"/>
      <w:bookmarkEnd w:id="165"/>
      <w:bookmarkEnd w:id="166"/>
      <w:bookmarkEnd w:id="167"/>
      <w:bookmarkEnd w:id="168"/>
    </w:p>
    <w:p w14:paraId="73370BB9"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69" w:name="_Ref406443576"/>
      <w:bookmarkStart w:id="170" w:name="_Toc414532009"/>
      <w:bookmarkStart w:id="171" w:name="_Toc429555138"/>
      <w:bookmarkStart w:id="172" w:name="_Toc429562780"/>
      <w:bookmarkStart w:id="173" w:name="_Toc429563090"/>
      <w:bookmarkStart w:id="174" w:name="_Toc429563245"/>
      <w:r w:rsidRPr="001C3E10">
        <w:rPr>
          <w:rFonts w:asciiTheme="minorHAnsi" w:hAnsiTheme="minorHAnsi"/>
          <w:sz w:val="22"/>
          <w:szCs w:val="22"/>
        </w:rPr>
        <w:t>Contexto de la organización</w:t>
      </w:r>
      <w:bookmarkEnd w:id="169"/>
      <w:bookmarkEnd w:id="170"/>
      <w:bookmarkEnd w:id="171"/>
      <w:bookmarkEnd w:id="172"/>
      <w:bookmarkEnd w:id="173"/>
      <w:bookmarkEnd w:id="174"/>
    </w:p>
    <w:p w14:paraId="5BE388A7" w14:textId="77777777" w:rsidR="00B30C48" w:rsidRDefault="00B30C48" w:rsidP="001C3E10">
      <w:pPr>
        <w:spacing w:line="276" w:lineRule="auto"/>
        <w:jc w:val="both"/>
        <w:rPr>
          <w:rFonts w:asciiTheme="minorHAnsi" w:hAnsiTheme="minorHAnsi"/>
          <w:sz w:val="22"/>
          <w:szCs w:val="22"/>
        </w:rPr>
      </w:pPr>
    </w:p>
    <w:p w14:paraId="21C9BF2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Corporación </w:t>
      </w:r>
      <w:r w:rsidRPr="001C3E10">
        <w:rPr>
          <w:rFonts w:asciiTheme="minorHAnsi" w:hAnsiTheme="minorHAnsi"/>
          <w:b/>
          <w:sz w:val="22"/>
          <w:szCs w:val="22"/>
        </w:rPr>
        <w:t>Banco Central de Costa Rica</w:t>
      </w:r>
      <w:r w:rsidRPr="001C3E10">
        <w:rPr>
          <w:rFonts w:asciiTheme="minorHAnsi" w:hAnsiTheme="minorHAnsi"/>
          <w:sz w:val="22"/>
          <w:szCs w:val="22"/>
        </w:rPr>
        <w:t xml:space="preserve"> forma parte del Sistema Bancario Nacional, cuyo principal objetivo es el controlar la inflación y mantener la estabilidad interna y externa de la moneda nacional,  asegurando su conversión a otras monedas. </w:t>
      </w:r>
    </w:p>
    <w:p w14:paraId="42FE5000" w14:textId="77777777" w:rsidR="00B30C48" w:rsidRDefault="00B30C48" w:rsidP="001C3E10">
      <w:pPr>
        <w:spacing w:line="276" w:lineRule="auto"/>
        <w:jc w:val="both"/>
        <w:rPr>
          <w:rFonts w:asciiTheme="minorHAnsi" w:hAnsiTheme="minorHAnsi"/>
          <w:sz w:val="22"/>
          <w:szCs w:val="22"/>
        </w:rPr>
      </w:pPr>
    </w:p>
    <w:p w14:paraId="53B71A4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Sumados a este objetivo principal se encuentran además los siguientes objetivos subsidiarios:</w:t>
      </w:r>
    </w:p>
    <w:p w14:paraId="3276F659"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Promover el ordenado desarrollo de la economía costarricense, a fin de lograr la ocupación plena de los recursos productivos de la Nación, procurando evitar o moderar las tendencias inflacionistas o deflacionistas que puedan surgir en el mercado monetario y crediticio.</w:t>
      </w:r>
    </w:p>
    <w:p w14:paraId="18D579CB"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Velar por el buen uso de las reservas monetarias internacionales de la Nación para el logro de la estabilidad económica general.</w:t>
      </w:r>
    </w:p>
    <w:p w14:paraId="50AE22D5"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Promover la eficiencia del sistema de pagos internos y externos y mantener su normal funcionamiento.</w:t>
      </w:r>
    </w:p>
    <w:p w14:paraId="437B2729" w14:textId="77777777" w:rsidR="001C3E10" w:rsidRPr="001C3E10" w:rsidRDefault="001C3E10" w:rsidP="00547B19">
      <w:pPr>
        <w:pStyle w:val="Prrafodelista"/>
        <w:numPr>
          <w:ilvl w:val="0"/>
          <w:numId w:val="34"/>
        </w:numPr>
        <w:spacing w:after="200" w:line="276" w:lineRule="auto"/>
        <w:rPr>
          <w:rFonts w:asciiTheme="minorHAnsi" w:hAnsiTheme="minorHAnsi"/>
          <w:sz w:val="22"/>
        </w:rPr>
      </w:pPr>
      <w:r w:rsidRPr="001C3E10">
        <w:rPr>
          <w:rFonts w:asciiTheme="minorHAnsi" w:hAnsiTheme="minorHAnsi"/>
          <w:sz w:val="22"/>
        </w:rPr>
        <w:t>Promover un sistema de intermediación financiera estable, eficiente y competitivo.</w:t>
      </w:r>
    </w:p>
    <w:p w14:paraId="669A2B4E"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lastRenderedPageBreak/>
        <w:t xml:space="preserve">El </w:t>
      </w:r>
      <w:r w:rsidRPr="001C3E10">
        <w:rPr>
          <w:rFonts w:asciiTheme="minorHAnsi" w:hAnsiTheme="minorHAnsi"/>
          <w:b/>
          <w:sz w:val="22"/>
          <w:szCs w:val="22"/>
        </w:rPr>
        <w:t>Consejo Nacional de Supervisión del Sistema Financiero</w:t>
      </w:r>
      <w:r w:rsidRPr="001C3E10">
        <w:rPr>
          <w:rFonts w:asciiTheme="minorHAnsi" w:hAnsiTheme="minorHAnsi"/>
          <w:sz w:val="22"/>
          <w:szCs w:val="22"/>
        </w:rPr>
        <w:t xml:space="preserve"> (CONASSIF) es un órgano colegiado de dirección superior cuyo principal objetivo es dictar los lineamientos y políticas relativas al marco regulatorio de las cuatro Superintendencias del Sistema Financiero: </w:t>
      </w:r>
    </w:p>
    <w:p w14:paraId="437C4041"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SUGEF.</w:t>
      </w:r>
      <w:r w:rsidRPr="001C3E10">
        <w:rPr>
          <w:rFonts w:asciiTheme="minorHAnsi" w:hAnsiTheme="minorHAnsi"/>
          <w:sz w:val="22"/>
        </w:rPr>
        <w:t xml:space="preserve"> Vela por la estabilidad, la solidez y el funcionamiento eficiente del sistema financiero nacional, con estricto apego a las disposiciones legales y reglamentarias y de conformidad con las normas, directrices y resoluciones que dicte la propia Corporación, en defensa de los intereses de los habitantes.</w:t>
      </w:r>
    </w:p>
    <w:p w14:paraId="10B9CD31"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SUGEVAL.</w:t>
      </w:r>
      <w:r w:rsidRPr="001C3E10">
        <w:rPr>
          <w:rFonts w:asciiTheme="minorHAnsi" w:hAnsiTheme="minorHAnsi"/>
          <w:sz w:val="22"/>
        </w:rPr>
        <w:t xml:space="preserve"> Vela por la transparencia de los mercados de valores, la formación correcta de precios en ellos, la protección de los inversionistas, y la difusión de la información necesaria para la consecución de estos fines. </w:t>
      </w:r>
    </w:p>
    <w:p w14:paraId="43018088"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SUPEN.</w:t>
      </w:r>
      <w:r w:rsidRPr="001C3E10">
        <w:rPr>
          <w:rFonts w:asciiTheme="minorHAnsi" w:hAnsiTheme="minorHAnsi"/>
          <w:sz w:val="22"/>
        </w:rPr>
        <w:t xml:space="preserve"> Encargada de supervisar y regular lo relacionado al Sistema Nacional de Pensiones costarricense, mediante el soporte jurídico que le otorgan diversas leyes y reglamentos. Además, regula y supervisa los nuevos regímenes creados por la Ley de Protección al Trabajador (Régimen Obligatorio de Pensiones Complementarias, Fondos de Capitalización Laboral y el Régimen Voluntario de Pensiones Complementarias).</w:t>
      </w:r>
    </w:p>
    <w:p w14:paraId="2BACAFEF" w14:textId="77777777" w:rsidR="001C3E10" w:rsidRPr="001C3E10" w:rsidRDefault="001C3E10" w:rsidP="00547B19">
      <w:pPr>
        <w:pStyle w:val="Prrafodelista"/>
        <w:numPr>
          <w:ilvl w:val="0"/>
          <w:numId w:val="53"/>
        </w:numPr>
        <w:spacing w:after="200" w:line="276" w:lineRule="auto"/>
        <w:rPr>
          <w:rFonts w:asciiTheme="minorHAnsi" w:hAnsiTheme="minorHAnsi"/>
          <w:sz w:val="22"/>
        </w:rPr>
      </w:pPr>
      <w:r w:rsidRPr="001C3E10">
        <w:rPr>
          <w:rFonts w:asciiTheme="minorHAnsi" w:hAnsiTheme="minorHAnsi"/>
          <w:b/>
          <w:sz w:val="22"/>
        </w:rPr>
        <w:t>SUGESE.</w:t>
      </w:r>
      <w:r w:rsidRPr="001C3E10">
        <w:rPr>
          <w:rFonts w:asciiTheme="minorHAnsi" w:hAnsiTheme="minorHAnsi"/>
          <w:sz w:val="22"/>
        </w:rPr>
        <w:t xml:space="preserve"> Autoriza, regula y supervisa a las personas físicas o jurídicas que intervengan en los actos o contratos relacionados con la actividad aseguradora, reaseguradora, la oferta pública y la realización de negocios de seguros. Vela por la estabilidad y el eficiente funcionamiento del mercado de seguros, así como entregar la más amplia información a los asegurados. </w:t>
      </w:r>
    </w:p>
    <w:p w14:paraId="1AE62517"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trike/>
          <w:sz w:val="22"/>
          <w:szCs w:val="22"/>
        </w:rPr>
      </w:pPr>
      <w:bookmarkStart w:id="175" w:name="_Ref405280852"/>
      <w:bookmarkStart w:id="176" w:name="_Toc414532010"/>
      <w:bookmarkStart w:id="177" w:name="_Toc429555139"/>
      <w:bookmarkStart w:id="178" w:name="_Toc429562781"/>
      <w:bookmarkStart w:id="179" w:name="_Toc429563091"/>
      <w:bookmarkStart w:id="180" w:name="_Toc429563246"/>
      <w:r w:rsidRPr="001C3E10">
        <w:rPr>
          <w:rFonts w:asciiTheme="minorHAnsi" w:hAnsiTheme="minorHAnsi"/>
          <w:sz w:val="22"/>
          <w:szCs w:val="22"/>
        </w:rPr>
        <w:t>Criterios de éxito de la organización</w:t>
      </w:r>
      <w:bookmarkEnd w:id="175"/>
      <w:bookmarkEnd w:id="176"/>
      <w:bookmarkEnd w:id="177"/>
      <w:bookmarkEnd w:id="178"/>
      <w:bookmarkEnd w:id="179"/>
      <w:bookmarkEnd w:id="180"/>
    </w:p>
    <w:p w14:paraId="0A299ED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De acuerdo con el Plan Estratégico del Banco Central de Costa Rica, para el periodo 2015 – 2018 el Banco Central de Costa Rica concentrará sus esfuerzos en los siguientes objetivos estratégicos, agrupados según el fin último que se persigue a través de los mismos:</w:t>
      </w:r>
    </w:p>
    <w:p w14:paraId="79BFCD36"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b/>
          <w:sz w:val="22"/>
        </w:rPr>
        <w:t>Valor público</w:t>
      </w:r>
      <w:r w:rsidRPr="001C3E10">
        <w:rPr>
          <w:rFonts w:asciiTheme="minorHAnsi" w:hAnsiTheme="minorHAnsi"/>
          <w:sz w:val="22"/>
        </w:rPr>
        <w:t>: conjunto de objetivos por medio de los cuales el Banco Central buscará “contribuir con el bienestar de la sociedad costarricense al mantener la estabilidad interna y externa de la moneda, su conversión a otras monedas y coadyuvar al pleno empleo de los recursos productivos”. A través de estos objetivos se busca la generación del mayor valor para la sociedad costarricense:</w:t>
      </w:r>
    </w:p>
    <w:p w14:paraId="4E307D6A"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Lograr que la tasa de inflación interanual local se ubique dentro del rango meta definido en el Programa Macroeconómico, congruente a su vez con el proceso de convergencia hacia la inflación de largo plazo de los principales socios comerciales. (Objetivo estratégico 1.1)</w:t>
      </w:r>
    </w:p>
    <w:p w14:paraId="35481B75"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Mantener un nivel de reservas internacionales acorde con las condiciones de la economía, que reduzca su vulnerabilidad frente a choques externos. (Objetivo estratégico 2.1)</w:t>
      </w:r>
    </w:p>
    <w:p w14:paraId="2A522A14"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Prevenir el riesgo de que el país incurra en una crisis de balanza de pagos, estableciendo condiciones favorables para que los flujos de capital de largo plazo financien el déficit de cuenta corriente. (Objetivo estratégico 2.2)</w:t>
      </w:r>
    </w:p>
    <w:p w14:paraId="2D24FB30"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lastRenderedPageBreak/>
        <w:t>Moderar apreciaciones o depreciaciones excesivas de la moneda nacional que pongan en peligro el logro de las metas de inflación futuras. (Objetivo estratégico 2.3)</w:t>
      </w:r>
    </w:p>
    <w:p w14:paraId="7EC52392"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Limitar la volatilidad excesiva del tipo de cambio en el muy corto plazo. (Objetivo estratégico 2.4)</w:t>
      </w:r>
    </w:p>
    <w:p w14:paraId="6BF28EA6"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Profundizar en el análisis de los determinantes de la capacidad de crecimiento potencial de la economía, a fin de medir el impacto de las políticas macroeconómicas del Banco Central y de las demás políticas públicas. (Objetivo estratégico 3.1)</w:t>
      </w:r>
    </w:p>
    <w:p w14:paraId="535764D3"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Promover un sistema financiero estable, eficiente y competitivo. (Objetivo estratégico 4.1)</w:t>
      </w:r>
    </w:p>
    <w:p w14:paraId="5AC3C97E" w14:textId="77777777" w:rsidR="001C3E10" w:rsidRPr="001C3E10" w:rsidRDefault="001C3E10" w:rsidP="00547B19">
      <w:pPr>
        <w:pStyle w:val="Prrafodelista"/>
        <w:numPr>
          <w:ilvl w:val="0"/>
          <w:numId w:val="37"/>
        </w:numPr>
        <w:spacing w:after="200" w:line="276" w:lineRule="auto"/>
        <w:rPr>
          <w:rFonts w:asciiTheme="minorHAnsi" w:hAnsiTheme="minorHAnsi"/>
          <w:sz w:val="22"/>
        </w:rPr>
      </w:pPr>
      <w:r w:rsidRPr="001C3E10">
        <w:rPr>
          <w:rFonts w:asciiTheme="minorHAnsi" w:hAnsiTheme="minorHAnsi"/>
          <w:sz w:val="22"/>
        </w:rPr>
        <w:t>Reducir el costo que representa para la economía la satisfacción de sus necesidades de transacción. (Objetivo estratégico 5.1)</w:t>
      </w:r>
    </w:p>
    <w:p w14:paraId="2415D49F" w14:textId="77777777" w:rsidR="001C3E10" w:rsidRPr="001C3E10" w:rsidRDefault="001C3E10" w:rsidP="001C3E10">
      <w:pPr>
        <w:pStyle w:val="Prrafodelista"/>
        <w:spacing w:line="276" w:lineRule="auto"/>
        <w:ind w:left="1068"/>
        <w:rPr>
          <w:rFonts w:asciiTheme="minorHAnsi" w:hAnsiTheme="minorHAnsi"/>
          <w:sz w:val="22"/>
        </w:rPr>
      </w:pPr>
    </w:p>
    <w:p w14:paraId="748A962D"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b/>
          <w:sz w:val="22"/>
        </w:rPr>
        <w:t>Excelencia operacional</w:t>
      </w:r>
      <w:r w:rsidRPr="001C3E10">
        <w:rPr>
          <w:rFonts w:asciiTheme="minorHAnsi" w:hAnsiTheme="minorHAnsi"/>
          <w:sz w:val="22"/>
        </w:rPr>
        <w:t>: con este objetivo se busca la mejora continua, la innovación en los procesos y la aplicación de buenas prácticas en la Corporación, todo ello con el fin de mejorar la asignación de los recursos y la calidad de los servicios que el Banco Central proporciona:</w:t>
      </w:r>
    </w:p>
    <w:p w14:paraId="03B021F4" w14:textId="77777777" w:rsidR="001C3E10" w:rsidRPr="001C3E10" w:rsidRDefault="001C3E10" w:rsidP="001C3E10">
      <w:pPr>
        <w:pStyle w:val="Prrafodelista"/>
        <w:spacing w:line="276" w:lineRule="auto"/>
        <w:rPr>
          <w:rFonts w:asciiTheme="minorHAnsi" w:hAnsiTheme="minorHAnsi"/>
          <w:sz w:val="22"/>
        </w:rPr>
      </w:pPr>
    </w:p>
    <w:p w14:paraId="17134CCF" w14:textId="77777777" w:rsidR="001C3E10" w:rsidRPr="001C3E10" w:rsidRDefault="001C3E10" w:rsidP="00547B19">
      <w:pPr>
        <w:pStyle w:val="Prrafodelista"/>
        <w:numPr>
          <w:ilvl w:val="0"/>
          <w:numId w:val="33"/>
        </w:numPr>
        <w:spacing w:after="200" w:line="276" w:lineRule="auto"/>
        <w:rPr>
          <w:rFonts w:asciiTheme="minorHAnsi" w:hAnsiTheme="minorHAnsi"/>
          <w:sz w:val="22"/>
        </w:rPr>
      </w:pPr>
      <w:r w:rsidRPr="001C3E10">
        <w:rPr>
          <w:rFonts w:asciiTheme="minorHAnsi" w:hAnsiTheme="minorHAnsi"/>
          <w:sz w:val="22"/>
        </w:rPr>
        <w:t>Alinear la estructura interna, la gestión integral del recurso humano, procesos, tecnología y riesgos, para el cumplimiento de los objetivos estratégicos institucionales. (Objetivo estratégico 6.1)</w:t>
      </w:r>
    </w:p>
    <w:p w14:paraId="5A76596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Por su parte, el marco estratégico institucional para el periodo 2014-2018 del CONASIFF se encuentra definido por los siguientes objetivos:</w:t>
      </w:r>
    </w:p>
    <w:p w14:paraId="09505A60" w14:textId="43E6AF79"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Fortalecer la Regulación y Supervisión micro</w:t>
      </w:r>
      <w:r>
        <w:rPr>
          <w:rFonts w:asciiTheme="minorHAnsi" w:hAnsiTheme="minorHAnsi"/>
          <w:sz w:val="22"/>
        </w:rPr>
        <w:t xml:space="preserve"> </w:t>
      </w:r>
      <w:r w:rsidRPr="001C3E10">
        <w:rPr>
          <w:rFonts w:asciiTheme="minorHAnsi" w:hAnsiTheme="minorHAnsi"/>
          <w:sz w:val="22"/>
        </w:rPr>
        <w:t>prudencial.</w:t>
      </w:r>
    </w:p>
    <w:p w14:paraId="6AA7D0D1" w14:textId="03E69FCF"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Introducir en la Regulación y Supervisión el enfoque macro</w:t>
      </w:r>
      <w:r>
        <w:rPr>
          <w:rFonts w:asciiTheme="minorHAnsi" w:hAnsiTheme="minorHAnsi"/>
          <w:sz w:val="22"/>
        </w:rPr>
        <w:t xml:space="preserve"> </w:t>
      </w:r>
      <w:r w:rsidRPr="001C3E10">
        <w:rPr>
          <w:rFonts w:asciiTheme="minorHAnsi" w:hAnsiTheme="minorHAnsi"/>
          <w:sz w:val="22"/>
        </w:rPr>
        <w:t>prudencial.</w:t>
      </w:r>
    </w:p>
    <w:p w14:paraId="4302C7C1"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Proteger y educar a los consumidores de servicios y productos financieros.</w:t>
      </w:r>
    </w:p>
    <w:p w14:paraId="5CB60B2E"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Promover la integración institucional del sistema de supervisión.</w:t>
      </w:r>
    </w:p>
    <w:p w14:paraId="4ED7DC4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SUGEF, para el quinquenio 2013-2017 dispuso como parte de su estrategia los siguientes cuatro objetivos estratégicos:</w:t>
      </w:r>
    </w:p>
    <w:p w14:paraId="4A2A26DF"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Establecer las condiciones necesarias para el funcionamiento eficiente del enfoque de Supervisión Basada en Riesgos.</w:t>
      </w:r>
    </w:p>
    <w:p w14:paraId="4E2210C1"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Adoptar un modelo de supervisión consolidada, resolución bancaria y seguro de depósitos, considerando las mejores prácticas internacionales en la materia.</w:t>
      </w:r>
    </w:p>
    <w:p w14:paraId="0BE98A7E"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Dotar a la SUGEF de una estructura organizativa apropiada, del personal idóneo y de un enfoque de procesos con base tecnológica, para una gestión general más eficaz y eficiente, que promueva el crecimiento profesional de sus colaboradores.</w:t>
      </w:r>
    </w:p>
    <w:p w14:paraId="1972B71A"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Propiciar una intermediación financiera transparente que promueva la estabilidad del sistema, que fomenten el respeto por los derechos de los usuarios, así como la toma de consciencia por parte del fiscalizado, por servicios financieros de alta calidad.</w:t>
      </w:r>
    </w:p>
    <w:p w14:paraId="60E7242E"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lastRenderedPageBreak/>
        <w:t>La SUGEVAL ha definido los siguientes objetivos estratégicos para el periodo 2014-2017:</w:t>
      </w:r>
    </w:p>
    <w:p w14:paraId="1E63DA58"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Contribuir al fortalecimiento y confianza del mercado de valores costarricense, mediante el mejoramiento continuo y sostenido de los procesos de regulación, autorización, supervisión y cumplimiento en términos de calidad, eficiencia y eficacia.</w:t>
      </w:r>
    </w:p>
    <w:p w14:paraId="77BC2F71"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Promover la comunicación asertiva, el trabajo en equipo y las capacidades de liderazgo efectivo con el fin de optimizar el clima de la Corporación</w:t>
      </w:r>
    </w:p>
    <w:p w14:paraId="0974FB37"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Racionalizar la elaboración de la normativa para adaptarla a las necesidades locales y a las mejores prácticas y principios internacionales.</w:t>
      </w:r>
    </w:p>
    <w:p w14:paraId="67D61584"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Adoptar un enfoque de Supervisión Basado en Riesgos con el fin de priorizar la asignación de recursos en el proceso de supervisión para lograr una mejor gestión de los riesgos de las entidades reguladas, productos y mercados.</w:t>
      </w:r>
    </w:p>
    <w:p w14:paraId="1B044D0F"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Promover la cultura financiera y el conocimiento del mercado de valores en Costa Rica por medio de programas de educación dirigidos a distintos segmentos meta y al público en general esto en el marco de la Estrategia Nacional de Educación Financiera (ENEF).</w:t>
      </w:r>
    </w:p>
    <w:p w14:paraId="0F0D05B4"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Mejorar integralmente el mecanismo de captura y difusión de la información relevante y oportuna para la toma de decisiones de los distintos públicos que atiende la Corporación.</w:t>
      </w:r>
    </w:p>
    <w:p w14:paraId="01A08849"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Fortalecer la cultura de rendición de cuentas a lo interno y externo de la Corporación y diseñar mecanismos que promuevan la transparencia, visibilizando la ejecución y avance del plan estratégico y proyectos institucionales a los públicos interesados.</w:t>
      </w:r>
    </w:p>
    <w:p w14:paraId="06990D59"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Fortalecer la gestión de los procesos de tecnología de la información para garantizar la entrega de servicios alineados con los objetivos estratégicos de la Corporación.</w:t>
      </w:r>
    </w:p>
    <w:p w14:paraId="38A1C4F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SUGESE, por su parte, ha establecido tres objetivos estratégicos para el periodo 2014-2018:</w:t>
      </w:r>
    </w:p>
    <w:p w14:paraId="310EB89E"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 xml:space="preserve">Avanzar en el cumplimiento de los estándares de supervisión y regulación de la </w:t>
      </w:r>
      <w:hyperlink w:anchor="IAIS" w:history="1">
        <w:r w:rsidRPr="001C3E10">
          <w:rPr>
            <w:rStyle w:val="Hipervnculo"/>
            <w:rFonts w:asciiTheme="minorHAnsi" w:hAnsiTheme="minorHAnsi"/>
            <w:sz w:val="22"/>
          </w:rPr>
          <w:t>IAIS</w:t>
        </w:r>
      </w:hyperlink>
      <w:r w:rsidRPr="001C3E10">
        <w:rPr>
          <w:rFonts w:asciiTheme="minorHAnsi" w:hAnsiTheme="minorHAnsi"/>
          <w:sz w:val="22"/>
        </w:rPr>
        <w:t>.</w:t>
      </w:r>
    </w:p>
    <w:p w14:paraId="1CCD616A"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Mejorar el conocimiento y acceso al seguro de los consumidores a efecto de potenciar el respeto a los derechos del asegurado y la disciplina de mercado.</w:t>
      </w:r>
    </w:p>
    <w:p w14:paraId="0E1ED516" w14:textId="77777777" w:rsidR="001C3E10" w:rsidRPr="001C3E10" w:rsidRDefault="001C3E10" w:rsidP="00547B19">
      <w:pPr>
        <w:pStyle w:val="Prrafodelista"/>
        <w:numPr>
          <w:ilvl w:val="0"/>
          <w:numId w:val="36"/>
        </w:numPr>
        <w:spacing w:after="200" w:line="276" w:lineRule="auto"/>
        <w:rPr>
          <w:rFonts w:asciiTheme="minorHAnsi" w:hAnsiTheme="minorHAnsi"/>
          <w:sz w:val="22"/>
        </w:rPr>
      </w:pPr>
      <w:r w:rsidRPr="001C3E10">
        <w:rPr>
          <w:rFonts w:asciiTheme="minorHAnsi" w:hAnsiTheme="minorHAnsi"/>
          <w:sz w:val="22"/>
        </w:rPr>
        <w:t>Implementar sistemas de control interno que garanticen el cumplimiento de la SUGESE del marco regulatorio y de los estándares de aplicables.</w:t>
      </w:r>
    </w:p>
    <w:p w14:paraId="4FE15B9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SUPEN, para el quinquenio 2016-2020 definió como parte de su estrategia los siguientes cuatro objetivos estratégicos:</w:t>
      </w:r>
    </w:p>
    <w:p w14:paraId="1383D5AD" w14:textId="77777777" w:rsidR="001C3E10" w:rsidRPr="001C3E10" w:rsidRDefault="001C3E10" w:rsidP="001C3E10">
      <w:pPr>
        <w:tabs>
          <w:tab w:val="left" w:pos="3261"/>
        </w:tabs>
        <w:spacing w:line="276" w:lineRule="auto"/>
        <w:ind w:left="3119" w:hanging="3119"/>
        <w:jc w:val="both"/>
        <w:rPr>
          <w:rFonts w:asciiTheme="minorHAnsi" w:hAnsiTheme="minorHAnsi"/>
          <w:sz w:val="22"/>
          <w:szCs w:val="22"/>
        </w:rPr>
      </w:pPr>
      <w:r w:rsidRPr="001C3E10">
        <w:rPr>
          <w:rFonts w:asciiTheme="minorHAnsi" w:hAnsiTheme="minorHAnsi"/>
          <w:b/>
          <w:bCs/>
          <w:sz w:val="22"/>
          <w:szCs w:val="22"/>
        </w:rPr>
        <w:t>Objetivo estratégico 1:</w:t>
      </w:r>
      <w:r w:rsidRPr="001C3E10">
        <w:rPr>
          <w:rFonts w:asciiTheme="minorHAnsi" w:hAnsiTheme="minorHAnsi"/>
          <w:sz w:val="22"/>
          <w:szCs w:val="22"/>
        </w:rPr>
        <w:tab/>
        <w:t>Vigilar a los participantes en el Sistema Nacional de Pensiones</w:t>
      </w:r>
    </w:p>
    <w:p w14:paraId="43A90033"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La SUPEN es la institución encargada de supervisar el SNP, específicamente tiene la función social de vigilar el desempeño de este sistema con el propósito de resguardar los intereses de los afiliados, quienes dan en administración sus re-cursos a los gestores de pensiones con la esperanza de tener acceso a una etapa de retiro que les permita mantener la calidad de vida. Para cumplir con esta tarea la SUPEN tiene el compromiso de identificar y evaluar los diferentes riesgos a que pueden ser expuestos los distintos regímenes de pensiones establecidos por </w:t>
      </w:r>
      <w:r w:rsidRPr="001C3E10">
        <w:rPr>
          <w:rFonts w:asciiTheme="minorHAnsi" w:hAnsiTheme="minorHAnsi"/>
          <w:sz w:val="22"/>
          <w:szCs w:val="22"/>
        </w:rPr>
        <w:lastRenderedPageBreak/>
        <w:t>ley, que pudieran afectar la administración de los recursos de los afiliados y por ende menoscabar el disfrute de los beneficios ofrecidos. A través de asesoría y la formulación de normativa la SUPEN propone los cambios que deben llevarse a cabo en el mercado. La visión del supervisor es integral y le permite balancear las pretensiones de los diferentes participantes desde una perspectiva técnica, la cual es la base para proponer el debate entre las partes interesadas de los cam-bios que deben implantarse.</w:t>
      </w:r>
    </w:p>
    <w:p w14:paraId="457980C4" w14:textId="77777777" w:rsidR="001C3E10" w:rsidRPr="001C3E10" w:rsidRDefault="001C3E10" w:rsidP="001C3E10">
      <w:pPr>
        <w:spacing w:line="276" w:lineRule="auto"/>
        <w:ind w:left="3119" w:hanging="3119"/>
        <w:jc w:val="both"/>
        <w:rPr>
          <w:rFonts w:asciiTheme="minorHAnsi" w:hAnsiTheme="minorHAnsi"/>
          <w:sz w:val="22"/>
          <w:szCs w:val="22"/>
        </w:rPr>
      </w:pPr>
      <w:r w:rsidRPr="001C3E10">
        <w:rPr>
          <w:rFonts w:asciiTheme="minorHAnsi" w:hAnsiTheme="minorHAnsi"/>
          <w:b/>
          <w:bCs/>
          <w:sz w:val="22"/>
          <w:szCs w:val="22"/>
        </w:rPr>
        <w:t>Objetivo estratégico 2:</w:t>
      </w:r>
      <w:r w:rsidRPr="001C3E10">
        <w:rPr>
          <w:rFonts w:asciiTheme="minorHAnsi" w:hAnsiTheme="minorHAnsi"/>
          <w:sz w:val="22"/>
          <w:szCs w:val="22"/>
        </w:rPr>
        <w:tab/>
        <w:t>Fortalecer el sistema de pensiones y ahorro laboral.</w:t>
      </w:r>
    </w:p>
    <w:p w14:paraId="614DA9AE"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La SUPEN es la institución que enmarca la totalidad del Sistema de Pensiones Costarricense desde todas sus dimensiones, tanto a nivel de afiliado como de gestores. Este contexto la faculta y la empodera a ser la principal proponente de la modernización de los procesos asociados a la acumulación y a la prestación de beneficios, en todos y cada uno de los gestores que operan en el país. </w:t>
      </w:r>
    </w:p>
    <w:p w14:paraId="7B73672D"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Para el presente ciclo de planificación, la SUPEN procura formular una serie de cambios o adiciones a las reglas que operan en el SNP, para ampliar las posibilidades de ahorro y crear consensos en los cambios que al 2020 deban generarse para asegurar el futuro de los trabajadores. </w:t>
      </w:r>
    </w:p>
    <w:p w14:paraId="154A29ED"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Este objetivo parte de la necesidad de crear un dialogo nacional mediante el cual se propongan los cambios que trasciendan el campo de acción del supervisor, pero en el que pueda ser un facilitador, desde su perspectiva técnica. De tal manera que los diferentes agentes que representan a los gestores, al estado, a los patronos y a los trabajadores, en donde todos puedan compartir y diseñar con suficiente tiempo los cambios que eviten problemas futuros al sistema como un todo.</w:t>
      </w:r>
    </w:p>
    <w:p w14:paraId="5937373F" w14:textId="77777777" w:rsidR="001C3E10" w:rsidRPr="001C3E10" w:rsidRDefault="001C3E10" w:rsidP="001C3E10">
      <w:pPr>
        <w:tabs>
          <w:tab w:val="left" w:pos="3119"/>
        </w:tabs>
        <w:spacing w:line="276" w:lineRule="auto"/>
        <w:jc w:val="both"/>
        <w:rPr>
          <w:rFonts w:asciiTheme="minorHAnsi" w:hAnsiTheme="minorHAnsi"/>
          <w:b/>
          <w:sz w:val="22"/>
          <w:szCs w:val="22"/>
        </w:rPr>
      </w:pPr>
      <w:r w:rsidRPr="001C3E10">
        <w:rPr>
          <w:rFonts w:asciiTheme="minorHAnsi" w:hAnsiTheme="minorHAnsi"/>
          <w:b/>
          <w:bCs/>
          <w:sz w:val="22"/>
          <w:szCs w:val="22"/>
        </w:rPr>
        <w:t>Objetivo estratégico 3:</w:t>
      </w:r>
      <w:r w:rsidRPr="001C3E10">
        <w:rPr>
          <w:rFonts w:asciiTheme="minorHAnsi" w:hAnsiTheme="minorHAnsi"/>
          <w:sz w:val="22"/>
          <w:szCs w:val="22"/>
        </w:rPr>
        <w:tab/>
        <w:t>Empoderar al afiliado.</w:t>
      </w:r>
    </w:p>
    <w:p w14:paraId="364F5709" w14:textId="77777777" w:rsidR="001C3E10" w:rsidRPr="001C3E10" w:rsidRDefault="001C3E10" w:rsidP="001C3E10">
      <w:pPr>
        <w:spacing w:line="276" w:lineRule="auto"/>
        <w:ind w:left="3119"/>
        <w:jc w:val="both"/>
        <w:rPr>
          <w:rFonts w:asciiTheme="minorHAnsi" w:hAnsiTheme="minorHAnsi"/>
          <w:sz w:val="22"/>
          <w:szCs w:val="22"/>
        </w:rPr>
      </w:pPr>
      <w:r w:rsidRPr="001C3E10">
        <w:rPr>
          <w:rFonts w:asciiTheme="minorHAnsi" w:hAnsiTheme="minorHAnsi"/>
          <w:sz w:val="22"/>
          <w:szCs w:val="22"/>
        </w:rPr>
        <w:t xml:space="preserve">Este plan estratégico propone un eje que apunte hacia la mejora de los procesos del SNP de cara al afiliado. En este caso la SUPEN ha identificado varios cambios que mejorarían significativamente la calidad de los servicios que se brindan. Como visión estratégica se pretende volcar el énfasis del manejo de la supervisión y trasladarlo no solamente al fondo de pensiones sino a las personas, promoviendo el entendimiento en los afiliados de todos los productos que se les ofrecen los administradores, procurando en todo momento que este </w:t>
      </w:r>
      <w:r w:rsidRPr="001C3E10">
        <w:rPr>
          <w:rFonts w:asciiTheme="minorHAnsi" w:hAnsiTheme="minorHAnsi"/>
          <w:sz w:val="22"/>
          <w:szCs w:val="22"/>
        </w:rPr>
        <w:lastRenderedPageBreak/>
        <w:t>conocimiento del afiliado le permita la toma de mejores decisiones y la demanda por servicios de mayor calidad, las cuales deben adaptarse a las necesidades siempre cambiantes de los afiliados.</w:t>
      </w:r>
    </w:p>
    <w:p w14:paraId="29DC2AA8"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81" w:name="_Ref406443581"/>
      <w:bookmarkStart w:id="182" w:name="_Toc414532011"/>
      <w:bookmarkStart w:id="183" w:name="_Toc429555140"/>
      <w:bookmarkStart w:id="184" w:name="_Toc429562782"/>
      <w:bookmarkStart w:id="185" w:name="_Toc429563092"/>
      <w:bookmarkStart w:id="186" w:name="_Toc429563247"/>
      <w:r w:rsidRPr="001C3E10">
        <w:rPr>
          <w:rFonts w:asciiTheme="minorHAnsi" w:hAnsiTheme="minorHAnsi"/>
          <w:sz w:val="22"/>
          <w:szCs w:val="22"/>
        </w:rPr>
        <w:t>Capacidades de la organización</w:t>
      </w:r>
      <w:bookmarkEnd w:id="181"/>
      <w:bookmarkEnd w:id="182"/>
      <w:bookmarkEnd w:id="183"/>
      <w:bookmarkEnd w:id="184"/>
      <w:bookmarkEnd w:id="185"/>
      <w:bookmarkEnd w:id="186"/>
    </w:p>
    <w:p w14:paraId="6182D202" w14:textId="77777777" w:rsidR="00B30C48" w:rsidRDefault="00B30C48" w:rsidP="001C3E10">
      <w:pPr>
        <w:spacing w:line="276" w:lineRule="auto"/>
        <w:jc w:val="both"/>
        <w:rPr>
          <w:rFonts w:asciiTheme="minorHAnsi" w:hAnsiTheme="minorHAnsi"/>
          <w:sz w:val="22"/>
          <w:szCs w:val="22"/>
        </w:rPr>
      </w:pPr>
    </w:p>
    <w:p w14:paraId="7E5D4712" w14:textId="2D6AC61E"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Un </w:t>
      </w:r>
      <w:r w:rsidRPr="004D7122">
        <w:rPr>
          <w:rFonts w:asciiTheme="minorHAnsi" w:hAnsiTheme="minorHAnsi"/>
          <w:sz w:val="22"/>
          <w:szCs w:val="22"/>
        </w:rPr>
        <w:t>modelo de capacidades</w:t>
      </w:r>
      <w:r w:rsidRPr="001C3E10">
        <w:rPr>
          <w:rFonts w:asciiTheme="minorHAnsi" w:hAnsiTheme="minorHAnsi"/>
          <w:sz w:val="22"/>
          <w:szCs w:val="22"/>
        </w:rPr>
        <w:t xml:space="preserve"> le permite a una organización traducir más fácilmente la estrategia en acciones concretas que permitan hacerla realidad.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_Ref411014699 \r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Pr>
          <w:rFonts w:asciiTheme="minorHAnsi" w:hAnsiTheme="minorHAnsi"/>
          <w:sz w:val="22"/>
          <w:szCs w:val="22"/>
        </w:rPr>
        <w:t>7.2</w:t>
      </w:r>
      <w:r w:rsidRPr="001C3E10">
        <w:rPr>
          <w:rFonts w:asciiTheme="minorHAnsi" w:hAnsiTheme="minorHAnsi"/>
          <w:sz w:val="22"/>
          <w:szCs w:val="22"/>
        </w:rPr>
        <w:fldChar w:fldCharType="end"/>
      </w:r>
      <w:r w:rsidRPr="001C3E10">
        <w:rPr>
          <w:rFonts w:asciiTheme="minorHAnsi" w:hAnsiTheme="minorHAnsi"/>
          <w:sz w:val="22"/>
          <w:szCs w:val="22"/>
        </w:rPr>
        <w:t xml:space="preserve">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_Ref411014702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Modelo de capacidades</w:t>
      </w:r>
      <w:r w:rsidRPr="001C3E10">
        <w:rPr>
          <w:rFonts w:asciiTheme="minorHAnsi" w:hAnsiTheme="minorHAnsi"/>
          <w:sz w:val="22"/>
          <w:szCs w:val="22"/>
        </w:rPr>
        <w:fldChar w:fldCharType="end"/>
      </w:r>
      <w:r w:rsidRPr="001C3E10">
        <w:rPr>
          <w:rFonts w:asciiTheme="minorHAnsi" w:hAnsiTheme="minorHAnsi"/>
          <w:sz w:val="22"/>
          <w:szCs w:val="22"/>
        </w:rPr>
        <w:t>, se describe con mayor detalle este concepto.</w:t>
      </w:r>
    </w:p>
    <w:p w14:paraId="314FE7F8" w14:textId="77777777" w:rsidR="00B30C48" w:rsidRDefault="00B30C48" w:rsidP="001C3E10">
      <w:pPr>
        <w:spacing w:line="276" w:lineRule="auto"/>
        <w:jc w:val="both"/>
        <w:rPr>
          <w:rFonts w:asciiTheme="minorHAnsi" w:hAnsiTheme="minorHAnsi"/>
          <w:sz w:val="22"/>
          <w:szCs w:val="22"/>
        </w:rPr>
      </w:pPr>
    </w:p>
    <w:p w14:paraId="5B7C67C9" w14:textId="65A82EF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Basados en la estructura funcional del BCCR y de los ODM, así como en el Plan Estratégico del Banco Central, la DST ha desarrollado un modelo de las capacidades actuales de la organización, con el fin de facilitar la traducción de la estrategia de la Corporación en acciones concretas que puedan ser emprendidas a través de la TI.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_Ref406537695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 xml:space="preserve">Figura </w:t>
      </w:r>
      <w:r w:rsidR="00A17DFE">
        <w:rPr>
          <w:rFonts w:asciiTheme="minorHAnsi" w:hAnsiTheme="minorHAnsi"/>
          <w:noProof/>
          <w:sz w:val="22"/>
          <w:szCs w:val="22"/>
        </w:rPr>
        <w:t>1</w:t>
      </w:r>
      <w:r w:rsidRPr="001C3E10">
        <w:rPr>
          <w:rFonts w:asciiTheme="minorHAnsi" w:hAnsiTheme="minorHAnsi"/>
          <w:sz w:val="22"/>
          <w:szCs w:val="22"/>
        </w:rPr>
        <w:fldChar w:fldCharType="end"/>
      </w:r>
      <w:r w:rsidRPr="001C3E10">
        <w:rPr>
          <w:rFonts w:asciiTheme="minorHAnsi" w:hAnsiTheme="minorHAnsi"/>
          <w:sz w:val="22"/>
          <w:szCs w:val="22"/>
        </w:rPr>
        <w:t xml:space="preserve"> muestra los primeros niveles de este modelo. </w:t>
      </w:r>
    </w:p>
    <w:p w14:paraId="4EA679BD" w14:textId="77777777" w:rsidR="001C3E10" w:rsidRPr="001C3E10" w:rsidRDefault="001C3E10" w:rsidP="001C3E10">
      <w:pPr>
        <w:keepNext/>
        <w:spacing w:line="276" w:lineRule="auto"/>
        <w:jc w:val="both"/>
        <w:rPr>
          <w:rFonts w:asciiTheme="minorHAnsi" w:hAnsiTheme="minorHAnsi"/>
          <w:sz w:val="22"/>
          <w:szCs w:val="22"/>
        </w:rPr>
      </w:pPr>
      <w:r w:rsidRPr="001C3E10">
        <w:rPr>
          <w:rFonts w:asciiTheme="minorHAnsi" w:hAnsiTheme="minorHAnsi"/>
          <w:sz w:val="22"/>
          <w:szCs w:val="22"/>
        </w:rPr>
        <w:object w:dxaOrig="23534" w:dyaOrig="12537" w14:anchorId="20BF5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251.7pt" o:ole="">
            <v:imagedata r:id="rId74" o:title=""/>
          </v:shape>
          <o:OLEObject Type="Embed" ProgID="Visio.Drawing.11" ShapeID="_x0000_i1025" DrawAspect="Content" ObjectID="_1537865863" r:id="rId75"/>
        </w:object>
      </w:r>
    </w:p>
    <w:p w14:paraId="63991AD4" w14:textId="77777777" w:rsidR="001C3E10" w:rsidRPr="001C3E10" w:rsidRDefault="001C3E10" w:rsidP="001C3E10">
      <w:pPr>
        <w:pStyle w:val="Descripcin"/>
        <w:spacing w:line="276" w:lineRule="auto"/>
        <w:jc w:val="both"/>
        <w:rPr>
          <w:rFonts w:asciiTheme="minorHAnsi" w:hAnsiTheme="minorHAnsi"/>
          <w:sz w:val="22"/>
          <w:szCs w:val="22"/>
        </w:rPr>
      </w:pPr>
      <w:bookmarkStart w:id="187" w:name="_Ref406537695"/>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A17DFE">
        <w:rPr>
          <w:rFonts w:asciiTheme="minorHAnsi" w:hAnsiTheme="minorHAnsi"/>
          <w:noProof/>
          <w:sz w:val="22"/>
          <w:szCs w:val="22"/>
        </w:rPr>
        <w:t>1</w:t>
      </w:r>
      <w:r w:rsidRPr="001C3E10">
        <w:rPr>
          <w:rFonts w:asciiTheme="minorHAnsi" w:hAnsiTheme="minorHAnsi"/>
          <w:noProof/>
          <w:sz w:val="22"/>
          <w:szCs w:val="22"/>
        </w:rPr>
        <w:fldChar w:fldCharType="end"/>
      </w:r>
      <w:bookmarkEnd w:id="187"/>
      <w:r w:rsidRPr="001C3E10">
        <w:rPr>
          <w:rFonts w:asciiTheme="minorHAnsi" w:hAnsiTheme="minorHAnsi"/>
          <w:sz w:val="22"/>
          <w:szCs w:val="22"/>
        </w:rPr>
        <w:t>: Modelo de capacidades del BCCR.</w:t>
      </w:r>
    </w:p>
    <w:p w14:paraId="03A728B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este modelo, el quehacer de la Corporación se divide en 7 capacidades: </w:t>
      </w:r>
    </w:p>
    <w:p w14:paraId="3ED08A1B"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Gestión estratégica.</w:t>
      </w:r>
      <w:r w:rsidRPr="001C3E10">
        <w:rPr>
          <w:rFonts w:asciiTheme="minorHAnsi" w:hAnsiTheme="minorHAnsi"/>
          <w:sz w:val="22"/>
        </w:rPr>
        <w:t xml:space="preserve"> Concentra todas aquellas actividades que si bien no son necesarias para el desarrollo diario de las labores de la Corporación, sí son indispensables para el funcionamiento de ésta, desde una perspectiva de dirección y alineamiento estratégico, no operativo.</w:t>
      </w:r>
    </w:p>
    <w:p w14:paraId="614F010D"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lastRenderedPageBreak/>
        <w:t>Definición de la política monetaria y cambiaria</w:t>
      </w:r>
      <w:r w:rsidRPr="001C3E10">
        <w:rPr>
          <w:rFonts w:asciiTheme="minorHAnsi" w:hAnsiTheme="minorHAnsi"/>
          <w:sz w:val="22"/>
        </w:rPr>
        <w:t>. Como su nombre lo indica, en esta capacidad se ubican todas aquellas actividades ligadas con la recolección de información de la economía local así como las recomendaciones en materia de política monetaria y cambiaria.</w:t>
      </w:r>
    </w:p>
    <w:p w14:paraId="2EE8485C"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Gestión de activos y pasivos financieros</w:t>
      </w:r>
      <w:r w:rsidRPr="001C3E10">
        <w:rPr>
          <w:rFonts w:asciiTheme="minorHAnsi" w:hAnsiTheme="minorHAnsi"/>
          <w:sz w:val="22"/>
        </w:rPr>
        <w:t>. Por medio de esta capacidad se hace una gestión de las reservas monetarias internacionales que el Banco maneja y se monitorea el desempeño de los activos financieros que tiene el Banco, entre otros.</w:t>
      </w:r>
    </w:p>
    <w:p w14:paraId="202CB5D5"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Gestión del Sistema de Pagos</w:t>
      </w:r>
      <w:r w:rsidRPr="001C3E10">
        <w:rPr>
          <w:rFonts w:asciiTheme="minorHAnsi" w:hAnsiTheme="minorHAnsi"/>
          <w:sz w:val="22"/>
        </w:rPr>
        <w:t>. Las actividades relacionadas con el control y manejo del numerario, la custodia de valores, la dirección y operación del SINPE así como el monitoreo de actividades sospechosas están concentradas en esta capacidad.</w:t>
      </w:r>
    </w:p>
    <w:p w14:paraId="6E487FFF" w14:textId="418D7C6D"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Supervisión de Mercados Financieros</w:t>
      </w:r>
      <w:r w:rsidRPr="001C3E10">
        <w:rPr>
          <w:rFonts w:asciiTheme="minorHAnsi" w:hAnsiTheme="minorHAnsi"/>
          <w:sz w:val="22"/>
        </w:rPr>
        <w:t>. Esta capacidad contiene aquellas actividades alrededor de la supervisión de los diferentes mercados financieros que existen en el país. Además, incluye también la supervisión macro</w:t>
      </w:r>
      <w:r>
        <w:rPr>
          <w:rFonts w:asciiTheme="minorHAnsi" w:hAnsiTheme="minorHAnsi"/>
          <w:sz w:val="22"/>
        </w:rPr>
        <w:t xml:space="preserve"> </w:t>
      </w:r>
      <w:r w:rsidRPr="001C3E10">
        <w:rPr>
          <w:rFonts w:asciiTheme="minorHAnsi" w:hAnsiTheme="minorHAnsi"/>
          <w:sz w:val="22"/>
        </w:rPr>
        <w:t>prudencial.</w:t>
      </w:r>
    </w:p>
    <w:p w14:paraId="6E634EBF"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Control Interno</w:t>
      </w:r>
      <w:r w:rsidRPr="001C3E10">
        <w:rPr>
          <w:rFonts w:asciiTheme="minorHAnsi" w:hAnsiTheme="minorHAnsi"/>
          <w:sz w:val="22"/>
        </w:rPr>
        <w:t>. Las actividades relacionadas con el planeamiento y la ejecución del control interno y la rendición de cuentas están ubicadas en esta capacidad.</w:t>
      </w:r>
    </w:p>
    <w:p w14:paraId="72D0F1FD" w14:textId="77777777" w:rsidR="001C3E10" w:rsidRPr="001C3E10" w:rsidRDefault="001C3E10" w:rsidP="00547B19">
      <w:pPr>
        <w:pStyle w:val="Prrafodelista"/>
        <w:numPr>
          <w:ilvl w:val="0"/>
          <w:numId w:val="38"/>
        </w:numPr>
        <w:spacing w:after="200" w:line="276" w:lineRule="auto"/>
        <w:rPr>
          <w:rFonts w:asciiTheme="minorHAnsi" w:hAnsiTheme="minorHAnsi"/>
          <w:sz w:val="22"/>
        </w:rPr>
      </w:pPr>
      <w:r w:rsidRPr="001C3E10">
        <w:rPr>
          <w:rFonts w:asciiTheme="minorHAnsi" w:hAnsiTheme="minorHAnsi"/>
          <w:b/>
          <w:sz w:val="22"/>
        </w:rPr>
        <w:t>Apoyo a la gestión</w:t>
      </w:r>
      <w:r w:rsidRPr="001C3E10">
        <w:rPr>
          <w:rFonts w:asciiTheme="minorHAnsi" w:hAnsiTheme="minorHAnsi"/>
          <w:sz w:val="22"/>
        </w:rPr>
        <w:t xml:space="preserve">. Se ubican acá aquellas actividades que le dan apoyo a toda la organización. La gestión del factor humano, la asesoría legal, la adquisición y contratación de bienes y servicios así como la gestión de la tecnología son algunas de estas. </w:t>
      </w:r>
    </w:p>
    <w:p w14:paraId="54E079C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Un modelo de capacidades es realmente útil en la medida en que presente el mayor detalle de las capacidades que requerirá una organización para alcanzar su estrategia. Especialmente cuando se enfrentan cambios importantes con algún nivel de incertidumbre. </w:t>
      </w:r>
    </w:p>
    <w:p w14:paraId="72BF8A6A" w14:textId="77777777" w:rsidR="00B30C48" w:rsidRDefault="00B30C48" w:rsidP="001C3E10">
      <w:pPr>
        <w:spacing w:line="276" w:lineRule="auto"/>
        <w:jc w:val="both"/>
        <w:rPr>
          <w:rFonts w:asciiTheme="minorHAnsi" w:hAnsiTheme="minorHAnsi"/>
          <w:sz w:val="22"/>
          <w:szCs w:val="22"/>
        </w:rPr>
      </w:pPr>
    </w:p>
    <w:p w14:paraId="42ADE0A0" w14:textId="001E9778"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Dada la inexistencia de un modelo de este tipo desarrollado oficialmente en la Corporación, la DST se dio a la tarea de documentar lo que a su criterio es el estado actual de las principales capacidades con las que cuenta el Banco Central. De manera particular la capacidad </w:t>
      </w:r>
      <w:r w:rsidRPr="001C3E10">
        <w:rPr>
          <w:rFonts w:asciiTheme="minorHAnsi" w:hAnsiTheme="minorHAnsi"/>
          <w:i/>
          <w:sz w:val="22"/>
          <w:szCs w:val="22"/>
        </w:rPr>
        <w:t>Apoyo a la gestión</w:t>
      </w:r>
      <w:r w:rsidRPr="001C3E10">
        <w:rPr>
          <w:rFonts w:asciiTheme="minorHAnsi" w:hAnsiTheme="minorHAnsi"/>
          <w:sz w:val="22"/>
          <w:szCs w:val="22"/>
        </w:rPr>
        <w:t xml:space="preserve">, específicamente la actividad </w:t>
      </w:r>
      <w:r w:rsidRPr="001C3E10">
        <w:rPr>
          <w:rFonts w:asciiTheme="minorHAnsi" w:hAnsiTheme="minorHAnsi"/>
          <w:i/>
          <w:sz w:val="22"/>
          <w:szCs w:val="22"/>
        </w:rPr>
        <w:t>Gestión de la tecnología</w:t>
      </w:r>
      <w:r w:rsidRPr="001C3E10">
        <w:rPr>
          <w:rFonts w:asciiTheme="minorHAnsi" w:hAnsiTheme="minorHAnsi"/>
          <w:sz w:val="22"/>
          <w:szCs w:val="22"/>
        </w:rPr>
        <w:t xml:space="preserve">, se ha desglosado aún más de forma que se logre un mayor entendimiento de la misma, tal y como se muestra en el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_Ref408236667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Modelo de capacidades asociado con la capacidad Gestión de la TI</w:t>
      </w:r>
      <w:r w:rsidRPr="001C3E10">
        <w:rPr>
          <w:rFonts w:asciiTheme="minorHAnsi" w:hAnsiTheme="minorHAnsi"/>
          <w:sz w:val="22"/>
          <w:szCs w:val="22"/>
        </w:rPr>
        <w:fldChar w:fldCharType="end"/>
      </w:r>
      <w:r w:rsidRPr="001C3E10">
        <w:rPr>
          <w:rFonts w:asciiTheme="minorHAnsi" w:hAnsiTheme="minorHAnsi"/>
          <w:sz w:val="22"/>
          <w:szCs w:val="22"/>
        </w:rPr>
        <w:t>, sin que este pretenda ser el modelo final:</w:t>
      </w:r>
    </w:p>
    <w:p w14:paraId="238F3F94" w14:textId="77777777" w:rsidR="001C3E10" w:rsidRPr="001C3E10" w:rsidRDefault="001C3E10" w:rsidP="001C3E10">
      <w:pPr>
        <w:pStyle w:val="Descripcin"/>
        <w:spacing w:line="276" w:lineRule="auto"/>
        <w:jc w:val="both"/>
        <w:rPr>
          <w:rFonts w:asciiTheme="minorHAnsi" w:hAnsiTheme="minorHAnsi"/>
          <w:sz w:val="22"/>
          <w:szCs w:val="22"/>
        </w:rPr>
      </w:pPr>
      <w:r w:rsidRPr="001C3E10">
        <w:rPr>
          <w:rFonts w:asciiTheme="minorHAnsi" w:hAnsiTheme="minorHAnsi"/>
          <w:sz w:val="22"/>
          <w:szCs w:val="22"/>
        </w:rPr>
        <w:object w:dxaOrig="23787" w:dyaOrig="13651" w14:anchorId="6844ABB2">
          <v:shape id="_x0000_i1026" type="#_x0000_t75" style="width:482.7pt;height:273.6pt" o:ole="">
            <v:imagedata r:id="rId76" o:title=""/>
          </v:shape>
          <o:OLEObject Type="Embed" ProgID="Visio.Drawing.11" ShapeID="_x0000_i1026" DrawAspect="Content" ObjectID="_1537865864" r:id="rId77"/>
        </w:object>
      </w:r>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A17DFE">
        <w:rPr>
          <w:rFonts w:asciiTheme="minorHAnsi" w:hAnsiTheme="minorHAnsi"/>
          <w:noProof/>
          <w:sz w:val="22"/>
          <w:szCs w:val="22"/>
        </w:rPr>
        <w:t>2</w:t>
      </w:r>
      <w:r w:rsidRPr="001C3E10">
        <w:rPr>
          <w:rFonts w:asciiTheme="minorHAnsi" w:hAnsiTheme="minorHAnsi"/>
          <w:sz w:val="22"/>
          <w:szCs w:val="22"/>
        </w:rPr>
        <w:fldChar w:fldCharType="end"/>
      </w:r>
      <w:r w:rsidRPr="001C3E10">
        <w:rPr>
          <w:rFonts w:asciiTheme="minorHAnsi" w:hAnsiTheme="minorHAnsi"/>
          <w:sz w:val="22"/>
          <w:szCs w:val="22"/>
        </w:rPr>
        <w:t xml:space="preserve">: </w:t>
      </w:r>
      <w:bookmarkStart w:id="188" w:name="_Ref408236667"/>
      <w:r w:rsidRPr="001C3E10">
        <w:rPr>
          <w:rFonts w:asciiTheme="minorHAnsi" w:hAnsiTheme="minorHAnsi"/>
          <w:sz w:val="22"/>
          <w:szCs w:val="22"/>
        </w:rPr>
        <w:t>Modelo de capacidades asociado con la capacidad Gestión de la TI</w:t>
      </w:r>
      <w:bookmarkEnd w:id="188"/>
    </w:p>
    <w:p w14:paraId="4986E85B"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189" w:name="_Ref406424620"/>
      <w:bookmarkStart w:id="190" w:name="_Toc414532012"/>
      <w:bookmarkStart w:id="191" w:name="_Toc429555141"/>
      <w:bookmarkStart w:id="192" w:name="_Toc429562783"/>
      <w:bookmarkStart w:id="193" w:name="_Toc429563093"/>
      <w:bookmarkStart w:id="194" w:name="_Toc429563248"/>
      <w:r w:rsidRPr="001C3E10">
        <w:rPr>
          <w:rFonts w:asciiTheme="minorHAnsi" w:hAnsiTheme="minorHAnsi"/>
          <w:sz w:val="22"/>
          <w:szCs w:val="22"/>
        </w:rPr>
        <w:t>Contribución de TI</w:t>
      </w:r>
      <w:bookmarkEnd w:id="189"/>
      <w:bookmarkEnd w:id="190"/>
      <w:bookmarkEnd w:id="191"/>
      <w:bookmarkEnd w:id="192"/>
      <w:bookmarkEnd w:id="193"/>
      <w:bookmarkEnd w:id="194"/>
    </w:p>
    <w:p w14:paraId="578CD1D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contribución de TI a la Corporación se puede resumir a través del enunciado:</w:t>
      </w:r>
    </w:p>
    <w:p w14:paraId="505BC6DA" w14:textId="380C839D" w:rsidR="001C3E10" w:rsidRPr="001C3E10" w:rsidRDefault="001C3E10" w:rsidP="001C3E10">
      <w:pPr>
        <w:spacing w:line="276" w:lineRule="auto"/>
        <w:ind w:left="567" w:right="996"/>
        <w:jc w:val="both"/>
        <w:rPr>
          <w:rFonts w:asciiTheme="minorHAnsi" w:hAnsiTheme="minorHAnsi"/>
          <w:i/>
          <w:sz w:val="22"/>
          <w:szCs w:val="22"/>
        </w:rPr>
      </w:pPr>
      <w:r w:rsidRPr="001C3E10">
        <w:rPr>
          <w:rFonts w:asciiTheme="minorHAnsi" w:hAnsiTheme="minorHAnsi"/>
          <w:i/>
          <w:sz w:val="22"/>
          <w:szCs w:val="22"/>
        </w:rPr>
        <w:t>La Corporación tendrá éxito en su gestión en la medida en la que logre mantener la estabilidad interna y externa de la moneda, su conversión a otras monedas y colaborar en el pleno uso de los recursos productivos. Desde la perspectiva de regulación y supervisión del sistema financiero costarricense, el éxito se alcanzará en la medida en que se logre la introducción de un sistema de supervisión basado en riesgo (enfoque micro</w:t>
      </w:r>
      <w:r>
        <w:rPr>
          <w:rFonts w:asciiTheme="minorHAnsi" w:hAnsiTheme="minorHAnsi"/>
          <w:i/>
          <w:sz w:val="22"/>
          <w:szCs w:val="22"/>
        </w:rPr>
        <w:t xml:space="preserve"> </w:t>
      </w:r>
      <w:r w:rsidRPr="001C3E10">
        <w:rPr>
          <w:rFonts w:asciiTheme="minorHAnsi" w:hAnsiTheme="minorHAnsi"/>
          <w:i/>
          <w:sz w:val="22"/>
          <w:szCs w:val="22"/>
        </w:rPr>
        <w:t>prudencial), la evaluación de los potenciales riesgos a nivel de todo el sistema financiero (enfoque macro</w:t>
      </w:r>
      <w:r>
        <w:rPr>
          <w:rFonts w:asciiTheme="minorHAnsi" w:hAnsiTheme="minorHAnsi"/>
          <w:i/>
          <w:sz w:val="22"/>
          <w:szCs w:val="22"/>
        </w:rPr>
        <w:t xml:space="preserve"> </w:t>
      </w:r>
      <w:r w:rsidRPr="001C3E10">
        <w:rPr>
          <w:rFonts w:asciiTheme="minorHAnsi" w:hAnsiTheme="minorHAnsi"/>
          <w:i/>
          <w:sz w:val="22"/>
          <w:szCs w:val="22"/>
        </w:rPr>
        <w:t>prudencial), la protección y educación de los consumidores de servicios y productos financieros y la integración institucional del sistema de supervisión. La Tecnología de la Información le brindará a la Corporación herramientas tecnológicas que funcionen con el nivel de disponibilidad, eficiencia, seguridad, riesgo y costo que necesitan las áreas sustantivas y de apoyo, así como los ODM para lograr sus objetivos. Además, creará nuevas herramientas y mejorará las ya existentes con el nivel de calidad que permita satisfacer las necesidades de la organización.</w:t>
      </w:r>
    </w:p>
    <w:p w14:paraId="392DEFBB" w14:textId="77777777" w:rsidR="00B30C48" w:rsidRDefault="00B30C48" w:rsidP="001C3E10">
      <w:pPr>
        <w:spacing w:line="276" w:lineRule="auto"/>
        <w:jc w:val="both"/>
        <w:rPr>
          <w:rFonts w:asciiTheme="minorHAnsi" w:hAnsiTheme="minorHAnsi"/>
          <w:sz w:val="22"/>
          <w:szCs w:val="22"/>
        </w:rPr>
      </w:pPr>
    </w:p>
    <w:p w14:paraId="6BE8828B" w14:textId="30A592FD"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anterior enunciado se sustenta en el hecho de que en términos generales la contribución que la Tecnología de la Información brinda a una organización se agrupa en las tres siguientes áreas, mostradas en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_Ref406536295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 xml:space="preserve">Figura </w:t>
      </w:r>
      <w:r w:rsidR="00A17DFE">
        <w:rPr>
          <w:rFonts w:asciiTheme="minorHAnsi" w:hAnsiTheme="minorHAnsi"/>
          <w:noProof/>
          <w:sz w:val="22"/>
          <w:szCs w:val="22"/>
        </w:rPr>
        <w:t>3</w:t>
      </w:r>
      <w:r w:rsidRPr="001C3E10">
        <w:rPr>
          <w:rFonts w:asciiTheme="minorHAnsi" w:hAnsiTheme="minorHAnsi"/>
          <w:sz w:val="22"/>
          <w:szCs w:val="22"/>
        </w:rPr>
        <w:fldChar w:fldCharType="end"/>
      </w:r>
      <w:r w:rsidRPr="001C3E10">
        <w:rPr>
          <w:rFonts w:asciiTheme="minorHAnsi" w:hAnsiTheme="minorHAnsi"/>
          <w:sz w:val="22"/>
          <w:szCs w:val="22"/>
        </w:rPr>
        <w:t>:</w:t>
      </w:r>
    </w:p>
    <w:p w14:paraId="51E4F72C" w14:textId="77777777" w:rsidR="001C3E10" w:rsidRPr="001C3E10" w:rsidRDefault="001C3E10" w:rsidP="001C3E10">
      <w:pPr>
        <w:keepNext/>
        <w:spacing w:line="276" w:lineRule="auto"/>
        <w:jc w:val="both"/>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7CFCA56A" wp14:editId="0362C8C6">
            <wp:extent cx="5612130" cy="3364280"/>
            <wp:effectExtent l="0" t="0" r="7620" b="762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612130" cy="3364280"/>
                    </a:xfrm>
                    <a:prstGeom prst="rect">
                      <a:avLst/>
                    </a:prstGeom>
                  </pic:spPr>
                </pic:pic>
              </a:graphicData>
            </a:graphic>
          </wp:inline>
        </w:drawing>
      </w:r>
    </w:p>
    <w:p w14:paraId="57EB2362" w14:textId="77777777" w:rsidR="001C3E10" w:rsidRPr="001C3E10" w:rsidRDefault="001C3E10" w:rsidP="001C3E10">
      <w:pPr>
        <w:pStyle w:val="Descripcin"/>
        <w:spacing w:line="276" w:lineRule="auto"/>
        <w:jc w:val="both"/>
        <w:rPr>
          <w:rFonts w:asciiTheme="minorHAnsi" w:hAnsiTheme="minorHAnsi"/>
          <w:sz w:val="22"/>
          <w:szCs w:val="22"/>
        </w:rPr>
      </w:pPr>
      <w:bookmarkStart w:id="195" w:name="_Ref406536295"/>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A17DFE">
        <w:rPr>
          <w:rFonts w:asciiTheme="minorHAnsi" w:hAnsiTheme="minorHAnsi"/>
          <w:noProof/>
          <w:sz w:val="22"/>
          <w:szCs w:val="22"/>
        </w:rPr>
        <w:t>3</w:t>
      </w:r>
      <w:r w:rsidRPr="001C3E10">
        <w:rPr>
          <w:rFonts w:asciiTheme="minorHAnsi" w:hAnsiTheme="minorHAnsi"/>
          <w:noProof/>
          <w:sz w:val="22"/>
          <w:szCs w:val="22"/>
        </w:rPr>
        <w:fldChar w:fldCharType="end"/>
      </w:r>
      <w:bookmarkEnd w:id="195"/>
      <w:r w:rsidRPr="001C3E10">
        <w:rPr>
          <w:rFonts w:asciiTheme="minorHAnsi" w:hAnsiTheme="minorHAnsi"/>
          <w:sz w:val="22"/>
          <w:szCs w:val="22"/>
        </w:rPr>
        <w:t>: Aporte de valor de TI a una organización.</w:t>
      </w:r>
    </w:p>
    <w:p w14:paraId="72B93C9E"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 xml:space="preserve">Operaciones. </w:t>
      </w:r>
      <w:r w:rsidRPr="001C3E10">
        <w:rPr>
          <w:rFonts w:asciiTheme="minorHAnsi" w:hAnsiTheme="minorHAnsi"/>
          <w:sz w:val="22"/>
        </w:rPr>
        <w:t>Soporte requerido para que las herramientas tecnológicas utilizadas por la organización operen dentro de los  niveles de calidad acordados.</w:t>
      </w:r>
    </w:p>
    <w:p w14:paraId="47576751"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 xml:space="preserve">Crecimiento. </w:t>
      </w:r>
      <w:r w:rsidRPr="001C3E10">
        <w:rPr>
          <w:rFonts w:asciiTheme="minorHAnsi" w:hAnsiTheme="minorHAnsi"/>
          <w:sz w:val="22"/>
        </w:rPr>
        <w:t>Mejoras realizadas a las herramientas tecnológicas para incorporar o mejorar capacidades en la organización, para brindar sus servicios o productos.</w:t>
      </w:r>
    </w:p>
    <w:p w14:paraId="7F237A3E"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 xml:space="preserve">Transformación. </w:t>
      </w:r>
      <w:r w:rsidRPr="001C3E10">
        <w:rPr>
          <w:rFonts w:asciiTheme="minorHAnsi" w:hAnsiTheme="minorHAnsi"/>
          <w:sz w:val="22"/>
        </w:rPr>
        <w:t xml:space="preserve">Desarrollo de iniciativas para brindar nuevos servicios o productos, nuevos mercados y nuevos modelos de negocio. </w:t>
      </w:r>
    </w:p>
    <w:p w14:paraId="0F15AB5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Enfocados en estas  tres áreas, la DST plantea los siguientes objetivos estratégicos para la gestión  de la Tecnología de la Información, a través de los cuales se busca dar cumplimiento a las necesidades del Banco Central de Costa Rica:</w:t>
      </w:r>
    </w:p>
    <w:p w14:paraId="4D5AE42C"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Operaciones</w:t>
      </w:r>
      <w:r w:rsidRPr="001C3E10">
        <w:rPr>
          <w:rFonts w:asciiTheme="minorHAnsi" w:hAnsiTheme="minorHAnsi"/>
          <w:sz w:val="22"/>
        </w:rPr>
        <w:t xml:space="preserve">: Fortalecer la operación de los servicios críticos, incorporando a los Acuerdos de Nivel de Servicio que la DST tiene suscritos con las áreas a las que provee tecnología, compromisos sobre Disponibilidad y Costo de las soluciones tecnológicas y lograr un nivel de cumplimiento del 90% de estos acuerdos, antes de finalizar el año 2018. </w:t>
      </w:r>
    </w:p>
    <w:p w14:paraId="4906868E" w14:textId="77777777" w:rsidR="001C3E10" w:rsidRPr="001C3E10" w:rsidRDefault="001C3E10" w:rsidP="00547B19">
      <w:pPr>
        <w:pStyle w:val="Prrafodelista"/>
        <w:numPr>
          <w:ilvl w:val="0"/>
          <w:numId w:val="30"/>
        </w:numPr>
        <w:spacing w:after="200" w:line="276" w:lineRule="auto"/>
        <w:rPr>
          <w:rFonts w:asciiTheme="minorHAnsi" w:hAnsiTheme="minorHAnsi"/>
          <w:sz w:val="22"/>
        </w:rPr>
      </w:pPr>
      <w:r w:rsidRPr="001C3E10">
        <w:rPr>
          <w:rFonts w:asciiTheme="minorHAnsi" w:hAnsiTheme="minorHAnsi"/>
          <w:b/>
          <w:sz w:val="22"/>
        </w:rPr>
        <w:t>Crecimiento</w:t>
      </w:r>
      <w:r w:rsidRPr="001C3E10">
        <w:rPr>
          <w:rFonts w:asciiTheme="minorHAnsi" w:hAnsiTheme="minorHAnsi"/>
          <w:sz w:val="22"/>
        </w:rPr>
        <w:t>: Entregar el 90% de las mejoras que impactan a los servicios críticos con una desviación menor al 10% en los compromisos adquiridos, con el propósito de apoyar el crecimiento de las áreas sustantivas, antes de finalizar el año 2018.</w:t>
      </w:r>
    </w:p>
    <w:p w14:paraId="27094AB2"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Transformación</w:t>
      </w:r>
      <w:r w:rsidRPr="001C3E10">
        <w:rPr>
          <w:rFonts w:asciiTheme="minorHAnsi" w:hAnsiTheme="minorHAnsi"/>
          <w:sz w:val="22"/>
        </w:rPr>
        <w:t xml:space="preserve">: Apoyar la transformación de las áreas sustantivas a través del cumplimiento de los compromisos adquiridos para cada proyecto y lograr un 90% en el nivel de cumplimiento de los esfuerzos de transformación, antes de finalizar el año 2018. </w:t>
      </w:r>
    </w:p>
    <w:p w14:paraId="2A835A5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lastRenderedPageBreak/>
        <w:t>A esta propuesta de valor se agrega el dar cumplimiento a la voluntad de las autoridades superiores del Banco Central, en relación con la integración de los departamentos de TI de los ODM con la DST, para lo cual se plantea el objetivo:</w:t>
      </w:r>
    </w:p>
    <w:p w14:paraId="0C2DA6FB" w14:textId="77777777" w:rsidR="001C3E10" w:rsidRPr="001C3E10" w:rsidRDefault="001C3E10" w:rsidP="00547B19">
      <w:pPr>
        <w:pStyle w:val="Prrafodelista"/>
        <w:numPr>
          <w:ilvl w:val="0"/>
          <w:numId w:val="30"/>
        </w:numPr>
        <w:spacing w:after="200" w:line="276" w:lineRule="auto"/>
        <w:ind w:left="708"/>
        <w:rPr>
          <w:rFonts w:asciiTheme="minorHAnsi" w:hAnsiTheme="minorHAnsi"/>
          <w:sz w:val="22"/>
        </w:rPr>
      </w:pPr>
      <w:r w:rsidRPr="001C3E10">
        <w:rPr>
          <w:rFonts w:asciiTheme="minorHAnsi" w:hAnsiTheme="minorHAnsi"/>
          <w:b/>
          <w:sz w:val="22"/>
        </w:rPr>
        <w:t>Integración</w:t>
      </w:r>
      <w:r w:rsidRPr="001C3E10">
        <w:rPr>
          <w:rFonts w:asciiTheme="minorHAnsi" w:hAnsiTheme="minorHAnsi"/>
          <w:sz w:val="22"/>
        </w:rPr>
        <w:t xml:space="preserve">: Brindar los servicios de TI a todas las dependencias de la Corporación utilizando los mismos procesos, herramientas y competencias en el personal de TI, antes de finalizar el año 2018. </w:t>
      </w:r>
    </w:p>
    <w:p w14:paraId="4E6BA9D3" w14:textId="5B04B6D2"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cumplimiento de los objetivos planteados será posible a través de acciones que se proponen realizar sobre tres elementos de la organización, según se muestra en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_Ref410990381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 xml:space="preserve">Figura </w:t>
      </w:r>
      <w:r w:rsidR="00A17DFE">
        <w:rPr>
          <w:rFonts w:asciiTheme="minorHAnsi" w:hAnsiTheme="minorHAnsi"/>
          <w:noProof/>
          <w:sz w:val="22"/>
          <w:szCs w:val="22"/>
        </w:rPr>
        <w:t>4</w:t>
      </w:r>
      <w:r w:rsidRPr="001C3E10">
        <w:rPr>
          <w:rFonts w:asciiTheme="minorHAnsi" w:hAnsiTheme="minorHAnsi"/>
          <w:sz w:val="22"/>
          <w:szCs w:val="22"/>
        </w:rPr>
        <w:fldChar w:fldCharType="end"/>
      </w:r>
      <w:r w:rsidRPr="001C3E10">
        <w:rPr>
          <w:rFonts w:asciiTheme="minorHAnsi" w:hAnsiTheme="minorHAnsi"/>
          <w:sz w:val="22"/>
          <w:szCs w:val="22"/>
        </w:rPr>
        <w:t xml:space="preserve">: </w:t>
      </w:r>
    </w:p>
    <w:p w14:paraId="135ED7CD" w14:textId="77777777" w:rsidR="001C3E10" w:rsidRPr="001C3E10" w:rsidRDefault="001C3E10" w:rsidP="001C3E10">
      <w:pPr>
        <w:keepNext/>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7FBD11BE" wp14:editId="5C738E48">
            <wp:extent cx="4171950" cy="2604351"/>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4187025" cy="2613762"/>
                    </a:xfrm>
                    <a:prstGeom prst="rect">
                      <a:avLst/>
                    </a:prstGeom>
                  </pic:spPr>
                </pic:pic>
              </a:graphicData>
            </a:graphic>
          </wp:inline>
        </w:drawing>
      </w:r>
    </w:p>
    <w:p w14:paraId="38898646" w14:textId="77777777" w:rsidR="001C3E10" w:rsidRPr="001C3E10" w:rsidRDefault="001C3E10" w:rsidP="001C3E10">
      <w:pPr>
        <w:pStyle w:val="Descripcin"/>
        <w:tabs>
          <w:tab w:val="center" w:pos="4680"/>
          <w:tab w:val="right" w:pos="9360"/>
        </w:tabs>
        <w:jc w:val="both"/>
        <w:rPr>
          <w:rFonts w:asciiTheme="minorHAnsi" w:hAnsiTheme="minorHAnsi"/>
          <w:sz w:val="22"/>
          <w:szCs w:val="22"/>
        </w:rPr>
      </w:pPr>
      <w:bookmarkStart w:id="196" w:name="_Ref406536837"/>
      <w:r w:rsidRPr="001C3E10">
        <w:rPr>
          <w:rFonts w:asciiTheme="minorHAnsi" w:hAnsiTheme="minorHAnsi"/>
          <w:sz w:val="22"/>
          <w:szCs w:val="22"/>
        </w:rPr>
        <w:tab/>
      </w:r>
      <w:bookmarkStart w:id="197" w:name="_Ref410990381"/>
      <w:r w:rsidRPr="001C3E10">
        <w:rPr>
          <w:rFonts w:asciiTheme="minorHAnsi" w:hAnsiTheme="minorHAnsi"/>
          <w:sz w:val="22"/>
          <w:szCs w:val="22"/>
        </w:rPr>
        <w:t xml:space="preserve">Figura </w:t>
      </w:r>
      <w:r w:rsidRPr="001C3E10">
        <w:rPr>
          <w:rFonts w:asciiTheme="minorHAnsi" w:hAnsiTheme="minorHAnsi"/>
          <w:sz w:val="22"/>
          <w:szCs w:val="22"/>
        </w:rPr>
        <w:fldChar w:fldCharType="begin"/>
      </w:r>
      <w:r w:rsidRPr="001C3E10">
        <w:rPr>
          <w:rFonts w:asciiTheme="minorHAnsi" w:hAnsiTheme="minorHAnsi"/>
          <w:sz w:val="22"/>
          <w:szCs w:val="22"/>
        </w:rPr>
        <w:instrText xml:space="preserve"> SEQ Figura \* ARABIC </w:instrText>
      </w:r>
      <w:r w:rsidRPr="001C3E10">
        <w:rPr>
          <w:rFonts w:asciiTheme="minorHAnsi" w:hAnsiTheme="minorHAnsi"/>
          <w:sz w:val="22"/>
          <w:szCs w:val="22"/>
        </w:rPr>
        <w:fldChar w:fldCharType="separate"/>
      </w:r>
      <w:r w:rsidR="00A17DFE">
        <w:rPr>
          <w:rFonts w:asciiTheme="minorHAnsi" w:hAnsiTheme="minorHAnsi"/>
          <w:noProof/>
          <w:sz w:val="22"/>
          <w:szCs w:val="22"/>
        </w:rPr>
        <w:t>4</w:t>
      </w:r>
      <w:r w:rsidRPr="001C3E10">
        <w:rPr>
          <w:rFonts w:asciiTheme="minorHAnsi" w:hAnsiTheme="minorHAnsi"/>
          <w:noProof/>
          <w:sz w:val="22"/>
          <w:szCs w:val="22"/>
        </w:rPr>
        <w:fldChar w:fldCharType="end"/>
      </w:r>
      <w:bookmarkEnd w:id="196"/>
      <w:bookmarkEnd w:id="197"/>
      <w:r w:rsidRPr="001C3E10">
        <w:rPr>
          <w:rFonts w:asciiTheme="minorHAnsi" w:hAnsiTheme="minorHAnsi"/>
          <w:sz w:val="22"/>
          <w:szCs w:val="22"/>
        </w:rPr>
        <w:t>: Alineamiento de TI con la Estrategia institucional.</w:t>
      </w:r>
    </w:p>
    <w:p w14:paraId="0EF10B1E" w14:textId="77777777" w:rsidR="001C3E10" w:rsidRPr="001C3E10" w:rsidRDefault="001C3E10" w:rsidP="00547B19">
      <w:pPr>
        <w:pStyle w:val="Prrafodelista"/>
        <w:numPr>
          <w:ilvl w:val="0"/>
          <w:numId w:val="36"/>
        </w:numPr>
        <w:spacing w:after="200" w:line="276" w:lineRule="auto"/>
        <w:rPr>
          <w:rFonts w:asciiTheme="minorHAnsi" w:hAnsiTheme="minorHAnsi"/>
          <w:b/>
          <w:sz w:val="22"/>
        </w:rPr>
      </w:pPr>
      <w:r w:rsidRPr="001C3E10">
        <w:rPr>
          <w:rFonts w:asciiTheme="minorHAnsi" w:hAnsiTheme="minorHAnsi"/>
          <w:b/>
          <w:sz w:val="22"/>
        </w:rPr>
        <w:t xml:space="preserve">Personas. </w:t>
      </w:r>
      <w:r w:rsidRPr="001C3E10">
        <w:rPr>
          <w:rFonts w:asciiTheme="minorHAnsi" w:hAnsiTheme="minorHAnsi"/>
          <w:sz w:val="22"/>
        </w:rPr>
        <w:t>Desarrollo de las capacidades del personal que brinda los servicios tecnológicos, de acuerdo con las necesidades de la organización.</w:t>
      </w:r>
    </w:p>
    <w:p w14:paraId="50442FA6" w14:textId="77777777" w:rsidR="001C3E10" w:rsidRPr="001C3E10" w:rsidRDefault="001C3E10" w:rsidP="00547B19">
      <w:pPr>
        <w:pStyle w:val="Prrafodelista"/>
        <w:numPr>
          <w:ilvl w:val="0"/>
          <w:numId w:val="36"/>
        </w:numPr>
        <w:spacing w:after="200" w:line="276" w:lineRule="auto"/>
        <w:rPr>
          <w:rFonts w:asciiTheme="minorHAnsi" w:hAnsiTheme="minorHAnsi"/>
          <w:b/>
          <w:sz w:val="22"/>
        </w:rPr>
      </w:pPr>
      <w:r w:rsidRPr="001C3E10">
        <w:rPr>
          <w:rFonts w:asciiTheme="minorHAnsi" w:hAnsiTheme="minorHAnsi"/>
          <w:b/>
          <w:sz w:val="22"/>
        </w:rPr>
        <w:t>Herramientas.</w:t>
      </w:r>
      <w:r w:rsidRPr="001C3E10">
        <w:rPr>
          <w:rFonts w:asciiTheme="minorHAnsi" w:hAnsiTheme="minorHAnsi"/>
          <w:sz w:val="22"/>
        </w:rPr>
        <w:t xml:space="preserve"> Mejora en las herramientas utilizadas para facilitar el desarrollo de los procesos.</w:t>
      </w:r>
    </w:p>
    <w:p w14:paraId="62E4E485" w14:textId="77777777" w:rsidR="001C3E10" w:rsidRPr="001C3E10" w:rsidRDefault="001C3E10" w:rsidP="00547B19">
      <w:pPr>
        <w:pStyle w:val="Prrafodelista"/>
        <w:numPr>
          <w:ilvl w:val="0"/>
          <w:numId w:val="36"/>
        </w:numPr>
        <w:spacing w:after="200" w:line="276" w:lineRule="auto"/>
        <w:rPr>
          <w:rFonts w:asciiTheme="minorHAnsi" w:hAnsiTheme="minorHAnsi"/>
          <w:b/>
          <w:sz w:val="22"/>
        </w:rPr>
      </w:pPr>
      <w:r w:rsidRPr="001C3E10">
        <w:rPr>
          <w:rFonts w:asciiTheme="minorHAnsi" w:hAnsiTheme="minorHAnsi"/>
          <w:b/>
          <w:sz w:val="22"/>
        </w:rPr>
        <w:t>Procesos.</w:t>
      </w:r>
      <w:r w:rsidRPr="001C3E10">
        <w:rPr>
          <w:rFonts w:asciiTheme="minorHAnsi" w:hAnsiTheme="minorHAnsi"/>
          <w:sz w:val="22"/>
        </w:rPr>
        <w:t xml:space="preserve"> Mejora de los procesos de la Corporación, para permitir la mejora en la eficiencia de la organización y en la agilidad operativa.</w:t>
      </w:r>
    </w:p>
    <w:p w14:paraId="021FADC5" w14:textId="5EE68661"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Estos tres elementos se derivan directamente de lo establecido en el segundo conjunto de mandatos estratégicos de la Corporación, relacionados con la excelencia operacional, descritos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_Ref405280852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Criterios de éxito de la organización</w:t>
      </w:r>
      <w:r w:rsidRPr="001C3E10">
        <w:rPr>
          <w:rFonts w:asciiTheme="minorHAnsi" w:hAnsiTheme="minorHAnsi"/>
          <w:sz w:val="22"/>
          <w:szCs w:val="22"/>
        </w:rPr>
        <w:fldChar w:fldCharType="end"/>
      </w:r>
      <w:r w:rsidRPr="001C3E10">
        <w:rPr>
          <w:rFonts w:asciiTheme="minorHAnsi" w:hAnsiTheme="minorHAnsi"/>
          <w:sz w:val="22"/>
          <w:szCs w:val="22"/>
        </w:rPr>
        <w:t xml:space="preserve"> de este documento. Con un trabajo enfocado en estos elementos, la DST logrará mejorar la excelencia operacional, acorde con lo que la Corporación establece. Consecuentemente con los logros que se obtengan en las dos últimas áreas mencionadas (herramientas y procesos) se apoyará a las Divisiones y ODM de la Corporación en su mejora y en el alcance de su excelencia operacional.</w:t>
      </w:r>
    </w:p>
    <w:p w14:paraId="1459FDD1"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198" w:name="_Ref406443697"/>
      <w:bookmarkStart w:id="199" w:name="_Ref406443795"/>
      <w:bookmarkStart w:id="200" w:name="_Ref410914477"/>
      <w:bookmarkStart w:id="201" w:name="_Ref410915368"/>
      <w:bookmarkStart w:id="202" w:name="_Toc414532013"/>
      <w:bookmarkStart w:id="203" w:name="_Toc429555142"/>
      <w:bookmarkStart w:id="204" w:name="_Toc429562784"/>
      <w:bookmarkStart w:id="205" w:name="_Toc429563094"/>
      <w:bookmarkStart w:id="206" w:name="_Toc429563249"/>
      <w:r w:rsidRPr="001C3E10">
        <w:rPr>
          <w:rFonts w:asciiTheme="minorHAnsi" w:hAnsiTheme="minorHAnsi"/>
          <w:sz w:val="22"/>
          <w:szCs w:val="22"/>
        </w:rPr>
        <w:lastRenderedPageBreak/>
        <w:t>Control</w:t>
      </w:r>
      <w:bookmarkEnd w:id="198"/>
      <w:bookmarkEnd w:id="199"/>
      <w:bookmarkEnd w:id="200"/>
      <w:bookmarkEnd w:id="201"/>
      <w:bookmarkEnd w:id="202"/>
      <w:bookmarkEnd w:id="203"/>
      <w:bookmarkEnd w:id="204"/>
      <w:bookmarkEnd w:id="205"/>
      <w:bookmarkEnd w:id="206"/>
    </w:p>
    <w:p w14:paraId="5B6AE496"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07" w:name="_Ref406443612"/>
      <w:bookmarkStart w:id="208" w:name="_Toc414532014"/>
      <w:bookmarkStart w:id="209" w:name="_Toc429555143"/>
      <w:bookmarkStart w:id="210" w:name="_Toc429562785"/>
      <w:bookmarkStart w:id="211" w:name="_Toc429563095"/>
      <w:bookmarkStart w:id="212" w:name="_Toc429563250"/>
      <w:r w:rsidRPr="001C3E10">
        <w:rPr>
          <w:rFonts w:asciiTheme="minorHAnsi" w:hAnsiTheme="minorHAnsi"/>
          <w:sz w:val="22"/>
          <w:szCs w:val="22"/>
        </w:rPr>
        <w:t>Principios de TI</w:t>
      </w:r>
      <w:bookmarkEnd w:id="207"/>
      <w:bookmarkEnd w:id="208"/>
      <w:bookmarkEnd w:id="209"/>
      <w:bookmarkEnd w:id="210"/>
      <w:bookmarkEnd w:id="211"/>
      <w:bookmarkEnd w:id="212"/>
    </w:p>
    <w:p w14:paraId="2ED03F09" w14:textId="77777777" w:rsidR="001C3E10" w:rsidRPr="001C3E10" w:rsidRDefault="001C3E10" w:rsidP="001C3E10">
      <w:pPr>
        <w:pStyle w:val="Prrafodelista"/>
        <w:spacing w:line="276" w:lineRule="auto"/>
        <w:rPr>
          <w:rFonts w:asciiTheme="minorHAnsi" w:hAnsiTheme="minorHAnsi"/>
          <w:i/>
          <w:sz w:val="22"/>
        </w:rPr>
      </w:pPr>
    </w:p>
    <w:p w14:paraId="060F0F5E"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 xml:space="preserve">El rol de la DST es ser el equipo encargado de la administración de la tecnología de la Corporación, aportando valor a través del soporte a las operaciones, así como en la realización de las mejoras y desarrollo de nuevas soluciones de tecnología requeridas por ella. </w:t>
      </w:r>
    </w:p>
    <w:p w14:paraId="0ACD4D7D"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Las capacidades de gestión de la tecnología requeridas para atender proyectos críticos de la Corporación y coordinar los equipos de trabajo de TI, siempre estarán centralizadas en la DST.</w:t>
      </w:r>
    </w:p>
    <w:p w14:paraId="01225AB4" w14:textId="77777777" w:rsidR="001C3E10" w:rsidRPr="001C3E10" w:rsidRDefault="001C3E10" w:rsidP="00547B19">
      <w:pPr>
        <w:pStyle w:val="Prrafodelista"/>
        <w:numPr>
          <w:ilvl w:val="0"/>
          <w:numId w:val="31"/>
        </w:numPr>
        <w:spacing w:after="200" w:line="276" w:lineRule="auto"/>
        <w:rPr>
          <w:rFonts w:asciiTheme="minorHAnsi" w:hAnsiTheme="minorHAnsi"/>
          <w:sz w:val="22"/>
        </w:rPr>
      </w:pPr>
      <w:r w:rsidRPr="001C3E10">
        <w:rPr>
          <w:rFonts w:asciiTheme="minorHAnsi" w:hAnsiTheme="minorHAnsi"/>
          <w:sz w:val="22"/>
        </w:rPr>
        <w:t>La DST custodia la información digital que la Corporación almacena a través de la utilización de la TI, la autorización del uso que a dicha información se dé le corresponderá exclusivamente a las Divisiones y ODM responsables de dicha información.</w:t>
      </w:r>
    </w:p>
    <w:p w14:paraId="1DFE57E7"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La arquitectura tecnológica deberá ser estandarizada e integrada, de manera que brinde simplicidad y orden en la gestión realizada por la DST, e impacte positivamente la eficiencia de costos y los niveles de riesgo que se generen sobre las Soluciones de Negocio.</w:t>
      </w:r>
    </w:p>
    <w:p w14:paraId="417EE859" w14:textId="77777777"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Se fomentará brindar a la Corporación las herramientas y los medios que les permitan obtener beneficios a través del análisis de la información requerida para la toma de decisiones.</w:t>
      </w:r>
    </w:p>
    <w:p w14:paraId="3CA482D9" w14:textId="3989BDD8"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 xml:space="preserve">Cada nueva iniciativa que se proponga realizar deberá fundamentarse en un </w:t>
      </w:r>
      <w:r w:rsidRPr="004D7122">
        <w:rPr>
          <w:rFonts w:asciiTheme="minorHAnsi" w:hAnsiTheme="minorHAnsi"/>
          <w:sz w:val="22"/>
        </w:rPr>
        <w:t>caso de negocio</w:t>
      </w:r>
      <w:r w:rsidRPr="001C3E10">
        <w:rPr>
          <w:rFonts w:asciiTheme="minorHAnsi" w:hAnsiTheme="minorHAnsi"/>
          <w:sz w:val="22"/>
        </w:rPr>
        <w:t xml:space="preserve"> que describa los beneficios que la Corporación alcanzará con su desarrollo, identifique los requerimientos a cubrir, las alternativas de aprovisionamiento (compra, alquiler, desarrollo interno, desarrollo externo), así como el costo y el nivel de riesgo de las alternativas de solución.</w:t>
      </w:r>
    </w:p>
    <w:p w14:paraId="0E3C9F31" w14:textId="0EEF431F" w:rsidR="001C3E10" w:rsidRPr="001C3E10" w:rsidRDefault="001C3E10" w:rsidP="00547B19">
      <w:pPr>
        <w:pStyle w:val="Prrafodelista"/>
        <w:numPr>
          <w:ilvl w:val="0"/>
          <w:numId w:val="31"/>
        </w:numPr>
        <w:spacing w:after="200" w:line="276" w:lineRule="auto"/>
        <w:rPr>
          <w:rFonts w:asciiTheme="minorHAnsi" w:hAnsiTheme="minorHAnsi"/>
          <w:i/>
          <w:sz w:val="22"/>
        </w:rPr>
      </w:pPr>
      <w:r w:rsidRPr="001C3E10">
        <w:rPr>
          <w:rFonts w:asciiTheme="minorHAnsi" w:hAnsiTheme="minorHAnsi"/>
          <w:sz w:val="22"/>
        </w:rPr>
        <w:t xml:space="preserve">Cualquier cambio que se realice sobre un </w:t>
      </w:r>
      <w:r w:rsidRPr="004D7122">
        <w:rPr>
          <w:rFonts w:asciiTheme="minorHAnsi" w:hAnsiTheme="minorHAnsi"/>
          <w:sz w:val="22"/>
        </w:rPr>
        <w:t>servicio de TI</w:t>
      </w:r>
      <w:r w:rsidRPr="001C3E10">
        <w:rPr>
          <w:rFonts w:asciiTheme="minorHAnsi" w:hAnsiTheme="minorHAnsi"/>
          <w:sz w:val="22"/>
        </w:rPr>
        <w:t xml:space="preserve"> en operación siempre deberá contar con la justificación, planificación y comunicación que permitan que el nivel de calidad entregado a las Divisiones y ODM encargadas de la misma no se vea reducido. </w:t>
      </w:r>
    </w:p>
    <w:p w14:paraId="46B3E4E8"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13" w:name="_Ref406443614"/>
      <w:bookmarkStart w:id="214" w:name="_Toc414532015"/>
      <w:bookmarkStart w:id="215" w:name="_Toc429555144"/>
      <w:bookmarkStart w:id="216" w:name="_Toc429562786"/>
      <w:bookmarkStart w:id="217" w:name="_Toc429563096"/>
      <w:bookmarkStart w:id="218" w:name="_Toc429563251"/>
      <w:r w:rsidRPr="001C3E10">
        <w:rPr>
          <w:rFonts w:asciiTheme="minorHAnsi" w:hAnsiTheme="minorHAnsi"/>
          <w:sz w:val="22"/>
          <w:szCs w:val="22"/>
        </w:rPr>
        <w:t>Gobernanza de TI</w:t>
      </w:r>
      <w:bookmarkEnd w:id="213"/>
      <w:bookmarkEnd w:id="214"/>
      <w:bookmarkEnd w:id="215"/>
      <w:bookmarkEnd w:id="216"/>
      <w:bookmarkEnd w:id="217"/>
      <w:bookmarkEnd w:id="218"/>
    </w:p>
    <w:p w14:paraId="7E61646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BCCR delimita la forma en la que “opera e interactúa con la ciudadanía y con los demás interesados en el negocio” a través de su definición de Gobierno Corporativo. Este marco regulatorio se encuentra conformado por reglamentos internos, políticas (de alto nivel y específicas), controles y lineamientos, todos ellos estructurados de manera que se facilite la toma de decisiones.</w:t>
      </w:r>
    </w:p>
    <w:p w14:paraId="7955D89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De manera particular, la toma de decisiones en materia de TI es realizada en el BCCR en diferentes niveles según sea la trascendencia de la decisión a tomar. </w:t>
      </w:r>
    </w:p>
    <w:p w14:paraId="6D63584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primero de estos niveles es el Comité Estratégico de Tecnologías de Información (CETI), el cual es un grupo interdisciplinario de alto nivel nombrado por la Gerencia, que tiene como principales </w:t>
      </w:r>
      <w:r w:rsidRPr="001C3E10">
        <w:rPr>
          <w:rFonts w:asciiTheme="minorHAnsi" w:hAnsiTheme="minorHAnsi"/>
          <w:sz w:val="22"/>
          <w:szCs w:val="22"/>
        </w:rPr>
        <w:lastRenderedPageBreak/>
        <w:t xml:space="preserve">responsabilidades dar guía y dirección estratégica general en materia de tecnologías de información y apoyar en la traducción de la estrategia del Banco en un conjunto priorizado de proyectos. </w:t>
      </w:r>
    </w:p>
    <w:p w14:paraId="173F390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este Comité se encuentran representadas las áreas responsables de la ejecución de los Planes de Servicio de las divisiones sustantivas de la Corporación y por su posición, se encuentra en la capacidad de analizar, desde el punto de vista estratégico, las propuestas e iniciativas de nuevos proyectos, así como la capacidad de proponer la cantidad de personal de la DST a asignar a cada División para atender la operación de las soluciones tecnológicas que administra, con el objetivo de que la Gerencia cuente con los elementos necesarios para tomar las decisiones al respecto. </w:t>
      </w:r>
    </w:p>
    <w:p w14:paraId="5E3A283E" w14:textId="77777777" w:rsidR="00E7765F" w:rsidRDefault="00E7765F" w:rsidP="001C3E10">
      <w:pPr>
        <w:spacing w:line="276" w:lineRule="auto"/>
        <w:jc w:val="both"/>
        <w:rPr>
          <w:rFonts w:asciiTheme="minorHAnsi" w:hAnsiTheme="minorHAnsi"/>
          <w:sz w:val="22"/>
          <w:szCs w:val="22"/>
        </w:rPr>
      </w:pPr>
    </w:p>
    <w:p w14:paraId="6F7C485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De manera complementaria, existe también para cada División y para la SUGESE, un Comité de Control de Cambios (CCC), que es nombrado por la Dirección de cada División (Superintendente en el caso de la SUGESE). Es el equipo responsable de apoyar la ejecución de los Planes de Servicio en materia de TI. De forma similar al CETI, este equipo propone una lista priorizada de proyectos con componente tecnológico que apoyan la estrategia particular de la División. Los CCC se encuentran conformados por personal de las áreas responsables de la administración de las soluciones tecnológicas de cada División y  se encuentra en la capacidad de analizar, desde el punto de vista normativo y técnico, las mejoras propuestas por los usuarios y de proponer la prioridad con que se asigne el personal de la DST, con el objetivo de que la División enfoque los recursos de TI asignados y apoyar así la realización de su Plan de Servicio.</w:t>
      </w:r>
    </w:p>
    <w:p w14:paraId="7826BB0C" w14:textId="77777777" w:rsidR="00E7765F" w:rsidRDefault="00E7765F" w:rsidP="001C3E10">
      <w:pPr>
        <w:spacing w:line="276" w:lineRule="auto"/>
        <w:jc w:val="both"/>
        <w:rPr>
          <w:rFonts w:asciiTheme="minorHAnsi" w:hAnsiTheme="minorHAnsi"/>
          <w:sz w:val="22"/>
          <w:szCs w:val="22"/>
        </w:rPr>
      </w:pPr>
    </w:p>
    <w:p w14:paraId="0DEF25C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Una de las tareas por atender durante el proceso de integración de los departamentos de TI es el definir la forma en la que se dará la participación de las Superintendencias en el Comité Estratégico de Tecnologías de Información, así como el funcionamiento de los CCC en dichas organizaciones.</w:t>
      </w:r>
    </w:p>
    <w:p w14:paraId="2A89929F"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19" w:name="_Ref406443616"/>
      <w:bookmarkStart w:id="220" w:name="_Toc414532016"/>
      <w:bookmarkStart w:id="221" w:name="_Toc429555145"/>
      <w:bookmarkStart w:id="222" w:name="_Toc429562787"/>
      <w:bookmarkStart w:id="223" w:name="_Toc429563097"/>
      <w:bookmarkStart w:id="224" w:name="_Toc429563252"/>
      <w:r w:rsidRPr="001C3E10">
        <w:rPr>
          <w:rFonts w:asciiTheme="minorHAnsi" w:hAnsiTheme="minorHAnsi"/>
          <w:sz w:val="22"/>
          <w:szCs w:val="22"/>
        </w:rPr>
        <w:t>Gestión financiera de TI</w:t>
      </w:r>
      <w:bookmarkEnd w:id="219"/>
      <w:bookmarkEnd w:id="220"/>
      <w:bookmarkEnd w:id="221"/>
      <w:bookmarkEnd w:id="222"/>
      <w:bookmarkEnd w:id="223"/>
      <w:bookmarkEnd w:id="224"/>
    </w:p>
    <w:p w14:paraId="7ACAA83D"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25" w:name="_Toc429555146"/>
      <w:bookmarkStart w:id="226" w:name="_Toc429562788"/>
      <w:bookmarkStart w:id="227" w:name="_Toc429563098"/>
      <w:bookmarkStart w:id="228" w:name="_Toc429563253"/>
      <w:r w:rsidRPr="001C3E10">
        <w:rPr>
          <w:rFonts w:asciiTheme="minorHAnsi" w:hAnsiTheme="minorHAnsi"/>
          <w:sz w:val="22"/>
          <w:szCs w:val="22"/>
        </w:rPr>
        <w:t>Presupuesto de TI</w:t>
      </w:r>
      <w:bookmarkEnd w:id="225"/>
      <w:bookmarkEnd w:id="226"/>
      <w:bookmarkEnd w:id="227"/>
      <w:bookmarkEnd w:id="228"/>
    </w:p>
    <w:p w14:paraId="4BA51B2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presupuesto de TI de la Corporación se obtiene a través del proceso de formulación presupuestaria institucional, mismo que es regido por la ley, la normativa de la CGR y las políticas específicas institucionales. Según estos lineamientos, toda la Corporación, incluida la DST, estima y justifica su presupuesto para los siguientes tres años, de manera que cada elemento presupuestado se asocie con una meta del plan estratégico institucional. La Junta Directiva, órgano decisor sobre el presupuesto, lo revisa y aprueba, de acuerdo con las restricciones presupuestarias de la entidad. </w:t>
      </w:r>
    </w:p>
    <w:p w14:paraId="180E9B48"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29" w:name="_Toc429555147"/>
      <w:bookmarkStart w:id="230" w:name="_Toc429562789"/>
      <w:bookmarkStart w:id="231" w:name="_Toc429563099"/>
      <w:bookmarkStart w:id="232" w:name="_Toc429563254"/>
      <w:r w:rsidRPr="001C3E10">
        <w:rPr>
          <w:rFonts w:asciiTheme="minorHAnsi" w:hAnsiTheme="minorHAnsi"/>
          <w:sz w:val="22"/>
          <w:szCs w:val="22"/>
        </w:rPr>
        <w:t>Costos de TI</w:t>
      </w:r>
      <w:bookmarkEnd w:id="229"/>
      <w:bookmarkEnd w:id="230"/>
      <w:bookmarkEnd w:id="231"/>
      <w:bookmarkEnd w:id="232"/>
    </w:p>
    <w:p w14:paraId="0367C7E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Corporación administra el costo de sus servicios mediante un modelo de Costeo Basado en Actividades (ABC), a través del cual se logra medir los costos, evaluar la ejecución de las actividades y valorar los procesos, productos y servicios de la Corporación con base en el consumo “real” de los recursos. La información suministrada por los responsables de las actividades, una vez validada y aceptada la factura por los consumidores de los servicios, es utilizada para generar, a través de la </w:t>
      </w:r>
      <w:r w:rsidRPr="001C3E10">
        <w:rPr>
          <w:rFonts w:asciiTheme="minorHAnsi" w:hAnsiTheme="minorHAnsi"/>
          <w:sz w:val="22"/>
          <w:szCs w:val="22"/>
        </w:rPr>
        <w:lastRenderedPageBreak/>
        <w:t xml:space="preserve">División de  Finanzas y Contabilidad, reportes periódicos (mensuales y semestrales) que se envían a las diferentes divisiones del Banco y los ODM para su conocimiento. </w:t>
      </w:r>
    </w:p>
    <w:p w14:paraId="00E2A41D" w14:textId="77777777" w:rsidR="00E7765F" w:rsidRDefault="00E7765F" w:rsidP="001C3E10">
      <w:pPr>
        <w:spacing w:line="276" w:lineRule="auto"/>
        <w:jc w:val="both"/>
        <w:rPr>
          <w:rFonts w:asciiTheme="minorHAnsi" w:hAnsiTheme="minorHAnsi"/>
          <w:sz w:val="22"/>
          <w:szCs w:val="22"/>
        </w:rPr>
      </w:pPr>
    </w:p>
    <w:p w14:paraId="3F6D1CAC" w14:textId="0388AD94"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el caso de la DST, las actividades que se costean se encuentran agrupadas en cuatro categorías: </w:t>
      </w:r>
      <w:r w:rsidRPr="004D7122">
        <w:rPr>
          <w:rFonts w:asciiTheme="minorHAnsi" w:hAnsiTheme="minorHAnsi"/>
          <w:sz w:val="22"/>
          <w:szCs w:val="22"/>
        </w:rPr>
        <w:t>Hardware</w:t>
      </w:r>
      <w:r w:rsidRPr="001C3E10">
        <w:rPr>
          <w:rFonts w:asciiTheme="minorHAnsi" w:hAnsiTheme="minorHAnsi"/>
          <w:sz w:val="22"/>
          <w:szCs w:val="22"/>
        </w:rPr>
        <w:t xml:space="preserve">, </w:t>
      </w:r>
      <w:r w:rsidRPr="004D7122">
        <w:rPr>
          <w:rFonts w:asciiTheme="minorHAnsi" w:hAnsiTheme="minorHAnsi"/>
          <w:sz w:val="22"/>
          <w:szCs w:val="22"/>
        </w:rPr>
        <w:t>Software</w:t>
      </w:r>
      <w:r w:rsidRPr="001C3E10">
        <w:rPr>
          <w:rFonts w:asciiTheme="minorHAnsi" w:hAnsiTheme="minorHAnsi"/>
          <w:sz w:val="22"/>
          <w:szCs w:val="22"/>
        </w:rPr>
        <w:t xml:space="preserve">, Actividades (o labores del personal) y Contratos. Las dos primeras se basan en la depreciación de los bienes, las Actividades en el registro diario de las labores de todo el personal y los Contratos, en los pagos realizados a proveedores de TI. Esta información permite distribuir los costos de TI utilizando distintos métodos de </w:t>
      </w:r>
      <w:r w:rsidRPr="004D7122">
        <w:rPr>
          <w:rFonts w:asciiTheme="minorHAnsi" w:hAnsiTheme="minorHAnsi"/>
          <w:sz w:val="22"/>
          <w:szCs w:val="22"/>
        </w:rPr>
        <w:t>reembolso</w:t>
      </w:r>
      <w:r w:rsidRPr="001C3E10">
        <w:rPr>
          <w:rFonts w:asciiTheme="minorHAnsi" w:hAnsiTheme="minorHAnsi"/>
          <w:sz w:val="22"/>
          <w:szCs w:val="22"/>
        </w:rPr>
        <w:t xml:space="preserve"> (</w:t>
      </w:r>
      <w:r w:rsidRPr="001C3E10">
        <w:rPr>
          <w:rFonts w:asciiTheme="minorHAnsi" w:hAnsiTheme="minorHAnsi"/>
          <w:i/>
          <w:sz w:val="22"/>
          <w:szCs w:val="22"/>
        </w:rPr>
        <w:t>chargeback</w:t>
      </w:r>
      <w:r w:rsidRPr="001C3E10">
        <w:rPr>
          <w:rFonts w:asciiTheme="minorHAnsi" w:hAnsiTheme="minorHAnsi"/>
          <w:sz w:val="22"/>
          <w:szCs w:val="22"/>
        </w:rPr>
        <w:t xml:space="preserve">): </w:t>
      </w:r>
    </w:p>
    <w:p w14:paraId="57F1C2F5" w14:textId="77777777" w:rsidR="001C3E10" w:rsidRPr="001C3E10" w:rsidRDefault="001C3E10" w:rsidP="00547B19">
      <w:pPr>
        <w:pStyle w:val="Prrafodelista"/>
        <w:numPr>
          <w:ilvl w:val="0"/>
          <w:numId w:val="39"/>
        </w:numPr>
        <w:spacing w:after="200" w:line="276" w:lineRule="auto"/>
        <w:rPr>
          <w:rFonts w:asciiTheme="minorHAnsi" w:hAnsiTheme="minorHAnsi"/>
          <w:sz w:val="22"/>
        </w:rPr>
      </w:pPr>
      <w:r w:rsidRPr="001C3E10">
        <w:rPr>
          <w:rFonts w:asciiTheme="minorHAnsi" w:hAnsiTheme="minorHAnsi"/>
          <w:i/>
          <w:sz w:val="22"/>
        </w:rPr>
        <w:t>Costeo directo</w:t>
      </w:r>
      <w:r w:rsidRPr="001C3E10">
        <w:rPr>
          <w:rFonts w:asciiTheme="minorHAnsi" w:hAnsiTheme="minorHAnsi"/>
          <w:sz w:val="22"/>
        </w:rPr>
        <w:t xml:space="preserve"> para aquellas actividades relacionadas con proyectos, mejoras y defectos. </w:t>
      </w:r>
    </w:p>
    <w:p w14:paraId="70D10DFD" w14:textId="77777777" w:rsidR="001C3E10" w:rsidRPr="001C3E10" w:rsidRDefault="001C3E10" w:rsidP="00547B19">
      <w:pPr>
        <w:pStyle w:val="Prrafodelista"/>
        <w:numPr>
          <w:ilvl w:val="0"/>
          <w:numId w:val="39"/>
        </w:numPr>
        <w:spacing w:after="200" w:line="276" w:lineRule="auto"/>
        <w:rPr>
          <w:rFonts w:asciiTheme="minorHAnsi" w:hAnsiTheme="minorHAnsi"/>
          <w:sz w:val="22"/>
        </w:rPr>
      </w:pPr>
      <w:r w:rsidRPr="001C3E10">
        <w:rPr>
          <w:rFonts w:asciiTheme="minorHAnsi" w:hAnsiTheme="minorHAnsi"/>
          <w:sz w:val="22"/>
        </w:rPr>
        <w:t xml:space="preserve">Para lo que corresponde al costo de las estaciones de trabajo, este se asigna mediante un </w:t>
      </w:r>
      <w:r w:rsidRPr="001C3E10">
        <w:rPr>
          <w:rFonts w:asciiTheme="minorHAnsi" w:hAnsiTheme="minorHAnsi"/>
          <w:i/>
          <w:sz w:val="22"/>
        </w:rPr>
        <w:t>porcentaje de uso</w:t>
      </w:r>
      <w:r w:rsidRPr="001C3E10">
        <w:rPr>
          <w:rFonts w:asciiTheme="minorHAnsi" w:hAnsiTheme="minorHAnsi"/>
          <w:sz w:val="22"/>
        </w:rPr>
        <w:t xml:space="preserve"> que se calcula según la cantidad de plazas asignadas a cada división, sin tomar en cuenta las plazas de TI en el total. </w:t>
      </w:r>
    </w:p>
    <w:p w14:paraId="1F128CB6" w14:textId="77777777" w:rsidR="001C3E10" w:rsidRPr="001C3E10" w:rsidRDefault="001C3E10" w:rsidP="00547B19">
      <w:pPr>
        <w:pStyle w:val="Prrafodelista"/>
        <w:numPr>
          <w:ilvl w:val="0"/>
          <w:numId w:val="39"/>
        </w:numPr>
        <w:spacing w:after="200" w:line="276" w:lineRule="auto"/>
        <w:rPr>
          <w:rFonts w:asciiTheme="minorHAnsi" w:hAnsiTheme="minorHAnsi"/>
          <w:sz w:val="22"/>
        </w:rPr>
      </w:pPr>
      <w:r w:rsidRPr="001C3E10">
        <w:rPr>
          <w:rFonts w:asciiTheme="minorHAnsi" w:hAnsiTheme="minorHAnsi"/>
          <w:sz w:val="22"/>
        </w:rPr>
        <w:t xml:space="preserve">Los costos administrativos se distribuyen equitativamente entre todas las Divisiones y ODM de la Corporación, en una especie de </w:t>
      </w:r>
      <w:r w:rsidRPr="001C3E10">
        <w:rPr>
          <w:rFonts w:asciiTheme="minorHAnsi" w:hAnsiTheme="minorHAnsi"/>
          <w:i/>
          <w:sz w:val="22"/>
        </w:rPr>
        <w:t>pago por suscripción</w:t>
      </w:r>
      <w:r w:rsidRPr="001C3E10">
        <w:rPr>
          <w:rFonts w:asciiTheme="minorHAnsi" w:hAnsiTheme="minorHAnsi"/>
          <w:sz w:val="22"/>
        </w:rPr>
        <w:t>.</w:t>
      </w:r>
    </w:p>
    <w:p w14:paraId="25ACE7E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Con el objetivo de lograr una medición correcta de los costos y de las economías de escala, es necesario incorporar los costos de la TI de los ODM en el sistema utilizado por la DST, logrando así también que la totalidad de los costos de la TI de la Corporación se administre de manera unificada.</w:t>
      </w:r>
    </w:p>
    <w:p w14:paraId="75485A55"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33" w:name="_Ref406443618"/>
      <w:bookmarkStart w:id="234" w:name="_Toc414532017"/>
      <w:bookmarkStart w:id="235" w:name="_Toc429555148"/>
      <w:bookmarkStart w:id="236" w:name="_Toc429562790"/>
      <w:bookmarkStart w:id="237" w:name="_Toc429563100"/>
      <w:bookmarkStart w:id="238" w:name="_Toc429563255"/>
      <w:r w:rsidRPr="001C3E10">
        <w:rPr>
          <w:rFonts w:asciiTheme="minorHAnsi" w:hAnsiTheme="minorHAnsi"/>
          <w:sz w:val="22"/>
          <w:szCs w:val="22"/>
        </w:rPr>
        <w:t>Métricas</w:t>
      </w:r>
      <w:bookmarkEnd w:id="233"/>
      <w:bookmarkEnd w:id="234"/>
      <w:bookmarkEnd w:id="235"/>
      <w:bookmarkEnd w:id="236"/>
      <w:bookmarkEnd w:id="237"/>
      <w:bookmarkEnd w:id="238"/>
    </w:p>
    <w:p w14:paraId="73BE668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métricas a utilizar para demostrar el valor que TI aporta al BCCR a través de los objetivos definidos son las siguientes:</w:t>
      </w:r>
    </w:p>
    <w:p w14:paraId="6A70991E" w14:textId="77777777" w:rsidR="001C3E10" w:rsidRPr="001C3E10" w:rsidRDefault="001C3E10" w:rsidP="00547B19">
      <w:pPr>
        <w:pStyle w:val="Prrafodelista"/>
        <w:numPr>
          <w:ilvl w:val="0"/>
          <w:numId w:val="35"/>
        </w:numPr>
        <w:spacing w:line="276" w:lineRule="auto"/>
        <w:rPr>
          <w:rFonts w:asciiTheme="minorHAnsi" w:hAnsiTheme="minorHAnsi"/>
          <w:sz w:val="22"/>
        </w:rPr>
      </w:pPr>
      <w:r w:rsidRPr="001C3E10">
        <w:rPr>
          <w:rFonts w:asciiTheme="minorHAnsi" w:hAnsiTheme="minorHAnsi"/>
          <w:b/>
          <w:sz w:val="22"/>
        </w:rPr>
        <w:t>Operaciones.</w:t>
      </w:r>
      <w:r w:rsidRPr="001C3E10">
        <w:rPr>
          <w:rFonts w:asciiTheme="minorHAnsi" w:hAnsiTheme="minorHAnsi"/>
          <w:sz w:val="22"/>
        </w:rPr>
        <w:t xml:space="preserve"> Porcentaje de cumplimiento de los atributos de calidad establecidos en cada uno de los Acuerdos de Nivel de Servicio. </w:t>
      </w:r>
    </w:p>
    <w:p w14:paraId="7CAEFDC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30443A71" wp14:editId="4482DC9D">
            <wp:extent cx="5165677" cy="2999894"/>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71764" cy="3003429"/>
                    </a:xfrm>
                    <a:prstGeom prst="rect">
                      <a:avLst/>
                    </a:prstGeom>
                    <a:noFill/>
                  </pic:spPr>
                </pic:pic>
              </a:graphicData>
            </a:graphic>
          </wp:inline>
        </w:drawing>
      </w:r>
    </w:p>
    <w:p w14:paraId="604A61A8" w14:textId="77777777" w:rsidR="001C3E10" w:rsidRPr="001C3E10" w:rsidRDefault="001C3E10" w:rsidP="001C3E10">
      <w:pPr>
        <w:pStyle w:val="Prrafodelista"/>
        <w:spacing w:line="276" w:lineRule="auto"/>
        <w:rPr>
          <w:rFonts w:asciiTheme="minorHAnsi" w:hAnsiTheme="minorHAnsi"/>
          <w:sz w:val="22"/>
        </w:rPr>
      </w:pPr>
    </w:p>
    <w:p w14:paraId="209143DF" w14:textId="77777777" w:rsidR="001C3E10" w:rsidRPr="001C3E10" w:rsidRDefault="001C3E10" w:rsidP="00547B19">
      <w:pPr>
        <w:pStyle w:val="Prrafodelista"/>
        <w:numPr>
          <w:ilvl w:val="0"/>
          <w:numId w:val="35"/>
        </w:numPr>
        <w:spacing w:after="200" w:line="276" w:lineRule="auto"/>
        <w:rPr>
          <w:rFonts w:asciiTheme="minorHAnsi" w:hAnsiTheme="minorHAnsi"/>
          <w:sz w:val="22"/>
        </w:rPr>
      </w:pPr>
      <w:r w:rsidRPr="001C3E10">
        <w:rPr>
          <w:rFonts w:asciiTheme="minorHAnsi" w:hAnsiTheme="minorHAnsi"/>
          <w:b/>
          <w:sz w:val="22"/>
        </w:rPr>
        <w:lastRenderedPageBreak/>
        <w:t>Crecimiento.</w:t>
      </w:r>
      <w:r w:rsidRPr="001C3E10">
        <w:rPr>
          <w:rFonts w:asciiTheme="minorHAnsi" w:hAnsiTheme="minorHAnsi"/>
          <w:sz w:val="22"/>
        </w:rPr>
        <w:t xml:space="preserve"> Porcentaje de cumplimiento de los compromisos acordados con las Divisiones y ODM sobre cada mejora realizada a los Servicios.</w:t>
      </w:r>
    </w:p>
    <w:p w14:paraId="7FE593AE" w14:textId="77777777" w:rsidR="001C3E10" w:rsidRPr="001C3E10" w:rsidRDefault="001C3E10" w:rsidP="001C3E10">
      <w:pPr>
        <w:pStyle w:val="Prrafodelista"/>
        <w:spacing w:line="276" w:lineRule="auto"/>
        <w:rPr>
          <w:rFonts w:asciiTheme="minorHAnsi" w:hAnsiTheme="minorHAnsi"/>
          <w:sz w:val="22"/>
        </w:rPr>
      </w:pPr>
    </w:p>
    <w:p w14:paraId="255F79F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6B564B86" wp14:editId="689C415F">
            <wp:extent cx="5822830" cy="2225859"/>
            <wp:effectExtent l="0" t="0" r="6985" b="317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40978" cy="2232796"/>
                    </a:xfrm>
                    <a:prstGeom prst="rect">
                      <a:avLst/>
                    </a:prstGeom>
                    <a:noFill/>
                  </pic:spPr>
                </pic:pic>
              </a:graphicData>
            </a:graphic>
          </wp:inline>
        </w:drawing>
      </w:r>
    </w:p>
    <w:p w14:paraId="5AD6C707" w14:textId="77777777" w:rsidR="001C3E10" w:rsidRPr="001C3E10" w:rsidRDefault="001C3E10" w:rsidP="00547B19">
      <w:pPr>
        <w:pStyle w:val="Prrafodelista"/>
        <w:numPr>
          <w:ilvl w:val="0"/>
          <w:numId w:val="35"/>
        </w:numPr>
        <w:spacing w:after="200" w:line="276" w:lineRule="auto"/>
        <w:rPr>
          <w:rFonts w:asciiTheme="minorHAnsi" w:hAnsiTheme="minorHAnsi"/>
          <w:sz w:val="22"/>
        </w:rPr>
      </w:pPr>
      <w:r w:rsidRPr="001C3E10">
        <w:rPr>
          <w:rFonts w:asciiTheme="minorHAnsi" w:hAnsiTheme="minorHAnsi"/>
          <w:b/>
          <w:sz w:val="22"/>
        </w:rPr>
        <w:t>Transformación.</w:t>
      </w:r>
      <w:r w:rsidRPr="001C3E10">
        <w:rPr>
          <w:rFonts w:asciiTheme="minorHAnsi" w:hAnsiTheme="minorHAnsi"/>
          <w:sz w:val="22"/>
        </w:rPr>
        <w:t xml:space="preserve"> Porcentaje de cumplimiento de los compromisos acordados con las Divisiones y ODM (beneficios, costos y riesgos) sobre cada proyecto que desarrolle nuevos Servicios.</w:t>
      </w:r>
    </w:p>
    <w:p w14:paraId="7C9E50A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4D84D6B7" wp14:editId="7C2E1852">
            <wp:extent cx="5684808" cy="2173099"/>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02523" cy="2179871"/>
                    </a:xfrm>
                    <a:prstGeom prst="rect">
                      <a:avLst/>
                    </a:prstGeom>
                    <a:noFill/>
                  </pic:spPr>
                </pic:pic>
              </a:graphicData>
            </a:graphic>
          </wp:inline>
        </w:drawing>
      </w:r>
    </w:p>
    <w:p w14:paraId="6087F858" w14:textId="77777777" w:rsidR="001C3E10" w:rsidRPr="001C3E10" w:rsidRDefault="001C3E10" w:rsidP="001C3E10">
      <w:pPr>
        <w:spacing w:line="276" w:lineRule="auto"/>
        <w:jc w:val="both"/>
        <w:rPr>
          <w:rFonts w:asciiTheme="minorHAnsi" w:hAnsiTheme="minorHAnsi"/>
          <w:sz w:val="22"/>
          <w:szCs w:val="22"/>
        </w:rPr>
      </w:pPr>
    </w:p>
    <w:p w14:paraId="5B4F294D" w14:textId="77777777" w:rsidR="001C3E10" w:rsidRPr="001C3E10" w:rsidRDefault="001C3E10" w:rsidP="00547B19">
      <w:pPr>
        <w:pStyle w:val="Prrafodelista"/>
        <w:numPr>
          <w:ilvl w:val="0"/>
          <w:numId w:val="35"/>
        </w:numPr>
        <w:spacing w:after="200" w:line="276" w:lineRule="auto"/>
        <w:rPr>
          <w:rFonts w:asciiTheme="minorHAnsi" w:hAnsiTheme="minorHAnsi"/>
          <w:sz w:val="22"/>
        </w:rPr>
      </w:pPr>
      <w:r w:rsidRPr="001C3E10">
        <w:rPr>
          <w:rFonts w:asciiTheme="minorHAnsi" w:hAnsiTheme="minorHAnsi"/>
          <w:b/>
          <w:sz w:val="22"/>
        </w:rPr>
        <w:t xml:space="preserve">Integración. </w:t>
      </w:r>
      <w:r w:rsidRPr="001C3E10">
        <w:rPr>
          <w:rFonts w:asciiTheme="minorHAnsi" w:hAnsiTheme="minorHAnsi"/>
          <w:sz w:val="22"/>
        </w:rPr>
        <w:t>Porcentaje de avance en la integración de los componentes críticos en la DST y los departamentos de TI de los ODM.</w:t>
      </w:r>
    </w:p>
    <w:p w14:paraId="06F046F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0F680CEF" wp14:editId="25C4EC24">
            <wp:extent cx="5682770" cy="2123012"/>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696040" cy="2127970"/>
                    </a:xfrm>
                    <a:prstGeom prst="rect">
                      <a:avLst/>
                    </a:prstGeom>
                    <a:noFill/>
                  </pic:spPr>
                </pic:pic>
              </a:graphicData>
            </a:graphic>
          </wp:inline>
        </w:drawing>
      </w:r>
    </w:p>
    <w:p w14:paraId="4ADE4878" w14:textId="77777777" w:rsidR="001C3E10" w:rsidRPr="001C3E10" w:rsidRDefault="001C3E10" w:rsidP="00547B19">
      <w:pPr>
        <w:pStyle w:val="Ttulo1"/>
        <w:keepLines/>
        <w:numPr>
          <w:ilvl w:val="0"/>
          <w:numId w:val="45"/>
        </w:numPr>
        <w:spacing w:before="480" w:after="0" w:line="276" w:lineRule="auto"/>
        <w:jc w:val="both"/>
        <w:rPr>
          <w:rFonts w:asciiTheme="minorHAnsi" w:hAnsiTheme="minorHAnsi"/>
          <w:sz w:val="22"/>
          <w:szCs w:val="22"/>
        </w:rPr>
      </w:pPr>
      <w:bookmarkStart w:id="239" w:name="_Ref406443706"/>
      <w:bookmarkStart w:id="240" w:name="_Ref406443825"/>
      <w:bookmarkStart w:id="241" w:name="_Ref406537297"/>
      <w:bookmarkStart w:id="242" w:name="_Ref410914481"/>
      <w:bookmarkStart w:id="243" w:name="_Ref410915384"/>
      <w:bookmarkStart w:id="244" w:name="_Toc414532018"/>
      <w:bookmarkStart w:id="245" w:name="_Toc429555149"/>
      <w:bookmarkStart w:id="246" w:name="_Toc429562791"/>
      <w:bookmarkStart w:id="247" w:name="_Toc429563101"/>
      <w:bookmarkStart w:id="248" w:name="_Toc429563256"/>
      <w:r w:rsidRPr="001C3E10">
        <w:rPr>
          <w:rFonts w:asciiTheme="minorHAnsi" w:hAnsiTheme="minorHAnsi"/>
          <w:sz w:val="22"/>
          <w:szCs w:val="22"/>
        </w:rPr>
        <w:t>Aprovisionamiento</w:t>
      </w:r>
      <w:bookmarkEnd w:id="239"/>
      <w:bookmarkEnd w:id="240"/>
      <w:bookmarkEnd w:id="241"/>
      <w:bookmarkEnd w:id="242"/>
      <w:bookmarkEnd w:id="243"/>
      <w:bookmarkEnd w:id="244"/>
      <w:bookmarkEnd w:id="245"/>
      <w:bookmarkEnd w:id="246"/>
      <w:bookmarkEnd w:id="247"/>
      <w:bookmarkEnd w:id="248"/>
    </w:p>
    <w:p w14:paraId="4C8EF0EB"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49" w:name="_Ref406443623"/>
      <w:bookmarkStart w:id="250" w:name="_Toc414532019"/>
      <w:bookmarkStart w:id="251" w:name="_Toc429555150"/>
      <w:bookmarkStart w:id="252" w:name="_Toc429562792"/>
      <w:bookmarkStart w:id="253" w:name="_Toc429563102"/>
      <w:bookmarkStart w:id="254" w:name="_Toc429563257"/>
      <w:r w:rsidRPr="001C3E10">
        <w:rPr>
          <w:rFonts w:asciiTheme="minorHAnsi" w:hAnsiTheme="minorHAnsi"/>
          <w:sz w:val="22"/>
          <w:szCs w:val="22"/>
        </w:rPr>
        <w:t>Servicios de TI</w:t>
      </w:r>
      <w:bookmarkEnd w:id="249"/>
      <w:bookmarkEnd w:id="250"/>
      <w:bookmarkEnd w:id="251"/>
      <w:bookmarkEnd w:id="252"/>
      <w:bookmarkEnd w:id="253"/>
      <w:bookmarkEnd w:id="254"/>
    </w:p>
    <w:p w14:paraId="22BD5298"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55" w:name="_Toc429555151"/>
      <w:bookmarkStart w:id="256" w:name="_Toc429562793"/>
      <w:bookmarkStart w:id="257" w:name="_Toc429563103"/>
      <w:bookmarkStart w:id="258" w:name="_Toc429563258"/>
      <w:r w:rsidRPr="001C3E10">
        <w:rPr>
          <w:rFonts w:asciiTheme="minorHAnsi" w:hAnsiTheme="minorHAnsi"/>
          <w:sz w:val="22"/>
          <w:szCs w:val="22"/>
        </w:rPr>
        <w:t>Situación actual</w:t>
      </w:r>
      <w:bookmarkEnd w:id="255"/>
      <w:bookmarkEnd w:id="256"/>
      <w:bookmarkEnd w:id="257"/>
      <w:bookmarkEnd w:id="258"/>
    </w:p>
    <w:p w14:paraId="11BE9D77" w14:textId="77777777" w:rsidR="00E7765F" w:rsidRDefault="00E7765F" w:rsidP="001C3E10">
      <w:pPr>
        <w:spacing w:line="276" w:lineRule="auto"/>
        <w:jc w:val="both"/>
        <w:rPr>
          <w:rFonts w:asciiTheme="minorHAnsi" w:hAnsiTheme="minorHAnsi"/>
          <w:sz w:val="22"/>
          <w:szCs w:val="22"/>
        </w:rPr>
      </w:pPr>
    </w:p>
    <w:p w14:paraId="5416684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Diseñado desde el año 2008, el portafolio de servicios actual de la DST se encuentra conformado por los servicios </w:t>
      </w:r>
      <w:r w:rsidRPr="001C3E10">
        <w:rPr>
          <w:rFonts w:asciiTheme="minorHAnsi" w:hAnsiTheme="minorHAnsi"/>
          <w:i/>
          <w:sz w:val="22"/>
          <w:szCs w:val="22"/>
        </w:rPr>
        <w:t>Implementación de Soluciones de Negocio</w:t>
      </w:r>
      <w:r w:rsidRPr="001C3E10">
        <w:rPr>
          <w:rFonts w:asciiTheme="minorHAnsi" w:hAnsiTheme="minorHAnsi"/>
          <w:sz w:val="22"/>
          <w:szCs w:val="22"/>
        </w:rPr>
        <w:t xml:space="preserve"> y </w:t>
      </w:r>
      <w:r w:rsidRPr="001C3E10">
        <w:rPr>
          <w:rFonts w:asciiTheme="minorHAnsi" w:hAnsiTheme="minorHAnsi"/>
          <w:i/>
          <w:sz w:val="22"/>
          <w:szCs w:val="22"/>
        </w:rPr>
        <w:t xml:space="preserve">Gestión de Soluciones de Negocio, </w:t>
      </w:r>
      <w:r w:rsidRPr="001C3E10">
        <w:rPr>
          <w:rFonts w:asciiTheme="minorHAnsi" w:hAnsiTheme="minorHAnsi"/>
          <w:sz w:val="22"/>
          <w:szCs w:val="22"/>
        </w:rPr>
        <w:t xml:space="preserve">enfoque que buscaba estructurar lo que las divisiones podían obtener de TI desde una sencilla perspectiva: solicitar la creación de nuevos servicios de TI y la operación y mejora de los mismos. </w:t>
      </w:r>
    </w:p>
    <w:p w14:paraId="7AAB94E7" w14:textId="62B84AA5"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TI en el BCCR es gestionada a través de 25 procesos específicos, además de los procesos institucionales definidos para labores generales (p. ej. Gestión de proyectos). Por su parte los departamentos de TI de las Superintendencias utilizan sus propios procesos, lo que provoca que problemas similares se resuelvan de manera distinta en toda la Corporación. Además, existen algunas diferencias en la forma en la que se brindan algunos servicios de TI en la Corporación, un ejemplo es el que la SUPEN aprovisiona algunos servicios en la </w:t>
      </w:r>
      <w:r w:rsidRPr="004D7122">
        <w:rPr>
          <w:rFonts w:asciiTheme="minorHAnsi" w:hAnsiTheme="minorHAnsi"/>
          <w:sz w:val="22"/>
          <w:szCs w:val="22"/>
        </w:rPr>
        <w:t>nube</w:t>
      </w:r>
      <w:r w:rsidRPr="001C3E10">
        <w:rPr>
          <w:rFonts w:asciiTheme="minorHAnsi" w:hAnsiTheme="minorHAnsi"/>
          <w:sz w:val="22"/>
          <w:szCs w:val="22"/>
        </w:rPr>
        <w:t>, mientras que el resto de la organización se encuentra dando sus primeros pasos en el uso de este modelo.</w:t>
      </w:r>
    </w:p>
    <w:p w14:paraId="237C60B3"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59" w:name="_Toc429555152"/>
      <w:bookmarkStart w:id="260" w:name="_Toc429562794"/>
      <w:bookmarkStart w:id="261" w:name="_Toc429563104"/>
      <w:bookmarkStart w:id="262" w:name="_Toc429563259"/>
      <w:r w:rsidRPr="001C3E10">
        <w:rPr>
          <w:rFonts w:asciiTheme="minorHAnsi" w:hAnsiTheme="minorHAnsi"/>
          <w:sz w:val="22"/>
          <w:szCs w:val="22"/>
        </w:rPr>
        <w:t>Estrategias</w:t>
      </w:r>
      <w:bookmarkEnd w:id="259"/>
      <w:bookmarkEnd w:id="260"/>
      <w:bookmarkEnd w:id="261"/>
      <w:bookmarkEnd w:id="262"/>
    </w:p>
    <w:p w14:paraId="75967363"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Gestión de Servicios de TI</w:t>
      </w:r>
    </w:p>
    <w:p w14:paraId="58ABA929" w14:textId="77777777" w:rsidR="00E7765F" w:rsidRDefault="00E7765F" w:rsidP="001C3E10">
      <w:pPr>
        <w:spacing w:line="276" w:lineRule="auto"/>
        <w:jc w:val="both"/>
        <w:rPr>
          <w:rFonts w:asciiTheme="minorHAnsi" w:hAnsiTheme="minorHAnsi"/>
          <w:sz w:val="22"/>
          <w:szCs w:val="22"/>
        </w:rPr>
      </w:pPr>
    </w:p>
    <w:p w14:paraId="27D59E4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Existe la necesidad de re-estructurar el portafolio de servicios de TI del BCCR, considerando lo que estándares y buenas prácticas de la industria (como las sugeridas por </w:t>
      </w:r>
      <w:hyperlink w:anchor="Information_Techn_Infrast_Library_ITIL" w:history="1">
        <w:r w:rsidRPr="001C3E10">
          <w:rPr>
            <w:rStyle w:val="Hipervnculo"/>
            <w:rFonts w:asciiTheme="minorHAnsi" w:hAnsiTheme="minorHAnsi"/>
            <w:sz w:val="22"/>
            <w:szCs w:val="22"/>
          </w:rPr>
          <w:t>ITIL</w:t>
        </w:r>
      </w:hyperlink>
      <w:r w:rsidRPr="001C3E10">
        <w:rPr>
          <w:rFonts w:asciiTheme="minorHAnsi" w:hAnsiTheme="minorHAnsi"/>
          <w:sz w:val="22"/>
          <w:szCs w:val="22"/>
        </w:rPr>
        <w:t xml:space="preserve">) plantean e incorporando los servicios que los departamentos de TI de los ODM ofrecen. Con esto se espera lograr una mayor claridad en los consumidores de estos servicios y una mayor efectividad en la administración de la tecnología asociada a los mismos, redefiniendo además los Acuerdos de Nivel de Servicio, </w:t>
      </w:r>
      <w:r w:rsidRPr="001C3E10">
        <w:rPr>
          <w:rFonts w:asciiTheme="minorHAnsi" w:hAnsiTheme="minorHAnsi"/>
          <w:sz w:val="22"/>
          <w:szCs w:val="22"/>
        </w:rPr>
        <w:lastRenderedPageBreak/>
        <w:t xml:space="preserve">incorporando en ellos los atributos, características, costos, requerimientos y condiciones particulares asociadas con cada servicio brindado. </w:t>
      </w:r>
    </w:p>
    <w:p w14:paraId="44F8A148" w14:textId="77777777" w:rsidR="0041643D" w:rsidRDefault="0041643D" w:rsidP="001C3E10">
      <w:pPr>
        <w:spacing w:line="276" w:lineRule="auto"/>
        <w:jc w:val="both"/>
        <w:rPr>
          <w:rFonts w:asciiTheme="minorHAnsi" w:hAnsiTheme="minorHAnsi"/>
          <w:sz w:val="22"/>
          <w:szCs w:val="22"/>
        </w:rPr>
      </w:pPr>
    </w:p>
    <w:p w14:paraId="49266A8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Al igual que con los servicios de TI, los procesos utilizados para gestionar la TI requieren ser revisados,  mejorados e integrados, buscando el apego a las buenas prácticas que plantea la industria. Se busca alinear los servicios de TI y los procesos orientados a la operación de la tecnología con estándares y buenas prácticas de la industria, buscando con esto mejorar los niveles de servicio ofrecidos por TI a los usuarios e incrementar sus niveles de disponibilidad, particularmente para los servicios que son críticos para la organización.</w:t>
      </w:r>
    </w:p>
    <w:p w14:paraId="61D0A6BC"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Gestión de proyectos de TI</w:t>
      </w:r>
    </w:p>
    <w:p w14:paraId="1C996C4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Además de considerar el presupuesto, alcance y tiempo, la gestión de proyectos hoy día requiere que también se administren otros elementos que impactan la entrega de valor que se pretende alcanzar. El liderazgo en la gestión del cambio y en la administración del proyecto son elementos que necesariamente deben desarrollarse con el fin de aportar valor a la Corporación en los proyectos que los que la DST participa.</w:t>
      </w:r>
    </w:p>
    <w:p w14:paraId="44DB2ABE"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Adaptar la organización de TI a las capacidades requeridas por la Corporación</w:t>
      </w:r>
    </w:p>
    <w:p w14:paraId="2703A426"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estructura funcional de la DST requiere la aplicación de ajustes que le permitan dar una mejor respuesta a la Corporación, de cara a los cambios que se han realizado en años recientes, así como los cambios venideros, en especial el aprovisionamiento de los servicios de TI a los ODM por parte del BCCR. El desarrollo de estos ajustes conlleva también al fortalecimiento de algunas capacidades en el personal de TI, por las exigencias que en el corto o mediano plazo se visualizan como necesarios: </w:t>
      </w:r>
    </w:p>
    <w:p w14:paraId="51BD1993" w14:textId="77777777"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Coordinación de múltiples equipos de trabajo de TI.</w:t>
      </w:r>
      <w:r w:rsidRPr="001C3E10">
        <w:rPr>
          <w:rFonts w:asciiTheme="minorHAnsi" w:hAnsiTheme="minorHAnsi"/>
          <w:sz w:val="22"/>
        </w:rPr>
        <w:t xml:space="preserve"> El crecimiento en la demanda de servicios de TI ha generado también un crecimiento en la cantidad de equipos de trabajo de TI, mismos que deben ser coordinados por personal que cuente con las habilidades adecuadas para tal fin.</w:t>
      </w:r>
    </w:p>
    <w:p w14:paraId="5E8AF916" w14:textId="77777777"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Especialización en el conocimiento de las funciones sustantivas de la Corporación.</w:t>
      </w:r>
      <w:r w:rsidRPr="001C3E10">
        <w:rPr>
          <w:rFonts w:asciiTheme="minorHAnsi" w:hAnsiTheme="minorHAnsi"/>
          <w:sz w:val="22"/>
        </w:rPr>
        <w:t xml:space="preserve"> Capacidad indispensable para brindar una asesoría y acompañamiento acorde con las necesidades de la Corporación.</w:t>
      </w:r>
    </w:p>
    <w:p w14:paraId="1482B549" w14:textId="77777777"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Conocimiento en plataformas operativas.</w:t>
      </w:r>
      <w:r w:rsidRPr="001C3E10">
        <w:rPr>
          <w:rFonts w:asciiTheme="minorHAnsi" w:hAnsiTheme="minorHAnsi"/>
          <w:sz w:val="22"/>
        </w:rPr>
        <w:t xml:space="preserve"> El uso incremental de dispositivos en múltiples plataformas (Mac, Linux, iOS, Android, entre otros) para acceder recursos de la Corporación, exige del personal de TI un conocimiento que permita dar apoyo efectivo a los usuarios.</w:t>
      </w:r>
    </w:p>
    <w:p w14:paraId="75716165" w14:textId="56896234" w:rsidR="001C3E10" w:rsidRPr="001C3E10" w:rsidRDefault="001C3E10" w:rsidP="00547B19">
      <w:pPr>
        <w:pStyle w:val="Prrafodelista"/>
        <w:numPr>
          <w:ilvl w:val="0"/>
          <w:numId w:val="41"/>
        </w:numPr>
        <w:spacing w:after="200" w:line="276" w:lineRule="auto"/>
        <w:rPr>
          <w:rFonts w:asciiTheme="minorHAnsi" w:hAnsiTheme="minorHAnsi"/>
          <w:sz w:val="22"/>
        </w:rPr>
      </w:pPr>
      <w:r w:rsidRPr="001C3E10">
        <w:rPr>
          <w:rFonts w:asciiTheme="minorHAnsi" w:hAnsiTheme="minorHAnsi"/>
          <w:b/>
          <w:sz w:val="22"/>
        </w:rPr>
        <w:t xml:space="preserve">Diseño, desarrollo y prueba de </w:t>
      </w:r>
      <w:r w:rsidRPr="004D7122">
        <w:rPr>
          <w:rFonts w:asciiTheme="minorHAnsi" w:hAnsiTheme="minorHAnsi"/>
          <w:b/>
          <w:sz w:val="22"/>
        </w:rPr>
        <w:t>aplicaciones móviles</w:t>
      </w:r>
      <w:r w:rsidRPr="001C3E10">
        <w:rPr>
          <w:rFonts w:asciiTheme="minorHAnsi" w:hAnsiTheme="minorHAnsi"/>
          <w:b/>
          <w:sz w:val="22"/>
        </w:rPr>
        <w:t xml:space="preserve"> y soporte a dispositivos móviles.</w:t>
      </w:r>
      <w:r w:rsidRPr="001C3E10">
        <w:rPr>
          <w:rFonts w:asciiTheme="minorHAnsi" w:hAnsiTheme="minorHAnsi"/>
          <w:sz w:val="22"/>
        </w:rPr>
        <w:t xml:space="preserve"> Acorde con las tendencias actuales, en donde el uso de aplicaciones y dispositivos móviles se incrementa considerablemente, motivado por las mejoras en la productividad y colaboración que permiten lograr, se requiere de una preparación del personal de TI que permita responder a este tipo de exigencias.</w:t>
      </w:r>
    </w:p>
    <w:p w14:paraId="19B26285" w14:textId="77777777" w:rsidR="001C3E10" w:rsidRPr="001C3E10" w:rsidRDefault="001C3E10" w:rsidP="00547B19">
      <w:pPr>
        <w:pStyle w:val="Prrafodelista"/>
        <w:numPr>
          <w:ilvl w:val="0"/>
          <w:numId w:val="41"/>
        </w:numPr>
        <w:spacing w:after="200" w:line="276" w:lineRule="auto"/>
        <w:rPr>
          <w:rFonts w:asciiTheme="minorHAnsi" w:hAnsiTheme="minorHAnsi"/>
          <w:b/>
          <w:sz w:val="22"/>
        </w:rPr>
      </w:pPr>
      <w:r w:rsidRPr="001C3E10">
        <w:rPr>
          <w:rFonts w:asciiTheme="minorHAnsi" w:hAnsiTheme="minorHAnsi"/>
          <w:b/>
          <w:sz w:val="22"/>
        </w:rPr>
        <w:t xml:space="preserve">Especialización en herramientas de análisis de datos. </w:t>
      </w:r>
      <w:r w:rsidRPr="001C3E10">
        <w:rPr>
          <w:rFonts w:asciiTheme="minorHAnsi" w:hAnsiTheme="minorHAnsi"/>
          <w:sz w:val="22"/>
        </w:rPr>
        <w:t xml:space="preserve">En una Corporación como el Banco Central en donde el uso y análisis de la información proveniente de múltiples fuentes es </w:t>
      </w:r>
      <w:r w:rsidRPr="001C3E10">
        <w:rPr>
          <w:rFonts w:asciiTheme="minorHAnsi" w:hAnsiTheme="minorHAnsi"/>
          <w:sz w:val="22"/>
        </w:rPr>
        <w:lastRenderedPageBreak/>
        <w:t>indispensable para el desarrollo de sus funciones, pareciera indispensable también que se cuente con el apoyo eficiente a través de herramientas tecnológicas que faciliten esta labor. Para esto, TI debe desarrollar en su personal las capacidades que permitan enfrentar este reto.</w:t>
      </w:r>
    </w:p>
    <w:p w14:paraId="6B7A417C" w14:textId="77777777" w:rsidR="001C3E10" w:rsidRPr="001C3E10" w:rsidRDefault="001C3E10" w:rsidP="00547B19">
      <w:pPr>
        <w:pStyle w:val="Prrafodelista"/>
        <w:numPr>
          <w:ilvl w:val="0"/>
          <w:numId w:val="41"/>
        </w:numPr>
        <w:spacing w:after="200" w:line="276" w:lineRule="auto"/>
        <w:rPr>
          <w:rFonts w:asciiTheme="minorHAnsi" w:hAnsiTheme="minorHAnsi"/>
          <w:b/>
          <w:sz w:val="22"/>
        </w:rPr>
      </w:pPr>
      <w:r w:rsidRPr="001C3E10">
        <w:rPr>
          <w:rFonts w:asciiTheme="minorHAnsi" w:hAnsiTheme="minorHAnsi"/>
          <w:b/>
          <w:sz w:val="22"/>
        </w:rPr>
        <w:t xml:space="preserve">Gestión de aplicaciones, plataforma e infraestructura como servicio. </w:t>
      </w:r>
      <w:r w:rsidRPr="001C3E10">
        <w:rPr>
          <w:rFonts w:asciiTheme="minorHAnsi" w:hAnsiTheme="minorHAnsi"/>
          <w:sz w:val="22"/>
        </w:rPr>
        <w:t>Los nuevos modelos de aprovisionamiento de aplicaciones (software), plataforma (software más hardware) e infraestructura (hardware), presentan nuevos desafíos para la gestión de la TI. Las capacidades actuales en materia de gestión de TI deben ser actualizadas para responder a estos cambios.</w:t>
      </w:r>
    </w:p>
    <w:p w14:paraId="4C2F2297"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63" w:name="_Ref406443629"/>
      <w:bookmarkStart w:id="264" w:name="_Toc414532020"/>
      <w:bookmarkStart w:id="265" w:name="_Toc429555153"/>
      <w:bookmarkStart w:id="266" w:name="_Toc429562795"/>
      <w:bookmarkStart w:id="267" w:name="_Toc429563105"/>
      <w:bookmarkStart w:id="268" w:name="_Toc429563260"/>
      <w:r w:rsidRPr="001C3E10">
        <w:rPr>
          <w:rFonts w:asciiTheme="minorHAnsi" w:hAnsiTheme="minorHAnsi"/>
          <w:sz w:val="22"/>
          <w:szCs w:val="22"/>
        </w:rPr>
        <w:t>Arquitectura</w:t>
      </w:r>
      <w:bookmarkEnd w:id="263"/>
      <w:bookmarkEnd w:id="264"/>
      <w:bookmarkEnd w:id="265"/>
      <w:bookmarkEnd w:id="266"/>
      <w:bookmarkEnd w:id="267"/>
      <w:bookmarkEnd w:id="268"/>
      <w:r w:rsidRPr="001C3E10">
        <w:rPr>
          <w:rFonts w:asciiTheme="minorHAnsi" w:hAnsiTheme="minorHAnsi"/>
          <w:sz w:val="22"/>
          <w:szCs w:val="22"/>
        </w:rPr>
        <w:t xml:space="preserve"> </w:t>
      </w:r>
    </w:p>
    <w:p w14:paraId="474ECE1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69" w:name="_Toc429555154"/>
      <w:bookmarkStart w:id="270" w:name="_Toc429562796"/>
      <w:bookmarkStart w:id="271" w:name="_Toc429563106"/>
      <w:bookmarkStart w:id="272" w:name="_Toc429563261"/>
      <w:r w:rsidRPr="001C3E10">
        <w:rPr>
          <w:rFonts w:asciiTheme="minorHAnsi" w:hAnsiTheme="minorHAnsi"/>
          <w:sz w:val="22"/>
          <w:szCs w:val="22"/>
        </w:rPr>
        <w:t>Situación actual</w:t>
      </w:r>
      <w:bookmarkEnd w:id="269"/>
      <w:bookmarkEnd w:id="270"/>
      <w:bookmarkEnd w:id="271"/>
      <w:bookmarkEnd w:id="272"/>
    </w:p>
    <w:p w14:paraId="35458DB8" w14:textId="7E3B68FC"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La disciplina de </w:t>
      </w:r>
      <w:r w:rsidRPr="004D7122">
        <w:rPr>
          <w:rFonts w:asciiTheme="minorHAnsi" w:hAnsiTheme="minorHAnsi"/>
          <w:sz w:val="22"/>
          <w:szCs w:val="22"/>
        </w:rPr>
        <w:t>Arquitectura Empresarial</w:t>
      </w:r>
      <w:r w:rsidRPr="001C3E10">
        <w:rPr>
          <w:rFonts w:asciiTheme="minorHAnsi" w:hAnsiTheme="minorHAnsi"/>
          <w:sz w:val="22"/>
          <w:szCs w:val="22"/>
        </w:rPr>
        <w:t xml:space="preserve"> (AE) permite a una organización liderar sus esfuerzos buscando siempre el alcanzar su visión y los resultados planificados. Las recomendaciones generadas a través del seguimiento y uso de este conjunto de prácticas y herramientas permiten alinear las políticas y los proyectos hacia el alcance de los objetivos estratégicos de la organización. </w:t>
      </w:r>
    </w:p>
    <w:p w14:paraId="485A904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Según el </w:t>
      </w:r>
      <w:r w:rsidRPr="001C3E10">
        <w:rPr>
          <w:rFonts w:asciiTheme="minorHAnsi" w:hAnsiTheme="minorHAnsi"/>
          <w:i/>
          <w:sz w:val="22"/>
          <w:szCs w:val="22"/>
        </w:rPr>
        <w:t>Gartner IT Score for Enterprise Architecture</w:t>
      </w:r>
      <w:r w:rsidRPr="001C3E10">
        <w:rPr>
          <w:rFonts w:asciiTheme="minorHAnsi" w:hAnsiTheme="minorHAnsi"/>
          <w:sz w:val="22"/>
          <w:szCs w:val="22"/>
        </w:rPr>
        <w:t xml:space="preserve"> realizado para el BCCR en el mes de setiembre del 2014, la arquitectura empresarial se encuentra en el nivel de madurez 1 (nivel llamado </w:t>
      </w:r>
      <w:r w:rsidRPr="001C3E10">
        <w:rPr>
          <w:rFonts w:asciiTheme="minorHAnsi" w:hAnsiTheme="minorHAnsi"/>
          <w:i/>
          <w:sz w:val="22"/>
          <w:szCs w:val="22"/>
        </w:rPr>
        <w:t>No existente</w:t>
      </w:r>
      <w:r w:rsidRPr="001C3E10">
        <w:rPr>
          <w:rFonts w:asciiTheme="minorHAnsi" w:hAnsiTheme="minorHAnsi"/>
          <w:sz w:val="22"/>
          <w:szCs w:val="22"/>
        </w:rPr>
        <w:t>). Esto significa, que se carece de un proceso para el desarrollo de la arquitectura claramente articulado, ejecutado programáticamente, que permita conocer para cada cambio relevante, la arquitectura actual y la arquitectura propuesta, así como la documentación que permita analizar desde la perspectiva de las Divisiones y ODM, los beneficios, costos y riesgos que estos cambios conllevan. De igual forma este nivel se caracteriza por carecer de métricas que muestren el valor que la AE tiene para la Corporación. Aunque la labor arquitectónica no se encuentre formalmente definida, no significa que se carezca de ella, sino que esta se encuentra integrada en muchos otros procesos de la organización y es a través de ellos que se logra dar la dirección, el apoyo y el cumplimiento requerido.</w:t>
      </w:r>
    </w:p>
    <w:p w14:paraId="555CE13B"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73" w:name="_Toc429555155"/>
      <w:bookmarkStart w:id="274" w:name="_Toc429562797"/>
      <w:bookmarkStart w:id="275" w:name="_Toc429563107"/>
      <w:bookmarkStart w:id="276" w:name="_Toc429563262"/>
      <w:r w:rsidRPr="001C3E10">
        <w:rPr>
          <w:rFonts w:asciiTheme="minorHAnsi" w:hAnsiTheme="minorHAnsi"/>
          <w:sz w:val="22"/>
          <w:szCs w:val="22"/>
        </w:rPr>
        <w:t>Estrategias</w:t>
      </w:r>
      <w:bookmarkEnd w:id="273"/>
      <w:bookmarkEnd w:id="274"/>
      <w:bookmarkEnd w:id="275"/>
      <w:bookmarkEnd w:id="276"/>
    </w:p>
    <w:p w14:paraId="6739898B"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Arquitectura empresarial</w:t>
      </w:r>
    </w:p>
    <w:p w14:paraId="255E960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 plantea como norte alcanzar el nivel de madurez 2 (nivel </w:t>
      </w:r>
      <w:r w:rsidRPr="001C3E10">
        <w:rPr>
          <w:rFonts w:asciiTheme="minorHAnsi" w:hAnsiTheme="minorHAnsi"/>
          <w:i/>
          <w:sz w:val="22"/>
          <w:szCs w:val="22"/>
        </w:rPr>
        <w:t>Reactivo</w:t>
      </w:r>
      <w:r w:rsidRPr="001C3E10">
        <w:rPr>
          <w:rFonts w:asciiTheme="minorHAnsi" w:hAnsiTheme="minorHAnsi"/>
          <w:sz w:val="22"/>
          <w:szCs w:val="22"/>
        </w:rPr>
        <w:t xml:space="preserve">), según el </w:t>
      </w:r>
      <w:r w:rsidRPr="001C3E10">
        <w:rPr>
          <w:rFonts w:asciiTheme="minorHAnsi" w:hAnsiTheme="minorHAnsi"/>
          <w:i/>
          <w:sz w:val="22"/>
          <w:szCs w:val="22"/>
        </w:rPr>
        <w:t>Gartner IT Score for Enterprise Architecture</w:t>
      </w:r>
      <w:r w:rsidRPr="001C3E10">
        <w:rPr>
          <w:rFonts w:asciiTheme="minorHAnsi" w:hAnsiTheme="minorHAnsi"/>
          <w:sz w:val="22"/>
          <w:szCs w:val="22"/>
        </w:rPr>
        <w:t>, nivel que</w:t>
      </w:r>
      <w:r w:rsidRPr="001C3E10">
        <w:rPr>
          <w:rFonts w:asciiTheme="minorHAnsi" w:hAnsiTheme="minorHAnsi"/>
          <w:i/>
          <w:sz w:val="22"/>
          <w:szCs w:val="22"/>
        </w:rPr>
        <w:t xml:space="preserve"> </w:t>
      </w:r>
      <w:r w:rsidRPr="001C3E10">
        <w:rPr>
          <w:rFonts w:asciiTheme="minorHAnsi" w:hAnsiTheme="minorHAnsi"/>
          <w:sz w:val="22"/>
          <w:szCs w:val="22"/>
        </w:rPr>
        <w:t>asegura el establecimiento de un programa de arquitectura empresarial a través del cual se crea documentación básica para cada nuevo proyecto a desarrollar, se cuenta con un equipo de AE entrenado y los principales afectados son conscientes de la existencia de estos esfuerzos iniciales. Todo esto con el fin de brindar a las Divisiones y ODM información clara sobre el aporte de los proyectos a la labor que ellas realizan.</w:t>
      </w:r>
    </w:p>
    <w:p w14:paraId="4BB8152B" w14:textId="77777777" w:rsidR="0041643D" w:rsidRDefault="0041643D" w:rsidP="001C3E10">
      <w:pPr>
        <w:spacing w:line="276" w:lineRule="auto"/>
        <w:jc w:val="both"/>
        <w:rPr>
          <w:rFonts w:asciiTheme="minorHAnsi" w:hAnsiTheme="minorHAnsi"/>
          <w:sz w:val="22"/>
          <w:szCs w:val="22"/>
        </w:rPr>
      </w:pPr>
    </w:p>
    <w:p w14:paraId="38AE600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Sobre la arquitectura tecnológica del BCCR y con el objetivo de alcanzar el nivel 2, se plantea la integración de las principales herramientas utilizadas por el BCCR y los ODM, así como la </w:t>
      </w:r>
      <w:r w:rsidRPr="001C3E10">
        <w:rPr>
          <w:rFonts w:asciiTheme="minorHAnsi" w:hAnsiTheme="minorHAnsi"/>
          <w:sz w:val="22"/>
          <w:szCs w:val="22"/>
        </w:rPr>
        <w:lastRenderedPageBreak/>
        <w:t>consolidación de las soluciones de TI alrededor de 7 principales plataformas (agrupación desde el punto de vista de las principales labores de Banco), lo que permitiría gestionar las soluciones que apoyan a la Corporación de manera más ordenada, facilitando la asignación de recursos, la priorización y la gestión del riesgo. Estas plataformas son:</w:t>
      </w:r>
    </w:p>
    <w:p w14:paraId="14A71CC7"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Análisis económico</w:t>
      </w:r>
      <w:r w:rsidRPr="001C3E10">
        <w:rPr>
          <w:rFonts w:asciiTheme="minorHAnsi" w:hAnsiTheme="minorHAnsi"/>
          <w:sz w:val="22"/>
        </w:rPr>
        <w:t xml:space="preserve">. Incluye la captura, el análisis, la producción de informes para la toma de decisiones y en general todo lo relacionado con la política monetaria. </w:t>
      </w:r>
    </w:p>
    <w:p w14:paraId="6A07BA29"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Activos</w:t>
      </w:r>
      <w:r w:rsidRPr="001C3E10">
        <w:rPr>
          <w:rFonts w:asciiTheme="minorHAnsi" w:hAnsiTheme="minorHAnsi"/>
          <w:sz w:val="22"/>
        </w:rPr>
        <w:t xml:space="preserve">. Envuelve la gestión de los activos financieros que opera el Banco así como el manejo de la política cambiaria. </w:t>
      </w:r>
    </w:p>
    <w:p w14:paraId="457D95C1"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Pagos</w:t>
      </w:r>
      <w:r w:rsidRPr="001C3E10">
        <w:rPr>
          <w:rFonts w:asciiTheme="minorHAnsi" w:hAnsiTheme="minorHAnsi"/>
          <w:sz w:val="22"/>
        </w:rPr>
        <w:t>. Contiene las aplicaciones utilizadas para la operación del Sistema de Pagos, entre ellos los servicios del SINPE y Central Directo.</w:t>
      </w:r>
    </w:p>
    <w:p w14:paraId="7DE6E54D"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Regulación y supervisión</w:t>
      </w:r>
      <w:r w:rsidRPr="001C3E10">
        <w:rPr>
          <w:rFonts w:asciiTheme="minorHAnsi" w:hAnsiTheme="minorHAnsi"/>
          <w:sz w:val="22"/>
        </w:rPr>
        <w:t xml:space="preserve">. Comprende tanto la supervisión de los mercados financieros como la macroprudencial, la autorización de participantes y productos, la captura, producción y difusión de información, los procesos preliminares de investigación y sancionatorios, la educación financiera, así como la emisión y modificación de normativa. </w:t>
      </w:r>
    </w:p>
    <w:p w14:paraId="1DF7B329"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Colaboración y productividad del empleado</w:t>
      </w:r>
      <w:r w:rsidRPr="001C3E10">
        <w:rPr>
          <w:rFonts w:asciiTheme="minorHAnsi" w:hAnsiTheme="minorHAnsi"/>
          <w:sz w:val="22"/>
        </w:rPr>
        <w:t xml:space="preserve">. Incorpora todas las herramientas que permiten mejorar la productividad del empleado de la Corporación. </w:t>
      </w:r>
    </w:p>
    <w:p w14:paraId="42A0ECDC"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Operaciones del backoffice</w:t>
      </w:r>
      <w:r w:rsidRPr="001C3E10">
        <w:rPr>
          <w:rFonts w:asciiTheme="minorHAnsi" w:hAnsiTheme="minorHAnsi"/>
          <w:sz w:val="22"/>
        </w:rPr>
        <w:t>. En esta plataforma se concentra la operativa del backoffice de la Corporación (Proveeduría, Bienes Muebles, Finanzas y Presupuesto, entre otros).</w:t>
      </w:r>
    </w:p>
    <w:p w14:paraId="32AB79E8" w14:textId="77777777" w:rsidR="001C3E10" w:rsidRPr="001C3E10" w:rsidRDefault="001C3E10" w:rsidP="00547B19">
      <w:pPr>
        <w:pStyle w:val="Prrafodelista"/>
        <w:numPr>
          <w:ilvl w:val="0"/>
          <w:numId w:val="51"/>
        </w:numPr>
        <w:spacing w:after="200" w:line="276" w:lineRule="auto"/>
        <w:rPr>
          <w:rFonts w:asciiTheme="minorHAnsi" w:hAnsiTheme="minorHAnsi"/>
          <w:sz w:val="22"/>
        </w:rPr>
      </w:pPr>
      <w:r w:rsidRPr="001C3E10">
        <w:rPr>
          <w:rFonts w:asciiTheme="minorHAnsi" w:hAnsiTheme="minorHAnsi"/>
          <w:b/>
          <w:sz w:val="22"/>
        </w:rPr>
        <w:t>Integración</w:t>
      </w:r>
      <w:r w:rsidRPr="001C3E10">
        <w:rPr>
          <w:rFonts w:asciiTheme="minorHAnsi" w:hAnsiTheme="minorHAnsi"/>
          <w:sz w:val="22"/>
        </w:rPr>
        <w:t xml:space="preserve">. La existencia de múltiples plataformas de aplicaciones requerirá de la existencia de mecanismos a través de los cuales se logre la integración de los flujos de información entre ellas. </w:t>
      </w:r>
    </w:p>
    <w:p w14:paraId="777085C8" w14:textId="36DACD50"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 gestionará el portafolio de aplicaciones de software, identificando el valor que estas aportan a la Corporación, los riesgos que la tecnología le podría incorporar y su efectividad. Además se clasificarán estas aplicaciones (según sean Sistemas de Registro, Diferenciación o Innovación) de forma tal que se facilite la toma de decisiones, especialmente las relacionadas con inversiones que sobre estas se realicen. Un mayor detalle sobre este tema se puede encontrar en el apartado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_Ref408241649 \r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Pr>
          <w:rFonts w:asciiTheme="minorHAnsi" w:hAnsiTheme="minorHAnsi"/>
          <w:sz w:val="22"/>
          <w:szCs w:val="22"/>
        </w:rPr>
        <w:t>7.4</w:t>
      </w:r>
      <w:r w:rsidRPr="001C3E10">
        <w:rPr>
          <w:rFonts w:asciiTheme="minorHAnsi" w:hAnsiTheme="minorHAnsi"/>
          <w:sz w:val="22"/>
          <w:szCs w:val="22"/>
        </w:rPr>
        <w:fldChar w:fldCharType="end"/>
      </w:r>
      <w:r w:rsidRPr="001C3E10">
        <w:rPr>
          <w:rFonts w:asciiTheme="minorHAnsi" w:hAnsiTheme="minorHAnsi"/>
          <w:sz w:val="22"/>
          <w:szCs w:val="22"/>
        </w:rPr>
        <w:t xml:space="preserve">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_Ref408241636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Gestión del portafolio de aplicaciones de software</w:t>
      </w:r>
      <w:r w:rsidRPr="001C3E10">
        <w:rPr>
          <w:rFonts w:asciiTheme="minorHAnsi" w:hAnsiTheme="minorHAnsi"/>
          <w:sz w:val="22"/>
          <w:szCs w:val="22"/>
        </w:rPr>
        <w:fldChar w:fldCharType="end"/>
      </w:r>
      <w:r w:rsidRPr="001C3E10">
        <w:rPr>
          <w:rFonts w:asciiTheme="minorHAnsi" w:hAnsiTheme="minorHAnsi"/>
          <w:sz w:val="22"/>
          <w:szCs w:val="22"/>
        </w:rPr>
        <w:t>.</w:t>
      </w:r>
    </w:p>
    <w:p w14:paraId="32C934F4"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Incorporación de tendencias tecnológicas que apoyen el aporte de valor de TI</w:t>
      </w:r>
    </w:p>
    <w:p w14:paraId="6C0152A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rápido avance tecnológico que se vive en la actualidad genera importantes oportunidades a las organizaciones que sepan aprovechar de manera ordenada los beneficios que tales avances generan. </w:t>
      </w:r>
    </w:p>
    <w:p w14:paraId="7010EFE7" w14:textId="77777777" w:rsidR="0041643D" w:rsidRDefault="0041643D" w:rsidP="001C3E10">
      <w:pPr>
        <w:spacing w:line="276" w:lineRule="auto"/>
        <w:jc w:val="both"/>
        <w:rPr>
          <w:rFonts w:asciiTheme="minorHAnsi" w:hAnsiTheme="minorHAnsi"/>
          <w:sz w:val="22"/>
          <w:szCs w:val="22"/>
        </w:rPr>
      </w:pPr>
    </w:p>
    <w:p w14:paraId="09CD8F1E" w14:textId="4052AE18"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El desarrollo de </w:t>
      </w:r>
      <w:r w:rsidRPr="004D7122">
        <w:rPr>
          <w:rFonts w:asciiTheme="minorHAnsi" w:hAnsiTheme="minorHAnsi"/>
          <w:sz w:val="22"/>
          <w:szCs w:val="22"/>
        </w:rPr>
        <w:t>aplicaciones móviles</w:t>
      </w:r>
      <w:r w:rsidRPr="001C3E10">
        <w:rPr>
          <w:rFonts w:asciiTheme="minorHAnsi" w:hAnsiTheme="minorHAnsi"/>
          <w:sz w:val="22"/>
          <w:szCs w:val="22"/>
        </w:rPr>
        <w:t>, el uso de dispositivos personales en el desarrollo de labores (</w:t>
      </w:r>
      <w:r w:rsidRPr="004D7122">
        <w:rPr>
          <w:rFonts w:asciiTheme="minorHAnsi" w:hAnsiTheme="minorHAnsi"/>
          <w:sz w:val="22"/>
          <w:szCs w:val="22"/>
        </w:rPr>
        <w:t>BYOD</w:t>
      </w:r>
      <w:r w:rsidRPr="001C3E10">
        <w:rPr>
          <w:rFonts w:asciiTheme="minorHAnsi" w:hAnsiTheme="minorHAnsi"/>
          <w:sz w:val="22"/>
          <w:szCs w:val="22"/>
        </w:rPr>
        <w:t xml:space="preserve">), </w:t>
      </w:r>
      <w:r w:rsidRPr="004D7122">
        <w:rPr>
          <w:rFonts w:asciiTheme="minorHAnsi" w:hAnsiTheme="minorHAnsi"/>
          <w:sz w:val="22"/>
          <w:szCs w:val="22"/>
        </w:rPr>
        <w:t>Big Data</w:t>
      </w:r>
      <w:r w:rsidRPr="001C3E10">
        <w:rPr>
          <w:rFonts w:asciiTheme="minorHAnsi" w:hAnsiTheme="minorHAnsi"/>
          <w:sz w:val="22"/>
          <w:szCs w:val="22"/>
        </w:rPr>
        <w:t xml:space="preserve"> y la </w:t>
      </w:r>
      <w:r w:rsidRPr="004D7122">
        <w:rPr>
          <w:rFonts w:asciiTheme="minorHAnsi" w:hAnsiTheme="minorHAnsi"/>
          <w:sz w:val="22"/>
          <w:szCs w:val="22"/>
        </w:rPr>
        <w:t>virtualización de escritorios</w:t>
      </w:r>
      <w:r w:rsidRPr="001C3E10">
        <w:rPr>
          <w:rFonts w:asciiTheme="minorHAnsi" w:hAnsiTheme="minorHAnsi"/>
          <w:sz w:val="22"/>
          <w:szCs w:val="22"/>
        </w:rPr>
        <w:t xml:space="preserve"> son tendencias que las que la DST incursionará con el fin de aportar beneficios en los procesos, herramientas y en el personal del BCCR. </w:t>
      </w:r>
    </w:p>
    <w:p w14:paraId="2DF8247A"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277" w:name="_Ref410915519"/>
      <w:bookmarkStart w:id="278" w:name="_Toc414532021"/>
      <w:bookmarkStart w:id="279" w:name="_Toc429555156"/>
      <w:bookmarkStart w:id="280" w:name="_Toc429562798"/>
      <w:bookmarkStart w:id="281" w:name="_Toc429563108"/>
      <w:bookmarkStart w:id="282" w:name="_Toc429563263"/>
      <w:r w:rsidRPr="001C3E10">
        <w:rPr>
          <w:rFonts w:asciiTheme="minorHAnsi" w:hAnsiTheme="minorHAnsi"/>
          <w:sz w:val="22"/>
          <w:szCs w:val="22"/>
        </w:rPr>
        <w:lastRenderedPageBreak/>
        <w:t>Personas</w:t>
      </w:r>
      <w:bookmarkEnd w:id="277"/>
      <w:bookmarkEnd w:id="278"/>
      <w:bookmarkEnd w:id="279"/>
      <w:bookmarkEnd w:id="280"/>
      <w:bookmarkEnd w:id="281"/>
      <w:bookmarkEnd w:id="282"/>
    </w:p>
    <w:p w14:paraId="239C271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83" w:name="_Toc429555157"/>
      <w:bookmarkStart w:id="284" w:name="_Toc429562799"/>
      <w:bookmarkStart w:id="285" w:name="_Toc429563109"/>
      <w:bookmarkStart w:id="286" w:name="_Toc429563264"/>
      <w:r w:rsidRPr="001C3E10">
        <w:rPr>
          <w:rFonts w:asciiTheme="minorHAnsi" w:hAnsiTheme="minorHAnsi"/>
          <w:sz w:val="22"/>
          <w:szCs w:val="22"/>
        </w:rPr>
        <w:t>Situación actual</w:t>
      </w:r>
      <w:bookmarkEnd w:id="283"/>
      <w:bookmarkEnd w:id="284"/>
      <w:bookmarkEnd w:id="285"/>
      <w:bookmarkEnd w:id="286"/>
    </w:p>
    <w:p w14:paraId="3894CE90" w14:textId="77777777" w:rsidR="001C3E10" w:rsidRPr="001C3E10" w:rsidRDefault="001C3E10" w:rsidP="001C3E10">
      <w:pPr>
        <w:spacing w:line="276" w:lineRule="auto"/>
        <w:jc w:val="both"/>
        <w:rPr>
          <w:rFonts w:asciiTheme="minorHAnsi" w:hAnsiTheme="minorHAnsi"/>
          <w:sz w:val="22"/>
          <w:szCs w:val="22"/>
          <w:u w:val="single"/>
        </w:rPr>
      </w:pPr>
      <w:r w:rsidRPr="001C3E10">
        <w:rPr>
          <w:rFonts w:asciiTheme="minorHAnsi" w:hAnsiTheme="minorHAnsi"/>
          <w:sz w:val="22"/>
          <w:szCs w:val="22"/>
        </w:rPr>
        <w:t xml:space="preserve">Las actuales capacidades de TI responden a las necesidades identificadas también a raíz de la reorganización del año 2007, para atender las actividades de los procesos requeridos para gestionar la TI. Estas se encuentran enfocadas primordialmente en la capacidad de diseñar, construir y operar nuevas soluciones tecnológicas, especialmente basadas en software (aplicaciones). La estructura funcional fue diseñada a partir de ese mismo proceso reorganizativo (dando paso a la actual DST) y continúa sin cambios significativos hasta la fecha. </w:t>
      </w:r>
    </w:p>
    <w:p w14:paraId="77EF8801" w14:textId="77777777" w:rsidR="0041643D" w:rsidRDefault="0041643D" w:rsidP="001C3E10">
      <w:pPr>
        <w:spacing w:line="276" w:lineRule="auto"/>
        <w:jc w:val="both"/>
        <w:rPr>
          <w:rFonts w:asciiTheme="minorHAnsi" w:hAnsiTheme="minorHAnsi"/>
          <w:sz w:val="22"/>
          <w:szCs w:val="22"/>
        </w:rPr>
      </w:pPr>
    </w:p>
    <w:p w14:paraId="3FC5340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personal de TI de la Corporación se encuentra ubicado en distintos edificios</w:t>
      </w:r>
      <w:r w:rsidRPr="001C3E10">
        <w:rPr>
          <w:rStyle w:val="Refdenotaalpie"/>
          <w:rFonts w:asciiTheme="minorHAnsi" w:hAnsiTheme="minorHAnsi"/>
          <w:sz w:val="22"/>
          <w:szCs w:val="22"/>
        </w:rPr>
        <w:footnoteReference w:id="9"/>
      </w:r>
      <w:r w:rsidRPr="001C3E10">
        <w:rPr>
          <w:rFonts w:asciiTheme="minorHAnsi" w:hAnsiTheme="minorHAnsi"/>
          <w:sz w:val="22"/>
          <w:szCs w:val="22"/>
        </w:rPr>
        <w:t xml:space="preserve">, dificultando con esto el desarrollo de algunas labores que por su naturaleza requieren la cercanía física de los equipos de trabajo. Todo el personal de TI desarrolla sus labores desde esta instalaciones, solamente ante asignaciones particulares un porcentaje reducido del personal desarrolla </w:t>
      </w:r>
      <w:r w:rsidRPr="001C3E10">
        <w:rPr>
          <w:rFonts w:asciiTheme="minorHAnsi" w:hAnsiTheme="minorHAnsi"/>
          <w:i/>
          <w:sz w:val="22"/>
          <w:szCs w:val="22"/>
        </w:rPr>
        <w:t>labores fuera de la oficina</w:t>
      </w:r>
      <w:r w:rsidRPr="001C3E10">
        <w:rPr>
          <w:rFonts w:asciiTheme="minorHAnsi" w:hAnsiTheme="minorHAnsi"/>
          <w:sz w:val="22"/>
          <w:szCs w:val="22"/>
        </w:rPr>
        <w:t xml:space="preserve">, aprovechando algunas facilidades provistas por la TI. </w:t>
      </w:r>
    </w:p>
    <w:p w14:paraId="0B6A59A6"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87" w:name="_Toc429555158"/>
      <w:bookmarkStart w:id="288" w:name="_Toc429562800"/>
      <w:bookmarkStart w:id="289" w:name="_Toc429563110"/>
      <w:bookmarkStart w:id="290" w:name="_Toc429563265"/>
      <w:r w:rsidRPr="001C3E10">
        <w:rPr>
          <w:rFonts w:asciiTheme="minorHAnsi" w:hAnsiTheme="minorHAnsi"/>
          <w:sz w:val="22"/>
          <w:szCs w:val="22"/>
        </w:rPr>
        <w:t>Estrategias</w:t>
      </w:r>
      <w:bookmarkEnd w:id="287"/>
      <w:bookmarkEnd w:id="288"/>
      <w:bookmarkEnd w:id="289"/>
      <w:bookmarkEnd w:id="290"/>
    </w:p>
    <w:p w14:paraId="09FDEC02"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Mejora del clima organizacional de TI</w:t>
      </w:r>
    </w:p>
    <w:p w14:paraId="6D53ACC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 relevante desarrollar acciones que permitan mejorar el clima laboral y que impacten positivamente el desempeño de los colaboradores:</w:t>
      </w:r>
    </w:p>
    <w:p w14:paraId="3E17C334" w14:textId="77777777" w:rsidR="001C3E10" w:rsidRPr="001C3E10" w:rsidRDefault="001C3E10" w:rsidP="00547B19">
      <w:pPr>
        <w:pStyle w:val="Prrafodelista"/>
        <w:numPr>
          <w:ilvl w:val="0"/>
          <w:numId w:val="40"/>
        </w:numPr>
        <w:spacing w:after="200" w:line="276" w:lineRule="auto"/>
        <w:rPr>
          <w:rFonts w:asciiTheme="minorHAnsi" w:hAnsiTheme="minorHAnsi"/>
          <w:sz w:val="22"/>
        </w:rPr>
      </w:pPr>
      <w:r w:rsidRPr="001C3E10">
        <w:rPr>
          <w:rFonts w:asciiTheme="minorHAnsi" w:hAnsiTheme="minorHAnsi"/>
          <w:b/>
          <w:sz w:val="22"/>
        </w:rPr>
        <w:t>Trabajo en equipo.</w:t>
      </w:r>
      <w:r w:rsidRPr="001C3E10">
        <w:rPr>
          <w:rFonts w:asciiTheme="minorHAnsi" w:hAnsiTheme="minorHAnsi"/>
          <w:sz w:val="22"/>
        </w:rPr>
        <w:t xml:space="preserve"> Evitar la formación de islas en el desarrollo de las labores.</w:t>
      </w:r>
    </w:p>
    <w:p w14:paraId="30A8803A" w14:textId="77777777" w:rsidR="001C3E10" w:rsidRPr="001C3E10" w:rsidRDefault="001C3E10" w:rsidP="00547B19">
      <w:pPr>
        <w:pStyle w:val="Prrafodelista"/>
        <w:numPr>
          <w:ilvl w:val="0"/>
          <w:numId w:val="40"/>
        </w:numPr>
        <w:spacing w:after="200" w:line="276" w:lineRule="auto"/>
        <w:rPr>
          <w:rFonts w:asciiTheme="minorHAnsi" w:hAnsiTheme="minorHAnsi"/>
          <w:sz w:val="22"/>
        </w:rPr>
      </w:pPr>
      <w:r w:rsidRPr="001C3E10">
        <w:rPr>
          <w:rFonts w:asciiTheme="minorHAnsi" w:hAnsiTheme="minorHAnsi"/>
          <w:b/>
          <w:sz w:val="22"/>
        </w:rPr>
        <w:t>Comunicación.</w:t>
      </w:r>
      <w:r w:rsidRPr="001C3E10">
        <w:rPr>
          <w:rFonts w:asciiTheme="minorHAnsi" w:hAnsiTheme="minorHAnsi"/>
          <w:sz w:val="22"/>
        </w:rPr>
        <w:t xml:space="preserve"> Facilitar la transmisión de información relevante, de manera ascendente y descendente en la estructura funcional.</w:t>
      </w:r>
    </w:p>
    <w:p w14:paraId="4B4BFED8" w14:textId="77777777" w:rsidR="001C3E10" w:rsidRPr="001C3E10" w:rsidRDefault="001C3E10" w:rsidP="00547B19">
      <w:pPr>
        <w:pStyle w:val="Prrafodelista"/>
        <w:numPr>
          <w:ilvl w:val="0"/>
          <w:numId w:val="40"/>
        </w:numPr>
        <w:spacing w:after="200" w:line="276" w:lineRule="auto"/>
        <w:rPr>
          <w:rFonts w:asciiTheme="minorHAnsi" w:hAnsiTheme="minorHAnsi"/>
          <w:sz w:val="22"/>
        </w:rPr>
      </w:pPr>
      <w:r w:rsidRPr="001C3E10">
        <w:rPr>
          <w:rFonts w:asciiTheme="minorHAnsi" w:hAnsiTheme="minorHAnsi"/>
          <w:b/>
          <w:sz w:val="22"/>
        </w:rPr>
        <w:t xml:space="preserve">Colaboración. </w:t>
      </w:r>
      <w:r w:rsidRPr="001C3E10">
        <w:rPr>
          <w:rFonts w:asciiTheme="minorHAnsi" w:hAnsiTheme="minorHAnsi"/>
          <w:sz w:val="22"/>
        </w:rPr>
        <w:t>El encontrarse los equipos de trabajo físicamente separados impulsa a utilizar herramientas y procesos colaborativos.</w:t>
      </w:r>
    </w:p>
    <w:p w14:paraId="3D7C9323" w14:textId="77777777" w:rsidR="001C3E10" w:rsidRPr="001C3E10" w:rsidRDefault="001C3E10" w:rsidP="00547B19">
      <w:pPr>
        <w:pStyle w:val="Ttulo2"/>
        <w:keepLines/>
        <w:numPr>
          <w:ilvl w:val="1"/>
          <w:numId w:val="45"/>
        </w:numPr>
        <w:tabs>
          <w:tab w:val="clear" w:pos="360"/>
        </w:tabs>
        <w:autoSpaceDE/>
        <w:autoSpaceDN/>
        <w:adjustRightInd/>
        <w:spacing w:line="276" w:lineRule="auto"/>
        <w:jc w:val="both"/>
        <w:rPr>
          <w:rFonts w:asciiTheme="minorHAnsi" w:hAnsiTheme="minorHAnsi"/>
          <w:sz w:val="22"/>
          <w:szCs w:val="22"/>
        </w:rPr>
      </w:pPr>
      <w:bookmarkStart w:id="291" w:name="_Ref406443635"/>
      <w:bookmarkStart w:id="292" w:name="_Toc414532022"/>
      <w:bookmarkStart w:id="293" w:name="_Toc429555159"/>
      <w:bookmarkStart w:id="294" w:name="_Toc429562801"/>
      <w:bookmarkStart w:id="295" w:name="_Toc429563111"/>
      <w:bookmarkStart w:id="296" w:name="_Toc429563266"/>
      <w:r w:rsidRPr="001C3E10">
        <w:rPr>
          <w:rFonts w:asciiTheme="minorHAnsi" w:hAnsiTheme="minorHAnsi"/>
          <w:sz w:val="22"/>
          <w:szCs w:val="22"/>
        </w:rPr>
        <w:t>Fuentes de aprovisionamiento</w:t>
      </w:r>
      <w:bookmarkEnd w:id="291"/>
      <w:bookmarkEnd w:id="292"/>
      <w:bookmarkEnd w:id="293"/>
      <w:bookmarkEnd w:id="294"/>
      <w:bookmarkEnd w:id="295"/>
      <w:bookmarkEnd w:id="296"/>
    </w:p>
    <w:p w14:paraId="6F258A6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297" w:name="_Toc429555160"/>
      <w:bookmarkStart w:id="298" w:name="_Toc429562802"/>
      <w:bookmarkStart w:id="299" w:name="_Toc429563112"/>
      <w:bookmarkStart w:id="300" w:name="_Toc429563267"/>
      <w:r w:rsidRPr="001C3E10">
        <w:rPr>
          <w:rFonts w:asciiTheme="minorHAnsi" w:hAnsiTheme="minorHAnsi"/>
          <w:sz w:val="22"/>
          <w:szCs w:val="22"/>
        </w:rPr>
        <w:t>Situación actual</w:t>
      </w:r>
      <w:bookmarkEnd w:id="297"/>
      <w:bookmarkEnd w:id="298"/>
      <w:bookmarkEnd w:id="299"/>
      <w:bookmarkEnd w:id="300"/>
    </w:p>
    <w:p w14:paraId="0E3C0982" w14:textId="3212834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personal de TI de la Corporación se encuentra conformado por 267 personas. Un 64% de este total corresponde a personal interno (172 personas, de las cuales 158 ocupan plazas fijas y 14 de servicios especiales), el restante 36% (95 personas) corresponde a personal subcontratado (</w:t>
      </w:r>
      <w:r w:rsidRPr="004D7122">
        <w:rPr>
          <w:rFonts w:asciiTheme="minorHAnsi" w:hAnsiTheme="minorHAnsi"/>
          <w:i/>
          <w:sz w:val="22"/>
          <w:szCs w:val="22"/>
        </w:rPr>
        <w:t>outtasking</w:t>
      </w:r>
      <w:r w:rsidRPr="001C3E10">
        <w:rPr>
          <w:rFonts w:asciiTheme="minorHAnsi" w:hAnsiTheme="minorHAnsi"/>
          <w:sz w:val="22"/>
          <w:szCs w:val="22"/>
        </w:rPr>
        <w:t xml:space="preserve">) bajo el modelo de </w:t>
      </w:r>
      <w:r w:rsidRPr="001C3E10">
        <w:rPr>
          <w:rFonts w:asciiTheme="minorHAnsi" w:hAnsiTheme="minorHAnsi"/>
          <w:i/>
          <w:sz w:val="22"/>
          <w:szCs w:val="22"/>
        </w:rPr>
        <w:t>horas por demanda</w:t>
      </w:r>
      <w:r w:rsidRPr="001C3E10">
        <w:rPr>
          <w:rFonts w:asciiTheme="minorHAnsi" w:hAnsiTheme="minorHAnsi"/>
          <w:sz w:val="22"/>
          <w:szCs w:val="22"/>
        </w:rPr>
        <w:t xml:space="preserve"> (88 profesionales en TI y 7 técnicos). Se cuenta en la actualidad con dos contratos vigentes para suministrar personal por demanda y no se utiliza el modelo de </w:t>
      </w:r>
      <w:r w:rsidRPr="004D7122">
        <w:rPr>
          <w:rFonts w:asciiTheme="minorHAnsi" w:hAnsiTheme="minorHAnsi"/>
          <w:sz w:val="22"/>
          <w:szCs w:val="22"/>
        </w:rPr>
        <w:t>outsourcing</w:t>
      </w:r>
      <w:r w:rsidRPr="001C3E10">
        <w:rPr>
          <w:rFonts w:asciiTheme="minorHAnsi" w:hAnsiTheme="minorHAnsi"/>
          <w:sz w:val="22"/>
          <w:szCs w:val="22"/>
        </w:rPr>
        <w:t xml:space="preserve">. </w:t>
      </w:r>
    </w:p>
    <w:p w14:paraId="54A9B1ED" w14:textId="77777777" w:rsidR="00A8169E" w:rsidRDefault="00A8169E" w:rsidP="001C3E10">
      <w:pPr>
        <w:spacing w:line="276" w:lineRule="auto"/>
        <w:jc w:val="both"/>
        <w:rPr>
          <w:rFonts w:asciiTheme="minorHAnsi" w:hAnsiTheme="minorHAnsi"/>
          <w:sz w:val="22"/>
          <w:szCs w:val="22"/>
        </w:rPr>
      </w:pPr>
    </w:p>
    <w:p w14:paraId="3045839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Referente a las plazas de Servicios Especiales, estas tienen la particularidad de ser la principal fuente utilizada para los reemplazos de plazas fijas libres (por obvias razones), práctica que genera usualmente costosas cadenas de reemplazos para la Corporación.</w:t>
      </w:r>
    </w:p>
    <w:p w14:paraId="0D1BBE0C" w14:textId="77777777" w:rsidR="00A8169E" w:rsidRDefault="00A8169E" w:rsidP="001C3E10">
      <w:pPr>
        <w:spacing w:line="276" w:lineRule="auto"/>
        <w:jc w:val="both"/>
        <w:rPr>
          <w:rFonts w:asciiTheme="minorHAnsi" w:hAnsiTheme="minorHAnsi"/>
          <w:sz w:val="22"/>
          <w:szCs w:val="22"/>
        </w:rPr>
      </w:pPr>
    </w:p>
    <w:p w14:paraId="75D5F6A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cuanto a las fuentes de aprovisionamiento de infraestructura, los utilizados por la DST han sido:</w:t>
      </w:r>
    </w:p>
    <w:p w14:paraId="2C63FA06" w14:textId="77777777" w:rsidR="001C3E10" w:rsidRPr="001C3E10" w:rsidRDefault="001C3E10" w:rsidP="00547B19">
      <w:pPr>
        <w:pStyle w:val="Prrafodelista"/>
        <w:numPr>
          <w:ilvl w:val="0"/>
          <w:numId w:val="42"/>
        </w:numPr>
        <w:spacing w:after="200" w:line="276" w:lineRule="auto"/>
        <w:rPr>
          <w:rFonts w:asciiTheme="minorHAnsi" w:hAnsiTheme="minorHAnsi"/>
          <w:sz w:val="22"/>
        </w:rPr>
      </w:pPr>
      <w:r w:rsidRPr="001C3E10">
        <w:rPr>
          <w:rFonts w:asciiTheme="minorHAnsi" w:hAnsiTheme="minorHAnsi"/>
          <w:b/>
          <w:sz w:val="22"/>
        </w:rPr>
        <w:t>Compra de equipo.</w:t>
      </w:r>
      <w:r w:rsidRPr="001C3E10">
        <w:rPr>
          <w:rFonts w:asciiTheme="minorHAnsi" w:hAnsiTheme="minorHAnsi"/>
          <w:sz w:val="22"/>
        </w:rPr>
        <w:t xml:space="preserve"> Modelo de compra utilizado por muchos años, sin embargo la duración de los procesos de compra ha sido uno de los principales factores por lo que se ha reducido su uso por parte de la DST. A pesar de ello, este modelo es indispensable para el aprovisionamiento de equipos cuya vida útil se extiende considerablemente (ej. Teléfonos y </w:t>
      </w:r>
      <w:r w:rsidRPr="001C3E10">
        <w:rPr>
          <w:rFonts w:asciiTheme="minorHAnsi" w:hAnsiTheme="minorHAnsi"/>
          <w:i/>
          <w:sz w:val="22"/>
        </w:rPr>
        <w:t>switches</w:t>
      </w:r>
      <w:r w:rsidRPr="001C3E10">
        <w:rPr>
          <w:rFonts w:asciiTheme="minorHAnsi" w:hAnsiTheme="minorHAnsi"/>
          <w:sz w:val="22"/>
        </w:rPr>
        <w:t xml:space="preserve"> para telecomunicaciones, con más de 10 años de operación continua).</w:t>
      </w:r>
    </w:p>
    <w:p w14:paraId="127B892E" w14:textId="77777777" w:rsidR="001C3E10" w:rsidRPr="001C3E10" w:rsidRDefault="001C3E10" w:rsidP="00547B19">
      <w:pPr>
        <w:pStyle w:val="Prrafodelista"/>
        <w:numPr>
          <w:ilvl w:val="0"/>
          <w:numId w:val="42"/>
        </w:numPr>
        <w:spacing w:after="200" w:line="276" w:lineRule="auto"/>
        <w:rPr>
          <w:rFonts w:asciiTheme="minorHAnsi" w:hAnsiTheme="minorHAnsi"/>
          <w:sz w:val="22"/>
        </w:rPr>
      </w:pPr>
      <w:r w:rsidRPr="001C3E10">
        <w:rPr>
          <w:rFonts w:asciiTheme="minorHAnsi" w:hAnsiTheme="minorHAnsi"/>
          <w:b/>
          <w:sz w:val="22"/>
        </w:rPr>
        <w:t>Compras por demanda.</w:t>
      </w:r>
      <w:r w:rsidRPr="001C3E10">
        <w:rPr>
          <w:rFonts w:asciiTheme="minorHAnsi" w:hAnsiTheme="minorHAnsi"/>
          <w:sz w:val="22"/>
        </w:rPr>
        <w:t xml:space="preserve"> Los primeros contratos de compra de equipos por demanda (servidores y estaciones de trabajo) permitieron darle agilidad y facilidad al proceso de compra. Se trabaja en la actualidad en lograr que el resto de contratos de aprovisionamiento o licencias de uso recurrente se trasladen a esta modalidad.</w:t>
      </w:r>
    </w:p>
    <w:p w14:paraId="284A6AC0" w14:textId="77777777" w:rsidR="001C3E10" w:rsidRPr="001C3E10" w:rsidRDefault="001C3E10" w:rsidP="00547B19">
      <w:pPr>
        <w:pStyle w:val="Prrafodelista"/>
        <w:numPr>
          <w:ilvl w:val="0"/>
          <w:numId w:val="43"/>
        </w:numPr>
        <w:spacing w:after="200" w:line="276" w:lineRule="auto"/>
        <w:rPr>
          <w:rFonts w:asciiTheme="minorHAnsi" w:hAnsiTheme="minorHAnsi"/>
          <w:sz w:val="22"/>
        </w:rPr>
      </w:pPr>
      <w:r w:rsidRPr="001C3E10">
        <w:rPr>
          <w:rFonts w:asciiTheme="minorHAnsi" w:hAnsiTheme="minorHAnsi"/>
          <w:b/>
          <w:sz w:val="22"/>
        </w:rPr>
        <w:t>Arrendamiento de equipo.</w:t>
      </w:r>
      <w:r w:rsidRPr="001C3E10">
        <w:rPr>
          <w:rFonts w:asciiTheme="minorHAnsi" w:hAnsiTheme="minorHAnsi"/>
          <w:sz w:val="22"/>
        </w:rPr>
        <w:t xml:space="preserve"> Utilizado exitosamente por SUPEN y en el pasado por la DST en el BCCR, sin embargo las nuevas condiciones del mercado hacen que renovación no se considere rentable. </w:t>
      </w:r>
    </w:p>
    <w:p w14:paraId="49EE14B3" w14:textId="2880F0C2" w:rsidR="001C3E10" w:rsidRPr="001C3E10" w:rsidRDefault="001C3E10" w:rsidP="00547B19">
      <w:pPr>
        <w:pStyle w:val="Prrafodelista"/>
        <w:numPr>
          <w:ilvl w:val="0"/>
          <w:numId w:val="43"/>
        </w:numPr>
        <w:spacing w:after="200" w:line="276" w:lineRule="auto"/>
        <w:rPr>
          <w:rFonts w:asciiTheme="minorHAnsi" w:hAnsiTheme="minorHAnsi"/>
          <w:sz w:val="22"/>
        </w:rPr>
      </w:pPr>
      <w:r w:rsidRPr="004D7122">
        <w:rPr>
          <w:rFonts w:asciiTheme="minorHAnsi" w:hAnsiTheme="minorHAnsi"/>
          <w:b/>
          <w:sz w:val="22"/>
        </w:rPr>
        <w:t>Infraestructura como servicio</w:t>
      </w:r>
      <w:r w:rsidRPr="001C3E10">
        <w:rPr>
          <w:rFonts w:asciiTheme="minorHAnsi" w:hAnsiTheme="minorHAnsi"/>
          <w:b/>
          <w:sz w:val="22"/>
        </w:rPr>
        <w:t>.</w:t>
      </w:r>
      <w:r w:rsidRPr="001C3E10">
        <w:rPr>
          <w:rFonts w:asciiTheme="minorHAnsi" w:hAnsiTheme="minorHAnsi"/>
          <w:sz w:val="22"/>
        </w:rPr>
        <w:t xml:space="preserve"> Utilizado por SUPEN. El resto de departamentos dan en la actualidad los primeros pasos en la utilización de este modelo.</w:t>
      </w:r>
    </w:p>
    <w:p w14:paraId="4D9D05C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De manera similar a lo que ocurre con otros asuntos, la Corporación resuelve necesidades similares de aprovisionamiento de hardware y software utilizando medios y contratos distintos, con los consecuentes impactos negativos. </w:t>
      </w:r>
    </w:p>
    <w:p w14:paraId="1BF3423E"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301" w:name="_Toc429555161"/>
      <w:bookmarkStart w:id="302" w:name="_Toc429562803"/>
      <w:bookmarkStart w:id="303" w:name="_Toc429563113"/>
      <w:bookmarkStart w:id="304" w:name="_Toc429563268"/>
      <w:r w:rsidRPr="001C3E10">
        <w:rPr>
          <w:rFonts w:asciiTheme="minorHAnsi" w:hAnsiTheme="minorHAnsi"/>
          <w:sz w:val="22"/>
          <w:szCs w:val="22"/>
        </w:rPr>
        <w:t>Estrategias</w:t>
      </w:r>
      <w:bookmarkEnd w:id="301"/>
      <w:bookmarkEnd w:id="302"/>
      <w:bookmarkEnd w:id="303"/>
      <w:bookmarkEnd w:id="304"/>
    </w:p>
    <w:p w14:paraId="5E40F8AC"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Aprovisionamiento de personal de TI a través de la contratación de personal interno</w:t>
      </w:r>
    </w:p>
    <w:p w14:paraId="7D90C88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principal fuente de aprovisionamiento de la fuerza de trabajo de TI requerida por la Corporación será a través de la utilización de personal interno. Sin embargo, respecto a la situación de las plazas de Servicios Especiales se considera necesario no seguir renovando este tipo de plazas, siempre y cuando las posibilidades lo permitan, con el fin de evitar los costos de reemplazo que se generan en este tipo de procesos.</w:t>
      </w:r>
    </w:p>
    <w:p w14:paraId="3668FDE4"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Aprovisionamiento de personal de TI a través del outtasking</w:t>
      </w:r>
    </w:p>
    <w:p w14:paraId="74E0E59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experiencias generadas a través del manejo de personal subcontratado, si bien han sido positivas, merecen la revisión y aplicación de ajustes, con el fin de obtener aún mejores resultados que permitan un mejor balance entre los beneficios y los costos para la Corporación. Entre otras se pueden mencionar la definición de medidas que permitan agilizar la conformación de equipos de trabajo y mejorar el nivel de calidad del personal suministrado.</w:t>
      </w:r>
    </w:p>
    <w:p w14:paraId="72D418C2"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Desarrollo de soluciones a través del outsourcing</w:t>
      </w:r>
    </w:p>
    <w:p w14:paraId="4DC6BB1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Similar oportunidad requiere el modelo de outsourcing en la Corporación, mismo que, con un conjunto robusto de controles, que impidan el deterioro de la seguridad de la información y de las capacidades del personal interno de TI (en especial las relacionadas con el diseño y la arquitectura de las aplicaciones), pueda ser ante ciertas necesidades, un útil y oportuno aliado.</w:t>
      </w:r>
    </w:p>
    <w:p w14:paraId="5C0461DB"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 xml:space="preserve">Aprovisionamiento a través de contratos por demanda </w:t>
      </w:r>
    </w:p>
    <w:p w14:paraId="2F2AFC1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Se plantea el fortalecer el uso de contratos por demanda, los cuales han demostrado ventajas significativas, especialmente en temas de agilidad. </w:t>
      </w:r>
    </w:p>
    <w:p w14:paraId="1F1660B7"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Aprovisionamiento de infraestructura, plataforma y software como servicios (Nube)</w:t>
      </w:r>
    </w:p>
    <w:p w14:paraId="38891C34"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De igual forma, la infraestructura, plataforma y software como servicios son alternativas que con fuerza estarán siendo utilizadas para aprovisionar TI a la Corporación, con agilidad, costo eficiencia, y elasticidad.</w:t>
      </w:r>
    </w:p>
    <w:p w14:paraId="7C5689E1" w14:textId="77777777" w:rsidR="00A8169E" w:rsidRPr="001C3E10" w:rsidRDefault="00A8169E" w:rsidP="001C3E10">
      <w:pPr>
        <w:spacing w:line="276" w:lineRule="auto"/>
        <w:jc w:val="both"/>
        <w:rPr>
          <w:rFonts w:asciiTheme="minorHAnsi" w:eastAsiaTheme="majorEastAsia" w:hAnsiTheme="minorHAnsi" w:cstheme="majorBidi"/>
          <w:b/>
          <w:bCs/>
          <w:color w:val="365F91" w:themeColor="accent1" w:themeShade="BF"/>
          <w:sz w:val="22"/>
          <w:szCs w:val="22"/>
        </w:rPr>
      </w:pPr>
    </w:p>
    <w:p w14:paraId="7F0BDAEB" w14:textId="77777777" w:rsidR="001C3E10" w:rsidRPr="001C3E10" w:rsidRDefault="001C3E10" w:rsidP="00547B19">
      <w:pPr>
        <w:pStyle w:val="Ttulo1"/>
        <w:keepLines/>
        <w:numPr>
          <w:ilvl w:val="0"/>
          <w:numId w:val="45"/>
        </w:numPr>
        <w:spacing w:before="0" w:after="0" w:line="276" w:lineRule="auto"/>
        <w:jc w:val="both"/>
        <w:rPr>
          <w:rFonts w:asciiTheme="minorHAnsi" w:hAnsiTheme="minorHAnsi"/>
          <w:sz w:val="22"/>
          <w:szCs w:val="22"/>
        </w:rPr>
      </w:pPr>
      <w:bookmarkStart w:id="305" w:name="_Toc414532023"/>
      <w:bookmarkStart w:id="306" w:name="_Toc429555162"/>
      <w:bookmarkStart w:id="307" w:name="_Toc429562804"/>
      <w:bookmarkStart w:id="308" w:name="_Toc429563114"/>
      <w:bookmarkStart w:id="309" w:name="_Toc429563269"/>
      <w:r w:rsidRPr="001C3E10">
        <w:rPr>
          <w:rFonts w:asciiTheme="minorHAnsi" w:hAnsiTheme="minorHAnsi"/>
          <w:sz w:val="22"/>
          <w:szCs w:val="22"/>
        </w:rPr>
        <w:t>Riesgos</w:t>
      </w:r>
      <w:bookmarkEnd w:id="305"/>
      <w:bookmarkEnd w:id="306"/>
      <w:bookmarkEnd w:id="307"/>
      <w:bookmarkEnd w:id="308"/>
      <w:bookmarkEnd w:id="309"/>
    </w:p>
    <w:p w14:paraId="04DA560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Los principales riesgos que podrían afectar el cumplimiento de la estrategia definida en este documento son:</w:t>
      </w:r>
    </w:p>
    <w:p w14:paraId="4722BFFA" w14:textId="77777777" w:rsidR="001C3E10" w:rsidRPr="001C3E10" w:rsidRDefault="001C3E10" w:rsidP="00547B19">
      <w:pPr>
        <w:pStyle w:val="Prrafodelista"/>
        <w:numPr>
          <w:ilvl w:val="0"/>
          <w:numId w:val="32"/>
        </w:numPr>
        <w:spacing w:after="200" w:line="276" w:lineRule="auto"/>
        <w:rPr>
          <w:rFonts w:asciiTheme="minorHAnsi" w:hAnsiTheme="minorHAnsi"/>
          <w:sz w:val="22"/>
        </w:rPr>
      </w:pPr>
      <w:r w:rsidRPr="001C3E10">
        <w:rPr>
          <w:rFonts w:asciiTheme="minorHAnsi" w:hAnsiTheme="minorHAnsi"/>
          <w:sz w:val="22"/>
        </w:rPr>
        <w:t>Las expectativas de calidad de los responsables de los procesos críticos de la Corporación, que son apoyados por soluciones tecnológicas, se incrementan en niveles significativos y requieren ser atendidas en el corto plazo.</w:t>
      </w:r>
    </w:p>
    <w:p w14:paraId="1B2BC293"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Probabilidad: Posible</w:t>
      </w:r>
    </w:p>
    <w:p w14:paraId="78D43254"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Impacto: Medio</w:t>
      </w:r>
    </w:p>
    <w:p w14:paraId="7F9BB1CE"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Nivel de riesgo: Medio</w:t>
      </w:r>
    </w:p>
    <w:p w14:paraId="13011E41"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Control para mitigación: Comunicación clara y constante con los dueños de los servicios de negocio críticos que permita conocer sus necesidades y expectativas de negocio (reuniones de Comités de Control de Cambios).</w:t>
      </w:r>
    </w:p>
    <w:p w14:paraId="2CF2652D" w14:textId="77777777" w:rsidR="001C3E10" w:rsidRPr="001C3E10" w:rsidRDefault="001C3E10" w:rsidP="001C3E10">
      <w:pPr>
        <w:pStyle w:val="Prrafodelista"/>
        <w:spacing w:line="276" w:lineRule="auto"/>
        <w:rPr>
          <w:rFonts w:asciiTheme="minorHAnsi" w:hAnsiTheme="minorHAnsi"/>
          <w:sz w:val="22"/>
        </w:rPr>
      </w:pPr>
    </w:p>
    <w:p w14:paraId="6A2046B6" w14:textId="77777777" w:rsidR="001C3E10" w:rsidRPr="001C3E10" w:rsidRDefault="001C3E10" w:rsidP="00547B19">
      <w:pPr>
        <w:pStyle w:val="Prrafodelista"/>
        <w:numPr>
          <w:ilvl w:val="0"/>
          <w:numId w:val="32"/>
        </w:numPr>
        <w:spacing w:after="200" w:line="276" w:lineRule="auto"/>
        <w:rPr>
          <w:rFonts w:asciiTheme="minorHAnsi" w:hAnsiTheme="minorHAnsi"/>
          <w:sz w:val="22"/>
        </w:rPr>
      </w:pPr>
      <w:r w:rsidRPr="001C3E10">
        <w:rPr>
          <w:rFonts w:asciiTheme="minorHAnsi" w:hAnsiTheme="minorHAnsi"/>
          <w:sz w:val="22"/>
        </w:rPr>
        <w:t>Las necesidades de las Divisiones y los ODM no se encuentran alineadas con la estrategia de la Corporación, comprometiendo el valor entregado por TI.</w:t>
      </w:r>
    </w:p>
    <w:p w14:paraId="7345AC60"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Probabilidad: Posible</w:t>
      </w:r>
    </w:p>
    <w:p w14:paraId="52F2CD2B"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Impacto: Medio</w:t>
      </w:r>
    </w:p>
    <w:p w14:paraId="47B5D2D9"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Nivel de riesgo: Medio</w:t>
      </w:r>
    </w:p>
    <w:p w14:paraId="25669BB6"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Control para mitigación: Comunicación de la Estrategia de TI al CETI y solicitud de su retroalimentación acerca del planteamiento realizado.</w:t>
      </w:r>
    </w:p>
    <w:p w14:paraId="6C705687" w14:textId="77777777" w:rsidR="001C3E10" w:rsidRPr="001C3E10" w:rsidRDefault="001C3E10" w:rsidP="001C3E10">
      <w:pPr>
        <w:pStyle w:val="Prrafodelista"/>
        <w:spacing w:line="276" w:lineRule="auto"/>
        <w:rPr>
          <w:rFonts w:asciiTheme="minorHAnsi" w:hAnsiTheme="minorHAnsi"/>
          <w:sz w:val="22"/>
        </w:rPr>
      </w:pPr>
    </w:p>
    <w:p w14:paraId="2CB468D6" w14:textId="77777777" w:rsidR="001C3E10" w:rsidRPr="001C3E10" w:rsidRDefault="001C3E10" w:rsidP="00547B19">
      <w:pPr>
        <w:pStyle w:val="Prrafodelista"/>
        <w:numPr>
          <w:ilvl w:val="0"/>
          <w:numId w:val="32"/>
        </w:numPr>
        <w:spacing w:after="200" w:line="276" w:lineRule="auto"/>
        <w:rPr>
          <w:rFonts w:asciiTheme="minorHAnsi" w:hAnsiTheme="minorHAnsi"/>
          <w:sz w:val="22"/>
        </w:rPr>
      </w:pPr>
      <w:r w:rsidRPr="001C3E10">
        <w:rPr>
          <w:rFonts w:asciiTheme="minorHAnsi" w:hAnsiTheme="minorHAnsi"/>
          <w:sz w:val="22"/>
        </w:rPr>
        <w:t>La complejidad y el nivel de esfuerzo requerido para desarrollar el proceso de integración de la DST y los departamentos de TI de los ODM es mayor al previsto, impactando negativamente los procesos críticos de la Corporación.</w:t>
      </w:r>
    </w:p>
    <w:p w14:paraId="2026B3E2"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 xml:space="preserve">Probabilidad: Posible </w:t>
      </w:r>
    </w:p>
    <w:p w14:paraId="07CFAC4A"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Impacto: Alto</w:t>
      </w:r>
    </w:p>
    <w:p w14:paraId="4511356D" w14:textId="77777777" w:rsidR="001C3E10" w:rsidRPr="001C3E10" w:rsidRDefault="001C3E10" w:rsidP="00547B19">
      <w:pPr>
        <w:pStyle w:val="Prrafodelista"/>
        <w:numPr>
          <w:ilvl w:val="1"/>
          <w:numId w:val="32"/>
        </w:numPr>
        <w:spacing w:after="200" w:line="276" w:lineRule="auto"/>
        <w:rPr>
          <w:rFonts w:asciiTheme="minorHAnsi" w:hAnsiTheme="minorHAnsi"/>
          <w:sz w:val="22"/>
        </w:rPr>
      </w:pPr>
      <w:r w:rsidRPr="001C3E10">
        <w:rPr>
          <w:rFonts w:asciiTheme="minorHAnsi" w:hAnsiTheme="minorHAnsi"/>
          <w:sz w:val="22"/>
        </w:rPr>
        <w:t>Nivel de riesgo: Alto</w:t>
      </w:r>
    </w:p>
    <w:p w14:paraId="403B6652" w14:textId="77777777" w:rsidR="001C3E10" w:rsidRDefault="001C3E10" w:rsidP="00547B19">
      <w:pPr>
        <w:pStyle w:val="Prrafodelista"/>
        <w:numPr>
          <w:ilvl w:val="1"/>
          <w:numId w:val="32"/>
        </w:numPr>
        <w:spacing w:line="276" w:lineRule="auto"/>
        <w:rPr>
          <w:rFonts w:asciiTheme="minorHAnsi" w:hAnsiTheme="minorHAnsi"/>
          <w:sz w:val="22"/>
        </w:rPr>
      </w:pPr>
      <w:r w:rsidRPr="001C3E10">
        <w:rPr>
          <w:rFonts w:asciiTheme="minorHAnsi" w:hAnsiTheme="minorHAnsi"/>
          <w:sz w:val="22"/>
        </w:rPr>
        <w:t>Control para mitigación: Planificación detallada de los esfuerzos requeridos para la integración y seguimiento y control constantes sobre la ejecución de las tareas planificadas.</w:t>
      </w:r>
    </w:p>
    <w:p w14:paraId="1EF46D6F" w14:textId="77777777" w:rsidR="00A8169E" w:rsidRPr="001C3E10" w:rsidRDefault="00A8169E" w:rsidP="00A8169E">
      <w:pPr>
        <w:pStyle w:val="Prrafodelista"/>
        <w:spacing w:line="276" w:lineRule="auto"/>
        <w:ind w:left="1440" w:firstLine="0"/>
        <w:rPr>
          <w:rFonts w:asciiTheme="minorHAnsi" w:hAnsiTheme="minorHAnsi"/>
          <w:sz w:val="22"/>
        </w:rPr>
      </w:pPr>
    </w:p>
    <w:p w14:paraId="41D13BD2" w14:textId="77777777" w:rsidR="001C3E10" w:rsidRPr="001C3E10" w:rsidRDefault="001C3E10" w:rsidP="00547B19">
      <w:pPr>
        <w:pStyle w:val="Ttulo1"/>
        <w:keepLines/>
        <w:numPr>
          <w:ilvl w:val="0"/>
          <w:numId w:val="45"/>
        </w:numPr>
        <w:spacing w:before="0" w:after="0" w:line="276" w:lineRule="auto"/>
        <w:jc w:val="both"/>
        <w:rPr>
          <w:rFonts w:asciiTheme="minorHAnsi" w:hAnsiTheme="minorHAnsi"/>
          <w:sz w:val="22"/>
          <w:szCs w:val="22"/>
        </w:rPr>
      </w:pPr>
      <w:bookmarkStart w:id="310" w:name="_Ref410917361"/>
      <w:bookmarkStart w:id="311" w:name="_Toc414532024"/>
      <w:bookmarkStart w:id="312" w:name="_Toc429555163"/>
      <w:bookmarkStart w:id="313" w:name="_Toc429562805"/>
      <w:bookmarkStart w:id="314" w:name="_Toc429563115"/>
      <w:bookmarkStart w:id="315" w:name="_Toc429563270"/>
      <w:r w:rsidRPr="001C3E10">
        <w:rPr>
          <w:rFonts w:asciiTheme="minorHAnsi" w:hAnsiTheme="minorHAnsi"/>
          <w:sz w:val="22"/>
          <w:szCs w:val="22"/>
        </w:rPr>
        <w:lastRenderedPageBreak/>
        <w:t>Apéndices</w:t>
      </w:r>
      <w:bookmarkEnd w:id="310"/>
      <w:bookmarkEnd w:id="311"/>
      <w:bookmarkEnd w:id="312"/>
      <w:bookmarkEnd w:id="313"/>
      <w:bookmarkEnd w:id="314"/>
      <w:bookmarkEnd w:id="315"/>
    </w:p>
    <w:p w14:paraId="12F0AD93" w14:textId="77777777" w:rsidR="001C3E10" w:rsidRPr="001C3E10" w:rsidRDefault="001C3E10" w:rsidP="00547B19">
      <w:pPr>
        <w:pStyle w:val="Ttulo2"/>
        <w:keepLines/>
        <w:numPr>
          <w:ilvl w:val="1"/>
          <w:numId w:val="45"/>
        </w:numPr>
        <w:tabs>
          <w:tab w:val="clear" w:pos="360"/>
        </w:tabs>
        <w:autoSpaceDE/>
        <w:autoSpaceDN/>
        <w:adjustRightInd/>
        <w:spacing w:line="276" w:lineRule="auto"/>
        <w:jc w:val="both"/>
        <w:rPr>
          <w:rFonts w:asciiTheme="minorHAnsi" w:hAnsiTheme="minorHAnsi"/>
          <w:sz w:val="22"/>
          <w:szCs w:val="22"/>
        </w:rPr>
      </w:pPr>
      <w:bookmarkStart w:id="316" w:name="_Toc414532025"/>
      <w:bookmarkStart w:id="317" w:name="_Toc429555164"/>
      <w:bookmarkStart w:id="318" w:name="_Toc429562806"/>
      <w:bookmarkStart w:id="319" w:name="_Toc429563116"/>
      <w:bookmarkStart w:id="320" w:name="_Toc429563271"/>
      <w:r w:rsidRPr="001C3E10">
        <w:rPr>
          <w:rFonts w:asciiTheme="minorHAnsi" w:hAnsiTheme="minorHAnsi"/>
          <w:sz w:val="22"/>
          <w:szCs w:val="22"/>
        </w:rPr>
        <w:t>Análisis del entorno</w:t>
      </w:r>
      <w:bookmarkEnd w:id="316"/>
      <w:bookmarkEnd w:id="317"/>
      <w:bookmarkEnd w:id="318"/>
      <w:bookmarkEnd w:id="319"/>
      <w:bookmarkEnd w:id="320"/>
    </w:p>
    <w:p w14:paraId="363FA26A"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Oportunidades</w:t>
      </w:r>
    </w:p>
    <w:p w14:paraId="42469752" w14:textId="77777777" w:rsidR="001C3E10" w:rsidRPr="001C3E10" w:rsidRDefault="001C3E10" w:rsidP="00547B19">
      <w:pPr>
        <w:pStyle w:val="Prrafodelista"/>
        <w:numPr>
          <w:ilvl w:val="0"/>
          <w:numId w:val="50"/>
        </w:numPr>
        <w:spacing w:after="200" w:line="276" w:lineRule="auto"/>
        <w:rPr>
          <w:rFonts w:asciiTheme="minorHAnsi" w:hAnsiTheme="minorHAnsi"/>
          <w:sz w:val="22"/>
        </w:rPr>
      </w:pPr>
      <w:r w:rsidRPr="001C3E10">
        <w:rPr>
          <w:rFonts w:asciiTheme="minorHAnsi" w:hAnsiTheme="minorHAnsi"/>
          <w:bCs/>
          <w:sz w:val="22"/>
        </w:rPr>
        <w:t xml:space="preserve">Tecnologías emergentes </w:t>
      </w:r>
      <w:r w:rsidRPr="001C3E10">
        <w:rPr>
          <w:rFonts w:asciiTheme="minorHAnsi" w:hAnsiTheme="minorHAnsi"/>
          <w:sz w:val="22"/>
        </w:rPr>
        <w:t>(“La nube”, dispositivos móviles, redes sociales, análisis de grandes volúmenes de datos) que pueden ser aprovechadas para aportar mayor valor en el cumplimiento de los objetivos del negocio.</w:t>
      </w:r>
    </w:p>
    <w:p w14:paraId="29280453" w14:textId="77777777" w:rsidR="001C3E10" w:rsidRPr="001C3E10" w:rsidRDefault="001C3E10" w:rsidP="00547B19">
      <w:pPr>
        <w:pStyle w:val="Prrafodelista"/>
        <w:numPr>
          <w:ilvl w:val="0"/>
          <w:numId w:val="50"/>
        </w:numPr>
        <w:spacing w:after="200" w:line="276" w:lineRule="auto"/>
        <w:rPr>
          <w:rFonts w:asciiTheme="minorHAnsi" w:hAnsiTheme="minorHAnsi"/>
          <w:sz w:val="22"/>
        </w:rPr>
      </w:pPr>
      <w:r w:rsidRPr="001C3E10">
        <w:rPr>
          <w:rFonts w:asciiTheme="minorHAnsi" w:hAnsiTheme="minorHAnsi"/>
          <w:sz w:val="22"/>
        </w:rPr>
        <w:t xml:space="preserve">Nuevas necesidades generan constante demanda por los servicios que proporciona la DST,  lo cual propicia la </w:t>
      </w:r>
      <w:r w:rsidRPr="001C3E10">
        <w:rPr>
          <w:rFonts w:asciiTheme="minorHAnsi" w:hAnsiTheme="minorHAnsi"/>
          <w:bCs/>
          <w:sz w:val="22"/>
        </w:rPr>
        <w:t xml:space="preserve">entrega de servicios con economías de escala </w:t>
      </w:r>
      <w:r w:rsidRPr="001C3E10">
        <w:rPr>
          <w:rFonts w:asciiTheme="minorHAnsi" w:hAnsiTheme="minorHAnsi"/>
          <w:sz w:val="22"/>
        </w:rPr>
        <w:t>cada vez mayores para la Corporación.</w:t>
      </w:r>
    </w:p>
    <w:p w14:paraId="7F3AAE54"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Amenazas</w:t>
      </w:r>
    </w:p>
    <w:p w14:paraId="093EC5FA"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El ritmo acelerado en la evolución de las tecnologías fija un reto de actualización tecnológica para el personal de la DST, se requiere destinar recursos importantes para evitar pérdida de competitividad y disminución del respaldo al negocio.</w:t>
      </w:r>
    </w:p>
    <w:p w14:paraId="483DCC3B"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Alta demanda del personal de la DST en corporaciones líderes del mercado mundial (HP, Intel, Amazon, Microsoft), lo cual impacta significativamente la entrega de valor a la organización.</w:t>
      </w:r>
    </w:p>
    <w:p w14:paraId="05D0C70F"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Fortalezas</w:t>
      </w:r>
    </w:p>
    <w:p w14:paraId="357132D6"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El personal de la DST cuenta con vocación hacia la innovación y con altas competencias técnicas, lo cual redunda en soluciones de calidad que aportan valor.</w:t>
      </w:r>
    </w:p>
    <w:p w14:paraId="52B811E9"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Se cuenta con una plataforma tecnológica moderna, diseñada para soportar los servicios en operación y nuevos  servicios de una forma segura y estable.</w:t>
      </w:r>
    </w:p>
    <w:p w14:paraId="7A93ED22"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 xml:space="preserve">El nivel de competencia del personal de la DST propicia la mejora continua de los procesos, lo cual impulsa la excelencia operacional. </w:t>
      </w:r>
    </w:p>
    <w:p w14:paraId="17FD3B39" w14:textId="77777777" w:rsidR="001C3E10" w:rsidRPr="001C3E10" w:rsidRDefault="001C3E10" w:rsidP="00547B19">
      <w:pPr>
        <w:pStyle w:val="Prrafodelista"/>
        <w:numPr>
          <w:ilvl w:val="0"/>
          <w:numId w:val="49"/>
        </w:numPr>
        <w:spacing w:after="200" w:line="276" w:lineRule="auto"/>
        <w:rPr>
          <w:rFonts w:asciiTheme="minorHAnsi" w:hAnsiTheme="minorHAnsi"/>
          <w:b/>
          <w:sz w:val="22"/>
        </w:rPr>
      </w:pPr>
      <w:r w:rsidRPr="001C3E10">
        <w:rPr>
          <w:rFonts w:asciiTheme="minorHAnsi" w:hAnsiTheme="minorHAnsi"/>
          <w:b/>
          <w:sz w:val="22"/>
        </w:rPr>
        <w:t>Debilidades</w:t>
      </w:r>
    </w:p>
    <w:p w14:paraId="68D5B593"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La estructura organizacional de la DST no ha sido adaptada a la evolución tecnológica de los últimos 8 años, dificultando la atención de las necesidades.</w:t>
      </w:r>
    </w:p>
    <w:p w14:paraId="69A3A742" w14:textId="77777777" w:rsidR="001C3E10" w:rsidRPr="001C3E10" w:rsidRDefault="001C3E10" w:rsidP="00547B19">
      <w:pPr>
        <w:pStyle w:val="Prrafodelista"/>
        <w:numPr>
          <w:ilvl w:val="0"/>
          <w:numId w:val="50"/>
        </w:numPr>
        <w:spacing w:after="200" w:line="276" w:lineRule="auto"/>
        <w:rPr>
          <w:rFonts w:asciiTheme="minorHAnsi" w:hAnsiTheme="minorHAnsi"/>
          <w:bCs/>
          <w:sz w:val="22"/>
        </w:rPr>
      </w:pPr>
      <w:r w:rsidRPr="001C3E10">
        <w:rPr>
          <w:rFonts w:asciiTheme="minorHAnsi" w:hAnsiTheme="minorHAnsi"/>
          <w:bCs/>
          <w:sz w:val="22"/>
        </w:rPr>
        <w:t>Los canales de comunicación con la organización no han evolucionado lo necesario para entender de mejor manera las necesidades de nuestros clientes.</w:t>
      </w:r>
    </w:p>
    <w:p w14:paraId="46548D88" w14:textId="77777777" w:rsidR="001C3E10" w:rsidRPr="001C3E10" w:rsidRDefault="001C3E10" w:rsidP="00547B19">
      <w:pPr>
        <w:pStyle w:val="Prrafodelista"/>
        <w:numPr>
          <w:ilvl w:val="0"/>
          <w:numId w:val="50"/>
        </w:numPr>
        <w:spacing w:line="276" w:lineRule="auto"/>
        <w:rPr>
          <w:rFonts w:asciiTheme="minorHAnsi" w:hAnsiTheme="minorHAnsi"/>
          <w:bCs/>
          <w:sz w:val="22"/>
        </w:rPr>
      </w:pPr>
      <w:r w:rsidRPr="001C3E10">
        <w:rPr>
          <w:rFonts w:asciiTheme="minorHAnsi" w:hAnsiTheme="minorHAnsi"/>
          <w:bCs/>
          <w:sz w:val="22"/>
        </w:rPr>
        <w:t>Los contratos de personal externo existentes (outtasking) tienen controles que se deben mejorar, para evitar la desmejora en la calidad de los servicios.</w:t>
      </w:r>
    </w:p>
    <w:p w14:paraId="34C66C3B"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321" w:name="_Ref411014699"/>
      <w:bookmarkStart w:id="322" w:name="_Ref411014702"/>
      <w:bookmarkStart w:id="323" w:name="_Toc414532026"/>
      <w:bookmarkStart w:id="324" w:name="_Toc429555165"/>
      <w:bookmarkStart w:id="325" w:name="_Toc429562807"/>
      <w:bookmarkStart w:id="326" w:name="_Toc429563117"/>
      <w:bookmarkStart w:id="327" w:name="_Toc429563272"/>
      <w:r w:rsidRPr="001C3E10">
        <w:rPr>
          <w:rFonts w:asciiTheme="minorHAnsi" w:hAnsiTheme="minorHAnsi"/>
          <w:sz w:val="22"/>
          <w:szCs w:val="22"/>
        </w:rPr>
        <w:t>Modelo de capacidades</w:t>
      </w:r>
      <w:bookmarkEnd w:id="321"/>
      <w:bookmarkEnd w:id="322"/>
      <w:bookmarkEnd w:id="323"/>
      <w:bookmarkEnd w:id="324"/>
      <w:bookmarkEnd w:id="325"/>
      <w:bookmarkEnd w:id="326"/>
      <w:bookmarkEnd w:id="327"/>
    </w:p>
    <w:p w14:paraId="3B32D466"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328" w:name="_Toc429555166"/>
      <w:bookmarkStart w:id="329" w:name="_Toc429562808"/>
      <w:bookmarkStart w:id="330" w:name="_Toc429563118"/>
      <w:bookmarkStart w:id="331" w:name="_Toc429563273"/>
      <w:r w:rsidRPr="001C3E10">
        <w:rPr>
          <w:rFonts w:asciiTheme="minorHAnsi" w:hAnsiTheme="minorHAnsi"/>
          <w:sz w:val="22"/>
          <w:szCs w:val="22"/>
        </w:rPr>
        <w:t>Definición</w:t>
      </w:r>
      <w:bookmarkEnd w:id="328"/>
      <w:bookmarkEnd w:id="329"/>
      <w:bookmarkEnd w:id="330"/>
      <w:bookmarkEnd w:id="331"/>
    </w:p>
    <w:p w14:paraId="280B130A"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Mientras que la estrategia nos da la dirección que va a seguir la organización a largo plazo y con una estabilidad relativa en el mediano plazo; la ejecución tiene un enfoque en los planes operativos que lidian el presente (o a lo sumo un año adelante) y por esa razón son altamente volátiles, sujetos a frecuentes cambios. La estrategia documenta el contexto del negocio, y luego de un análisis exhaustivo destila una estrategia que permitirá a la organización llegar a la posición futura deseada, reflejada en metas que quiere alcanzar. La ejecución por su parte trata con información, procesos, </w:t>
      </w:r>
      <w:r w:rsidRPr="001C3E10">
        <w:rPr>
          <w:rFonts w:asciiTheme="minorHAnsi" w:hAnsiTheme="minorHAnsi"/>
          <w:sz w:val="22"/>
          <w:szCs w:val="22"/>
        </w:rPr>
        <w:lastRenderedPageBreak/>
        <w:t>personas y sistemas informáticos. La traducción de un dominio a otro es por demás complicada si no se cuenta con una herramienta que la facilite. La siguiente imagen resume ese salto entre la estrategia y la ejecución.</w:t>
      </w:r>
    </w:p>
    <w:p w14:paraId="292931DC" w14:textId="77777777" w:rsidR="001628D8" w:rsidRPr="001C3E10" w:rsidRDefault="001628D8" w:rsidP="001C3E10">
      <w:pPr>
        <w:spacing w:line="276" w:lineRule="auto"/>
        <w:jc w:val="both"/>
        <w:rPr>
          <w:rFonts w:asciiTheme="minorHAnsi" w:hAnsiTheme="minorHAnsi"/>
          <w:sz w:val="22"/>
          <w:szCs w:val="22"/>
        </w:rPr>
      </w:pPr>
    </w:p>
    <w:p w14:paraId="4BE63322"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0EA3E737" wp14:editId="219577BB">
            <wp:extent cx="3670300" cy="2573113"/>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680331" cy="2580145"/>
                    </a:xfrm>
                    <a:prstGeom prst="rect">
                      <a:avLst/>
                    </a:prstGeom>
                  </pic:spPr>
                </pic:pic>
              </a:graphicData>
            </a:graphic>
          </wp:inline>
        </w:drawing>
      </w:r>
    </w:p>
    <w:p w14:paraId="17CECB68" w14:textId="77777777" w:rsidR="001C3E10" w:rsidRPr="001C3E10" w:rsidRDefault="001C3E10" w:rsidP="001C3E10">
      <w:pPr>
        <w:spacing w:line="276" w:lineRule="auto"/>
        <w:jc w:val="both"/>
        <w:rPr>
          <w:rFonts w:asciiTheme="minorHAnsi" w:hAnsiTheme="minorHAnsi"/>
          <w:sz w:val="22"/>
          <w:szCs w:val="22"/>
        </w:rPr>
      </w:pPr>
    </w:p>
    <w:p w14:paraId="59448AA6"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¿Por qué es esto importante? De poco sirve una estrategia que marque un rumbo claro y con un alto potencial para producir los beneficios deseados si no se traduce en cambio en la operación, de forma tal que la haga posible. </w:t>
      </w:r>
    </w:p>
    <w:p w14:paraId="2C6A8057" w14:textId="77777777" w:rsidR="001628D8" w:rsidRPr="001C3E10" w:rsidRDefault="001628D8" w:rsidP="001C3E10">
      <w:pPr>
        <w:spacing w:line="276" w:lineRule="auto"/>
        <w:jc w:val="both"/>
        <w:rPr>
          <w:rFonts w:asciiTheme="minorHAnsi" w:hAnsiTheme="minorHAnsi"/>
          <w:sz w:val="22"/>
          <w:szCs w:val="22"/>
        </w:rPr>
      </w:pPr>
    </w:p>
    <w:p w14:paraId="3587E05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Para hacer ese algo, la arquitectura empresarial tiene el modelo de capacidades. </w:t>
      </w:r>
      <w:r w:rsidRPr="001C3E10">
        <w:rPr>
          <w:rFonts w:asciiTheme="minorHAnsi" w:hAnsiTheme="minorHAnsi"/>
          <w:color w:val="000000"/>
          <w:sz w:val="22"/>
          <w:szCs w:val="22"/>
        </w:rPr>
        <w:t>Un modelo de capacidades es una representación de la organización independientemente de su estructura, sus procesos, personas o dominios. Una capacidad es la forma en la que la organización combina recursos, personas, procesos, tecnología e información para entregar valor consistentemente a sus clientes, o en nuestro caso, para cumplir la misión que nos fue encomendada. Están diseñadas para describir lo que la organización hace o necesitará hacer en forma diferente, con el fin de responder a cambios en la estrategia u oportunidades que se le presentan. Es decir, permite expresar y explorar “lo que se hace” para así tomar decisiones sobre “cómo debe hacerse”.</w:t>
      </w:r>
    </w:p>
    <w:p w14:paraId="38B641DF"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332" w:name="_Toc429555167"/>
      <w:bookmarkStart w:id="333" w:name="_Toc429562809"/>
      <w:bookmarkStart w:id="334" w:name="_Toc429563119"/>
      <w:bookmarkStart w:id="335" w:name="_Toc429563274"/>
      <w:r w:rsidRPr="001C3E10">
        <w:rPr>
          <w:rFonts w:asciiTheme="minorHAnsi" w:hAnsiTheme="minorHAnsi"/>
          <w:sz w:val="22"/>
          <w:szCs w:val="22"/>
        </w:rPr>
        <w:t>Ejemplo</w:t>
      </w:r>
      <w:bookmarkEnd w:id="332"/>
      <w:bookmarkEnd w:id="333"/>
      <w:bookmarkEnd w:id="334"/>
      <w:bookmarkEnd w:id="335"/>
    </w:p>
    <w:p w14:paraId="4309E0C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siguiente es un ejemplo de un modelo de capacidades de una empresa de manufactura de electrónicos.</w:t>
      </w:r>
    </w:p>
    <w:p w14:paraId="6D01FBAD"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66D24524" wp14:editId="37670A0E">
            <wp:extent cx="3867150" cy="2488401"/>
            <wp:effectExtent l="0" t="0" r="0" b="762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870657" cy="2490657"/>
                    </a:xfrm>
                    <a:prstGeom prst="rect">
                      <a:avLst/>
                    </a:prstGeom>
                  </pic:spPr>
                </pic:pic>
              </a:graphicData>
            </a:graphic>
          </wp:inline>
        </w:drawing>
      </w:r>
    </w:p>
    <w:p w14:paraId="0CCA6505" w14:textId="77777777" w:rsidR="001628D8" w:rsidRDefault="001628D8" w:rsidP="001C3E10">
      <w:pPr>
        <w:spacing w:line="276" w:lineRule="auto"/>
        <w:jc w:val="both"/>
        <w:rPr>
          <w:rFonts w:asciiTheme="minorHAnsi" w:hAnsiTheme="minorHAnsi"/>
          <w:color w:val="000000"/>
          <w:sz w:val="22"/>
          <w:szCs w:val="22"/>
        </w:rPr>
      </w:pPr>
    </w:p>
    <w:p w14:paraId="00210893" w14:textId="77777777" w:rsidR="001C3E10" w:rsidRPr="001C3E10" w:rsidRDefault="001C3E10" w:rsidP="001C3E10">
      <w:pPr>
        <w:spacing w:line="276" w:lineRule="auto"/>
        <w:jc w:val="both"/>
        <w:rPr>
          <w:rFonts w:asciiTheme="minorHAnsi" w:hAnsiTheme="minorHAnsi"/>
          <w:color w:val="000000"/>
          <w:sz w:val="22"/>
          <w:szCs w:val="22"/>
        </w:rPr>
      </w:pPr>
      <w:r w:rsidRPr="001C3E10">
        <w:rPr>
          <w:rFonts w:asciiTheme="minorHAnsi" w:hAnsiTheme="minorHAnsi"/>
          <w:color w:val="000000"/>
          <w:sz w:val="22"/>
          <w:szCs w:val="22"/>
        </w:rPr>
        <w:t>En el nivel 0 se aprecian cuatro capacidades fundamentales de esa organización: “Creación de productos”, “Entrega de productos y servicios”, “Relación con los clientes” y “Administración del negocio”, posiblemente relacionadas directamente con su cadena de valor. Dentro de cada una hay un subnivel que describe esa capacidad en mayor detalle. Así por ejemplo, dentro de “Administración del negocio” hay una llamada “Planeamiento, estrategia y ejecución”, dentro de “Creación de productos” hay otra llamada “Desarrollo de hardware” y así sucesivamente. Es decir, las capacidades se pueden anidar dentro de otras más generales.</w:t>
      </w:r>
    </w:p>
    <w:p w14:paraId="0E529219"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336" w:name="_Toc429555168"/>
      <w:bookmarkStart w:id="337" w:name="_Toc429562810"/>
      <w:bookmarkStart w:id="338" w:name="_Toc429563120"/>
      <w:bookmarkStart w:id="339" w:name="_Toc429563275"/>
      <w:r w:rsidRPr="001C3E10">
        <w:rPr>
          <w:rFonts w:asciiTheme="minorHAnsi" w:hAnsiTheme="minorHAnsi"/>
          <w:sz w:val="22"/>
          <w:szCs w:val="22"/>
        </w:rPr>
        <w:t>Cómo se usa</w:t>
      </w:r>
      <w:bookmarkEnd w:id="336"/>
      <w:bookmarkEnd w:id="337"/>
      <w:bookmarkEnd w:id="338"/>
      <w:bookmarkEnd w:id="339"/>
    </w:p>
    <w:p w14:paraId="10BB806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Para utilizar un mapa de capacidades es necesario contar como insumo con un mapa estratégico, también conocido como Cuadro de Mando Integral (CMI), que documenta la estrategia de la organización. En la siguiente figura se puede ver el que se utilizará de ejemplo.</w:t>
      </w:r>
    </w:p>
    <w:p w14:paraId="0438F366"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19CB7383" wp14:editId="5399642C">
            <wp:extent cx="4749800" cy="3021965"/>
            <wp:effectExtent l="0" t="0" r="0" b="6985"/>
            <wp:docPr id="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4753623" cy="3024397"/>
                    </a:xfrm>
                    <a:prstGeom prst="rect">
                      <a:avLst/>
                    </a:prstGeom>
                  </pic:spPr>
                </pic:pic>
              </a:graphicData>
            </a:graphic>
          </wp:inline>
        </w:drawing>
      </w:r>
    </w:p>
    <w:p w14:paraId="4B923B5F" w14:textId="77777777" w:rsidR="001628D8" w:rsidRDefault="001628D8" w:rsidP="001C3E10">
      <w:pPr>
        <w:spacing w:line="276" w:lineRule="auto"/>
        <w:jc w:val="both"/>
        <w:rPr>
          <w:rFonts w:asciiTheme="minorHAnsi" w:hAnsiTheme="minorHAnsi"/>
          <w:sz w:val="22"/>
          <w:szCs w:val="22"/>
        </w:rPr>
      </w:pPr>
    </w:p>
    <w:p w14:paraId="17DE33C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mapa estratégico se compone por lo general de cuatro perspectivas: financiera (¿cómo nos vemos a los ojos de los accionistas?), del cliente (¿cómo nos ven los clientes?), interna (¿en qué debemos sobresalir?) y de aprendizaje y crecimiento (¿podemos continuar mejorando y creando valor?). Entre los diferentes elementos en el cuadro se establecen relaciones de causa-efecto (las flechas) que facilitan la lectura del mapa y la estrategia como tal. A modo de ejemplo, en el cuadro anterior un objetivo financiero es el de “Incrementar los ingresos” y para tal efecto, la estrategia con respecto a los clientes es la de “Atraer clientes de alto valor y potenciales hacia los servicios en línea”. Para lograr eso, internamente la organización va a mejorar la “Disponibilidad 24/7” de todos los servicios que se le brindan, se va a “Desarrollar encuestas de satisfacción y métricas de monitoreo de la experiencia” del usuario en el uso de esos servicios y a “Desarrollar capacidades superiores de chat en línea” en el personal de atención al cliente, dentro de las varias iniciativas estratégicas que se consideraron. Para eso es necesario “Desarrollar y retener personal de chat” y “Desarrollar un equipo de arquitectura empresarial” que permita hacer la traza de esas métricas en todos los elementos involucrados.</w:t>
      </w:r>
    </w:p>
    <w:p w14:paraId="43FC7B16" w14:textId="77777777" w:rsidR="001628D8" w:rsidRDefault="001628D8" w:rsidP="001C3E10">
      <w:pPr>
        <w:spacing w:line="276" w:lineRule="auto"/>
        <w:jc w:val="both"/>
        <w:rPr>
          <w:rFonts w:asciiTheme="minorHAnsi" w:hAnsiTheme="minorHAnsi"/>
          <w:sz w:val="22"/>
          <w:szCs w:val="22"/>
        </w:rPr>
      </w:pPr>
    </w:p>
    <w:p w14:paraId="42752D4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Por otro lado, asúmase el siguiente mapa de capacidades que describe el estado actual de esa organización. Éste es tomado del BIAN (Banking Industry Architecture Network), un modelo de referencia para la industria de la banca comercial.</w:t>
      </w:r>
    </w:p>
    <w:p w14:paraId="24568325" w14:textId="77777777" w:rsidR="001C3E10" w:rsidRP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037B1094" wp14:editId="35BE3041">
            <wp:extent cx="3263900" cy="2947778"/>
            <wp:effectExtent l="0" t="0" r="0" b="508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272228" cy="2955299"/>
                    </a:xfrm>
                    <a:prstGeom prst="rect">
                      <a:avLst/>
                    </a:prstGeom>
                  </pic:spPr>
                </pic:pic>
              </a:graphicData>
            </a:graphic>
          </wp:inline>
        </w:drawing>
      </w:r>
    </w:p>
    <w:p w14:paraId="480AD116" w14:textId="77777777" w:rsidR="001628D8" w:rsidRDefault="001628D8" w:rsidP="001C3E10">
      <w:pPr>
        <w:spacing w:line="276" w:lineRule="auto"/>
        <w:jc w:val="both"/>
        <w:rPr>
          <w:rFonts w:asciiTheme="minorHAnsi" w:hAnsiTheme="minorHAnsi"/>
          <w:sz w:val="22"/>
          <w:szCs w:val="22"/>
        </w:rPr>
      </w:pPr>
    </w:p>
    <w:p w14:paraId="25F1EEA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Con ambos insumos se procede a hacer un análisis del impacto de la estrategia en ese mapa de capacidades, en el siguiente proceso.</w:t>
      </w:r>
    </w:p>
    <w:p w14:paraId="4D5CFF5D"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bookmarkStart w:id="340" w:name="_Ref406148969"/>
      <w:r w:rsidRPr="001C3E10">
        <w:rPr>
          <w:rFonts w:asciiTheme="minorHAnsi" w:hAnsiTheme="minorHAnsi"/>
          <w:sz w:val="22"/>
          <w:szCs w:val="22"/>
        </w:rPr>
        <w:t>Identificación de la prioridad de las capacidades vs la estrategia</w:t>
      </w:r>
      <w:bookmarkEnd w:id="340"/>
    </w:p>
    <w:p w14:paraId="03BD814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Partiendo del mapa estratégico anterior es necesario </w:t>
      </w:r>
      <w:r w:rsidRPr="001C3E10">
        <w:rPr>
          <w:rFonts w:asciiTheme="minorHAnsi" w:hAnsiTheme="minorHAnsi"/>
          <w:b/>
          <w:sz w:val="22"/>
          <w:szCs w:val="22"/>
        </w:rPr>
        <w:t>identificar cuáles capacidades del negocio permiten hoy en día cumplir con cada una de las iniciativas estratégicas a emprender</w:t>
      </w:r>
      <w:r w:rsidRPr="001C3E10">
        <w:rPr>
          <w:rFonts w:asciiTheme="minorHAnsi" w:hAnsiTheme="minorHAnsi"/>
          <w:sz w:val="22"/>
          <w:szCs w:val="22"/>
        </w:rPr>
        <w:t>. Importante notar que del análisis se pueden identificar capacidades con las que no contamos actualmente, y por ende, debemos desarrollar. La siguiente imagen muestra la identificación de la capacidad que permite “Desarrollar encuestas de satisfacción y métricas de monitoreo de la experiencia” del usuario, iniciativa presente en el CMI anterior.</w:t>
      </w:r>
    </w:p>
    <w:p w14:paraId="1816641B" w14:textId="77777777" w:rsidR="001C3E10" w:rsidRDefault="001C3E10" w:rsidP="001C3E10">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2824C564" wp14:editId="73202745">
            <wp:extent cx="3829050" cy="304833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839054" cy="3056299"/>
                    </a:xfrm>
                    <a:prstGeom prst="rect">
                      <a:avLst/>
                    </a:prstGeom>
                  </pic:spPr>
                </pic:pic>
              </a:graphicData>
            </a:graphic>
          </wp:inline>
        </w:drawing>
      </w:r>
    </w:p>
    <w:p w14:paraId="1EE78CAA" w14:textId="77777777" w:rsidR="001C3E10" w:rsidRPr="001C3E10" w:rsidRDefault="001C3E10" w:rsidP="001C3E10">
      <w:pPr>
        <w:spacing w:line="276" w:lineRule="auto"/>
        <w:jc w:val="center"/>
        <w:rPr>
          <w:rFonts w:asciiTheme="minorHAnsi" w:hAnsiTheme="minorHAnsi"/>
          <w:sz w:val="22"/>
          <w:szCs w:val="22"/>
        </w:rPr>
      </w:pPr>
    </w:p>
    <w:p w14:paraId="2E0B205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Posterior a esa identificación, </w:t>
      </w:r>
      <w:r w:rsidRPr="001C3E10">
        <w:rPr>
          <w:rFonts w:asciiTheme="minorHAnsi" w:hAnsiTheme="minorHAnsi"/>
          <w:b/>
          <w:sz w:val="22"/>
          <w:szCs w:val="22"/>
        </w:rPr>
        <w:t>se hace</w:t>
      </w:r>
      <w:r w:rsidRPr="001C3E10">
        <w:rPr>
          <w:rFonts w:asciiTheme="minorHAnsi" w:hAnsiTheme="minorHAnsi"/>
          <w:sz w:val="22"/>
          <w:szCs w:val="22"/>
        </w:rPr>
        <w:t xml:space="preserve"> </w:t>
      </w:r>
      <w:r w:rsidRPr="001C3E10">
        <w:rPr>
          <w:rFonts w:asciiTheme="minorHAnsi" w:hAnsiTheme="minorHAnsi"/>
          <w:b/>
          <w:sz w:val="22"/>
          <w:szCs w:val="22"/>
        </w:rPr>
        <w:t>una priorización de cuáles capacidades serán las más importantes</w:t>
      </w:r>
      <w:r w:rsidRPr="001C3E10">
        <w:rPr>
          <w:rFonts w:asciiTheme="minorHAnsi" w:hAnsiTheme="minorHAnsi"/>
          <w:sz w:val="22"/>
          <w:szCs w:val="22"/>
        </w:rPr>
        <w:t xml:space="preserve"> a desarrollar para alcanzar esa estrategia. En la imagen anterior eso se evidencia con un código de colores. No todas las capacidades tienen la misma prioridad para la estrategia. Además, para la priorización, en algunos casos será suficiente con la información en el modelo de capacidades mientras que en otros será necesario hacer una evaluación más profunda, a partir de los 5 atributos definidos para cada capacidad, adelantándose al paso 2. Esa priorización sirve para saber a cuáles hay que ponerle más atención.</w:t>
      </w:r>
    </w:p>
    <w:p w14:paraId="62040784" w14:textId="77777777" w:rsidR="001628D8" w:rsidRDefault="001628D8" w:rsidP="001C3E10">
      <w:pPr>
        <w:spacing w:line="276" w:lineRule="auto"/>
        <w:jc w:val="both"/>
        <w:rPr>
          <w:rFonts w:asciiTheme="minorHAnsi" w:hAnsiTheme="minorHAnsi"/>
          <w:sz w:val="22"/>
          <w:szCs w:val="22"/>
        </w:rPr>
      </w:pPr>
    </w:p>
    <w:p w14:paraId="7BE3D2A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resumen, para poder “Atraer clientes de alto valor y potenciales hacia los servicios en línea”, la estrategia indica que hay que mejorar la “Propuesta de valor” tomando varias acciones (acceso 24/7, un chat seguro, servicios personalizados y fáciles de usar, entre otros). Para tal efecto, internamente se deben “Desarrollar encuestas de satisfacción y mejores métricas de monitoreo de la experiencia” del usuario, iniciativa estratégica en el CMI. Al día de hoy se hace por medio de la capacidad “Encuestas al cliente” de “Mercadeo”.</w:t>
      </w:r>
    </w:p>
    <w:p w14:paraId="6E168F2A"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 xml:space="preserve">Análisis del impacto </w:t>
      </w:r>
    </w:p>
    <w:p w14:paraId="727F276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Identificada la capacidad </w:t>
      </w:r>
      <w:r w:rsidRPr="001C3E10">
        <w:rPr>
          <w:rFonts w:asciiTheme="minorHAnsi" w:hAnsiTheme="minorHAnsi"/>
          <w:b/>
          <w:sz w:val="22"/>
          <w:szCs w:val="22"/>
        </w:rPr>
        <w:t>se constituye un equipo multidisciplinario</w:t>
      </w:r>
      <w:r w:rsidRPr="001C3E10">
        <w:rPr>
          <w:rFonts w:asciiTheme="minorHAnsi" w:hAnsiTheme="minorHAnsi"/>
          <w:sz w:val="22"/>
          <w:szCs w:val="22"/>
        </w:rPr>
        <w:t xml:space="preserve"> (encuestadores y supervisores de encuestas, ingenieros industriales, arquitectos de soluciones expertos en tecnología, psicólogos industriales, supervisados por un arquitecto empresarial) </w:t>
      </w:r>
      <w:r w:rsidRPr="001C3E10">
        <w:rPr>
          <w:rFonts w:asciiTheme="minorHAnsi" w:hAnsiTheme="minorHAnsi"/>
          <w:b/>
          <w:sz w:val="22"/>
          <w:szCs w:val="22"/>
        </w:rPr>
        <w:t>para revisar</w:t>
      </w:r>
      <w:r w:rsidRPr="001C3E10">
        <w:rPr>
          <w:rFonts w:asciiTheme="minorHAnsi" w:hAnsiTheme="minorHAnsi"/>
          <w:sz w:val="22"/>
          <w:szCs w:val="22"/>
        </w:rPr>
        <w:t xml:space="preserve"> la situación actual vs la necesaria para cumplir con la estrategia. Para tal efecto se hace un análisis de </w:t>
      </w:r>
      <w:r w:rsidRPr="001C3E10">
        <w:rPr>
          <w:rFonts w:asciiTheme="minorHAnsi" w:hAnsiTheme="minorHAnsi"/>
          <w:b/>
          <w:sz w:val="22"/>
          <w:szCs w:val="22"/>
        </w:rPr>
        <w:t>los 5 atributos documentados para toda capacidad</w:t>
      </w:r>
      <w:r w:rsidRPr="001C3E10">
        <w:rPr>
          <w:rFonts w:asciiTheme="minorHAnsi" w:hAnsiTheme="minorHAnsi"/>
          <w:sz w:val="22"/>
          <w:szCs w:val="22"/>
        </w:rPr>
        <w:t>: “organización y cultura”, “procesos y técnicas”, “roles y responsabilidades”, “tecnología” y por último, “metas, principios y entregables”.</w:t>
      </w:r>
    </w:p>
    <w:p w14:paraId="1316AE73"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37D9D59C" wp14:editId="3AE48DE0">
            <wp:extent cx="3436429" cy="3106706"/>
            <wp:effectExtent l="0" t="0" r="0" b="0"/>
            <wp:docPr id="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441007" cy="3110845"/>
                    </a:xfrm>
                    <a:prstGeom prst="rect">
                      <a:avLst/>
                    </a:prstGeom>
                  </pic:spPr>
                </pic:pic>
              </a:graphicData>
            </a:graphic>
          </wp:inline>
        </w:drawing>
      </w:r>
    </w:p>
    <w:p w14:paraId="4FA13A94" w14:textId="77777777" w:rsidR="001628D8" w:rsidRDefault="001628D8" w:rsidP="001C3E10">
      <w:pPr>
        <w:spacing w:line="276" w:lineRule="auto"/>
        <w:jc w:val="both"/>
        <w:rPr>
          <w:rFonts w:asciiTheme="minorHAnsi" w:hAnsiTheme="minorHAnsi"/>
          <w:sz w:val="22"/>
          <w:szCs w:val="22"/>
        </w:rPr>
      </w:pPr>
    </w:p>
    <w:p w14:paraId="682F2F24"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ese caso se determinó que,</w:t>
      </w:r>
      <w:r w:rsidRPr="001C3E10">
        <w:rPr>
          <w:rFonts w:asciiTheme="minorHAnsi" w:hAnsiTheme="minorHAnsi"/>
          <w:b/>
          <w:sz w:val="22"/>
          <w:szCs w:val="22"/>
        </w:rPr>
        <w:t xml:space="preserve"> para cumplir</w:t>
      </w:r>
      <w:r w:rsidRPr="001C3E10">
        <w:rPr>
          <w:rFonts w:asciiTheme="minorHAnsi" w:hAnsiTheme="minorHAnsi"/>
          <w:sz w:val="22"/>
          <w:szCs w:val="22"/>
        </w:rPr>
        <w:t xml:space="preserve"> con la estrategia es </w:t>
      </w:r>
      <w:r w:rsidRPr="001C3E10">
        <w:rPr>
          <w:rFonts w:asciiTheme="minorHAnsi" w:hAnsiTheme="minorHAnsi"/>
          <w:b/>
          <w:sz w:val="22"/>
          <w:szCs w:val="22"/>
        </w:rPr>
        <w:t>necesario un ajuste en el perfil de los encuestadores</w:t>
      </w:r>
      <w:r w:rsidRPr="001C3E10">
        <w:rPr>
          <w:rFonts w:asciiTheme="minorHAnsi" w:hAnsiTheme="minorHAnsi"/>
          <w:sz w:val="22"/>
          <w:szCs w:val="22"/>
        </w:rPr>
        <w:t xml:space="preserve"> hacia el manejo de clientes potenciales. Desde el punto de vista de los </w:t>
      </w:r>
      <w:r w:rsidRPr="001C3E10">
        <w:rPr>
          <w:rFonts w:asciiTheme="minorHAnsi" w:hAnsiTheme="minorHAnsi"/>
          <w:b/>
          <w:sz w:val="22"/>
          <w:szCs w:val="22"/>
        </w:rPr>
        <w:t>procesos</w:t>
      </w:r>
      <w:r w:rsidRPr="001C3E10">
        <w:rPr>
          <w:rFonts w:asciiTheme="minorHAnsi" w:hAnsiTheme="minorHAnsi"/>
          <w:sz w:val="22"/>
          <w:szCs w:val="22"/>
        </w:rPr>
        <w:t xml:space="preserve"> se determinó que es necesario hacer </w:t>
      </w:r>
      <w:r w:rsidRPr="001C3E10">
        <w:rPr>
          <w:rFonts w:asciiTheme="minorHAnsi" w:hAnsiTheme="minorHAnsi"/>
          <w:b/>
          <w:sz w:val="22"/>
          <w:szCs w:val="22"/>
        </w:rPr>
        <w:t>algunos ajustes al proceso de confección de encuestas</w:t>
      </w:r>
      <w:r w:rsidRPr="001C3E10">
        <w:rPr>
          <w:rFonts w:asciiTheme="minorHAnsi" w:hAnsiTheme="minorHAnsi"/>
          <w:sz w:val="22"/>
          <w:szCs w:val="22"/>
        </w:rPr>
        <w:t xml:space="preserve"> con el fin de reforzar el control previo al envío de encuestas a los clientes. Además, se concluye que </w:t>
      </w:r>
      <w:r w:rsidRPr="001C3E10">
        <w:rPr>
          <w:rFonts w:asciiTheme="minorHAnsi" w:hAnsiTheme="minorHAnsi"/>
          <w:b/>
          <w:sz w:val="22"/>
          <w:szCs w:val="22"/>
        </w:rPr>
        <w:t>LymeSurvey</w:t>
      </w:r>
      <w:r w:rsidRPr="001C3E10">
        <w:rPr>
          <w:rFonts w:asciiTheme="minorHAnsi" w:hAnsiTheme="minorHAnsi"/>
          <w:sz w:val="22"/>
          <w:szCs w:val="22"/>
        </w:rPr>
        <w:t xml:space="preserve">, sistema actualmente en uso para realizar encuestas a los clientes, </w:t>
      </w:r>
      <w:r w:rsidRPr="001C3E10">
        <w:rPr>
          <w:rFonts w:asciiTheme="minorHAnsi" w:hAnsiTheme="minorHAnsi"/>
          <w:b/>
          <w:sz w:val="22"/>
          <w:szCs w:val="22"/>
        </w:rPr>
        <w:t>no permite que el cliente pueda llenar una encuesta por medio del teléfono celular</w:t>
      </w:r>
      <w:r w:rsidRPr="001C3E10">
        <w:rPr>
          <w:rFonts w:asciiTheme="minorHAnsi" w:hAnsiTheme="minorHAnsi"/>
          <w:sz w:val="22"/>
          <w:szCs w:val="22"/>
        </w:rPr>
        <w:t>, planteado por la estrategia como el principal canal de interacción de los clientes de alto valor con el banco.</w:t>
      </w:r>
    </w:p>
    <w:p w14:paraId="75306F36"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Desarrollo del caso de negocio</w:t>
      </w:r>
    </w:p>
    <w:p w14:paraId="5E27637A"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A partir de la diferencia identificada</w:t>
      </w:r>
      <w:r w:rsidRPr="001C3E10">
        <w:rPr>
          <w:rFonts w:asciiTheme="minorHAnsi" w:hAnsiTheme="minorHAnsi"/>
          <w:sz w:val="22"/>
          <w:szCs w:val="22"/>
        </w:rPr>
        <w:t xml:space="preserve"> en esas capacidades </w:t>
      </w:r>
      <w:r w:rsidRPr="001C3E10">
        <w:rPr>
          <w:rFonts w:asciiTheme="minorHAnsi" w:hAnsiTheme="minorHAnsi"/>
          <w:b/>
          <w:sz w:val="22"/>
          <w:szCs w:val="22"/>
        </w:rPr>
        <w:t>se desarrollan casos de negocio que formulan y evalúan alternativas de solución</w:t>
      </w:r>
      <w:r w:rsidRPr="001C3E10">
        <w:rPr>
          <w:rFonts w:asciiTheme="minorHAnsi" w:hAnsiTheme="minorHAnsi"/>
          <w:sz w:val="22"/>
          <w:szCs w:val="22"/>
        </w:rPr>
        <w:t xml:space="preserve"> que eleven el nivel de la capacidad al necesario, tomando en cuenta factores como el riesgo y el financiero. Por ejemplo, un </w:t>
      </w:r>
      <w:r w:rsidRPr="001C3E10">
        <w:rPr>
          <w:rFonts w:asciiTheme="minorHAnsi" w:hAnsiTheme="minorHAnsi"/>
          <w:b/>
          <w:sz w:val="22"/>
          <w:szCs w:val="22"/>
        </w:rPr>
        <w:t xml:space="preserve">experto en mercadotecnia </w:t>
      </w:r>
      <w:r w:rsidRPr="001C3E10">
        <w:rPr>
          <w:rFonts w:asciiTheme="minorHAnsi" w:hAnsiTheme="minorHAnsi"/>
          <w:sz w:val="22"/>
          <w:szCs w:val="22"/>
        </w:rPr>
        <w:t xml:space="preserve">diseña un curso de sensibilización de los encuestadores a los servicios en línea que ofrece el banco, con técnicas específicas para poder atraer clientes potenciales a esos servicios. En lo que se refiere a los procesos, el </w:t>
      </w:r>
      <w:r w:rsidRPr="001C3E10">
        <w:rPr>
          <w:rFonts w:asciiTheme="minorHAnsi" w:hAnsiTheme="minorHAnsi"/>
          <w:b/>
          <w:sz w:val="22"/>
          <w:szCs w:val="22"/>
        </w:rPr>
        <w:t>ingeniero industrial</w:t>
      </w:r>
      <w:r w:rsidRPr="001C3E10">
        <w:rPr>
          <w:rFonts w:asciiTheme="minorHAnsi" w:hAnsiTheme="minorHAnsi"/>
          <w:sz w:val="22"/>
          <w:szCs w:val="22"/>
        </w:rPr>
        <w:t xml:space="preserve"> revisa el proceso y define un flujo de trabajo por medio del cual un “supervisor de encuestas” recibe y revisa la encuesta previamente a la publicación de la misma.</w:t>
      </w:r>
    </w:p>
    <w:p w14:paraId="7751219E" w14:textId="77777777" w:rsidR="001628D8" w:rsidRPr="001C3E10" w:rsidRDefault="001628D8" w:rsidP="001C3E10">
      <w:pPr>
        <w:spacing w:line="276" w:lineRule="auto"/>
        <w:jc w:val="both"/>
        <w:rPr>
          <w:rFonts w:asciiTheme="minorHAnsi" w:hAnsiTheme="minorHAnsi"/>
          <w:sz w:val="22"/>
          <w:szCs w:val="22"/>
        </w:rPr>
      </w:pPr>
    </w:p>
    <w:p w14:paraId="282018B6"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6D2399CC" wp14:editId="09D015A2">
            <wp:extent cx="3697356" cy="1173465"/>
            <wp:effectExtent l="0" t="0" r="0" b="8255"/>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706830" cy="1176472"/>
                    </a:xfrm>
                    <a:prstGeom prst="rect">
                      <a:avLst/>
                    </a:prstGeom>
                  </pic:spPr>
                </pic:pic>
              </a:graphicData>
            </a:graphic>
          </wp:inline>
        </w:drawing>
      </w:r>
    </w:p>
    <w:p w14:paraId="7E83B324" w14:textId="77777777" w:rsidR="001628D8" w:rsidRDefault="001628D8" w:rsidP="001C3E10">
      <w:pPr>
        <w:spacing w:line="276" w:lineRule="auto"/>
        <w:jc w:val="both"/>
        <w:rPr>
          <w:rFonts w:asciiTheme="minorHAnsi" w:hAnsiTheme="minorHAnsi"/>
          <w:sz w:val="22"/>
          <w:szCs w:val="22"/>
        </w:rPr>
      </w:pPr>
    </w:p>
    <w:p w14:paraId="7260CC5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cuanto a la tecnología, un </w:t>
      </w:r>
      <w:r w:rsidRPr="001C3E10">
        <w:rPr>
          <w:rFonts w:asciiTheme="minorHAnsi" w:hAnsiTheme="minorHAnsi"/>
          <w:b/>
          <w:sz w:val="22"/>
          <w:szCs w:val="22"/>
        </w:rPr>
        <w:t>arquitecto de TI</w:t>
      </w:r>
      <w:r w:rsidRPr="001C3E10">
        <w:rPr>
          <w:rFonts w:asciiTheme="minorHAnsi" w:hAnsiTheme="minorHAnsi"/>
          <w:sz w:val="22"/>
          <w:szCs w:val="22"/>
        </w:rPr>
        <w:t xml:space="preserve"> hace un levantamiento inicial de los requerimientos tecnológicos necesarios en la nueva herramienta (incluyendo la de llevar el sistema a la nube, proveniente del arquitecto empresarial), recurre al Cuadrante Mágico de Gartner sobre herramientas de encuestas al consumidor, hace una evaluación de cada una contra los requerimientos (incluyendo varias pruebas de concepto en los que involucra al personal que diseña, realiza y analiza las encuestas, así como las modificaciones al proceso que le hizo el ingeniero industrial), y determina que el Software como Servicio llamado “ConsumerSurveys” de Google es la solución que técnicamente cumple todos esos requerimientos.</w:t>
      </w:r>
    </w:p>
    <w:p w14:paraId="068C17BA"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Portafolios de proyectos</w:t>
      </w:r>
    </w:p>
    <w:p w14:paraId="4776E042"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Como el dinero, los recursos y las personas son escasos, es necesario </w:t>
      </w:r>
      <w:r w:rsidRPr="001C3E10">
        <w:rPr>
          <w:rFonts w:asciiTheme="minorHAnsi" w:hAnsiTheme="minorHAnsi"/>
          <w:b/>
          <w:sz w:val="22"/>
          <w:szCs w:val="22"/>
        </w:rPr>
        <w:t>priorizar</w:t>
      </w:r>
      <w:r w:rsidRPr="001C3E10">
        <w:rPr>
          <w:rFonts w:asciiTheme="minorHAnsi" w:hAnsiTheme="minorHAnsi"/>
          <w:sz w:val="22"/>
          <w:szCs w:val="22"/>
        </w:rPr>
        <w:t xml:space="preserve">. Esa priorización de acciones e inversiones se realizar </w:t>
      </w:r>
      <w:r w:rsidRPr="001C3E10">
        <w:rPr>
          <w:rFonts w:asciiTheme="minorHAnsi" w:hAnsiTheme="minorHAnsi"/>
          <w:b/>
          <w:sz w:val="22"/>
          <w:szCs w:val="22"/>
        </w:rPr>
        <w:t>por medio de un proceso de gestión del portafolio de proyectos</w:t>
      </w:r>
      <w:r w:rsidRPr="001C3E10">
        <w:rPr>
          <w:rFonts w:asciiTheme="minorHAnsi" w:hAnsiTheme="minorHAnsi"/>
          <w:sz w:val="22"/>
          <w:szCs w:val="22"/>
        </w:rPr>
        <w:t xml:space="preserve">. </w:t>
      </w:r>
    </w:p>
    <w:p w14:paraId="36862BD4"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0EDA9855" wp14:editId="7312BC5C">
            <wp:extent cx="4377038" cy="3314227"/>
            <wp:effectExtent l="0" t="0" r="5080" b="63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4398240" cy="3330280"/>
                    </a:xfrm>
                    <a:prstGeom prst="rect">
                      <a:avLst/>
                    </a:prstGeom>
                  </pic:spPr>
                </pic:pic>
              </a:graphicData>
            </a:graphic>
          </wp:inline>
        </w:drawing>
      </w:r>
    </w:p>
    <w:p w14:paraId="1D7C58F4" w14:textId="77777777" w:rsidR="001628D8" w:rsidRDefault="001628D8" w:rsidP="001C3E10">
      <w:pPr>
        <w:spacing w:line="276" w:lineRule="auto"/>
        <w:jc w:val="both"/>
        <w:rPr>
          <w:rFonts w:asciiTheme="minorHAnsi" w:hAnsiTheme="minorHAnsi"/>
          <w:sz w:val="22"/>
          <w:szCs w:val="22"/>
        </w:rPr>
      </w:pPr>
    </w:p>
    <w:p w14:paraId="544C346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 poco  factible que todos los proyectos puedan ser desarrollados al mismo tiempo, por lo que se requiere de una planificación que permita, entre otras cosas, coordinar el desarrollo de capacidades en el nivel de madurez que otras necesitarán a futuro. Esa </w:t>
      </w:r>
      <w:r w:rsidRPr="001C3E10">
        <w:rPr>
          <w:rFonts w:asciiTheme="minorHAnsi" w:hAnsiTheme="minorHAnsi"/>
          <w:b/>
          <w:sz w:val="22"/>
          <w:szCs w:val="22"/>
        </w:rPr>
        <w:t xml:space="preserve">planificación del desarrollo del negocio </w:t>
      </w:r>
      <w:r w:rsidRPr="001C3E10">
        <w:rPr>
          <w:rFonts w:asciiTheme="minorHAnsi" w:hAnsiTheme="minorHAnsi"/>
          <w:b/>
          <w:sz w:val="22"/>
          <w:szCs w:val="22"/>
        </w:rPr>
        <w:lastRenderedPageBreak/>
        <w:t>la ejecuta el arquitecto empresarial de la mano de mapas de ruta</w:t>
      </w:r>
      <w:r w:rsidRPr="001C3E10">
        <w:rPr>
          <w:rFonts w:asciiTheme="minorHAnsi" w:hAnsiTheme="minorHAnsi"/>
          <w:sz w:val="22"/>
          <w:szCs w:val="22"/>
        </w:rPr>
        <w:t xml:space="preserve"> y otras herramientas de arquitectura.</w:t>
      </w:r>
    </w:p>
    <w:p w14:paraId="0A839C87"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Ejecución de los proyectos</w:t>
      </w:r>
    </w:p>
    <w:p w14:paraId="7618AE9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Los casos de negocio que reciben el financiamiento requerido, que en su conjunto constituyen el portafolio de inversión, pasan entonces a ser formulados como proyectos. Allí es donde y cuando efectivamente se estiman con mayor precisión el esfuerzo, tiempo y costo para realizar el cambio.</w:t>
      </w:r>
    </w:p>
    <w:p w14:paraId="2BEF0F55"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En resumen</w:t>
      </w:r>
    </w:p>
    <w:p w14:paraId="0D2BEB27" w14:textId="33E6BC0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imagen resume el proceso de traducción de la estrategia en ejecución, descrito anteriormente.</w:t>
      </w:r>
    </w:p>
    <w:p w14:paraId="68E8DE47"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30D0FA34" wp14:editId="5C1B5C34">
            <wp:extent cx="4023360" cy="2943999"/>
            <wp:effectExtent l="0" t="0" r="0" b="889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4024183" cy="2944601"/>
                    </a:xfrm>
                    <a:prstGeom prst="rect">
                      <a:avLst/>
                    </a:prstGeom>
                  </pic:spPr>
                </pic:pic>
              </a:graphicData>
            </a:graphic>
          </wp:inline>
        </w:drawing>
      </w:r>
    </w:p>
    <w:p w14:paraId="466D3945" w14:textId="77777777" w:rsidR="001628D8" w:rsidRDefault="001628D8" w:rsidP="001628D8">
      <w:pPr>
        <w:pStyle w:val="Ttulo3"/>
        <w:keepLines/>
        <w:spacing w:before="200" w:after="0" w:line="276" w:lineRule="auto"/>
        <w:ind w:left="720"/>
        <w:jc w:val="both"/>
        <w:rPr>
          <w:rFonts w:asciiTheme="minorHAnsi" w:hAnsiTheme="minorHAnsi"/>
          <w:sz w:val="22"/>
          <w:szCs w:val="22"/>
        </w:rPr>
      </w:pPr>
    </w:p>
    <w:p w14:paraId="48A442F4"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341" w:name="_Toc429555169"/>
      <w:bookmarkStart w:id="342" w:name="_Toc429562811"/>
      <w:bookmarkStart w:id="343" w:name="_Toc429563121"/>
      <w:bookmarkStart w:id="344" w:name="_Toc429563276"/>
      <w:r w:rsidRPr="001C3E10">
        <w:rPr>
          <w:rFonts w:asciiTheme="minorHAnsi" w:hAnsiTheme="minorHAnsi"/>
          <w:sz w:val="22"/>
          <w:szCs w:val="22"/>
        </w:rPr>
        <w:t>Aplicación en el Banco Central</w:t>
      </w:r>
      <w:bookmarkEnd w:id="341"/>
      <w:bookmarkEnd w:id="342"/>
      <w:bookmarkEnd w:id="343"/>
      <w:bookmarkEnd w:id="344"/>
    </w:p>
    <w:p w14:paraId="60A95977" w14:textId="2ECCFD3B"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En el Banco Central, a partir del Plan Estratégico para el periodo 2015-2018, se cuenta con un mapa estratégico como el reseñado anteriormente, aunque están pendientes las iniciativas estratégicas que el Banco va a emprender para alcanzar la estrategia. Además, y como se describe en la sección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_Ref406443581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Capacidades de la organización</w:t>
      </w:r>
      <w:r w:rsidRPr="001C3E10">
        <w:rPr>
          <w:rFonts w:asciiTheme="minorHAnsi" w:hAnsiTheme="minorHAnsi"/>
          <w:sz w:val="22"/>
          <w:szCs w:val="22"/>
        </w:rPr>
        <w:fldChar w:fldCharType="end"/>
      </w:r>
      <w:r w:rsidRPr="001C3E10">
        <w:rPr>
          <w:rFonts w:asciiTheme="minorHAnsi" w:hAnsiTheme="minorHAnsi"/>
          <w:sz w:val="22"/>
          <w:szCs w:val="22"/>
        </w:rPr>
        <w:t>, ya se cuenta con una versión preliminar del mapa de capacidades de la Corporación. Una vez definidas las iniciativas estratégicas es posible hacer la traza de las mismas hacia el modelo de capacidades del Banco, tal y como se explicó en el paso la “</w:t>
      </w:r>
      <w:r w:rsidRPr="001C3E10">
        <w:rPr>
          <w:rFonts w:asciiTheme="minorHAnsi" w:hAnsiTheme="minorHAnsi"/>
          <w:sz w:val="22"/>
          <w:szCs w:val="22"/>
        </w:rPr>
        <w:fldChar w:fldCharType="begin"/>
      </w:r>
      <w:r w:rsidRPr="001C3E10">
        <w:rPr>
          <w:rFonts w:asciiTheme="minorHAnsi" w:hAnsiTheme="minorHAnsi"/>
          <w:sz w:val="22"/>
          <w:szCs w:val="22"/>
        </w:rPr>
        <w:instrText xml:space="preserve"> REF _Ref406148969 \h  \* MERGEFORMAT </w:instrText>
      </w:r>
      <w:r w:rsidRPr="001C3E10">
        <w:rPr>
          <w:rFonts w:asciiTheme="minorHAnsi" w:hAnsiTheme="minorHAnsi"/>
          <w:sz w:val="22"/>
          <w:szCs w:val="22"/>
        </w:rPr>
      </w:r>
      <w:r w:rsidRPr="001C3E10">
        <w:rPr>
          <w:rFonts w:asciiTheme="minorHAnsi" w:hAnsiTheme="minorHAnsi"/>
          <w:sz w:val="22"/>
          <w:szCs w:val="22"/>
        </w:rPr>
        <w:fldChar w:fldCharType="separate"/>
      </w:r>
      <w:r w:rsidR="00A17DFE" w:rsidRPr="001C3E10">
        <w:rPr>
          <w:rFonts w:asciiTheme="minorHAnsi" w:hAnsiTheme="minorHAnsi"/>
          <w:sz w:val="22"/>
          <w:szCs w:val="22"/>
        </w:rPr>
        <w:t>Identificación de la prioridad de las capacidades vs la estrategia</w:t>
      </w:r>
      <w:r w:rsidRPr="001C3E10">
        <w:rPr>
          <w:rFonts w:asciiTheme="minorHAnsi" w:hAnsiTheme="minorHAnsi"/>
          <w:sz w:val="22"/>
          <w:szCs w:val="22"/>
        </w:rPr>
        <w:fldChar w:fldCharType="end"/>
      </w:r>
      <w:r w:rsidRPr="001C3E10">
        <w:rPr>
          <w:rFonts w:asciiTheme="minorHAnsi" w:hAnsiTheme="minorHAnsi"/>
          <w:sz w:val="22"/>
          <w:szCs w:val="22"/>
        </w:rPr>
        <w:t xml:space="preserve">”. Posteriormente, se armarían equipos de trabajo que colaborativamente identifiquen y resuelvan la diferencia entre lo que la capacidad actual provee y lo que se requiere para alcanzar la estrategia. De allí se desprenden múltiples casos de negocio que documentan las inversiones y el riesgo de las mismas. Estos casos de negocio son </w:t>
      </w:r>
      <w:r w:rsidRPr="001C3E10">
        <w:rPr>
          <w:rFonts w:asciiTheme="minorHAnsi" w:hAnsiTheme="minorHAnsi"/>
          <w:sz w:val="22"/>
          <w:szCs w:val="22"/>
        </w:rPr>
        <w:lastRenderedPageBreak/>
        <w:t>analizados por la Gerencia, decidiéndose a favor de unos, en contra de otros y postergando la aplicación del resto.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1C3E10" w:rsidRPr="001C3E10" w14:paraId="408B3C32" w14:textId="77777777" w:rsidTr="007C372E">
        <w:tc>
          <w:tcPr>
            <w:tcW w:w="4322" w:type="dxa"/>
          </w:tcPr>
          <w:p w14:paraId="5BDA075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Además, siendo que el mapa de capacidades es una herramienta que facilita la comunicación entre los actores tanto al frente de la estrategia como en la operación, es posible utilizarlo para lograr un trabajo más colaborativo hacia la provisión de soluciones integrales (mejora de los procesos y las habilidades del personal, sistemas de información ajustados a lo que se necesita, entre otros) hacia elevar el nivel de operación del Banco como un todo.</w:t>
            </w:r>
          </w:p>
        </w:tc>
        <w:tc>
          <w:tcPr>
            <w:tcW w:w="4322" w:type="dxa"/>
          </w:tcPr>
          <w:p w14:paraId="5659728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20AD2364" wp14:editId="6082F2B7">
                  <wp:extent cx="1679563" cy="1808329"/>
                  <wp:effectExtent l="0" t="0" r="0" b="190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679563" cy="1808329"/>
                          </a:xfrm>
                          <a:prstGeom prst="rect">
                            <a:avLst/>
                          </a:prstGeom>
                        </pic:spPr>
                      </pic:pic>
                    </a:graphicData>
                  </a:graphic>
                </wp:inline>
              </w:drawing>
            </w:r>
          </w:p>
        </w:tc>
      </w:tr>
    </w:tbl>
    <w:p w14:paraId="389128E0" w14:textId="77777777" w:rsidR="001C3E10" w:rsidRPr="001C3E10" w:rsidRDefault="001C3E10" w:rsidP="001C3E10">
      <w:pPr>
        <w:spacing w:line="276" w:lineRule="auto"/>
        <w:jc w:val="both"/>
        <w:rPr>
          <w:rFonts w:asciiTheme="minorHAnsi" w:hAnsiTheme="minorHAnsi"/>
          <w:sz w:val="22"/>
          <w:szCs w:val="22"/>
        </w:rPr>
      </w:pPr>
    </w:p>
    <w:p w14:paraId="33D9E3A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Por último, la realización de casos de negocio facilita la determinación de la demanda de servicios para los siguientes periodos. A modo de ejemplo, si dos capacidades implican el desarrollo de nuevos sistemas. Una definición más detallada de ese análisis permitirá identificar la cantidad de desarrolladores de software necesaria, que la carga de trabajo de ese desarrollo va a requerir la adquisición de servidores con otras características a las que se tienen actualmente, etc. Todos esos cambios, necesidades de personal, entre otros, se suman para permitir a la DST determinar qué necesitará para el siguiente periodo. Eso tiene un impacto también en el alineamiento de las acciones que emprende la DST para satisfacer o hacer cumplir la estrategia del Banco, obviamente dentro de su rango de acción.</w:t>
      </w:r>
    </w:p>
    <w:p w14:paraId="48FE718D"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345" w:name="_Toc414532027"/>
      <w:bookmarkStart w:id="346" w:name="_Toc429555170"/>
      <w:bookmarkStart w:id="347" w:name="_Toc429562812"/>
      <w:bookmarkStart w:id="348" w:name="_Toc429563122"/>
      <w:bookmarkStart w:id="349" w:name="_Toc429563277"/>
      <w:r w:rsidRPr="001C3E10">
        <w:rPr>
          <w:rFonts w:asciiTheme="minorHAnsi" w:hAnsiTheme="minorHAnsi"/>
          <w:sz w:val="22"/>
          <w:szCs w:val="22"/>
        </w:rPr>
        <w:t>IT Score de Gartner sobre Arquitectura Empresarial</w:t>
      </w:r>
      <w:bookmarkEnd w:id="345"/>
      <w:bookmarkEnd w:id="346"/>
      <w:bookmarkEnd w:id="347"/>
      <w:bookmarkEnd w:id="348"/>
      <w:bookmarkEnd w:id="349"/>
    </w:p>
    <w:p w14:paraId="645714C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IT Score es una serie de herramientas diseñadas por Gartner que permite evaluar la madurez de varias prácticas en el quehacer de la gestión de tecnología, contra un modelo de madurez desarrollado por ellos. En particular, tienen uno para el tema de la arquitectura empresarial, que se resume a continuación.</w:t>
      </w:r>
    </w:p>
    <w:p w14:paraId="70C81790" w14:textId="77777777" w:rsidR="001628D8" w:rsidRDefault="001628D8" w:rsidP="001C3E10">
      <w:pPr>
        <w:spacing w:line="276" w:lineRule="auto"/>
        <w:jc w:val="both"/>
        <w:rPr>
          <w:rFonts w:asciiTheme="minorHAnsi" w:hAnsiTheme="minorHAnsi"/>
          <w:sz w:val="22"/>
          <w:szCs w:val="22"/>
        </w:rPr>
      </w:pPr>
    </w:p>
    <w:p w14:paraId="7BC5C97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Gartner define a la arquitectura empresarial como “</w:t>
      </w:r>
      <w:r w:rsidRPr="001C3E10">
        <w:rPr>
          <w:rFonts w:asciiTheme="minorHAnsi" w:hAnsiTheme="minorHAnsi"/>
          <w:i/>
          <w:sz w:val="22"/>
          <w:szCs w:val="22"/>
        </w:rPr>
        <w:t>la disciplina para liderar proactiva y holísticamente a las organizaciones en respuesta a las fuerzas disruptoras, al identificar y analizar la ejecución del cambio hacia la visión y los resultados de negocio esperados</w:t>
      </w:r>
      <w:r w:rsidRPr="001C3E10">
        <w:rPr>
          <w:rFonts w:asciiTheme="minorHAnsi" w:hAnsiTheme="minorHAnsi"/>
          <w:sz w:val="22"/>
          <w:szCs w:val="22"/>
        </w:rPr>
        <w:t>”. Como disciplina, la arquitectura empresarial tiene una orientación mucho mayor hacia el comportamiento de la organización completa, el negocio y TI, en vez de desarrollar un equipo maduro y experimentado de arquitectura empresarial con poco impacto positivo en la organización.</w:t>
      </w:r>
    </w:p>
    <w:p w14:paraId="473CD31E" w14:textId="77777777" w:rsidR="001628D8" w:rsidRDefault="001628D8" w:rsidP="001C3E10">
      <w:pPr>
        <w:spacing w:line="276" w:lineRule="auto"/>
        <w:jc w:val="both"/>
        <w:rPr>
          <w:rFonts w:asciiTheme="minorHAnsi" w:hAnsiTheme="minorHAnsi"/>
          <w:sz w:val="22"/>
          <w:szCs w:val="22"/>
        </w:rPr>
      </w:pPr>
    </w:p>
    <w:p w14:paraId="6DD002D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Cuando se habla en este documento de “madurez” en relación a arquitectura empresarial, se está hablando del nivel de integración que tiene en la organización como un todo. Esta valoración de madurez identifica los indicadores claves para la madurez, como están representados en la </w:t>
      </w:r>
      <w:r w:rsidRPr="001C3E10">
        <w:rPr>
          <w:rFonts w:asciiTheme="minorHAnsi" w:hAnsiTheme="minorHAnsi"/>
          <w:sz w:val="22"/>
          <w:szCs w:val="22"/>
        </w:rPr>
        <w:lastRenderedPageBreak/>
        <w:t>experiencia colectiva de Gartner en el trabajo con organizaciones que han desarrollado sus programas por más de 15 años.</w:t>
      </w:r>
    </w:p>
    <w:p w14:paraId="037BFDA5" w14:textId="77777777" w:rsidR="001628D8" w:rsidRDefault="001628D8" w:rsidP="001C3E10">
      <w:pPr>
        <w:spacing w:line="276" w:lineRule="auto"/>
        <w:jc w:val="both"/>
        <w:rPr>
          <w:rFonts w:asciiTheme="minorHAnsi" w:hAnsiTheme="minorHAnsi"/>
          <w:sz w:val="22"/>
          <w:szCs w:val="22"/>
        </w:rPr>
      </w:pPr>
    </w:p>
    <w:p w14:paraId="600A2675"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En las organizaciones maduras los programas de arquitectura empresarial con frecuencia inician dentro de la organización de TI, dado que muchos de los programas de EA han estado tradicionalmente enfocados en la arquitectura técnica como punto de venta. En la medida que el programa madura el foco cambia hacia la arquitectura de soluciones, de información y de negocio. Sin importar donde inicia es imprescindible que se enfoque primero en algunos entregables orientados a resultados de negocio, en vez de tratar de hacerlo todo a la vez. Luego el equipo de arquitectura empresarial puede enfocarse en las dimensiones de la arquitectura que son más importantes para su organización (tecnología, negocio, solución o información). Más importante aún, la arquitectura empresarial es más que TI. Es imposible moverse del nivel 1 al 5 en un solo salto. Los equipos deben adoptar un enfoque de “velocidad antes que amplitud, y amplitud antes que profundidad” para asegurar que están entregando valor desde el inicio.</w:t>
      </w:r>
    </w:p>
    <w:p w14:paraId="46BE4AF4" w14:textId="77777777" w:rsidR="001628D8" w:rsidRDefault="001628D8" w:rsidP="001C3E10">
      <w:pPr>
        <w:spacing w:line="276" w:lineRule="auto"/>
        <w:jc w:val="both"/>
        <w:rPr>
          <w:rFonts w:asciiTheme="minorHAnsi" w:hAnsiTheme="minorHAnsi"/>
          <w:sz w:val="22"/>
          <w:szCs w:val="22"/>
        </w:rPr>
      </w:pPr>
    </w:p>
    <w:p w14:paraId="00723870"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Esta herramienta de Gartner puede ser utilizada para:</w:t>
      </w:r>
    </w:p>
    <w:p w14:paraId="38EBE3AD"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Describir los indicadores claves para medir el avance en un programa de arquitectura empresarial.</w:t>
      </w:r>
    </w:p>
    <w:p w14:paraId="4C8A2629"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 xml:space="preserve">Hacer un </w:t>
      </w:r>
      <w:r w:rsidRPr="001C3E10">
        <w:rPr>
          <w:rFonts w:asciiTheme="minorHAnsi" w:hAnsiTheme="minorHAnsi"/>
          <w:i/>
          <w:sz w:val="22"/>
        </w:rPr>
        <w:t>benchmark</w:t>
      </w:r>
      <w:r w:rsidRPr="001C3E10">
        <w:rPr>
          <w:rFonts w:asciiTheme="minorHAnsi" w:hAnsiTheme="minorHAnsi"/>
          <w:sz w:val="22"/>
        </w:rPr>
        <w:t xml:space="preserve"> contra las mejores prácticas.</w:t>
      </w:r>
    </w:p>
    <w:p w14:paraId="6AE6CEAE"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Identificar restricciones clave que inhiben el éxito de la arquitectura.</w:t>
      </w:r>
    </w:p>
    <w:p w14:paraId="3393D69B"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Determinar el objetivo de madurez en el programa de arquitectura empresarial para la próxima iteración en el ciclo de mejora continua.</w:t>
      </w:r>
    </w:p>
    <w:p w14:paraId="499CD9A4" w14:textId="77777777" w:rsidR="001C3E10" w:rsidRPr="001C3E10" w:rsidRDefault="001C3E10" w:rsidP="00547B19">
      <w:pPr>
        <w:pStyle w:val="Prrafodelista"/>
        <w:numPr>
          <w:ilvl w:val="0"/>
          <w:numId w:val="48"/>
        </w:numPr>
        <w:spacing w:after="200" w:line="276" w:lineRule="auto"/>
        <w:rPr>
          <w:rFonts w:asciiTheme="minorHAnsi" w:hAnsiTheme="minorHAnsi"/>
          <w:sz w:val="22"/>
        </w:rPr>
      </w:pPr>
      <w:r w:rsidRPr="001C3E10">
        <w:rPr>
          <w:rFonts w:asciiTheme="minorHAnsi" w:hAnsiTheme="minorHAnsi"/>
          <w:sz w:val="22"/>
        </w:rPr>
        <w:t>Concentrar el foco de los esfuerzos en el desarrollo del programa a las actividades de más alto valor.</w:t>
      </w:r>
    </w:p>
    <w:p w14:paraId="2156408C"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figura muestra los niveles de madurez para la arquitectura empresarial, acorde con el modelo desarrollado por Gartner.</w:t>
      </w:r>
    </w:p>
    <w:p w14:paraId="04F6F7C8"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lastRenderedPageBreak/>
        <w:drawing>
          <wp:inline distT="0" distB="0" distL="0" distR="0" wp14:anchorId="2812BD7A" wp14:editId="71FBA9BD">
            <wp:extent cx="4419600" cy="3180932"/>
            <wp:effectExtent l="0" t="0" r="0" b="63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420040" cy="3181249"/>
                    </a:xfrm>
                    <a:prstGeom prst="rect">
                      <a:avLst/>
                    </a:prstGeom>
                  </pic:spPr>
                </pic:pic>
              </a:graphicData>
            </a:graphic>
          </wp:inline>
        </w:drawing>
      </w:r>
    </w:p>
    <w:p w14:paraId="54D09110" w14:textId="77777777" w:rsidR="001628D8" w:rsidRDefault="001628D8" w:rsidP="001C3E10">
      <w:pPr>
        <w:spacing w:line="276" w:lineRule="auto"/>
        <w:jc w:val="both"/>
        <w:rPr>
          <w:rFonts w:asciiTheme="minorHAnsi" w:hAnsiTheme="minorHAnsi"/>
          <w:sz w:val="22"/>
          <w:szCs w:val="22"/>
        </w:rPr>
      </w:pPr>
    </w:p>
    <w:p w14:paraId="118C5A9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 continuación se explica brevemente cada uno.</w:t>
      </w:r>
    </w:p>
    <w:p w14:paraId="507D4A9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Nivel 1: No existente.</w:t>
      </w:r>
      <w:r w:rsidRPr="001C3E10">
        <w:rPr>
          <w:rFonts w:asciiTheme="minorHAnsi" w:hAnsiTheme="minorHAnsi"/>
          <w:sz w:val="22"/>
          <w:szCs w:val="22"/>
        </w:rPr>
        <w:t xml:space="preserve"> No hay un programa de arquitectura empresarial en funcionamiento o el programa está apenas empezando. En este nivel de madurez, el compromiso del negocio y la habilidad para balancear intereses que compiten entre sí son, en el mejor escenario, rudimentarios. El trabajo arquitectónico está usualmente confinado a resolver asuntos de naturaleza técnica de TI.</w:t>
      </w:r>
    </w:p>
    <w:p w14:paraId="71A48CD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2: Reactivo. </w:t>
      </w:r>
      <w:r w:rsidRPr="001C3E10">
        <w:rPr>
          <w:rFonts w:asciiTheme="minorHAnsi" w:hAnsiTheme="minorHAnsi"/>
          <w:sz w:val="22"/>
          <w:szCs w:val="22"/>
        </w:rPr>
        <w:t>Para las empresas en este nivel, el programa de arquitectura empresarial está luchando por convertirse en exitoso y está inhibido por una falta de madurez en múltiples aspectos claves del programa. Un programa de arquitectura empresarial está en funcionamiento pero es ineficiente debido a la debilidad en varias de las dimensiones de madurez. El trabajo arquitectónico es predominantemente reactivo y trata puntos de dolor de la organización en vez de ser proactivo a la dirección de la arquitectura.</w:t>
      </w:r>
    </w:p>
    <w:p w14:paraId="50BB7D6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3: En funcionamiento. </w:t>
      </w:r>
      <w:r w:rsidRPr="001C3E10">
        <w:rPr>
          <w:rFonts w:asciiTheme="minorHAnsi" w:hAnsiTheme="minorHAnsi"/>
          <w:sz w:val="22"/>
          <w:szCs w:val="22"/>
        </w:rPr>
        <w:t>Existe un programa de arquitectura empresarial en funcionamiento y entregando valor al negocio. Las organizaciones en este nivel ya tienen muchas de las cosas básicas en funcionamiento, sin embargo, no tienen procesos repetibles y manejables para asegurar el éxito en el largo plazo y el balance entre los intereses que compiten entre sí.</w:t>
      </w:r>
    </w:p>
    <w:p w14:paraId="43C6B0E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4: Integrado. </w:t>
      </w:r>
      <w:r w:rsidRPr="001C3E10">
        <w:rPr>
          <w:rFonts w:asciiTheme="minorHAnsi" w:hAnsiTheme="minorHAnsi"/>
          <w:sz w:val="22"/>
          <w:szCs w:val="22"/>
        </w:rPr>
        <w:t>El programa de arquitectura empresarial está entregando valor y es repetible. El programa en las organizaciones en este nivel está corriendo como “una máquina bien aceitada” y tiene un impacto positivo consistente en la organización. Está integrado con muchas áreas de la organización.</w:t>
      </w:r>
    </w:p>
    <w:p w14:paraId="387DA1F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b/>
          <w:sz w:val="22"/>
          <w:szCs w:val="22"/>
        </w:rPr>
        <w:t xml:space="preserve">Nivel 5: Ubicuo. </w:t>
      </w:r>
      <w:r w:rsidRPr="001C3E10">
        <w:rPr>
          <w:rFonts w:asciiTheme="minorHAnsi" w:hAnsiTheme="minorHAnsi"/>
          <w:sz w:val="22"/>
          <w:szCs w:val="22"/>
        </w:rPr>
        <w:t xml:space="preserve">Este nivel indica que el programa ha alcanzado un alto nivel de madurez en término de su efectividad para alcanzar y permitir los resultados del negocio. Los principios arquitectónicos han llegado a ser parte del ADN general de la organización. Hoy en día, son pocas las organizaciones que han alcanzado este nivel de compromiso con la arquitectura en el negocio y la organización de </w:t>
      </w:r>
      <w:r w:rsidRPr="001C3E10">
        <w:rPr>
          <w:rFonts w:asciiTheme="minorHAnsi" w:hAnsiTheme="minorHAnsi"/>
          <w:sz w:val="22"/>
          <w:szCs w:val="22"/>
        </w:rPr>
        <w:lastRenderedPageBreak/>
        <w:t>TI, principalmente debido a que son necesarios muchos años de experiencia para alcanzar los cambios culturales necesarios.</w:t>
      </w:r>
    </w:p>
    <w:p w14:paraId="46BBCAAA"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350" w:name="_Ref408241636"/>
      <w:bookmarkStart w:id="351" w:name="_Ref408241649"/>
      <w:bookmarkStart w:id="352" w:name="_Toc414532028"/>
      <w:bookmarkStart w:id="353" w:name="_Toc429555171"/>
      <w:bookmarkStart w:id="354" w:name="_Toc429562813"/>
      <w:bookmarkStart w:id="355" w:name="_Toc429563123"/>
      <w:bookmarkStart w:id="356" w:name="_Toc429563278"/>
      <w:r w:rsidRPr="001C3E10">
        <w:rPr>
          <w:rFonts w:asciiTheme="minorHAnsi" w:hAnsiTheme="minorHAnsi"/>
          <w:sz w:val="22"/>
          <w:szCs w:val="22"/>
        </w:rPr>
        <w:t>Gestión del portafolio de aplicaciones de software</w:t>
      </w:r>
      <w:bookmarkEnd w:id="350"/>
      <w:bookmarkEnd w:id="351"/>
      <w:bookmarkEnd w:id="352"/>
      <w:bookmarkEnd w:id="353"/>
      <w:bookmarkEnd w:id="354"/>
      <w:bookmarkEnd w:id="355"/>
      <w:bookmarkEnd w:id="356"/>
    </w:p>
    <w:p w14:paraId="2D5AA33E"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Toda organización moderna tiene sistemas informáticos que soportan la operación del negocio. El conjunto de esos sistemas es lo que se conoce con el nombre de portafolio de aplicaciones. La forma en la que ese portafolio se administre es de vital importancia para asegurar la continuidad de las operaciones, reducir costos de operación y tener la facultad de actuar rápidamente de cara a las oportunidades que se presentan. A modo de ejemplo, la racionalización del portafolio, es decir, definir una estrategia para los sistemas que tienen un mismo fin (eliminar alguna, fundir la funcionalidad de ambos sistemas en uno nuevo, entre las varias estrategias que se pueden analizar), genera una reducción de los costos de operación del negocio. Estadísticas de la consultora IDC indican que el 90% del costo total de propiedad de un sistema está en los gastos operativos por lo que los beneficios de una adecuada administración de este portafolio son más que evidentes.</w:t>
      </w:r>
    </w:p>
    <w:p w14:paraId="6059EFF2" w14:textId="77777777" w:rsidR="001628D8" w:rsidRDefault="001628D8" w:rsidP="001C3E10">
      <w:pPr>
        <w:spacing w:line="276" w:lineRule="auto"/>
        <w:jc w:val="both"/>
        <w:rPr>
          <w:rFonts w:asciiTheme="minorHAnsi" w:hAnsiTheme="minorHAnsi"/>
          <w:sz w:val="22"/>
          <w:szCs w:val="22"/>
        </w:rPr>
      </w:pPr>
    </w:p>
    <w:p w14:paraId="09353FF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administración del portafolio de aplicaciones (APM por sus siglas en inglés) es un proceso que busca mejorar el balance en el portafolio de aplicaciones al optimizar los pros y contras bajo las perspectivas de valor al negocio, costo y riesgo. El APM utiliza en específico dos herramientas para lograr ese cometido: el Pace Layering y el TIME. A continuación se explica cada una.</w:t>
      </w:r>
    </w:p>
    <w:p w14:paraId="5AE2BFCA"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rPr>
      </w:pPr>
      <w:bookmarkStart w:id="357" w:name="_Toc429555172"/>
      <w:bookmarkStart w:id="358" w:name="_Toc429562814"/>
      <w:bookmarkStart w:id="359" w:name="_Toc429563124"/>
      <w:bookmarkStart w:id="360" w:name="_Toc429563279"/>
      <w:r w:rsidRPr="001C3E10">
        <w:rPr>
          <w:rFonts w:asciiTheme="minorHAnsi" w:hAnsiTheme="minorHAnsi"/>
          <w:sz w:val="22"/>
          <w:szCs w:val="22"/>
        </w:rPr>
        <w:t>El modelo Pace Layered</w:t>
      </w:r>
      <w:bookmarkEnd w:id="357"/>
      <w:bookmarkEnd w:id="358"/>
      <w:bookmarkEnd w:id="359"/>
      <w:bookmarkEnd w:id="360"/>
    </w:p>
    <w:p w14:paraId="47E48DE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Este modelo presenta una vista en capas del portafolio de aplicaciones. Cada capa (y por lo tanto los sistemas en cada una de ellas) tiene características diferentes en lo que a la frecuencia y velocidad del cambio se refiere. Esas diferencias llevan a la definición de estrategias particulares, modelos de gobernabilidad, entre otros, específicos para cada capa, como se verá más adelante. La siguiente figura muestra las capas un modelo de estos adaptado al tipo de organización que es el Banco Central, una entidad pública.</w:t>
      </w:r>
    </w:p>
    <w:p w14:paraId="26250235" w14:textId="77777777" w:rsidR="001C3E10" w:rsidRPr="001C3E10" w:rsidRDefault="001C3E10" w:rsidP="00FD1297">
      <w:pPr>
        <w:spacing w:line="276" w:lineRule="auto"/>
        <w:jc w:val="center"/>
        <w:rPr>
          <w:rFonts w:asciiTheme="minorHAnsi" w:hAnsiTheme="minorHAnsi"/>
          <w:sz w:val="22"/>
          <w:szCs w:val="22"/>
        </w:rPr>
      </w:pPr>
      <w:r w:rsidRPr="001C3E10">
        <w:rPr>
          <w:rFonts w:asciiTheme="minorHAnsi" w:hAnsiTheme="minorHAnsi"/>
          <w:noProof/>
          <w:sz w:val="22"/>
          <w:szCs w:val="22"/>
        </w:rPr>
        <w:drawing>
          <wp:inline distT="0" distB="0" distL="0" distR="0" wp14:anchorId="5EABAF3F" wp14:editId="7B6ED9D3">
            <wp:extent cx="2486025" cy="1798293"/>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486341" cy="1798522"/>
                    </a:xfrm>
                    <a:prstGeom prst="rect">
                      <a:avLst/>
                    </a:prstGeom>
                  </pic:spPr>
                </pic:pic>
              </a:graphicData>
            </a:graphic>
          </wp:inline>
        </w:drawing>
      </w:r>
    </w:p>
    <w:p w14:paraId="75570EA6" w14:textId="77777777" w:rsidR="001628D8" w:rsidRDefault="001628D8" w:rsidP="001C3E10">
      <w:pPr>
        <w:spacing w:line="276" w:lineRule="auto"/>
        <w:jc w:val="both"/>
        <w:rPr>
          <w:rFonts w:asciiTheme="minorHAnsi" w:hAnsiTheme="minorHAnsi"/>
          <w:sz w:val="22"/>
          <w:szCs w:val="22"/>
        </w:rPr>
      </w:pPr>
    </w:p>
    <w:p w14:paraId="27D9DA30" w14:textId="77777777" w:rsidR="001628D8" w:rsidRDefault="001628D8" w:rsidP="001C3E10">
      <w:pPr>
        <w:spacing w:line="276" w:lineRule="auto"/>
        <w:jc w:val="both"/>
        <w:rPr>
          <w:rFonts w:asciiTheme="minorHAnsi" w:hAnsiTheme="minorHAnsi"/>
          <w:sz w:val="22"/>
          <w:szCs w:val="22"/>
        </w:rPr>
      </w:pPr>
    </w:p>
    <w:p w14:paraId="74D2679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 continuación se hace una breve descripción de cada capa.</w:t>
      </w:r>
    </w:p>
    <w:p w14:paraId="46DC2E5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Sistemas de registro</w:t>
      </w:r>
    </w:p>
    <w:p w14:paraId="07EACBCD"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Esta capa contiene los sistemas de paquete o los sistemas legados desarrollados en casa que soportan el procesamiento de las transacciones </w:t>
      </w:r>
      <w:r w:rsidRPr="001C3E10">
        <w:rPr>
          <w:rFonts w:asciiTheme="minorHAnsi" w:hAnsiTheme="minorHAnsi"/>
          <w:i/>
          <w:sz w:val="22"/>
          <w:szCs w:val="22"/>
        </w:rPr>
        <w:t>core</w:t>
      </w:r>
      <w:r w:rsidRPr="001C3E10">
        <w:rPr>
          <w:rFonts w:asciiTheme="minorHAnsi" w:hAnsiTheme="minorHAnsi"/>
          <w:sz w:val="22"/>
          <w:szCs w:val="22"/>
        </w:rPr>
        <w:t xml:space="preserve"> del negocio y administran los datos maestros críticos de la organización. Ejemplos de sistemas en esta capa son los sistemas financiero-contables y de recursos humanos, que tradicionalmente forman parte de un ERP.</w:t>
      </w:r>
    </w:p>
    <w:p w14:paraId="5599252E"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Sistemas únicos</w:t>
      </w:r>
    </w:p>
    <w:p w14:paraId="6F3427E8"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Estos son sistemas típicamente relacionados con la misión del ente gubernamental particular, por lo que es muy difícil, sino imposible, que otros entes tengan los mismos sistemas. En el caso del Banco, un sistema de este tipo es Findur. El SINPE es otro en esta misma línea.</w:t>
      </w:r>
    </w:p>
    <w:p w14:paraId="3EEBD316"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Sistemas de innovación</w:t>
      </w:r>
    </w:p>
    <w:p w14:paraId="780DCAB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Estos son nuevos sistemas que son construidos rápidamente para lidiar con nuevos requerimientos de negocio u oportunidades. Estos proyectos tienen un ciclo de vida relativamente corto (de cero a 12 meses) usando por lo general recursos y personas externos a la organización y tecnologías orientados al consumidor.</w:t>
      </w:r>
    </w:p>
    <w:p w14:paraId="6B941BDB" w14:textId="77777777" w:rsidR="001628D8" w:rsidRDefault="001628D8" w:rsidP="001C3E10">
      <w:pPr>
        <w:spacing w:line="276" w:lineRule="auto"/>
        <w:jc w:val="both"/>
        <w:rPr>
          <w:rFonts w:asciiTheme="minorHAnsi" w:hAnsiTheme="minorHAnsi"/>
          <w:sz w:val="22"/>
          <w:szCs w:val="22"/>
        </w:rPr>
      </w:pPr>
    </w:p>
    <w:p w14:paraId="44275CAC" w14:textId="77777777" w:rsid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tabla define en mejor forma las características de cada capa.</w:t>
      </w:r>
    </w:p>
    <w:p w14:paraId="2BFD9825" w14:textId="77777777" w:rsidR="001628D8" w:rsidRPr="001C3E10" w:rsidRDefault="001628D8" w:rsidP="001C3E10">
      <w:pPr>
        <w:spacing w:line="276" w:lineRule="auto"/>
        <w:jc w:val="both"/>
        <w:rPr>
          <w:rFonts w:asciiTheme="minorHAnsi" w:hAnsiTheme="minorHAnsi"/>
          <w:sz w:val="22"/>
          <w:szCs w:val="22"/>
        </w:rPr>
      </w:pPr>
    </w:p>
    <w:tbl>
      <w:tblPr>
        <w:tblStyle w:val="Sombreadoclaro-nfasis1"/>
        <w:tblW w:w="0" w:type="auto"/>
        <w:tblLook w:val="04A0" w:firstRow="1" w:lastRow="0" w:firstColumn="1" w:lastColumn="0" w:noHBand="0" w:noVBand="1"/>
      </w:tblPr>
      <w:tblGrid>
        <w:gridCol w:w="2161"/>
        <w:gridCol w:w="2161"/>
        <w:gridCol w:w="2161"/>
        <w:gridCol w:w="2161"/>
      </w:tblGrid>
      <w:tr w:rsidR="001C3E10" w:rsidRPr="001C3E10" w14:paraId="593EC375" w14:textId="77777777" w:rsidTr="00FD12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61" w:type="dxa"/>
          </w:tcPr>
          <w:p w14:paraId="351B0C53" w14:textId="77777777" w:rsidR="001C3E10" w:rsidRPr="001C3E10" w:rsidRDefault="001C3E10" w:rsidP="001C3E10">
            <w:pPr>
              <w:spacing w:line="276" w:lineRule="auto"/>
              <w:jc w:val="both"/>
              <w:rPr>
                <w:sz w:val="22"/>
                <w:szCs w:val="22"/>
              </w:rPr>
            </w:pPr>
            <w:r w:rsidRPr="001C3E10">
              <w:rPr>
                <w:sz w:val="22"/>
                <w:szCs w:val="22"/>
              </w:rPr>
              <w:t>Característica</w:t>
            </w:r>
          </w:p>
        </w:tc>
        <w:tc>
          <w:tcPr>
            <w:tcW w:w="2161" w:type="dxa"/>
          </w:tcPr>
          <w:p w14:paraId="69B49DD2" w14:textId="77777777" w:rsidR="001C3E10" w:rsidRPr="001C3E10"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1C3E10">
              <w:rPr>
                <w:sz w:val="22"/>
                <w:szCs w:val="22"/>
              </w:rPr>
              <w:t>Registro</w:t>
            </w:r>
          </w:p>
        </w:tc>
        <w:tc>
          <w:tcPr>
            <w:tcW w:w="2161" w:type="dxa"/>
          </w:tcPr>
          <w:p w14:paraId="5117810B" w14:textId="77777777" w:rsidR="001C3E10" w:rsidRPr="001C3E10"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1C3E10">
              <w:rPr>
                <w:sz w:val="22"/>
                <w:szCs w:val="22"/>
              </w:rPr>
              <w:t>Único</w:t>
            </w:r>
          </w:p>
        </w:tc>
        <w:tc>
          <w:tcPr>
            <w:tcW w:w="2161" w:type="dxa"/>
          </w:tcPr>
          <w:p w14:paraId="0DBE513A" w14:textId="77777777" w:rsidR="001C3E10" w:rsidRPr="001C3E10" w:rsidRDefault="001C3E10" w:rsidP="001C3E10">
            <w:pPr>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rPr>
            </w:pPr>
            <w:r w:rsidRPr="001C3E10">
              <w:rPr>
                <w:sz w:val="22"/>
                <w:szCs w:val="22"/>
              </w:rPr>
              <w:t>Innovación</w:t>
            </w:r>
          </w:p>
        </w:tc>
      </w:tr>
      <w:tr w:rsidR="001C3E10" w:rsidRPr="001C3E10" w14:paraId="6C75A134" w14:textId="77777777" w:rsidTr="007C3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57DD51D8" w14:textId="77777777" w:rsidR="001C3E10" w:rsidRPr="001C3E10" w:rsidRDefault="001C3E10" w:rsidP="001C3E10">
            <w:pPr>
              <w:spacing w:line="276" w:lineRule="auto"/>
              <w:jc w:val="both"/>
              <w:rPr>
                <w:sz w:val="22"/>
                <w:szCs w:val="22"/>
              </w:rPr>
            </w:pPr>
            <w:r w:rsidRPr="001C3E10">
              <w:rPr>
                <w:sz w:val="22"/>
                <w:szCs w:val="22"/>
              </w:rPr>
              <w:t>Procesos</w:t>
            </w:r>
          </w:p>
        </w:tc>
        <w:tc>
          <w:tcPr>
            <w:tcW w:w="2161" w:type="dxa"/>
          </w:tcPr>
          <w:p w14:paraId="6099AC59"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Bien entendidos, cambio lento, altamente integrados</w:t>
            </w:r>
          </w:p>
        </w:tc>
        <w:tc>
          <w:tcPr>
            <w:tcW w:w="2161" w:type="dxa"/>
          </w:tcPr>
          <w:p w14:paraId="0275CD38"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Bien entendidos, únicos, altamente configurables, autónomos</w:t>
            </w:r>
          </w:p>
        </w:tc>
        <w:tc>
          <w:tcPr>
            <w:tcW w:w="2161" w:type="dxa"/>
          </w:tcPr>
          <w:p w14:paraId="7C4E8C9F"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i/>
                <w:sz w:val="22"/>
                <w:szCs w:val="22"/>
              </w:rPr>
            </w:pPr>
            <w:r w:rsidRPr="001C3E10">
              <w:rPr>
                <w:sz w:val="22"/>
                <w:szCs w:val="22"/>
              </w:rPr>
              <w:t xml:space="preserve">Únicos, no muy bien entendidos, dinámicos y </w:t>
            </w:r>
            <w:r w:rsidRPr="001C3E10">
              <w:rPr>
                <w:i/>
                <w:sz w:val="22"/>
                <w:szCs w:val="22"/>
              </w:rPr>
              <w:t>ad hoc</w:t>
            </w:r>
          </w:p>
        </w:tc>
      </w:tr>
      <w:tr w:rsidR="001C3E10" w:rsidRPr="001C3E10" w14:paraId="38CF9BD9" w14:textId="77777777" w:rsidTr="007C372E">
        <w:tc>
          <w:tcPr>
            <w:cnfStyle w:val="001000000000" w:firstRow="0" w:lastRow="0" w:firstColumn="1" w:lastColumn="0" w:oddVBand="0" w:evenVBand="0" w:oddHBand="0" w:evenHBand="0" w:firstRowFirstColumn="0" w:firstRowLastColumn="0" w:lastRowFirstColumn="0" w:lastRowLastColumn="0"/>
            <w:tcW w:w="2161" w:type="dxa"/>
          </w:tcPr>
          <w:p w14:paraId="77B638F4" w14:textId="77777777" w:rsidR="001C3E10" w:rsidRPr="001C3E10" w:rsidRDefault="001C3E10" w:rsidP="001C3E10">
            <w:pPr>
              <w:spacing w:line="276" w:lineRule="auto"/>
              <w:jc w:val="both"/>
              <w:rPr>
                <w:sz w:val="22"/>
                <w:szCs w:val="22"/>
              </w:rPr>
            </w:pPr>
            <w:r w:rsidRPr="001C3E10">
              <w:rPr>
                <w:sz w:val="22"/>
                <w:szCs w:val="22"/>
              </w:rPr>
              <w:t>Datos</w:t>
            </w:r>
          </w:p>
        </w:tc>
        <w:tc>
          <w:tcPr>
            <w:tcW w:w="2161" w:type="dxa"/>
          </w:tcPr>
          <w:p w14:paraId="24B3EC97"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Altamente estructurados, bien mantenidos, principalmente internos, auditados</w:t>
            </w:r>
          </w:p>
        </w:tc>
        <w:tc>
          <w:tcPr>
            <w:tcW w:w="2161" w:type="dxa"/>
          </w:tcPr>
          <w:p w14:paraId="258831C0"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Internos y externos, algunos no estructurados, más dinámicos</w:t>
            </w:r>
          </w:p>
        </w:tc>
        <w:tc>
          <w:tcPr>
            <w:tcW w:w="2161" w:type="dxa"/>
          </w:tcPr>
          <w:p w14:paraId="74E964DE"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Estructurados y no estructurados, alta dependencia en datos externos</w:t>
            </w:r>
          </w:p>
        </w:tc>
      </w:tr>
      <w:tr w:rsidR="001C3E10" w:rsidRPr="001C3E10" w14:paraId="7E93DA73" w14:textId="77777777" w:rsidTr="007C3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0F9AAFC6" w14:textId="77777777" w:rsidR="001C3E10" w:rsidRPr="001C3E10" w:rsidRDefault="001C3E10" w:rsidP="001C3E10">
            <w:pPr>
              <w:spacing w:line="276" w:lineRule="auto"/>
              <w:jc w:val="both"/>
              <w:rPr>
                <w:sz w:val="22"/>
                <w:szCs w:val="22"/>
              </w:rPr>
            </w:pPr>
            <w:r w:rsidRPr="001C3E10">
              <w:rPr>
                <w:sz w:val="22"/>
                <w:szCs w:val="22"/>
              </w:rPr>
              <w:t>Contenido</w:t>
            </w:r>
          </w:p>
        </w:tc>
        <w:tc>
          <w:tcPr>
            <w:tcW w:w="2161" w:type="dxa"/>
          </w:tcPr>
          <w:p w14:paraId="3C55ED89"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Estático/estable</w:t>
            </w:r>
          </w:p>
        </w:tc>
        <w:tc>
          <w:tcPr>
            <w:tcW w:w="2161" w:type="dxa"/>
          </w:tcPr>
          <w:p w14:paraId="478679DC"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Ambos</w:t>
            </w:r>
          </w:p>
        </w:tc>
        <w:tc>
          <w:tcPr>
            <w:tcW w:w="2161" w:type="dxa"/>
          </w:tcPr>
          <w:p w14:paraId="0CFDC5A4"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Dinámicos</w:t>
            </w:r>
          </w:p>
        </w:tc>
      </w:tr>
      <w:tr w:rsidR="001C3E10" w:rsidRPr="001C3E10" w14:paraId="19CA3F74" w14:textId="77777777" w:rsidTr="007C372E">
        <w:tc>
          <w:tcPr>
            <w:cnfStyle w:val="001000000000" w:firstRow="0" w:lastRow="0" w:firstColumn="1" w:lastColumn="0" w:oddVBand="0" w:evenVBand="0" w:oddHBand="0" w:evenHBand="0" w:firstRowFirstColumn="0" w:firstRowLastColumn="0" w:lastRowFirstColumn="0" w:lastRowLastColumn="0"/>
            <w:tcW w:w="2161" w:type="dxa"/>
          </w:tcPr>
          <w:p w14:paraId="09305E9F" w14:textId="77777777" w:rsidR="001C3E10" w:rsidRPr="001C3E10" w:rsidRDefault="001C3E10" w:rsidP="001C3E10">
            <w:pPr>
              <w:spacing w:line="276" w:lineRule="auto"/>
              <w:jc w:val="both"/>
              <w:rPr>
                <w:sz w:val="22"/>
                <w:szCs w:val="22"/>
              </w:rPr>
            </w:pPr>
            <w:r w:rsidRPr="001C3E10">
              <w:rPr>
                <w:sz w:val="22"/>
                <w:szCs w:val="22"/>
              </w:rPr>
              <w:t>Herramientas de análisis</w:t>
            </w:r>
          </w:p>
        </w:tc>
        <w:tc>
          <w:tcPr>
            <w:tcW w:w="2161" w:type="dxa"/>
          </w:tcPr>
          <w:p w14:paraId="1FAAC285"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Reportes, históricos</w:t>
            </w:r>
          </w:p>
        </w:tc>
        <w:tc>
          <w:tcPr>
            <w:tcW w:w="2161" w:type="dxa"/>
          </w:tcPr>
          <w:p w14:paraId="74F52A1A"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Planeación, presupuesto</w:t>
            </w:r>
          </w:p>
        </w:tc>
        <w:tc>
          <w:tcPr>
            <w:tcW w:w="2161" w:type="dxa"/>
          </w:tcPr>
          <w:p w14:paraId="7C5D13B7"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Predictivo, basado en escenarios</w:t>
            </w:r>
          </w:p>
        </w:tc>
      </w:tr>
      <w:tr w:rsidR="001C3E10" w:rsidRPr="001C3E10" w14:paraId="4DD84FA4" w14:textId="77777777" w:rsidTr="007C37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7EF1153C" w14:textId="77777777" w:rsidR="001C3E10" w:rsidRPr="001C3E10" w:rsidRDefault="001C3E10" w:rsidP="001C3E10">
            <w:pPr>
              <w:spacing w:line="276" w:lineRule="auto"/>
              <w:jc w:val="both"/>
              <w:rPr>
                <w:sz w:val="22"/>
                <w:szCs w:val="22"/>
              </w:rPr>
            </w:pPr>
            <w:r w:rsidRPr="001C3E10">
              <w:rPr>
                <w:sz w:val="22"/>
                <w:szCs w:val="22"/>
              </w:rPr>
              <w:t>Seguridad</w:t>
            </w:r>
          </w:p>
        </w:tc>
        <w:tc>
          <w:tcPr>
            <w:tcW w:w="2161" w:type="dxa"/>
          </w:tcPr>
          <w:p w14:paraId="01C8A5AC"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Estrechamente controlado, complejidad administrada</w:t>
            </w:r>
          </w:p>
        </w:tc>
        <w:tc>
          <w:tcPr>
            <w:tcW w:w="2161" w:type="dxa"/>
          </w:tcPr>
          <w:p w14:paraId="0988692A"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Control distribuido, complejidad manejable</w:t>
            </w:r>
          </w:p>
        </w:tc>
        <w:tc>
          <w:tcPr>
            <w:tcW w:w="2161" w:type="dxa"/>
          </w:tcPr>
          <w:p w14:paraId="51373425" w14:textId="77777777" w:rsidR="001C3E10" w:rsidRPr="001C3E10" w:rsidRDefault="001C3E10" w:rsidP="001C3E10">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1C3E10">
              <w:rPr>
                <w:sz w:val="22"/>
                <w:szCs w:val="22"/>
              </w:rPr>
              <w:t>Control federado, complejidad potencialmente alta</w:t>
            </w:r>
          </w:p>
        </w:tc>
      </w:tr>
      <w:tr w:rsidR="001C3E10" w:rsidRPr="001C3E10" w14:paraId="76509E5C" w14:textId="77777777" w:rsidTr="007C372E">
        <w:tc>
          <w:tcPr>
            <w:cnfStyle w:val="001000000000" w:firstRow="0" w:lastRow="0" w:firstColumn="1" w:lastColumn="0" w:oddVBand="0" w:evenVBand="0" w:oddHBand="0" w:evenHBand="0" w:firstRowFirstColumn="0" w:firstRowLastColumn="0" w:lastRowFirstColumn="0" w:lastRowLastColumn="0"/>
            <w:tcW w:w="2161" w:type="dxa"/>
          </w:tcPr>
          <w:p w14:paraId="7E7419D2" w14:textId="77777777" w:rsidR="001C3E10" w:rsidRPr="001C3E10" w:rsidRDefault="001C3E10" w:rsidP="001C3E10">
            <w:pPr>
              <w:spacing w:line="276" w:lineRule="auto"/>
              <w:jc w:val="both"/>
              <w:rPr>
                <w:sz w:val="22"/>
                <w:szCs w:val="22"/>
              </w:rPr>
            </w:pPr>
            <w:r w:rsidRPr="001C3E10">
              <w:rPr>
                <w:sz w:val="22"/>
                <w:szCs w:val="22"/>
              </w:rPr>
              <w:t>Colaboración</w:t>
            </w:r>
          </w:p>
        </w:tc>
        <w:tc>
          <w:tcPr>
            <w:tcW w:w="2161" w:type="dxa"/>
          </w:tcPr>
          <w:p w14:paraId="470F85EC"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Limitada</w:t>
            </w:r>
          </w:p>
        </w:tc>
        <w:tc>
          <w:tcPr>
            <w:tcW w:w="2161" w:type="dxa"/>
          </w:tcPr>
          <w:p w14:paraId="399199A8"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Moderada</w:t>
            </w:r>
          </w:p>
        </w:tc>
        <w:tc>
          <w:tcPr>
            <w:tcW w:w="2161" w:type="dxa"/>
          </w:tcPr>
          <w:p w14:paraId="21C0A397" w14:textId="77777777" w:rsidR="001C3E10" w:rsidRPr="001C3E10" w:rsidRDefault="001C3E10" w:rsidP="001C3E10">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1C3E10">
              <w:rPr>
                <w:sz w:val="22"/>
                <w:szCs w:val="22"/>
              </w:rPr>
              <w:t>Alta</w:t>
            </w:r>
          </w:p>
        </w:tc>
      </w:tr>
    </w:tbl>
    <w:p w14:paraId="0DD82CB5" w14:textId="77777777" w:rsidR="001C3E10" w:rsidRPr="001C3E10" w:rsidRDefault="001C3E10" w:rsidP="001C3E10">
      <w:pPr>
        <w:spacing w:line="276" w:lineRule="auto"/>
        <w:jc w:val="both"/>
        <w:rPr>
          <w:rFonts w:asciiTheme="minorHAnsi" w:hAnsiTheme="minorHAnsi"/>
          <w:sz w:val="22"/>
          <w:szCs w:val="22"/>
        </w:rPr>
      </w:pPr>
    </w:p>
    <w:p w14:paraId="3937C3D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 xml:space="preserve">Como se puede apreciar, las diferencias en todas estas categorías son sustanciales. Por ejemplo, mientras que los sistema de registro tienen una tasa de cambio relativamente baja (por ser sistemas muy probados, incluso comercialmente) los sistemas de innovación cambian mucho más </w:t>
      </w:r>
      <w:r w:rsidRPr="001C3E10">
        <w:rPr>
          <w:rFonts w:asciiTheme="minorHAnsi" w:hAnsiTheme="minorHAnsi"/>
          <w:sz w:val="22"/>
          <w:szCs w:val="22"/>
        </w:rPr>
        <w:lastRenderedPageBreak/>
        <w:t>frecuentemente, por lo que requieren de procesos y en general estructuras ágiles, que permitan mantener el flujo de valor que esos sistemas entregan.</w:t>
      </w:r>
    </w:p>
    <w:p w14:paraId="2B60EFC4" w14:textId="77777777" w:rsidR="001C3E10" w:rsidRPr="001C3E10" w:rsidRDefault="001C3E10" w:rsidP="00547B19">
      <w:pPr>
        <w:pStyle w:val="Ttulo3"/>
        <w:keepLines/>
        <w:numPr>
          <w:ilvl w:val="2"/>
          <w:numId w:val="45"/>
        </w:numPr>
        <w:spacing w:before="200" w:after="0" w:line="276" w:lineRule="auto"/>
        <w:jc w:val="both"/>
        <w:rPr>
          <w:rFonts w:asciiTheme="minorHAnsi" w:hAnsiTheme="minorHAnsi"/>
          <w:sz w:val="22"/>
          <w:szCs w:val="22"/>
          <w:shd w:val="clear" w:color="auto" w:fill="FFFFFF"/>
          <w:lang w:val="en-US"/>
        </w:rPr>
      </w:pPr>
      <w:bookmarkStart w:id="361" w:name="_Toc429555173"/>
      <w:bookmarkStart w:id="362" w:name="_Toc429562815"/>
      <w:bookmarkStart w:id="363" w:name="_Toc429563125"/>
      <w:bookmarkStart w:id="364" w:name="_Toc429563280"/>
      <w:r w:rsidRPr="001C3E10">
        <w:rPr>
          <w:rFonts w:asciiTheme="minorHAnsi" w:hAnsiTheme="minorHAnsi"/>
          <w:sz w:val="22"/>
          <w:szCs w:val="22"/>
          <w:shd w:val="clear" w:color="auto" w:fill="FFFFFF"/>
          <w:lang w:val="en-US"/>
        </w:rPr>
        <w:t>El modelo TIME</w:t>
      </w:r>
      <w:bookmarkEnd w:id="361"/>
      <w:bookmarkEnd w:id="362"/>
      <w:bookmarkEnd w:id="363"/>
      <w:bookmarkEnd w:id="364"/>
    </w:p>
    <w:p w14:paraId="40DAF1D1"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El TIME (Tolerar, Invertir, Migrar, Eliminar, por sus siglas en inglés) es otra herramienta en la caja para administrar el portafolio de aplicaciones. Su objetivo es la evaluación de un sistema informático contra las dimensiones de valor de negocio y riesgo, de forma tal que permita la clasificación de las aplicaciones en el portafolio por estrategia, asegurando un portafolio manejable y costo-efectivo. La información se recolecta cada cuatrimestre y las evaluaciones se revisan por lo general antes de cada ciclo de financiamiento, a la luz de cambios críticos en el desempeño, la arquitectura o los vendedores.</w:t>
      </w:r>
    </w:p>
    <w:p w14:paraId="3AC29963" w14:textId="77777777" w:rsidR="001628D8" w:rsidRDefault="001628D8" w:rsidP="001C3E10">
      <w:pPr>
        <w:spacing w:line="276" w:lineRule="auto"/>
        <w:jc w:val="both"/>
        <w:rPr>
          <w:rFonts w:asciiTheme="minorHAnsi" w:hAnsiTheme="minorHAnsi"/>
          <w:sz w:val="22"/>
          <w:szCs w:val="22"/>
        </w:rPr>
      </w:pPr>
    </w:p>
    <w:p w14:paraId="2A7BC0E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 siguiente imagen muestra la categorización del portafolio de aplicaciones por valor, efectividad técnica, riesgo y los requerimientos para evaluar esos valores a través de muchos años y múltiples ciclos de planificación.</w:t>
      </w:r>
    </w:p>
    <w:p w14:paraId="68A55AC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noProof/>
          <w:sz w:val="22"/>
          <w:szCs w:val="22"/>
        </w:rPr>
        <w:drawing>
          <wp:inline distT="0" distB="0" distL="0" distR="0" wp14:anchorId="66A780F7" wp14:editId="430B73C0">
            <wp:extent cx="5400040" cy="4779261"/>
            <wp:effectExtent l="0" t="0" r="0" b="254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5400040" cy="4779261"/>
                    </a:xfrm>
                    <a:prstGeom prst="rect">
                      <a:avLst/>
                    </a:prstGeom>
                  </pic:spPr>
                </pic:pic>
              </a:graphicData>
            </a:graphic>
          </wp:inline>
        </w:drawing>
      </w:r>
    </w:p>
    <w:p w14:paraId="2A9868D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 continuación se explica brevemente cada una de las categorías.</w:t>
      </w:r>
    </w:p>
    <w:p w14:paraId="33FB1D8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Tolerar</w:t>
      </w:r>
    </w:p>
    <w:p w14:paraId="43A8B5E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Esta es la categoría con mayor número de sistemas en la mayoría de los inventarios. Las aplicaciones podrían entregar buen valor al negocio, y el grupo de TI está manteniéndolas por varias razones. Las aplicaciones podrían estar en una plataforma vieja, construidas alrededor de arquitecturas viejas o que no están bien integradas. Sin embargo, desde la perspectiva del portafolio estas aplicaciones son lo “suficientemente buenas”: crean suficiente valor de negocio, los costos y riesgos son manejables. Los sistemas satisfacen una gran porción de los requerimientos del negocio y están en plataformas que entregan un servicio de alta calidad.</w:t>
      </w:r>
    </w:p>
    <w:p w14:paraId="56832B8D" w14:textId="77777777" w:rsidR="001628D8" w:rsidRDefault="001628D8" w:rsidP="001C3E10">
      <w:pPr>
        <w:spacing w:line="276" w:lineRule="auto"/>
        <w:jc w:val="both"/>
        <w:rPr>
          <w:rFonts w:asciiTheme="minorHAnsi" w:hAnsiTheme="minorHAnsi"/>
          <w:sz w:val="22"/>
          <w:szCs w:val="22"/>
        </w:rPr>
      </w:pPr>
    </w:p>
    <w:p w14:paraId="3A586F4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Las que tienen un bajo valor de negocio son candidatos perfectos para la eliminación, pero por la interrelación con otros sistemas en el portafolio, una estrategia de tolerar su existencia es una solución más realista. La tolerancia es una estrategia hacia la evolución de sistemas legados, puede ser el precursor de una eliminación total o una transformación.</w:t>
      </w:r>
    </w:p>
    <w:p w14:paraId="6DB1243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Invertir/Innovar/Integrar</w:t>
      </w:r>
    </w:p>
    <w:p w14:paraId="3FC7721A"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Aunque las nuevas aplicaciones dominan en esta categoría, también contiene aplicaciones en las cuales:</w:t>
      </w:r>
    </w:p>
    <w:p w14:paraId="61712FBA" w14:textId="77777777" w:rsidR="001C3E10" w:rsidRPr="001C3E10" w:rsidRDefault="001C3E10" w:rsidP="00547B19">
      <w:pPr>
        <w:pStyle w:val="Prrafodelista"/>
        <w:numPr>
          <w:ilvl w:val="0"/>
          <w:numId w:val="47"/>
        </w:numPr>
        <w:spacing w:after="200" w:line="276" w:lineRule="auto"/>
        <w:rPr>
          <w:rFonts w:asciiTheme="minorHAnsi" w:hAnsiTheme="minorHAnsi"/>
          <w:sz w:val="22"/>
        </w:rPr>
      </w:pPr>
      <w:r w:rsidRPr="001C3E10">
        <w:rPr>
          <w:rFonts w:asciiTheme="minorHAnsi" w:hAnsiTheme="minorHAnsi"/>
          <w:sz w:val="22"/>
        </w:rPr>
        <w:t>Las demandas de nuevos procesos de negocio requieren la renovación de las aplicaciones viejas.</w:t>
      </w:r>
    </w:p>
    <w:p w14:paraId="4E40DC12" w14:textId="77777777" w:rsidR="001C3E10" w:rsidRPr="001C3E10" w:rsidRDefault="001C3E10" w:rsidP="00547B19">
      <w:pPr>
        <w:pStyle w:val="Prrafodelista"/>
        <w:numPr>
          <w:ilvl w:val="0"/>
          <w:numId w:val="47"/>
        </w:numPr>
        <w:spacing w:after="200" w:line="276" w:lineRule="auto"/>
        <w:rPr>
          <w:rFonts w:asciiTheme="minorHAnsi" w:hAnsiTheme="minorHAnsi"/>
          <w:sz w:val="22"/>
        </w:rPr>
      </w:pPr>
      <w:r w:rsidRPr="001C3E10">
        <w:rPr>
          <w:rFonts w:asciiTheme="minorHAnsi" w:hAnsiTheme="minorHAnsi"/>
          <w:sz w:val="22"/>
        </w:rPr>
        <w:t>El volumen de datos no permiten la transformación a nuevas tecnologías.</w:t>
      </w:r>
    </w:p>
    <w:p w14:paraId="29476ECA" w14:textId="77777777" w:rsidR="001C3E10" w:rsidRPr="001C3E10" w:rsidRDefault="001C3E10" w:rsidP="00547B19">
      <w:pPr>
        <w:pStyle w:val="Prrafodelista"/>
        <w:numPr>
          <w:ilvl w:val="0"/>
          <w:numId w:val="47"/>
        </w:numPr>
        <w:spacing w:after="200" w:line="276" w:lineRule="auto"/>
        <w:rPr>
          <w:rFonts w:asciiTheme="minorHAnsi" w:hAnsiTheme="minorHAnsi"/>
          <w:sz w:val="22"/>
        </w:rPr>
      </w:pPr>
      <w:r w:rsidRPr="001C3E10">
        <w:rPr>
          <w:rFonts w:asciiTheme="minorHAnsi" w:hAnsiTheme="minorHAnsi"/>
          <w:sz w:val="22"/>
        </w:rPr>
        <w:t>Las necesidades de los procesos de negocio se cumplen mejor con soluciones empaquetadas pero el sistema debe continuar operando en apoyo a la operación.</w:t>
      </w:r>
    </w:p>
    <w:p w14:paraId="34720377"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Se fomenta las mejoras en las aplicaciones en esta categoría. La prioridad la establecerá el potencial incremento de valor y el incremento del uso de las aplicaciones en la organización.</w:t>
      </w:r>
    </w:p>
    <w:p w14:paraId="14FBBC0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t>Migrar/Modernizar/Remediar</w:t>
      </w:r>
    </w:p>
    <w:p w14:paraId="1869438B"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Un alto valor del negocio unido a dificultades con las personas, la información u otras de carácter técnico hace que las aplicaciones en este cuadrante sean particularmente difíciles e importantes de lidiar. El soporte al software o al hardware podría ya no estar disponible. Los trabajadores que se encargan del mantenimiento de la aplicación podrían estar al borde del retiro y el reemplazo de habilidades podría ser difícil. La información podría ser redundante, imprecisa o con un alto costo de mantener o integrar. Los costos de alcanzar el nivel de calidad deseado podrían ser altos e incrementales.</w:t>
      </w:r>
    </w:p>
    <w:p w14:paraId="012AB018" w14:textId="77777777" w:rsidR="001628D8" w:rsidRDefault="001628D8" w:rsidP="001C3E10">
      <w:pPr>
        <w:spacing w:line="276" w:lineRule="auto"/>
        <w:jc w:val="both"/>
        <w:rPr>
          <w:rFonts w:asciiTheme="minorHAnsi" w:hAnsiTheme="minorHAnsi"/>
          <w:sz w:val="22"/>
          <w:szCs w:val="22"/>
        </w:rPr>
      </w:pPr>
    </w:p>
    <w:p w14:paraId="1950EDA9"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Los proyectos en esta categoría se enfocan hacia reducir riesgo y costo. Se hace una evaluación detallada de abajo hacia arriba de las dependencias entre las aplicaciones y las potenciales técnicas de consolidación, conversión, modernización o migración necesarias para tal efecto. Las situaciones donde existen una variedad de alternativas de transformación con costos, riesgos y tiempo de ejecución diferentes serán comunes.</w:t>
      </w:r>
    </w:p>
    <w:p w14:paraId="50BA2EC8" w14:textId="77777777" w:rsidR="001C3E10" w:rsidRPr="001C3E10" w:rsidRDefault="001C3E10" w:rsidP="00547B19">
      <w:pPr>
        <w:pStyle w:val="Ttulo4"/>
        <w:keepLines/>
        <w:numPr>
          <w:ilvl w:val="3"/>
          <w:numId w:val="45"/>
        </w:numPr>
        <w:spacing w:before="200" w:line="276" w:lineRule="auto"/>
        <w:rPr>
          <w:rFonts w:asciiTheme="minorHAnsi" w:hAnsiTheme="minorHAnsi"/>
          <w:sz w:val="22"/>
          <w:szCs w:val="22"/>
        </w:rPr>
      </w:pPr>
      <w:r w:rsidRPr="001C3E10">
        <w:rPr>
          <w:rFonts w:asciiTheme="minorHAnsi" w:hAnsiTheme="minorHAnsi"/>
          <w:sz w:val="22"/>
          <w:szCs w:val="22"/>
        </w:rPr>
        <w:lastRenderedPageBreak/>
        <w:t>Eliminar</w:t>
      </w:r>
    </w:p>
    <w:p w14:paraId="11A185F3"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t>Es posible que las aplicaciones con bajo valor de negocio y tecnología pobre todavía tengan algunos elementos que deben ser migrados o consolidados. Las aplicaciones retiradas también podrían necesitar de una limpieza después de que la migración, consolidación o estandarización se lleve a los usuarios a otro lado. Podrían existir fuentes alternativas de valor de negocio, o peor aún, podría no estarse creando ningún valor a los procesos de negocio manteniendo a esta aplicación con vida. El archivo y la retención de información u otros elementos (como el código fuente, binarios, etc.) podrían ser factores importantes a tomar en cuenta.</w:t>
      </w:r>
    </w:p>
    <w:p w14:paraId="7C9C8634" w14:textId="77777777" w:rsidR="001C3E10" w:rsidRPr="001C3E10" w:rsidRDefault="001C3E10" w:rsidP="00547B19">
      <w:pPr>
        <w:pStyle w:val="Ttulo2"/>
        <w:keepLines/>
        <w:numPr>
          <w:ilvl w:val="1"/>
          <w:numId w:val="45"/>
        </w:numPr>
        <w:tabs>
          <w:tab w:val="clear" w:pos="360"/>
        </w:tabs>
        <w:autoSpaceDE/>
        <w:autoSpaceDN/>
        <w:adjustRightInd/>
        <w:spacing w:before="480" w:line="276" w:lineRule="auto"/>
        <w:jc w:val="both"/>
        <w:rPr>
          <w:rFonts w:asciiTheme="minorHAnsi" w:hAnsiTheme="minorHAnsi"/>
          <w:sz w:val="22"/>
          <w:szCs w:val="22"/>
        </w:rPr>
      </w:pPr>
      <w:bookmarkStart w:id="365" w:name="_Toc414532029"/>
      <w:bookmarkStart w:id="366" w:name="_Toc429555174"/>
      <w:bookmarkStart w:id="367" w:name="_Toc429562816"/>
      <w:bookmarkStart w:id="368" w:name="_Toc429563126"/>
      <w:bookmarkStart w:id="369" w:name="_Toc429563281"/>
      <w:r w:rsidRPr="001C3E10">
        <w:rPr>
          <w:rFonts w:asciiTheme="minorHAnsi" w:hAnsiTheme="minorHAnsi"/>
          <w:sz w:val="22"/>
          <w:szCs w:val="22"/>
        </w:rPr>
        <w:t>Glosario</w:t>
      </w:r>
      <w:bookmarkEnd w:id="365"/>
      <w:bookmarkEnd w:id="366"/>
      <w:bookmarkEnd w:id="367"/>
      <w:bookmarkEnd w:id="368"/>
      <w:bookmarkEnd w:id="369"/>
    </w:p>
    <w:p w14:paraId="1BD56B4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0" w:name="Acuerdos_de_Nivel_de_Servicio_ANS"/>
      <w:bookmarkStart w:id="371" w:name="Arquitectura_empresarial"/>
      <w:r w:rsidRPr="001C3E10">
        <w:rPr>
          <w:rFonts w:asciiTheme="minorHAnsi" w:hAnsiTheme="minorHAnsi"/>
          <w:b/>
          <w:sz w:val="22"/>
        </w:rPr>
        <w:t>Acuerdos de Nivel de Servicio (ANS)</w:t>
      </w:r>
      <w:bookmarkEnd w:id="370"/>
      <w:r w:rsidRPr="001C3E10">
        <w:rPr>
          <w:rFonts w:asciiTheme="minorHAnsi" w:hAnsiTheme="minorHAnsi"/>
          <w:sz w:val="22"/>
        </w:rPr>
        <w:t>: contratos establecidos sobre cada servicio de TI brindado a las Divisiones y ODM del BCCR. En él se establecen las condiciones, compromisos, restricciones y el nivel de calidad con el cual se ofrecerá el servicio. En cuanto al nivel de calidad, este se definirá con base el nivel de disponibilidad, rendimiento, seguridad y costo del servicio.</w:t>
      </w:r>
    </w:p>
    <w:p w14:paraId="65827742"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2" w:name="Aplicación_móvil"/>
      <w:r w:rsidRPr="001C3E10">
        <w:rPr>
          <w:rFonts w:asciiTheme="minorHAnsi" w:hAnsiTheme="minorHAnsi"/>
          <w:b/>
          <w:sz w:val="22"/>
        </w:rPr>
        <w:t>Aplicación móvil</w:t>
      </w:r>
      <w:bookmarkEnd w:id="372"/>
      <w:r w:rsidRPr="001C3E10">
        <w:rPr>
          <w:rFonts w:asciiTheme="minorHAnsi" w:hAnsiTheme="minorHAnsi"/>
          <w:sz w:val="22"/>
        </w:rPr>
        <w:t>:</w:t>
      </w:r>
      <w:r w:rsidRPr="001C3E10">
        <w:rPr>
          <w:rFonts w:asciiTheme="minorHAnsi" w:hAnsiTheme="minorHAnsi"/>
          <w:i/>
          <w:sz w:val="22"/>
        </w:rPr>
        <w:t xml:space="preserve"> Software</w:t>
      </w:r>
      <w:r w:rsidRPr="001C3E10">
        <w:rPr>
          <w:rFonts w:asciiTheme="minorHAnsi" w:hAnsiTheme="minorHAnsi"/>
          <w:sz w:val="22"/>
        </w:rPr>
        <w:t xml:space="preserve"> (véase la definición más abajo) utilizado sobre todo el dispositivos móviles tales como un teléfono celular o una tableta.</w:t>
      </w:r>
    </w:p>
    <w:p w14:paraId="59261CB4"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Arquitectura empresarial</w:t>
      </w:r>
      <w:bookmarkEnd w:id="371"/>
      <w:r w:rsidRPr="001C3E10">
        <w:rPr>
          <w:rFonts w:asciiTheme="minorHAnsi" w:hAnsiTheme="minorHAnsi"/>
          <w:sz w:val="22"/>
        </w:rPr>
        <w:t xml:space="preserve">: </w:t>
      </w:r>
      <w:r w:rsidRPr="001C3E10">
        <w:rPr>
          <w:rFonts w:asciiTheme="minorHAnsi" w:hAnsiTheme="minorHAnsi"/>
          <w:sz w:val="22"/>
          <w:lang w:val="es-ES"/>
        </w:rPr>
        <w:t>disciplina que permite guiar integral y proactivamente la respuesta de una organización ante las fuerzas disruptivas, por medio de la identificación y el análisis de los cambios requeridos para alcanzar la visión y los resultados esperados por la organización.</w:t>
      </w:r>
    </w:p>
    <w:p w14:paraId="26281DA7"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3" w:name="Big_data"/>
      <w:bookmarkStart w:id="374" w:name="BYOD"/>
      <w:r w:rsidRPr="001C3E10">
        <w:rPr>
          <w:rFonts w:asciiTheme="minorHAnsi" w:hAnsiTheme="minorHAnsi"/>
          <w:b/>
          <w:sz w:val="22"/>
        </w:rPr>
        <w:t>Beneficios</w:t>
      </w:r>
      <w:r w:rsidRPr="001C3E10">
        <w:rPr>
          <w:rFonts w:asciiTheme="minorHAnsi" w:hAnsiTheme="minorHAnsi"/>
          <w:sz w:val="22"/>
        </w:rPr>
        <w:t>: un beneficio de negocio es un resultado que es esperado o que directamente incrementa el valor a la organización.</w:t>
      </w:r>
    </w:p>
    <w:p w14:paraId="6C065799"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Big data</w:t>
      </w:r>
      <w:bookmarkEnd w:id="373"/>
      <w:r w:rsidRPr="001C3E10">
        <w:rPr>
          <w:rFonts w:asciiTheme="minorHAnsi" w:hAnsiTheme="minorHAnsi"/>
          <w:sz w:val="22"/>
        </w:rPr>
        <w:t>: activos de información de alto volumen (cantidad), alta velocidad y alta variedad, que demandan formas de procesamiento, efectivas en costo e innovadoras, para mejorar comprensión y la toma de decisiones.</w:t>
      </w:r>
    </w:p>
    <w:p w14:paraId="4A5B70C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BYOD</w:t>
      </w:r>
      <w:bookmarkEnd w:id="374"/>
      <w:r w:rsidRPr="001C3E10">
        <w:rPr>
          <w:rFonts w:asciiTheme="minorHAnsi" w:hAnsiTheme="minorHAnsi"/>
          <w:sz w:val="22"/>
        </w:rPr>
        <w:t>: estrategia alternativa que le permite a los empleados, socios de negocio y otros usuarios el uso de dispositivos personalmente seleccionados y comprados para ejecutar software y acceder datos de la organización. Típicamente cubre a los teléfonos inteligentes y las tabletas pero la estrategia también podría utilizarse para las computadoras personales de los empleados</w:t>
      </w:r>
    </w:p>
    <w:p w14:paraId="31038227"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5" w:name="Capacidad"/>
      <w:r w:rsidRPr="001C3E10">
        <w:rPr>
          <w:rFonts w:asciiTheme="minorHAnsi" w:hAnsiTheme="minorHAnsi"/>
          <w:b/>
          <w:sz w:val="22"/>
        </w:rPr>
        <w:t>Capacidad</w:t>
      </w:r>
      <w:bookmarkEnd w:id="375"/>
      <w:r w:rsidRPr="001C3E10">
        <w:rPr>
          <w:rFonts w:asciiTheme="minorHAnsi" w:hAnsiTheme="minorHAnsi"/>
          <w:sz w:val="22"/>
        </w:rPr>
        <w:t>: forma en la que la organización combina recursos, personas, procesos, tecnología e información para cumplir la misión que le ha sido encomendada. Por ejemplo</w:t>
      </w:r>
    </w:p>
    <w:p w14:paraId="6EA4DA8C"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6" w:name="Caso_de_negocio"/>
      <w:bookmarkStart w:id="377" w:name="Consejo_Nacional_de_Supervisión_CONASSIF"/>
      <w:r w:rsidRPr="001C3E10">
        <w:rPr>
          <w:rFonts w:asciiTheme="minorHAnsi" w:hAnsiTheme="minorHAnsi"/>
          <w:b/>
          <w:sz w:val="22"/>
        </w:rPr>
        <w:t>Caso de negocio</w:t>
      </w:r>
      <w:bookmarkEnd w:id="376"/>
      <w:r w:rsidRPr="001C3E10">
        <w:rPr>
          <w:rFonts w:asciiTheme="minorHAnsi" w:hAnsiTheme="minorHAnsi"/>
          <w:sz w:val="22"/>
        </w:rPr>
        <w:t>: argumento, usualmente documentado, cuya intención es la de convencer a los tomadores de decisión hacia algún tipo de acción. El documento mismo es algunas veces referido como caso de negocio.</w:t>
      </w:r>
    </w:p>
    <w:p w14:paraId="45611888"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CONASSIF</w:t>
      </w:r>
      <w:r w:rsidRPr="001C3E10">
        <w:rPr>
          <w:rFonts w:asciiTheme="minorHAnsi" w:hAnsiTheme="minorHAnsi"/>
          <w:sz w:val="22"/>
        </w:rPr>
        <w:t>: Consejo Nacional de Supervisión del Sistema Financiero</w:t>
      </w:r>
      <w:bookmarkEnd w:id="377"/>
      <w:r w:rsidRPr="001C3E10">
        <w:rPr>
          <w:rFonts w:asciiTheme="minorHAnsi" w:hAnsiTheme="minorHAnsi"/>
          <w:sz w:val="22"/>
        </w:rPr>
        <w:t xml:space="preserve">. </w:t>
      </w:r>
    </w:p>
    <w:p w14:paraId="38F6F3FF" w14:textId="5AC91C3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8" w:name="Corporación"/>
      <w:r w:rsidRPr="001C3E10">
        <w:rPr>
          <w:rFonts w:asciiTheme="minorHAnsi" w:hAnsiTheme="minorHAnsi"/>
          <w:b/>
          <w:sz w:val="22"/>
        </w:rPr>
        <w:t>Corporación</w:t>
      </w:r>
      <w:bookmarkEnd w:id="378"/>
      <w:r w:rsidRPr="001C3E10">
        <w:rPr>
          <w:rFonts w:asciiTheme="minorHAnsi" w:hAnsiTheme="minorHAnsi"/>
          <w:sz w:val="22"/>
        </w:rPr>
        <w:t xml:space="preserve">: en el contexto de este documento se entiende como la unión del Banco Central de Costa Rica y sus </w:t>
      </w:r>
      <w:r w:rsidR="0030375D" w:rsidRPr="001C3E10">
        <w:rPr>
          <w:rFonts w:asciiTheme="minorHAnsi" w:hAnsiTheme="minorHAnsi"/>
          <w:sz w:val="22"/>
        </w:rPr>
        <w:t>Órganos</w:t>
      </w:r>
      <w:r w:rsidRPr="001C3E10">
        <w:rPr>
          <w:rFonts w:asciiTheme="minorHAnsi" w:hAnsiTheme="minorHAnsi"/>
          <w:sz w:val="22"/>
        </w:rPr>
        <w:t xml:space="preserve"> de Desconcentración Máxima.</w:t>
      </w:r>
    </w:p>
    <w:p w14:paraId="74FB4843"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79" w:name="Hardware"/>
      <w:r w:rsidRPr="001C3E10">
        <w:rPr>
          <w:rFonts w:asciiTheme="minorHAnsi" w:hAnsiTheme="minorHAnsi"/>
          <w:b/>
          <w:sz w:val="22"/>
        </w:rPr>
        <w:lastRenderedPageBreak/>
        <w:t>Hardware</w:t>
      </w:r>
      <w:bookmarkEnd w:id="379"/>
      <w:r w:rsidRPr="001C3E10">
        <w:rPr>
          <w:rFonts w:asciiTheme="minorHAnsi" w:hAnsiTheme="minorHAnsi"/>
          <w:sz w:val="22"/>
        </w:rPr>
        <w:t>: describe los aspectos físicos de una computadora y otros dispositivos relacionados tales como el disco duro, memoria, entre otros.</w:t>
      </w:r>
    </w:p>
    <w:p w14:paraId="67102F3E"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0" w:name="IAIS"/>
      <w:r w:rsidRPr="001C3E10">
        <w:rPr>
          <w:rFonts w:asciiTheme="minorHAnsi" w:hAnsiTheme="minorHAnsi"/>
          <w:b/>
          <w:sz w:val="22"/>
        </w:rPr>
        <w:t>IAIS</w:t>
      </w:r>
      <w:bookmarkEnd w:id="380"/>
      <w:r w:rsidRPr="001C3E10">
        <w:rPr>
          <w:rFonts w:asciiTheme="minorHAnsi" w:hAnsiTheme="minorHAnsi"/>
          <w:sz w:val="22"/>
        </w:rPr>
        <w:t>: International Association of Insurance Supervisors, Asociación Internacional de Supervisores de Seguros. Organización voluntaria de reguladores y supervisores de seguros, que opera en más de 140 países alrededor del mundo.</w:t>
      </w:r>
    </w:p>
    <w:p w14:paraId="72F155EE"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1" w:name="Information_Techn_Infrast_Library_ITIL"/>
      <w:r w:rsidRPr="001C3E10">
        <w:rPr>
          <w:rFonts w:asciiTheme="minorHAnsi" w:hAnsiTheme="minorHAnsi"/>
          <w:b/>
          <w:sz w:val="22"/>
        </w:rPr>
        <w:t>Information Technology Infrastructure Library (ITIL)</w:t>
      </w:r>
      <w:bookmarkEnd w:id="381"/>
      <w:r w:rsidRPr="001C3E10">
        <w:rPr>
          <w:rFonts w:asciiTheme="minorHAnsi" w:hAnsiTheme="minorHAnsi"/>
          <w:sz w:val="22"/>
        </w:rPr>
        <w:t>: Biblioteca de Infraestructura de Tecnologías de Información</w:t>
      </w:r>
    </w:p>
    <w:p w14:paraId="2F7A87B2"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2" w:name="Infraestructura_como_servicio"/>
      <w:r w:rsidRPr="001C3E10">
        <w:rPr>
          <w:rFonts w:asciiTheme="minorHAnsi" w:hAnsiTheme="minorHAnsi"/>
          <w:b/>
          <w:sz w:val="22"/>
        </w:rPr>
        <w:t>Infraestructura como servicio</w:t>
      </w:r>
      <w:bookmarkEnd w:id="382"/>
      <w:r w:rsidRPr="001C3E10">
        <w:rPr>
          <w:rFonts w:asciiTheme="minorHAnsi" w:hAnsiTheme="minorHAnsi"/>
          <w:sz w:val="22"/>
        </w:rPr>
        <w:t>: es una oferta estandarizada y altamente automatizada, donde los recursos computacionales, complementados con las capacidades de almacenamiento y redes, son propiedad y provistos como servicio por un proveedor, y ofrecidos a los clientes bajo demanda.</w:t>
      </w:r>
    </w:p>
    <w:p w14:paraId="0AB47170"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3" w:name="Mejora"/>
      <w:bookmarkStart w:id="384" w:name="Modelo_de_capacidades"/>
      <w:r w:rsidRPr="001C3E10">
        <w:rPr>
          <w:rFonts w:asciiTheme="minorHAnsi" w:hAnsiTheme="minorHAnsi"/>
          <w:b/>
          <w:sz w:val="22"/>
        </w:rPr>
        <w:t>Mejora</w:t>
      </w:r>
      <w:bookmarkEnd w:id="383"/>
      <w:r w:rsidRPr="001C3E10">
        <w:rPr>
          <w:rFonts w:asciiTheme="minorHAnsi" w:hAnsiTheme="minorHAnsi"/>
          <w:sz w:val="22"/>
        </w:rPr>
        <w:t>: es una expansión de las funcionalidades actuales de un software o de la infraestructura tecnológica.</w:t>
      </w:r>
    </w:p>
    <w:p w14:paraId="47708AE3"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Modelo de capacidades</w:t>
      </w:r>
      <w:bookmarkEnd w:id="384"/>
      <w:r w:rsidRPr="001C3E10">
        <w:rPr>
          <w:rFonts w:asciiTheme="minorHAnsi" w:hAnsiTheme="minorHAnsi"/>
          <w:sz w:val="22"/>
        </w:rPr>
        <w:t xml:space="preserve">: modelo que le permite a las organizaciones traducir más fácilmente la estrategia en acciones para hacerla realidad. Es una representación de la organización independientemente de su estructura, sus procesos, personas o dominios. Están diseñados para describir lo que la organización hace, o necesitará hacer en forma diferente, con el fin de responder a cambios en la estrategia u oportunidades que se le presentan. Por lo tanto, un modelo de capacidades permite expresar y explorar “lo que se hace” para así tomar decisiones sobre “cómo debe hacerse”.. </w:t>
      </w:r>
    </w:p>
    <w:p w14:paraId="438CFEF5"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5" w:name="Nube"/>
      <w:bookmarkStart w:id="386" w:name="Organo_de_Desconcentración_Máxima_ODM"/>
      <w:r w:rsidRPr="001C3E10">
        <w:rPr>
          <w:rFonts w:asciiTheme="minorHAnsi" w:hAnsiTheme="minorHAnsi"/>
          <w:b/>
          <w:sz w:val="22"/>
        </w:rPr>
        <w:t>Nube</w:t>
      </w:r>
      <w:bookmarkEnd w:id="385"/>
      <w:r w:rsidRPr="001C3E10">
        <w:rPr>
          <w:rFonts w:asciiTheme="minorHAnsi" w:hAnsiTheme="minorHAnsi"/>
          <w:sz w:val="22"/>
        </w:rPr>
        <w:t>: es una forma de aprovisionamiento de recursos tecnológicos en la cual las capacidades y habilidades por las tecnologías de la información son elásticas y escalables, y son entregadas como un servicio utilizando tecnologías de Internet.</w:t>
      </w:r>
    </w:p>
    <w:p w14:paraId="131DC457" w14:textId="1AD2EF4C" w:rsidR="001C3E10" w:rsidRPr="001C3E10" w:rsidRDefault="001628D8" w:rsidP="00547B19">
      <w:pPr>
        <w:pStyle w:val="Prrafodelista"/>
        <w:numPr>
          <w:ilvl w:val="0"/>
          <w:numId w:val="44"/>
        </w:numPr>
        <w:spacing w:after="200" w:line="276" w:lineRule="auto"/>
        <w:rPr>
          <w:rFonts w:asciiTheme="minorHAnsi" w:hAnsiTheme="minorHAnsi"/>
          <w:sz w:val="22"/>
        </w:rPr>
      </w:pPr>
      <w:r w:rsidRPr="001C3E10">
        <w:rPr>
          <w:rFonts w:asciiTheme="minorHAnsi" w:hAnsiTheme="minorHAnsi"/>
          <w:b/>
          <w:sz w:val="22"/>
        </w:rPr>
        <w:t>Órganos</w:t>
      </w:r>
      <w:r w:rsidR="001C3E10" w:rsidRPr="001C3E10">
        <w:rPr>
          <w:rFonts w:asciiTheme="minorHAnsi" w:hAnsiTheme="minorHAnsi"/>
          <w:b/>
          <w:sz w:val="22"/>
        </w:rPr>
        <w:t xml:space="preserve"> de Desconcentración Máxima (ODM)</w:t>
      </w:r>
      <w:bookmarkEnd w:id="386"/>
      <w:r w:rsidR="001C3E10" w:rsidRPr="001C3E10">
        <w:rPr>
          <w:rFonts w:asciiTheme="minorHAnsi" w:hAnsiTheme="minorHAnsi"/>
          <w:sz w:val="22"/>
        </w:rPr>
        <w:t>: entes adscritos al Banco Central de Costa Rica, a saber: Consejo Nacional de Supervisión del Sistema Financiero, Superintendencia General de Entidades Financieras, Superintendencia General de Valores, Superintendencia de Pensiones y Superintendencia General de Seguros.</w:t>
      </w:r>
    </w:p>
    <w:p w14:paraId="7801EE15"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7" w:name="Outsourcing"/>
      <w:r w:rsidRPr="001C3E10">
        <w:rPr>
          <w:rFonts w:asciiTheme="minorHAnsi" w:hAnsiTheme="minorHAnsi"/>
          <w:b/>
          <w:sz w:val="22"/>
        </w:rPr>
        <w:t>Outsourcing</w:t>
      </w:r>
      <w:bookmarkEnd w:id="387"/>
      <w:r w:rsidRPr="001C3E10">
        <w:rPr>
          <w:rFonts w:asciiTheme="minorHAnsi" w:hAnsiTheme="minorHAnsi"/>
          <w:sz w:val="22"/>
        </w:rPr>
        <w:t>: práctica utilizada por las organizaciones por medio de la cual se transfiere la administración de la ejecución de una función entera a un proveedor externo por una cuota mensual, en vez de hacerla internamente. Es una estrategia para reducir costos y le permite a TI concentrarse en las funciones vitales de la organización.</w:t>
      </w:r>
    </w:p>
    <w:p w14:paraId="7D178978"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8" w:name="Outtasking"/>
      <w:r w:rsidRPr="001C3E10">
        <w:rPr>
          <w:rFonts w:asciiTheme="minorHAnsi" w:hAnsiTheme="minorHAnsi"/>
          <w:b/>
          <w:sz w:val="22"/>
        </w:rPr>
        <w:t>Outtasking</w:t>
      </w:r>
      <w:bookmarkEnd w:id="388"/>
      <w:r w:rsidRPr="001C3E10">
        <w:rPr>
          <w:rFonts w:asciiTheme="minorHAnsi" w:hAnsiTheme="minorHAnsi"/>
          <w:sz w:val="22"/>
        </w:rPr>
        <w:t xml:space="preserve">: </w:t>
      </w:r>
      <w:r w:rsidRPr="001C3E10">
        <w:rPr>
          <w:rFonts w:asciiTheme="minorHAnsi" w:hAnsiTheme="minorHAnsi"/>
          <w:sz w:val="22"/>
          <w:lang w:val="es-ES"/>
        </w:rPr>
        <w:t xml:space="preserve">a diferencia del </w:t>
      </w:r>
      <w:r w:rsidRPr="001C3E10">
        <w:rPr>
          <w:rFonts w:asciiTheme="minorHAnsi" w:hAnsiTheme="minorHAnsi"/>
          <w:i/>
          <w:sz w:val="22"/>
          <w:lang w:val="es-ES"/>
        </w:rPr>
        <w:t>outsourcing</w:t>
      </w:r>
      <w:r w:rsidRPr="001C3E10">
        <w:rPr>
          <w:rFonts w:asciiTheme="minorHAnsi" w:hAnsiTheme="minorHAnsi"/>
          <w:sz w:val="22"/>
          <w:lang w:val="es-ES"/>
        </w:rPr>
        <w:t xml:space="preserve">, el </w:t>
      </w:r>
      <w:r w:rsidRPr="001C3E10">
        <w:rPr>
          <w:rFonts w:asciiTheme="minorHAnsi" w:hAnsiTheme="minorHAnsi"/>
          <w:i/>
          <w:sz w:val="22"/>
          <w:lang w:val="es-ES"/>
        </w:rPr>
        <w:t>outtasking</w:t>
      </w:r>
      <w:r w:rsidRPr="001C3E10">
        <w:rPr>
          <w:rFonts w:asciiTheme="minorHAnsi" w:hAnsiTheme="minorHAnsi"/>
          <w:sz w:val="22"/>
          <w:lang w:val="es-ES"/>
        </w:rPr>
        <w:t xml:space="preserve"> transfiere partes específicas de la operación de TI a otra organización, no una función completa. Los proveedores externos facilitan personal que actúa como recursos adjuntos al personal interno de TI ya existente. Ese personal externo por lo general trae conocimiento y experticia específica, respaldado por herramientas y buenas prácticas sofisticadas.</w:t>
      </w:r>
    </w:p>
    <w:p w14:paraId="0B01CBE4"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89" w:name="Reembolso"/>
      <w:r w:rsidRPr="001C3E10">
        <w:rPr>
          <w:rFonts w:asciiTheme="minorHAnsi" w:hAnsiTheme="minorHAnsi"/>
          <w:b/>
          <w:sz w:val="22"/>
        </w:rPr>
        <w:t>Reembolso</w:t>
      </w:r>
      <w:bookmarkEnd w:id="389"/>
      <w:r w:rsidRPr="001C3E10">
        <w:rPr>
          <w:rFonts w:asciiTheme="minorHAnsi" w:hAnsiTheme="minorHAnsi"/>
          <w:sz w:val="22"/>
        </w:rPr>
        <w:t xml:space="preserve">: conocido con el término </w:t>
      </w:r>
      <w:r w:rsidRPr="001C3E10">
        <w:rPr>
          <w:rFonts w:asciiTheme="minorHAnsi" w:hAnsiTheme="minorHAnsi"/>
          <w:i/>
          <w:sz w:val="22"/>
        </w:rPr>
        <w:t>chargeback</w:t>
      </w:r>
      <w:r w:rsidRPr="001C3E10">
        <w:rPr>
          <w:rFonts w:asciiTheme="minorHAnsi" w:hAnsiTheme="minorHAnsi"/>
          <w:sz w:val="22"/>
        </w:rPr>
        <w:t xml:space="preserve"> en inglés, es una disciplina y una actividad contables para recuperar los costos de TI con el objetivo de ayudar en la administración de los recursos de TI y segmentar los costos compartidos hacia los centros generadores de rentabilidad.</w:t>
      </w:r>
    </w:p>
    <w:p w14:paraId="5EF790B7"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90" w:name="Servicio_de_TI"/>
      <w:r w:rsidRPr="001C3E10">
        <w:rPr>
          <w:rFonts w:asciiTheme="minorHAnsi" w:hAnsiTheme="minorHAnsi"/>
          <w:b/>
          <w:sz w:val="22"/>
        </w:rPr>
        <w:lastRenderedPageBreak/>
        <w:t>Servicio de TI</w:t>
      </w:r>
      <w:bookmarkEnd w:id="390"/>
      <w:r w:rsidRPr="001C3E10">
        <w:rPr>
          <w:rFonts w:asciiTheme="minorHAnsi" w:hAnsiTheme="minorHAnsi"/>
          <w:sz w:val="22"/>
        </w:rPr>
        <w:t xml:space="preserve">: es un servicio provisto a uno o más clientes por un proveedor de servicios de TI. Un Servicio de TI está basado en el uso de las tecnologías de la información y apoya los procesos de negocio del cliente. Está compuesto de una combinación de personas, procesos y tecnología y debería tener definido un Acuerdo de Nivel de Servicio. </w:t>
      </w:r>
    </w:p>
    <w:p w14:paraId="5A77A0BC"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91" w:name="Software"/>
      <w:r w:rsidRPr="001C3E10">
        <w:rPr>
          <w:rFonts w:asciiTheme="minorHAnsi" w:hAnsiTheme="minorHAnsi"/>
          <w:b/>
          <w:sz w:val="22"/>
        </w:rPr>
        <w:t>Software</w:t>
      </w:r>
      <w:bookmarkEnd w:id="391"/>
      <w:r w:rsidRPr="001C3E10">
        <w:rPr>
          <w:rFonts w:asciiTheme="minorHAnsi" w:hAnsiTheme="minorHAnsi"/>
          <w:sz w:val="22"/>
        </w:rPr>
        <w:t>: programas utilizados para operar las computadoras y otros dispositivos electrónicos.</w:t>
      </w:r>
    </w:p>
    <w:p w14:paraId="3A5E277C"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92" w:name="Solución_Tecnológica"/>
      <w:r w:rsidRPr="001C3E10">
        <w:rPr>
          <w:rFonts w:asciiTheme="minorHAnsi" w:hAnsiTheme="minorHAnsi"/>
          <w:b/>
          <w:sz w:val="22"/>
        </w:rPr>
        <w:t>Solución Tecnológica</w:t>
      </w:r>
      <w:bookmarkEnd w:id="392"/>
      <w:r w:rsidRPr="001C3E10">
        <w:rPr>
          <w:rFonts w:asciiTheme="minorHAnsi" w:hAnsiTheme="minorHAnsi"/>
          <w:sz w:val="22"/>
        </w:rPr>
        <w:t>: es la combinación de personas, procesos, información y tecnologías que apoya un conjunto de capacidades técnicas o de negocio para resolver uno o más problemas de negocio.</w:t>
      </w:r>
    </w:p>
    <w:p w14:paraId="491D9C0F"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93" w:name="Tecnología_de_la_Información_TI"/>
      <w:r w:rsidRPr="001C3E10">
        <w:rPr>
          <w:rFonts w:asciiTheme="minorHAnsi" w:hAnsiTheme="minorHAnsi"/>
          <w:b/>
          <w:sz w:val="22"/>
        </w:rPr>
        <w:t>Tecnología de la Información (TI)</w:t>
      </w:r>
      <w:bookmarkEnd w:id="393"/>
      <w:r w:rsidRPr="001C3E10">
        <w:rPr>
          <w:rFonts w:asciiTheme="minorHAnsi" w:hAnsiTheme="minorHAnsi"/>
          <w:sz w:val="22"/>
        </w:rPr>
        <w:t>: es la aplicación de computadoras y equipo de telecomunicaciones para almacenar, extraer y manipular datos, frecuentemente en el contexto de un negocio o de otra empresa.</w:t>
      </w:r>
    </w:p>
    <w:p w14:paraId="0FF8C764" w14:textId="77777777" w:rsidR="001C3E10" w:rsidRPr="001C3E10" w:rsidRDefault="001C3E10" w:rsidP="00547B19">
      <w:pPr>
        <w:pStyle w:val="Prrafodelista"/>
        <w:numPr>
          <w:ilvl w:val="0"/>
          <w:numId w:val="44"/>
        </w:numPr>
        <w:spacing w:after="200" w:line="276" w:lineRule="auto"/>
        <w:rPr>
          <w:rFonts w:asciiTheme="minorHAnsi" w:hAnsiTheme="minorHAnsi"/>
          <w:sz w:val="22"/>
        </w:rPr>
      </w:pPr>
      <w:bookmarkStart w:id="394" w:name="Virtualización_de_escritorios"/>
      <w:r w:rsidRPr="001C3E10">
        <w:rPr>
          <w:rFonts w:asciiTheme="minorHAnsi" w:hAnsiTheme="minorHAnsi"/>
          <w:b/>
          <w:sz w:val="22"/>
        </w:rPr>
        <w:t>Virtualización de escritorios</w:t>
      </w:r>
      <w:bookmarkEnd w:id="394"/>
      <w:r w:rsidRPr="001C3E10">
        <w:rPr>
          <w:rFonts w:asciiTheme="minorHAnsi" w:hAnsiTheme="minorHAnsi"/>
          <w:sz w:val="22"/>
        </w:rPr>
        <w:t>: también conocido como VDI, por sus siglas en inglés, se refiere a la práctica de hospedar un sistema operativo de escritorio dentro de una máquina virtual corriendo en un servidor centralizado. Es otras palabras, es como tener Windows siendo ejecutado remotamente en una computadora en el centro de datos, en vez de tenerlo en una computadora personal en el escritorio de trabajo. Los beneficios radican en la simplicidad en la administración de equipo y en los menores costos por la compra de computadoras personales, entre otros.</w:t>
      </w:r>
    </w:p>
    <w:p w14:paraId="5605F5EF" w14:textId="77777777" w:rsidR="001C3E10" w:rsidRPr="001C3E10" w:rsidRDefault="001C3E10" w:rsidP="001C3E10">
      <w:pPr>
        <w:spacing w:line="276" w:lineRule="auto"/>
        <w:jc w:val="both"/>
        <w:rPr>
          <w:rFonts w:asciiTheme="minorHAnsi" w:hAnsiTheme="minorHAnsi"/>
          <w:sz w:val="22"/>
          <w:szCs w:val="22"/>
        </w:rPr>
      </w:pPr>
      <w:r w:rsidRPr="001C3E10">
        <w:rPr>
          <w:rFonts w:asciiTheme="minorHAnsi" w:hAnsiTheme="minorHAnsi"/>
          <w:sz w:val="22"/>
          <w:szCs w:val="22"/>
        </w:rPr>
        <w:br w:type="page"/>
      </w:r>
    </w:p>
    <w:bookmarkStart w:id="395" w:name="_Toc429563282" w:displacedByCustomXml="next"/>
    <w:bookmarkStart w:id="396" w:name="_Toc429563127" w:displacedByCustomXml="next"/>
    <w:bookmarkStart w:id="397" w:name="_Toc429562817" w:displacedByCustomXml="next"/>
    <w:bookmarkStart w:id="398" w:name="_Toc429555175" w:displacedByCustomXml="next"/>
    <w:bookmarkStart w:id="399" w:name="_Toc414532030" w:displacedByCustomXml="next"/>
    <w:sdt>
      <w:sdtPr>
        <w:rPr>
          <w:rFonts w:asciiTheme="minorHAnsi" w:eastAsiaTheme="minorHAnsi" w:hAnsiTheme="minorHAnsi" w:cstheme="minorBidi"/>
          <w:b w:val="0"/>
          <w:bCs/>
          <w:sz w:val="22"/>
          <w:szCs w:val="22"/>
          <w:lang w:val="es-ES" w:eastAsia="es-ES"/>
        </w:rPr>
        <w:id w:val="-1711794633"/>
        <w:docPartObj>
          <w:docPartGallery w:val="Bibliographies"/>
          <w:docPartUnique/>
        </w:docPartObj>
      </w:sdtPr>
      <w:sdtEndPr>
        <w:rPr>
          <w:rFonts w:ascii="Times New Roman" w:eastAsia="Times New Roman" w:hAnsi="Times New Roman" w:cs="Times New Roman"/>
          <w:bCs w:val="0"/>
          <w:sz w:val="24"/>
          <w:szCs w:val="24"/>
        </w:rPr>
      </w:sdtEndPr>
      <w:sdtContent>
        <w:p w14:paraId="3DB8AAEA" w14:textId="77777777" w:rsidR="001C3E10" w:rsidRDefault="001C3E10" w:rsidP="00547B19">
          <w:pPr>
            <w:pStyle w:val="Ttulo2"/>
            <w:keepLines/>
            <w:numPr>
              <w:ilvl w:val="1"/>
              <w:numId w:val="45"/>
            </w:numPr>
            <w:tabs>
              <w:tab w:val="clear" w:pos="360"/>
            </w:tabs>
            <w:autoSpaceDE/>
            <w:autoSpaceDN/>
            <w:adjustRightInd/>
            <w:spacing w:before="480" w:line="276" w:lineRule="auto"/>
            <w:jc w:val="both"/>
          </w:pPr>
          <w:r>
            <w:rPr>
              <w:lang w:val="es-ES"/>
            </w:rPr>
            <w:t>Bibliografía</w:t>
          </w:r>
          <w:bookmarkEnd w:id="399"/>
          <w:bookmarkEnd w:id="398"/>
          <w:bookmarkEnd w:id="397"/>
          <w:bookmarkEnd w:id="396"/>
          <w:bookmarkEnd w:id="395"/>
        </w:p>
        <w:sdt>
          <w:sdtPr>
            <w:rPr>
              <w:rFonts w:ascii="Times New Roman" w:eastAsia="Times New Roman" w:hAnsi="Times New Roman" w:cs="Times New Roman"/>
              <w:sz w:val="24"/>
              <w:szCs w:val="24"/>
              <w:lang w:val="es-ES" w:eastAsia="es-ES"/>
            </w:rPr>
            <w:id w:val="111145805"/>
            <w:bibliography/>
          </w:sdtPr>
          <w:sdtContent>
            <w:p w14:paraId="7081ABB8" w14:textId="77777777" w:rsidR="001C3E10" w:rsidRDefault="001C3E10" w:rsidP="001C3E10">
              <w:pPr>
                <w:pStyle w:val="Bibliografa"/>
                <w:rPr>
                  <w:noProof/>
                  <w:lang w:val="es-ES"/>
                </w:rPr>
              </w:pPr>
              <w:r>
                <w:fldChar w:fldCharType="begin"/>
              </w:r>
              <w:r w:rsidRPr="00CA4F8D">
                <w:instrText>BIBLIOGRAPHY</w:instrText>
              </w:r>
              <w:r>
                <w:fldChar w:fldCharType="separate"/>
              </w:r>
              <w:r>
                <w:rPr>
                  <w:b/>
                  <w:bCs/>
                  <w:noProof/>
                  <w:lang w:val="es-ES"/>
                </w:rPr>
                <w:t>Artículo 10, acta de sesión 1092-2014 de Junta Directiva del BCCR</w:t>
              </w:r>
              <w:r>
                <w:rPr>
                  <w:noProof/>
                  <w:lang w:val="es-ES"/>
                </w:rPr>
                <w:t xml:space="preserve"> [Informe] / aut. CONASSIF / Consejo Nacional de Supervisión del Sistema Financiero. - 2014.</w:t>
              </w:r>
            </w:p>
            <w:p w14:paraId="39A5B472" w14:textId="77777777" w:rsidR="001C3E10" w:rsidRDefault="001C3E10" w:rsidP="001C3E10">
              <w:pPr>
                <w:pStyle w:val="Bibliografa"/>
                <w:rPr>
                  <w:noProof/>
                  <w:lang w:val="es-ES"/>
                </w:rPr>
              </w:pPr>
              <w:r>
                <w:rPr>
                  <w:b/>
                  <w:bCs/>
                  <w:noProof/>
                  <w:lang w:val="es-ES"/>
                </w:rPr>
                <w:t>Constitución del Comité Estratégico de Tecnologías de Información</w:t>
              </w:r>
              <w:r>
                <w:rPr>
                  <w:noProof/>
                  <w:lang w:val="es-ES"/>
                </w:rPr>
                <w:t xml:space="preserve"> [Informe] / aut. BCCR / División de Servicios Tecnológicos ; Banco Central de Costa Rica. - 2014.</w:t>
              </w:r>
            </w:p>
            <w:p w14:paraId="250843F8"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IT Strategy: A CIO Success Kit / aut. </w:t>
              </w:r>
              <w:r>
                <w:rPr>
                  <w:noProof/>
                  <w:lang w:val="es-ES"/>
                </w:rPr>
                <w:t>Gartner, Inc. / ed. Aron Dave. - 01 de Marzo de 2009. - 2014. - http://www.gartner.com/document/900912?ref=lib. - G00166022.</w:t>
              </w:r>
            </w:p>
            <w:p w14:paraId="492450AB"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The Five Characteristics of a New Breed of CIO / aut. </w:t>
              </w:r>
              <w:r>
                <w:rPr>
                  <w:noProof/>
                  <w:lang w:val="es-ES"/>
                </w:rPr>
                <w:t>Gartner, Inc. / ed. Weldon Lee y Colella Heather. - 07 de Octubre de 2013. - 2014. - http://www.gartner.com/document/2602615. - G00248210.</w:t>
              </w:r>
            </w:p>
            <w:p w14:paraId="11378638"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Governance; CIO Desk Reference Chapter 8, Updated Q4 2013 / aut. </w:t>
              </w:r>
              <w:r>
                <w:rPr>
                  <w:noProof/>
                  <w:lang w:val="es-ES"/>
                </w:rPr>
                <w:t>Gartner, Inc. / ed. Nunno Tina y Swanton Bill. - 10 de Abril de 2014. - 2014. - http://www.gartner.com/document/2706417. - G00263900.</w:t>
              </w:r>
            </w:p>
            <w:p w14:paraId="1A24BA82"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Gartner's Guide to Creating World-Class IT Principles / aut. </w:t>
              </w:r>
              <w:r>
                <w:rPr>
                  <w:noProof/>
                  <w:lang w:val="es-ES"/>
                </w:rPr>
                <w:t>Gartner, Inc. / ed. Mesaglio Mary y Ruggero Jose A.. - 26 de Julio de 2013. - 2014. - http://www.gartner.com/document/2561119. - G00253902.</w:t>
              </w:r>
            </w:p>
            <w:p w14:paraId="0E13CE7E"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IT Strategic Planning: The Right Time to Review and Improve Your IT Service Model / aut. </w:t>
              </w:r>
              <w:r>
                <w:rPr>
                  <w:noProof/>
                  <w:lang w:val="es-ES"/>
                </w:rPr>
                <w:t>Gartner, Inc. / ed. Dreyfuss Cassio. - 22 de Noviembre de 2013. - 2014. - http://www.gartner.com/document/2628719. - G00256441.</w:t>
              </w:r>
            </w:p>
            <w:p w14:paraId="28E57345"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Key Concepts in IT Financial Management: Funding, Costing, Pricing and Chargeback / aut. </w:t>
              </w:r>
              <w:r>
                <w:rPr>
                  <w:noProof/>
                  <w:lang w:val="es-ES"/>
                </w:rPr>
                <w:t>Gartner, Inc. / ed. Gomolski Barbara. - 27 de Abril de 2012. - 2014. - http://www.gartner.com/document/1998216. - G00232787.</w:t>
              </w:r>
            </w:p>
            <w:p w14:paraId="0583DA16"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How to Get Started With a Pace-Layered Application Strategy / aut. </w:t>
              </w:r>
              <w:r>
                <w:rPr>
                  <w:noProof/>
                  <w:lang w:val="es-ES"/>
                </w:rPr>
                <w:t>Gartner, Inc. / ed. Sheperd Jim. - 28 de Marzo de 2011. - 2014. - http://www.gartner.com/document/1607414. - G00211245.</w:t>
              </w:r>
            </w:p>
            <w:p w14:paraId="2E52446D"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Application Portfolio Triage: TIME for APM / aut. </w:t>
              </w:r>
              <w:r>
                <w:rPr>
                  <w:noProof/>
                  <w:lang w:val="es-ES"/>
                </w:rPr>
                <w:t>Gartner, Inc. / ed. Duggan Jim. - 19 de Julio de 2010. - 2014. - http://www.gartner.com/document/1403814. - G00205218.</w:t>
              </w:r>
            </w:p>
            <w:p w14:paraId="2517D98C"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Use IT Capability Modeling to Build a High-Performing IT Organization / aut. </w:t>
              </w:r>
              <w:r>
                <w:rPr>
                  <w:noProof/>
                  <w:lang w:val="es-ES"/>
                </w:rPr>
                <w:t>Gartner, Inc. / ed. Mangi Luis Claudio. - 26 de Noviembre de 2014. - 2014. - http://www.gartner.com/document/2925717. - G00266861.</w:t>
              </w:r>
            </w:p>
            <w:p w14:paraId="1F01A26F"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A Simple Framework to Translate IT Benefits Into Business Value Impact / aut. </w:t>
              </w:r>
              <w:r>
                <w:rPr>
                  <w:noProof/>
                  <w:lang w:val="es-ES"/>
                </w:rPr>
                <w:t>Gartner, Inc. / ed. Hunter Richard [y otros]. - 16 de Mayo de 2008. - 2014. - http://www.gartner.com/document/672507. - G00156986.</w:t>
              </w:r>
            </w:p>
            <w:p w14:paraId="1CC1363F" w14:textId="77777777" w:rsidR="001C3E10" w:rsidRDefault="001C3E10" w:rsidP="001C3E10">
              <w:pPr>
                <w:pStyle w:val="Bibliografa"/>
                <w:rPr>
                  <w:noProof/>
                  <w:lang w:val="es-ES"/>
                </w:rPr>
              </w:pPr>
              <w:r w:rsidRPr="00147D4F">
                <w:rPr>
                  <w:b/>
                  <w:bCs/>
                  <w:noProof/>
                  <w:lang w:val="en-US"/>
                </w:rPr>
                <w:lastRenderedPageBreak/>
                <w:t>Gartner.com</w:t>
              </w:r>
              <w:r w:rsidRPr="00147D4F">
                <w:rPr>
                  <w:noProof/>
                  <w:lang w:val="en-US"/>
                </w:rPr>
                <w:t xml:space="preserve"> [En línea] = Defining Gartner Total Cost of Ownership / aut. </w:t>
              </w:r>
              <w:r>
                <w:rPr>
                  <w:noProof/>
                  <w:lang w:val="es-ES"/>
                </w:rPr>
                <w:t>Gartner Inc. / ed. Mieritz Lars y Kirwin Bill. - 08 de Diciembre de 2005. - 2015. - http://www.gartner.com/document/487157. - G00131837.</w:t>
              </w:r>
            </w:p>
            <w:p w14:paraId="3B4AD206" w14:textId="77777777" w:rsidR="001C3E10" w:rsidRDefault="001C3E10" w:rsidP="001C3E10">
              <w:pPr>
                <w:pStyle w:val="Bibliografa"/>
                <w:rPr>
                  <w:noProof/>
                  <w:lang w:val="es-ES"/>
                </w:rPr>
              </w:pPr>
              <w:r w:rsidRPr="00147D4F">
                <w:rPr>
                  <w:b/>
                  <w:bCs/>
                  <w:noProof/>
                  <w:lang w:val="en-US"/>
                </w:rPr>
                <w:t>Gartner.com</w:t>
              </w:r>
              <w:r w:rsidRPr="00147D4F">
                <w:rPr>
                  <w:noProof/>
                  <w:lang w:val="en-US"/>
                </w:rPr>
                <w:t xml:space="preserve"> [En línea] = The Gartner Business Value Model: A Framework for Measuring Business Performance / aut. </w:t>
              </w:r>
              <w:r>
                <w:rPr>
                  <w:noProof/>
                  <w:lang w:val="es-ES"/>
                </w:rPr>
                <w:t>Gartner Inc. / ed. Smith Michael y Proctor Paul E. - 20 de Marzo de 2013. - 2015. - http://www.gartner.com/document/2379317. - G00249947.</w:t>
              </w:r>
            </w:p>
            <w:p w14:paraId="4068006E" w14:textId="77777777" w:rsidR="001C3E10" w:rsidRDefault="001C3E10" w:rsidP="001C3E10">
              <w:pPr>
                <w:pStyle w:val="Bibliografa"/>
                <w:rPr>
                  <w:noProof/>
                  <w:lang w:val="es-ES"/>
                </w:rPr>
              </w:pPr>
              <w:r w:rsidRPr="00147D4F">
                <w:rPr>
                  <w:b/>
                  <w:bCs/>
                  <w:noProof/>
                  <w:lang w:val="en-US"/>
                </w:rPr>
                <w:t>IT Score for Enterprise Architecture para BCCR</w:t>
              </w:r>
              <w:r w:rsidRPr="00147D4F">
                <w:rPr>
                  <w:noProof/>
                  <w:lang w:val="en-US"/>
                </w:rPr>
                <w:t xml:space="preserve"> [Informe] / aut. </w:t>
              </w:r>
              <w:r>
                <w:rPr>
                  <w:noProof/>
                  <w:lang w:val="es-ES"/>
                </w:rPr>
                <w:t>Gartner, Inc. / División de Servicios Tecnológicos ; Banco Central de Costa Rica. - 2014.</w:t>
              </w:r>
            </w:p>
            <w:p w14:paraId="70E5440A" w14:textId="77777777" w:rsidR="001C3E10" w:rsidRDefault="001C3E10" w:rsidP="001C3E10">
              <w:pPr>
                <w:pStyle w:val="Bibliografa"/>
                <w:rPr>
                  <w:noProof/>
                  <w:lang w:val="es-ES"/>
                </w:rPr>
              </w:pPr>
              <w:r>
                <w:rPr>
                  <w:b/>
                  <w:bCs/>
                  <w:noProof/>
                  <w:lang w:val="es-ES"/>
                </w:rPr>
                <w:t>Plan Estratégico 2013-2017</w:t>
              </w:r>
              <w:r>
                <w:rPr>
                  <w:noProof/>
                  <w:lang w:val="es-ES"/>
                </w:rPr>
                <w:t xml:space="preserve"> [Informe] / aut. SUGEF / Superintendencia General de Entidades Financieras de Costa Rica. - 2014.</w:t>
              </w:r>
            </w:p>
            <w:p w14:paraId="267029CC" w14:textId="77777777" w:rsidR="001C3E10" w:rsidRDefault="001C3E10" w:rsidP="001C3E10">
              <w:pPr>
                <w:pStyle w:val="Bibliografa"/>
                <w:rPr>
                  <w:noProof/>
                  <w:lang w:val="es-ES"/>
                </w:rPr>
              </w:pPr>
              <w:r>
                <w:rPr>
                  <w:b/>
                  <w:bCs/>
                  <w:noProof/>
                  <w:lang w:val="es-ES"/>
                </w:rPr>
                <w:t>Plan Estratégico 2014-2017</w:t>
              </w:r>
              <w:r>
                <w:rPr>
                  <w:noProof/>
                  <w:lang w:val="es-ES"/>
                </w:rPr>
                <w:t xml:space="preserve"> [Informe] / aut. SUGEVAL / Superintendencia General de Valores de Costa Rica. - 2014.</w:t>
              </w:r>
            </w:p>
            <w:p w14:paraId="38003BD2" w14:textId="77777777" w:rsidR="001C3E10" w:rsidRDefault="001C3E10" w:rsidP="001C3E10">
              <w:pPr>
                <w:pStyle w:val="Bibliografa"/>
                <w:rPr>
                  <w:noProof/>
                  <w:lang w:val="es-ES"/>
                </w:rPr>
              </w:pPr>
              <w:r>
                <w:rPr>
                  <w:b/>
                  <w:bCs/>
                  <w:noProof/>
                  <w:lang w:val="es-ES"/>
                </w:rPr>
                <w:t>Plan Estratégico Institucional 2011-2015</w:t>
              </w:r>
              <w:r>
                <w:rPr>
                  <w:noProof/>
                  <w:lang w:val="es-ES"/>
                </w:rPr>
                <w:t xml:space="preserve"> [Informe] / aut. SUPEN / Superintendencia de Pensiones de Costa Rica. - 2014.</w:t>
              </w:r>
            </w:p>
            <w:p w14:paraId="7C03B06A" w14:textId="77777777" w:rsidR="001C3E10" w:rsidRDefault="001C3E10" w:rsidP="001C3E10">
              <w:pPr>
                <w:pStyle w:val="Bibliografa"/>
                <w:rPr>
                  <w:noProof/>
                  <w:lang w:val="es-ES"/>
                </w:rPr>
              </w:pPr>
              <w:r>
                <w:rPr>
                  <w:b/>
                  <w:bCs/>
                  <w:noProof/>
                  <w:lang w:val="es-ES"/>
                </w:rPr>
                <w:t>Plan Estratégico Institucional 2014-2018</w:t>
              </w:r>
              <w:r>
                <w:rPr>
                  <w:noProof/>
                  <w:lang w:val="es-ES"/>
                </w:rPr>
                <w:t xml:space="preserve"> [Informe] / aut. SUGESE / Superintendencia General de Seguros de Costa Rica. - 2013.</w:t>
              </w:r>
            </w:p>
            <w:p w14:paraId="3493DD80" w14:textId="77777777" w:rsidR="001C3E10" w:rsidRDefault="001C3E10" w:rsidP="001C3E10">
              <w:r>
                <w:rPr>
                  <w:b/>
                  <w:bCs/>
                </w:rPr>
                <w:fldChar w:fldCharType="end"/>
              </w:r>
            </w:p>
          </w:sdtContent>
        </w:sdt>
      </w:sdtContent>
    </w:sdt>
    <w:p w14:paraId="0A38A954" w14:textId="77777777" w:rsidR="00B44C7C" w:rsidRDefault="00B44C7C" w:rsidP="00B44C7C">
      <w:pPr>
        <w:ind w:left="708" w:hanging="708"/>
      </w:pPr>
    </w:p>
    <w:p w14:paraId="0D8AD297" w14:textId="518F219E" w:rsidR="00CE5C68" w:rsidRPr="00CE5C68" w:rsidRDefault="00CE5C68" w:rsidP="00CE5C68">
      <w:pPr>
        <w:spacing w:before="200" w:after="200" w:line="276" w:lineRule="auto"/>
        <w:ind w:left="708" w:hanging="708"/>
        <w:rPr>
          <w:rFonts w:asciiTheme="minorHAnsi" w:eastAsiaTheme="minorEastAsia" w:hAnsiTheme="minorHAnsi" w:cstheme="minorBidi"/>
          <w:sz w:val="20"/>
          <w:szCs w:val="20"/>
          <w:lang w:val="es-CR" w:eastAsia="es-CR"/>
        </w:rPr>
      </w:pPr>
    </w:p>
    <w:p w14:paraId="2943AC20" w14:textId="77777777" w:rsidR="00CE5C68" w:rsidRPr="00CE5C68" w:rsidRDefault="00CE5C68" w:rsidP="00CE5C68">
      <w:pPr>
        <w:spacing w:before="200" w:after="200" w:line="276" w:lineRule="auto"/>
        <w:rPr>
          <w:rFonts w:asciiTheme="minorHAnsi" w:eastAsiaTheme="minorEastAsia" w:hAnsiTheme="minorHAnsi" w:cstheme="minorBidi"/>
          <w:sz w:val="20"/>
          <w:szCs w:val="20"/>
          <w:lang w:val="es-CR" w:eastAsia="es-CR"/>
        </w:rPr>
      </w:pPr>
    </w:p>
    <w:p w14:paraId="6DB981E3" w14:textId="77777777" w:rsidR="008D783C" w:rsidRDefault="008D783C" w:rsidP="00B44C7C">
      <w:pPr>
        <w:ind w:left="708" w:hanging="708"/>
        <w:sectPr w:rsidR="008D783C" w:rsidSect="00A964FD">
          <w:headerReference w:type="default" r:id="rId97"/>
          <w:pgSz w:w="12242" w:h="15842" w:code="1"/>
          <w:pgMar w:top="1418" w:right="1701" w:bottom="1418" w:left="1701" w:header="709" w:footer="709" w:gutter="0"/>
          <w:cols w:space="708"/>
          <w:docGrid w:linePitch="360"/>
        </w:sectPr>
      </w:pPr>
    </w:p>
    <w:p w14:paraId="3ABD4C93" w14:textId="0F619D30" w:rsidR="009069EA" w:rsidRPr="007D30D8" w:rsidRDefault="00563B93" w:rsidP="009E097B">
      <w:pPr>
        <w:pStyle w:val="NormalWeb"/>
        <w:tabs>
          <w:tab w:val="left" w:pos="567"/>
        </w:tabs>
        <w:outlineLvl w:val="0"/>
        <w:rPr>
          <w:rFonts w:asciiTheme="majorHAnsi" w:hAnsiTheme="majorHAnsi" w:cs="Tahoma"/>
          <w:b/>
          <w:bCs/>
          <w:smallCaps/>
          <w:sz w:val="28"/>
        </w:rPr>
      </w:pPr>
      <w:bookmarkStart w:id="400" w:name="_Toc429563283"/>
      <w:r w:rsidRPr="007D30D8">
        <w:rPr>
          <w:rFonts w:asciiTheme="majorHAnsi" w:hAnsiTheme="majorHAnsi" w:cs="Tahoma"/>
          <w:b/>
          <w:bCs/>
          <w:smallCaps/>
          <w:sz w:val="28"/>
        </w:rPr>
        <w:lastRenderedPageBreak/>
        <w:t xml:space="preserve">7. </w:t>
      </w:r>
      <w:r w:rsidRPr="007D30D8">
        <w:rPr>
          <w:rFonts w:asciiTheme="majorHAnsi" w:hAnsiTheme="majorHAnsi" w:cs="Tahoma"/>
          <w:b/>
          <w:bCs/>
          <w:smallCaps/>
          <w:sz w:val="28"/>
        </w:rPr>
        <w:tab/>
        <w:t xml:space="preserve">Plan </w:t>
      </w:r>
      <w:r w:rsidR="00F461A7" w:rsidRPr="007D30D8">
        <w:rPr>
          <w:rFonts w:asciiTheme="majorHAnsi" w:hAnsiTheme="majorHAnsi" w:cs="Tahoma"/>
          <w:b/>
          <w:bCs/>
          <w:smallCaps/>
          <w:sz w:val="28"/>
        </w:rPr>
        <w:t>de capacitación Institucional</w:t>
      </w:r>
      <w:bookmarkEnd w:id="400"/>
    </w:p>
    <w:p w14:paraId="019BF72F" w14:textId="72E2AC3B" w:rsidR="00385A02" w:rsidRPr="009069EA" w:rsidRDefault="00385A02" w:rsidP="009069EA">
      <w:pPr>
        <w:tabs>
          <w:tab w:val="left" w:pos="2955"/>
        </w:tabs>
      </w:pPr>
    </w:p>
    <w:sdt>
      <w:sdtPr>
        <w:rPr>
          <w:rFonts w:asciiTheme="majorHAnsi" w:hAnsiTheme="majorHAnsi" w:cstheme="minorHAnsi"/>
        </w:rPr>
        <w:id w:val="-1040280428"/>
        <w:docPartObj>
          <w:docPartGallery w:val="Cover Pages"/>
          <w:docPartUnique/>
        </w:docPartObj>
      </w:sdtPr>
      <w:sdtContent>
        <w:p w14:paraId="26265D2A" w14:textId="1CDEE44C" w:rsidR="00385A02" w:rsidRPr="007B42EB" w:rsidRDefault="00385A02" w:rsidP="00385A02">
          <w:pPr>
            <w:rPr>
              <w:rFonts w:asciiTheme="majorHAnsi" w:hAnsiTheme="majorHAnsi" w:cstheme="minorHAnsi"/>
            </w:rPr>
          </w:pPr>
        </w:p>
        <w:p w14:paraId="2C427ABC" w14:textId="77777777" w:rsidR="00263AA0" w:rsidRDefault="00263AA0" w:rsidP="00385A02">
          <w:pPr>
            <w:rPr>
              <w:rFonts w:asciiTheme="majorHAnsi" w:hAnsiTheme="majorHAnsi" w:cstheme="minorHAnsi"/>
            </w:rPr>
          </w:pPr>
        </w:p>
        <w:p w14:paraId="59815889" w14:textId="1BD17B9B" w:rsidR="00263AA0" w:rsidRDefault="00263AA0" w:rsidP="00385A02">
          <w:pPr>
            <w:rPr>
              <w:rFonts w:asciiTheme="majorHAnsi" w:hAnsiTheme="majorHAnsi" w:cstheme="minorHAnsi"/>
            </w:rPr>
          </w:pPr>
        </w:p>
        <w:p w14:paraId="5D260E03" w14:textId="77777777" w:rsidR="00263AA0" w:rsidRDefault="00263AA0" w:rsidP="00385A02">
          <w:pPr>
            <w:rPr>
              <w:rFonts w:asciiTheme="majorHAnsi" w:hAnsiTheme="majorHAnsi" w:cstheme="minorHAnsi"/>
            </w:rPr>
          </w:pPr>
        </w:p>
        <w:p w14:paraId="265BC24D" w14:textId="77777777" w:rsidR="00263AA0" w:rsidRDefault="00263AA0" w:rsidP="00385A02">
          <w:pPr>
            <w:rPr>
              <w:rFonts w:asciiTheme="majorHAnsi" w:hAnsiTheme="majorHAnsi" w:cstheme="minorHAnsi"/>
            </w:rPr>
          </w:pPr>
        </w:p>
        <w:p w14:paraId="3F63832E" w14:textId="12CE94BF" w:rsidR="00DB0FCA" w:rsidRDefault="00DB0FCA" w:rsidP="00385A02">
          <w:pPr>
            <w:rPr>
              <w:rFonts w:asciiTheme="majorHAnsi" w:hAnsiTheme="majorHAnsi" w:cstheme="minorHAnsi"/>
            </w:rPr>
          </w:pPr>
        </w:p>
        <w:p w14:paraId="4C311A66" w14:textId="442DD715" w:rsidR="00DB0FCA" w:rsidRPr="00DB0FCA" w:rsidRDefault="00722C76" w:rsidP="00DB0FCA">
          <w:pPr>
            <w:jc w:val="center"/>
            <w:rPr>
              <w:rFonts w:asciiTheme="majorHAnsi" w:hAnsiTheme="majorHAnsi" w:cstheme="minorHAnsi"/>
              <w:sz w:val="22"/>
            </w:rPr>
          </w:pPr>
          <w:sdt>
            <w:sdtPr>
              <w:rPr>
                <w:rFonts w:asciiTheme="majorHAnsi" w:eastAsiaTheme="majorEastAsia" w:hAnsiTheme="majorHAnsi" w:cstheme="minorHAnsi"/>
                <w:b/>
                <w:bCs/>
                <w:color w:val="365F91" w:themeColor="accent1" w:themeShade="BF"/>
                <w:sz w:val="48"/>
                <w:szCs w:val="52"/>
              </w:rPr>
              <w:alias w:val="Título"/>
              <w:id w:val="703864190"/>
              <w:dataBinding w:prefixMappings="xmlns:ns0='http://schemas.openxmlformats.org/package/2006/metadata/core-properties' xmlns:ns1='http://purl.org/dc/elements/1.1/'" w:xpath="/ns0:coreProperties[1]/ns1:title[1]" w:storeItemID="{6C3C8BC8-F283-45AE-878A-BAB7291924A1}"/>
              <w:text/>
            </w:sdtPr>
            <w:sdtContent>
              <w:r w:rsidR="00DB0FCA" w:rsidRPr="00DB0FCA">
                <w:rPr>
                  <w:rFonts w:asciiTheme="majorHAnsi" w:eastAsiaTheme="majorEastAsia" w:hAnsiTheme="majorHAnsi" w:cstheme="minorHAnsi"/>
                  <w:b/>
                  <w:bCs/>
                  <w:color w:val="365F91" w:themeColor="accent1" w:themeShade="BF"/>
                  <w:sz w:val="48"/>
                  <w:szCs w:val="52"/>
                </w:rPr>
                <w:t>Plan Anual de Capacitación Institucional 201</w:t>
              </w:r>
              <w:r w:rsidR="00F4139A">
                <w:rPr>
                  <w:rFonts w:asciiTheme="majorHAnsi" w:eastAsiaTheme="majorEastAsia" w:hAnsiTheme="majorHAnsi" w:cstheme="minorHAnsi"/>
                  <w:b/>
                  <w:bCs/>
                  <w:color w:val="365F91" w:themeColor="accent1" w:themeShade="BF"/>
                  <w:sz w:val="48"/>
                  <w:szCs w:val="52"/>
                </w:rPr>
                <w:t>7</w:t>
              </w:r>
            </w:sdtContent>
          </w:sdt>
        </w:p>
        <w:p w14:paraId="2939BD25" w14:textId="77777777" w:rsidR="00263AA0" w:rsidRDefault="00263AA0" w:rsidP="00385A02">
          <w:pPr>
            <w:rPr>
              <w:rFonts w:asciiTheme="majorHAnsi" w:hAnsiTheme="majorHAnsi" w:cstheme="minorHAnsi"/>
            </w:rPr>
          </w:pPr>
        </w:p>
        <w:p w14:paraId="2719FE9F" w14:textId="77777777" w:rsidR="00263AA0" w:rsidRDefault="00263AA0" w:rsidP="00385A02">
          <w:pPr>
            <w:rPr>
              <w:rFonts w:asciiTheme="majorHAnsi" w:hAnsiTheme="majorHAnsi" w:cstheme="minorHAnsi"/>
            </w:rPr>
          </w:pPr>
        </w:p>
        <w:p w14:paraId="7ABDE649" w14:textId="2EB6BC9C" w:rsidR="00DB0FCA" w:rsidRDefault="00DB0FCA" w:rsidP="00385A02">
          <w:pPr>
            <w:rPr>
              <w:rFonts w:asciiTheme="majorHAnsi" w:hAnsiTheme="majorHAnsi" w:cstheme="minorHAnsi"/>
            </w:rPr>
          </w:pPr>
        </w:p>
        <w:p w14:paraId="4E7FBD27" w14:textId="77777777" w:rsidR="007D30D8" w:rsidRDefault="007D30D8" w:rsidP="00385A02">
          <w:pPr>
            <w:rPr>
              <w:rFonts w:asciiTheme="majorHAnsi" w:hAnsiTheme="majorHAnsi" w:cstheme="minorHAnsi"/>
            </w:rPr>
          </w:pPr>
        </w:p>
        <w:p w14:paraId="4CB8D62C" w14:textId="77777777" w:rsidR="007D30D8" w:rsidRDefault="007D30D8" w:rsidP="00385A02">
          <w:pPr>
            <w:rPr>
              <w:rFonts w:asciiTheme="majorHAnsi" w:hAnsiTheme="majorHAnsi" w:cstheme="minorHAnsi"/>
            </w:rPr>
          </w:pPr>
        </w:p>
        <w:p w14:paraId="69FD4540" w14:textId="77777777" w:rsidR="007D30D8" w:rsidRDefault="007D30D8" w:rsidP="00385A02">
          <w:pPr>
            <w:rPr>
              <w:rFonts w:asciiTheme="majorHAnsi" w:hAnsiTheme="majorHAnsi" w:cstheme="minorHAnsi"/>
            </w:rPr>
          </w:pPr>
        </w:p>
        <w:p w14:paraId="34569E57" w14:textId="77777777" w:rsidR="007D30D8" w:rsidRDefault="007D30D8" w:rsidP="00385A02">
          <w:pPr>
            <w:rPr>
              <w:rFonts w:asciiTheme="majorHAnsi" w:hAnsiTheme="majorHAnsi" w:cstheme="minorHAnsi"/>
            </w:rPr>
          </w:pPr>
        </w:p>
        <w:p w14:paraId="7A052D45" w14:textId="77777777" w:rsidR="007D30D8" w:rsidRDefault="007D30D8" w:rsidP="00385A02">
          <w:pPr>
            <w:rPr>
              <w:rFonts w:asciiTheme="majorHAnsi" w:hAnsiTheme="majorHAnsi" w:cstheme="minorHAnsi"/>
            </w:rPr>
          </w:pPr>
        </w:p>
        <w:p w14:paraId="33A69CB7" w14:textId="77777777" w:rsidR="007D30D8" w:rsidRDefault="007D30D8" w:rsidP="00385A02">
          <w:pPr>
            <w:rPr>
              <w:rFonts w:asciiTheme="majorHAnsi" w:hAnsiTheme="majorHAnsi" w:cstheme="minorHAnsi"/>
            </w:rPr>
          </w:pPr>
        </w:p>
        <w:p w14:paraId="19D6DA7F" w14:textId="77777777" w:rsidR="007D30D8" w:rsidRDefault="007D30D8" w:rsidP="00385A02">
          <w:pPr>
            <w:rPr>
              <w:rFonts w:asciiTheme="majorHAnsi" w:hAnsiTheme="majorHAnsi" w:cstheme="minorHAnsi"/>
            </w:rPr>
          </w:pPr>
        </w:p>
        <w:p w14:paraId="6288EE96" w14:textId="77777777" w:rsidR="007D30D8" w:rsidRDefault="007D30D8" w:rsidP="00385A02">
          <w:pPr>
            <w:rPr>
              <w:rFonts w:asciiTheme="majorHAnsi" w:hAnsiTheme="majorHAnsi" w:cstheme="minorHAnsi"/>
            </w:rPr>
          </w:pPr>
        </w:p>
        <w:p w14:paraId="3A35D007" w14:textId="77777777" w:rsidR="007D30D8" w:rsidRDefault="007D30D8" w:rsidP="00385A02">
          <w:pPr>
            <w:rPr>
              <w:rFonts w:asciiTheme="majorHAnsi" w:hAnsiTheme="majorHAnsi" w:cstheme="minorHAnsi"/>
            </w:rPr>
          </w:pPr>
        </w:p>
        <w:p w14:paraId="3D7A66B9" w14:textId="77777777" w:rsidR="007D30D8" w:rsidRDefault="007D30D8" w:rsidP="00385A02">
          <w:pPr>
            <w:rPr>
              <w:rFonts w:asciiTheme="majorHAnsi" w:hAnsiTheme="majorHAnsi" w:cstheme="minorHAnsi"/>
            </w:rPr>
          </w:pPr>
        </w:p>
        <w:p w14:paraId="1BC39A4E" w14:textId="3A0366AC" w:rsidR="007D30D8" w:rsidRDefault="007D30D8" w:rsidP="00385A02">
          <w:pPr>
            <w:rPr>
              <w:rFonts w:asciiTheme="majorHAnsi" w:hAnsiTheme="majorHAnsi" w:cstheme="minorHAnsi"/>
            </w:rPr>
          </w:pPr>
          <w:r>
            <w:rPr>
              <w:rFonts w:asciiTheme="majorHAnsi" w:hAnsiTheme="majorHAnsi" w:cstheme="minorHAnsi"/>
            </w:rPr>
            <w:tab/>
          </w:r>
        </w:p>
        <w:sdt>
          <w:sdtPr>
            <w:rPr>
              <w:rFonts w:asciiTheme="majorHAnsi" w:hAnsiTheme="majorHAnsi" w:cstheme="minorHAnsi"/>
              <w:i/>
            </w:rPr>
            <w:alias w:val="Descripción breve"/>
            <w:id w:val="703864200"/>
            <w:dataBinding w:prefixMappings="xmlns:ns0='http://schemas.microsoft.com/office/2006/coverPageProps'" w:xpath="/ns0:CoverPageProperties[1]/ns0:Abstract[1]" w:storeItemID="{55AF091B-3C7A-41E3-B477-F2FDAA23CFDA}"/>
            <w:text/>
          </w:sdtPr>
          <w:sdtContent>
            <w:p w14:paraId="011571AD" w14:textId="467851F4" w:rsidR="00DB0FCA" w:rsidRDefault="00DB0FCA" w:rsidP="00F4139A">
              <w:pPr>
                <w:ind w:right="2272"/>
                <w:rPr>
                  <w:rFonts w:asciiTheme="majorHAnsi" w:hAnsiTheme="majorHAnsi" w:cstheme="minorHAnsi"/>
                </w:rPr>
              </w:pPr>
              <w:r>
                <w:rPr>
                  <w:rFonts w:asciiTheme="majorHAnsi" w:hAnsiTheme="majorHAnsi" w:cstheme="minorHAnsi"/>
                  <w:i/>
                </w:rPr>
                <w:t xml:space="preserve"> Lograr que el personal desarrolle las competencias idóneas para el cumplimiento adecuado de sus funciones </w:t>
              </w:r>
            </w:p>
          </w:sdtContent>
        </w:sdt>
        <w:p w14:paraId="2B49ECDC" w14:textId="77777777" w:rsidR="00263AA0" w:rsidRDefault="00263AA0" w:rsidP="00385A02">
          <w:pPr>
            <w:rPr>
              <w:rFonts w:asciiTheme="majorHAnsi" w:hAnsiTheme="majorHAnsi" w:cstheme="minorHAnsi"/>
            </w:rPr>
          </w:pPr>
        </w:p>
        <w:p w14:paraId="688E9A7D" w14:textId="77777777" w:rsidR="00263AA0" w:rsidRDefault="00263AA0">
          <w:pPr>
            <w:rPr>
              <w:rFonts w:asciiTheme="majorHAnsi" w:hAnsiTheme="majorHAnsi" w:cstheme="minorHAnsi"/>
            </w:rPr>
          </w:pPr>
          <w:r>
            <w:rPr>
              <w:rFonts w:asciiTheme="majorHAnsi" w:hAnsiTheme="majorHAnsi" w:cstheme="minorHAnsi"/>
            </w:rPr>
            <w:br w:type="page"/>
          </w:r>
        </w:p>
        <w:p w14:paraId="4AAEA521" w14:textId="76DBCEE4" w:rsidR="00263AA0" w:rsidRPr="007B42EB" w:rsidRDefault="00722C76" w:rsidP="00385A02">
          <w:pPr>
            <w:rPr>
              <w:rFonts w:asciiTheme="majorHAnsi" w:hAnsiTheme="majorHAnsi" w:cstheme="minorHAnsi"/>
            </w:rPr>
          </w:pPr>
        </w:p>
      </w:sdtContent>
    </w:sdt>
    <w:sdt>
      <w:sdtPr>
        <w:rPr>
          <w:rFonts w:ascii="Times New Roman" w:eastAsia="Times New Roman" w:hAnsi="Times New Roman" w:cstheme="minorHAnsi"/>
          <w:b w:val="0"/>
          <w:bCs w:val="0"/>
          <w:color w:val="auto"/>
          <w:sz w:val="24"/>
          <w:szCs w:val="24"/>
        </w:rPr>
        <w:id w:val="1129522620"/>
        <w:docPartObj>
          <w:docPartGallery w:val="Table of Contents"/>
          <w:docPartUnique/>
        </w:docPartObj>
      </w:sdtPr>
      <w:sdtContent>
        <w:p w14:paraId="03264F87" w14:textId="77777777" w:rsidR="00385A02" w:rsidRPr="007B42EB" w:rsidRDefault="00385A02" w:rsidP="00385A02">
          <w:pPr>
            <w:pStyle w:val="TtulodeTDC"/>
            <w:rPr>
              <w:rFonts w:cstheme="minorHAnsi"/>
            </w:rPr>
          </w:pPr>
          <w:r w:rsidRPr="007B42EB">
            <w:rPr>
              <w:rFonts w:cstheme="minorHAnsi"/>
            </w:rPr>
            <w:t>Contenido</w:t>
          </w:r>
        </w:p>
        <w:p w14:paraId="6FC5A304" w14:textId="77777777" w:rsidR="00385A02" w:rsidRPr="00DB0FCA" w:rsidRDefault="00385A02" w:rsidP="0043587E">
          <w:pPr>
            <w:pStyle w:val="TDC1"/>
          </w:pPr>
          <w:r w:rsidRPr="007B42EB">
            <w:rPr>
              <w:rFonts w:cstheme="minorHAnsi"/>
            </w:rPr>
            <w:fldChar w:fldCharType="begin"/>
          </w:r>
          <w:r w:rsidRPr="007B42EB">
            <w:rPr>
              <w:rFonts w:cstheme="minorHAnsi"/>
            </w:rPr>
            <w:instrText xml:space="preserve"> TOC \o "1-3" \h \z \u </w:instrText>
          </w:r>
          <w:r w:rsidRPr="007B42EB">
            <w:rPr>
              <w:rFonts w:cstheme="minorHAnsi"/>
            </w:rPr>
            <w:fldChar w:fldCharType="separate"/>
          </w:r>
          <w:hyperlink w:anchor="_Toc427932074" w:history="1">
            <w:r w:rsidRPr="00DB0FCA">
              <w:rPr>
                <w:rStyle w:val="Hipervnculo"/>
                <w:rFonts w:cstheme="minorHAnsi"/>
              </w:rPr>
              <w:t>OBJETIVO</w:t>
            </w:r>
            <w:r w:rsidRPr="00DB0FCA">
              <w:rPr>
                <w:webHidden/>
              </w:rPr>
              <w:tab/>
            </w:r>
            <w:r w:rsidRPr="00DB0FCA">
              <w:rPr>
                <w:webHidden/>
              </w:rPr>
              <w:fldChar w:fldCharType="begin"/>
            </w:r>
            <w:r w:rsidRPr="00DB0FCA">
              <w:rPr>
                <w:webHidden/>
              </w:rPr>
              <w:instrText xml:space="preserve"> PAGEREF _Toc427932074 \h </w:instrText>
            </w:r>
            <w:r w:rsidRPr="00DB0FCA">
              <w:rPr>
                <w:webHidden/>
              </w:rPr>
            </w:r>
            <w:r w:rsidRPr="00DB0FCA">
              <w:rPr>
                <w:webHidden/>
              </w:rPr>
              <w:fldChar w:fldCharType="separate"/>
            </w:r>
            <w:r w:rsidR="00A17DFE">
              <w:rPr>
                <w:b w:val="0"/>
                <w:bCs w:val="0"/>
                <w:webHidden/>
              </w:rPr>
              <w:t>¡Error! Marcador no definido.</w:t>
            </w:r>
            <w:r w:rsidRPr="00DB0FCA">
              <w:rPr>
                <w:webHidden/>
              </w:rPr>
              <w:fldChar w:fldCharType="end"/>
            </w:r>
          </w:hyperlink>
        </w:p>
        <w:p w14:paraId="0C0BBA68" w14:textId="77777777" w:rsidR="00385A02" w:rsidRPr="00DB0FCA" w:rsidRDefault="00722C76" w:rsidP="0043587E">
          <w:pPr>
            <w:pStyle w:val="TDC1"/>
          </w:pPr>
          <w:hyperlink w:anchor="_Toc427932075" w:history="1">
            <w:r w:rsidR="00385A02" w:rsidRPr="00DB0FCA">
              <w:rPr>
                <w:rStyle w:val="Hipervnculo"/>
                <w:rFonts w:cstheme="minorHAnsi"/>
              </w:rPr>
              <w:t>ESFUERZOS DE CAPACITACIÓN DE NATURALEZA TÉCNICA Y ACADÉMICA</w:t>
            </w:r>
            <w:r w:rsidR="00385A02" w:rsidRPr="00DB0FCA">
              <w:rPr>
                <w:webHidden/>
              </w:rPr>
              <w:tab/>
            </w:r>
            <w:r w:rsidR="00385A02" w:rsidRPr="00DB0FCA">
              <w:rPr>
                <w:webHidden/>
              </w:rPr>
              <w:fldChar w:fldCharType="begin"/>
            </w:r>
            <w:r w:rsidR="00385A02" w:rsidRPr="00DB0FCA">
              <w:rPr>
                <w:webHidden/>
              </w:rPr>
              <w:instrText xml:space="preserve"> PAGEREF _Toc427932075 \h </w:instrText>
            </w:r>
            <w:r w:rsidR="00385A02" w:rsidRPr="00DB0FCA">
              <w:rPr>
                <w:webHidden/>
              </w:rPr>
            </w:r>
            <w:r w:rsidR="00385A02" w:rsidRPr="00DB0FCA">
              <w:rPr>
                <w:webHidden/>
              </w:rPr>
              <w:fldChar w:fldCharType="separate"/>
            </w:r>
            <w:r w:rsidR="00A17DFE">
              <w:rPr>
                <w:b w:val="0"/>
                <w:bCs w:val="0"/>
                <w:webHidden/>
              </w:rPr>
              <w:t>¡Error! Marcador no definido.</w:t>
            </w:r>
            <w:r w:rsidR="00385A02" w:rsidRPr="00DB0FCA">
              <w:rPr>
                <w:webHidden/>
              </w:rPr>
              <w:fldChar w:fldCharType="end"/>
            </w:r>
          </w:hyperlink>
        </w:p>
        <w:p w14:paraId="38FAEC31" w14:textId="77777777" w:rsidR="00385A02" w:rsidRPr="00DB0FCA" w:rsidRDefault="00722C76" w:rsidP="003A637D">
          <w:pPr>
            <w:pStyle w:val="TDC2"/>
            <w:rPr>
              <w:rFonts w:asciiTheme="minorHAnsi" w:eastAsiaTheme="minorEastAsia" w:hAnsiTheme="minorHAnsi" w:cstheme="minorBidi"/>
              <w:szCs w:val="22"/>
            </w:rPr>
          </w:pPr>
          <w:hyperlink w:anchor="_Toc427932076" w:history="1">
            <w:r w:rsidR="00385A02" w:rsidRPr="00DB0FCA">
              <w:rPr>
                <w:rStyle w:val="Hipervnculo"/>
                <w:rFonts w:cstheme="minorHAnsi"/>
              </w:rPr>
              <w:t>Capacitación General y Específica</w:t>
            </w:r>
            <w:r w:rsidR="00385A02" w:rsidRPr="00DB0FCA">
              <w:rPr>
                <w:webHidden/>
              </w:rPr>
              <w:tab/>
            </w:r>
            <w:r w:rsidR="00385A02" w:rsidRPr="00DB0FCA">
              <w:rPr>
                <w:webHidden/>
              </w:rPr>
              <w:fldChar w:fldCharType="begin"/>
            </w:r>
            <w:r w:rsidR="00385A02" w:rsidRPr="00DB0FCA">
              <w:rPr>
                <w:webHidden/>
              </w:rPr>
              <w:instrText xml:space="preserve"> PAGEREF _Toc427932076 \h </w:instrText>
            </w:r>
            <w:r w:rsidR="00385A02" w:rsidRPr="00DB0FCA">
              <w:rPr>
                <w:webHidden/>
              </w:rPr>
            </w:r>
            <w:r w:rsidR="00385A02" w:rsidRPr="00DB0FCA">
              <w:rPr>
                <w:webHidden/>
              </w:rPr>
              <w:fldChar w:fldCharType="separate"/>
            </w:r>
            <w:r w:rsidR="00A17DFE">
              <w:rPr>
                <w:b/>
                <w:bCs w:val="0"/>
                <w:webHidden/>
                <w:lang w:val="es-ES"/>
              </w:rPr>
              <w:t>¡Error! Marcador no definido.</w:t>
            </w:r>
            <w:r w:rsidR="00385A02" w:rsidRPr="00DB0FCA">
              <w:rPr>
                <w:webHidden/>
              </w:rPr>
              <w:fldChar w:fldCharType="end"/>
            </w:r>
          </w:hyperlink>
        </w:p>
        <w:p w14:paraId="0D43E76D" w14:textId="77777777" w:rsidR="00385A02" w:rsidRPr="00DB0FCA" w:rsidRDefault="00722C76" w:rsidP="003A637D">
          <w:pPr>
            <w:pStyle w:val="TDC2"/>
            <w:rPr>
              <w:rFonts w:asciiTheme="minorHAnsi" w:eastAsiaTheme="minorEastAsia" w:hAnsiTheme="minorHAnsi" w:cstheme="minorBidi"/>
              <w:szCs w:val="22"/>
            </w:rPr>
          </w:pPr>
          <w:hyperlink w:anchor="_Toc427932077" w:history="1">
            <w:r w:rsidR="00385A02" w:rsidRPr="00DB0FCA">
              <w:rPr>
                <w:rStyle w:val="Hipervnculo"/>
                <w:rFonts w:cstheme="minorHAnsi"/>
              </w:rPr>
              <w:t>Becas para estudios superiores</w:t>
            </w:r>
            <w:r w:rsidR="00385A02" w:rsidRPr="00DB0FCA">
              <w:rPr>
                <w:webHidden/>
              </w:rPr>
              <w:tab/>
            </w:r>
            <w:r w:rsidR="00385A02" w:rsidRPr="00DB0FCA">
              <w:rPr>
                <w:webHidden/>
              </w:rPr>
              <w:fldChar w:fldCharType="begin"/>
            </w:r>
            <w:r w:rsidR="00385A02" w:rsidRPr="00DB0FCA">
              <w:rPr>
                <w:webHidden/>
              </w:rPr>
              <w:instrText xml:space="preserve"> PAGEREF _Toc427932077 \h </w:instrText>
            </w:r>
            <w:r w:rsidR="00385A02" w:rsidRPr="00DB0FCA">
              <w:rPr>
                <w:webHidden/>
              </w:rPr>
            </w:r>
            <w:r w:rsidR="00385A02" w:rsidRPr="00DB0FCA">
              <w:rPr>
                <w:webHidden/>
              </w:rPr>
              <w:fldChar w:fldCharType="separate"/>
            </w:r>
            <w:r w:rsidR="00A17DFE">
              <w:rPr>
                <w:b/>
                <w:bCs w:val="0"/>
                <w:webHidden/>
                <w:lang w:val="es-ES"/>
              </w:rPr>
              <w:t>¡Error! Marcador no definido.</w:t>
            </w:r>
            <w:r w:rsidR="00385A02" w:rsidRPr="00DB0FCA">
              <w:rPr>
                <w:webHidden/>
              </w:rPr>
              <w:fldChar w:fldCharType="end"/>
            </w:r>
          </w:hyperlink>
        </w:p>
        <w:p w14:paraId="0111E8FD" w14:textId="77777777" w:rsidR="00385A02" w:rsidRDefault="00722C76" w:rsidP="003A637D">
          <w:pPr>
            <w:pStyle w:val="TDC2"/>
            <w:rPr>
              <w:rFonts w:asciiTheme="minorHAnsi" w:eastAsiaTheme="minorEastAsia" w:hAnsiTheme="minorHAnsi" w:cstheme="minorBidi"/>
              <w:szCs w:val="22"/>
            </w:rPr>
          </w:pPr>
          <w:hyperlink w:anchor="_Toc427932078" w:history="1">
            <w:r w:rsidR="00385A02" w:rsidRPr="00DB0FCA">
              <w:rPr>
                <w:rStyle w:val="Hipervnculo"/>
                <w:rFonts w:cstheme="minorHAnsi"/>
              </w:rPr>
              <w:t>Formación Interna</w:t>
            </w:r>
            <w:r w:rsidR="00385A02" w:rsidRPr="00DB0FCA">
              <w:rPr>
                <w:webHidden/>
              </w:rPr>
              <w:tab/>
            </w:r>
            <w:r w:rsidR="00385A02" w:rsidRPr="00DB0FCA">
              <w:rPr>
                <w:webHidden/>
              </w:rPr>
              <w:fldChar w:fldCharType="begin"/>
            </w:r>
            <w:r w:rsidR="00385A02" w:rsidRPr="00DB0FCA">
              <w:rPr>
                <w:webHidden/>
              </w:rPr>
              <w:instrText xml:space="preserve"> PAGEREF _Toc427932078 \h </w:instrText>
            </w:r>
            <w:r w:rsidR="00385A02" w:rsidRPr="00DB0FCA">
              <w:rPr>
                <w:webHidden/>
              </w:rPr>
            </w:r>
            <w:r w:rsidR="00385A02" w:rsidRPr="00DB0FCA">
              <w:rPr>
                <w:webHidden/>
              </w:rPr>
              <w:fldChar w:fldCharType="separate"/>
            </w:r>
            <w:r w:rsidR="00A17DFE">
              <w:rPr>
                <w:b/>
                <w:bCs w:val="0"/>
                <w:webHidden/>
                <w:lang w:val="es-ES"/>
              </w:rPr>
              <w:t>¡Error! Marcador no definido.</w:t>
            </w:r>
            <w:r w:rsidR="00385A02" w:rsidRPr="00DB0FCA">
              <w:rPr>
                <w:webHidden/>
              </w:rPr>
              <w:fldChar w:fldCharType="end"/>
            </w:r>
          </w:hyperlink>
        </w:p>
        <w:p w14:paraId="2723E1B7" w14:textId="77777777" w:rsidR="00385A02" w:rsidRPr="007B42EB" w:rsidRDefault="00385A02" w:rsidP="00385A02">
          <w:pPr>
            <w:rPr>
              <w:rFonts w:asciiTheme="majorHAnsi" w:hAnsiTheme="majorHAnsi" w:cstheme="minorHAnsi"/>
            </w:rPr>
          </w:pPr>
          <w:r w:rsidRPr="007B42EB">
            <w:rPr>
              <w:rFonts w:asciiTheme="majorHAnsi" w:hAnsiTheme="majorHAnsi" w:cstheme="minorHAnsi"/>
              <w:b/>
              <w:bCs/>
            </w:rPr>
            <w:fldChar w:fldCharType="end"/>
          </w:r>
        </w:p>
      </w:sdtContent>
    </w:sdt>
    <w:p w14:paraId="2696FEFA" w14:textId="77777777" w:rsidR="00385A02" w:rsidRPr="007B42EB" w:rsidRDefault="00385A02" w:rsidP="00385A02">
      <w:pPr>
        <w:rPr>
          <w:rFonts w:asciiTheme="majorHAnsi" w:hAnsiTheme="majorHAnsi" w:cstheme="minorHAnsi"/>
          <w:b/>
        </w:rPr>
      </w:pPr>
      <w:r w:rsidRPr="007B42EB">
        <w:rPr>
          <w:rFonts w:asciiTheme="majorHAnsi" w:hAnsiTheme="majorHAnsi" w:cstheme="minorHAnsi"/>
          <w:b/>
        </w:rPr>
        <w:br w:type="page"/>
      </w:r>
    </w:p>
    <w:p w14:paraId="63CC3659" w14:textId="77777777" w:rsidR="007A4941" w:rsidRPr="007B42EB" w:rsidRDefault="007A4941" w:rsidP="007A4941">
      <w:pPr>
        <w:pStyle w:val="Puesto"/>
        <w:outlineLvl w:val="0"/>
        <w:rPr>
          <w:rFonts w:cstheme="minorHAnsi"/>
        </w:rPr>
      </w:pPr>
      <w:bookmarkStart w:id="401" w:name="_Toc460402780"/>
      <w:r w:rsidRPr="007B42EB">
        <w:rPr>
          <w:rFonts w:cstheme="minorHAnsi"/>
          <w:szCs w:val="28"/>
        </w:rPr>
        <w:lastRenderedPageBreak/>
        <w:t>OBJET</w:t>
      </w:r>
      <w:r>
        <w:rPr>
          <w:rFonts w:cstheme="minorHAnsi"/>
          <w:szCs w:val="28"/>
        </w:rPr>
        <w:t>IV</w:t>
      </w:r>
      <w:r w:rsidRPr="007B42EB">
        <w:rPr>
          <w:rFonts w:cstheme="minorHAnsi"/>
          <w:szCs w:val="28"/>
        </w:rPr>
        <w:t>O</w:t>
      </w:r>
      <w:bookmarkEnd w:id="401"/>
    </w:p>
    <w:p w14:paraId="2C4DD5D1" w14:textId="77777777" w:rsidR="007A4941" w:rsidRPr="007B42EB" w:rsidRDefault="007A4941" w:rsidP="007A4941">
      <w:pPr>
        <w:spacing w:line="360" w:lineRule="auto"/>
        <w:rPr>
          <w:rFonts w:asciiTheme="majorHAnsi" w:hAnsiTheme="majorHAnsi" w:cstheme="minorHAnsi"/>
          <w:b/>
        </w:rPr>
      </w:pPr>
    </w:p>
    <w:p w14:paraId="41107277" w14:textId="77777777" w:rsidR="007A4941" w:rsidRDefault="007A4941" w:rsidP="007A4941">
      <w:pPr>
        <w:spacing w:line="276" w:lineRule="auto"/>
        <w:jc w:val="both"/>
        <w:rPr>
          <w:rFonts w:asciiTheme="majorHAnsi" w:hAnsiTheme="majorHAnsi" w:cstheme="minorHAnsi"/>
          <w:color w:val="000000"/>
        </w:rPr>
      </w:pPr>
      <w:r>
        <w:rPr>
          <w:rFonts w:asciiTheme="majorHAnsi" w:hAnsiTheme="majorHAnsi" w:cstheme="minorHAnsi"/>
          <w:color w:val="000000"/>
        </w:rPr>
        <w:t xml:space="preserve">La Superintendencia de Pensiones es responsable de velar por la seguridad de los recursos que administra el Sistema Nacional de Pensiones, así como de regular y fiscalizar la inversión de los recursos de los fondos, todo en procura de promover pensiones dignas. </w:t>
      </w:r>
    </w:p>
    <w:p w14:paraId="2F041A45" w14:textId="77777777" w:rsidR="007A4941" w:rsidRDefault="007A4941" w:rsidP="007A4941">
      <w:pPr>
        <w:spacing w:line="276" w:lineRule="auto"/>
        <w:jc w:val="both"/>
        <w:rPr>
          <w:rFonts w:asciiTheme="majorHAnsi" w:hAnsiTheme="majorHAnsi" w:cstheme="minorHAnsi"/>
          <w:color w:val="000000"/>
        </w:rPr>
      </w:pPr>
    </w:p>
    <w:p w14:paraId="4B709724" w14:textId="77777777" w:rsidR="007A4941" w:rsidRDefault="007A4941" w:rsidP="007A4941">
      <w:pPr>
        <w:spacing w:line="276" w:lineRule="auto"/>
        <w:jc w:val="both"/>
        <w:rPr>
          <w:rFonts w:asciiTheme="majorHAnsi" w:hAnsiTheme="majorHAnsi" w:cstheme="minorHAnsi"/>
        </w:rPr>
      </w:pPr>
      <w:r w:rsidRPr="007B42EB">
        <w:rPr>
          <w:rFonts w:asciiTheme="majorHAnsi" w:hAnsiTheme="majorHAnsi" w:cstheme="minorHAnsi"/>
        </w:rPr>
        <w:t>De acuerdo con lo anterior, es relevante el establecimiento de un programa permanente de formación académica</w:t>
      </w:r>
      <w:r>
        <w:rPr>
          <w:rFonts w:asciiTheme="majorHAnsi" w:hAnsiTheme="majorHAnsi" w:cstheme="minorHAnsi"/>
        </w:rPr>
        <w:t xml:space="preserve"> para los funcionarios</w:t>
      </w:r>
      <w:r w:rsidRPr="007B42EB">
        <w:rPr>
          <w:rFonts w:asciiTheme="majorHAnsi" w:hAnsiTheme="majorHAnsi" w:cstheme="minorHAnsi"/>
        </w:rPr>
        <w:t xml:space="preserve">, mediante el cual se </w:t>
      </w:r>
      <w:r>
        <w:rPr>
          <w:rFonts w:asciiTheme="majorHAnsi" w:hAnsiTheme="majorHAnsi" w:cstheme="minorHAnsi"/>
        </w:rPr>
        <w:t>guíe</w:t>
      </w:r>
      <w:r w:rsidRPr="007B42EB">
        <w:rPr>
          <w:rFonts w:asciiTheme="majorHAnsi" w:hAnsiTheme="majorHAnsi" w:cstheme="minorHAnsi"/>
        </w:rPr>
        <w:t xml:space="preserve"> </w:t>
      </w:r>
      <w:r>
        <w:rPr>
          <w:rFonts w:asciiTheme="majorHAnsi" w:hAnsiTheme="majorHAnsi" w:cstheme="minorHAnsi"/>
        </w:rPr>
        <w:t xml:space="preserve">la </w:t>
      </w:r>
      <w:r w:rsidRPr="007B42EB">
        <w:rPr>
          <w:rFonts w:asciiTheme="majorHAnsi" w:hAnsiTheme="majorHAnsi" w:cstheme="minorHAnsi"/>
        </w:rPr>
        <w:t xml:space="preserve">capacitación diversa en temas </w:t>
      </w:r>
      <w:r>
        <w:rPr>
          <w:rFonts w:asciiTheme="majorHAnsi" w:hAnsiTheme="majorHAnsi" w:cstheme="minorHAnsi"/>
        </w:rPr>
        <w:t xml:space="preserve">especializados y </w:t>
      </w:r>
      <w:r w:rsidRPr="007B42EB">
        <w:rPr>
          <w:rFonts w:asciiTheme="majorHAnsi" w:hAnsiTheme="majorHAnsi" w:cstheme="minorHAnsi"/>
        </w:rPr>
        <w:t>técnicos</w:t>
      </w:r>
      <w:r>
        <w:rPr>
          <w:rFonts w:asciiTheme="majorHAnsi" w:hAnsiTheme="majorHAnsi" w:cstheme="minorHAnsi"/>
        </w:rPr>
        <w:t xml:space="preserve"> establecidos por los encargados de cada proceso</w:t>
      </w:r>
      <w:r w:rsidRPr="007B42EB">
        <w:rPr>
          <w:rFonts w:asciiTheme="majorHAnsi" w:hAnsiTheme="majorHAnsi" w:cstheme="minorHAnsi"/>
        </w:rPr>
        <w:t xml:space="preserve">, </w:t>
      </w:r>
      <w:r>
        <w:rPr>
          <w:rFonts w:asciiTheme="majorHAnsi" w:hAnsiTheme="majorHAnsi" w:cstheme="minorHAnsi"/>
        </w:rPr>
        <w:t>contemplando asimismo</w:t>
      </w:r>
      <w:r w:rsidRPr="007B42EB">
        <w:rPr>
          <w:rFonts w:asciiTheme="majorHAnsi" w:hAnsiTheme="majorHAnsi" w:cstheme="minorHAnsi"/>
        </w:rPr>
        <w:t xml:space="preserve">, </w:t>
      </w:r>
      <w:r>
        <w:rPr>
          <w:rFonts w:asciiTheme="majorHAnsi" w:hAnsiTheme="majorHAnsi" w:cstheme="minorHAnsi"/>
        </w:rPr>
        <w:t xml:space="preserve">el otorgamiento de </w:t>
      </w:r>
      <w:r w:rsidRPr="007B42EB">
        <w:rPr>
          <w:rFonts w:asciiTheme="majorHAnsi" w:hAnsiTheme="majorHAnsi" w:cstheme="minorHAnsi"/>
        </w:rPr>
        <w:t xml:space="preserve">becas para estudios superiores, que permita </w:t>
      </w:r>
      <w:r>
        <w:rPr>
          <w:rFonts w:asciiTheme="majorHAnsi" w:hAnsiTheme="majorHAnsi" w:cstheme="minorHAnsi"/>
        </w:rPr>
        <w:t xml:space="preserve">en conjunto </w:t>
      </w:r>
      <w:r w:rsidRPr="007B42EB">
        <w:rPr>
          <w:rFonts w:asciiTheme="majorHAnsi" w:hAnsiTheme="majorHAnsi" w:cstheme="minorHAnsi"/>
        </w:rPr>
        <w:t xml:space="preserve">reforzar o alcanzar los conocimientos que requieren </w:t>
      </w:r>
      <w:r>
        <w:rPr>
          <w:rFonts w:asciiTheme="majorHAnsi" w:hAnsiTheme="majorHAnsi" w:cstheme="minorHAnsi"/>
        </w:rPr>
        <w:t xml:space="preserve">los colaboradores </w:t>
      </w:r>
      <w:r w:rsidRPr="007B42EB">
        <w:rPr>
          <w:rFonts w:asciiTheme="majorHAnsi" w:hAnsiTheme="majorHAnsi" w:cstheme="minorHAnsi"/>
        </w:rPr>
        <w:t>para llevar a cabo las labores asignadas y, con lo cual se provee una actualización constante conforme a las cambiantes exigencias del entorno.</w:t>
      </w:r>
    </w:p>
    <w:p w14:paraId="39632442" w14:textId="77777777" w:rsidR="007A4941" w:rsidRPr="007B42EB" w:rsidRDefault="007A4941" w:rsidP="007A4941">
      <w:pPr>
        <w:spacing w:line="276" w:lineRule="auto"/>
        <w:jc w:val="both"/>
        <w:rPr>
          <w:rFonts w:asciiTheme="majorHAnsi" w:hAnsiTheme="majorHAnsi" w:cstheme="minorHAnsi"/>
        </w:rPr>
      </w:pPr>
    </w:p>
    <w:p w14:paraId="2B72CC33" w14:textId="77777777" w:rsidR="007A4941" w:rsidRDefault="007A4941" w:rsidP="007A4941">
      <w:pPr>
        <w:spacing w:line="276" w:lineRule="auto"/>
        <w:jc w:val="both"/>
        <w:rPr>
          <w:rFonts w:asciiTheme="majorHAnsi" w:hAnsiTheme="majorHAnsi" w:cstheme="minorHAnsi"/>
          <w:color w:val="000000"/>
        </w:rPr>
      </w:pPr>
      <w:r w:rsidRPr="007B42EB">
        <w:rPr>
          <w:rFonts w:asciiTheme="majorHAnsi" w:hAnsiTheme="majorHAnsi" w:cstheme="minorHAnsi"/>
          <w:color w:val="000000"/>
        </w:rPr>
        <w:t xml:space="preserve">Mediante este documento se </w:t>
      </w:r>
      <w:r>
        <w:rPr>
          <w:rFonts w:asciiTheme="majorHAnsi" w:hAnsiTheme="majorHAnsi" w:cstheme="minorHAnsi"/>
          <w:color w:val="000000"/>
        </w:rPr>
        <w:t>establecen las necesidades</w:t>
      </w:r>
      <w:r w:rsidRPr="007B42EB">
        <w:rPr>
          <w:rFonts w:asciiTheme="majorHAnsi" w:hAnsiTheme="majorHAnsi" w:cstheme="minorHAnsi"/>
          <w:color w:val="000000"/>
        </w:rPr>
        <w:t xml:space="preserve"> de capacitación para el año 201</w:t>
      </w:r>
      <w:r>
        <w:rPr>
          <w:rFonts w:asciiTheme="majorHAnsi" w:hAnsiTheme="majorHAnsi" w:cstheme="minorHAnsi"/>
          <w:color w:val="000000"/>
        </w:rPr>
        <w:t>7</w:t>
      </w:r>
      <w:r w:rsidRPr="007B42EB">
        <w:rPr>
          <w:rFonts w:asciiTheme="majorHAnsi" w:hAnsiTheme="majorHAnsi" w:cstheme="minorHAnsi"/>
          <w:color w:val="000000"/>
        </w:rPr>
        <w:t>, requerid</w:t>
      </w:r>
      <w:r>
        <w:rPr>
          <w:rFonts w:asciiTheme="majorHAnsi" w:hAnsiTheme="majorHAnsi" w:cstheme="minorHAnsi"/>
          <w:color w:val="000000"/>
        </w:rPr>
        <w:t>a</w:t>
      </w:r>
      <w:r w:rsidRPr="007B42EB">
        <w:rPr>
          <w:rFonts w:asciiTheme="majorHAnsi" w:hAnsiTheme="majorHAnsi" w:cstheme="minorHAnsi"/>
          <w:color w:val="000000"/>
        </w:rPr>
        <w:t>s para que el personal de la Superintendencia de Pensiones cuente con la capacidad técnica necesaria para desempeñar con éxito las funciones que le han sido encomendadas en la Ley de Protección al Trabajador y demás normas conexas.</w:t>
      </w:r>
    </w:p>
    <w:p w14:paraId="6E107A4B" w14:textId="77777777" w:rsidR="007A4941" w:rsidRPr="007B42EB" w:rsidRDefault="007A4941" w:rsidP="007A4941">
      <w:pPr>
        <w:spacing w:line="276" w:lineRule="auto"/>
        <w:jc w:val="both"/>
        <w:rPr>
          <w:rFonts w:asciiTheme="majorHAnsi" w:hAnsiTheme="majorHAnsi" w:cstheme="minorHAnsi"/>
          <w:color w:val="000000"/>
        </w:rPr>
      </w:pPr>
    </w:p>
    <w:p w14:paraId="0930912D" w14:textId="3B8DCF33" w:rsidR="007A4941" w:rsidRDefault="007A4941" w:rsidP="007A4941">
      <w:pPr>
        <w:spacing w:line="276" w:lineRule="auto"/>
        <w:jc w:val="both"/>
        <w:rPr>
          <w:rFonts w:asciiTheme="majorHAnsi" w:hAnsiTheme="majorHAnsi"/>
        </w:rPr>
      </w:pPr>
      <w:r w:rsidRPr="00844392">
        <w:rPr>
          <w:rFonts w:asciiTheme="majorHAnsi" w:hAnsiTheme="majorHAnsi" w:cstheme="minorHAnsi"/>
          <w:color w:val="000000"/>
        </w:rPr>
        <w:t xml:space="preserve">A continuación, se </w:t>
      </w:r>
      <w:r w:rsidRPr="00844392">
        <w:rPr>
          <w:rFonts w:asciiTheme="majorHAnsi" w:hAnsiTheme="majorHAnsi" w:cstheme="minorHAnsi"/>
        </w:rPr>
        <w:t xml:space="preserve">presenta la programación de la formación para el año 2017 por tema y dependencia. </w:t>
      </w:r>
      <w:r w:rsidRPr="00844392">
        <w:rPr>
          <w:rFonts w:asciiTheme="majorHAnsi" w:hAnsiTheme="majorHAnsi"/>
        </w:rPr>
        <w:t xml:space="preserve">Cabe destacar, que para dicho período se </w:t>
      </w:r>
      <w:r w:rsidR="00BF05BF">
        <w:rPr>
          <w:rFonts w:asciiTheme="majorHAnsi" w:hAnsiTheme="majorHAnsi"/>
        </w:rPr>
        <w:t>cuenta con</w:t>
      </w:r>
      <w:r w:rsidRPr="00844392">
        <w:rPr>
          <w:rFonts w:asciiTheme="majorHAnsi" w:hAnsiTheme="majorHAnsi"/>
        </w:rPr>
        <w:t xml:space="preserve"> un presupuesto de ¢</w:t>
      </w:r>
      <w:r w:rsidR="00403809">
        <w:rPr>
          <w:rFonts w:asciiTheme="majorHAnsi" w:hAnsiTheme="majorHAnsi"/>
        </w:rPr>
        <w:t>98,1</w:t>
      </w:r>
      <w:r w:rsidRPr="00844392">
        <w:rPr>
          <w:rFonts w:asciiTheme="majorHAnsi" w:hAnsiTheme="majorHAnsi"/>
        </w:rPr>
        <w:t xml:space="preserve"> millones de colones</w:t>
      </w:r>
      <w:r>
        <w:rPr>
          <w:rFonts w:asciiTheme="majorHAnsi" w:hAnsiTheme="majorHAnsi"/>
        </w:rPr>
        <w:t>.</w:t>
      </w:r>
    </w:p>
    <w:p w14:paraId="273E1DA0" w14:textId="77777777" w:rsidR="007A4941" w:rsidRDefault="007A4941" w:rsidP="007A4941">
      <w:pPr>
        <w:spacing w:line="276" w:lineRule="auto"/>
        <w:jc w:val="both"/>
        <w:rPr>
          <w:rFonts w:asciiTheme="majorHAnsi" w:hAnsiTheme="majorHAnsi"/>
        </w:rPr>
      </w:pPr>
    </w:p>
    <w:p w14:paraId="15035865" w14:textId="77777777" w:rsidR="007A4941" w:rsidRDefault="007A4941" w:rsidP="007A4941">
      <w:pPr>
        <w:spacing w:line="276" w:lineRule="auto"/>
        <w:jc w:val="both"/>
        <w:rPr>
          <w:rFonts w:asciiTheme="majorHAnsi" w:hAnsiTheme="majorHAnsi" w:cstheme="minorHAnsi"/>
        </w:rPr>
      </w:pPr>
      <w:r>
        <w:rPr>
          <w:rFonts w:asciiTheme="majorHAnsi" w:hAnsiTheme="majorHAnsi" w:cstheme="minorHAnsi"/>
        </w:rPr>
        <w:t xml:space="preserve">Dadas las limitaciones de recursos y los precios cambiantes de las capacitaciones, esta administración espera poder ejecutar la mayor parte de las necesidades, conforme se vayan requiriendo. </w:t>
      </w:r>
    </w:p>
    <w:p w14:paraId="3C62E94B" w14:textId="77777777" w:rsidR="007A4941" w:rsidRDefault="007A4941" w:rsidP="007A4941">
      <w:pPr>
        <w:spacing w:line="276" w:lineRule="auto"/>
        <w:jc w:val="both"/>
        <w:rPr>
          <w:rFonts w:asciiTheme="majorHAnsi" w:hAnsiTheme="majorHAnsi" w:cstheme="minorHAnsi"/>
        </w:rPr>
      </w:pPr>
    </w:p>
    <w:p w14:paraId="399CAA7A" w14:textId="77777777" w:rsidR="007A4941" w:rsidRPr="007B42EB" w:rsidRDefault="007A4941" w:rsidP="007A4941">
      <w:pPr>
        <w:spacing w:line="276" w:lineRule="auto"/>
        <w:jc w:val="both"/>
        <w:rPr>
          <w:rFonts w:asciiTheme="majorHAnsi" w:hAnsiTheme="majorHAnsi" w:cstheme="minorHAnsi"/>
        </w:rPr>
      </w:pPr>
      <w:r>
        <w:rPr>
          <w:rFonts w:asciiTheme="majorHAnsi" w:hAnsiTheme="majorHAnsi" w:cstheme="minorHAnsi"/>
        </w:rPr>
        <w:t>Es responsabilidad del encargado de proceso la coordinación con el área de Comunicación y Servicios, para la contratación de cursos y capacitaciones específicas y de carácter técnico.</w:t>
      </w:r>
    </w:p>
    <w:p w14:paraId="4A44E80E" w14:textId="77777777" w:rsidR="007A4941" w:rsidRPr="007B42EB" w:rsidRDefault="007A4941" w:rsidP="007A4941">
      <w:pPr>
        <w:spacing w:line="360" w:lineRule="auto"/>
        <w:jc w:val="both"/>
        <w:rPr>
          <w:rFonts w:asciiTheme="majorHAnsi" w:hAnsiTheme="majorHAnsi" w:cstheme="minorHAnsi"/>
        </w:rPr>
      </w:pPr>
    </w:p>
    <w:p w14:paraId="508743D7" w14:textId="77777777" w:rsidR="007A4941" w:rsidRPr="002842C7" w:rsidRDefault="007A4941" w:rsidP="007A4941">
      <w:pPr>
        <w:autoSpaceDE w:val="0"/>
        <w:autoSpaceDN w:val="0"/>
        <w:spacing w:before="40" w:after="40" w:line="260" w:lineRule="atLeast"/>
      </w:pPr>
      <w:r w:rsidRPr="007B42EB">
        <w:rPr>
          <w:rFonts w:cstheme="minorHAnsi"/>
        </w:rPr>
        <w:br w:type="page"/>
      </w:r>
    </w:p>
    <w:p w14:paraId="70427861" w14:textId="77777777" w:rsidR="007A4941" w:rsidRPr="007B42EB" w:rsidRDefault="007A4941" w:rsidP="007A4941">
      <w:pPr>
        <w:pStyle w:val="Puesto"/>
        <w:outlineLvl w:val="0"/>
        <w:rPr>
          <w:rFonts w:cstheme="minorHAnsi"/>
          <w:szCs w:val="28"/>
        </w:rPr>
      </w:pPr>
    </w:p>
    <w:p w14:paraId="411102F2" w14:textId="77777777" w:rsidR="007A4941" w:rsidRPr="007B42EB" w:rsidRDefault="007A4941" w:rsidP="007A4941">
      <w:pPr>
        <w:pStyle w:val="Puesto"/>
        <w:outlineLvl w:val="0"/>
        <w:rPr>
          <w:rFonts w:cstheme="minorHAnsi"/>
          <w:szCs w:val="28"/>
        </w:rPr>
      </w:pPr>
      <w:bookmarkStart w:id="402" w:name="_Toc460402781"/>
      <w:r w:rsidRPr="007B42EB">
        <w:rPr>
          <w:rFonts w:cstheme="minorHAnsi"/>
          <w:szCs w:val="28"/>
        </w:rPr>
        <w:t>ESFUERZOS DE CAP</w:t>
      </w:r>
      <w:r w:rsidRPr="00E61E49">
        <w:rPr>
          <w:rFonts w:cstheme="minorHAnsi"/>
          <w:szCs w:val="28"/>
        </w:rPr>
        <w:t>ACITACI</w:t>
      </w:r>
      <w:r w:rsidRPr="007B42EB">
        <w:rPr>
          <w:rFonts w:cstheme="minorHAnsi"/>
          <w:szCs w:val="28"/>
        </w:rPr>
        <w:t>ÓN DE NATURALEZA TÉCNICA Y ACADÉMICA</w:t>
      </w:r>
      <w:bookmarkEnd w:id="402"/>
    </w:p>
    <w:p w14:paraId="19BAF911" w14:textId="77777777" w:rsidR="00F5028A" w:rsidRDefault="00F5028A" w:rsidP="007A4941">
      <w:pPr>
        <w:spacing w:line="276" w:lineRule="auto"/>
        <w:jc w:val="both"/>
        <w:rPr>
          <w:rFonts w:asciiTheme="majorHAnsi" w:hAnsiTheme="majorHAnsi" w:cstheme="minorHAnsi"/>
        </w:rPr>
      </w:pPr>
    </w:p>
    <w:p w14:paraId="17CD5F27" w14:textId="77777777" w:rsidR="00F5028A" w:rsidRDefault="00F5028A" w:rsidP="007A4941">
      <w:pPr>
        <w:spacing w:line="276" w:lineRule="auto"/>
        <w:jc w:val="both"/>
        <w:rPr>
          <w:rFonts w:asciiTheme="majorHAnsi" w:hAnsiTheme="majorHAnsi" w:cstheme="minorHAnsi"/>
        </w:rPr>
      </w:pPr>
    </w:p>
    <w:p w14:paraId="44AAD25C" w14:textId="6E38E59B" w:rsidR="007A4941" w:rsidRPr="007B42EB" w:rsidRDefault="007A4941" w:rsidP="007A4941">
      <w:pPr>
        <w:spacing w:line="276" w:lineRule="auto"/>
        <w:jc w:val="both"/>
        <w:rPr>
          <w:rFonts w:asciiTheme="majorHAnsi" w:hAnsiTheme="majorHAnsi" w:cstheme="minorHAnsi"/>
        </w:rPr>
      </w:pPr>
      <w:r w:rsidRPr="007B42EB">
        <w:rPr>
          <w:rFonts w:asciiTheme="majorHAnsi" w:hAnsiTheme="majorHAnsi" w:cstheme="minorHAnsi"/>
        </w:rPr>
        <w:t xml:space="preserve">Seguidamente se expone </w:t>
      </w:r>
      <w:r>
        <w:rPr>
          <w:rFonts w:asciiTheme="majorHAnsi" w:hAnsiTheme="majorHAnsi" w:cstheme="minorHAnsi"/>
        </w:rPr>
        <w:t>a detalle la</w:t>
      </w:r>
      <w:r w:rsidRPr="007B42EB">
        <w:rPr>
          <w:rFonts w:asciiTheme="majorHAnsi" w:hAnsiTheme="majorHAnsi" w:cstheme="minorHAnsi"/>
        </w:rPr>
        <w:t xml:space="preserve"> formación </w:t>
      </w:r>
      <w:r>
        <w:rPr>
          <w:rFonts w:asciiTheme="majorHAnsi" w:hAnsiTheme="majorHAnsi" w:cstheme="minorHAnsi"/>
        </w:rPr>
        <w:t xml:space="preserve">requerida </w:t>
      </w:r>
      <w:r w:rsidRPr="007B42EB">
        <w:rPr>
          <w:rFonts w:asciiTheme="majorHAnsi" w:hAnsiTheme="majorHAnsi" w:cstheme="minorHAnsi"/>
        </w:rPr>
        <w:t>en el ámbito técnico y académico, para cumplir cabalmente con las responsabilidades encomendadas.</w:t>
      </w:r>
    </w:p>
    <w:p w14:paraId="6854E218" w14:textId="77777777" w:rsidR="007A4941" w:rsidRPr="007B42EB" w:rsidRDefault="007A4941" w:rsidP="007A4941">
      <w:pPr>
        <w:spacing w:line="276" w:lineRule="auto"/>
        <w:jc w:val="both"/>
        <w:rPr>
          <w:rFonts w:asciiTheme="majorHAnsi" w:hAnsiTheme="majorHAnsi" w:cstheme="minorHAnsi"/>
        </w:rPr>
      </w:pPr>
    </w:p>
    <w:p w14:paraId="1B72A849" w14:textId="77777777" w:rsidR="007A4941" w:rsidRPr="007B42EB" w:rsidRDefault="007A4941" w:rsidP="007A4941">
      <w:pPr>
        <w:spacing w:line="276" w:lineRule="auto"/>
        <w:jc w:val="both"/>
        <w:rPr>
          <w:rFonts w:asciiTheme="majorHAnsi" w:hAnsiTheme="majorHAnsi" w:cstheme="minorHAnsi"/>
        </w:rPr>
      </w:pPr>
      <w:r w:rsidRPr="007B42EB">
        <w:rPr>
          <w:rFonts w:asciiTheme="majorHAnsi" w:hAnsiTheme="majorHAnsi" w:cstheme="minorHAnsi"/>
        </w:rPr>
        <w:t>La capacitación</w:t>
      </w:r>
      <w:r>
        <w:rPr>
          <w:rFonts w:asciiTheme="majorHAnsi" w:hAnsiTheme="majorHAnsi" w:cstheme="minorHAnsi"/>
        </w:rPr>
        <w:t xml:space="preserve"> y desarrollo se encuentra estructurada de la siguiente manera</w:t>
      </w:r>
      <w:r w:rsidRPr="007B42EB">
        <w:rPr>
          <w:rFonts w:asciiTheme="majorHAnsi" w:hAnsiTheme="majorHAnsi" w:cstheme="minorHAnsi"/>
        </w:rPr>
        <w:t xml:space="preserve">: </w:t>
      </w:r>
      <w:r w:rsidRPr="007B42EB">
        <w:rPr>
          <w:rFonts w:asciiTheme="majorHAnsi" w:hAnsiTheme="majorHAnsi" w:cstheme="minorHAnsi"/>
          <w:b/>
          <w:i/>
        </w:rPr>
        <w:t>capacitación general</w:t>
      </w:r>
      <w:r>
        <w:rPr>
          <w:rFonts w:asciiTheme="majorHAnsi" w:hAnsiTheme="majorHAnsi" w:cstheme="minorHAnsi"/>
          <w:b/>
          <w:i/>
        </w:rPr>
        <w:t xml:space="preserve"> y</w:t>
      </w:r>
      <w:r w:rsidRPr="007B42EB">
        <w:rPr>
          <w:rFonts w:asciiTheme="majorHAnsi" w:hAnsiTheme="majorHAnsi" w:cstheme="minorHAnsi"/>
        </w:rPr>
        <w:t xml:space="preserve"> </w:t>
      </w:r>
      <w:r w:rsidRPr="007B42EB">
        <w:rPr>
          <w:rFonts w:asciiTheme="majorHAnsi" w:hAnsiTheme="majorHAnsi" w:cstheme="minorHAnsi"/>
          <w:b/>
          <w:i/>
        </w:rPr>
        <w:t>específica</w:t>
      </w:r>
      <w:r w:rsidRPr="007B42EB">
        <w:rPr>
          <w:rFonts w:asciiTheme="majorHAnsi" w:hAnsiTheme="majorHAnsi" w:cstheme="minorHAnsi"/>
        </w:rPr>
        <w:t>,</w:t>
      </w:r>
      <w:r w:rsidRPr="007B42EB">
        <w:rPr>
          <w:rFonts w:asciiTheme="majorHAnsi" w:hAnsiTheme="majorHAnsi" w:cstheme="minorHAnsi"/>
          <w:b/>
          <w:i/>
        </w:rPr>
        <w:t xml:space="preserve"> becas para estudios superiores </w:t>
      </w:r>
      <w:r w:rsidRPr="007B42EB">
        <w:rPr>
          <w:rFonts w:asciiTheme="majorHAnsi" w:hAnsiTheme="majorHAnsi" w:cstheme="minorHAnsi"/>
        </w:rPr>
        <w:t xml:space="preserve">y </w:t>
      </w:r>
      <w:r w:rsidRPr="00C0488A">
        <w:rPr>
          <w:rFonts w:asciiTheme="majorHAnsi" w:hAnsiTheme="majorHAnsi" w:cstheme="minorHAnsi"/>
          <w:b/>
          <w:i/>
        </w:rPr>
        <w:t>formación interna</w:t>
      </w:r>
      <w:r>
        <w:rPr>
          <w:rFonts w:asciiTheme="majorHAnsi" w:hAnsiTheme="majorHAnsi" w:cstheme="minorHAnsi"/>
          <w:b/>
          <w:i/>
        </w:rPr>
        <w:t xml:space="preserve"> dentro</w:t>
      </w:r>
      <w:r w:rsidRPr="00C0488A">
        <w:rPr>
          <w:rFonts w:asciiTheme="majorHAnsi" w:hAnsiTheme="majorHAnsi" w:cstheme="minorHAnsi"/>
          <w:b/>
          <w:i/>
        </w:rPr>
        <w:t xml:space="preserve"> la Institución</w:t>
      </w:r>
      <w:r w:rsidRPr="00C0488A">
        <w:rPr>
          <w:rFonts w:asciiTheme="majorHAnsi" w:hAnsiTheme="majorHAnsi" w:cstheme="minorHAnsi"/>
        </w:rPr>
        <w:t>. En primera instancia, se identifican los</w:t>
      </w:r>
      <w:r w:rsidRPr="007B42EB">
        <w:rPr>
          <w:rFonts w:asciiTheme="majorHAnsi" w:hAnsiTheme="majorHAnsi" w:cstheme="minorHAnsi"/>
        </w:rPr>
        <w:t xml:space="preserve"> temas sustantivos de capacitación, precisando el objetivo puntual que se pretende </w:t>
      </w:r>
      <w:r>
        <w:rPr>
          <w:rFonts w:asciiTheme="majorHAnsi" w:hAnsiTheme="majorHAnsi" w:cstheme="minorHAnsi"/>
        </w:rPr>
        <w:t>alcanzar con cada uno de ellos</w:t>
      </w:r>
      <w:r w:rsidRPr="007B42EB">
        <w:rPr>
          <w:rFonts w:asciiTheme="majorHAnsi" w:hAnsiTheme="majorHAnsi" w:cstheme="minorHAnsi"/>
        </w:rPr>
        <w:t xml:space="preserve">. Además, se delimitan las áreas de la Superintendencia que se verán beneficiadas por la formación, así como otros detalles necesarios que esto conlleva. </w:t>
      </w:r>
    </w:p>
    <w:p w14:paraId="18AEABC6" w14:textId="77777777" w:rsidR="007A4941" w:rsidRPr="007B42EB" w:rsidRDefault="007A4941" w:rsidP="007A4941">
      <w:pPr>
        <w:spacing w:line="360" w:lineRule="auto"/>
        <w:jc w:val="both"/>
        <w:rPr>
          <w:rFonts w:asciiTheme="majorHAnsi" w:hAnsiTheme="majorHAnsi" w:cstheme="minorHAnsi"/>
        </w:rPr>
      </w:pPr>
    </w:p>
    <w:p w14:paraId="000087B3" w14:textId="77777777" w:rsidR="007A4941" w:rsidRPr="007B42EB" w:rsidRDefault="007A4941" w:rsidP="007A4941">
      <w:pPr>
        <w:pStyle w:val="Subttulo"/>
        <w:outlineLvl w:val="1"/>
        <w:rPr>
          <w:rFonts w:cstheme="minorHAnsi"/>
          <w:b w:val="0"/>
          <w:szCs w:val="28"/>
        </w:rPr>
      </w:pPr>
      <w:bookmarkStart w:id="403" w:name="_Toc460402782"/>
      <w:r w:rsidRPr="007B42EB">
        <w:rPr>
          <w:rFonts w:cstheme="minorHAnsi"/>
          <w:szCs w:val="28"/>
        </w:rPr>
        <w:t>Capacitación General</w:t>
      </w:r>
      <w:r>
        <w:rPr>
          <w:rFonts w:cstheme="minorHAnsi"/>
          <w:szCs w:val="28"/>
        </w:rPr>
        <w:t xml:space="preserve"> y Específica</w:t>
      </w:r>
      <w:bookmarkEnd w:id="403"/>
    </w:p>
    <w:p w14:paraId="2F629D6B" w14:textId="77777777" w:rsidR="007A4941" w:rsidRPr="007B42EB" w:rsidRDefault="007A4941" w:rsidP="007A4941">
      <w:pPr>
        <w:rPr>
          <w:rFonts w:asciiTheme="majorHAnsi" w:hAnsiTheme="majorHAnsi" w:cstheme="minorHAnsi"/>
        </w:rPr>
      </w:pPr>
    </w:p>
    <w:p w14:paraId="753DDEF9" w14:textId="77777777" w:rsidR="007A4941" w:rsidRDefault="007A4941" w:rsidP="007A4941">
      <w:pPr>
        <w:spacing w:line="276" w:lineRule="auto"/>
        <w:jc w:val="both"/>
        <w:rPr>
          <w:rFonts w:asciiTheme="majorHAnsi" w:hAnsiTheme="majorHAnsi" w:cstheme="minorHAnsi"/>
        </w:rPr>
      </w:pPr>
      <w:r>
        <w:rPr>
          <w:rFonts w:asciiTheme="majorHAnsi" w:hAnsiTheme="majorHAnsi" w:cstheme="minorHAnsi"/>
        </w:rPr>
        <w:t>En el caso de la capacitación general, c</w:t>
      </w:r>
      <w:r w:rsidRPr="007B42EB">
        <w:rPr>
          <w:rFonts w:asciiTheme="majorHAnsi" w:hAnsiTheme="majorHAnsi" w:cstheme="minorHAnsi"/>
        </w:rPr>
        <w:t>orresponde a la capacitación que, por su naturaleza, involucra a funcionarios de todos los procesos. Al agruparla en temas iguales se pretende la creación de sinergia y abarata</w:t>
      </w:r>
      <w:r>
        <w:rPr>
          <w:rFonts w:asciiTheme="majorHAnsi" w:hAnsiTheme="majorHAnsi" w:cstheme="minorHAnsi"/>
        </w:rPr>
        <w:t>miento de</w:t>
      </w:r>
      <w:r w:rsidRPr="007B42EB">
        <w:rPr>
          <w:rFonts w:asciiTheme="majorHAnsi" w:hAnsiTheme="majorHAnsi" w:cstheme="minorHAnsi"/>
        </w:rPr>
        <w:t xml:space="preserve"> costos, a través de la obtención de mejores precios.</w:t>
      </w:r>
    </w:p>
    <w:p w14:paraId="619FDA8F" w14:textId="77777777" w:rsidR="007A4941" w:rsidRDefault="007A4941" w:rsidP="007A4941">
      <w:pPr>
        <w:spacing w:line="276" w:lineRule="auto"/>
        <w:jc w:val="both"/>
        <w:rPr>
          <w:rFonts w:asciiTheme="majorHAnsi" w:hAnsiTheme="majorHAnsi" w:cstheme="minorHAnsi"/>
        </w:rPr>
      </w:pPr>
    </w:p>
    <w:p w14:paraId="4C909390" w14:textId="77777777" w:rsidR="007A4941" w:rsidRPr="007B42EB" w:rsidRDefault="007A4941" w:rsidP="007A4941">
      <w:pPr>
        <w:spacing w:line="276" w:lineRule="auto"/>
        <w:jc w:val="both"/>
        <w:rPr>
          <w:rFonts w:asciiTheme="majorHAnsi" w:hAnsiTheme="majorHAnsi" w:cstheme="minorHAnsi"/>
        </w:rPr>
      </w:pPr>
      <w:r>
        <w:rPr>
          <w:rFonts w:asciiTheme="majorHAnsi" w:hAnsiTheme="majorHAnsi" w:cstheme="minorHAnsi"/>
        </w:rPr>
        <w:t xml:space="preserve">Por otra parte, la capacitación específica se refiere a los </w:t>
      </w:r>
      <w:r w:rsidRPr="007B42EB">
        <w:rPr>
          <w:rFonts w:asciiTheme="majorHAnsi" w:hAnsiTheme="majorHAnsi" w:cstheme="minorHAnsi"/>
        </w:rPr>
        <w:t xml:space="preserve">temas de capacitación que aplican a un proceso </w:t>
      </w:r>
      <w:r>
        <w:rPr>
          <w:rFonts w:asciiTheme="majorHAnsi" w:hAnsiTheme="majorHAnsi" w:cstheme="minorHAnsi"/>
        </w:rPr>
        <w:t>determinado.</w:t>
      </w:r>
    </w:p>
    <w:p w14:paraId="6179DF91" w14:textId="77777777" w:rsidR="007A4941" w:rsidRPr="007B42EB" w:rsidRDefault="007A4941" w:rsidP="007A4941">
      <w:pPr>
        <w:spacing w:line="276" w:lineRule="auto"/>
        <w:jc w:val="both"/>
        <w:rPr>
          <w:rFonts w:asciiTheme="majorHAnsi" w:hAnsiTheme="majorHAnsi" w:cstheme="minorHAnsi"/>
        </w:rPr>
      </w:pPr>
    </w:p>
    <w:p w14:paraId="7C2F324B" w14:textId="2840955A" w:rsidR="007A4941" w:rsidRPr="007B42EB" w:rsidRDefault="007A4941" w:rsidP="00F5028A">
      <w:pPr>
        <w:spacing w:line="276" w:lineRule="auto"/>
        <w:jc w:val="both"/>
        <w:rPr>
          <w:rFonts w:asciiTheme="majorHAnsi" w:hAnsiTheme="majorHAnsi" w:cstheme="minorHAnsi"/>
        </w:rPr>
      </w:pPr>
      <w:r w:rsidRPr="007B42EB">
        <w:rPr>
          <w:rFonts w:asciiTheme="majorHAnsi" w:hAnsiTheme="majorHAnsi" w:cstheme="minorHAnsi"/>
        </w:rPr>
        <w:t xml:space="preserve">Seguidamente, se detallan </w:t>
      </w:r>
      <w:r>
        <w:rPr>
          <w:rFonts w:asciiTheme="majorHAnsi" w:hAnsiTheme="majorHAnsi" w:cstheme="minorHAnsi"/>
        </w:rPr>
        <w:t xml:space="preserve">todos los </w:t>
      </w:r>
      <w:r w:rsidRPr="00EC6609">
        <w:rPr>
          <w:rFonts w:asciiTheme="majorHAnsi" w:hAnsiTheme="majorHAnsi" w:cstheme="minorHAnsi"/>
        </w:rPr>
        <w:t>temas</w:t>
      </w:r>
      <w:r w:rsidRPr="007B42EB">
        <w:rPr>
          <w:rFonts w:asciiTheme="majorHAnsi" w:hAnsiTheme="majorHAnsi" w:cstheme="minorHAnsi"/>
        </w:rPr>
        <w:t xml:space="preserve"> de interés institucional</w:t>
      </w:r>
      <w:r w:rsidRPr="007B42EB">
        <w:rPr>
          <w:rStyle w:val="Refdenotaalpie"/>
          <w:rFonts w:asciiTheme="majorHAnsi" w:hAnsiTheme="majorHAnsi" w:cstheme="minorHAnsi"/>
        </w:rPr>
        <w:footnoteReference w:id="10"/>
      </w:r>
      <w:r w:rsidRPr="007B42EB">
        <w:rPr>
          <w:rFonts w:asciiTheme="majorHAnsi" w:hAnsiTheme="majorHAnsi" w:cstheme="minorHAnsi"/>
        </w:rPr>
        <w:t xml:space="preserve">, </w:t>
      </w:r>
      <w:r>
        <w:rPr>
          <w:rFonts w:asciiTheme="majorHAnsi" w:hAnsiTheme="majorHAnsi" w:cstheme="minorHAnsi"/>
        </w:rPr>
        <w:t>así como, por dependencia</w:t>
      </w:r>
      <w:r w:rsidRPr="007B42EB">
        <w:rPr>
          <w:rFonts w:asciiTheme="majorHAnsi" w:hAnsiTheme="majorHAnsi" w:cstheme="minorHAnsi"/>
        </w:rPr>
        <w:t>:</w:t>
      </w:r>
    </w:p>
    <w:p w14:paraId="39A9698C" w14:textId="77777777" w:rsidR="007A4941" w:rsidRPr="007B42EB" w:rsidRDefault="007A4941" w:rsidP="007A4941">
      <w:pPr>
        <w:rPr>
          <w:rFonts w:asciiTheme="majorHAnsi" w:hAnsiTheme="majorHAnsi" w:cstheme="minorHAnsi"/>
        </w:rPr>
      </w:pPr>
    </w:p>
    <w:p w14:paraId="3342F4E7" w14:textId="77777777" w:rsidR="007A4941" w:rsidRPr="007B42EB" w:rsidRDefault="007A4941" w:rsidP="007A4941">
      <w:pPr>
        <w:rPr>
          <w:rFonts w:asciiTheme="majorHAnsi" w:hAnsiTheme="majorHAnsi" w:cstheme="minorHAnsi"/>
        </w:rPr>
      </w:pPr>
    </w:p>
    <w:p w14:paraId="2ABA21FA" w14:textId="77777777" w:rsidR="007A4941" w:rsidRPr="007B42EB" w:rsidRDefault="007A4941" w:rsidP="007A4941">
      <w:pPr>
        <w:rPr>
          <w:rFonts w:asciiTheme="majorHAnsi" w:hAnsiTheme="majorHAnsi" w:cstheme="minorHAnsi"/>
        </w:rPr>
      </w:pPr>
    </w:p>
    <w:p w14:paraId="41B6486A" w14:textId="77777777" w:rsidR="007A4941" w:rsidRPr="007B42EB" w:rsidRDefault="007A4941" w:rsidP="007A4941">
      <w:pPr>
        <w:rPr>
          <w:rFonts w:asciiTheme="majorHAnsi" w:hAnsiTheme="majorHAnsi" w:cstheme="minorHAnsi"/>
        </w:rPr>
      </w:pPr>
    </w:p>
    <w:p w14:paraId="0904E71F" w14:textId="77777777" w:rsidR="007A4941" w:rsidRPr="007B42EB" w:rsidRDefault="007A4941" w:rsidP="007A4941">
      <w:pPr>
        <w:rPr>
          <w:rFonts w:asciiTheme="majorHAnsi" w:hAnsiTheme="majorHAnsi" w:cstheme="minorHAnsi"/>
        </w:rPr>
      </w:pPr>
    </w:p>
    <w:p w14:paraId="1C235739" w14:textId="77777777" w:rsidR="007A4941" w:rsidRPr="007B42EB" w:rsidRDefault="007A4941" w:rsidP="007A4941">
      <w:pPr>
        <w:rPr>
          <w:rFonts w:asciiTheme="majorHAnsi" w:hAnsiTheme="majorHAnsi" w:cstheme="minorHAnsi"/>
        </w:rPr>
      </w:pPr>
    </w:p>
    <w:p w14:paraId="12D5D9B6" w14:textId="77777777" w:rsidR="007A4941" w:rsidRDefault="007A4941" w:rsidP="007A4941">
      <w:pPr>
        <w:jc w:val="center"/>
        <w:rPr>
          <w:rFonts w:asciiTheme="majorHAnsi" w:hAnsiTheme="majorHAnsi" w:cstheme="minorHAnsi"/>
        </w:rPr>
      </w:pPr>
    </w:p>
    <w:p w14:paraId="310DD0D8" w14:textId="77777777" w:rsidR="007A4941" w:rsidRDefault="007A4941" w:rsidP="007A4941">
      <w:pPr>
        <w:jc w:val="center"/>
        <w:rPr>
          <w:rFonts w:asciiTheme="majorHAnsi" w:hAnsiTheme="majorHAnsi" w:cstheme="minorHAnsi"/>
        </w:rPr>
      </w:pPr>
    </w:p>
    <w:p w14:paraId="7A11AB02" w14:textId="77777777" w:rsidR="007A4941" w:rsidRDefault="007A4941" w:rsidP="007A4941">
      <w:pPr>
        <w:jc w:val="center"/>
        <w:rPr>
          <w:rFonts w:asciiTheme="majorHAnsi" w:hAnsiTheme="majorHAnsi" w:cstheme="minorHAnsi"/>
        </w:rPr>
      </w:pPr>
    </w:p>
    <w:p w14:paraId="12DA62F1" w14:textId="77777777" w:rsidR="007A4941" w:rsidRPr="00BF32B3" w:rsidRDefault="007A4941" w:rsidP="007A4941">
      <w:pPr>
        <w:jc w:val="center"/>
        <w:rPr>
          <w:rFonts w:asciiTheme="majorHAnsi" w:hAnsiTheme="majorHAnsi" w:cstheme="minorHAnsi"/>
        </w:rPr>
      </w:pPr>
    </w:p>
    <w:p w14:paraId="5F126ABA" w14:textId="77777777" w:rsidR="007A4941" w:rsidRDefault="007A4941" w:rsidP="007A4941">
      <w:pPr>
        <w:jc w:val="center"/>
        <w:rPr>
          <w:rFonts w:asciiTheme="majorHAnsi" w:hAnsiTheme="majorHAnsi" w:cstheme="minorHAnsi"/>
        </w:rPr>
      </w:pPr>
    </w:p>
    <w:p w14:paraId="60953DBB" w14:textId="77777777" w:rsidR="007A4941" w:rsidRDefault="007A4941" w:rsidP="007A4941">
      <w:pPr>
        <w:jc w:val="center"/>
        <w:rPr>
          <w:rFonts w:asciiTheme="majorHAnsi" w:hAnsiTheme="majorHAnsi" w:cstheme="minorHAnsi"/>
        </w:rPr>
      </w:pPr>
      <w:r w:rsidRPr="002A440B">
        <w:rPr>
          <w:noProof/>
        </w:rPr>
        <w:lastRenderedPageBreak/>
        <w:drawing>
          <wp:inline distT="0" distB="0" distL="0" distR="0" wp14:anchorId="0BFA4647" wp14:editId="1B66C5B9">
            <wp:extent cx="5972810" cy="8108268"/>
            <wp:effectExtent l="0" t="0" r="8890" b="7620"/>
            <wp:docPr id="80471" name="Imagen 8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72810" cy="8108268"/>
                    </a:xfrm>
                    <a:prstGeom prst="rect">
                      <a:avLst/>
                    </a:prstGeom>
                    <a:noFill/>
                    <a:ln>
                      <a:noFill/>
                    </a:ln>
                  </pic:spPr>
                </pic:pic>
              </a:graphicData>
            </a:graphic>
          </wp:inline>
        </w:drawing>
      </w:r>
    </w:p>
    <w:p w14:paraId="586E18CE" w14:textId="77777777" w:rsidR="007A4941" w:rsidRDefault="007A4941" w:rsidP="007A4941">
      <w:pPr>
        <w:jc w:val="center"/>
        <w:rPr>
          <w:rFonts w:asciiTheme="majorHAnsi" w:hAnsiTheme="majorHAnsi" w:cstheme="minorHAnsi"/>
        </w:rPr>
      </w:pPr>
      <w:r w:rsidRPr="00CA67E2">
        <w:rPr>
          <w:noProof/>
        </w:rPr>
        <w:lastRenderedPageBreak/>
        <w:drawing>
          <wp:inline distT="0" distB="0" distL="0" distR="0" wp14:anchorId="50BBF8F6" wp14:editId="564ADC64">
            <wp:extent cx="5972810" cy="8273263"/>
            <wp:effectExtent l="0" t="0" r="8890" b="0"/>
            <wp:docPr id="80472" name="Imagen 80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72810" cy="8273263"/>
                    </a:xfrm>
                    <a:prstGeom prst="rect">
                      <a:avLst/>
                    </a:prstGeom>
                    <a:noFill/>
                    <a:ln>
                      <a:noFill/>
                    </a:ln>
                  </pic:spPr>
                </pic:pic>
              </a:graphicData>
            </a:graphic>
          </wp:inline>
        </w:drawing>
      </w:r>
    </w:p>
    <w:p w14:paraId="12BA89EE" w14:textId="77777777" w:rsidR="007A4941" w:rsidRDefault="007A4941" w:rsidP="007A4941">
      <w:pPr>
        <w:jc w:val="center"/>
        <w:rPr>
          <w:rFonts w:asciiTheme="majorHAnsi" w:hAnsiTheme="majorHAnsi" w:cstheme="minorHAnsi"/>
        </w:rPr>
      </w:pPr>
      <w:r w:rsidRPr="00D71253">
        <w:rPr>
          <w:noProof/>
        </w:rPr>
        <w:lastRenderedPageBreak/>
        <w:drawing>
          <wp:inline distT="0" distB="0" distL="0" distR="0" wp14:anchorId="10F5DF2B" wp14:editId="437F2B3E">
            <wp:extent cx="5972810" cy="7576744"/>
            <wp:effectExtent l="0" t="0" r="8890" b="5715"/>
            <wp:docPr id="80473" name="Imagen 8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72810" cy="7576744"/>
                    </a:xfrm>
                    <a:prstGeom prst="rect">
                      <a:avLst/>
                    </a:prstGeom>
                    <a:noFill/>
                    <a:ln>
                      <a:noFill/>
                    </a:ln>
                  </pic:spPr>
                </pic:pic>
              </a:graphicData>
            </a:graphic>
          </wp:inline>
        </w:drawing>
      </w:r>
    </w:p>
    <w:p w14:paraId="194A22F0" w14:textId="77777777" w:rsidR="007A4941" w:rsidRDefault="007A4941" w:rsidP="007A4941">
      <w:pPr>
        <w:spacing w:line="360" w:lineRule="auto"/>
        <w:rPr>
          <w:rFonts w:asciiTheme="majorHAnsi" w:hAnsiTheme="majorHAnsi" w:cstheme="minorHAnsi"/>
        </w:rPr>
      </w:pPr>
    </w:p>
    <w:p w14:paraId="4C2B22DC" w14:textId="77777777" w:rsidR="007A4941" w:rsidRDefault="007A4941" w:rsidP="007A4941">
      <w:pPr>
        <w:jc w:val="center"/>
        <w:rPr>
          <w:rFonts w:asciiTheme="majorHAnsi" w:hAnsiTheme="majorHAnsi" w:cstheme="minorHAnsi"/>
        </w:rPr>
      </w:pPr>
      <w:r w:rsidRPr="00D71253">
        <w:rPr>
          <w:noProof/>
        </w:rPr>
        <w:lastRenderedPageBreak/>
        <w:drawing>
          <wp:inline distT="0" distB="0" distL="0" distR="0" wp14:anchorId="00AAD354" wp14:editId="3479DCE9">
            <wp:extent cx="5972810" cy="4385265"/>
            <wp:effectExtent l="0" t="0" r="0" b="0"/>
            <wp:docPr id="80474" name="Imagen 80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72810" cy="4385265"/>
                    </a:xfrm>
                    <a:prstGeom prst="rect">
                      <a:avLst/>
                    </a:prstGeom>
                    <a:noFill/>
                    <a:ln>
                      <a:noFill/>
                    </a:ln>
                  </pic:spPr>
                </pic:pic>
              </a:graphicData>
            </a:graphic>
          </wp:inline>
        </w:drawing>
      </w:r>
    </w:p>
    <w:p w14:paraId="2DE52B50" w14:textId="77777777" w:rsidR="007A4941" w:rsidRPr="00021BDB" w:rsidRDefault="007A4941" w:rsidP="007A4941">
      <w:pPr>
        <w:spacing w:line="360" w:lineRule="auto"/>
        <w:jc w:val="center"/>
        <w:rPr>
          <w:rFonts w:asciiTheme="majorHAnsi" w:hAnsiTheme="majorHAnsi" w:cstheme="minorHAnsi"/>
        </w:rPr>
      </w:pPr>
    </w:p>
    <w:p w14:paraId="4BBB6A4A" w14:textId="77777777" w:rsidR="007A4941" w:rsidRDefault="007A4941" w:rsidP="007A4941">
      <w:pPr>
        <w:spacing w:line="360" w:lineRule="auto"/>
        <w:jc w:val="both"/>
        <w:rPr>
          <w:rFonts w:cstheme="minorHAnsi"/>
          <w:b/>
          <w:sz w:val="28"/>
          <w:szCs w:val="28"/>
        </w:rPr>
      </w:pPr>
    </w:p>
    <w:p w14:paraId="6FE964A2" w14:textId="77777777" w:rsidR="007A4941" w:rsidRPr="007B42EB" w:rsidRDefault="007A4941" w:rsidP="007A4941">
      <w:pPr>
        <w:pStyle w:val="Subttulo"/>
        <w:outlineLvl w:val="1"/>
        <w:rPr>
          <w:rFonts w:cstheme="minorHAnsi"/>
          <w:b w:val="0"/>
          <w:szCs w:val="28"/>
        </w:rPr>
      </w:pPr>
      <w:bookmarkStart w:id="404" w:name="_Toc460402783"/>
      <w:r w:rsidRPr="007B42EB">
        <w:rPr>
          <w:rFonts w:cstheme="minorHAnsi"/>
          <w:szCs w:val="28"/>
        </w:rPr>
        <w:t>Becas para estudios superiores</w:t>
      </w:r>
      <w:bookmarkEnd w:id="404"/>
    </w:p>
    <w:p w14:paraId="67C68D31" w14:textId="77777777" w:rsidR="007A4941" w:rsidRPr="007B42EB" w:rsidRDefault="007A4941" w:rsidP="007A4941">
      <w:pPr>
        <w:spacing w:line="360" w:lineRule="auto"/>
        <w:ind w:right="406"/>
        <w:jc w:val="both"/>
        <w:rPr>
          <w:rFonts w:asciiTheme="majorHAnsi" w:hAnsiTheme="majorHAnsi" w:cstheme="minorHAnsi"/>
          <w:b/>
        </w:rPr>
      </w:pPr>
    </w:p>
    <w:p w14:paraId="472371D5" w14:textId="77777777" w:rsidR="007A4941" w:rsidRDefault="007A4941" w:rsidP="007A4941">
      <w:pPr>
        <w:spacing w:line="276" w:lineRule="auto"/>
        <w:jc w:val="both"/>
        <w:rPr>
          <w:rFonts w:asciiTheme="majorHAnsi" w:hAnsiTheme="majorHAnsi"/>
        </w:rPr>
      </w:pPr>
      <w:r>
        <w:rPr>
          <w:rFonts w:asciiTheme="majorHAnsi" w:hAnsiTheme="majorHAnsi" w:cstheme="minorHAnsi"/>
        </w:rPr>
        <w:t xml:space="preserve">En relación con este apartado, se prevé el otorgamiento de 3 becas durante el período 2017, para lo cual </w:t>
      </w:r>
      <w:r w:rsidRPr="00844392">
        <w:rPr>
          <w:rFonts w:asciiTheme="majorHAnsi" w:hAnsiTheme="majorHAnsi"/>
        </w:rPr>
        <w:t>se aprobó un presupuesto de</w:t>
      </w:r>
      <w:r w:rsidRPr="00B1496C">
        <w:rPr>
          <w:rFonts w:asciiTheme="majorHAnsi" w:hAnsiTheme="majorHAnsi"/>
        </w:rPr>
        <w:t xml:space="preserve"> ¢4,3 millones de colones.</w:t>
      </w:r>
    </w:p>
    <w:p w14:paraId="35D2DAD6" w14:textId="77777777" w:rsidR="007A4941" w:rsidRPr="007B42EB" w:rsidRDefault="007A4941" w:rsidP="007A4941">
      <w:pPr>
        <w:ind w:right="408"/>
        <w:jc w:val="both"/>
        <w:rPr>
          <w:rFonts w:asciiTheme="majorHAnsi" w:hAnsiTheme="majorHAnsi" w:cstheme="minorHAnsi"/>
        </w:rPr>
      </w:pPr>
    </w:p>
    <w:tbl>
      <w:tblPr>
        <w:tblW w:w="9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7"/>
      </w:tblGrid>
      <w:tr w:rsidR="007A4941" w:rsidRPr="007B42EB" w14:paraId="76F71E02" w14:textId="77777777" w:rsidTr="00BE58C2">
        <w:trPr>
          <w:trHeight w:val="966"/>
          <w:jc w:val="center"/>
        </w:trPr>
        <w:tc>
          <w:tcPr>
            <w:tcW w:w="9317" w:type="dxa"/>
            <w:tcBorders>
              <w:bottom w:val="single" w:sz="4" w:space="0" w:color="auto"/>
            </w:tcBorders>
            <w:vAlign w:val="center"/>
          </w:tcPr>
          <w:p w14:paraId="75221124" w14:textId="77777777" w:rsidR="007A4941" w:rsidRPr="007B42EB" w:rsidRDefault="007A4941" w:rsidP="00BE58C2">
            <w:pPr>
              <w:spacing w:before="60" w:after="60" w:line="276" w:lineRule="auto"/>
              <w:jc w:val="both"/>
              <w:rPr>
                <w:rFonts w:asciiTheme="majorHAnsi" w:hAnsiTheme="majorHAnsi" w:cstheme="minorHAnsi"/>
                <w:sz w:val="20"/>
                <w:szCs w:val="20"/>
              </w:rPr>
            </w:pPr>
            <w:r w:rsidRPr="007B42EB">
              <w:rPr>
                <w:rFonts w:asciiTheme="majorHAnsi" w:hAnsiTheme="majorHAnsi" w:cstheme="minorHAnsi"/>
                <w:b/>
                <w:sz w:val="20"/>
                <w:szCs w:val="20"/>
              </w:rPr>
              <w:t>Objet</w:t>
            </w:r>
            <w:r>
              <w:rPr>
                <w:rFonts w:asciiTheme="majorHAnsi" w:hAnsiTheme="majorHAnsi" w:cstheme="minorHAnsi"/>
                <w:b/>
                <w:sz w:val="20"/>
                <w:szCs w:val="20"/>
              </w:rPr>
              <w:t>iv</w:t>
            </w:r>
            <w:r w:rsidRPr="007B42EB">
              <w:rPr>
                <w:rFonts w:asciiTheme="majorHAnsi" w:hAnsiTheme="majorHAnsi" w:cstheme="minorHAnsi"/>
                <w:b/>
                <w:sz w:val="20"/>
                <w:szCs w:val="20"/>
              </w:rPr>
              <w:t>o:</w:t>
            </w:r>
          </w:p>
          <w:p w14:paraId="36F88445" w14:textId="77777777" w:rsidR="007A4941" w:rsidRPr="007B42EB" w:rsidRDefault="007A4941" w:rsidP="00BE58C2">
            <w:pPr>
              <w:spacing w:before="60" w:after="60" w:line="276" w:lineRule="auto"/>
              <w:jc w:val="both"/>
              <w:rPr>
                <w:rFonts w:asciiTheme="majorHAnsi" w:hAnsiTheme="majorHAnsi" w:cstheme="minorHAnsi"/>
                <w:sz w:val="20"/>
                <w:szCs w:val="20"/>
              </w:rPr>
            </w:pPr>
            <w:r w:rsidRPr="007B42EB">
              <w:rPr>
                <w:rFonts w:asciiTheme="majorHAnsi" w:hAnsiTheme="majorHAnsi" w:cstheme="minorHAnsi"/>
                <w:sz w:val="20"/>
                <w:szCs w:val="20"/>
              </w:rPr>
              <w:t>Permitir, mediante el otorgamiento de los estudios superiores formales, que los funcionarios puedan alcanzar una mejor formación para el desempeño de las labores asignadas de manera eficiente y eficaz, así como implementar nuevas técnicas y soluciones creativas en el puesto de trabajo, en el marco del mejoramiento continuo y la excelencia académica.</w:t>
            </w:r>
          </w:p>
        </w:tc>
      </w:tr>
    </w:tbl>
    <w:p w14:paraId="014735DB" w14:textId="77777777" w:rsidR="007A4941" w:rsidRDefault="007A4941" w:rsidP="007A4941"/>
    <w:p w14:paraId="23E9C13E" w14:textId="77777777" w:rsidR="007A4941" w:rsidRDefault="007A4941" w:rsidP="007A4941">
      <w:pPr>
        <w:rPr>
          <w:rFonts w:asciiTheme="majorHAnsi" w:eastAsiaTheme="majorEastAsia" w:hAnsiTheme="majorHAnsi" w:cstheme="minorHAnsi"/>
          <w:b/>
          <w:i/>
          <w:iCs/>
          <w:color w:val="4F81BD" w:themeColor="accent1"/>
          <w:spacing w:val="15"/>
          <w:sz w:val="28"/>
          <w:szCs w:val="28"/>
        </w:rPr>
      </w:pPr>
      <w:r>
        <w:rPr>
          <w:rFonts w:cstheme="minorHAnsi"/>
          <w:b/>
          <w:sz w:val="28"/>
          <w:szCs w:val="28"/>
        </w:rPr>
        <w:br w:type="page"/>
      </w:r>
    </w:p>
    <w:p w14:paraId="59A72138" w14:textId="77777777" w:rsidR="007A4941" w:rsidRPr="0069231C" w:rsidRDefault="007A4941" w:rsidP="007A4941">
      <w:pPr>
        <w:pStyle w:val="Subttulo"/>
        <w:outlineLvl w:val="1"/>
        <w:rPr>
          <w:rFonts w:cstheme="minorHAnsi"/>
          <w:b w:val="0"/>
          <w:szCs w:val="28"/>
        </w:rPr>
      </w:pPr>
    </w:p>
    <w:p w14:paraId="7BB24170" w14:textId="77777777" w:rsidR="007A4941" w:rsidRPr="007B42EB" w:rsidRDefault="007A4941" w:rsidP="007A4941">
      <w:pPr>
        <w:pStyle w:val="Subttulo"/>
        <w:outlineLvl w:val="1"/>
        <w:rPr>
          <w:rFonts w:cstheme="minorHAnsi"/>
          <w:b w:val="0"/>
          <w:szCs w:val="28"/>
        </w:rPr>
      </w:pPr>
      <w:bookmarkStart w:id="405" w:name="_Toc460402784"/>
      <w:r w:rsidRPr="007B42EB">
        <w:rPr>
          <w:rFonts w:cstheme="minorHAnsi"/>
          <w:szCs w:val="28"/>
        </w:rPr>
        <w:t>Formación Interna</w:t>
      </w:r>
      <w:bookmarkEnd w:id="405"/>
    </w:p>
    <w:p w14:paraId="008550FD" w14:textId="77777777" w:rsidR="007A4941" w:rsidRPr="007B42EB" w:rsidRDefault="007A4941" w:rsidP="007A4941">
      <w:pPr>
        <w:tabs>
          <w:tab w:val="left" w:pos="9180"/>
        </w:tabs>
        <w:spacing w:line="360" w:lineRule="auto"/>
        <w:jc w:val="center"/>
        <w:rPr>
          <w:rFonts w:asciiTheme="majorHAnsi" w:hAnsiTheme="majorHAnsi" w:cstheme="minorHAnsi"/>
          <w:b/>
        </w:rPr>
      </w:pPr>
    </w:p>
    <w:p w14:paraId="1580B196" w14:textId="77777777" w:rsidR="007A4941" w:rsidRDefault="007A4941" w:rsidP="007A4941">
      <w:pPr>
        <w:tabs>
          <w:tab w:val="left" w:pos="9180"/>
        </w:tabs>
        <w:spacing w:line="276" w:lineRule="auto"/>
        <w:jc w:val="both"/>
        <w:rPr>
          <w:rFonts w:asciiTheme="majorHAnsi" w:hAnsiTheme="majorHAnsi" w:cstheme="minorHAnsi"/>
        </w:rPr>
      </w:pPr>
      <w:r>
        <w:rPr>
          <w:rFonts w:asciiTheme="majorHAnsi" w:hAnsiTheme="majorHAnsi" w:cstheme="minorHAnsi"/>
        </w:rPr>
        <w:t xml:space="preserve">En relación con la capacitación presupuestada, un aspecto fundamental es el máximo aprovechamiento de los conocimientos recibidos durante la ejecución de un curso. Debido a lo anterior, en casos de </w:t>
      </w:r>
      <w:r w:rsidRPr="00DE1E13">
        <w:rPr>
          <w:rFonts w:asciiTheme="majorHAnsi" w:hAnsiTheme="majorHAnsi" w:cstheme="minorHAnsi"/>
          <w:i/>
        </w:rPr>
        <w:t>capacitación sustantiva</w:t>
      </w:r>
      <w:r w:rsidRPr="00BB2A41">
        <w:rPr>
          <w:rFonts w:asciiTheme="majorHAnsi" w:hAnsiTheme="majorHAnsi" w:cstheme="minorHAnsi"/>
        </w:rPr>
        <w:t xml:space="preserve">, </w:t>
      </w:r>
      <w:r>
        <w:rPr>
          <w:rFonts w:asciiTheme="majorHAnsi" w:hAnsiTheme="majorHAnsi" w:cstheme="minorHAnsi"/>
        </w:rPr>
        <w:t>entendiéndose como aquellos</w:t>
      </w:r>
      <w:r w:rsidRPr="00BB2A41">
        <w:rPr>
          <w:rFonts w:asciiTheme="majorHAnsi" w:hAnsiTheme="majorHAnsi" w:cstheme="minorHAnsi"/>
        </w:rPr>
        <w:t xml:space="preserve"> cursos o charlas que versen sobre temas relacionados con la materia de pensiones</w:t>
      </w:r>
      <w:r>
        <w:rPr>
          <w:rFonts w:asciiTheme="majorHAnsi" w:hAnsiTheme="majorHAnsi" w:cstheme="minorHAnsi"/>
        </w:rPr>
        <w:t>,</w:t>
      </w:r>
      <w:r w:rsidRPr="00BB2A41">
        <w:rPr>
          <w:rFonts w:asciiTheme="majorHAnsi" w:hAnsiTheme="majorHAnsi" w:cstheme="minorHAnsi"/>
        </w:rPr>
        <w:t xml:space="preserve"> que fomenten la actualización periódica de los conocimientos mínimos que todo colaborador debe poseer para desempeñar adecuadamente las funciones asignadas</w:t>
      </w:r>
      <w:r>
        <w:rPr>
          <w:rFonts w:asciiTheme="majorHAnsi" w:hAnsiTheme="majorHAnsi" w:cstheme="minorHAnsi"/>
        </w:rPr>
        <w:t xml:space="preserve"> y cursos que por su alto costo, ya sea en el interior o en el exterior, solo permite considerar un número limitado de participantes; los funcionarios beneficiados deberán impartir charlas de extensión a los compañeros de la dependencia (o a compañeros de otras dependencias, según el tema de que se trate) </w:t>
      </w:r>
      <w:r w:rsidRPr="00BF6605">
        <w:rPr>
          <w:rFonts w:asciiTheme="majorHAnsi" w:hAnsiTheme="majorHAnsi" w:cstheme="minorHAnsi"/>
        </w:rPr>
        <w:t>a través de una formación interna</w:t>
      </w:r>
      <w:r>
        <w:rPr>
          <w:rFonts w:asciiTheme="majorHAnsi" w:hAnsiTheme="majorHAnsi" w:cstheme="minorHAnsi"/>
        </w:rPr>
        <w:t>.</w:t>
      </w:r>
    </w:p>
    <w:p w14:paraId="05297966" w14:textId="77777777" w:rsidR="007A4941" w:rsidRDefault="007A4941" w:rsidP="007A4941">
      <w:pPr>
        <w:tabs>
          <w:tab w:val="left" w:pos="9180"/>
        </w:tabs>
        <w:spacing w:line="276" w:lineRule="auto"/>
        <w:jc w:val="both"/>
        <w:rPr>
          <w:rFonts w:asciiTheme="majorHAnsi" w:hAnsiTheme="majorHAnsi" w:cstheme="minorHAnsi"/>
        </w:rPr>
      </w:pPr>
    </w:p>
    <w:p w14:paraId="2322FBFC" w14:textId="77777777" w:rsidR="007A4941" w:rsidRDefault="007A4941" w:rsidP="007A4941">
      <w:pPr>
        <w:tabs>
          <w:tab w:val="left" w:pos="9180"/>
        </w:tabs>
        <w:spacing w:line="276" w:lineRule="auto"/>
        <w:jc w:val="both"/>
        <w:rPr>
          <w:rFonts w:asciiTheme="majorHAnsi" w:hAnsiTheme="majorHAnsi" w:cstheme="minorHAnsi"/>
        </w:rPr>
      </w:pPr>
      <w:r>
        <w:rPr>
          <w:rFonts w:asciiTheme="majorHAnsi" w:hAnsiTheme="majorHAnsi" w:cstheme="minorHAnsi"/>
        </w:rPr>
        <w:t>Por otra parte, es de suma relevancia destacar</w:t>
      </w:r>
      <w:r w:rsidRPr="007B42EB">
        <w:rPr>
          <w:rFonts w:asciiTheme="majorHAnsi" w:hAnsiTheme="majorHAnsi" w:cstheme="minorHAnsi"/>
        </w:rPr>
        <w:t xml:space="preserve"> que existen áreas en las que algunos procesos cuentan con experiencia y dominio de temas específicos de acuerdo con su campo de acción, por lo cual, es necesario aprovechar dicho bagaje de conocimientos a fin de </w:t>
      </w:r>
      <w:r>
        <w:rPr>
          <w:rFonts w:asciiTheme="majorHAnsi" w:hAnsiTheme="majorHAnsi" w:cstheme="minorHAnsi"/>
        </w:rPr>
        <w:t>compartir el conocimiento con</w:t>
      </w:r>
      <w:r w:rsidRPr="007B42EB">
        <w:rPr>
          <w:rFonts w:asciiTheme="majorHAnsi" w:hAnsiTheme="majorHAnsi" w:cstheme="minorHAnsi"/>
        </w:rPr>
        <w:t xml:space="preserve"> otros procesos que lo requieran.  Lo anterior, puede verse como un complemento o valor agregado para efectuar sus labores de manera más eficaz, asimismo, redunda en múltiples beneficios para la organización. </w:t>
      </w:r>
      <w:r>
        <w:rPr>
          <w:rFonts w:asciiTheme="majorHAnsi" w:hAnsiTheme="majorHAnsi" w:cstheme="minorHAnsi"/>
        </w:rPr>
        <w:t xml:space="preserve"> </w:t>
      </w:r>
    </w:p>
    <w:p w14:paraId="1029BE0A" w14:textId="77777777" w:rsidR="007A4941" w:rsidRDefault="007A4941" w:rsidP="007A4941">
      <w:pPr>
        <w:tabs>
          <w:tab w:val="left" w:pos="9180"/>
        </w:tabs>
        <w:spacing w:line="276" w:lineRule="auto"/>
        <w:jc w:val="both"/>
        <w:rPr>
          <w:rFonts w:asciiTheme="majorHAnsi" w:hAnsiTheme="majorHAnsi" w:cstheme="minorHAnsi"/>
        </w:rPr>
      </w:pPr>
    </w:p>
    <w:p w14:paraId="2C6C4C67" w14:textId="77777777" w:rsidR="007A4941" w:rsidRPr="007B42EB" w:rsidRDefault="007A4941" w:rsidP="007A4941">
      <w:pPr>
        <w:autoSpaceDE w:val="0"/>
        <w:autoSpaceDN w:val="0"/>
        <w:adjustRightInd w:val="0"/>
        <w:spacing w:line="276" w:lineRule="auto"/>
        <w:jc w:val="both"/>
        <w:rPr>
          <w:rFonts w:asciiTheme="majorHAnsi" w:hAnsiTheme="majorHAnsi" w:cstheme="minorHAnsi"/>
        </w:rPr>
      </w:pPr>
      <w:r w:rsidRPr="007B42EB">
        <w:rPr>
          <w:rFonts w:asciiTheme="majorHAnsi" w:hAnsiTheme="majorHAnsi" w:cstheme="minorHAnsi"/>
        </w:rPr>
        <w:t xml:space="preserve">De acuerdo con lo anteriormente expuesto, el programa </w:t>
      </w:r>
      <w:r w:rsidRPr="007B42EB">
        <w:rPr>
          <w:rFonts w:asciiTheme="majorHAnsi" w:hAnsiTheme="majorHAnsi" w:cstheme="minorHAnsi"/>
          <w:i/>
        </w:rPr>
        <w:t>"Capacitación para la mejora continua"</w:t>
      </w:r>
      <w:r w:rsidRPr="007B42EB">
        <w:rPr>
          <w:rFonts w:asciiTheme="majorHAnsi" w:hAnsiTheme="majorHAnsi" w:cstheme="minorHAnsi"/>
        </w:rPr>
        <w:t xml:space="preserve"> que consiste en un sistema de charlas programadas e impartidas por funcionarios de la institución para los mismos colaboradores de la Superintendencia</w:t>
      </w:r>
      <w:r>
        <w:rPr>
          <w:rFonts w:asciiTheme="majorHAnsi" w:hAnsiTheme="majorHAnsi" w:cstheme="minorHAnsi"/>
        </w:rPr>
        <w:t>, será de aplicación continua según se requiera</w:t>
      </w:r>
      <w:r w:rsidRPr="007B42EB">
        <w:rPr>
          <w:rFonts w:asciiTheme="majorHAnsi" w:hAnsiTheme="majorHAnsi" w:cstheme="minorHAnsi"/>
        </w:rPr>
        <w:t>.</w:t>
      </w:r>
    </w:p>
    <w:p w14:paraId="51BBE78B" w14:textId="77777777" w:rsidR="007A4941" w:rsidRPr="007B42EB" w:rsidRDefault="007A4941" w:rsidP="007A4941">
      <w:pPr>
        <w:tabs>
          <w:tab w:val="left" w:pos="9180"/>
        </w:tabs>
        <w:spacing w:line="276" w:lineRule="auto"/>
        <w:jc w:val="both"/>
        <w:rPr>
          <w:rFonts w:asciiTheme="majorHAnsi" w:hAnsiTheme="majorHAnsi" w:cstheme="minorHAnsi"/>
        </w:rPr>
      </w:pPr>
    </w:p>
    <w:p w14:paraId="30AE92B5" w14:textId="77777777" w:rsidR="007A4941" w:rsidRDefault="007A4941" w:rsidP="007A4941">
      <w:pPr>
        <w:autoSpaceDE w:val="0"/>
        <w:autoSpaceDN w:val="0"/>
        <w:adjustRightInd w:val="0"/>
        <w:spacing w:line="276" w:lineRule="auto"/>
        <w:jc w:val="both"/>
        <w:rPr>
          <w:rFonts w:asciiTheme="majorHAnsi" w:hAnsiTheme="majorHAnsi" w:cstheme="minorHAnsi"/>
        </w:rPr>
      </w:pPr>
      <w:r w:rsidRPr="007B42EB">
        <w:rPr>
          <w:rFonts w:asciiTheme="majorHAnsi" w:hAnsiTheme="majorHAnsi" w:cstheme="minorHAnsi"/>
        </w:rPr>
        <w:t xml:space="preserve">En tal sentido, se abordarán temas resultantes en cambios de normativa vigente o temas relativos a nueva normativa emitida por la División de Planificación y Normativa, </w:t>
      </w:r>
      <w:r>
        <w:rPr>
          <w:rFonts w:asciiTheme="majorHAnsi" w:hAnsiTheme="majorHAnsi" w:cstheme="minorHAnsi"/>
        </w:rPr>
        <w:t xml:space="preserve">conocimiento a nivel básico por parte de todos los funcionarios en el tema de pensiones y la Seguridad Social, </w:t>
      </w:r>
      <w:r w:rsidRPr="007B42EB">
        <w:rPr>
          <w:rFonts w:asciiTheme="majorHAnsi" w:hAnsiTheme="majorHAnsi" w:cstheme="minorHAnsi"/>
        </w:rPr>
        <w:t xml:space="preserve">aspectos de índole legal, así como actualización </w:t>
      </w:r>
      <w:r>
        <w:rPr>
          <w:rFonts w:asciiTheme="majorHAnsi" w:hAnsiTheme="majorHAnsi" w:cstheme="minorHAnsi"/>
        </w:rPr>
        <w:t>en temas informáticos</w:t>
      </w:r>
      <w:r w:rsidRPr="007B42EB">
        <w:rPr>
          <w:rFonts w:asciiTheme="majorHAnsi" w:hAnsiTheme="majorHAnsi" w:cstheme="minorHAnsi"/>
        </w:rPr>
        <w:t xml:space="preserve">, entre otros; que afecten la calidad de las tareas efectuadas por el personal de la institución. </w:t>
      </w:r>
    </w:p>
    <w:p w14:paraId="343EE566" w14:textId="77777777" w:rsidR="007A4941" w:rsidRDefault="007A4941" w:rsidP="007A4941">
      <w:pPr>
        <w:autoSpaceDE w:val="0"/>
        <w:autoSpaceDN w:val="0"/>
        <w:adjustRightInd w:val="0"/>
        <w:spacing w:line="276" w:lineRule="auto"/>
        <w:jc w:val="both"/>
        <w:rPr>
          <w:rFonts w:asciiTheme="majorHAnsi" w:hAnsiTheme="majorHAnsi" w:cstheme="minorHAnsi"/>
        </w:rPr>
      </w:pPr>
    </w:p>
    <w:p w14:paraId="6BF34402" w14:textId="77777777" w:rsidR="007A4941" w:rsidRDefault="007A4941" w:rsidP="007A4941">
      <w:pPr>
        <w:autoSpaceDE w:val="0"/>
        <w:autoSpaceDN w:val="0"/>
        <w:adjustRightInd w:val="0"/>
        <w:spacing w:line="276" w:lineRule="auto"/>
        <w:jc w:val="both"/>
        <w:rPr>
          <w:rFonts w:asciiTheme="majorHAnsi" w:hAnsiTheme="majorHAnsi" w:cstheme="minorHAnsi"/>
        </w:rPr>
      </w:pPr>
      <w:r>
        <w:rPr>
          <w:rFonts w:asciiTheme="majorHAnsi" w:hAnsiTheme="majorHAnsi" w:cstheme="minorHAnsi"/>
        </w:rPr>
        <w:t>En relación con lo anterior, dentro de las necesidades de formación para el período 2017, fue solicitado el siguiente requerimiento de capacitación interna:</w:t>
      </w:r>
    </w:p>
    <w:p w14:paraId="6E84E547" w14:textId="77777777" w:rsidR="007A4941" w:rsidRDefault="007A4941" w:rsidP="007A4941">
      <w:pPr>
        <w:rPr>
          <w:rFonts w:asciiTheme="majorHAnsi" w:hAnsiTheme="majorHAnsi" w:cstheme="minorHAnsi"/>
        </w:rPr>
      </w:pPr>
      <w:r>
        <w:rPr>
          <w:rFonts w:asciiTheme="majorHAnsi" w:hAnsiTheme="majorHAnsi" w:cstheme="minorHAnsi"/>
        </w:rPr>
        <w:br w:type="page"/>
      </w:r>
    </w:p>
    <w:p w14:paraId="7B5CCC00" w14:textId="77777777" w:rsidR="007A4941" w:rsidRDefault="007A4941" w:rsidP="007A4941">
      <w:pPr>
        <w:autoSpaceDE w:val="0"/>
        <w:autoSpaceDN w:val="0"/>
        <w:adjustRightInd w:val="0"/>
        <w:spacing w:line="276" w:lineRule="auto"/>
        <w:jc w:val="both"/>
        <w:rPr>
          <w:rFonts w:asciiTheme="majorHAnsi" w:hAnsiTheme="majorHAnsi" w:cstheme="minorHAnsi"/>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341"/>
      </w:tblGrid>
      <w:tr w:rsidR="007A4941" w:rsidRPr="007B42EB" w14:paraId="6F3A4927" w14:textId="77777777" w:rsidTr="00BE58C2">
        <w:trPr>
          <w:trHeight w:val="387"/>
          <w:jc w:val="center"/>
        </w:trPr>
        <w:tc>
          <w:tcPr>
            <w:tcW w:w="8885" w:type="dxa"/>
            <w:gridSpan w:val="2"/>
            <w:shd w:val="clear" w:color="auto" w:fill="DBE5F1" w:themeFill="accent1" w:themeFillTint="33"/>
            <w:vAlign w:val="center"/>
          </w:tcPr>
          <w:p w14:paraId="320B1BE7" w14:textId="77777777" w:rsidR="007A4941" w:rsidRPr="007B42EB" w:rsidRDefault="007A4941" w:rsidP="00BE58C2">
            <w:pPr>
              <w:spacing w:before="60" w:after="60" w:line="276" w:lineRule="auto"/>
              <w:jc w:val="both"/>
              <w:rPr>
                <w:rFonts w:asciiTheme="majorHAnsi" w:hAnsiTheme="majorHAnsi" w:cstheme="minorHAnsi"/>
                <w:b/>
                <w:sz w:val="20"/>
                <w:szCs w:val="20"/>
              </w:rPr>
            </w:pPr>
            <w:r>
              <w:rPr>
                <w:rFonts w:asciiTheme="majorHAnsi" w:hAnsiTheme="majorHAnsi" w:cstheme="minorHAnsi"/>
                <w:b/>
                <w:sz w:val="22"/>
                <w:szCs w:val="20"/>
              </w:rPr>
              <w:t>Tema: Seguridad Social / Subtema: Nivel Avanzado</w:t>
            </w:r>
            <w:r w:rsidRPr="0069231C">
              <w:rPr>
                <w:rFonts w:asciiTheme="majorHAnsi" w:hAnsiTheme="majorHAnsi" w:cstheme="minorHAnsi"/>
                <w:b/>
                <w:sz w:val="22"/>
                <w:szCs w:val="20"/>
              </w:rPr>
              <w:t xml:space="preserve"> </w:t>
            </w:r>
          </w:p>
        </w:tc>
      </w:tr>
      <w:tr w:rsidR="007A4941" w:rsidRPr="007B42EB" w14:paraId="0E5E91D9" w14:textId="77777777" w:rsidTr="00BE58C2">
        <w:trPr>
          <w:trHeight w:val="347"/>
          <w:jc w:val="center"/>
        </w:trPr>
        <w:tc>
          <w:tcPr>
            <w:tcW w:w="8885" w:type="dxa"/>
            <w:gridSpan w:val="2"/>
            <w:tcBorders>
              <w:bottom w:val="single" w:sz="4" w:space="0" w:color="auto"/>
            </w:tcBorders>
            <w:shd w:val="clear" w:color="auto" w:fill="F2F2F2" w:themeFill="background1" w:themeFillShade="F2"/>
            <w:vAlign w:val="center"/>
          </w:tcPr>
          <w:p w14:paraId="2A154E03" w14:textId="77777777" w:rsidR="007A4941" w:rsidRPr="007B42EB" w:rsidRDefault="007A4941" w:rsidP="00BE58C2">
            <w:pPr>
              <w:spacing w:before="60" w:after="60" w:line="276" w:lineRule="auto"/>
              <w:rPr>
                <w:rFonts w:asciiTheme="majorHAnsi" w:hAnsiTheme="majorHAnsi" w:cstheme="minorHAnsi"/>
                <w:b/>
                <w:sz w:val="20"/>
                <w:szCs w:val="20"/>
              </w:rPr>
            </w:pPr>
            <w:r>
              <w:rPr>
                <w:rFonts w:asciiTheme="majorHAnsi" w:hAnsiTheme="majorHAnsi" w:cstheme="minorHAnsi"/>
                <w:b/>
                <w:sz w:val="20"/>
                <w:szCs w:val="20"/>
              </w:rPr>
              <w:t>Dependencia solicitante: División Supervisión de Regímenes Colectivos</w:t>
            </w:r>
          </w:p>
        </w:tc>
      </w:tr>
      <w:tr w:rsidR="007A4941" w:rsidRPr="007B42EB" w14:paraId="5B4FFCAC" w14:textId="77777777" w:rsidTr="00BE58C2">
        <w:trPr>
          <w:trHeight w:val="966"/>
          <w:jc w:val="center"/>
        </w:trPr>
        <w:tc>
          <w:tcPr>
            <w:tcW w:w="8885" w:type="dxa"/>
            <w:gridSpan w:val="2"/>
            <w:tcBorders>
              <w:bottom w:val="single" w:sz="4" w:space="0" w:color="auto"/>
            </w:tcBorders>
            <w:vAlign w:val="center"/>
          </w:tcPr>
          <w:p w14:paraId="5D0DF39E" w14:textId="77777777" w:rsidR="007A4941" w:rsidRPr="007B42EB" w:rsidRDefault="007A4941" w:rsidP="00BE58C2">
            <w:pPr>
              <w:spacing w:before="60" w:after="60"/>
              <w:jc w:val="both"/>
              <w:rPr>
                <w:rFonts w:asciiTheme="majorHAnsi" w:hAnsiTheme="majorHAnsi" w:cstheme="minorHAnsi"/>
                <w:sz w:val="20"/>
                <w:szCs w:val="20"/>
              </w:rPr>
            </w:pPr>
            <w:r w:rsidRPr="007B42EB">
              <w:rPr>
                <w:rFonts w:asciiTheme="majorHAnsi" w:hAnsiTheme="majorHAnsi" w:cstheme="minorHAnsi"/>
                <w:b/>
                <w:sz w:val="20"/>
                <w:szCs w:val="20"/>
              </w:rPr>
              <w:t>Objet</w:t>
            </w:r>
            <w:r>
              <w:rPr>
                <w:rFonts w:asciiTheme="majorHAnsi" w:hAnsiTheme="majorHAnsi" w:cstheme="minorHAnsi"/>
                <w:b/>
                <w:sz w:val="20"/>
                <w:szCs w:val="20"/>
              </w:rPr>
              <w:t>iv</w:t>
            </w:r>
            <w:r w:rsidRPr="007B42EB">
              <w:rPr>
                <w:rFonts w:asciiTheme="majorHAnsi" w:hAnsiTheme="majorHAnsi" w:cstheme="minorHAnsi"/>
                <w:b/>
                <w:sz w:val="20"/>
                <w:szCs w:val="20"/>
              </w:rPr>
              <w:t>o:</w:t>
            </w:r>
          </w:p>
          <w:p w14:paraId="7B47E0AB" w14:textId="77777777" w:rsidR="007A4941" w:rsidRDefault="007A4941" w:rsidP="00BE58C2">
            <w:pPr>
              <w:spacing w:before="60" w:after="60"/>
              <w:jc w:val="both"/>
              <w:rPr>
                <w:rFonts w:asciiTheme="majorHAnsi" w:hAnsiTheme="majorHAnsi" w:cstheme="minorHAnsi"/>
                <w:sz w:val="20"/>
                <w:szCs w:val="20"/>
              </w:rPr>
            </w:pPr>
            <w:r>
              <w:rPr>
                <w:rFonts w:asciiTheme="majorHAnsi" w:hAnsiTheme="majorHAnsi" w:cstheme="minorHAnsi"/>
                <w:sz w:val="20"/>
                <w:szCs w:val="20"/>
              </w:rPr>
              <w:t>Explicar particularidades de los regímenes con cargo al Presupuesto Nacional, así como el Régimen Transitorio de Reparto (RTR).</w:t>
            </w:r>
          </w:p>
          <w:p w14:paraId="0F82EC05" w14:textId="77777777" w:rsidR="007A4941" w:rsidRDefault="007A4941" w:rsidP="00BE58C2">
            <w:pPr>
              <w:spacing w:before="60" w:after="60"/>
              <w:jc w:val="both"/>
              <w:rPr>
                <w:rFonts w:asciiTheme="majorHAnsi" w:hAnsiTheme="majorHAnsi" w:cstheme="minorHAnsi"/>
                <w:sz w:val="20"/>
                <w:szCs w:val="20"/>
              </w:rPr>
            </w:pPr>
            <w:r w:rsidRPr="008D2695">
              <w:rPr>
                <w:rFonts w:asciiTheme="majorHAnsi" w:hAnsiTheme="majorHAnsi" w:cstheme="minorHAnsi"/>
                <w:sz w:val="20"/>
                <w:szCs w:val="20"/>
              </w:rPr>
              <w:t>En el caso del primer tema</w:t>
            </w:r>
            <w:r>
              <w:rPr>
                <w:rFonts w:asciiTheme="majorHAnsi" w:hAnsiTheme="majorHAnsi" w:cstheme="minorHAnsi"/>
                <w:sz w:val="20"/>
                <w:szCs w:val="20"/>
              </w:rPr>
              <w:t>,</w:t>
            </w:r>
            <w:r w:rsidRPr="008D2695">
              <w:rPr>
                <w:rFonts w:asciiTheme="majorHAnsi" w:hAnsiTheme="majorHAnsi" w:cstheme="minorHAnsi"/>
                <w:sz w:val="20"/>
                <w:szCs w:val="20"/>
              </w:rPr>
              <w:t xml:space="preserve"> corresponde a</w:t>
            </w:r>
            <w:r>
              <w:rPr>
                <w:rFonts w:asciiTheme="majorHAnsi" w:hAnsiTheme="majorHAnsi" w:cstheme="minorHAnsi"/>
                <w:sz w:val="20"/>
                <w:szCs w:val="20"/>
              </w:rPr>
              <w:t xml:space="preserve"> los que están a cargo de la Dirección Nacional de Pensiones (DNP) y para ello se requiere la colaboración de la funcionaria de la División Jurídica, Ana Matilde Rojas Rivas.</w:t>
            </w:r>
          </w:p>
          <w:p w14:paraId="2CA544DF" w14:textId="77777777" w:rsidR="007A4941" w:rsidRPr="007B42EB" w:rsidRDefault="007A4941" w:rsidP="00BE58C2">
            <w:pPr>
              <w:spacing w:before="60" w:after="60"/>
              <w:jc w:val="both"/>
              <w:rPr>
                <w:rFonts w:asciiTheme="majorHAnsi" w:hAnsiTheme="majorHAnsi" w:cstheme="minorHAnsi"/>
                <w:sz w:val="20"/>
                <w:szCs w:val="20"/>
              </w:rPr>
            </w:pPr>
            <w:r>
              <w:rPr>
                <w:rFonts w:asciiTheme="majorHAnsi" w:hAnsiTheme="majorHAnsi" w:cstheme="minorHAnsi"/>
                <w:sz w:val="20"/>
                <w:szCs w:val="20"/>
              </w:rPr>
              <w:t>En cuanto al RTR, se sugiere que la capacitación la brinde el funcionario de la División RC, Juan José Marín Matamoros y, de ser necesario, contaría con el apoyo de Ana Matilde Rojas Rivas.</w:t>
            </w:r>
          </w:p>
        </w:tc>
      </w:tr>
      <w:tr w:rsidR="007A4941" w:rsidRPr="007B42EB" w14:paraId="24091692" w14:textId="77777777" w:rsidTr="00BE58C2">
        <w:trPr>
          <w:trHeight w:val="670"/>
          <w:jc w:val="center"/>
        </w:trPr>
        <w:tc>
          <w:tcPr>
            <w:tcW w:w="3544" w:type="dxa"/>
            <w:shd w:val="clear" w:color="auto" w:fill="FFFFFF"/>
            <w:vAlign w:val="center"/>
          </w:tcPr>
          <w:p w14:paraId="269D2E46" w14:textId="77777777" w:rsidR="007A4941" w:rsidRPr="00E82577" w:rsidRDefault="007A4941" w:rsidP="00BE58C2">
            <w:pPr>
              <w:spacing w:before="60" w:after="60" w:line="276" w:lineRule="auto"/>
              <w:rPr>
                <w:rFonts w:asciiTheme="majorHAnsi" w:hAnsiTheme="majorHAnsi" w:cstheme="minorHAnsi"/>
                <w:b/>
                <w:sz w:val="20"/>
                <w:szCs w:val="20"/>
                <w:lang w:val="es-CR"/>
              </w:rPr>
            </w:pPr>
            <w:r w:rsidRPr="00E82577">
              <w:rPr>
                <w:rFonts w:asciiTheme="majorHAnsi" w:hAnsiTheme="majorHAnsi" w:cstheme="minorHAnsi"/>
                <w:b/>
                <w:sz w:val="20"/>
                <w:szCs w:val="20"/>
                <w:lang w:val="es-CR"/>
              </w:rPr>
              <w:t>Cantidad de funcionarios propuestos</w:t>
            </w:r>
            <w:r>
              <w:rPr>
                <w:rFonts w:asciiTheme="majorHAnsi" w:hAnsiTheme="majorHAnsi" w:cstheme="minorHAnsi"/>
                <w:b/>
                <w:sz w:val="20"/>
                <w:szCs w:val="20"/>
                <w:lang w:val="es-CR"/>
              </w:rPr>
              <w:t>:</w:t>
            </w:r>
          </w:p>
        </w:tc>
        <w:tc>
          <w:tcPr>
            <w:tcW w:w="5341" w:type="dxa"/>
            <w:shd w:val="clear" w:color="auto" w:fill="FFFFFF"/>
            <w:vAlign w:val="center"/>
          </w:tcPr>
          <w:p w14:paraId="7704FA75" w14:textId="77777777" w:rsidR="007A4941" w:rsidRDefault="007A4941" w:rsidP="00BE58C2">
            <w:pPr>
              <w:spacing w:before="60" w:after="60"/>
              <w:jc w:val="center"/>
              <w:rPr>
                <w:rFonts w:asciiTheme="majorHAnsi" w:hAnsiTheme="majorHAnsi" w:cstheme="minorHAnsi"/>
                <w:sz w:val="20"/>
                <w:szCs w:val="20"/>
                <w:lang w:val="es-CR"/>
              </w:rPr>
            </w:pPr>
            <w:r w:rsidRPr="001963BD">
              <w:rPr>
                <w:rFonts w:asciiTheme="majorHAnsi" w:hAnsiTheme="majorHAnsi" w:cstheme="minorHAnsi"/>
                <w:sz w:val="20"/>
                <w:szCs w:val="20"/>
                <w:lang w:val="es-CR"/>
              </w:rPr>
              <w:t>1</w:t>
            </w:r>
            <w:r>
              <w:rPr>
                <w:rFonts w:asciiTheme="majorHAnsi" w:hAnsiTheme="majorHAnsi" w:cstheme="minorHAnsi"/>
                <w:sz w:val="20"/>
                <w:szCs w:val="20"/>
                <w:lang w:val="es-CR"/>
              </w:rPr>
              <w:t>1</w:t>
            </w:r>
          </w:p>
          <w:p w14:paraId="15096234" w14:textId="77777777" w:rsidR="007A4941" w:rsidRPr="001963BD" w:rsidRDefault="007A4941" w:rsidP="00BE58C2">
            <w:pPr>
              <w:spacing w:before="60" w:after="60"/>
              <w:jc w:val="center"/>
              <w:rPr>
                <w:rFonts w:asciiTheme="majorHAnsi" w:hAnsiTheme="majorHAnsi" w:cstheme="minorHAnsi"/>
                <w:sz w:val="20"/>
                <w:szCs w:val="20"/>
                <w:lang w:val="es-CR"/>
              </w:rPr>
            </w:pPr>
            <w:r>
              <w:rPr>
                <w:rFonts w:asciiTheme="majorHAnsi" w:hAnsiTheme="majorHAnsi" w:cstheme="minorHAnsi"/>
                <w:sz w:val="20"/>
                <w:szCs w:val="20"/>
              </w:rPr>
              <w:t>(adicionalmente se estaría contemplando a las personas que ocuparán las dos plazas vacantes de Supervisor 1)</w:t>
            </w:r>
          </w:p>
        </w:tc>
      </w:tr>
    </w:tbl>
    <w:p w14:paraId="0BB3A2ED" w14:textId="77777777" w:rsidR="007A4941" w:rsidRDefault="007A4941" w:rsidP="007A4941">
      <w:pPr>
        <w:autoSpaceDE w:val="0"/>
        <w:autoSpaceDN w:val="0"/>
        <w:adjustRightInd w:val="0"/>
        <w:spacing w:line="276" w:lineRule="auto"/>
        <w:jc w:val="both"/>
        <w:rPr>
          <w:rFonts w:asciiTheme="majorHAnsi" w:hAnsiTheme="majorHAnsi" w:cstheme="minorHAnsi"/>
        </w:rPr>
      </w:pPr>
    </w:p>
    <w:p w14:paraId="057E274E" w14:textId="77777777" w:rsidR="007A4941" w:rsidRPr="007B42EB" w:rsidRDefault="007A4941" w:rsidP="007A4941">
      <w:pPr>
        <w:autoSpaceDE w:val="0"/>
        <w:autoSpaceDN w:val="0"/>
        <w:adjustRightInd w:val="0"/>
        <w:spacing w:line="276" w:lineRule="auto"/>
        <w:jc w:val="both"/>
        <w:rPr>
          <w:rFonts w:asciiTheme="majorHAnsi" w:hAnsiTheme="majorHAnsi" w:cstheme="minorHAnsi"/>
        </w:rPr>
      </w:pPr>
    </w:p>
    <w:p w14:paraId="53B6A092" w14:textId="77777777" w:rsidR="007A4941" w:rsidRDefault="007A4941" w:rsidP="007A4941">
      <w:pPr>
        <w:tabs>
          <w:tab w:val="left" w:pos="9180"/>
        </w:tabs>
        <w:spacing w:line="276" w:lineRule="auto"/>
        <w:jc w:val="both"/>
        <w:rPr>
          <w:rFonts w:asciiTheme="majorHAnsi" w:hAnsiTheme="majorHAnsi" w:cstheme="minorHAnsi"/>
        </w:rPr>
      </w:pPr>
      <w:r w:rsidRPr="007B42EB">
        <w:rPr>
          <w:rFonts w:asciiTheme="majorHAnsi" w:hAnsiTheme="majorHAnsi" w:cstheme="minorHAnsi"/>
        </w:rPr>
        <w:t>Finalmente, el Encargado de Proceso comunicará con debida antelación, el tema sobre el cual se requiere impartir la capacitación, a efecto de que el Área de Comunicación y Servicios proceda con la coordinación respectiva</w:t>
      </w:r>
      <w:r>
        <w:rPr>
          <w:rFonts w:asciiTheme="majorHAnsi" w:hAnsiTheme="majorHAnsi" w:cstheme="minorHAnsi"/>
        </w:rPr>
        <w:t xml:space="preserve"> o cuando sea pertinente, el Área contactará directamente a la dependencia</w:t>
      </w:r>
      <w:r w:rsidRPr="007B42EB">
        <w:rPr>
          <w:rFonts w:asciiTheme="majorHAnsi" w:hAnsiTheme="majorHAnsi" w:cstheme="minorHAnsi"/>
        </w:rPr>
        <w:t>.</w:t>
      </w:r>
    </w:p>
    <w:p w14:paraId="203AD496" w14:textId="77777777" w:rsidR="007A4941" w:rsidRPr="007B42EB" w:rsidRDefault="007A4941" w:rsidP="007A4941">
      <w:pPr>
        <w:tabs>
          <w:tab w:val="left" w:pos="9180"/>
        </w:tabs>
        <w:spacing w:line="276" w:lineRule="auto"/>
        <w:jc w:val="both"/>
        <w:rPr>
          <w:rFonts w:asciiTheme="majorHAnsi" w:hAnsiTheme="majorHAnsi" w:cstheme="minorHAnsi"/>
        </w:rPr>
      </w:pPr>
    </w:p>
    <w:p w14:paraId="33301977" w14:textId="77777777" w:rsidR="00A964FD" w:rsidRDefault="00A964FD">
      <w:pPr>
        <w:rPr>
          <w:rFonts w:asciiTheme="majorHAnsi" w:hAnsiTheme="majorHAnsi" w:cs="Tahoma"/>
          <w:b/>
          <w:bCs/>
          <w:smallCaps/>
          <w:sz w:val="28"/>
          <w:u w:val="single"/>
        </w:rPr>
      </w:pPr>
    </w:p>
    <w:p w14:paraId="365B4BD9" w14:textId="77777777" w:rsidR="00927F11" w:rsidRDefault="00927F11">
      <w:pPr>
        <w:rPr>
          <w:rFonts w:asciiTheme="majorHAnsi" w:hAnsiTheme="majorHAnsi" w:cs="Tahoma"/>
          <w:b/>
          <w:bCs/>
          <w:smallCaps/>
          <w:sz w:val="28"/>
          <w:u w:val="single"/>
        </w:rPr>
        <w:sectPr w:rsidR="00927F11" w:rsidSect="002C4881">
          <w:headerReference w:type="default" r:id="rId102"/>
          <w:footerReference w:type="even" r:id="rId103"/>
          <w:footerReference w:type="default" r:id="rId104"/>
          <w:headerReference w:type="first" r:id="rId105"/>
          <w:pgSz w:w="12240" w:h="15840" w:code="1"/>
          <w:pgMar w:top="1440" w:right="1440" w:bottom="1440" w:left="1440" w:header="720" w:footer="720" w:gutter="0"/>
          <w:cols w:space="708"/>
          <w:titlePg/>
          <w:docGrid w:linePitch="360"/>
        </w:sectPr>
      </w:pPr>
    </w:p>
    <w:p w14:paraId="2AB49BD1" w14:textId="538606B9" w:rsidR="00F461A7" w:rsidRPr="001F39F3" w:rsidRDefault="00F461A7" w:rsidP="00912D0F">
      <w:pPr>
        <w:pStyle w:val="NormalWeb"/>
        <w:tabs>
          <w:tab w:val="left" w:pos="567"/>
        </w:tabs>
        <w:outlineLvl w:val="0"/>
        <w:rPr>
          <w:rFonts w:asciiTheme="majorHAnsi" w:hAnsiTheme="majorHAnsi" w:cs="Tahoma"/>
          <w:b/>
          <w:bCs/>
          <w:smallCaps/>
          <w:sz w:val="28"/>
        </w:rPr>
      </w:pPr>
      <w:bookmarkStart w:id="406" w:name="_Toc429563289"/>
      <w:r w:rsidRPr="001F39F3">
        <w:rPr>
          <w:rFonts w:asciiTheme="majorHAnsi" w:hAnsiTheme="majorHAnsi" w:cs="Tahoma"/>
          <w:b/>
          <w:bCs/>
          <w:smallCaps/>
          <w:sz w:val="28"/>
        </w:rPr>
        <w:lastRenderedPageBreak/>
        <w:t xml:space="preserve">8. </w:t>
      </w:r>
      <w:r w:rsidRPr="001F39F3">
        <w:rPr>
          <w:rFonts w:asciiTheme="majorHAnsi" w:hAnsiTheme="majorHAnsi" w:cs="Tahoma"/>
          <w:b/>
          <w:bCs/>
          <w:smallCaps/>
          <w:sz w:val="28"/>
        </w:rPr>
        <w:tab/>
        <w:t>Certificación de estar al día en el pago de las cuotas CCSS</w:t>
      </w:r>
      <w:bookmarkEnd w:id="406"/>
    </w:p>
    <w:p w14:paraId="6F7D14DB" w14:textId="60543DEA" w:rsidR="0053159D" w:rsidRDefault="00E71589" w:rsidP="00C2480F">
      <w:pPr>
        <w:jc w:val="center"/>
        <w:rPr>
          <w:rFonts w:asciiTheme="majorHAnsi" w:hAnsiTheme="majorHAnsi" w:cs="Tahoma"/>
          <w:b/>
          <w:bCs/>
          <w:smallCaps/>
          <w:sz w:val="28"/>
          <w:u w:val="single"/>
        </w:rPr>
      </w:pPr>
      <w:r w:rsidRPr="00E71589">
        <w:rPr>
          <w:rFonts w:asciiTheme="majorHAnsi" w:hAnsiTheme="majorHAnsi" w:cs="Tahoma"/>
          <w:b/>
          <w:bCs/>
          <w:smallCaps/>
          <w:noProof/>
          <w:sz w:val="28"/>
          <w:u w:val="single"/>
        </w:rPr>
        <w:drawing>
          <wp:inline distT="0" distB="0" distL="0" distR="0" wp14:anchorId="1AD83352" wp14:editId="7D401D57">
            <wp:extent cx="5447961" cy="7051538"/>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48346" cy="7052036"/>
                    </a:xfrm>
                    <a:prstGeom prst="rect">
                      <a:avLst/>
                    </a:prstGeom>
                    <a:noFill/>
                    <a:ln>
                      <a:noFill/>
                    </a:ln>
                  </pic:spPr>
                </pic:pic>
              </a:graphicData>
            </a:graphic>
          </wp:inline>
        </w:drawing>
      </w:r>
    </w:p>
    <w:p w14:paraId="7BBDD591" w14:textId="77777777" w:rsidR="00912D0F" w:rsidRDefault="00912D0F" w:rsidP="00C2480F">
      <w:pPr>
        <w:jc w:val="center"/>
        <w:rPr>
          <w:rFonts w:asciiTheme="majorHAnsi" w:hAnsiTheme="majorHAnsi" w:cs="Tahoma"/>
          <w:b/>
          <w:bCs/>
          <w:smallCaps/>
          <w:sz w:val="28"/>
          <w:u w:val="single"/>
        </w:rPr>
      </w:pPr>
    </w:p>
    <w:p w14:paraId="0C3832FD" w14:textId="77777777" w:rsidR="00912D0F" w:rsidRDefault="00912D0F" w:rsidP="00C2480F">
      <w:pPr>
        <w:jc w:val="center"/>
        <w:rPr>
          <w:rFonts w:asciiTheme="majorHAnsi" w:hAnsiTheme="majorHAnsi" w:cs="Tahoma"/>
          <w:b/>
          <w:bCs/>
          <w:smallCaps/>
          <w:sz w:val="28"/>
          <w:u w:val="single"/>
        </w:rPr>
        <w:sectPr w:rsidR="00912D0F" w:rsidSect="00912D0F">
          <w:headerReference w:type="default" r:id="rId107"/>
          <w:footerReference w:type="default" r:id="rId108"/>
          <w:pgSz w:w="12242" w:h="15842" w:code="1"/>
          <w:pgMar w:top="1418" w:right="1701" w:bottom="1418" w:left="1701" w:header="709" w:footer="709" w:gutter="0"/>
          <w:cols w:space="708"/>
          <w:docGrid w:linePitch="360"/>
        </w:sectPr>
      </w:pPr>
    </w:p>
    <w:p w14:paraId="55793830" w14:textId="392BBCF4" w:rsidR="00F461A7" w:rsidRPr="001F39F3" w:rsidRDefault="00F461A7" w:rsidP="00912D0F">
      <w:pPr>
        <w:pStyle w:val="NormalWeb"/>
        <w:tabs>
          <w:tab w:val="left" w:pos="567"/>
        </w:tabs>
        <w:outlineLvl w:val="0"/>
        <w:rPr>
          <w:rFonts w:asciiTheme="majorHAnsi" w:hAnsiTheme="majorHAnsi" w:cs="Tahoma"/>
          <w:b/>
          <w:bCs/>
          <w:smallCaps/>
          <w:sz w:val="28"/>
        </w:rPr>
      </w:pPr>
      <w:bookmarkStart w:id="407" w:name="_Toc429563290"/>
      <w:r w:rsidRPr="001F39F3">
        <w:rPr>
          <w:rFonts w:asciiTheme="majorHAnsi" w:hAnsiTheme="majorHAnsi" w:cs="Tahoma"/>
          <w:b/>
          <w:bCs/>
          <w:smallCaps/>
          <w:sz w:val="28"/>
        </w:rPr>
        <w:lastRenderedPageBreak/>
        <w:t xml:space="preserve">9. </w:t>
      </w:r>
      <w:r w:rsidRPr="001F39F3">
        <w:rPr>
          <w:rFonts w:asciiTheme="majorHAnsi" w:hAnsiTheme="majorHAnsi" w:cs="Tahoma"/>
          <w:b/>
          <w:bCs/>
          <w:smallCaps/>
          <w:sz w:val="28"/>
        </w:rPr>
        <w:tab/>
        <w:t>Directrices para la Formulación del POI – Presupuesto 201</w:t>
      </w:r>
      <w:bookmarkEnd w:id="407"/>
      <w:r w:rsidR="0030375D">
        <w:rPr>
          <w:rFonts w:asciiTheme="majorHAnsi" w:hAnsiTheme="majorHAnsi" w:cs="Tahoma"/>
          <w:b/>
          <w:bCs/>
          <w:smallCaps/>
          <w:sz w:val="28"/>
        </w:rPr>
        <w:t>7</w:t>
      </w:r>
    </w:p>
    <w:p w14:paraId="0E793EF4" w14:textId="77777777" w:rsidR="00A964FD" w:rsidRPr="00A9787F" w:rsidRDefault="00A964FD" w:rsidP="00A964FD">
      <w:pPr>
        <w:widowControl w:val="0"/>
        <w:jc w:val="both"/>
      </w:pPr>
    </w:p>
    <w:p w14:paraId="2BFC81AD" w14:textId="77777777" w:rsidR="0002289A" w:rsidRDefault="0002289A" w:rsidP="0002289A">
      <w:pPr>
        <w:pStyle w:val="Encabezado"/>
      </w:pPr>
      <w:r>
        <w:rPr>
          <w:noProof/>
          <w:lang w:val="es-ES" w:eastAsia="es-ES"/>
        </w:rPr>
        <w:drawing>
          <wp:inline distT="0" distB="0" distL="0" distR="0" wp14:anchorId="18A60CA5" wp14:editId="3FADA410">
            <wp:extent cx="3746500" cy="317500"/>
            <wp:effectExtent l="0" t="0" r="0" b="6350"/>
            <wp:docPr id="320" name="Imagen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9">
                      <a:extLst>
                        <a:ext uri="{28A0092B-C50C-407E-A947-70E740481C1C}">
                          <a14:useLocalDpi xmlns:a14="http://schemas.microsoft.com/office/drawing/2010/main" val="0"/>
                        </a:ext>
                      </a:extLst>
                    </a:blip>
                    <a:srcRect r="14087"/>
                    <a:stretch>
                      <a:fillRect/>
                    </a:stretch>
                  </pic:blipFill>
                  <pic:spPr bwMode="auto">
                    <a:xfrm>
                      <a:off x="0" y="0"/>
                      <a:ext cx="3746500" cy="317500"/>
                    </a:xfrm>
                    <a:prstGeom prst="rect">
                      <a:avLst/>
                    </a:prstGeom>
                    <a:noFill/>
                    <a:ln>
                      <a:noFill/>
                    </a:ln>
                  </pic:spPr>
                </pic:pic>
              </a:graphicData>
            </a:graphic>
          </wp:inline>
        </w:drawing>
      </w:r>
    </w:p>
    <w:p w14:paraId="5C70CA0A" w14:textId="77777777" w:rsidR="00A964FD" w:rsidRDefault="00A964FD" w:rsidP="00A964FD">
      <w:pPr>
        <w:widowControl w:val="0"/>
        <w:ind w:left="567" w:hanging="567"/>
        <w:jc w:val="both"/>
      </w:pPr>
    </w:p>
    <w:p w14:paraId="30067AA8" w14:textId="77777777" w:rsidR="0030375D" w:rsidRPr="00285A0F" w:rsidRDefault="0030375D" w:rsidP="0030375D">
      <w:pPr>
        <w:ind w:left="567" w:hanging="567"/>
        <w:jc w:val="both"/>
        <w:rPr>
          <w:sz w:val="22"/>
          <w:szCs w:val="22"/>
        </w:rPr>
      </w:pPr>
      <w:r w:rsidRPr="00285A0F">
        <w:rPr>
          <w:sz w:val="22"/>
          <w:szCs w:val="22"/>
        </w:rPr>
        <w:t>22 de junio del 2016</w:t>
      </w:r>
    </w:p>
    <w:p w14:paraId="039C5B32" w14:textId="77777777" w:rsidR="0030375D" w:rsidRDefault="0030375D" w:rsidP="0030375D">
      <w:pPr>
        <w:ind w:left="567" w:hanging="567"/>
        <w:jc w:val="both"/>
        <w:rPr>
          <w:sz w:val="22"/>
          <w:szCs w:val="22"/>
        </w:rPr>
      </w:pPr>
      <w:r w:rsidRPr="00285A0F">
        <w:rPr>
          <w:sz w:val="22"/>
          <w:szCs w:val="22"/>
        </w:rPr>
        <w:t>CNS-1260/09</w:t>
      </w:r>
    </w:p>
    <w:p w14:paraId="206350AD" w14:textId="77777777" w:rsidR="0030375D" w:rsidRPr="00285A0F" w:rsidRDefault="0030375D" w:rsidP="0030375D">
      <w:pPr>
        <w:ind w:left="567" w:hanging="567"/>
        <w:jc w:val="both"/>
        <w:rPr>
          <w:sz w:val="22"/>
          <w:szCs w:val="22"/>
        </w:rPr>
      </w:pPr>
      <w:r>
        <w:rPr>
          <w:sz w:val="22"/>
          <w:szCs w:val="22"/>
        </w:rPr>
        <w:t>CNS-1261/14</w:t>
      </w:r>
    </w:p>
    <w:p w14:paraId="1D1AC994" w14:textId="77777777" w:rsidR="0030375D" w:rsidRPr="00285A0F" w:rsidRDefault="0030375D" w:rsidP="0030375D">
      <w:pPr>
        <w:jc w:val="both"/>
        <w:rPr>
          <w:b/>
          <w:i/>
          <w:sz w:val="22"/>
          <w:szCs w:val="22"/>
        </w:rPr>
      </w:pPr>
    </w:p>
    <w:p w14:paraId="27B3E63E" w14:textId="77777777" w:rsidR="0030375D" w:rsidRPr="00285A0F" w:rsidRDefault="0030375D" w:rsidP="0030375D">
      <w:pPr>
        <w:jc w:val="both"/>
        <w:rPr>
          <w:b/>
          <w:i/>
          <w:sz w:val="22"/>
          <w:szCs w:val="22"/>
        </w:rPr>
      </w:pPr>
    </w:p>
    <w:p w14:paraId="3B94AA32" w14:textId="77777777" w:rsidR="0030375D" w:rsidRPr="00285A0F" w:rsidRDefault="0030375D" w:rsidP="0030375D">
      <w:pPr>
        <w:widowControl w:val="0"/>
        <w:jc w:val="both"/>
        <w:rPr>
          <w:sz w:val="22"/>
          <w:szCs w:val="22"/>
        </w:rPr>
      </w:pPr>
      <w:r w:rsidRPr="00285A0F">
        <w:rPr>
          <w:sz w:val="22"/>
          <w:szCs w:val="22"/>
        </w:rPr>
        <w:t>Señor</w:t>
      </w:r>
    </w:p>
    <w:p w14:paraId="5152198E" w14:textId="77777777" w:rsidR="0030375D" w:rsidRPr="00285A0F" w:rsidRDefault="0030375D" w:rsidP="0030375D">
      <w:pPr>
        <w:widowControl w:val="0"/>
        <w:jc w:val="both"/>
        <w:rPr>
          <w:b/>
          <w:i/>
          <w:sz w:val="22"/>
          <w:szCs w:val="22"/>
        </w:rPr>
      </w:pPr>
      <w:r w:rsidRPr="00285A0F">
        <w:rPr>
          <w:sz w:val="22"/>
          <w:szCs w:val="22"/>
        </w:rPr>
        <w:t xml:space="preserve">Luis Carlos Delgado Murillo, </w:t>
      </w:r>
      <w:r w:rsidRPr="00285A0F">
        <w:rPr>
          <w:b/>
          <w:i/>
          <w:sz w:val="22"/>
          <w:szCs w:val="22"/>
        </w:rPr>
        <w:t>Presidente</w:t>
      </w:r>
    </w:p>
    <w:p w14:paraId="55AB2ACF" w14:textId="77777777" w:rsidR="0030375D" w:rsidRPr="00285A0F" w:rsidRDefault="0030375D" w:rsidP="0030375D">
      <w:pPr>
        <w:widowControl w:val="0"/>
        <w:jc w:val="both"/>
        <w:rPr>
          <w:b/>
          <w:i/>
          <w:sz w:val="22"/>
          <w:szCs w:val="22"/>
        </w:rPr>
      </w:pPr>
      <w:r w:rsidRPr="00285A0F">
        <w:rPr>
          <w:b/>
          <w:i/>
          <w:sz w:val="22"/>
          <w:szCs w:val="22"/>
        </w:rPr>
        <w:t xml:space="preserve">CONSEJO NACIONAL DE SUPERVISIÓN </w:t>
      </w:r>
    </w:p>
    <w:p w14:paraId="22963951" w14:textId="77777777" w:rsidR="0030375D" w:rsidRPr="00285A0F" w:rsidRDefault="0030375D" w:rsidP="0030375D">
      <w:pPr>
        <w:widowControl w:val="0"/>
        <w:jc w:val="both"/>
        <w:rPr>
          <w:b/>
          <w:i/>
          <w:sz w:val="22"/>
          <w:szCs w:val="22"/>
        </w:rPr>
      </w:pPr>
      <w:r w:rsidRPr="00285A0F">
        <w:rPr>
          <w:b/>
          <w:i/>
          <w:sz w:val="22"/>
          <w:szCs w:val="22"/>
        </w:rPr>
        <w:t>DEL SISTEMA FINANCIERO</w:t>
      </w:r>
    </w:p>
    <w:p w14:paraId="7821A466" w14:textId="77777777" w:rsidR="0030375D" w:rsidRPr="00285A0F" w:rsidRDefault="0030375D" w:rsidP="0030375D">
      <w:pPr>
        <w:jc w:val="both"/>
        <w:rPr>
          <w:b/>
          <w:i/>
          <w:sz w:val="22"/>
          <w:szCs w:val="22"/>
        </w:rPr>
      </w:pPr>
    </w:p>
    <w:p w14:paraId="3DACE44D" w14:textId="77777777" w:rsidR="0030375D" w:rsidRPr="00285A0F" w:rsidRDefault="0030375D" w:rsidP="0030375D">
      <w:pPr>
        <w:widowControl w:val="0"/>
        <w:jc w:val="both"/>
        <w:rPr>
          <w:sz w:val="22"/>
          <w:szCs w:val="22"/>
        </w:rPr>
      </w:pPr>
      <w:r w:rsidRPr="00285A0F">
        <w:rPr>
          <w:sz w:val="22"/>
          <w:szCs w:val="22"/>
        </w:rPr>
        <w:t>Estimado señor:</w:t>
      </w:r>
    </w:p>
    <w:p w14:paraId="2CBF3291" w14:textId="77777777" w:rsidR="0030375D" w:rsidRPr="00285A0F" w:rsidRDefault="0030375D" w:rsidP="0030375D">
      <w:pPr>
        <w:jc w:val="both"/>
        <w:rPr>
          <w:b/>
          <w:i/>
          <w:sz w:val="22"/>
          <w:szCs w:val="22"/>
        </w:rPr>
      </w:pPr>
    </w:p>
    <w:p w14:paraId="3E03C14A" w14:textId="77777777" w:rsidR="0030375D" w:rsidRPr="00285A0F" w:rsidRDefault="0030375D" w:rsidP="0030375D">
      <w:pPr>
        <w:widowControl w:val="0"/>
        <w:jc w:val="both"/>
        <w:rPr>
          <w:sz w:val="22"/>
          <w:szCs w:val="22"/>
        </w:rPr>
      </w:pPr>
      <w:r w:rsidRPr="00285A0F">
        <w:rPr>
          <w:sz w:val="22"/>
          <w:szCs w:val="22"/>
        </w:rPr>
        <w:t>El Consejo Nacional de Supervis</w:t>
      </w:r>
      <w:r>
        <w:rPr>
          <w:sz w:val="22"/>
          <w:szCs w:val="22"/>
        </w:rPr>
        <w:t>ión del Sistema Financiero en los</w:t>
      </w:r>
      <w:r w:rsidRPr="00285A0F">
        <w:rPr>
          <w:sz w:val="22"/>
          <w:szCs w:val="22"/>
        </w:rPr>
        <w:t xml:space="preserve"> artículo</w:t>
      </w:r>
      <w:r>
        <w:rPr>
          <w:sz w:val="22"/>
          <w:szCs w:val="22"/>
        </w:rPr>
        <w:t>s</w:t>
      </w:r>
      <w:r w:rsidRPr="00285A0F">
        <w:rPr>
          <w:sz w:val="22"/>
          <w:szCs w:val="22"/>
        </w:rPr>
        <w:t xml:space="preserve"> 9</w:t>
      </w:r>
      <w:r>
        <w:rPr>
          <w:sz w:val="22"/>
          <w:szCs w:val="22"/>
        </w:rPr>
        <w:t xml:space="preserve"> y 14 </w:t>
      </w:r>
      <w:r w:rsidRPr="00285A0F">
        <w:rPr>
          <w:sz w:val="22"/>
          <w:szCs w:val="22"/>
        </w:rPr>
        <w:t xml:space="preserve"> de</w:t>
      </w:r>
      <w:r>
        <w:rPr>
          <w:sz w:val="22"/>
          <w:szCs w:val="22"/>
        </w:rPr>
        <w:t xml:space="preserve"> </w:t>
      </w:r>
      <w:r w:rsidRPr="00285A0F">
        <w:rPr>
          <w:sz w:val="22"/>
          <w:szCs w:val="22"/>
        </w:rPr>
        <w:t>l</w:t>
      </w:r>
      <w:r>
        <w:rPr>
          <w:sz w:val="22"/>
          <w:szCs w:val="22"/>
        </w:rPr>
        <w:t>as</w:t>
      </w:r>
      <w:r w:rsidRPr="00285A0F">
        <w:rPr>
          <w:sz w:val="22"/>
          <w:szCs w:val="22"/>
        </w:rPr>
        <w:t xml:space="preserve"> acta</w:t>
      </w:r>
      <w:r>
        <w:rPr>
          <w:sz w:val="22"/>
          <w:szCs w:val="22"/>
        </w:rPr>
        <w:t>s</w:t>
      </w:r>
      <w:r w:rsidRPr="00285A0F">
        <w:rPr>
          <w:sz w:val="22"/>
          <w:szCs w:val="22"/>
        </w:rPr>
        <w:t xml:space="preserve"> de la</w:t>
      </w:r>
      <w:r>
        <w:rPr>
          <w:sz w:val="22"/>
          <w:szCs w:val="22"/>
        </w:rPr>
        <w:t>s sesiones</w:t>
      </w:r>
      <w:r w:rsidRPr="00285A0F">
        <w:rPr>
          <w:sz w:val="22"/>
          <w:szCs w:val="22"/>
        </w:rPr>
        <w:t xml:space="preserve"> 1260-2016</w:t>
      </w:r>
      <w:r>
        <w:rPr>
          <w:sz w:val="22"/>
          <w:szCs w:val="22"/>
        </w:rPr>
        <w:t xml:space="preserve"> y 1261-2016</w:t>
      </w:r>
      <w:r w:rsidRPr="00285A0F">
        <w:rPr>
          <w:sz w:val="22"/>
          <w:szCs w:val="22"/>
        </w:rPr>
        <w:t>, celebrada</w:t>
      </w:r>
      <w:r>
        <w:rPr>
          <w:sz w:val="22"/>
          <w:szCs w:val="22"/>
        </w:rPr>
        <w:t>s</w:t>
      </w:r>
      <w:r w:rsidRPr="00285A0F">
        <w:rPr>
          <w:sz w:val="22"/>
          <w:szCs w:val="22"/>
        </w:rPr>
        <w:t xml:space="preserve"> el 21 de junio del 2016, </w:t>
      </w:r>
    </w:p>
    <w:p w14:paraId="311AFAD7" w14:textId="77777777" w:rsidR="0030375D" w:rsidRPr="00285A0F" w:rsidRDefault="0030375D" w:rsidP="0030375D">
      <w:pPr>
        <w:widowControl w:val="0"/>
        <w:jc w:val="both"/>
        <w:rPr>
          <w:sz w:val="22"/>
          <w:szCs w:val="22"/>
        </w:rPr>
      </w:pPr>
    </w:p>
    <w:p w14:paraId="7315E477" w14:textId="77777777" w:rsidR="0030375D" w:rsidRPr="00285A0F" w:rsidRDefault="0030375D" w:rsidP="0030375D">
      <w:pPr>
        <w:widowControl w:val="0"/>
        <w:jc w:val="both"/>
        <w:rPr>
          <w:sz w:val="22"/>
          <w:szCs w:val="22"/>
        </w:rPr>
      </w:pPr>
      <w:r w:rsidRPr="00285A0F">
        <w:rPr>
          <w:b/>
          <w:sz w:val="22"/>
          <w:szCs w:val="22"/>
        </w:rPr>
        <w:t>considerando que:</w:t>
      </w:r>
    </w:p>
    <w:p w14:paraId="29EAABAF" w14:textId="77777777" w:rsidR="0030375D" w:rsidRPr="00285A0F" w:rsidRDefault="0030375D" w:rsidP="0030375D">
      <w:pPr>
        <w:widowControl w:val="0"/>
        <w:jc w:val="both"/>
        <w:rPr>
          <w:sz w:val="22"/>
          <w:szCs w:val="22"/>
        </w:rPr>
      </w:pPr>
    </w:p>
    <w:p w14:paraId="2AC91531" w14:textId="77777777" w:rsidR="0030375D" w:rsidRPr="00285A0F" w:rsidRDefault="0030375D" w:rsidP="0030375D">
      <w:pPr>
        <w:widowControl w:val="0"/>
        <w:ind w:left="567" w:hanging="567"/>
        <w:jc w:val="both"/>
        <w:rPr>
          <w:sz w:val="22"/>
          <w:szCs w:val="22"/>
        </w:rPr>
      </w:pPr>
      <w:r w:rsidRPr="00285A0F">
        <w:rPr>
          <w:sz w:val="22"/>
          <w:szCs w:val="22"/>
        </w:rPr>
        <w:t>a.</w:t>
      </w:r>
      <w:r w:rsidRPr="00285A0F">
        <w:rPr>
          <w:sz w:val="22"/>
          <w:szCs w:val="22"/>
        </w:rPr>
        <w:tab/>
        <w:t xml:space="preserve">El proceso presupuestario para el Consejo Nacional de Supervisión del Sistema Financiero y las Superintendencias del Sistema Financiero Nacional se sustenta en los principios de economía, eficiencia y eficacia del gasto que promueve la </w:t>
      </w:r>
      <w:r w:rsidRPr="00285A0F">
        <w:rPr>
          <w:i/>
          <w:sz w:val="22"/>
          <w:szCs w:val="22"/>
        </w:rPr>
        <w:t>Ley de la Administración Financiera de la República y Presupuestos Públicos</w:t>
      </w:r>
      <w:r w:rsidRPr="00285A0F">
        <w:rPr>
          <w:sz w:val="22"/>
          <w:szCs w:val="22"/>
        </w:rPr>
        <w:t>, Ley 8131.</w:t>
      </w:r>
    </w:p>
    <w:p w14:paraId="7F3ED09D" w14:textId="77777777" w:rsidR="0030375D" w:rsidRPr="00285A0F" w:rsidRDefault="0030375D" w:rsidP="0030375D">
      <w:pPr>
        <w:widowControl w:val="0"/>
        <w:jc w:val="both"/>
        <w:rPr>
          <w:sz w:val="22"/>
          <w:szCs w:val="22"/>
        </w:rPr>
      </w:pPr>
    </w:p>
    <w:p w14:paraId="27D612BE" w14:textId="77777777" w:rsidR="0030375D" w:rsidRPr="00285A0F" w:rsidRDefault="0030375D" w:rsidP="0030375D">
      <w:pPr>
        <w:widowControl w:val="0"/>
        <w:ind w:left="567" w:hanging="567"/>
        <w:jc w:val="both"/>
        <w:rPr>
          <w:sz w:val="22"/>
          <w:szCs w:val="22"/>
        </w:rPr>
      </w:pPr>
      <w:r w:rsidRPr="00285A0F">
        <w:rPr>
          <w:sz w:val="22"/>
          <w:szCs w:val="22"/>
        </w:rPr>
        <w:t>b.</w:t>
      </w:r>
      <w:r w:rsidRPr="00285A0F">
        <w:rPr>
          <w:sz w:val="22"/>
          <w:szCs w:val="22"/>
        </w:rPr>
        <w:tab/>
        <w:t xml:space="preserve">De conformidad con las </w:t>
      </w:r>
      <w:r w:rsidRPr="00285A0F">
        <w:rPr>
          <w:i/>
          <w:sz w:val="22"/>
          <w:szCs w:val="22"/>
        </w:rPr>
        <w:t xml:space="preserve">Normas Técnicas sobre Presupuesto Público N1-2012-DC-DFOE, </w:t>
      </w:r>
      <w:r w:rsidRPr="00285A0F">
        <w:rPr>
          <w:sz w:val="22"/>
          <w:szCs w:val="22"/>
        </w:rPr>
        <w:t>emitidas por la Contraloría General de la República en febrero del 2012, la fase de formulación presupuestaria debe atender el cumplimiento de los principios presupuestarios que son aplicables y garantizar que el presupuesto exprese la asignación óptima de los recursos disponibles.</w:t>
      </w:r>
    </w:p>
    <w:p w14:paraId="5A99D8AA" w14:textId="77777777" w:rsidR="0030375D" w:rsidRPr="00285A0F" w:rsidRDefault="0030375D" w:rsidP="0030375D">
      <w:pPr>
        <w:widowControl w:val="0"/>
        <w:jc w:val="both"/>
        <w:rPr>
          <w:sz w:val="22"/>
          <w:szCs w:val="22"/>
        </w:rPr>
      </w:pPr>
    </w:p>
    <w:p w14:paraId="5B19E333" w14:textId="77777777" w:rsidR="0030375D" w:rsidRPr="00285A0F" w:rsidRDefault="0030375D" w:rsidP="0030375D">
      <w:pPr>
        <w:widowControl w:val="0"/>
        <w:ind w:left="567" w:hanging="567"/>
        <w:jc w:val="both"/>
        <w:rPr>
          <w:sz w:val="22"/>
          <w:szCs w:val="22"/>
        </w:rPr>
      </w:pPr>
      <w:r w:rsidRPr="00285A0F">
        <w:rPr>
          <w:sz w:val="22"/>
          <w:szCs w:val="22"/>
        </w:rPr>
        <w:t>c.</w:t>
      </w:r>
      <w:r w:rsidRPr="00285A0F">
        <w:rPr>
          <w:sz w:val="22"/>
          <w:szCs w:val="22"/>
        </w:rPr>
        <w:tab/>
        <w:t xml:space="preserve">Los principios presupuestarios establecidos en las </w:t>
      </w:r>
      <w:r w:rsidRPr="00285A0F">
        <w:rPr>
          <w:i/>
          <w:sz w:val="22"/>
          <w:szCs w:val="22"/>
        </w:rPr>
        <w:t>Normas Técnicas sobre Presupuesto Público N1-2012-DC-DFOE</w:t>
      </w:r>
      <w:r w:rsidRPr="00285A0F">
        <w:rPr>
          <w:sz w:val="22"/>
          <w:szCs w:val="22"/>
        </w:rPr>
        <w:t xml:space="preserve"> deben respaldar en todo momento el proceso presupuestario de las instituciones públicas.</w:t>
      </w:r>
    </w:p>
    <w:p w14:paraId="0B2DF585" w14:textId="77777777" w:rsidR="0030375D" w:rsidRPr="00285A0F" w:rsidRDefault="0030375D" w:rsidP="0030375D">
      <w:pPr>
        <w:widowControl w:val="0"/>
        <w:jc w:val="both"/>
        <w:rPr>
          <w:sz w:val="22"/>
          <w:szCs w:val="22"/>
        </w:rPr>
      </w:pPr>
    </w:p>
    <w:p w14:paraId="7D30A88F" w14:textId="77777777" w:rsidR="0030375D" w:rsidRPr="00285A0F" w:rsidRDefault="0030375D" w:rsidP="0030375D">
      <w:pPr>
        <w:widowControl w:val="0"/>
        <w:ind w:left="567" w:hanging="567"/>
        <w:jc w:val="both"/>
        <w:rPr>
          <w:sz w:val="22"/>
          <w:szCs w:val="22"/>
        </w:rPr>
      </w:pPr>
      <w:r w:rsidRPr="00285A0F">
        <w:rPr>
          <w:sz w:val="22"/>
          <w:szCs w:val="22"/>
        </w:rPr>
        <w:t>d.</w:t>
      </w:r>
      <w:r w:rsidRPr="00285A0F">
        <w:rPr>
          <w:sz w:val="22"/>
          <w:szCs w:val="22"/>
        </w:rPr>
        <w:tab/>
        <w:t xml:space="preserve">Las </w:t>
      </w:r>
      <w:r w:rsidRPr="00285A0F">
        <w:rPr>
          <w:i/>
          <w:sz w:val="22"/>
          <w:szCs w:val="22"/>
        </w:rPr>
        <w:t>Políticas de Junta Directiva para la Gestión Presupuestaria en el Banco Central de Costa Rica</w:t>
      </w:r>
      <w:r w:rsidRPr="00285A0F">
        <w:rPr>
          <w:sz w:val="22"/>
          <w:szCs w:val="22"/>
        </w:rPr>
        <w:t xml:space="preserve"> establecen que el Consejo Nacional de Supervisión del Sistema Financiero debe complementar dichas políticas con la declaración de políticas específicas y sus respectivos controles.</w:t>
      </w:r>
    </w:p>
    <w:p w14:paraId="4EBF6D76" w14:textId="77777777" w:rsidR="0030375D" w:rsidRPr="00285A0F" w:rsidRDefault="0030375D" w:rsidP="0030375D">
      <w:pPr>
        <w:widowControl w:val="0"/>
        <w:jc w:val="both"/>
        <w:rPr>
          <w:sz w:val="22"/>
          <w:szCs w:val="22"/>
        </w:rPr>
      </w:pPr>
    </w:p>
    <w:p w14:paraId="20D716EB" w14:textId="77777777" w:rsidR="0030375D" w:rsidRPr="00285A0F" w:rsidRDefault="0030375D" w:rsidP="0030375D">
      <w:pPr>
        <w:widowControl w:val="0"/>
        <w:ind w:left="567" w:hanging="567"/>
        <w:jc w:val="both"/>
        <w:rPr>
          <w:sz w:val="22"/>
          <w:szCs w:val="22"/>
        </w:rPr>
      </w:pPr>
      <w:r w:rsidRPr="00285A0F">
        <w:rPr>
          <w:sz w:val="22"/>
          <w:szCs w:val="22"/>
        </w:rPr>
        <w:t>e.</w:t>
      </w:r>
      <w:r w:rsidRPr="00285A0F">
        <w:rPr>
          <w:sz w:val="22"/>
          <w:szCs w:val="22"/>
        </w:rPr>
        <w:tab/>
        <w:t xml:space="preserve">En el artículo 4, del acta de la sesión 5723-2016, celebrada el 24 de mayo del 2016, la Junta Directiva del Banco Central de Costa Rica aprobó los </w:t>
      </w:r>
      <w:r w:rsidRPr="00285A0F">
        <w:rPr>
          <w:i/>
          <w:sz w:val="22"/>
          <w:szCs w:val="22"/>
        </w:rPr>
        <w:t>Parámetros para la Formulación del Presupuesto del 2017</w:t>
      </w:r>
      <w:r w:rsidRPr="00285A0F">
        <w:rPr>
          <w:sz w:val="22"/>
          <w:szCs w:val="22"/>
        </w:rPr>
        <w:t>, los cuáles son de aplicación a los Órganos de Desconcentración Máxima del Banco Central de Costa Rica.</w:t>
      </w:r>
    </w:p>
    <w:p w14:paraId="7697010C" w14:textId="77777777" w:rsidR="0030375D" w:rsidRPr="00285A0F" w:rsidRDefault="0030375D" w:rsidP="0030375D">
      <w:pPr>
        <w:widowControl w:val="0"/>
        <w:jc w:val="both"/>
        <w:rPr>
          <w:sz w:val="22"/>
          <w:szCs w:val="22"/>
        </w:rPr>
      </w:pPr>
    </w:p>
    <w:p w14:paraId="1A1014BC" w14:textId="77777777" w:rsidR="0030375D" w:rsidRPr="00285A0F" w:rsidRDefault="0030375D" w:rsidP="0030375D">
      <w:pPr>
        <w:widowControl w:val="0"/>
        <w:ind w:left="567" w:hanging="567"/>
        <w:jc w:val="both"/>
        <w:rPr>
          <w:sz w:val="22"/>
          <w:szCs w:val="22"/>
        </w:rPr>
      </w:pPr>
      <w:r w:rsidRPr="00285A0F">
        <w:rPr>
          <w:sz w:val="22"/>
          <w:szCs w:val="22"/>
        </w:rPr>
        <w:lastRenderedPageBreak/>
        <w:t>f.</w:t>
      </w:r>
      <w:r w:rsidRPr="00285A0F">
        <w:rPr>
          <w:sz w:val="22"/>
          <w:szCs w:val="22"/>
        </w:rPr>
        <w:tab/>
        <w:t xml:space="preserve">El Consejo Nacional de Supervisión del Sistema Financiero aprobó el marco estratégico institucional del sistema de supervisión y regulación financiera nacional para el periodo comprendido entre el 2014 y el 2018 (ambos años inclusive), según consta en el artículo 10 del acta de la sesión 1092-2014, celebrada el 25 de febrero de 2014. </w:t>
      </w:r>
    </w:p>
    <w:p w14:paraId="4D306134" w14:textId="77777777" w:rsidR="0030375D" w:rsidRPr="00285A0F" w:rsidRDefault="0030375D" w:rsidP="0030375D">
      <w:pPr>
        <w:widowControl w:val="0"/>
        <w:jc w:val="both"/>
        <w:rPr>
          <w:sz w:val="22"/>
          <w:szCs w:val="22"/>
        </w:rPr>
      </w:pPr>
    </w:p>
    <w:p w14:paraId="540DDCEF" w14:textId="77777777" w:rsidR="0030375D" w:rsidRPr="00285A0F" w:rsidRDefault="0030375D" w:rsidP="0030375D">
      <w:pPr>
        <w:widowControl w:val="0"/>
        <w:jc w:val="both"/>
        <w:rPr>
          <w:b/>
          <w:sz w:val="22"/>
          <w:szCs w:val="22"/>
        </w:rPr>
      </w:pPr>
      <w:r w:rsidRPr="00285A0F">
        <w:rPr>
          <w:b/>
          <w:sz w:val="22"/>
          <w:szCs w:val="22"/>
        </w:rPr>
        <w:t>resolvió en firme:</w:t>
      </w:r>
    </w:p>
    <w:p w14:paraId="32E19CE2" w14:textId="77777777" w:rsidR="0030375D" w:rsidRPr="00285A0F" w:rsidRDefault="0030375D" w:rsidP="0030375D">
      <w:pPr>
        <w:widowControl w:val="0"/>
        <w:jc w:val="both"/>
        <w:rPr>
          <w:sz w:val="22"/>
          <w:szCs w:val="22"/>
        </w:rPr>
      </w:pPr>
    </w:p>
    <w:p w14:paraId="144C5EB3" w14:textId="77777777" w:rsidR="0030375D" w:rsidRPr="00285A0F" w:rsidRDefault="0030375D" w:rsidP="0030375D">
      <w:pPr>
        <w:widowControl w:val="0"/>
        <w:jc w:val="both"/>
        <w:rPr>
          <w:sz w:val="22"/>
          <w:szCs w:val="22"/>
        </w:rPr>
      </w:pPr>
      <w:r w:rsidRPr="00285A0F">
        <w:rPr>
          <w:sz w:val="22"/>
          <w:szCs w:val="22"/>
        </w:rPr>
        <w:t xml:space="preserve">aprobar las </w:t>
      </w:r>
      <w:r w:rsidRPr="00285A0F">
        <w:rPr>
          <w:i/>
          <w:sz w:val="22"/>
          <w:szCs w:val="22"/>
        </w:rPr>
        <w:t>Políticas Específicas del Consejo Nacional de Supervisión del Sistema Financiero para la Formulación del Presupuesto 2017</w:t>
      </w:r>
      <w:r w:rsidRPr="00285A0F">
        <w:rPr>
          <w:sz w:val="22"/>
          <w:szCs w:val="22"/>
        </w:rPr>
        <w:t xml:space="preserve">, según la propuesta presentada por </w:t>
      </w:r>
      <w:r>
        <w:rPr>
          <w:sz w:val="22"/>
          <w:szCs w:val="22"/>
        </w:rPr>
        <w:t xml:space="preserve">el </w:t>
      </w:r>
      <w:r w:rsidRPr="00285A0F">
        <w:rPr>
          <w:sz w:val="22"/>
          <w:szCs w:val="22"/>
        </w:rPr>
        <w:t>Comité Permanente de Presupuesto, Gestión de Riesgo y Evaluación Institucional del Consejo Nacional de Supervisión del Sistema Financiero en su oficio CP-005-2016, que se detallan a continuación:</w:t>
      </w:r>
    </w:p>
    <w:p w14:paraId="50D9AF46" w14:textId="77777777" w:rsidR="0030375D" w:rsidRPr="00285A0F" w:rsidRDefault="0030375D" w:rsidP="0030375D">
      <w:pPr>
        <w:widowControl w:val="0"/>
        <w:jc w:val="both"/>
        <w:rPr>
          <w:sz w:val="22"/>
          <w:szCs w:val="22"/>
        </w:rPr>
      </w:pPr>
    </w:p>
    <w:p w14:paraId="4A25FDC0" w14:textId="77777777" w:rsidR="0030375D" w:rsidRPr="00285A0F" w:rsidRDefault="0030375D" w:rsidP="0030375D">
      <w:pPr>
        <w:widowControl w:val="0"/>
        <w:ind w:left="567" w:right="425"/>
        <w:jc w:val="center"/>
        <w:rPr>
          <w:b/>
          <w:sz w:val="22"/>
          <w:szCs w:val="22"/>
          <w:u w:val="single"/>
          <w:lang w:val="es-ES_tradnl"/>
        </w:rPr>
      </w:pPr>
      <w:r w:rsidRPr="00285A0F">
        <w:rPr>
          <w:b/>
          <w:sz w:val="22"/>
          <w:szCs w:val="22"/>
          <w:lang w:val="es-ES_tradnl"/>
        </w:rPr>
        <w:t>“</w:t>
      </w:r>
      <w:r w:rsidRPr="00285A0F">
        <w:rPr>
          <w:b/>
          <w:sz w:val="22"/>
          <w:szCs w:val="22"/>
          <w:u w:val="single"/>
          <w:lang w:val="es-ES_tradnl"/>
        </w:rPr>
        <w:t>POLITICAS ESPECÍFICAS DEL CONASSIF PARA LA FORMULACIÓN DEL PRESUPUESTO 2017</w:t>
      </w:r>
    </w:p>
    <w:p w14:paraId="2E84891D" w14:textId="77777777" w:rsidR="0030375D" w:rsidRPr="00285A0F" w:rsidRDefault="0030375D" w:rsidP="0030375D">
      <w:pPr>
        <w:widowControl w:val="0"/>
        <w:ind w:right="425"/>
        <w:jc w:val="both"/>
        <w:rPr>
          <w:sz w:val="22"/>
          <w:szCs w:val="22"/>
          <w:lang w:val="es-ES_tradnl"/>
        </w:rPr>
      </w:pPr>
    </w:p>
    <w:p w14:paraId="2D8CF9A0"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1.</w:t>
      </w:r>
      <w:r w:rsidRPr="00285A0F">
        <w:rPr>
          <w:sz w:val="22"/>
          <w:szCs w:val="22"/>
          <w:lang w:val="es-ES_tradnl"/>
        </w:rPr>
        <w:tab/>
        <w:t>Cada Superintendencia, la Auditoría Interna y el Despacho del Consejo Nacional de Supervisión del Sistema Financiero (</w:t>
      </w:r>
      <w:r w:rsidRPr="00285A0F">
        <w:rPr>
          <w:i/>
          <w:sz w:val="22"/>
          <w:szCs w:val="22"/>
          <w:lang w:val="es-ES_tradnl"/>
        </w:rPr>
        <w:t>CONASSIF</w:t>
      </w:r>
      <w:r w:rsidRPr="00285A0F">
        <w:rPr>
          <w:sz w:val="22"/>
          <w:szCs w:val="22"/>
          <w:lang w:val="es-ES_tradnl"/>
        </w:rPr>
        <w:t xml:space="preserve">) presentarán su propuesta de presupuesto 2017 al Comité Permanente de Presupuesto, Gestión de Riesgo y Evaluación Institucional del CONASSIF en las fechas establecidas en el calendario que se adjunta a este oficio. </w:t>
      </w:r>
    </w:p>
    <w:p w14:paraId="14512BAC" w14:textId="77777777" w:rsidR="0030375D" w:rsidRPr="00285A0F" w:rsidRDefault="0030375D" w:rsidP="0030375D">
      <w:pPr>
        <w:widowControl w:val="0"/>
        <w:ind w:right="425"/>
        <w:jc w:val="both"/>
        <w:rPr>
          <w:sz w:val="22"/>
          <w:szCs w:val="22"/>
          <w:lang w:val="es-ES_tradnl"/>
        </w:rPr>
      </w:pPr>
    </w:p>
    <w:p w14:paraId="09050FF9"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2.</w:t>
      </w:r>
      <w:r w:rsidRPr="00285A0F">
        <w:rPr>
          <w:sz w:val="22"/>
          <w:szCs w:val="22"/>
          <w:lang w:val="es-ES_tradnl"/>
        </w:rPr>
        <w:tab/>
        <w:t>Como base para calcular la variación en las partidas de gasto del presupuesto 2017 se emplearán los montos establecidos en el presupuesto aprobado para el 2016 y una proyección de la ejecución de gastos para el actual ejercicio (del 1° de enero al 31 de diciembre del 2016). Es importante que las Superintendencias preparen sus análisis y propuestas haciendo referencia al crecimiento interanual del gasto con respecto a estos dos parámetros.</w:t>
      </w:r>
    </w:p>
    <w:p w14:paraId="2242768F" w14:textId="77777777" w:rsidR="0030375D" w:rsidRPr="00285A0F" w:rsidRDefault="0030375D" w:rsidP="0030375D">
      <w:pPr>
        <w:widowControl w:val="0"/>
        <w:ind w:right="425"/>
        <w:jc w:val="both"/>
        <w:rPr>
          <w:sz w:val="22"/>
          <w:szCs w:val="22"/>
          <w:lang w:val="es-ES_tradnl"/>
        </w:rPr>
      </w:pPr>
    </w:p>
    <w:p w14:paraId="6ACB2124"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3.</w:t>
      </w:r>
      <w:r w:rsidRPr="00285A0F">
        <w:rPr>
          <w:sz w:val="22"/>
          <w:szCs w:val="22"/>
          <w:lang w:val="es-ES_tradnl"/>
        </w:rPr>
        <w:tab/>
        <w:t xml:space="preserve">El presupuesto elaborado por cada Superintendencia, el Despacho y la Auditoria Interna deberá estar acorde con los objetivos estratégicos que el CONASSIF ha definido para la regulación y supervisión financiera prudencial, así como con aquellos que cada entidad ha definido en sus procesos de planificación. De esta forma, las acciones estratégicas y proyectos deben ir orientados al cumplimiento de los objetivos establecidos en el proceso de planificación y a su vez, los indicadores de gestión deben permitir evaluar la consecución de las metas planteadas. </w:t>
      </w:r>
    </w:p>
    <w:p w14:paraId="0DC35014" w14:textId="77777777" w:rsidR="0030375D" w:rsidRPr="00285A0F" w:rsidRDefault="0030375D" w:rsidP="0030375D">
      <w:pPr>
        <w:widowControl w:val="0"/>
        <w:ind w:right="425"/>
        <w:jc w:val="both"/>
        <w:rPr>
          <w:sz w:val="22"/>
          <w:szCs w:val="22"/>
          <w:lang w:val="es-ES_tradnl"/>
        </w:rPr>
      </w:pPr>
    </w:p>
    <w:p w14:paraId="18E3B542"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4.</w:t>
      </w:r>
      <w:r w:rsidRPr="00285A0F">
        <w:rPr>
          <w:sz w:val="22"/>
          <w:szCs w:val="22"/>
          <w:lang w:val="es-ES_tradnl"/>
        </w:rPr>
        <w:tab/>
        <w:t>Bajo el criterio de buscar mecanismos más efectivos y eficientes para la realización de los procesos habituales de las entidades, se propone que cada Superintendencia evalúe alternativas de contratación de servicios o compra de bienes que favorezcan la reducción del gasto y la búsqueda de economías de escala.  Es importante que al formular su presupuesto 2017 cada entidad cumpla con lo dispuesto en los artículos 7 y 4 de las actas de las sesiones 1136-2014 y 1137-2014, celebradas el 17 de noviembre del 2014.  En ese sentido se favorece la adopción de planes y programas que lleven a la entidad a evitar erogaciones que incidan en los proyectos que el Banco Central de Costa Rica (</w:t>
      </w:r>
      <w:r w:rsidRPr="00285A0F">
        <w:rPr>
          <w:i/>
          <w:sz w:val="22"/>
          <w:szCs w:val="22"/>
          <w:lang w:val="es-ES_tradnl"/>
        </w:rPr>
        <w:t>BCCR</w:t>
      </w:r>
      <w:r w:rsidRPr="00285A0F">
        <w:rPr>
          <w:sz w:val="22"/>
          <w:szCs w:val="22"/>
          <w:lang w:val="es-ES_tradnl"/>
        </w:rPr>
        <w:t xml:space="preserve">) ha planteado con respecto a la integración física y tecnológica de las Superintendencias, o bien, proyectos que impliquen la contratación de servicios administrativos que puedan ser asumidos por el BCCR. </w:t>
      </w:r>
    </w:p>
    <w:p w14:paraId="72AD5BF9" w14:textId="77777777" w:rsidR="0030375D" w:rsidRPr="00285A0F" w:rsidRDefault="0030375D" w:rsidP="0030375D">
      <w:pPr>
        <w:widowControl w:val="0"/>
        <w:ind w:right="425"/>
        <w:jc w:val="both"/>
        <w:rPr>
          <w:sz w:val="22"/>
          <w:szCs w:val="22"/>
          <w:lang w:val="es-ES_tradnl"/>
        </w:rPr>
      </w:pPr>
    </w:p>
    <w:p w14:paraId="7FAE45BB"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5.</w:t>
      </w:r>
      <w:r w:rsidRPr="00285A0F">
        <w:rPr>
          <w:sz w:val="22"/>
          <w:szCs w:val="22"/>
          <w:lang w:val="es-ES_tradnl"/>
        </w:rPr>
        <w:tab/>
        <w:t>En la justificación y análisis que cada entidad haga de su propuesta presupuestaria 2017, deberá hacerse una separación entre el crecimiento procedente de los gastos operativos normales de la entidad (lo que necesita para operar), y los relacionados con otros rubros especiales, no habituales o extraordinarios como son: inversiones en bienes duraderos y proyectos especiales, entre otros.  El crecimiento máximo de los gastos de operación para el periodo 2017 será el mismo establecido por el BCCR en los “</w:t>
      </w:r>
      <w:r w:rsidRPr="00285A0F">
        <w:rPr>
          <w:i/>
          <w:sz w:val="22"/>
          <w:szCs w:val="22"/>
          <w:lang w:val="es-ES_tradnl"/>
        </w:rPr>
        <w:t xml:space="preserve">Parámetros para la Formulación del Presupuesto </w:t>
      </w:r>
      <w:r w:rsidRPr="00285A0F">
        <w:rPr>
          <w:i/>
          <w:sz w:val="22"/>
          <w:szCs w:val="22"/>
          <w:lang w:val="es-ES_tradnl"/>
        </w:rPr>
        <w:lastRenderedPageBreak/>
        <w:t>2017</w:t>
      </w:r>
      <w:r w:rsidRPr="00285A0F">
        <w:rPr>
          <w:sz w:val="22"/>
          <w:szCs w:val="22"/>
          <w:lang w:val="es-ES_tradnl"/>
        </w:rPr>
        <w:t>”:</w:t>
      </w:r>
    </w:p>
    <w:p w14:paraId="4CC10581" w14:textId="77777777" w:rsidR="0030375D" w:rsidRPr="00285A0F" w:rsidRDefault="0030375D" w:rsidP="0030375D">
      <w:pPr>
        <w:widowControl w:val="0"/>
        <w:ind w:right="425"/>
        <w:jc w:val="both"/>
        <w:rPr>
          <w:sz w:val="22"/>
          <w:szCs w:val="22"/>
          <w:lang w:val="es-ES_tradnl"/>
        </w:rPr>
      </w:pPr>
    </w:p>
    <w:p w14:paraId="23FD0B18" w14:textId="77777777" w:rsidR="0030375D" w:rsidRPr="00285A0F" w:rsidRDefault="0030375D" w:rsidP="0030375D">
      <w:pPr>
        <w:widowControl w:val="0"/>
        <w:ind w:left="851" w:right="283"/>
        <w:jc w:val="both"/>
        <w:rPr>
          <w:i/>
          <w:sz w:val="22"/>
          <w:szCs w:val="22"/>
          <w:lang w:val="es-ES_tradnl"/>
        </w:rPr>
      </w:pPr>
      <w:r w:rsidRPr="00285A0F">
        <w:rPr>
          <w:i/>
          <w:sz w:val="22"/>
          <w:szCs w:val="22"/>
          <w:lang w:val="es-ES_tradnl"/>
        </w:rPr>
        <w:t>“</w:t>
      </w:r>
      <w:r w:rsidRPr="00285A0F">
        <w:rPr>
          <w:b/>
          <w:i/>
          <w:sz w:val="22"/>
          <w:szCs w:val="22"/>
          <w:lang w:val="es-ES_tradnl"/>
        </w:rPr>
        <w:t>1. Crecimiento máximo del presupuesto</w:t>
      </w:r>
    </w:p>
    <w:p w14:paraId="255C1496" w14:textId="77777777" w:rsidR="0030375D" w:rsidRPr="00285A0F" w:rsidRDefault="0030375D" w:rsidP="0030375D">
      <w:pPr>
        <w:widowControl w:val="0"/>
        <w:ind w:left="851" w:right="283"/>
        <w:jc w:val="both"/>
        <w:rPr>
          <w:i/>
          <w:sz w:val="22"/>
          <w:szCs w:val="22"/>
          <w:lang w:val="es-ES_tradnl"/>
        </w:rPr>
      </w:pPr>
      <w:r w:rsidRPr="00285A0F">
        <w:rPr>
          <w:i/>
          <w:sz w:val="22"/>
          <w:szCs w:val="22"/>
          <w:lang w:val="es-ES_tradnl"/>
        </w:rPr>
        <w:t>El crecimiento máximo del presupuesto de la operativa regular para el 2017 (excluyendo compromisos, nueva operativa y lo correspondiente a billetes y monedas), con respecto al presupuesto del 2016, será el valor medio de la meta de inflación, establecido para diciembre del 2017, en el Programa Macroeconómico 2016-2017</w:t>
      </w:r>
      <w:r w:rsidRPr="00285A0F">
        <w:rPr>
          <w:b/>
          <w:i/>
          <w:sz w:val="22"/>
          <w:szCs w:val="22"/>
          <w:vertAlign w:val="superscript"/>
          <w:lang w:val="es-ES_tradnl"/>
        </w:rPr>
        <w:footnoteReference w:id="11"/>
      </w:r>
      <w:r w:rsidRPr="00285A0F">
        <w:rPr>
          <w:i/>
          <w:sz w:val="22"/>
          <w:szCs w:val="22"/>
          <w:lang w:val="es-ES_tradnl"/>
        </w:rPr>
        <w:t>.”</w:t>
      </w:r>
    </w:p>
    <w:p w14:paraId="588E78EF" w14:textId="77777777" w:rsidR="0030375D" w:rsidRPr="00285A0F" w:rsidRDefault="0030375D" w:rsidP="0030375D">
      <w:pPr>
        <w:widowControl w:val="0"/>
        <w:ind w:right="425"/>
        <w:jc w:val="both"/>
        <w:rPr>
          <w:sz w:val="22"/>
          <w:szCs w:val="22"/>
          <w:lang w:val="es-ES_tradnl"/>
        </w:rPr>
      </w:pPr>
    </w:p>
    <w:p w14:paraId="6CC25CBC"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6.</w:t>
      </w:r>
      <w:r w:rsidRPr="00285A0F">
        <w:rPr>
          <w:sz w:val="22"/>
          <w:szCs w:val="22"/>
          <w:lang w:val="es-ES_tradnl"/>
        </w:rPr>
        <w:tab/>
        <w:t>En el caso de proyectos especiales que alguna entidad programe llevar a cabo, se debe proveer detalle del costo, beneficio y rentabilidad esperada; todo ello debidamente fundamentado de acuerdo con el esquema de presentación de los formularios que el BCCR ha definido bajo el proceso Administración de Proyectos en el Sitio de Calidad (carta proyecto).  Para las presentaciones de presupuesto 2017 ante el Comité Permanente de Riesgo, Evaluación y Presupuesto se solicita a las Superintendencias, Auditoría Interna y CONASSIF que presenten ante el Comité Permanente de Presupuesto, Gestión de Riesgo y Evaluación Institucional un estado de situación (avance) de los proyectos especiales que presupuestaron en el 2016. Asimismo, se deben presentar ante el Comité los nuevos proyectos que la entidad espera promover para el 2017.</w:t>
      </w:r>
    </w:p>
    <w:p w14:paraId="776C986C" w14:textId="77777777" w:rsidR="0030375D" w:rsidRPr="00285A0F" w:rsidRDefault="0030375D" w:rsidP="0030375D">
      <w:pPr>
        <w:widowControl w:val="0"/>
        <w:ind w:right="425"/>
        <w:jc w:val="both"/>
        <w:rPr>
          <w:sz w:val="22"/>
          <w:szCs w:val="22"/>
          <w:lang w:val="es-ES_tradnl"/>
        </w:rPr>
      </w:pPr>
    </w:p>
    <w:p w14:paraId="1C205874"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7.</w:t>
      </w:r>
      <w:r w:rsidRPr="00285A0F">
        <w:rPr>
          <w:sz w:val="22"/>
          <w:szCs w:val="22"/>
          <w:lang w:val="es-ES_tradnl"/>
        </w:rPr>
        <w:tab/>
        <w:t xml:space="preserve">En el caso de Capacitación, cada entidad deberá establecer los planes de capacitación anuales tomando en cuenta la capacitación específica (temas técnicos) y la capacitación para actualización de los colaboradores, conceptos definidos por el Departamento de Gestión del Factor Humano del BCCR, en función del desarrollo de las competencias requeridas en el desempeño de sus funciones. Además, las Superintendencias deberán coordinar sus esfuerzos de capacitación en aquellas áreas y temas en que resulten comunes.  Asimismo, dentro de los presupuestos y actividades de capacitación que las Superintendencias, el CONASSIF o su Auditoría Interna planifiquen para el ejercicio presupuestario 2017, deberán contemplarse cupos para la participación de colaboradores de otras dependencias. </w:t>
      </w:r>
    </w:p>
    <w:p w14:paraId="1FEE1F4D" w14:textId="77777777" w:rsidR="0030375D" w:rsidRPr="00285A0F" w:rsidRDefault="0030375D" w:rsidP="0030375D">
      <w:pPr>
        <w:widowControl w:val="0"/>
        <w:jc w:val="both"/>
        <w:rPr>
          <w:sz w:val="22"/>
          <w:szCs w:val="22"/>
        </w:rPr>
      </w:pPr>
    </w:p>
    <w:p w14:paraId="0D33998E" w14:textId="77777777" w:rsidR="0030375D" w:rsidRPr="00285A0F" w:rsidRDefault="0030375D" w:rsidP="0030375D">
      <w:pPr>
        <w:widowControl w:val="0"/>
        <w:ind w:left="567" w:hanging="567"/>
        <w:jc w:val="both"/>
        <w:rPr>
          <w:sz w:val="22"/>
          <w:szCs w:val="22"/>
          <w:lang w:val="es-ES_tradnl"/>
        </w:rPr>
      </w:pPr>
      <w:r w:rsidRPr="00285A0F">
        <w:rPr>
          <w:sz w:val="22"/>
          <w:szCs w:val="22"/>
          <w:lang w:val="es-ES_tradnl"/>
        </w:rPr>
        <w:t>8.</w:t>
      </w:r>
      <w:r w:rsidRPr="00285A0F">
        <w:rPr>
          <w:sz w:val="22"/>
          <w:szCs w:val="22"/>
          <w:lang w:val="es-ES_tradnl"/>
        </w:rPr>
        <w:tab/>
        <w:t>Las Superintendencias deberán respaldar su propuesta de presupuesto 2017 con información sobre el costo de supervisión en Costa Rica comparado con otros países meta (3 o 4 países), con los que sea ideal compararse. La Auditoría Interna también deberá presentar información acerca del costo de la auditoría interna de la supervisión financiera en Costa Rica comparado con el costo de esa función en otros países”.</w:t>
      </w:r>
    </w:p>
    <w:p w14:paraId="0F968221" w14:textId="77777777" w:rsidR="0030375D" w:rsidRPr="00285A0F" w:rsidRDefault="0030375D" w:rsidP="0030375D">
      <w:pPr>
        <w:widowControl w:val="0"/>
        <w:jc w:val="both"/>
        <w:rPr>
          <w:sz w:val="22"/>
          <w:szCs w:val="22"/>
        </w:rPr>
      </w:pPr>
    </w:p>
    <w:p w14:paraId="1C0ADF8B" w14:textId="77777777" w:rsidR="0030375D" w:rsidRPr="00285A0F" w:rsidRDefault="0030375D" w:rsidP="0030375D">
      <w:pPr>
        <w:widowControl w:val="0"/>
        <w:jc w:val="both"/>
        <w:rPr>
          <w:sz w:val="22"/>
          <w:szCs w:val="22"/>
        </w:rPr>
      </w:pPr>
      <w:r w:rsidRPr="00285A0F">
        <w:rPr>
          <w:sz w:val="22"/>
          <w:szCs w:val="22"/>
        </w:rPr>
        <w:t>Atentamente,</w:t>
      </w:r>
    </w:p>
    <w:p w14:paraId="682E89C5" w14:textId="77777777" w:rsidR="0030375D" w:rsidRPr="00285A0F" w:rsidRDefault="0030375D" w:rsidP="0030375D">
      <w:pPr>
        <w:widowControl w:val="0"/>
        <w:jc w:val="both"/>
        <w:rPr>
          <w:sz w:val="22"/>
          <w:szCs w:val="22"/>
        </w:rPr>
      </w:pPr>
    </w:p>
    <w:p w14:paraId="5C684632" w14:textId="77777777" w:rsidR="0030375D" w:rsidRPr="00285A0F" w:rsidRDefault="0030375D" w:rsidP="0030375D">
      <w:pPr>
        <w:widowControl w:val="0"/>
        <w:jc w:val="both"/>
        <w:rPr>
          <w:sz w:val="22"/>
          <w:szCs w:val="22"/>
        </w:rPr>
      </w:pPr>
      <w:r w:rsidRPr="00285A0F">
        <w:rPr>
          <w:noProof/>
          <w:sz w:val="22"/>
          <w:szCs w:val="22"/>
        </w:rPr>
        <w:drawing>
          <wp:anchor distT="0" distB="0" distL="114300" distR="114300" simplePos="0" relativeHeight="251741184" behindDoc="1" locked="0" layoutInCell="1" allowOverlap="1" wp14:anchorId="11652928" wp14:editId="70E8A0AC">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81" name="Imagen 8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9E121" w14:textId="77777777" w:rsidR="0030375D" w:rsidRPr="00285A0F" w:rsidRDefault="0030375D" w:rsidP="0030375D">
      <w:pPr>
        <w:widowControl w:val="0"/>
        <w:jc w:val="both"/>
        <w:rPr>
          <w:sz w:val="22"/>
          <w:szCs w:val="22"/>
        </w:rPr>
      </w:pPr>
    </w:p>
    <w:p w14:paraId="3E1E7738" w14:textId="77777777" w:rsidR="0030375D" w:rsidRPr="00285A0F" w:rsidRDefault="0030375D" w:rsidP="0030375D">
      <w:pPr>
        <w:widowControl w:val="0"/>
        <w:jc w:val="both"/>
        <w:rPr>
          <w:sz w:val="22"/>
          <w:szCs w:val="22"/>
        </w:rPr>
      </w:pPr>
    </w:p>
    <w:p w14:paraId="31D07D15" w14:textId="77777777" w:rsidR="0030375D" w:rsidRPr="00285A0F" w:rsidRDefault="0030375D" w:rsidP="0030375D">
      <w:pPr>
        <w:widowControl w:val="0"/>
        <w:rPr>
          <w:sz w:val="22"/>
          <w:szCs w:val="22"/>
        </w:rPr>
      </w:pPr>
      <w:r w:rsidRPr="00285A0F">
        <w:rPr>
          <w:sz w:val="22"/>
          <w:szCs w:val="22"/>
        </w:rPr>
        <w:t>Jorge Monge Bonilla</w:t>
      </w:r>
    </w:p>
    <w:p w14:paraId="265B4B06" w14:textId="77777777" w:rsidR="0030375D" w:rsidRPr="00285A0F" w:rsidRDefault="0030375D" w:rsidP="0030375D">
      <w:pPr>
        <w:widowControl w:val="0"/>
        <w:rPr>
          <w:i/>
          <w:sz w:val="22"/>
          <w:szCs w:val="22"/>
        </w:rPr>
      </w:pPr>
      <w:r w:rsidRPr="00285A0F">
        <w:rPr>
          <w:i/>
          <w:sz w:val="22"/>
          <w:szCs w:val="22"/>
        </w:rPr>
        <w:t>Secretario del Consejo</w:t>
      </w:r>
    </w:p>
    <w:p w14:paraId="1759E818" w14:textId="77777777" w:rsidR="0030375D" w:rsidRDefault="0030375D" w:rsidP="0030375D">
      <w:pPr>
        <w:widowControl w:val="0"/>
        <w:jc w:val="both"/>
        <w:rPr>
          <w:sz w:val="22"/>
          <w:szCs w:val="22"/>
        </w:rPr>
      </w:pPr>
    </w:p>
    <w:p w14:paraId="6F299C0F" w14:textId="77777777" w:rsidR="0030375D" w:rsidRDefault="0030375D" w:rsidP="0030375D">
      <w:pPr>
        <w:widowControl w:val="0"/>
        <w:jc w:val="both"/>
        <w:rPr>
          <w:lang w:val="es-CR"/>
        </w:rPr>
      </w:pPr>
    </w:p>
    <w:p w14:paraId="2A54E642" w14:textId="77777777" w:rsidR="0030375D" w:rsidRDefault="0030375D" w:rsidP="0030375D">
      <w:pPr>
        <w:widowControl w:val="0"/>
        <w:ind w:left="1134" w:hanging="1134"/>
        <w:jc w:val="both"/>
        <w:rPr>
          <w:lang w:val="es-CR"/>
        </w:rPr>
      </w:pPr>
      <w:r w:rsidRPr="00285A0F">
        <w:rPr>
          <w:b/>
          <w:i/>
          <w:sz w:val="16"/>
          <w:szCs w:val="16"/>
        </w:rPr>
        <w:t>Con copia a:</w:t>
      </w:r>
      <w:r w:rsidRPr="00285A0F">
        <w:rPr>
          <w:b/>
          <w:i/>
          <w:sz w:val="16"/>
          <w:szCs w:val="16"/>
        </w:rPr>
        <w:tab/>
      </w:r>
      <w:r w:rsidRPr="00285A0F">
        <w:rPr>
          <w:i/>
          <w:sz w:val="16"/>
          <w:szCs w:val="16"/>
        </w:rPr>
        <w:t>Superintendencias, Intendencias, Auditoría Interna, Encargada Administrativa CONASSIF.</w:t>
      </w:r>
    </w:p>
    <w:p w14:paraId="0A636145" w14:textId="5330E994" w:rsidR="005660D7" w:rsidRDefault="005660D7" w:rsidP="005660D7">
      <w:pPr>
        <w:widowControl w:val="0"/>
        <w:jc w:val="both"/>
        <w:rPr>
          <w:sz w:val="22"/>
          <w:szCs w:val="22"/>
        </w:rPr>
      </w:pPr>
    </w:p>
    <w:p w14:paraId="5DFB9A59" w14:textId="77777777" w:rsidR="00902265" w:rsidRDefault="00902265">
      <w:pPr>
        <w:rPr>
          <w:sz w:val="22"/>
          <w:szCs w:val="22"/>
        </w:rPr>
      </w:pPr>
      <w:r>
        <w:rPr>
          <w:sz w:val="22"/>
          <w:szCs w:val="22"/>
        </w:rPr>
        <w:br w:type="page"/>
      </w:r>
    </w:p>
    <w:p w14:paraId="38233DE3" w14:textId="2E53C00E" w:rsidR="00902265" w:rsidRDefault="00902265" w:rsidP="005660D7">
      <w:pPr>
        <w:widowControl w:val="0"/>
        <w:jc w:val="both"/>
        <w:rPr>
          <w:sz w:val="22"/>
          <w:szCs w:val="22"/>
        </w:rPr>
      </w:pPr>
    </w:p>
    <w:p w14:paraId="5F533510" w14:textId="77777777" w:rsidR="00902265" w:rsidRPr="00410349" w:rsidRDefault="00902265" w:rsidP="00902265">
      <w:pPr>
        <w:tabs>
          <w:tab w:val="center" w:pos="4419"/>
          <w:tab w:val="right" w:pos="8838"/>
        </w:tabs>
        <w:spacing w:before="120" w:after="120"/>
        <w:jc w:val="both"/>
        <w:rPr>
          <w:szCs w:val="20"/>
        </w:rPr>
      </w:pPr>
      <w:r>
        <w:rPr>
          <w:noProof/>
          <w:szCs w:val="20"/>
        </w:rPr>
        <w:drawing>
          <wp:anchor distT="0" distB="0" distL="114300" distR="114300" simplePos="0" relativeHeight="251721728" behindDoc="0" locked="0" layoutInCell="1" allowOverlap="1" wp14:anchorId="162788E6" wp14:editId="05BB8A1E">
            <wp:simplePos x="0" y="0"/>
            <wp:positionH relativeFrom="column">
              <wp:posOffset>-46746</wp:posOffset>
            </wp:positionH>
            <wp:positionV relativeFrom="paragraph">
              <wp:posOffset>-26238</wp:posOffset>
            </wp:positionV>
            <wp:extent cx="5469255" cy="414020"/>
            <wp:effectExtent l="0" t="0" r="0" b="508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14:sizeRelH relativeFrom="page">
              <wp14:pctWidth>0</wp14:pctWidth>
            </wp14:sizeRelH>
            <wp14:sizeRelV relativeFrom="page">
              <wp14:pctHeight>0</wp14:pctHeight>
            </wp14:sizeRelV>
          </wp:anchor>
        </w:drawing>
      </w:r>
    </w:p>
    <w:p w14:paraId="3FEDB3AD" w14:textId="77777777" w:rsidR="00902265" w:rsidRDefault="00902265" w:rsidP="005660D7">
      <w:pPr>
        <w:widowControl w:val="0"/>
        <w:jc w:val="both"/>
        <w:rPr>
          <w:sz w:val="22"/>
          <w:szCs w:val="22"/>
        </w:rPr>
      </w:pPr>
    </w:p>
    <w:p w14:paraId="73EA3CD3" w14:textId="77777777" w:rsidR="0030375D" w:rsidRPr="00D122D1" w:rsidRDefault="0030375D" w:rsidP="0030375D">
      <w:pPr>
        <w:widowControl w:val="0"/>
        <w:jc w:val="both"/>
      </w:pPr>
    </w:p>
    <w:p w14:paraId="7C2C732B" w14:textId="77777777" w:rsidR="0030375D" w:rsidRPr="00D122D1" w:rsidRDefault="0030375D" w:rsidP="0030375D">
      <w:pPr>
        <w:widowControl w:val="0"/>
        <w:jc w:val="both"/>
      </w:pPr>
      <w:r>
        <w:t>31</w:t>
      </w:r>
      <w:r w:rsidRPr="00D122D1">
        <w:t xml:space="preserve"> de mayo del 2016</w:t>
      </w:r>
    </w:p>
    <w:p w14:paraId="504B3706" w14:textId="77777777" w:rsidR="0030375D" w:rsidRPr="00D122D1" w:rsidRDefault="0030375D" w:rsidP="0030375D">
      <w:pPr>
        <w:widowControl w:val="0"/>
        <w:jc w:val="both"/>
      </w:pPr>
      <w:r w:rsidRPr="00D122D1">
        <w:t>JD-5723/04</w:t>
      </w:r>
    </w:p>
    <w:p w14:paraId="708ACB80" w14:textId="77777777" w:rsidR="0030375D" w:rsidRPr="00D122D1" w:rsidRDefault="0030375D" w:rsidP="0030375D">
      <w:pPr>
        <w:widowControl w:val="0"/>
        <w:jc w:val="both"/>
      </w:pPr>
    </w:p>
    <w:p w14:paraId="17ADE40A" w14:textId="77777777" w:rsidR="0030375D" w:rsidRPr="00D122D1" w:rsidRDefault="0030375D" w:rsidP="0030375D">
      <w:pPr>
        <w:widowControl w:val="0"/>
        <w:jc w:val="both"/>
      </w:pPr>
    </w:p>
    <w:p w14:paraId="051214E6" w14:textId="77777777" w:rsidR="0030375D" w:rsidRPr="00613CA2" w:rsidRDefault="0030375D" w:rsidP="0030375D">
      <w:pPr>
        <w:widowControl w:val="0"/>
        <w:jc w:val="both"/>
      </w:pPr>
    </w:p>
    <w:p w14:paraId="21B8770D" w14:textId="77777777" w:rsidR="0030375D" w:rsidRPr="00613CA2" w:rsidRDefault="0030375D" w:rsidP="0030375D">
      <w:pPr>
        <w:widowControl w:val="0"/>
        <w:jc w:val="both"/>
      </w:pPr>
      <w:r w:rsidRPr="00613CA2">
        <w:t>Señor</w:t>
      </w:r>
    </w:p>
    <w:p w14:paraId="3CBBE9BE" w14:textId="77777777" w:rsidR="0030375D" w:rsidRPr="00613CA2" w:rsidRDefault="0030375D" w:rsidP="0030375D">
      <w:pPr>
        <w:widowControl w:val="0"/>
        <w:jc w:val="both"/>
        <w:rPr>
          <w:b/>
          <w:i/>
        </w:rPr>
      </w:pPr>
      <w:r w:rsidRPr="00613CA2">
        <w:t xml:space="preserve">Luis Carlos Delgado Murillo, </w:t>
      </w:r>
      <w:r w:rsidRPr="00613CA2">
        <w:rPr>
          <w:b/>
          <w:i/>
        </w:rPr>
        <w:t>Presidente</w:t>
      </w:r>
    </w:p>
    <w:p w14:paraId="1002E476" w14:textId="77777777" w:rsidR="0030375D" w:rsidRPr="00613CA2" w:rsidRDefault="0030375D" w:rsidP="0030375D">
      <w:pPr>
        <w:widowControl w:val="0"/>
        <w:jc w:val="both"/>
        <w:rPr>
          <w:b/>
          <w:i/>
        </w:rPr>
      </w:pPr>
      <w:r w:rsidRPr="00613CA2">
        <w:rPr>
          <w:b/>
          <w:i/>
        </w:rPr>
        <w:t>CONSEJO NACIONAL DE SUPERVISIÓN</w:t>
      </w:r>
    </w:p>
    <w:p w14:paraId="5A032C73" w14:textId="77777777" w:rsidR="0030375D" w:rsidRPr="00613CA2" w:rsidRDefault="0030375D" w:rsidP="0030375D">
      <w:pPr>
        <w:widowControl w:val="0"/>
        <w:jc w:val="both"/>
        <w:rPr>
          <w:b/>
          <w:i/>
        </w:rPr>
      </w:pPr>
      <w:r w:rsidRPr="00613CA2">
        <w:rPr>
          <w:b/>
          <w:i/>
        </w:rPr>
        <w:t xml:space="preserve">  DEL SISTEMA FINANCIERO</w:t>
      </w:r>
    </w:p>
    <w:p w14:paraId="46CD30B6" w14:textId="77777777" w:rsidR="0030375D" w:rsidRPr="00613CA2" w:rsidRDefault="0030375D" w:rsidP="0030375D">
      <w:pPr>
        <w:widowControl w:val="0"/>
        <w:jc w:val="both"/>
        <w:rPr>
          <w:b/>
          <w:i/>
        </w:rPr>
      </w:pPr>
    </w:p>
    <w:p w14:paraId="48D29666" w14:textId="77777777" w:rsidR="0030375D" w:rsidRPr="00D122D1" w:rsidRDefault="0030375D" w:rsidP="0030375D">
      <w:pPr>
        <w:widowControl w:val="0"/>
        <w:jc w:val="both"/>
      </w:pPr>
    </w:p>
    <w:p w14:paraId="51E0B08E" w14:textId="77777777" w:rsidR="0030375D" w:rsidRPr="00D122D1" w:rsidRDefault="0030375D" w:rsidP="0030375D">
      <w:pPr>
        <w:widowControl w:val="0"/>
        <w:jc w:val="both"/>
      </w:pPr>
      <w:r w:rsidRPr="00D122D1">
        <w:t>Estimado señor:</w:t>
      </w:r>
    </w:p>
    <w:p w14:paraId="33E207D6" w14:textId="77777777" w:rsidR="0030375D" w:rsidRPr="00D122D1" w:rsidRDefault="0030375D" w:rsidP="0030375D">
      <w:pPr>
        <w:widowControl w:val="0"/>
        <w:jc w:val="both"/>
      </w:pPr>
    </w:p>
    <w:p w14:paraId="015364D4" w14:textId="77777777" w:rsidR="0030375D" w:rsidRPr="00D122D1" w:rsidRDefault="0030375D" w:rsidP="0030375D">
      <w:pPr>
        <w:widowControl w:val="0"/>
        <w:jc w:val="both"/>
      </w:pPr>
      <w:r w:rsidRPr="00D122D1">
        <w:t xml:space="preserve">La Junta Directiva del Banco Central de Costa Rica en el artículo 4 del acta de la sesión 5723-2016, celebrada el 24 de mayo del 2016, </w:t>
      </w:r>
    </w:p>
    <w:p w14:paraId="774FC273" w14:textId="77777777" w:rsidR="0030375D" w:rsidRPr="00D122D1" w:rsidRDefault="0030375D" w:rsidP="0030375D">
      <w:pPr>
        <w:widowControl w:val="0"/>
        <w:jc w:val="both"/>
      </w:pPr>
    </w:p>
    <w:p w14:paraId="49E3A0C7" w14:textId="77777777" w:rsidR="0030375D" w:rsidRPr="00D122D1" w:rsidRDefault="0030375D" w:rsidP="0030375D">
      <w:pPr>
        <w:widowControl w:val="0"/>
        <w:jc w:val="both"/>
        <w:rPr>
          <w:b/>
        </w:rPr>
      </w:pPr>
      <w:r w:rsidRPr="00D122D1">
        <w:rPr>
          <w:b/>
        </w:rPr>
        <w:t>considerando que:</w:t>
      </w:r>
    </w:p>
    <w:p w14:paraId="3C9BBFFF" w14:textId="77777777" w:rsidR="0030375D" w:rsidRPr="00D122D1" w:rsidRDefault="0030375D" w:rsidP="0030375D">
      <w:pPr>
        <w:widowControl w:val="0"/>
        <w:jc w:val="both"/>
      </w:pPr>
    </w:p>
    <w:p w14:paraId="3E215AFA" w14:textId="77777777" w:rsidR="0030375D" w:rsidRPr="00D122D1" w:rsidRDefault="0030375D" w:rsidP="0030375D">
      <w:pPr>
        <w:widowControl w:val="0"/>
        <w:ind w:left="426" w:hanging="426"/>
        <w:jc w:val="both"/>
      </w:pPr>
      <w:r w:rsidRPr="00D122D1">
        <w:t>I.</w:t>
      </w:r>
      <w:r w:rsidRPr="00D122D1">
        <w:tab/>
        <w:t>La Auditoría Interna del Banco Central de Costa Rica, mediante el informe AI-070-2016, sobre la Evaluación de la formulación de planes de servicio y presupuesto 2016 emitió la siguiente recomendación:</w:t>
      </w:r>
    </w:p>
    <w:p w14:paraId="20ABEB49" w14:textId="77777777" w:rsidR="0030375D" w:rsidRPr="00D122D1" w:rsidRDefault="0030375D" w:rsidP="0030375D">
      <w:pPr>
        <w:widowControl w:val="0"/>
        <w:jc w:val="both"/>
        <w:rPr>
          <w:sz w:val="10"/>
        </w:rPr>
      </w:pPr>
    </w:p>
    <w:p w14:paraId="7E6E076A" w14:textId="77777777" w:rsidR="0030375D" w:rsidRPr="00D122D1" w:rsidRDefault="0030375D" w:rsidP="0030375D">
      <w:pPr>
        <w:widowControl w:val="0"/>
        <w:ind w:left="426"/>
        <w:jc w:val="both"/>
        <w:rPr>
          <w:i/>
        </w:rPr>
      </w:pPr>
      <w:r w:rsidRPr="00D122D1">
        <w:rPr>
          <w:b/>
          <w:i/>
        </w:rPr>
        <w:t>R.6 [Prioridad 1]</w:t>
      </w:r>
      <w:r w:rsidRPr="00D122D1">
        <w:rPr>
          <w:i/>
        </w:rPr>
        <w:t xml:space="preserve"> Someter a aprobación de la Junta Directiva: (i) una variación del inciso c) del artículo 4.2 de las Políticas Específicas para la Formulación del Presupuesto, de modo que se elimine la frase “(sujetos a capitalización) y los recursos para atender la compra de billetes y monedas” y (ii) el desglose de la categoría “presupuesto de operación” en operativa regular, nueva operativa y compra de billetes y monedas.</w:t>
      </w:r>
    </w:p>
    <w:p w14:paraId="5E1F5AAD" w14:textId="77777777" w:rsidR="0030375D" w:rsidRPr="00D122D1" w:rsidRDefault="0030375D" w:rsidP="0030375D">
      <w:pPr>
        <w:widowControl w:val="0"/>
        <w:jc w:val="both"/>
        <w:rPr>
          <w:sz w:val="10"/>
        </w:rPr>
      </w:pPr>
    </w:p>
    <w:p w14:paraId="73E691B6" w14:textId="77777777" w:rsidR="0030375D" w:rsidRPr="00D122D1" w:rsidRDefault="0030375D" w:rsidP="0030375D">
      <w:pPr>
        <w:widowControl w:val="0"/>
        <w:ind w:left="426"/>
        <w:jc w:val="both"/>
      </w:pPr>
      <w:r w:rsidRPr="00D122D1">
        <w:t xml:space="preserve">Las actuales </w:t>
      </w:r>
      <w:r w:rsidRPr="00D122D1">
        <w:rPr>
          <w:i/>
        </w:rPr>
        <w:t>Políticas Específicas para la Formulación Presupuestaria</w:t>
      </w:r>
      <w:r w:rsidRPr="00D122D1">
        <w:t>, en su numeral 4.2, indican:</w:t>
      </w:r>
    </w:p>
    <w:p w14:paraId="6F70DE69" w14:textId="77777777" w:rsidR="0030375D" w:rsidRPr="00D122D1" w:rsidRDefault="0030375D" w:rsidP="0030375D">
      <w:pPr>
        <w:widowControl w:val="0"/>
        <w:jc w:val="both"/>
        <w:rPr>
          <w:sz w:val="10"/>
        </w:rPr>
      </w:pPr>
    </w:p>
    <w:p w14:paraId="5811668B" w14:textId="77777777" w:rsidR="0030375D" w:rsidRPr="00D122D1" w:rsidRDefault="0030375D" w:rsidP="0030375D">
      <w:pPr>
        <w:widowControl w:val="0"/>
        <w:ind w:left="426"/>
        <w:jc w:val="both"/>
        <w:rPr>
          <w:i/>
        </w:rPr>
      </w:pPr>
      <w:r w:rsidRPr="00D122D1">
        <w:rPr>
          <w:i/>
        </w:rPr>
        <w:t>“El presupuesto se divide en tres categorías según se establece a continuación:</w:t>
      </w:r>
    </w:p>
    <w:p w14:paraId="2E97BAD7" w14:textId="77777777" w:rsidR="0030375D" w:rsidRPr="00D122D1" w:rsidRDefault="0030375D" w:rsidP="0030375D">
      <w:pPr>
        <w:widowControl w:val="0"/>
        <w:jc w:val="both"/>
        <w:rPr>
          <w:sz w:val="10"/>
        </w:rPr>
      </w:pPr>
    </w:p>
    <w:p w14:paraId="0DE78381" w14:textId="77777777" w:rsidR="0030375D" w:rsidRPr="00D122D1" w:rsidRDefault="0030375D" w:rsidP="0030375D">
      <w:pPr>
        <w:pStyle w:val="Prrafodelista"/>
        <w:widowControl w:val="0"/>
        <w:numPr>
          <w:ilvl w:val="0"/>
          <w:numId w:val="71"/>
        </w:numPr>
        <w:rPr>
          <w:rFonts w:ascii="Times New Roman" w:eastAsia="Times New Roman" w:hAnsi="Times New Roman"/>
          <w:i/>
          <w:lang w:eastAsia="es-ES"/>
        </w:rPr>
      </w:pPr>
      <w:r w:rsidRPr="00D122D1">
        <w:rPr>
          <w:rFonts w:ascii="Times New Roman" w:eastAsia="Times New Roman" w:hAnsi="Times New Roman"/>
          <w:b/>
          <w:i/>
          <w:lang w:val="es-ES" w:eastAsia="es-ES"/>
        </w:rPr>
        <w:t>Presupuesto financiero:</w:t>
      </w:r>
      <w:r w:rsidRPr="00D122D1">
        <w:rPr>
          <w:rFonts w:ascii="Times New Roman" w:eastAsia="Times New Roman" w:hAnsi="Times New Roman"/>
          <w:i/>
          <w:lang w:val="es-ES" w:eastAsia="es-ES"/>
        </w:rPr>
        <w:t xml:space="preserve"> corresponde a la estimación de los ingresos y gastos financieros (Partida intereses y comisiones).</w:t>
      </w:r>
    </w:p>
    <w:p w14:paraId="05ACA496" w14:textId="77777777" w:rsidR="0030375D" w:rsidRPr="00D122D1" w:rsidRDefault="0030375D" w:rsidP="0030375D">
      <w:pPr>
        <w:widowControl w:val="0"/>
        <w:jc w:val="both"/>
        <w:rPr>
          <w:sz w:val="10"/>
        </w:rPr>
      </w:pPr>
    </w:p>
    <w:p w14:paraId="4B32D539" w14:textId="77777777" w:rsidR="0030375D" w:rsidRPr="00D122D1" w:rsidRDefault="0030375D" w:rsidP="0030375D">
      <w:pPr>
        <w:widowControl w:val="0"/>
        <w:ind w:left="708" w:hanging="282"/>
        <w:jc w:val="both"/>
        <w:rPr>
          <w:i/>
        </w:rPr>
      </w:pPr>
      <w:r w:rsidRPr="00D122D1">
        <w:rPr>
          <w:b/>
          <w:i/>
        </w:rPr>
        <w:t>b)</w:t>
      </w:r>
      <w:r w:rsidRPr="00D122D1">
        <w:rPr>
          <w:b/>
          <w:i/>
        </w:rPr>
        <w:tab/>
        <w:t>Presupuesto de operación:</w:t>
      </w:r>
      <w:r w:rsidRPr="00D122D1">
        <w:rPr>
          <w:i/>
        </w:rPr>
        <w:t xml:space="preserve"> incluye las erogaciones necesarias para ejecutar los procesos rutinarios para el normal desempeño del Banco.</w:t>
      </w:r>
    </w:p>
    <w:p w14:paraId="782AD787" w14:textId="77777777" w:rsidR="0030375D" w:rsidRPr="00D122D1" w:rsidRDefault="0030375D" w:rsidP="0030375D">
      <w:pPr>
        <w:widowControl w:val="0"/>
        <w:jc w:val="both"/>
        <w:rPr>
          <w:sz w:val="10"/>
        </w:rPr>
      </w:pPr>
    </w:p>
    <w:p w14:paraId="1E9B3E7F" w14:textId="77777777" w:rsidR="0030375D" w:rsidRPr="00D122D1" w:rsidRDefault="0030375D" w:rsidP="0030375D">
      <w:pPr>
        <w:widowControl w:val="0"/>
        <w:ind w:left="708" w:hanging="282"/>
        <w:jc w:val="both"/>
        <w:rPr>
          <w:i/>
        </w:rPr>
      </w:pPr>
      <w:r w:rsidRPr="00D122D1">
        <w:rPr>
          <w:b/>
          <w:i/>
        </w:rPr>
        <w:t>c)</w:t>
      </w:r>
      <w:r w:rsidRPr="00D122D1">
        <w:rPr>
          <w:b/>
          <w:i/>
        </w:rPr>
        <w:tab/>
        <w:t>Presupuesto de inversión:</w:t>
      </w:r>
      <w:r w:rsidRPr="00D122D1">
        <w:rPr>
          <w:i/>
        </w:rPr>
        <w:t xml:space="preserve"> incluye los recursos que se aprueben para proyectos (sujetos a capitalización) y los recursos para atender la compra de billetes y monedas.”</w:t>
      </w:r>
    </w:p>
    <w:p w14:paraId="44B949B4" w14:textId="77777777" w:rsidR="0030375D" w:rsidRPr="00D122D1" w:rsidRDefault="0030375D" w:rsidP="0030375D">
      <w:pPr>
        <w:widowControl w:val="0"/>
        <w:jc w:val="both"/>
        <w:rPr>
          <w:sz w:val="10"/>
        </w:rPr>
      </w:pPr>
    </w:p>
    <w:p w14:paraId="134D67BE" w14:textId="77777777" w:rsidR="0030375D" w:rsidRPr="00D122D1" w:rsidRDefault="0030375D" w:rsidP="0030375D">
      <w:pPr>
        <w:widowControl w:val="0"/>
        <w:ind w:left="426"/>
        <w:jc w:val="both"/>
      </w:pPr>
      <w:r w:rsidRPr="00D122D1">
        <w:t xml:space="preserve">Las definiciones de los incisos b) y c) dejan un vacío sobre dónde incluir el presupuesto </w:t>
      </w:r>
      <w:r w:rsidRPr="00D122D1">
        <w:lastRenderedPageBreak/>
        <w:t>de proyectos que no sean capitalizables. Esta ambigüedad permite distorsiones en la clasificación de proyectos a nivel presupuestario, como es, incluir algunos en el Presupuesto de Operación pero sin considerarlos para la medición del límite máximo de crecimiento de este presupuesto. Además, se desvirtúa el propósito de la política presupuestaria, el cual consiste en clarificar y separar aquellas erogaciones de proyectos y las que corresponden a operación normal de la Institución, con el fin de medir el crecimiento de ambos presupuestos y contener el crecimiento del último dentro de los límites previamente establecidos.</w:t>
      </w:r>
    </w:p>
    <w:p w14:paraId="1B91A656" w14:textId="77777777" w:rsidR="0030375D" w:rsidRPr="00D122D1" w:rsidRDefault="0030375D" w:rsidP="0030375D">
      <w:pPr>
        <w:widowControl w:val="0"/>
        <w:jc w:val="both"/>
      </w:pPr>
    </w:p>
    <w:p w14:paraId="3DA70191" w14:textId="77777777" w:rsidR="0030375D" w:rsidRPr="00D122D1" w:rsidRDefault="0030375D" w:rsidP="0030375D">
      <w:pPr>
        <w:widowControl w:val="0"/>
        <w:ind w:left="426"/>
        <w:jc w:val="both"/>
      </w:pPr>
      <w:r w:rsidRPr="00D122D1">
        <w:t>Esta situación es la causa por la cual, con la verificación del Plan-Presupuesto para el 2016, se evidenció que el Presupuesto de Inversión contiene proyectos institucionales nuevos y en ejecución aunque ninguno de ellos esté siendo capitalizado, lo que resulta contrario con el inciso c) de la política 4.2 de previa cita; y, por otra parte, el Presupuesto de Operación contiene rubros denominados “</w:t>
      </w:r>
      <w:r w:rsidRPr="00D122D1">
        <w:rPr>
          <w:i/>
        </w:rPr>
        <w:t>nuevos servicios</w:t>
      </w:r>
      <w:r w:rsidRPr="00D122D1">
        <w:t>” para el Banco Central de Costa Rica y las ODM, los que por su definición corresponden en algunos casos a proyectos de desarrollo tecnológico que, en estricto apego con el inciso b) de la política presupuestaria 4.2, no deberían tomarse en cuenta en el Presupuesto de Operación.</w:t>
      </w:r>
    </w:p>
    <w:p w14:paraId="4AF3E6BA" w14:textId="77777777" w:rsidR="0030375D" w:rsidRPr="00D122D1" w:rsidRDefault="0030375D" w:rsidP="0030375D">
      <w:pPr>
        <w:widowControl w:val="0"/>
        <w:jc w:val="both"/>
        <w:rPr>
          <w:sz w:val="10"/>
        </w:rPr>
      </w:pPr>
    </w:p>
    <w:p w14:paraId="09E73940" w14:textId="77777777" w:rsidR="0030375D" w:rsidRPr="00D122D1" w:rsidRDefault="0030375D" w:rsidP="0030375D">
      <w:pPr>
        <w:widowControl w:val="0"/>
        <w:ind w:left="426" w:hanging="426"/>
        <w:jc w:val="both"/>
      </w:pPr>
      <w:r w:rsidRPr="00D122D1">
        <w:t>II.</w:t>
      </w:r>
      <w:r w:rsidRPr="00D122D1">
        <w:tab/>
        <w:t>La solicitud del punto anterior y que</w:t>
      </w:r>
    </w:p>
    <w:p w14:paraId="068C1143" w14:textId="77777777" w:rsidR="0030375D" w:rsidRPr="00D122D1" w:rsidRDefault="0030375D" w:rsidP="0030375D">
      <w:pPr>
        <w:widowControl w:val="0"/>
        <w:jc w:val="both"/>
        <w:rPr>
          <w:sz w:val="10"/>
        </w:rPr>
      </w:pPr>
    </w:p>
    <w:p w14:paraId="467EF5FB" w14:textId="77777777" w:rsidR="0030375D" w:rsidRPr="00D122D1" w:rsidRDefault="0030375D" w:rsidP="0030375D">
      <w:pPr>
        <w:widowControl w:val="0"/>
        <w:ind w:left="851" w:hanging="426"/>
        <w:jc w:val="both"/>
      </w:pPr>
      <w:r w:rsidRPr="00D122D1">
        <w:t>a.</w:t>
      </w:r>
      <w:r w:rsidRPr="00D122D1">
        <w:tab/>
        <w:t xml:space="preserve">En el artículo 3, del acta de la sesión 5661-2014, celebrada el 25 de agosto del 2014, se aprobó, de conformidad con la documentación conocida en esa oportunidad, el </w:t>
      </w:r>
      <w:r w:rsidRPr="00D122D1">
        <w:rPr>
          <w:i/>
        </w:rPr>
        <w:t>Plan Estratégico del Banco Central de Costa Rica, 2015-2018</w:t>
      </w:r>
      <w:r w:rsidRPr="00D122D1">
        <w:t>, presentado por la Administración del Ente Emisor.</w:t>
      </w:r>
    </w:p>
    <w:p w14:paraId="0FAF7255" w14:textId="77777777" w:rsidR="0030375D" w:rsidRPr="00D122D1" w:rsidRDefault="0030375D" w:rsidP="0030375D">
      <w:pPr>
        <w:widowControl w:val="0"/>
        <w:jc w:val="both"/>
        <w:rPr>
          <w:sz w:val="10"/>
        </w:rPr>
      </w:pPr>
    </w:p>
    <w:p w14:paraId="58C1D9AE" w14:textId="77777777" w:rsidR="0030375D" w:rsidRPr="00D122D1" w:rsidRDefault="0030375D" w:rsidP="0030375D">
      <w:pPr>
        <w:widowControl w:val="0"/>
        <w:ind w:left="851" w:hanging="426"/>
        <w:jc w:val="both"/>
      </w:pPr>
      <w:r w:rsidRPr="00D122D1">
        <w:t>b.</w:t>
      </w:r>
      <w:r w:rsidRPr="00D122D1">
        <w:tab/>
        <w:t xml:space="preserve">Mediante el artículo 17, del acta de la sesión 5500-2011, del 8 junio del 2011, se aprobaron las Políticas de Junta Directiva para la gestión presupuestaria en el Banco Central de Costa Rica. </w:t>
      </w:r>
    </w:p>
    <w:p w14:paraId="1FC8C7E6" w14:textId="77777777" w:rsidR="0030375D" w:rsidRPr="00D122D1" w:rsidRDefault="0030375D" w:rsidP="0030375D">
      <w:pPr>
        <w:widowControl w:val="0"/>
        <w:jc w:val="both"/>
        <w:rPr>
          <w:sz w:val="10"/>
        </w:rPr>
      </w:pPr>
    </w:p>
    <w:p w14:paraId="74A9744E" w14:textId="77777777" w:rsidR="0030375D" w:rsidRPr="00D122D1" w:rsidRDefault="0030375D" w:rsidP="0030375D">
      <w:pPr>
        <w:widowControl w:val="0"/>
        <w:ind w:left="851" w:hanging="426"/>
        <w:jc w:val="both"/>
      </w:pPr>
      <w:r w:rsidRPr="00D122D1">
        <w:t>c.</w:t>
      </w:r>
      <w:r w:rsidRPr="00D122D1">
        <w:tab/>
        <w:t>Las Políticas de Junta Directiva constituyen parte del marco de referencia para la elaboración del plan de presupuesto del 2017.</w:t>
      </w:r>
    </w:p>
    <w:p w14:paraId="23DFC58E" w14:textId="77777777" w:rsidR="0030375D" w:rsidRPr="00D122D1" w:rsidRDefault="0030375D" w:rsidP="0030375D">
      <w:pPr>
        <w:widowControl w:val="0"/>
        <w:jc w:val="both"/>
        <w:rPr>
          <w:sz w:val="10"/>
        </w:rPr>
      </w:pPr>
    </w:p>
    <w:p w14:paraId="5AAA9DBE" w14:textId="77777777" w:rsidR="0030375D" w:rsidRPr="00D122D1" w:rsidRDefault="0030375D" w:rsidP="0030375D">
      <w:pPr>
        <w:widowControl w:val="0"/>
        <w:ind w:left="851" w:hanging="426"/>
        <w:jc w:val="both"/>
      </w:pPr>
      <w:r w:rsidRPr="00D122D1">
        <w:t>d.</w:t>
      </w:r>
      <w:r w:rsidRPr="00D122D1">
        <w:tab/>
        <w:t>La Política de Alto Nivel para la Gestión Presupuestaria en el Banco Central de Costa Rica estableció que en el proceso presupuestario se deben considerar aspectos referidos a la orientación estratégica, racionalidad en la asignación de recursos y precisión en las estimaciones, de tal manera que:</w:t>
      </w:r>
    </w:p>
    <w:p w14:paraId="5E7274F6" w14:textId="77777777" w:rsidR="0030375D" w:rsidRPr="00D122D1" w:rsidRDefault="0030375D" w:rsidP="0030375D">
      <w:pPr>
        <w:widowControl w:val="0"/>
        <w:jc w:val="both"/>
        <w:rPr>
          <w:sz w:val="10"/>
        </w:rPr>
      </w:pPr>
    </w:p>
    <w:p w14:paraId="67FDF3A1" w14:textId="77777777" w:rsidR="0030375D" w:rsidRPr="00D122D1" w:rsidRDefault="0030375D" w:rsidP="0030375D">
      <w:pPr>
        <w:widowControl w:val="0"/>
        <w:numPr>
          <w:ilvl w:val="0"/>
          <w:numId w:val="70"/>
        </w:numPr>
        <w:ind w:left="1276" w:hanging="425"/>
        <w:jc w:val="both"/>
      </w:pPr>
      <w:r w:rsidRPr="00D122D1">
        <w:t>En los planes se incorpore el componente estratégico que vincula las acciones del período con los objetivos estratégicos que forman parte del Plan Estratégico vigente. La gestión y los proyectos que se propongan en los planes deben orientarse hacia el logro de los objetivos institucionales, lo cual se reflejará a través de los indicadores definidos.</w:t>
      </w:r>
    </w:p>
    <w:p w14:paraId="147867C5" w14:textId="77777777" w:rsidR="0030375D" w:rsidRPr="00D122D1" w:rsidRDefault="0030375D" w:rsidP="0030375D">
      <w:pPr>
        <w:widowControl w:val="0"/>
        <w:jc w:val="both"/>
        <w:rPr>
          <w:sz w:val="10"/>
        </w:rPr>
      </w:pPr>
    </w:p>
    <w:p w14:paraId="6A31A2D7" w14:textId="77777777" w:rsidR="0030375D" w:rsidRPr="00D122D1" w:rsidRDefault="0030375D" w:rsidP="0030375D">
      <w:pPr>
        <w:widowControl w:val="0"/>
        <w:numPr>
          <w:ilvl w:val="0"/>
          <w:numId w:val="70"/>
        </w:numPr>
        <w:ind w:left="1276" w:hanging="425"/>
        <w:jc w:val="both"/>
      </w:pPr>
      <w:r w:rsidRPr="00D122D1">
        <w:t>La estimación de los recursos debe considerar el principio de racionalidad del gasto, para satisfacer las necesidades reales, sustentadas en los planes de las diferentes divisiones, para el cumplimiento de los objetivos estratégicos aprobados en el Plan Estratégico. Además se debe considerar como insumo la información generada por el “</w:t>
      </w:r>
      <w:r w:rsidRPr="00D122D1">
        <w:rPr>
          <w:i/>
        </w:rPr>
        <w:t>Sistema costeo por actividades, costeo ABC</w:t>
      </w:r>
      <w:r w:rsidRPr="00D122D1">
        <w:t xml:space="preserve">”. </w:t>
      </w:r>
    </w:p>
    <w:p w14:paraId="0D410DBE" w14:textId="77777777" w:rsidR="0030375D" w:rsidRPr="00D122D1" w:rsidRDefault="0030375D" w:rsidP="0030375D">
      <w:pPr>
        <w:widowControl w:val="0"/>
        <w:jc w:val="both"/>
        <w:rPr>
          <w:sz w:val="10"/>
        </w:rPr>
      </w:pPr>
    </w:p>
    <w:p w14:paraId="13B8DA43" w14:textId="77777777" w:rsidR="0030375D" w:rsidRPr="00D122D1" w:rsidRDefault="0030375D" w:rsidP="0030375D">
      <w:pPr>
        <w:widowControl w:val="0"/>
        <w:numPr>
          <w:ilvl w:val="0"/>
          <w:numId w:val="70"/>
        </w:numPr>
        <w:ind w:left="1276" w:hanging="425"/>
        <w:jc w:val="both"/>
      </w:pPr>
      <w:r w:rsidRPr="00D122D1">
        <w:t xml:space="preserve">Deben realizarse estimaciones precisas con el fin de minimizar, en lo posible, </w:t>
      </w:r>
      <w:r w:rsidRPr="00D122D1">
        <w:lastRenderedPageBreak/>
        <w:t>el uso de variaciones al presupuesto. Las variaciones al presupuesto se realizan en forma controlada en cuanto a cantidad y deben corresponder a situaciones excepcionales o de extrema necesidad.</w:t>
      </w:r>
    </w:p>
    <w:p w14:paraId="359A0492" w14:textId="77777777" w:rsidR="0030375D" w:rsidRPr="00D122D1" w:rsidRDefault="0030375D" w:rsidP="0030375D">
      <w:pPr>
        <w:widowControl w:val="0"/>
        <w:jc w:val="both"/>
        <w:rPr>
          <w:sz w:val="10"/>
        </w:rPr>
      </w:pPr>
    </w:p>
    <w:p w14:paraId="70AE32C6" w14:textId="77777777" w:rsidR="0030375D" w:rsidRPr="00D122D1" w:rsidRDefault="0030375D" w:rsidP="0030375D">
      <w:pPr>
        <w:widowControl w:val="0"/>
        <w:ind w:left="851" w:hanging="426"/>
        <w:jc w:val="both"/>
      </w:pPr>
      <w:r w:rsidRPr="0031790C">
        <w:t>e.</w:t>
      </w:r>
      <w:r w:rsidRPr="0031790C">
        <w:tab/>
        <w:t xml:space="preserve">Con la Política de Alto Nivel, se establecieron políticas específicas para la </w:t>
      </w:r>
      <w:r w:rsidRPr="0031790C">
        <w:rPr>
          <w:i/>
        </w:rPr>
        <w:t>Formulación del Presupuesto del Banco Central de Costa Rica</w:t>
      </w:r>
      <w:r>
        <w:t xml:space="preserve"> y é</w:t>
      </w:r>
      <w:r w:rsidRPr="0031790C">
        <w:t>stas establecen que:</w:t>
      </w:r>
    </w:p>
    <w:p w14:paraId="65DEB8AF" w14:textId="77777777" w:rsidR="0030375D" w:rsidRPr="00D122D1" w:rsidRDefault="0030375D" w:rsidP="0030375D">
      <w:pPr>
        <w:widowControl w:val="0"/>
        <w:jc w:val="both"/>
        <w:rPr>
          <w:sz w:val="10"/>
        </w:rPr>
      </w:pPr>
    </w:p>
    <w:p w14:paraId="2C5FFB00" w14:textId="77777777" w:rsidR="0030375D" w:rsidRPr="00D122D1" w:rsidRDefault="0030375D" w:rsidP="0030375D">
      <w:pPr>
        <w:widowControl w:val="0"/>
        <w:numPr>
          <w:ilvl w:val="0"/>
          <w:numId w:val="70"/>
        </w:numPr>
        <w:ind w:left="1276" w:hanging="425"/>
        <w:jc w:val="both"/>
      </w:pPr>
      <w:r w:rsidRPr="00D122D1">
        <w:t>El presupuesto se formula para el cumplimiento de planes que incorporan como orientación estratégica: Objetivos claros y precisos en cada ejercicio presupuestario, con el fin de cumplir con los productos o servicios asociados a cada División; acciones estratégicas orientadas a cumplir con los objetivos del Plan Estratégico; indicadores para la gestión y los proyectos que permitan evaluar el logro de los objetivos estratégicos y estimaciones precisas y actividades adecuadamente planificadas para minimizar el uso de modificaciones presupuestarias.</w:t>
      </w:r>
    </w:p>
    <w:p w14:paraId="792CF847" w14:textId="77777777" w:rsidR="0030375D" w:rsidRPr="00D122D1" w:rsidRDefault="0030375D" w:rsidP="0030375D">
      <w:pPr>
        <w:widowControl w:val="0"/>
        <w:jc w:val="both"/>
        <w:rPr>
          <w:sz w:val="10"/>
        </w:rPr>
      </w:pPr>
    </w:p>
    <w:p w14:paraId="4D3DAE5C" w14:textId="77777777" w:rsidR="0030375D" w:rsidRPr="00D122D1" w:rsidRDefault="0030375D" w:rsidP="0030375D">
      <w:pPr>
        <w:widowControl w:val="0"/>
        <w:numPr>
          <w:ilvl w:val="0"/>
          <w:numId w:val="70"/>
        </w:numPr>
        <w:ind w:left="1276" w:hanging="425"/>
        <w:jc w:val="both"/>
      </w:pPr>
      <w:r w:rsidRPr="00D122D1">
        <w:t>El presupuesto se divide en tres categorías: Presupuesto financiero; presupuesto de operación; y presupuesto de inversión.</w:t>
      </w:r>
    </w:p>
    <w:p w14:paraId="5256CEEC" w14:textId="77777777" w:rsidR="0030375D" w:rsidRPr="00D122D1" w:rsidRDefault="0030375D" w:rsidP="0030375D">
      <w:pPr>
        <w:widowControl w:val="0"/>
        <w:jc w:val="both"/>
        <w:rPr>
          <w:sz w:val="10"/>
        </w:rPr>
      </w:pPr>
    </w:p>
    <w:p w14:paraId="674D02DB" w14:textId="77777777" w:rsidR="0030375D" w:rsidRPr="00D122D1" w:rsidRDefault="0030375D" w:rsidP="0030375D">
      <w:pPr>
        <w:widowControl w:val="0"/>
        <w:numPr>
          <w:ilvl w:val="0"/>
          <w:numId w:val="70"/>
        </w:numPr>
        <w:ind w:left="1276" w:hanging="425"/>
        <w:jc w:val="both"/>
      </w:pPr>
      <w:r w:rsidRPr="00D122D1">
        <w:t>El crecimiento máximo para el presupuesto de operación estará asociado con lo que establezca el Programa Macroeconómico vigente como meta de inflación para el período en formulación.</w:t>
      </w:r>
    </w:p>
    <w:p w14:paraId="10738492" w14:textId="77777777" w:rsidR="0030375D" w:rsidRPr="00D122D1" w:rsidRDefault="0030375D" w:rsidP="0030375D">
      <w:pPr>
        <w:widowControl w:val="0"/>
        <w:jc w:val="both"/>
        <w:rPr>
          <w:sz w:val="10"/>
        </w:rPr>
      </w:pPr>
    </w:p>
    <w:p w14:paraId="3AB195ED" w14:textId="77777777" w:rsidR="0030375D" w:rsidRPr="00D122D1" w:rsidRDefault="0030375D" w:rsidP="0030375D">
      <w:pPr>
        <w:widowControl w:val="0"/>
        <w:numPr>
          <w:ilvl w:val="0"/>
          <w:numId w:val="70"/>
        </w:numPr>
        <w:ind w:left="1276" w:hanging="425"/>
        <w:jc w:val="both"/>
      </w:pPr>
      <w:r w:rsidRPr="00D122D1">
        <w:t>Se estimará una provisión para el pago de incrementos salariales -que se deriven de la aplicación de la política salarial que ha definido la Institución.</w:t>
      </w:r>
    </w:p>
    <w:p w14:paraId="49D18A7A" w14:textId="77777777" w:rsidR="0030375D" w:rsidRPr="00D122D1" w:rsidRDefault="0030375D" w:rsidP="0030375D">
      <w:pPr>
        <w:widowControl w:val="0"/>
        <w:jc w:val="both"/>
        <w:rPr>
          <w:sz w:val="10"/>
        </w:rPr>
      </w:pPr>
    </w:p>
    <w:p w14:paraId="06BA3AF2" w14:textId="77777777" w:rsidR="0030375D" w:rsidRPr="00D122D1" w:rsidRDefault="0030375D" w:rsidP="0030375D">
      <w:pPr>
        <w:widowControl w:val="0"/>
        <w:ind w:left="851" w:hanging="426"/>
        <w:jc w:val="both"/>
      </w:pPr>
      <w:r w:rsidRPr="00D122D1">
        <w:t>f.</w:t>
      </w:r>
      <w:r w:rsidRPr="00D122D1">
        <w:tab/>
        <w:t>Los servicios que brinda el Banco Central de Costa Rica, a los Órganos de Desconcentración Máxima, se han incrementado en los últimos años a solicitud de esos Órganos.</w:t>
      </w:r>
    </w:p>
    <w:p w14:paraId="31741A7A" w14:textId="77777777" w:rsidR="0030375D" w:rsidRPr="00D122D1" w:rsidRDefault="0030375D" w:rsidP="0030375D">
      <w:pPr>
        <w:widowControl w:val="0"/>
        <w:jc w:val="both"/>
        <w:rPr>
          <w:sz w:val="10"/>
        </w:rPr>
      </w:pPr>
    </w:p>
    <w:p w14:paraId="4E287583" w14:textId="77777777" w:rsidR="0030375D" w:rsidRPr="00D122D1" w:rsidRDefault="0030375D" w:rsidP="0030375D">
      <w:pPr>
        <w:widowControl w:val="0"/>
        <w:ind w:left="851" w:hanging="426"/>
        <w:jc w:val="both"/>
      </w:pPr>
      <w:r w:rsidRPr="00D122D1">
        <w:t>g.</w:t>
      </w:r>
      <w:r w:rsidRPr="00D122D1">
        <w:tab/>
        <w:t>Las políticas de Junta Directiva tienen una vigencia que supera el período de formulación presupuestaria.</w:t>
      </w:r>
    </w:p>
    <w:p w14:paraId="01310F77" w14:textId="77777777" w:rsidR="0030375D" w:rsidRPr="00D122D1" w:rsidRDefault="0030375D" w:rsidP="0030375D">
      <w:pPr>
        <w:widowControl w:val="0"/>
        <w:jc w:val="both"/>
        <w:rPr>
          <w:sz w:val="10"/>
        </w:rPr>
      </w:pPr>
    </w:p>
    <w:p w14:paraId="522AF8C9" w14:textId="77777777" w:rsidR="0030375D" w:rsidRPr="00D122D1" w:rsidRDefault="0030375D" w:rsidP="0030375D">
      <w:pPr>
        <w:widowControl w:val="0"/>
        <w:ind w:left="851" w:hanging="426"/>
        <w:jc w:val="both"/>
      </w:pPr>
      <w:r w:rsidRPr="00D122D1">
        <w:t>h.</w:t>
      </w:r>
      <w:r w:rsidRPr="00D122D1">
        <w:tab/>
        <w:t>Los parámetros para la Formulación del Presupuesto deben aprobarse cada año, ya que constituyen un complemento a las Políticas de Junta Directiva para la Gestión Presupuestaria en el Banco Central de Costa Rica.</w:t>
      </w:r>
    </w:p>
    <w:p w14:paraId="55970578" w14:textId="77777777" w:rsidR="0030375D" w:rsidRPr="00D122D1" w:rsidRDefault="0030375D" w:rsidP="0030375D">
      <w:pPr>
        <w:widowControl w:val="0"/>
        <w:jc w:val="both"/>
      </w:pPr>
    </w:p>
    <w:p w14:paraId="1DB9B8B8" w14:textId="77777777" w:rsidR="0030375D" w:rsidRPr="00D122D1" w:rsidRDefault="0030375D" w:rsidP="0030375D">
      <w:pPr>
        <w:widowControl w:val="0"/>
        <w:jc w:val="both"/>
        <w:rPr>
          <w:b/>
        </w:rPr>
      </w:pPr>
      <w:r w:rsidRPr="00D122D1">
        <w:rPr>
          <w:b/>
        </w:rPr>
        <w:t>dispuso en firme:</w:t>
      </w:r>
    </w:p>
    <w:p w14:paraId="78F02270" w14:textId="77777777" w:rsidR="0030375D" w:rsidRPr="00D122D1" w:rsidRDefault="0030375D" w:rsidP="0030375D">
      <w:pPr>
        <w:widowControl w:val="0"/>
        <w:jc w:val="both"/>
      </w:pPr>
    </w:p>
    <w:p w14:paraId="2F661A59" w14:textId="77777777" w:rsidR="0030375D" w:rsidRPr="00D122D1" w:rsidRDefault="0030375D" w:rsidP="0030375D">
      <w:pPr>
        <w:widowControl w:val="0"/>
        <w:ind w:left="426" w:hanging="426"/>
        <w:jc w:val="both"/>
      </w:pPr>
      <w:r w:rsidRPr="00D122D1">
        <w:t>1.</w:t>
      </w:r>
      <w:r w:rsidRPr="00D122D1">
        <w:tab/>
        <w:t xml:space="preserve">Aprobar la modificación a las </w:t>
      </w:r>
      <w:r w:rsidRPr="00D122D1">
        <w:rPr>
          <w:i/>
        </w:rPr>
        <w:t>Políticas de Junta Directiva para la Gestión Presupuestaria en el Banco Central de Costa Rica</w:t>
      </w:r>
      <w:r w:rsidRPr="00D122D1">
        <w:t>, remitida por la División de Finanzas y Contabilidad</w:t>
      </w:r>
      <w:r>
        <w:t>,</w:t>
      </w:r>
      <w:r w:rsidRPr="00D122D1">
        <w:t xml:space="preserve"> mediante oficio DFC-DCG-026-2016-R1, del 23 de mayo del 2016, en la política presupuestaria 4.2, para que, en lo sucesivo, dicha política se lea de la siguiente forma:</w:t>
      </w:r>
    </w:p>
    <w:p w14:paraId="7B0DA551" w14:textId="77777777" w:rsidR="0030375D" w:rsidRPr="00D122D1" w:rsidRDefault="0030375D" w:rsidP="0030375D">
      <w:pPr>
        <w:widowControl w:val="0"/>
        <w:jc w:val="both"/>
        <w:rPr>
          <w:sz w:val="10"/>
        </w:rPr>
      </w:pPr>
    </w:p>
    <w:p w14:paraId="558BFE39" w14:textId="77777777" w:rsidR="0030375D" w:rsidRPr="00D122D1" w:rsidRDefault="0030375D" w:rsidP="0030375D">
      <w:pPr>
        <w:widowControl w:val="0"/>
        <w:ind w:left="426"/>
        <w:jc w:val="both"/>
        <w:rPr>
          <w:i/>
        </w:rPr>
      </w:pPr>
      <w:r w:rsidRPr="00D122D1">
        <w:rPr>
          <w:i/>
        </w:rPr>
        <w:t>“El presupuesto se divide en tres categorías según se establece a continuación:</w:t>
      </w:r>
    </w:p>
    <w:p w14:paraId="76A4BCD3" w14:textId="77777777" w:rsidR="0030375D" w:rsidRPr="00D122D1" w:rsidRDefault="0030375D" w:rsidP="0030375D">
      <w:pPr>
        <w:widowControl w:val="0"/>
        <w:jc w:val="both"/>
        <w:rPr>
          <w:sz w:val="10"/>
        </w:rPr>
      </w:pPr>
    </w:p>
    <w:p w14:paraId="28ECEEFA" w14:textId="77777777" w:rsidR="0030375D" w:rsidRPr="00D122D1" w:rsidRDefault="0030375D" w:rsidP="0030375D">
      <w:pPr>
        <w:widowControl w:val="0"/>
        <w:ind w:left="426"/>
        <w:jc w:val="both"/>
        <w:rPr>
          <w:i/>
        </w:rPr>
      </w:pPr>
      <w:r w:rsidRPr="00D122D1">
        <w:rPr>
          <w:b/>
          <w:i/>
        </w:rPr>
        <w:t>a)</w:t>
      </w:r>
      <w:r w:rsidRPr="00D122D1">
        <w:rPr>
          <w:b/>
          <w:i/>
        </w:rPr>
        <w:tab/>
        <w:t>Presupuesto Financiero:</w:t>
      </w:r>
      <w:r w:rsidRPr="00D122D1">
        <w:rPr>
          <w:i/>
        </w:rPr>
        <w:t xml:space="preserve"> corresponde a la estimación de los ingresos y los gastos financieros (Partida intereses y comisiones).</w:t>
      </w:r>
    </w:p>
    <w:p w14:paraId="2498BE45" w14:textId="77777777" w:rsidR="0030375D" w:rsidRPr="00D122D1" w:rsidRDefault="0030375D" w:rsidP="0030375D">
      <w:pPr>
        <w:widowControl w:val="0"/>
        <w:jc w:val="both"/>
        <w:rPr>
          <w:sz w:val="10"/>
        </w:rPr>
      </w:pPr>
    </w:p>
    <w:p w14:paraId="12C8218E" w14:textId="77777777" w:rsidR="0030375D" w:rsidRPr="00D122D1" w:rsidRDefault="0030375D" w:rsidP="0030375D">
      <w:pPr>
        <w:widowControl w:val="0"/>
        <w:ind w:left="426"/>
        <w:jc w:val="both"/>
        <w:rPr>
          <w:i/>
        </w:rPr>
      </w:pPr>
      <w:r w:rsidRPr="00D122D1">
        <w:rPr>
          <w:b/>
          <w:i/>
        </w:rPr>
        <w:t>b)</w:t>
      </w:r>
      <w:r w:rsidRPr="00D122D1">
        <w:rPr>
          <w:b/>
          <w:i/>
        </w:rPr>
        <w:tab/>
        <w:t>Presupuesto de Operación:</w:t>
      </w:r>
      <w:r w:rsidRPr="00D122D1">
        <w:rPr>
          <w:i/>
        </w:rPr>
        <w:t xml:space="preserve"> incluye las erogaciones necesarias para ejecutar los </w:t>
      </w:r>
      <w:r w:rsidRPr="00D122D1">
        <w:rPr>
          <w:i/>
        </w:rPr>
        <w:lastRenderedPageBreak/>
        <w:t>procesos rutinarios para el normal desempeño del Banco y para atender la compra de billetes y monedas.</w:t>
      </w:r>
    </w:p>
    <w:p w14:paraId="22BBF8D0" w14:textId="77777777" w:rsidR="0030375D" w:rsidRPr="00D122D1" w:rsidRDefault="0030375D" w:rsidP="0030375D">
      <w:pPr>
        <w:widowControl w:val="0"/>
        <w:jc w:val="both"/>
        <w:rPr>
          <w:sz w:val="10"/>
        </w:rPr>
      </w:pPr>
    </w:p>
    <w:p w14:paraId="20450E31" w14:textId="77777777" w:rsidR="0030375D" w:rsidRPr="00D122D1" w:rsidRDefault="0030375D" w:rsidP="0030375D">
      <w:pPr>
        <w:widowControl w:val="0"/>
        <w:ind w:left="426"/>
        <w:jc w:val="both"/>
        <w:rPr>
          <w:i/>
        </w:rPr>
      </w:pPr>
      <w:r w:rsidRPr="00D122D1">
        <w:rPr>
          <w:i/>
        </w:rPr>
        <w:t>Durante el proceso de formulación presupuestaria las estimaciones del presupuesto de operación se segregarán para efectos de análisis y aprobación en las siguientes categorías:</w:t>
      </w:r>
    </w:p>
    <w:p w14:paraId="143E4459" w14:textId="77777777" w:rsidR="0030375D" w:rsidRPr="00D122D1" w:rsidRDefault="0030375D" w:rsidP="0030375D">
      <w:pPr>
        <w:widowControl w:val="0"/>
        <w:jc w:val="both"/>
        <w:rPr>
          <w:sz w:val="10"/>
        </w:rPr>
      </w:pPr>
    </w:p>
    <w:p w14:paraId="33D0B5F1" w14:textId="77777777" w:rsidR="0030375D" w:rsidRPr="00D122D1" w:rsidRDefault="0030375D" w:rsidP="0030375D">
      <w:pPr>
        <w:widowControl w:val="0"/>
        <w:ind w:left="709"/>
        <w:jc w:val="both"/>
        <w:rPr>
          <w:i/>
        </w:rPr>
      </w:pPr>
      <w:r w:rsidRPr="00D122D1">
        <w:rPr>
          <w:b/>
          <w:i/>
        </w:rPr>
        <w:t>i)  Operativa regular:</w:t>
      </w:r>
      <w:r w:rsidRPr="00D122D1">
        <w:rPr>
          <w:i/>
        </w:rPr>
        <w:t xml:space="preserve"> en la cual se estimarán los recursos necesarios para mantener las operaciones normales de los centros gestores.</w:t>
      </w:r>
    </w:p>
    <w:p w14:paraId="68E0AD73" w14:textId="77777777" w:rsidR="0030375D" w:rsidRPr="00D122D1" w:rsidRDefault="0030375D" w:rsidP="0030375D">
      <w:pPr>
        <w:widowControl w:val="0"/>
        <w:jc w:val="both"/>
        <w:rPr>
          <w:sz w:val="10"/>
        </w:rPr>
      </w:pPr>
    </w:p>
    <w:p w14:paraId="0E6AF8E3" w14:textId="77777777" w:rsidR="0030375D" w:rsidRPr="00D122D1" w:rsidRDefault="0030375D" w:rsidP="0030375D">
      <w:pPr>
        <w:widowControl w:val="0"/>
        <w:ind w:left="709"/>
        <w:jc w:val="both"/>
        <w:rPr>
          <w:i/>
        </w:rPr>
      </w:pPr>
      <w:r w:rsidRPr="00D122D1">
        <w:rPr>
          <w:b/>
          <w:i/>
        </w:rPr>
        <w:t>ii)  Nueva operativa:</w:t>
      </w:r>
      <w:r w:rsidRPr="00D122D1">
        <w:rPr>
          <w:i/>
        </w:rPr>
        <w:t xml:space="preserve"> estimación de los recursos necesarios para incorporar dentro de la operación normal de la institución los nuevos servicios o nuevas operaciones, y que no eran ejecutados en la operación normal del periodo anterior (Incluye aquellos generados por proyectos de reciente conclusión).</w:t>
      </w:r>
    </w:p>
    <w:p w14:paraId="38DAC35A" w14:textId="77777777" w:rsidR="0030375D" w:rsidRPr="00D122D1" w:rsidRDefault="0030375D" w:rsidP="0030375D">
      <w:pPr>
        <w:widowControl w:val="0"/>
        <w:jc w:val="both"/>
        <w:rPr>
          <w:sz w:val="10"/>
        </w:rPr>
      </w:pPr>
    </w:p>
    <w:p w14:paraId="3B8537F3" w14:textId="77777777" w:rsidR="0030375D" w:rsidRPr="00D122D1" w:rsidRDefault="0030375D" w:rsidP="0030375D">
      <w:pPr>
        <w:widowControl w:val="0"/>
        <w:ind w:left="709"/>
        <w:jc w:val="both"/>
        <w:rPr>
          <w:i/>
        </w:rPr>
      </w:pPr>
      <w:r w:rsidRPr="00D122D1">
        <w:rPr>
          <w:b/>
          <w:i/>
        </w:rPr>
        <w:t>iii)  Billetes y monedas:</w:t>
      </w:r>
      <w:r w:rsidRPr="00D122D1">
        <w:rPr>
          <w:i/>
        </w:rPr>
        <w:t xml:space="preserve"> recursos necesarios para la compra de billetes y monedas en el periodo a formular. </w:t>
      </w:r>
    </w:p>
    <w:p w14:paraId="00C04078" w14:textId="77777777" w:rsidR="0030375D" w:rsidRPr="00D122D1" w:rsidRDefault="0030375D" w:rsidP="0030375D">
      <w:pPr>
        <w:widowControl w:val="0"/>
        <w:jc w:val="both"/>
        <w:rPr>
          <w:sz w:val="10"/>
        </w:rPr>
      </w:pPr>
    </w:p>
    <w:p w14:paraId="6A75F13D" w14:textId="77777777" w:rsidR="0030375D" w:rsidRPr="00D122D1" w:rsidRDefault="0030375D" w:rsidP="0030375D">
      <w:pPr>
        <w:widowControl w:val="0"/>
        <w:ind w:left="426"/>
        <w:jc w:val="both"/>
        <w:rPr>
          <w:i/>
        </w:rPr>
      </w:pPr>
      <w:r w:rsidRPr="00D122D1">
        <w:rPr>
          <w:i/>
        </w:rPr>
        <w:t>Para efectos de la ejecución del presupuesto la operativa regular y la nueva operativa se controlarán en forma consolidada.</w:t>
      </w:r>
    </w:p>
    <w:p w14:paraId="49B4B376" w14:textId="77777777" w:rsidR="0030375D" w:rsidRPr="00D122D1" w:rsidRDefault="0030375D" w:rsidP="0030375D">
      <w:pPr>
        <w:widowControl w:val="0"/>
        <w:jc w:val="both"/>
      </w:pPr>
    </w:p>
    <w:p w14:paraId="3455964D" w14:textId="77777777" w:rsidR="0030375D" w:rsidRPr="00D122D1" w:rsidRDefault="0030375D" w:rsidP="0030375D">
      <w:pPr>
        <w:widowControl w:val="0"/>
        <w:ind w:left="426"/>
        <w:jc w:val="both"/>
        <w:rPr>
          <w:i/>
        </w:rPr>
      </w:pPr>
      <w:r w:rsidRPr="00D122D1">
        <w:rPr>
          <w:b/>
          <w:i/>
        </w:rPr>
        <w:t>c)</w:t>
      </w:r>
      <w:r w:rsidRPr="00D122D1">
        <w:rPr>
          <w:b/>
          <w:i/>
        </w:rPr>
        <w:tab/>
        <w:t>Presupuesto de inversión:</w:t>
      </w:r>
      <w:r w:rsidRPr="00D122D1">
        <w:rPr>
          <w:i/>
        </w:rPr>
        <w:t xml:space="preserve"> incluye los recursos que se aprueben para proyectos”.</w:t>
      </w:r>
    </w:p>
    <w:p w14:paraId="5273D90B" w14:textId="77777777" w:rsidR="0030375D" w:rsidRPr="00D122D1" w:rsidRDefault="0030375D" w:rsidP="0030375D">
      <w:pPr>
        <w:widowControl w:val="0"/>
        <w:jc w:val="both"/>
        <w:rPr>
          <w:sz w:val="10"/>
        </w:rPr>
      </w:pPr>
    </w:p>
    <w:p w14:paraId="415A695E" w14:textId="77777777" w:rsidR="0030375D" w:rsidRPr="00D122D1" w:rsidRDefault="0030375D" w:rsidP="0030375D">
      <w:pPr>
        <w:widowControl w:val="0"/>
        <w:ind w:left="426" w:hanging="426"/>
        <w:jc w:val="both"/>
      </w:pPr>
      <w:r w:rsidRPr="00D122D1">
        <w:t>2.</w:t>
      </w:r>
      <w:r w:rsidRPr="00D122D1">
        <w:tab/>
        <w:t xml:space="preserve">Aprobar los </w:t>
      </w:r>
      <w:r w:rsidRPr="00D122D1">
        <w:rPr>
          <w:i/>
        </w:rPr>
        <w:t>Parámetros para la Formulación del Presupuesto del 2017</w:t>
      </w:r>
      <w:r w:rsidRPr="00D122D1">
        <w:t>, cuyo texto se detalla a continuación:</w:t>
      </w:r>
    </w:p>
    <w:p w14:paraId="448903FB" w14:textId="77777777" w:rsidR="0030375D" w:rsidRPr="00D122D1" w:rsidRDefault="0030375D" w:rsidP="0030375D">
      <w:pPr>
        <w:widowControl w:val="0"/>
        <w:jc w:val="both"/>
        <w:rPr>
          <w:sz w:val="10"/>
        </w:rPr>
      </w:pPr>
    </w:p>
    <w:p w14:paraId="576A7CF0" w14:textId="77777777" w:rsidR="0030375D" w:rsidRPr="00D122D1" w:rsidRDefault="0030375D" w:rsidP="0030375D">
      <w:pPr>
        <w:widowControl w:val="0"/>
        <w:ind w:left="426"/>
        <w:jc w:val="center"/>
        <w:rPr>
          <w:i/>
        </w:rPr>
      </w:pPr>
      <w:r w:rsidRPr="00D122D1">
        <w:rPr>
          <w:i/>
        </w:rPr>
        <w:t>“</w:t>
      </w:r>
      <w:r w:rsidRPr="00D122D1">
        <w:rPr>
          <w:b/>
          <w:i/>
        </w:rPr>
        <w:t>Parámetros Formulación Presupuesto 2017</w:t>
      </w:r>
    </w:p>
    <w:p w14:paraId="2B47EB57" w14:textId="77777777" w:rsidR="0030375D" w:rsidRPr="00D122D1" w:rsidRDefault="0030375D" w:rsidP="0030375D">
      <w:pPr>
        <w:widowControl w:val="0"/>
        <w:jc w:val="both"/>
        <w:rPr>
          <w:sz w:val="10"/>
        </w:rPr>
      </w:pPr>
    </w:p>
    <w:p w14:paraId="011C2E85" w14:textId="77777777" w:rsidR="0030375D" w:rsidRPr="00D122D1" w:rsidRDefault="0030375D" w:rsidP="0030375D">
      <w:pPr>
        <w:widowControl w:val="0"/>
        <w:ind w:left="426"/>
        <w:jc w:val="both"/>
        <w:rPr>
          <w:b/>
          <w:i/>
        </w:rPr>
      </w:pPr>
      <w:r w:rsidRPr="00D122D1">
        <w:rPr>
          <w:b/>
          <w:i/>
        </w:rPr>
        <w:t>1.</w:t>
      </w:r>
      <w:r w:rsidRPr="00D122D1">
        <w:rPr>
          <w:b/>
          <w:i/>
        </w:rPr>
        <w:tab/>
        <w:t>Crecimiento máximo del presupuesto</w:t>
      </w:r>
    </w:p>
    <w:p w14:paraId="3131437D" w14:textId="77777777" w:rsidR="0030375D" w:rsidRPr="00D122D1" w:rsidRDefault="0030375D" w:rsidP="0030375D">
      <w:pPr>
        <w:widowControl w:val="0"/>
        <w:ind w:left="709"/>
        <w:jc w:val="both"/>
        <w:rPr>
          <w:i/>
        </w:rPr>
      </w:pPr>
      <w:r w:rsidRPr="00D122D1">
        <w:rPr>
          <w:i/>
        </w:rPr>
        <w:t>El crecimiento máximo del presupuesto de la operativa regular para el 2017 (excluyendo compromisos, nueva operativa y lo correspondiente a billetes y monedas), con respecto al presupuesto del 2016, será el valor medio de la meta de inflación, establecido para diciembre del 2017, en el Programa Macroeconómico 2016-2017</w:t>
      </w:r>
      <w:r w:rsidRPr="00D122D1">
        <w:rPr>
          <w:b/>
          <w:i/>
          <w:vertAlign w:val="superscript"/>
        </w:rPr>
        <w:footnoteReference w:id="12"/>
      </w:r>
      <w:r w:rsidRPr="00D122D1">
        <w:rPr>
          <w:i/>
        </w:rPr>
        <w:t>.</w:t>
      </w:r>
    </w:p>
    <w:p w14:paraId="49F6DB77" w14:textId="77777777" w:rsidR="0030375D" w:rsidRPr="00D122D1" w:rsidRDefault="0030375D" w:rsidP="0030375D">
      <w:pPr>
        <w:widowControl w:val="0"/>
        <w:jc w:val="both"/>
        <w:rPr>
          <w:sz w:val="10"/>
        </w:rPr>
      </w:pPr>
    </w:p>
    <w:p w14:paraId="1E4E4D65" w14:textId="77777777" w:rsidR="0030375D" w:rsidRPr="00D122D1" w:rsidRDefault="0030375D" w:rsidP="0030375D">
      <w:pPr>
        <w:widowControl w:val="0"/>
        <w:ind w:left="426"/>
        <w:jc w:val="both"/>
        <w:rPr>
          <w:b/>
          <w:i/>
        </w:rPr>
      </w:pPr>
      <w:r w:rsidRPr="00D122D1">
        <w:rPr>
          <w:b/>
          <w:i/>
        </w:rPr>
        <w:t>2.</w:t>
      </w:r>
      <w:r w:rsidRPr="00D122D1">
        <w:rPr>
          <w:b/>
          <w:i/>
        </w:rPr>
        <w:tab/>
        <w:t>Provisión para incrementos salariales.</w:t>
      </w:r>
    </w:p>
    <w:p w14:paraId="3CFBDFBA" w14:textId="77777777" w:rsidR="0030375D" w:rsidRPr="00D122D1" w:rsidRDefault="0030375D" w:rsidP="0030375D">
      <w:pPr>
        <w:widowControl w:val="0"/>
        <w:ind w:left="709"/>
        <w:jc w:val="both"/>
        <w:rPr>
          <w:i/>
        </w:rPr>
      </w:pPr>
      <w:r w:rsidRPr="00D122D1">
        <w:rPr>
          <w:i/>
        </w:rPr>
        <w:t>La provisión para el pago de incrementos salariales, será igual al valor medio de la meta de inflación, establecido para el 2017, en el Programa Macroeconómico 2016-2017 (3%).</w:t>
      </w:r>
    </w:p>
    <w:p w14:paraId="25C2B9B7" w14:textId="77777777" w:rsidR="0030375D" w:rsidRPr="00D122D1" w:rsidRDefault="0030375D" w:rsidP="0030375D">
      <w:pPr>
        <w:widowControl w:val="0"/>
        <w:jc w:val="both"/>
        <w:rPr>
          <w:sz w:val="10"/>
        </w:rPr>
      </w:pPr>
    </w:p>
    <w:p w14:paraId="3A5B5E79" w14:textId="77777777" w:rsidR="0030375D" w:rsidRPr="00D122D1" w:rsidRDefault="0030375D" w:rsidP="0030375D">
      <w:pPr>
        <w:widowControl w:val="0"/>
        <w:ind w:left="426"/>
        <w:jc w:val="both"/>
        <w:rPr>
          <w:b/>
          <w:i/>
        </w:rPr>
      </w:pPr>
      <w:r w:rsidRPr="00D122D1">
        <w:rPr>
          <w:b/>
          <w:i/>
        </w:rPr>
        <w:t>3.</w:t>
      </w:r>
      <w:r w:rsidRPr="00D122D1">
        <w:rPr>
          <w:b/>
          <w:i/>
        </w:rPr>
        <w:tab/>
        <w:t>Servicios Corporativos</w:t>
      </w:r>
    </w:p>
    <w:p w14:paraId="5E441C40" w14:textId="77777777" w:rsidR="0030375D" w:rsidRPr="00D122D1" w:rsidRDefault="0030375D" w:rsidP="0030375D">
      <w:pPr>
        <w:widowControl w:val="0"/>
        <w:ind w:left="709"/>
        <w:jc w:val="both"/>
        <w:rPr>
          <w:i/>
        </w:rPr>
      </w:pPr>
      <w:r w:rsidRPr="00D122D1">
        <w:rPr>
          <w:i/>
        </w:rPr>
        <w:t>Cuando los Órganos de Desconcentración Máxima requieran servicios del Banco Central y se incluyan en el presupuesto del Banco los recursos necesarios para atender los servicios solicitados, esos Órganos no deberán incluir dentro de su propio presupuesto rubros que de alguna</w:t>
      </w:r>
      <w:r>
        <w:rPr>
          <w:i/>
        </w:rPr>
        <w:t xml:space="preserve"> forma</w:t>
      </w:r>
      <w:r w:rsidRPr="00D122D1">
        <w:rPr>
          <w:i/>
        </w:rPr>
        <w:t xml:space="preserve"> dupliquen esos costos.</w:t>
      </w:r>
    </w:p>
    <w:p w14:paraId="75FCAA59" w14:textId="77777777" w:rsidR="0030375D" w:rsidRPr="00D122D1" w:rsidRDefault="0030375D" w:rsidP="0030375D">
      <w:pPr>
        <w:widowControl w:val="0"/>
        <w:jc w:val="both"/>
        <w:rPr>
          <w:sz w:val="10"/>
        </w:rPr>
      </w:pPr>
    </w:p>
    <w:p w14:paraId="79201622" w14:textId="77777777" w:rsidR="0030375D" w:rsidRPr="00D122D1" w:rsidRDefault="0030375D" w:rsidP="0030375D">
      <w:pPr>
        <w:widowControl w:val="0"/>
        <w:ind w:left="426"/>
        <w:jc w:val="both"/>
        <w:rPr>
          <w:b/>
          <w:i/>
        </w:rPr>
      </w:pPr>
      <w:r w:rsidRPr="00D122D1">
        <w:rPr>
          <w:b/>
          <w:i/>
        </w:rPr>
        <w:t>4.</w:t>
      </w:r>
      <w:r w:rsidRPr="00D122D1">
        <w:rPr>
          <w:b/>
          <w:i/>
        </w:rPr>
        <w:tab/>
        <w:t>Cumplimiento del marco regulatorio</w:t>
      </w:r>
    </w:p>
    <w:p w14:paraId="5EFE15A7" w14:textId="77777777" w:rsidR="0030375D" w:rsidRPr="00D122D1" w:rsidRDefault="0030375D" w:rsidP="0030375D">
      <w:pPr>
        <w:widowControl w:val="0"/>
        <w:ind w:left="709"/>
        <w:jc w:val="both"/>
        <w:rPr>
          <w:i/>
        </w:rPr>
      </w:pPr>
      <w:r w:rsidRPr="00D122D1">
        <w:rPr>
          <w:i/>
        </w:rPr>
        <w:t>La formulación presupuestaria del año 2017 deberá realizarse acatando las políticas de alto nivel y las específicas, amparadas en el Gobierno Corporativo del Banco Central de Costa Rica, segú</w:t>
      </w:r>
      <w:r>
        <w:rPr>
          <w:i/>
        </w:rPr>
        <w:t>n su categoría presupuestaria: p</w:t>
      </w:r>
      <w:r w:rsidRPr="00D122D1">
        <w:rPr>
          <w:i/>
        </w:rPr>
        <w:t xml:space="preserve">resupuesto financiero, </w:t>
      </w:r>
      <w:r w:rsidRPr="00D122D1">
        <w:rPr>
          <w:i/>
        </w:rPr>
        <w:lastRenderedPageBreak/>
        <w:t>presupuesto de operación y presupuesto de inversión.</w:t>
      </w:r>
    </w:p>
    <w:p w14:paraId="549198E2" w14:textId="77777777" w:rsidR="0030375D" w:rsidRPr="00D122D1" w:rsidRDefault="0030375D" w:rsidP="0030375D">
      <w:pPr>
        <w:widowControl w:val="0"/>
        <w:jc w:val="both"/>
        <w:rPr>
          <w:sz w:val="10"/>
        </w:rPr>
      </w:pPr>
    </w:p>
    <w:p w14:paraId="70A3018C" w14:textId="77777777" w:rsidR="0030375D" w:rsidRPr="00D122D1" w:rsidRDefault="0030375D" w:rsidP="0030375D">
      <w:pPr>
        <w:widowControl w:val="0"/>
        <w:ind w:left="426"/>
        <w:jc w:val="both"/>
        <w:rPr>
          <w:b/>
          <w:i/>
        </w:rPr>
      </w:pPr>
      <w:r w:rsidRPr="00D122D1">
        <w:rPr>
          <w:b/>
          <w:i/>
        </w:rPr>
        <w:t>5.</w:t>
      </w:r>
      <w:r w:rsidRPr="00D122D1">
        <w:rPr>
          <w:b/>
          <w:i/>
        </w:rPr>
        <w:tab/>
        <w:t>Compromisos presupuestarios</w:t>
      </w:r>
    </w:p>
    <w:p w14:paraId="387F43D5" w14:textId="77777777" w:rsidR="0030375D" w:rsidRPr="00D122D1" w:rsidRDefault="0030375D" w:rsidP="0030375D">
      <w:pPr>
        <w:widowControl w:val="0"/>
        <w:ind w:left="709"/>
        <w:jc w:val="both"/>
        <w:rPr>
          <w:i/>
          <w:iCs/>
        </w:rPr>
      </w:pPr>
      <w:r w:rsidRPr="00D122D1">
        <w:rPr>
          <w:i/>
          <w:iCs/>
        </w:rPr>
        <w:t xml:space="preserve">Considerar en la formulación del presupuesto 2017 las partidas correspondientes para la atención de </w:t>
      </w:r>
      <w:r w:rsidRPr="00D122D1">
        <w:rPr>
          <w:i/>
        </w:rPr>
        <w:t>aquellos</w:t>
      </w:r>
      <w:r w:rsidRPr="00D122D1">
        <w:rPr>
          <w:i/>
          <w:iCs/>
        </w:rPr>
        <w:t xml:space="preserve"> gastos comprometidos durante el presente periodo, que se prevén, quedarán pendientes de pago.  Si estos compromisos pudieran ser atendidos con el presupuesto 2016, en atención a las políticas para la gestión presupuestaria, deberán congelarse.”</w:t>
      </w:r>
    </w:p>
    <w:p w14:paraId="055A127B" w14:textId="77777777" w:rsidR="0030375D" w:rsidRPr="00D122D1" w:rsidRDefault="0030375D" w:rsidP="0030375D">
      <w:pPr>
        <w:widowControl w:val="0"/>
        <w:jc w:val="both"/>
        <w:rPr>
          <w:sz w:val="10"/>
        </w:rPr>
      </w:pPr>
    </w:p>
    <w:p w14:paraId="6B83B2D3" w14:textId="77777777" w:rsidR="0030375D" w:rsidRPr="00D122D1" w:rsidRDefault="0030375D" w:rsidP="0030375D">
      <w:pPr>
        <w:widowControl w:val="0"/>
        <w:jc w:val="both"/>
      </w:pPr>
      <w:r w:rsidRPr="00D122D1">
        <w:t>Atentamente,</w:t>
      </w:r>
    </w:p>
    <w:p w14:paraId="3670470F" w14:textId="77777777" w:rsidR="0030375D" w:rsidRPr="00D122D1" w:rsidRDefault="0030375D" w:rsidP="0030375D">
      <w:pPr>
        <w:widowControl w:val="0"/>
        <w:jc w:val="both"/>
      </w:pPr>
      <w:r w:rsidRPr="00D122D1">
        <w:rPr>
          <w:noProof/>
        </w:rPr>
        <w:drawing>
          <wp:anchor distT="0" distB="0" distL="114300" distR="114300" simplePos="0" relativeHeight="251743232" behindDoc="1" locked="0" layoutInCell="1" allowOverlap="1" wp14:anchorId="69BE465E" wp14:editId="439E7FEE">
            <wp:simplePos x="0" y="0"/>
            <wp:positionH relativeFrom="column">
              <wp:posOffset>-196215</wp:posOffset>
            </wp:positionH>
            <wp:positionV relativeFrom="paragraph">
              <wp:posOffset>75565</wp:posOffset>
            </wp:positionV>
            <wp:extent cx="2181860" cy="338455"/>
            <wp:effectExtent l="0" t="0" r="8890" b="4445"/>
            <wp:wrapTight wrapText="bothSides">
              <wp:wrapPolygon edited="0">
                <wp:start x="0" y="0"/>
                <wp:lineTo x="0" y="20668"/>
                <wp:lineTo x="21499" y="20668"/>
                <wp:lineTo x="21499" y="0"/>
                <wp:lineTo x="0" y="0"/>
              </wp:wrapPolygon>
            </wp:wrapTight>
            <wp:docPr id="333" name="Imagen 333"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i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81860" cy="338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2CE6A" w14:textId="77777777" w:rsidR="0030375D" w:rsidRPr="00D122D1" w:rsidRDefault="0030375D" w:rsidP="0030375D">
      <w:pPr>
        <w:widowControl w:val="0"/>
        <w:jc w:val="both"/>
      </w:pPr>
    </w:p>
    <w:p w14:paraId="45956251" w14:textId="77777777" w:rsidR="0030375D" w:rsidRPr="00D122D1" w:rsidRDefault="0030375D" w:rsidP="0030375D">
      <w:pPr>
        <w:widowControl w:val="0"/>
        <w:jc w:val="both"/>
      </w:pPr>
    </w:p>
    <w:p w14:paraId="0EE9A4E8" w14:textId="77777777" w:rsidR="0030375D" w:rsidRPr="00D122D1" w:rsidRDefault="0030375D" w:rsidP="0030375D">
      <w:pPr>
        <w:widowControl w:val="0"/>
        <w:ind w:left="567" w:hanging="567"/>
        <w:jc w:val="both"/>
      </w:pPr>
      <w:r w:rsidRPr="00D122D1">
        <w:t>Jorge Monge Bonilla</w:t>
      </w:r>
    </w:p>
    <w:p w14:paraId="346805D7" w14:textId="77777777" w:rsidR="0030375D" w:rsidRPr="00D122D1" w:rsidRDefault="0030375D" w:rsidP="0030375D">
      <w:pPr>
        <w:widowControl w:val="0"/>
        <w:ind w:left="567" w:hanging="567"/>
        <w:jc w:val="both"/>
        <w:rPr>
          <w:i/>
        </w:rPr>
      </w:pPr>
      <w:r w:rsidRPr="00D122D1">
        <w:rPr>
          <w:i/>
        </w:rPr>
        <w:t>Secretario General</w:t>
      </w:r>
    </w:p>
    <w:p w14:paraId="15B4CD5E" w14:textId="77777777" w:rsidR="0030375D" w:rsidRPr="00D122D1" w:rsidRDefault="0030375D" w:rsidP="0030375D">
      <w:pPr>
        <w:widowControl w:val="0"/>
        <w:jc w:val="both"/>
      </w:pPr>
    </w:p>
    <w:p w14:paraId="543754D5" w14:textId="77777777" w:rsidR="0030375D" w:rsidRDefault="0030375D" w:rsidP="0030375D">
      <w:pPr>
        <w:widowControl w:val="0"/>
        <w:jc w:val="both"/>
        <w:rPr>
          <w:i/>
        </w:rPr>
      </w:pPr>
    </w:p>
    <w:p w14:paraId="61A053ED" w14:textId="77777777" w:rsidR="00FC3212" w:rsidRDefault="00FC3212" w:rsidP="00FC3212">
      <w:pPr>
        <w:widowControl w:val="0"/>
        <w:jc w:val="both"/>
        <w:rPr>
          <w:sz w:val="20"/>
          <w:szCs w:val="20"/>
        </w:rPr>
      </w:pPr>
    </w:p>
    <w:p w14:paraId="7194F081" w14:textId="77777777" w:rsidR="00912D0F" w:rsidRDefault="00912D0F">
      <w:pPr>
        <w:rPr>
          <w:lang w:eastAsia="es-ES_tradnl"/>
        </w:rPr>
        <w:sectPr w:rsidR="00912D0F" w:rsidSect="00912D0F">
          <w:pgSz w:w="12242" w:h="15842" w:code="1"/>
          <w:pgMar w:top="1418" w:right="1701" w:bottom="1418" w:left="1701" w:header="709" w:footer="709" w:gutter="0"/>
          <w:cols w:space="708"/>
          <w:docGrid w:linePitch="360"/>
        </w:sectPr>
      </w:pPr>
    </w:p>
    <w:p w14:paraId="49BD380E" w14:textId="1539CC5A" w:rsidR="00D97F28" w:rsidRPr="001F39F3" w:rsidRDefault="00D97F28" w:rsidP="00912D0F">
      <w:pPr>
        <w:pStyle w:val="NormalWeb"/>
        <w:tabs>
          <w:tab w:val="left" w:pos="567"/>
        </w:tabs>
        <w:outlineLvl w:val="0"/>
        <w:rPr>
          <w:rFonts w:asciiTheme="majorHAnsi" w:hAnsiTheme="majorHAnsi" w:cs="Tahoma"/>
          <w:b/>
          <w:bCs/>
          <w:smallCaps/>
          <w:sz w:val="28"/>
        </w:rPr>
      </w:pPr>
      <w:bookmarkStart w:id="408" w:name="_Toc429563291"/>
      <w:r w:rsidRPr="0058608A">
        <w:rPr>
          <w:rFonts w:asciiTheme="majorHAnsi" w:hAnsiTheme="majorHAnsi" w:cs="Tahoma"/>
          <w:b/>
          <w:bCs/>
          <w:smallCaps/>
          <w:sz w:val="28"/>
        </w:rPr>
        <w:lastRenderedPageBreak/>
        <w:t xml:space="preserve">10. </w:t>
      </w:r>
      <w:r w:rsidRPr="0058608A">
        <w:rPr>
          <w:rFonts w:asciiTheme="majorHAnsi" w:hAnsiTheme="majorHAnsi" w:cs="Tahoma"/>
          <w:b/>
          <w:bCs/>
          <w:smallCaps/>
          <w:sz w:val="28"/>
        </w:rPr>
        <w:tab/>
        <w:t>Certificación CGR</w:t>
      </w:r>
      <w:bookmarkEnd w:id="408"/>
    </w:p>
    <w:p w14:paraId="0C50567D" w14:textId="77777777" w:rsidR="00610A00" w:rsidRDefault="00610A00" w:rsidP="008210D1">
      <w:pPr>
        <w:jc w:val="center"/>
        <w:rPr>
          <w:lang w:eastAsia="es-ES_tradnl"/>
        </w:rPr>
      </w:pPr>
    </w:p>
    <w:p w14:paraId="04E4B026" w14:textId="37B09ED4" w:rsidR="00912D0F" w:rsidRDefault="001C438E" w:rsidP="008210D1">
      <w:pPr>
        <w:jc w:val="center"/>
        <w:rPr>
          <w:lang w:eastAsia="es-ES_tradnl"/>
        </w:rPr>
      </w:pPr>
      <w:r>
        <w:rPr>
          <w:noProof/>
        </w:rPr>
        <w:drawing>
          <wp:inline distT="0" distB="0" distL="0" distR="0" wp14:anchorId="5028F725" wp14:editId="1030F5C8">
            <wp:extent cx="5263149" cy="6839712"/>
            <wp:effectExtent l="0" t="0" r="0" b="0"/>
            <wp:docPr id="80476" name="Imagen 80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6" name="Certificación CGR.jpg"/>
                    <pic:cNvPicPr/>
                  </pic:nvPicPr>
                  <pic:blipFill>
                    <a:blip r:embed="rId113">
                      <a:extLst>
                        <a:ext uri="{28A0092B-C50C-407E-A947-70E740481C1C}">
                          <a14:useLocalDpi xmlns:a14="http://schemas.microsoft.com/office/drawing/2010/main" val="0"/>
                        </a:ext>
                      </a:extLst>
                    </a:blip>
                    <a:stretch>
                      <a:fillRect/>
                    </a:stretch>
                  </pic:blipFill>
                  <pic:spPr>
                    <a:xfrm>
                      <a:off x="0" y="0"/>
                      <a:ext cx="5266316" cy="6843828"/>
                    </a:xfrm>
                    <a:prstGeom prst="rect">
                      <a:avLst/>
                    </a:prstGeom>
                  </pic:spPr>
                </pic:pic>
              </a:graphicData>
            </a:graphic>
          </wp:inline>
        </w:drawing>
      </w:r>
    </w:p>
    <w:p w14:paraId="7AD14808" w14:textId="77777777" w:rsidR="00C34035" w:rsidRDefault="00C34035" w:rsidP="008210D1">
      <w:pPr>
        <w:jc w:val="center"/>
        <w:rPr>
          <w:lang w:eastAsia="es-ES_tradnl"/>
        </w:rPr>
      </w:pPr>
    </w:p>
    <w:p w14:paraId="688D0423" w14:textId="77777777" w:rsidR="00912D0F" w:rsidRDefault="00912D0F" w:rsidP="008210D1">
      <w:pPr>
        <w:pStyle w:val="NormalWeb"/>
        <w:tabs>
          <w:tab w:val="left" w:pos="567"/>
        </w:tabs>
        <w:outlineLvl w:val="0"/>
        <w:rPr>
          <w:rFonts w:asciiTheme="majorHAnsi" w:hAnsiTheme="majorHAnsi" w:cs="Tahoma"/>
          <w:b/>
          <w:bCs/>
          <w:smallCaps/>
          <w:sz w:val="28"/>
          <w:u w:val="single"/>
        </w:rPr>
        <w:sectPr w:rsidR="00912D0F" w:rsidSect="00912D0F">
          <w:pgSz w:w="12242" w:h="15842" w:code="1"/>
          <w:pgMar w:top="1418" w:right="1701" w:bottom="1418" w:left="1701" w:header="709" w:footer="709" w:gutter="0"/>
          <w:cols w:space="708"/>
          <w:docGrid w:linePitch="360"/>
        </w:sectPr>
      </w:pPr>
    </w:p>
    <w:p w14:paraId="1E6ABC74" w14:textId="1E39EEFD" w:rsidR="008210D1" w:rsidRPr="004A2776" w:rsidRDefault="00D24A98" w:rsidP="008210D1">
      <w:pPr>
        <w:pStyle w:val="NormalWeb"/>
        <w:tabs>
          <w:tab w:val="left" w:pos="567"/>
        </w:tabs>
        <w:outlineLvl w:val="0"/>
        <w:rPr>
          <w:rFonts w:asciiTheme="majorHAnsi" w:hAnsiTheme="majorHAnsi" w:cs="Tahoma"/>
          <w:b/>
          <w:bCs/>
          <w:smallCaps/>
          <w:sz w:val="28"/>
          <w:u w:val="single"/>
        </w:rPr>
      </w:pPr>
      <w:bookmarkStart w:id="409" w:name="_Toc429563292"/>
      <w:r>
        <w:rPr>
          <w:noProof/>
          <w:sz w:val="18"/>
          <w:szCs w:val="18"/>
        </w:rPr>
        <w:lastRenderedPageBreak/>
        <w:drawing>
          <wp:anchor distT="0" distB="0" distL="114300" distR="114300" simplePos="0" relativeHeight="251745280" behindDoc="1" locked="0" layoutInCell="1" allowOverlap="1" wp14:anchorId="73C30CA1" wp14:editId="21DDEDA1">
            <wp:simplePos x="0" y="0"/>
            <wp:positionH relativeFrom="column">
              <wp:posOffset>62865</wp:posOffset>
            </wp:positionH>
            <wp:positionV relativeFrom="paragraph">
              <wp:posOffset>292735</wp:posOffset>
            </wp:positionV>
            <wp:extent cx="1562100" cy="643890"/>
            <wp:effectExtent l="0" t="0" r="0" b="3810"/>
            <wp:wrapThrough wrapText="bothSides">
              <wp:wrapPolygon edited="0">
                <wp:start x="0" y="0"/>
                <wp:lineTo x="0" y="21089"/>
                <wp:lineTo x="21337" y="21089"/>
                <wp:lineTo x="21337" y="0"/>
                <wp:lineTo x="0" y="0"/>
              </wp:wrapPolygon>
            </wp:wrapThrough>
            <wp:docPr id="26" name="Imagen 26" descr="Logo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membret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6210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0D1">
        <w:rPr>
          <w:rFonts w:asciiTheme="majorHAnsi" w:hAnsiTheme="majorHAnsi" w:cs="Tahoma"/>
          <w:b/>
          <w:bCs/>
          <w:smallCaps/>
          <w:sz w:val="28"/>
          <w:u w:val="single"/>
        </w:rPr>
        <w:t>1</w:t>
      </w:r>
      <w:r w:rsidR="00D97F28">
        <w:rPr>
          <w:rFonts w:asciiTheme="majorHAnsi" w:hAnsiTheme="majorHAnsi" w:cs="Tahoma"/>
          <w:b/>
          <w:bCs/>
          <w:smallCaps/>
          <w:sz w:val="28"/>
          <w:u w:val="single"/>
        </w:rPr>
        <w:t>1</w:t>
      </w:r>
      <w:r w:rsidR="008210D1">
        <w:rPr>
          <w:rFonts w:asciiTheme="majorHAnsi" w:hAnsiTheme="majorHAnsi" w:cs="Tahoma"/>
          <w:b/>
          <w:bCs/>
          <w:smallCaps/>
          <w:sz w:val="28"/>
          <w:u w:val="single"/>
        </w:rPr>
        <w:t xml:space="preserve">. </w:t>
      </w:r>
      <w:r w:rsidR="008210D1">
        <w:rPr>
          <w:rFonts w:asciiTheme="majorHAnsi" w:hAnsiTheme="majorHAnsi" w:cs="Tahoma"/>
          <w:b/>
          <w:bCs/>
          <w:smallCaps/>
          <w:sz w:val="28"/>
          <w:u w:val="single"/>
        </w:rPr>
        <w:tab/>
        <w:t>Certificación de requisitos de Presupuesto 201</w:t>
      </w:r>
      <w:bookmarkEnd w:id="409"/>
      <w:r w:rsidR="00A47ACA">
        <w:rPr>
          <w:rFonts w:asciiTheme="majorHAnsi" w:hAnsiTheme="majorHAnsi" w:cs="Tahoma"/>
          <w:b/>
          <w:bCs/>
          <w:smallCaps/>
          <w:sz w:val="28"/>
          <w:u w:val="single"/>
        </w:rPr>
        <w:t>7</w:t>
      </w:r>
    </w:p>
    <w:p w14:paraId="7BD79E40" w14:textId="48BD38D4" w:rsidR="00975D90" w:rsidRDefault="00975D90" w:rsidP="00975D90">
      <w:pPr>
        <w:rPr>
          <w:lang w:val="es-MX"/>
        </w:rPr>
      </w:pPr>
    </w:p>
    <w:p w14:paraId="20E13B00" w14:textId="3DEB6F37" w:rsidR="00912D0F" w:rsidRDefault="00DC5E24" w:rsidP="00D24A98">
      <w:pPr>
        <w:pStyle w:val="Encabezado"/>
        <w:jc w:val="right"/>
        <w:rPr>
          <w:rFonts w:ascii="Century Gothic" w:hAnsi="Century Gothic"/>
          <w:sz w:val="24"/>
        </w:rPr>
      </w:pPr>
      <w:r w:rsidRPr="00D00B7E">
        <w:rPr>
          <w:rFonts w:ascii="Century Gothic" w:hAnsi="Century Gothic"/>
          <w:sz w:val="24"/>
        </w:rPr>
        <w:t>División de Fiscalización Operativa y Evaluativa</w:t>
      </w:r>
    </w:p>
    <w:p w14:paraId="6FF2E8F5" w14:textId="54DFEF78" w:rsidR="00DC5E24" w:rsidRPr="00D24A98" w:rsidRDefault="00DC5E24" w:rsidP="00D24A98">
      <w:pPr>
        <w:pStyle w:val="Encabezado"/>
        <w:jc w:val="right"/>
        <w:rPr>
          <w:rFonts w:ascii="Calibri Light" w:hAnsi="Calibri Light"/>
          <w:b/>
          <w:smallCaps/>
          <w:noProof/>
          <w:sz w:val="28"/>
        </w:rPr>
      </w:pPr>
      <w:r>
        <w:rPr>
          <w:rFonts w:ascii="Century Gothic" w:hAnsi="Century Gothic"/>
          <w:sz w:val="18"/>
          <w:szCs w:val="18"/>
        </w:rPr>
        <w:t>Gerencia de División</w:t>
      </w:r>
    </w:p>
    <w:p w14:paraId="6C1CC0B2" w14:textId="3A53F71D" w:rsidR="00912D0F" w:rsidRDefault="00912D0F" w:rsidP="00975D90">
      <w:pPr>
        <w:pBdr>
          <w:bottom w:val="single" w:sz="12" w:space="1" w:color="auto"/>
        </w:pBdr>
        <w:rPr>
          <w:lang w:val="es-MX"/>
        </w:rPr>
      </w:pPr>
    </w:p>
    <w:p w14:paraId="2DF2C129" w14:textId="77777777" w:rsidR="00DC5E24" w:rsidRDefault="00DC5E24" w:rsidP="00975D90">
      <w:pPr>
        <w:rPr>
          <w:lang w:val="es-MX"/>
        </w:rPr>
      </w:pPr>
    </w:p>
    <w:p w14:paraId="6D3AE702" w14:textId="77777777" w:rsidR="0015196C" w:rsidRPr="004501B8" w:rsidRDefault="0015196C" w:rsidP="0015196C">
      <w:pPr>
        <w:pBdr>
          <w:bottom w:val="single" w:sz="4" w:space="1" w:color="auto"/>
        </w:pBdr>
        <w:jc w:val="center"/>
        <w:rPr>
          <w:rFonts w:ascii="Arial" w:hAnsi="Arial" w:cs="Arial"/>
          <w:b/>
          <w:bCs/>
        </w:rPr>
      </w:pPr>
      <w:r w:rsidRPr="004501B8">
        <w:rPr>
          <w:rFonts w:ascii="Arial" w:hAnsi="Arial" w:cs="Arial"/>
          <w:b/>
          <w:bCs/>
        </w:rPr>
        <w:t>CERTIFICACIÓN DE VERIFICACIÓN DE REQUISITOS DEL BLOQUE DE</w:t>
      </w:r>
    </w:p>
    <w:p w14:paraId="07BD383B" w14:textId="77777777" w:rsidR="0015196C" w:rsidRDefault="0015196C" w:rsidP="0015196C">
      <w:pPr>
        <w:pBdr>
          <w:bottom w:val="single" w:sz="4" w:space="1" w:color="auto"/>
        </w:pBdr>
        <w:jc w:val="center"/>
        <w:rPr>
          <w:rFonts w:ascii="Arial" w:hAnsi="Arial" w:cs="Arial"/>
          <w:b/>
          <w:bCs/>
        </w:rPr>
      </w:pPr>
      <w:r w:rsidRPr="004501B8">
        <w:rPr>
          <w:rFonts w:ascii="Arial" w:hAnsi="Arial" w:cs="Arial"/>
          <w:b/>
          <w:bCs/>
        </w:rPr>
        <w:t xml:space="preserve"> LEGALIDAD QUE DEBEN CUMPLIR EL PRESUPUESTO INICIAL Y SUS VARIACIONES DE LOS ENTES Y ÓRGANOS SUJETOS A LA </w:t>
      </w:r>
    </w:p>
    <w:p w14:paraId="0122F6B2" w14:textId="77777777" w:rsidR="0015196C" w:rsidRPr="004501B8" w:rsidRDefault="0015196C" w:rsidP="0015196C">
      <w:pPr>
        <w:pBdr>
          <w:bottom w:val="single" w:sz="4" w:space="1" w:color="auto"/>
        </w:pBdr>
        <w:jc w:val="center"/>
        <w:rPr>
          <w:rFonts w:ascii="Arial" w:hAnsi="Arial" w:cs="Arial"/>
          <w:b/>
          <w:bCs/>
        </w:rPr>
      </w:pPr>
      <w:r w:rsidRPr="004501B8">
        <w:rPr>
          <w:rFonts w:ascii="Arial" w:hAnsi="Arial" w:cs="Arial"/>
          <w:b/>
          <w:bCs/>
        </w:rPr>
        <w:t xml:space="preserve">APROBACIÓN PRESUPUESTARIA DE LA </w:t>
      </w:r>
    </w:p>
    <w:p w14:paraId="355EB42D" w14:textId="77777777" w:rsidR="0015196C" w:rsidRDefault="0015196C" w:rsidP="0015196C">
      <w:pPr>
        <w:pBdr>
          <w:bottom w:val="single" w:sz="4" w:space="1" w:color="auto"/>
        </w:pBdr>
        <w:jc w:val="center"/>
        <w:rPr>
          <w:rFonts w:ascii="Arial" w:hAnsi="Arial" w:cs="Arial"/>
          <w:b/>
          <w:bCs/>
        </w:rPr>
      </w:pPr>
      <w:r w:rsidRPr="004501B8">
        <w:rPr>
          <w:rFonts w:ascii="Arial" w:hAnsi="Arial" w:cs="Arial"/>
          <w:b/>
          <w:bCs/>
        </w:rPr>
        <w:t>CONTRALORÍA GENERAL DE LA REPÚBLICA.</w:t>
      </w:r>
    </w:p>
    <w:p w14:paraId="0D32EDF4" w14:textId="77777777" w:rsidR="0015196C" w:rsidRPr="00C0260C" w:rsidRDefault="0015196C" w:rsidP="0015196C">
      <w:pPr>
        <w:pBdr>
          <w:bottom w:val="single" w:sz="4" w:space="1" w:color="auto"/>
        </w:pBdr>
        <w:jc w:val="center"/>
        <w:rPr>
          <w:rFonts w:ascii="Arial" w:hAnsi="Arial" w:cs="Arial"/>
          <w:b/>
          <w:bCs/>
        </w:rPr>
      </w:pPr>
    </w:p>
    <w:p w14:paraId="75DF732E" w14:textId="77777777" w:rsidR="0015196C" w:rsidRPr="00C0260C" w:rsidRDefault="0015196C" w:rsidP="0015196C">
      <w:pPr>
        <w:ind w:left="284"/>
        <w:jc w:val="center"/>
        <w:rPr>
          <w:rFonts w:ascii="Arial" w:hAnsi="Arial" w:cs="Arial"/>
          <w:b/>
          <w:lang w:eastAsia="en-US"/>
        </w:rPr>
      </w:pPr>
    </w:p>
    <w:p w14:paraId="1852A37D" w14:textId="77777777" w:rsidR="0015196C" w:rsidRDefault="0015196C" w:rsidP="0015196C">
      <w:pPr>
        <w:ind w:firstLine="284"/>
        <w:jc w:val="both"/>
        <w:rPr>
          <w:rFonts w:ascii="Arial" w:hAnsi="Arial" w:cs="Arial"/>
          <w:sz w:val="22"/>
          <w:lang w:val="es-CR" w:eastAsia="en-US"/>
        </w:rPr>
      </w:pPr>
      <w:r>
        <w:rPr>
          <w:rFonts w:ascii="Arial" w:hAnsi="Arial" w:cs="Arial"/>
          <w:sz w:val="22"/>
        </w:rPr>
        <w:t xml:space="preserve">El </w:t>
      </w:r>
      <w:r w:rsidRPr="005F7A0D">
        <w:rPr>
          <w:rFonts w:ascii="Arial" w:hAnsi="Arial" w:cs="Arial"/>
          <w:bCs/>
          <w:sz w:val="22"/>
        </w:rPr>
        <w:t xml:space="preserve">suscrito, </w:t>
      </w:r>
      <w:r w:rsidRPr="005F7A0D">
        <w:rPr>
          <w:rFonts w:ascii="Arial" w:hAnsi="Arial" w:cs="Arial"/>
          <w:b/>
          <w:bCs/>
          <w:sz w:val="22"/>
          <w:u w:val="single"/>
        </w:rPr>
        <w:t>Álvaro Ramos Chaves</w:t>
      </w:r>
      <w:r w:rsidRPr="005F7A0D">
        <w:rPr>
          <w:rFonts w:ascii="Arial" w:hAnsi="Arial" w:cs="Arial"/>
          <w:bCs/>
          <w:sz w:val="22"/>
        </w:rPr>
        <w:t>, mayor, casado una vez, portador de la cédula de identidad número uno-mil ciento noventa y dos – ciento sesenta y cinco, Economista, vecino de Escazú, San José, en su condición de Superintendente de Pensiones,</w:t>
      </w:r>
      <w:r>
        <w:rPr>
          <w:rFonts w:ascii="Arial" w:hAnsi="Arial" w:cs="Arial"/>
          <w:bCs/>
          <w:sz w:val="22"/>
        </w:rPr>
        <w:t xml:space="preserve"> </w:t>
      </w:r>
      <w:r>
        <w:rPr>
          <w:rFonts w:ascii="Arial" w:hAnsi="Arial" w:cs="Arial"/>
          <w:sz w:val="22"/>
        </w:rPr>
        <w:t xml:space="preserve">responsable del </w:t>
      </w:r>
      <w:r w:rsidRPr="005F0F08">
        <w:rPr>
          <w:rFonts w:ascii="Arial" w:hAnsi="Arial" w:cs="Arial"/>
          <w:sz w:val="22"/>
        </w:rPr>
        <w:t xml:space="preserve">proceso de </w:t>
      </w:r>
      <w:r w:rsidRPr="009B491E">
        <w:rPr>
          <w:rFonts w:ascii="Arial" w:hAnsi="Arial" w:cs="Arial"/>
          <w:sz w:val="22"/>
        </w:rPr>
        <w:t>formulación del presupuesto 201</w:t>
      </w:r>
      <w:r>
        <w:rPr>
          <w:rFonts w:ascii="Arial" w:hAnsi="Arial" w:cs="Arial"/>
          <w:sz w:val="22"/>
        </w:rPr>
        <w:t>7</w:t>
      </w:r>
      <w:r w:rsidRPr="009B491E">
        <w:rPr>
          <w:rFonts w:ascii="Arial" w:hAnsi="Arial" w:cs="Arial"/>
          <w:sz w:val="22"/>
        </w:rPr>
        <w:t xml:space="preserve"> de la</w:t>
      </w:r>
      <w:r>
        <w:rPr>
          <w:rFonts w:ascii="Arial" w:hAnsi="Arial" w:cs="Arial"/>
          <w:b/>
          <w:bCs/>
          <w:sz w:val="22"/>
        </w:rPr>
        <w:t xml:space="preserve"> Superintendencia de Pensiones, </w:t>
      </w:r>
      <w:r>
        <w:rPr>
          <w:rFonts w:ascii="Arial" w:hAnsi="Arial" w:cs="Arial"/>
          <w:sz w:val="22"/>
        </w:rPr>
        <w:t xml:space="preserve">designado por el Consejo Nacional de Supervisión del Sistema Financiero, </w:t>
      </w:r>
      <w:r w:rsidRPr="005F7A0D">
        <w:rPr>
          <w:rFonts w:ascii="Arial" w:hAnsi="Arial" w:cs="Arial"/>
          <w:bCs/>
          <w:sz w:val="22"/>
        </w:rPr>
        <w:t>según Acuerdo de Nombramiento del Consejo Nacional de Supervisión del Sistema Financiero que consta en el numeral uno del artículo cinco del Acta de la Sesión Número 1169-2015 del 25 de mayo de 2015</w:t>
      </w:r>
      <w:r w:rsidRPr="005A6812">
        <w:rPr>
          <w:rFonts w:ascii="Arial" w:hAnsi="Arial" w:cs="Arial"/>
          <w:sz w:val="22"/>
          <w:lang w:val="es-CR" w:eastAsia="en-US"/>
        </w:rPr>
        <w:t>,</w:t>
      </w:r>
      <w:r w:rsidRPr="005A6812">
        <w:rPr>
          <w:rFonts w:ascii="Arial" w:hAnsi="Arial" w:cs="Arial"/>
          <w:b/>
          <w:bCs/>
          <w:sz w:val="22"/>
          <w:lang w:val="es-CR" w:eastAsia="en-US"/>
        </w:rPr>
        <w:t xml:space="preserve"> </w:t>
      </w:r>
      <w:r w:rsidRPr="005A6812">
        <w:rPr>
          <w:rFonts w:ascii="Arial" w:hAnsi="Arial" w:cs="Arial"/>
          <w:sz w:val="22"/>
          <w:lang w:val="es-CR" w:eastAsia="en-US"/>
        </w:rPr>
        <w:t>por este medio certifico, con conocimiento de las responsabilidades penales, civiles y administrativas que me sean atribuibles al certificar información no veraz, que he revisado todos los aspectos del bloque de legalidad contenidos en esta certificación; además de todos los otros que le resultan de aplicación obligatoria a la institución y que no se agotan en los apartes indicados.</w:t>
      </w:r>
      <w:r>
        <w:rPr>
          <w:rFonts w:ascii="Arial" w:hAnsi="Arial" w:cs="Arial"/>
          <w:sz w:val="22"/>
          <w:lang w:val="es-CR" w:eastAsia="en-US"/>
        </w:rPr>
        <w:t xml:space="preserve"> </w:t>
      </w:r>
    </w:p>
    <w:p w14:paraId="3556A058" w14:textId="77777777" w:rsidR="0015196C" w:rsidRDefault="0015196C" w:rsidP="0015196C">
      <w:pPr>
        <w:ind w:firstLine="284"/>
        <w:jc w:val="both"/>
        <w:rPr>
          <w:rFonts w:ascii="Arial" w:hAnsi="Arial" w:cs="Arial"/>
          <w:sz w:val="22"/>
          <w:lang w:val="es-CR" w:eastAsia="en-US"/>
        </w:rPr>
      </w:pPr>
    </w:p>
    <w:p w14:paraId="575210B5" w14:textId="77777777" w:rsidR="0015196C" w:rsidRPr="00C0260C" w:rsidRDefault="0015196C" w:rsidP="0015196C">
      <w:pPr>
        <w:jc w:val="both"/>
        <w:rPr>
          <w:rFonts w:ascii="Arial" w:hAnsi="Arial"/>
          <w:b/>
          <w:lang w:val="es-CR"/>
        </w:rPr>
      </w:pPr>
      <w:r w:rsidRPr="00C0260C">
        <w:rPr>
          <w:rFonts w:ascii="Arial" w:hAnsi="Arial"/>
          <w:b/>
          <w:lang w:val="es-CR"/>
        </w:rPr>
        <w:t xml:space="preserve">Requisitos del bloque de legalidad que en caso de incumplimiento </w:t>
      </w:r>
      <w:r>
        <w:rPr>
          <w:rFonts w:ascii="Arial" w:hAnsi="Arial"/>
          <w:b/>
          <w:lang w:val="es-CR"/>
        </w:rPr>
        <w:t>conlleva a</w:t>
      </w:r>
      <w:r w:rsidRPr="00C0260C">
        <w:rPr>
          <w:rFonts w:ascii="Arial" w:hAnsi="Arial"/>
          <w:b/>
          <w:lang w:val="es-CR"/>
        </w:rPr>
        <w:t xml:space="preserve"> la improbación o devoluci</w:t>
      </w:r>
      <w:r>
        <w:rPr>
          <w:rFonts w:ascii="Arial" w:hAnsi="Arial"/>
          <w:b/>
          <w:lang w:val="es-CR"/>
        </w:rPr>
        <w:t>ón sin trámite según corresponda</w:t>
      </w:r>
      <w:r w:rsidRPr="00C0260C">
        <w:rPr>
          <w:rFonts w:ascii="Arial" w:hAnsi="Arial"/>
          <w:b/>
          <w:vertAlign w:val="superscript"/>
          <w:lang w:val="es-CR"/>
        </w:rPr>
        <w:footnoteReference w:id="13"/>
      </w:r>
      <w:r w:rsidRPr="00C0260C">
        <w:rPr>
          <w:rFonts w:ascii="Arial" w:hAnsi="Arial"/>
          <w:b/>
          <w:lang w:val="es-CR"/>
        </w:rPr>
        <w:t xml:space="preserve">, del presupuesto inicial o sus variaciones, por parte de </w:t>
      </w:r>
      <w:smartTag w:uri="urn:schemas-microsoft-com:office:smarttags" w:element="PersonName">
        <w:smartTagPr>
          <w:attr w:name="ProductID" w:val="la Contralor￭a General"/>
        </w:smartTagPr>
        <w:r w:rsidRPr="00C0260C">
          <w:rPr>
            <w:rFonts w:ascii="Arial" w:hAnsi="Arial"/>
            <w:b/>
            <w:lang w:val="es-CR"/>
          </w:rPr>
          <w:t>la Contraloría General</w:t>
        </w:r>
      </w:smartTag>
      <w:r w:rsidRPr="00C0260C">
        <w:rPr>
          <w:rFonts w:ascii="Arial" w:hAnsi="Arial"/>
          <w:b/>
          <w:lang w:val="es-CR"/>
        </w:rPr>
        <w:t xml:space="preserve"> de </w:t>
      </w:r>
      <w:smartTag w:uri="urn:schemas-microsoft-com:office:smarttags" w:element="PersonName">
        <w:smartTagPr>
          <w:attr w:name="ProductID" w:val="LA REPￚBLICA."/>
        </w:smartTagPr>
        <w:r w:rsidRPr="00C0260C">
          <w:rPr>
            <w:rFonts w:ascii="Arial" w:hAnsi="Arial"/>
            <w:b/>
            <w:lang w:val="es-CR"/>
          </w:rPr>
          <w:t>la República.</w:t>
        </w:r>
      </w:smartTag>
      <w:r w:rsidRPr="00C0260C">
        <w:rPr>
          <w:rFonts w:ascii="Arial" w:hAnsi="Arial"/>
          <w:b/>
          <w:lang w:val="es-CR"/>
        </w:rPr>
        <w:t xml:space="preserve"> </w:t>
      </w:r>
    </w:p>
    <w:p w14:paraId="0257C733" w14:textId="77777777" w:rsidR="0015196C" w:rsidRPr="00C0260C" w:rsidRDefault="0015196C" w:rsidP="0015196C">
      <w:pPr>
        <w:ind w:left="567"/>
        <w:rPr>
          <w:rFonts w:ascii="Arial" w:hAnsi="Arial"/>
          <w:b/>
        </w:rPr>
      </w:pPr>
    </w:p>
    <w:tbl>
      <w:tblPr>
        <w:tblW w:w="101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707"/>
        <w:gridCol w:w="709"/>
        <w:gridCol w:w="852"/>
        <w:gridCol w:w="1910"/>
      </w:tblGrid>
      <w:tr w:rsidR="0015196C" w:rsidRPr="00C0260C" w14:paraId="28156166" w14:textId="77777777" w:rsidTr="00EB2B4F">
        <w:trPr>
          <w:tblHeader/>
        </w:trPr>
        <w:tc>
          <w:tcPr>
            <w:tcW w:w="5954" w:type="dxa"/>
            <w:shd w:val="clear" w:color="auto" w:fill="B4C6E7"/>
            <w:vAlign w:val="center"/>
          </w:tcPr>
          <w:p w14:paraId="7C81A207" w14:textId="77777777" w:rsidR="0015196C" w:rsidRPr="00271169" w:rsidRDefault="0015196C" w:rsidP="007B3358">
            <w:pPr>
              <w:ind w:left="-779" w:firstLine="779"/>
              <w:jc w:val="center"/>
              <w:rPr>
                <w:rFonts w:ascii="Arial" w:hAnsi="Arial" w:cs="Arial"/>
                <w:b/>
                <w:bCs/>
                <w:sz w:val="22"/>
                <w:szCs w:val="22"/>
                <w:lang w:val="es-MX" w:eastAsia="en-US"/>
              </w:rPr>
            </w:pPr>
            <w:r w:rsidRPr="00271169">
              <w:rPr>
                <w:rFonts w:ascii="Arial" w:hAnsi="Arial" w:cs="Arial"/>
                <w:b/>
                <w:bCs/>
                <w:sz w:val="22"/>
                <w:szCs w:val="22"/>
                <w:lang w:val="es-MX" w:eastAsia="en-US"/>
              </w:rPr>
              <w:t>Requisitos</w:t>
            </w:r>
          </w:p>
        </w:tc>
        <w:tc>
          <w:tcPr>
            <w:tcW w:w="707" w:type="dxa"/>
            <w:shd w:val="clear" w:color="auto" w:fill="B4C6E7"/>
            <w:vAlign w:val="center"/>
          </w:tcPr>
          <w:p w14:paraId="1431D0B9" w14:textId="77777777" w:rsidR="0015196C" w:rsidRPr="00271169" w:rsidRDefault="0015196C" w:rsidP="007B3358">
            <w:pPr>
              <w:jc w:val="center"/>
              <w:rPr>
                <w:rFonts w:ascii="Arial" w:hAnsi="Arial" w:cs="Arial"/>
                <w:b/>
                <w:bCs/>
                <w:sz w:val="22"/>
                <w:szCs w:val="22"/>
                <w:lang w:val="es-MX" w:eastAsia="en-US"/>
              </w:rPr>
            </w:pPr>
            <w:r w:rsidRPr="00271169">
              <w:rPr>
                <w:rFonts w:ascii="Arial" w:hAnsi="Arial" w:cs="Arial"/>
                <w:b/>
                <w:bCs/>
                <w:sz w:val="22"/>
                <w:szCs w:val="22"/>
                <w:lang w:val="es-MX" w:eastAsia="en-US"/>
              </w:rPr>
              <w:t>Sí</w:t>
            </w:r>
          </w:p>
        </w:tc>
        <w:tc>
          <w:tcPr>
            <w:tcW w:w="709" w:type="dxa"/>
            <w:shd w:val="clear" w:color="auto" w:fill="B4C6E7"/>
            <w:vAlign w:val="center"/>
          </w:tcPr>
          <w:p w14:paraId="5620FC15" w14:textId="77777777" w:rsidR="0015196C" w:rsidRPr="00271169" w:rsidRDefault="0015196C" w:rsidP="007B3358">
            <w:pPr>
              <w:jc w:val="center"/>
              <w:rPr>
                <w:rFonts w:ascii="Arial" w:hAnsi="Arial" w:cs="Arial"/>
                <w:b/>
                <w:bCs/>
                <w:sz w:val="22"/>
                <w:szCs w:val="22"/>
                <w:lang w:val="es-MX" w:eastAsia="en-US"/>
              </w:rPr>
            </w:pPr>
            <w:r w:rsidRPr="00271169">
              <w:rPr>
                <w:rFonts w:ascii="Arial" w:hAnsi="Arial" w:cs="Arial"/>
                <w:b/>
                <w:bCs/>
                <w:sz w:val="22"/>
                <w:szCs w:val="22"/>
                <w:lang w:val="es-MX" w:eastAsia="en-US"/>
              </w:rPr>
              <w:t>No</w:t>
            </w:r>
          </w:p>
        </w:tc>
        <w:tc>
          <w:tcPr>
            <w:tcW w:w="852" w:type="dxa"/>
            <w:shd w:val="clear" w:color="auto" w:fill="B4C6E7"/>
            <w:vAlign w:val="center"/>
          </w:tcPr>
          <w:p w14:paraId="4A739848" w14:textId="77777777" w:rsidR="0015196C" w:rsidRPr="00271169" w:rsidRDefault="0015196C" w:rsidP="007B3358">
            <w:pPr>
              <w:jc w:val="center"/>
              <w:rPr>
                <w:rFonts w:ascii="Arial" w:hAnsi="Arial" w:cs="Arial"/>
                <w:b/>
                <w:bCs/>
                <w:sz w:val="22"/>
                <w:szCs w:val="22"/>
                <w:lang w:val="es-MX" w:eastAsia="en-US"/>
              </w:rPr>
            </w:pPr>
            <w:r w:rsidRPr="00271169">
              <w:rPr>
                <w:rFonts w:ascii="Arial" w:hAnsi="Arial" w:cs="Arial"/>
                <w:b/>
                <w:bCs/>
                <w:sz w:val="22"/>
                <w:szCs w:val="22"/>
                <w:lang w:val="es-MX" w:eastAsia="en-US"/>
              </w:rPr>
              <w:t>No aplica</w:t>
            </w:r>
          </w:p>
        </w:tc>
        <w:tc>
          <w:tcPr>
            <w:tcW w:w="1910" w:type="dxa"/>
            <w:shd w:val="clear" w:color="auto" w:fill="B4C6E7"/>
            <w:vAlign w:val="center"/>
          </w:tcPr>
          <w:p w14:paraId="4FA5D626" w14:textId="77777777" w:rsidR="0015196C" w:rsidRPr="00271169" w:rsidRDefault="0015196C" w:rsidP="007B3358">
            <w:pPr>
              <w:jc w:val="center"/>
              <w:rPr>
                <w:rFonts w:ascii="Arial" w:hAnsi="Arial" w:cs="Arial"/>
                <w:b/>
                <w:bCs/>
                <w:sz w:val="22"/>
                <w:szCs w:val="22"/>
                <w:lang w:val="es-MX" w:eastAsia="en-US"/>
              </w:rPr>
            </w:pPr>
            <w:r w:rsidRPr="00271169">
              <w:rPr>
                <w:rFonts w:ascii="Arial" w:hAnsi="Arial" w:cs="Arial"/>
                <w:b/>
                <w:bCs/>
                <w:sz w:val="22"/>
                <w:szCs w:val="22"/>
                <w:lang w:val="es-MX" w:eastAsia="en-US"/>
              </w:rPr>
              <w:t>Observaciones</w:t>
            </w:r>
          </w:p>
        </w:tc>
      </w:tr>
      <w:tr w:rsidR="0015196C" w:rsidRPr="00C0260C" w14:paraId="09283A53" w14:textId="77777777" w:rsidTr="00EB2B4F">
        <w:tc>
          <w:tcPr>
            <w:tcW w:w="5954" w:type="dxa"/>
          </w:tcPr>
          <w:p w14:paraId="5746479E" w14:textId="77777777" w:rsidR="0015196C" w:rsidRPr="00C0260C" w:rsidRDefault="0015196C" w:rsidP="0015196C">
            <w:pPr>
              <w:numPr>
                <w:ilvl w:val="0"/>
                <w:numId w:val="18"/>
              </w:numPr>
              <w:tabs>
                <w:tab w:val="clear" w:pos="720"/>
              </w:tabs>
              <w:autoSpaceDE w:val="0"/>
              <w:autoSpaceDN w:val="0"/>
              <w:adjustRightInd w:val="0"/>
              <w:ind w:left="356" w:hanging="356"/>
              <w:jc w:val="both"/>
              <w:rPr>
                <w:rFonts w:ascii="Helvetica" w:hAnsi="Helvetica" w:cs="Helvetica"/>
                <w:sz w:val="19"/>
                <w:szCs w:val="19"/>
              </w:rPr>
            </w:pPr>
            <w:r w:rsidRPr="00C0260C">
              <w:rPr>
                <w:rFonts w:ascii="Arial" w:hAnsi="Arial" w:cs="Arial"/>
                <w:lang w:val="es-CR" w:eastAsia="en-US"/>
              </w:rPr>
              <w:t xml:space="preserve">Se incorpora el contenido presupuestario para financiar las partidas y subpartidas de gastos necesarios para el funcionamiento de la institución durante todo el año (principio de universalidad), de acuerdo con lo dispuesto en el artículo 176 de </w:t>
            </w:r>
            <w:smartTag w:uri="urn:schemas-microsoft-com:office:smarttags" w:element="PersonName">
              <w:smartTagPr>
                <w:attr w:name="ProductID" w:val="la Constituci￳n Pol￭tica"/>
              </w:smartTagPr>
              <w:r w:rsidRPr="00C0260C">
                <w:rPr>
                  <w:rFonts w:ascii="Arial" w:hAnsi="Arial" w:cs="Arial"/>
                  <w:lang w:val="es-CR" w:eastAsia="en-US"/>
                </w:rPr>
                <w:t>la Constitución Política</w:t>
              </w:r>
            </w:smartTag>
            <w:r w:rsidRPr="00C0260C">
              <w:rPr>
                <w:rFonts w:ascii="Arial" w:hAnsi="Arial" w:cs="Arial"/>
                <w:lang w:val="es-CR" w:eastAsia="en-US"/>
              </w:rPr>
              <w:t xml:space="preserve"> y los artículos 4 y 5 inciso a) de </w:t>
            </w:r>
            <w:smartTag w:uri="urn:schemas-microsoft-com:office:smarttags" w:element="PersonName">
              <w:smartTagPr>
                <w:attr w:name="ProductID" w:val="la Ley No"/>
              </w:smartTagPr>
              <w:r w:rsidRPr="00C0260C">
                <w:rPr>
                  <w:rFonts w:ascii="Arial" w:hAnsi="Arial" w:cs="Arial"/>
                  <w:lang w:val="es-CR" w:eastAsia="en-US"/>
                </w:rPr>
                <w:t>la Ley No</w:t>
              </w:r>
            </w:smartTag>
            <w:r w:rsidRPr="00C0260C">
              <w:rPr>
                <w:rFonts w:ascii="Arial" w:hAnsi="Arial" w:cs="Arial"/>
                <w:lang w:val="es-CR" w:eastAsia="en-US"/>
              </w:rPr>
              <w:t xml:space="preserve"> 8131.</w:t>
            </w:r>
          </w:p>
        </w:tc>
        <w:tc>
          <w:tcPr>
            <w:tcW w:w="707" w:type="dxa"/>
            <w:vAlign w:val="center"/>
          </w:tcPr>
          <w:p w14:paraId="3E364FC4" w14:textId="77777777" w:rsidR="0015196C" w:rsidRPr="00C0260C" w:rsidRDefault="0015196C" w:rsidP="007B3358">
            <w:pPr>
              <w:spacing w:line="360" w:lineRule="auto"/>
              <w:ind w:left="356" w:hanging="356"/>
              <w:jc w:val="center"/>
              <w:rPr>
                <w:rFonts w:ascii="Arial" w:hAnsi="Arial" w:cs="Arial"/>
                <w:b/>
                <w:lang w:val="es-MX" w:eastAsia="en-US"/>
              </w:rPr>
            </w:pPr>
            <w:r>
              <w:rPr>
                <w:rFonts w:ascii="Arial" w:hAnsi="Arial" w:cs="Arial"/>
                <w:b/>
                <w:lang w:val="es-MX" w:eastAsia="en-US"/>
              </w:rPr>
              <w:t>X</w:t>
            </w:r>
          </w:p>
        </w:tc>
        <w:tc>
          <w:tcPr>
            <w:tcW w:w="709" w:type="dxa"/>
            <w:vAlign w:val="center"/>
          </w:tcPr>
          <w:p w14:paraId="449EE41A"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1EA18161"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34ED281A" w14:textId="77777777" w:rsidR="0015196C" w:rsidRPr="00C0260C" w:rsidRDefault="0015196C" w:rsidP="007B3358">
            <w:pPr>
              <w:ind w:left="356" w:hanging="356"/>
              <w:rPr>
                <w:rFonts w:ascii="Arial" w:hAnsi="Arial"/>
                <w:sz w:val="16"/>
                <w:lang w:val="es-CR" w:eastAsia="en-US"/>
              </w:rPr>
            </w:pPr>
          </w:p>
        </w:tc>
      </w:tr>
      <w:tr w:rsidR="0015196C" w:rsidRPr="00C0260C" w14:paraId="529A3365" w14:textId="77777777" w:rsidTr="00EB2B4F">
        <w:tc>
          <w:tcPr>
            <w:tcW w:w="5954" w:type="dxa"/>
          </w:tcPr>
          <w:p w14:paraId="67524390"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r w:rsidRPr="00C0260C">
              <w:rPr>
                <w:rFonts w:ascii="Arial" w:hAnsi="Arial" w:cs="Arial"/>
                <w:lang w:val="es-CR" w:eastAsia="en-US"/>
              </w:rPr>
              <w:lastRenderedPageBreak/>
              <w:t>Se cuenta con certificación</w:t>
            </w:r>
            <w:r w:rsidRPr="00C0260C">
              <w:rPr>
                <w:rFonts w:ascii="Arial" w:hAnsi="Arial" w:cs="Arial"/>
                <w:vertAlign w:val="superscript"/>
                <w:lang w:val="es-CR" w:eastAsia="en-US"/>
              </w:rPr>
              <w:footnoteReference w:id="14"/>
            </w:r>
            <w:r w:rsidRPr="00C0260C">
              <w:rPr>
                <w:rFonts w:ascii="Arial" w:hAnsi="Arial" w:cs="Arial"/>
                <w:lang w:val="es-CR" w:eastAsia="en-US"/>
              </w:rPr>
              <w:t xml:space="preserve"> de la C.C.S.S. en la cual conste que se encuentran al día en el pago de las cuotas patronales y obreras de esta Institución o que existe, en su caso, el correspondiente arreglo de pago debidamente aceptado, según lo dispuesto en el artículo 74 de la Ley Constitutiva de la C.C.S.S., Nº 17</w:t>
            </w:r>
            <w:r w:rsidRPr="00C0260C">
              <w:rPr>
                <w:rFonts w:ascii="Arial" w:hAnsi="Arial"/>
                <w:bCs/>
                <w:sz w:val="22"/>
                <w:vertAlign w:val="superscript"/>
                <w:lang w:val="es-CR"/>
              </w:rPr>
              <w:footnoteReference w:id="15"/>
            </w:r>
            <w:r w:rsidRPr="00C0260C">
              <w:rPr>
                <w:rFonts w:ascii="Arial" w:hAnsi="Arial"/>
                <w:lang w:val="es-CR" w:eastAsia="en-US"/>
              </w:rPr>
              <w:t xml:space="preserve"> </w:t>
            </w:r>
            <w:r w:rsidRPr="00C0260C">
              <w:rPr>
                <w:rFonts w:ascii="Arial" w:hAnsi="Arial" w:cs="Arial"/>
                <w:lang w:val="es-CR" w:eastAsia="en-US"/>
              </w:rPr>
              <w:t xml:space="preserve">y sus reformas.  </w:t>
            </w:r>
          </w:p>
        </w:tc>
        <w:tc>
          <w:tcPr>
            <w:tcW w:w="707" w:type="dxa"/>
            <w:vAlign w:val="center"/>
          </w:tcPr>
          <w:p w14:paraId="59F6DB1B" w14:textId="77777777" w:rsidR="0015196C" w:rsidRPr="00C0260C" w:rsidRDefault="0015196C" w:rsidP="007B3358">
            <w:pPr>
              <w:spacing w:line="360" w:lineRule="auto"/>
              <w:jc w:val="center"/>
              <w:rPr>
                <w:rFonts w:ascii="Arial" w:hAnsi="Arial" w:cs="Arial"/>
                <w:b/>
                <w:lang w:val="es-CR" w:eastAsia="en-US"/>
              </w:rPr>
            </w:pPr>
            <w:r>
              <w:rPr>
                <w:rFonts w:ascii="Arial" w:hAnsi="Arial" w:cs="Arial"/>
                <w:b/>
                <w:lang w:val="es-CR" w:eastAsia="en-US"/>
              </w:rPr>
              <w:t>X</w:t>
            </w:r>
          </w:p>
        </w:tc>
        <w:tc>
          <w:tcPr>
            <w:tcW w:w="709" w:type="dxa"/>
            <w:vAlign w:val="center"/>
          </w:tcPr>
          <w:p w14:paraId="6E4074F2"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39D35576"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7B8258EB" w14:textId="77777777" w:rsidR="0015196C" w:rsidRPr="00C0260C" w:rsidRDefault="0015196C" w:rsidP="007B3358">
            <w:pPr>
              <w:spacing w:line="360" w:lineRule="auto"/>
              <w:jc w:val="center"/>
              <w:rPr>
                <w:rFonts w:ascii="Arial" w:hAnsi="Arial" w:cs="Arial"/>
                <w:lang w:val="es-MX" w:eastAsia="en-US"/>
              </w:rPr>
            </w:pPr>
          </w:p>
        </w:tc>
      </w:tr>
      <w:tr w:rsidR="0015196C" w:rsidRPr="00C0260C" w14:paraId="5CEC3490" w14:textId="77777777" w:rsidTr="00EB2B4F">
        <w:tc>
          <w:tcPr>
            <w:tcW w:w="5954" w:type="dxa"/>
          </w:tcPr>
          <w:p w14:paraId="00B285A2"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r w:rsidRPr="00AD566C">
              <w:rPr>
                <w:rFonts w:ascii="Arial" w:hAnsi="Arial" w:cs="Arial"/>
                <w:lang w:eastAsia="en-US"/>
              </w:rPr>
              <w:t>Se</w:t>
            </w:r>
            <w:r w:rsidRPr="00AD566C">
              <w:rPr>
                <w:rFonts w:ascii="Arial" w:hAnsi="Arial" w:cs="Arial"/>
                <w:lang w:val="es-CR" w:eastAsia="en-US"/>
              </w:rPr>
              <w:t xml:space="preserve"> incluye la asignación presupuestaria para el pago del seguro de riesgos del trabajo, según lo dispuesto en el artículo 331 del Código de Trabajo, Ley Nº 2</w:t>
            </w:r>
            <w:r w:rsidRPr="00AD566C">
              <w:rPr>
                <w:rFonts w:ascii="Arial" w:hAnsi="Arial"/>
                <w:bCs/>
                <w:sz w:val="22"/>
                <w:vertAlign w:val="superscript"/>
              </w:rPr>
              <w:footnoteReference w:id="16"/>
            </w:r>
            <w:r w:rsidRPr="00AD566C">
              <w:rPr>
                <w:rFonts w:ascii="Arial" w:hAnsi="Arial" w:cs="Arial"/>
                <w:lang w:val="es-CR" w:eastAsia="en-US"/>
              </w:rPr>
              <w:t xml:space="preserve"> y sus reformas.</w:t>
            </w:r>
            <w:r>
              <w:rPr>
                <w:rFonts w:ascii="Arial" w:hAnsi="Arial" w:cs="Arial"/>
                <w:lang w:val="es-CR" w:eastAsia="en-US"/>
              </w:rPr>
              <w:t xml:space="preserve"> </w:t>
            </w:r>
          </w:p>
        </w:tc>
        <w:tc>
          <w:tcPr>
            <w:tcW w:w="707" w:type="dxa"/>
            <w:vAlign w:val="center"/>
          </w:tcPr>
          <w:p w14:paraId="5BBD4675" w14:textId="77777777" w:rsidR="0015196C" w:rsidRPr="00C0260C" w:rsidRDefault="0015196C" w:rsidP="007B3358">
            <w:pPr>
              <w:spacing w:line="360" w:lineRule="auto"/>
              <w:jc w:val="center"/>
              <w:rPr>
                <w:rFonts w:ascii="Arial" w:hAnsi="Arial" w:cs="Arial"/>
                <w:lang w:val="es-MX" w:eastAsia="en-US"/>
              </w:rPr>
            </w:pPr>
            <w:r>
              <w:rPr>
                <w:rFonts w:ascii="Arial" w:hAnsi="Arial" w:cs="Arial"/>
                <w:lang w:val="es-MX" w:eastAsia="en-US"/>
              </w:rPr>
              <w:t>X</w:t>
            </w:r>
          </w:p>
        </w:tc>
        <w:tc>
          <w:tcPr>
            <w:tcW w:w="709" w:type="dxa"/>
            <w:vAlign w:val="center"/>
          </w:tcPr>
          <w:p w14:paraId="0744CF99"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75DCDE65"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354CC346" w14:textId="77777777" w:rsidR="0015196C" w:rsidRPr="00C0260C" w:rsidRDefault="0015196C" w:rsidP="007B3358">
            <w:pPr>
              <w:spacing w:line="360" w:lineRule="auto"/>
              <w:jc w:val="both"/>
              <w:rPr>
                <w:rFonts w:ascii="Arial" w:hAnsi="Arial" w:cs="Arial"/>
                <w:u w:val="single"/>
                <w:lang w:val="es-MX" w:eastAsia="en-US"/>
              </w:rPr>
            </w:pPr>
          </w:p>
        </w:tc>
      </w:tr>
      <w:tr w:rsidR="0015196C" w:rsidRPr="00C0260C" w14:paraId="106FFA2A" w14:textId="77777777" w:rsidTr="00EB2B4F">
        <w:tc>
          <w:tcPr>
            <w:tcW w:w="5954" w:type="dxa"/>
            <w:vAlign w:val="center"/>
          </w:tcPr>
          <w:p w14:paraId="6CA953DF"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bookmarkStart w:id="410" w:name="_GoBack" w:colFirst="4" w:colLast="4"/>
            <w:r w:rsidRPr="00C0260C">
              <w:rPr>
                <w:rFonts w:ascii="Arial" w:hAnsi="Arial" w:cs="Arial"/>
                <w:lang w:val="es-CR" w:eastAsia="en-US"/>
              </w:rPr>
              <w:t>Se incluye el contenido presupuestario suficiente</w:t>
            </w:r>
            <w:r w:rsidRPr="00C0260C">
              <w:rPr>
                <w:rFonts w:ascii="Arial" w:hAnsi="Arial" w:cs="Arial"/>
                <w:vertAlign w:val="superscript"/>
                <w:lang w:val="es-CR" w:eastAsia="en-US"/>
              </w:rPr>
              <w:footnoteReference w:id="17"/>
            </w:r>
            <w:r w:rsidRPr="00C0260C">
              <w:rPr>
                <w:rFonts w:ascii="Arial" w:hAnsi="Arial" w:cs="Arial"/>
                <w:lang w:val="es-CR" w:eastAsia="en-US"/>
              </w:rPr>
              <w:t xml:space="preserve">, para cumplir con las órdenes emitidas por </w:t>
            </w:r>
            <w:smartTag w:uri="urn:schemas-microsoft-com:office:smarttags" w:element="PersonName">
              <w:smartTagPr>
                <w:attr w:name="ProductID" w:val="la Sala Constitucional"/>
              </w:smartTagPr>
              <w:r w:rsidRPr="00C0260C">
                <w:rPr>
                  <w:rFonts w:ascii="Arial" w:hAnsi="Arial" w:cs="Arial"/>
                  <w:lang w:val="es-CR" w:eastAsia="en-US"/>
                </w:rPr>
                <w:t>la Sala Constitucional</w:t>
              </w:r>
            </w:smartTag>
            <w:r w:rsidRPr="00C0260C">
              <w:rPr>
                <w:rFonts w:ascii="Arial" w:hAnsi="Arial" w:cs="Arial"/>
                <w:lang w:val="es-CR" w:eastAsia="en-US"/>
              </w:rPr>
              <w:t xml:space="preserve">, en concordancia con lo dispuesto en los artículos 41 y 48 de </w:t>
            </w:r>
            <w:smartTag w:uri="urn:schemas-microsoft-com:office:smarttags" w:element="PersonName">
              <w:smartTagPr>
                <w:attr w:name="ProductID" w:val="la Constituci￳n Pol￭tica."/>
              </w:smartTagPr>
              <w:r w:rsidRPr="00C0260C">
                <w:rPr>
                  <w:rFonts w:ascii="Arial" w:hAnsi="Arial" w:cs="Arial"/>
                  <w:lang w:val="es-CR" w:eastAsia="en-US"/>
                </w:rPr>
                <w:t>la Constitución Política.</w:t>
              </w:r>
            </w:smartTag>
            <w:r w:rsidRPr="00C0260C">
              <w:rPr>
                <w:rFonts w:ascii="Arial" w:hAnsi="Arial" w:cs="Arial"/>
                <w:lang w:val="es-CR" w:eastAsia="en-US"/>
              </w:rPr>
              <w:t xml:space="preserve"> </w:t>
            </w:r>
          </w:p>
        </w:tc>
        <w:tc>
          <w:tcPr>
            <w:tcW w:w="707" w:type="dxa"/>
            <w:vAlign w:val="center"/>
          </w:tcPr>
          <w:p w14:paraId="370390DE" w14:textId="77777777" w:rsidR="0015196C" w:rsidRPr="00C0260C" w:rsidRDefault="0015196C" w:rsidP="007B3358">
            <w:pPr>
              <w:spacing w:line="360" w:lineRule="auto"/>
              <w:jc w:val="center"/>
              <w:rPr>
                <w:rFonts w:ascii="Arial" w:hAnsi="Arial" w:cs="Arial"/>
                <w:b/>
                <w:lang w:val="es-MX" w:eastAsia="en-US"/>
              </w:rPr>
            </w:pPr>
            <w:r>
              <w:rPr>
                <w:rFonts w:ascii="Arial" w:hAnsi="Arial" w:cs="Arial"/>
                <w:b/>
                <w:lang w:val="es-MX" w:eastAsia="en-US"/>
              </w:rPr>
              <w:t>X</w:t>
            </w:r>
          </w:p>
        </w:tc>
        <w:tc>
          <w:tcPr>
            <w:tcW w:w="709" w:type="dxa"/>
            <w:vAlign w:val="center"/>
          </w:tcPr>
          <w:p w14:paraId="1ED95C0F"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13AD62E6"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7DB7D4E9" w14:textId="377E7353" w:rsidR="0015196C" w:rsidRPr="00C0260C" w:rsidRDefault="00EB2B4F" w:rsidP="00EB2B4F">
            <w:pPr>
              <w:jc w:val="center"/>
              <w:rPr>
                <w:rFonts w:ascii="Arial" w:hAnsi="Arial" w:cs="Arial"/>
                <w:lang w:val="es-MX" w:eastAsia="en-US"/>
              </w:rPr>
            </w:pPr>
            <w:r w:rsidRPr="00EB2B4F">
              <w:rPr>
                <w:rFonts w:ascii="Arial" w:hAnsi="Arial" w:cs="Arial"/>
                <w:sz w:val="20"/>
                <w:lang w:val="es-MX" w:eastAsia="en-US"/>
              </w:rPr>
              <w:t>El monto incluido</w:t>
            </w:r>
            <w:r>
              <w:rPr>
                <w:rFonts w:ascii="Arial" w:hAnsi="Arial" w:cs="Arial"/>
                <w:sz w:val="20"/>
                <w:lang w:val="es-MX" w:eastAsia="en-US"/>
              </w:rPr>
              <w:t xml:space="preserve"> corresponde a previsiones presupuestarias. A la fecha no hay recibidas órdenes emitidas por la Sala Constitucional</w:t>
            </w:r>
            <w:r w:rsidRPr="00EB2B4F">
              <w:rPr>
                <w:rFonts w:ascii="Arial" w:hAnsi="Arial" w:cs="Arial"/>
                <w:sz w:val="20"/>
                <w:lang w:val="es-MX" w:eastAsia="en-US"/>
              </w:rPr>
              <w:t xml:space="preserve"> </w:t>
            </w:r>
          </w:p>
        </w:tc>
      </w:tr>
      <w:tr w:rsidR="0015196C" w:rsidRPr="00C0260C" w14:paraId="65988892" w14:textId="77777777" w:rsidTr="00EB2B4F">
        <w:tc>
          <w:tcPr>
            <w:tcW w:w="5954" w:type="dxa"/>
          </w:tcPr>
          <w:p w14:paraId="32DCD920"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r w:rsidRPr="00C0260C">
              <w:rPr>
                <w:rFonts w:ascii="Arial" w:hAnsi="Arial" w:cs="Arial"/>
                <w:lang w:val="es-CR" w:eastAsia="en-US"/>
              </w:rPr>
              <w:t>Se incluye el contenido presupuestario suficiente</w:t>
            </w:r>
            <w:r w:rsidRPr="00C0260C">
              <w:rPr>
                <w:rFonts w:ascii="Arial" w:hAnsi="Arial" w:cs="Arial"/>
                <w:vertAlign w:val="superscript"/>
                <w:lang w:val="es-CR" w:eastAsia="en-US"/>
              </w:rPr>
              <w:footnoteReference w:id="18"/>
            </w:r>
            <w:r w:rsidRPr="00C0260C">
              <w:rPr>
                <w:rFonts w:ascii="Arial" w:hAnsi="Arial" w:cs="Arial"/>
                <w:lang w:val="es-CR" w:eastAsia="en-US"/>
              </w:rPr>
              <w:t xml:space="preserve">, cuando ha vencido el plazo de tres meses para atender las obligaciones derivadas de resoluciones judiciales, </w:t>
            </w:r>
            <w:r w:rsidRPr="00CE44F5">
              <w:rPr>
                <w:rFonts w:ascii="Arial" w:hAnsi="Arial" w:cs="Arial"/>
                <w:lang w:val="es-CR" w:eastAsia="en-US"/>
              </w:rPr>
              <w:t xml:space="preserve">conforme con lo dispuesto en el artículo 78 de </w:t>
            </w:r>
            <w:smartTag w:uri="urn:schemas-microsoft-com:office:smarttags" w:element="PersonName">
              <w:smartTagPr>
                <w:attr w:name="ProductID" w:val="la Ley"/>
              </w:smartTagPr>
              <w:r w:rsidRPr="00CE44F5">
                <w:rPr>
                  <w:rFonts w:ascii="Arial" w:hAnsi="Arial" w:cs="Arial"/>
                  <w:lang w:val="es-CR" w:eastAsia="en-US"/>
                </w:rPr>
                <w:t>la Ley</w:t>
              </w:r>
            </w:smartTag>
            <w:r w:rsidRPr="00CE44F5">
              <w:rPr>
                <w:rFonts w:ascii="Arial" w:hAnsi="Arial" w:cs="Arial"/>
                <w:lang w:val="es-CR" w:eastAsia="en-US"/>
              </w:rPr>
              <w:t xml:space="preserve"> de </w:t>
            </w:r>
            <w:smartTag w:uri="urn:schemas-microsoft-com:office:smarttags" w:element="PersonName">
              <w:smartTagPr>
                <w:attr w:name="ProductID" w:val="la Jurisdicci￳n Contencioso Administrativa"/>
              </w:smartTagPr>
              <w:smartTag w:uri="urn:schemas-microsoft-com:office:smarttags" w:element="PersonName">
                <w:smartTagPr>
                  <w:attr w:name="ProductID" w:val="la Jurisdicci￳n Contencioso"/>
                </w:smartTagPr>
                <w:r w:rsidRPr="00CE44F5">
                  <w:rPr>
                    <w:rFonts w:ascii="Arial" w:hAnsi="Arial" w:cs="Arial"/>
                    <w:lang w:val="es-CR" w:eastAsia="en-US"/>
                  </w:rPr>
                  <w:t>la Jurisdicción Contencioso</w:t>
                </w:r>
              </w:smartTag>
              <w:r w:rsidRPr="00CE44F5">
                <w:rPr>
                  <w:rFonts w:ascii="Arial" w:hAnsi="Arial" w:cs="Arial"/>
                  <w:lang w:val="es-CR" w:eastAsia="en-US"/>
                </w:rPr>
                <w:t xml:space="preserve"> Administrativa</w:t>
              </w:r>
            </w:smartTag>
            <w:r w:rsidRPr="00CE44F5">
              <w:rPr>
                <w:rFonts w:ascii="Arial" w:hAnsi="Arial" w:cs="Arial"/>
                <w:lang w:val="es-CR" w:eastAsia="en-US"/>
              </w:rPr>
              <w:t xml:space="preserve"> Nº 3667</w:t>
            </w:r>
            <w:r w:rsidRPr="00CE44F5">
              <w:rPr>
                <w:rFonts w:ascii="Arial" w:hAnsi="Arial" w:cs="Arial"/>
                <w:vertAlign w:val="superscript"/>
                <w:lang w:val="es-CR" w:eastAsia="en-US"/>
              </w:rPr>
              <w:footnoteReference w:id="19"/>
            </w:r>
            <w:r w:rsidRPr="00CE44F5">
              <w:rPr>
                <w:rFonts w:ascii="Arial" w:hAnsi="Arial" w:cs="Arial"/>
                <w:bCs/>
                <w:lang w:eastAsia="en-US"/>
              </w:rPr>
              <w:t xml:space="preserve"> o acor</w:t>
            </w:r>
            <w:r w:rsidRPr="00C0260C">
              <w:rPr>
                <w:rFonts w:ascii="Arial" w:hAnsi="Arial" w:cs="Arial"/>
                <w:bCs/>
                <w:lang w:eastAsia="en-US"/>
              </w:rPr>
              <w:t>de con lo dispuesto en el artículo 168 inciso 2) del Código Procesal Contencioso Administrativo, Ley Nº 8508</w:t>
            </w:r>
            <w:r w:rsidRPr="00C0260C">
              <w:rPr>
                <w:rFonts w:ascii="Arial" w:hAnsi="Arial"/>
                <w:vertAlign w:val="superscript"/>
                <w:lang w:val="pt-PT" w:eastAsia="en-US"/>
              </w:rPr>
              <w:footnoteReference w:id="20"/>
            </w:r>
            <w:r w:rsidRPr="00C0260C">
              <w:rPr>
                <w:rFonts w:ascii="Arial" w:hAnsi="Arial" w:cs="Arial"/>
                <w:bCs/>
                <w:lang w:eastAsia="en-US"/>
              </w:rPr>
              <w:t>, según corresponda</w:t>
            </w:r>
            <w:r w:rsidRPr="00C0260C">
              <w:rPr>
                <w:rFonts w:ascii="Arial" w:hAnsi="Arial" w:cs="Arial"/>
                <w:lang w:val="es-CR" w:eastAsia="en-US"/>
              </w:rPr>
              <w:t>.</w:t>
            </w:r>
            <w:r>
              <w:rPr>
                <w:rFonts w:ascii="Arial" w:hAnsi="Arial" w:cs="Arial"/>
                <w:lang w:val="es-CR" w:eastAsia="en-US"/>
              </w:rPr>
              <w:t xml:space="preserve"> </w:t>
            </w:r>
          </w:p>
        </w:tc>
        <w:tc>
          <w:tcPr>
            <w:tcW w:w="707" w:type="dxa"/>
            <w:vAlign w:val="center"/>
          </w:tcPr>
          <w:p w14:paraId="5D827F7C" w14:textId="77777777" w:rsidR="0015196C" w:rsidRPr="00C0260C" w:rsidRDefault="0015196C" w:rsidP="007B3358">
            <w:pPr>
              <w:spacing w:line="360" w:lineRule="auto"/>
              <w:jc w:val="center"/>
              <w:rPr>
                <w:rFonts w:ascii="Arial" w:hAnsi="Arial" w:cs="Arial"/>
                <w:b/>
                <w:lang w:val="es-MX" w:eastAsia="en-US"/>
              </w:rPr>
            </w:pPr>
            <w:r>
              <w:rPr>
                <w:rFonts w:ascii="Arial" w:hAnsi="Arial" w:cs="Arial"/>
                <w:b/>
                <w:lang w:val="es-MX" w:eastAsia="en-US"/>
              </w:rPr>
              <w:t>X</w:t>
            </w:r>
          </w:p>
        </w:tc>
        <w:tc>
          <w:tcPr>
            <w:tcW w:w="709" w:type="dxa"/>
            <w:vAlign w:val="center"/>
          </w:tcPr>
          <w:p w14:paraId="7261903C"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23E745FC"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7A749582" w14:textId="1F9A8E0E" w:rsidR="0015196C" w:rsidRPr="00C0260C" w:rsidRDefault="00EB2B4F" w:rsidP="00EB2B4F">
            <w:pPr>
              <w:jc w:val="center"/>
              <w:rPr>
                <w:rFonts w:ascii="Arial" w:hAnsi="Arial" w:cs="Arial"/>
                <w:lang w:val="es-MX" w:eastAsia="en-US"/>
              </w:rPr>
            </w:pPr>
            <w:r w:rsidRPr="00EB2B4F">
              <w:rPr>
                <w:rFonts w:ascii="Arial" w:hAnsi="Arial" w:cs="Arial"/>
                <w:sz w:val="20"/>
                <w:lang w:val="es-MX" w:eastAsia="en-US"/>
              </w:rPr>
              <w:t>El monto incluido</w:t>
            </w:r>
            <w:r>
              <w:rPr>
                <w:rFonts w:ascii="Arial" w:hAnsi="Arial" w:cs="Arial"/>
                <w:sz w:val="20"/>
                <w:lang w:val="es-MX" w:eastAsia="en-US"/>
              </w:rPr>
              <w:t xml:space="preserve"> corresponde a previsiones presupuestarias. A la fecha no hay órdenes judiciales recibidas. </w:t>
            </w:r>
          </w:p>
        </w:tc>
      </w:tr>
      <w:tr w:rsidR="0015196C" w:rsidRPr="00C0260C" w14:paraId="1A91B5C3" w14:textId="77777777" w:rsidTr="00EB2B4F">
        <w:trPr>
          <w:trHeight w:val="821"/>
        </w:trPr>
        <w:tc>
          <w:tcPr>
            <w:tcW w:w="5954" w:type="dxa"/>
          </w:tcPr>
          <w:p w14:paraId="27BC3C0E"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r w:rsidRPr="00C0260C">
              <w:rPr>
                <w:rFonts w:ascii="Arial" w:hAnsi="Arial"/>
                <w:lang w:eastAsia="en-US"/>
              </w:rPr>
              <w:t xml:space="preserve">Se incluye el contenido presupuestario requerido para la transferencia al Fondo de Capitalización Laboral, conforme lo dispuesto en </w:t>
            </w:r>
            <w:smartTag w:uri="urn:schemas-microsoft-com:office:smarttags" w:element="PersonName">
              <w:smartTagPr>
                <w:attr w:name="ProductID" w:val="la Ley"/>
              </w:smartTagPr>
              <w:r w:rsidRPr="00C0260C">
                <w:rPr>
                  <w:rFonts w:ascii="Arial" w:hAnsi="Arial"/>
                  <w:lang w:eastAsia="en-US"/>
                </w:rPr>
                <w:t>la Ley</w:t>
              </w:r>
            </w:smartTag>
            <w:r w:rsidRPr="00C0260C">
              <w:rPr>
                <w:rFonts w:ascii="Arial" w:hAnsi="Arial"/>
                <w:lang w:eastAsia="en-US"/>
              </w:rPr>
              <w:t xml:space="preserve"> de Protección al Trabajador N° 7983.</w:t>
            </w:r>
          </w:p>
        </w:tc>
        <w:tc>
          <w:tcPr>
            <w:tcW w:w="707" w:type="dxa"/>
            <w:vAlign w:val="center"/>
          </w:tcPr>
          <w:p w14:paraId="7B58B7F4" w14:textId="77777777" w:rsidR="0015196C" w:rsidRPr="00C0260C" w:rsidRDefault="0015196C" w:rsidP="007B3358">
            <w:pPr>
              <w:spacing w:line="360" w:lineRule="auto"/>
              <w:jc w:val="center"/>
              <w:rPr>
                <w:rFonts w:ascii="Arial" w:hAnsi="Arial" w:cs="Arial"/>
                <w:lang w:val="es-MX" w:eastAsia="en-US"/>
              </w:rPr>
            </w:pPr>
            <w:r>
              <w:rPr>
                <w:rFonts w:ascii="Arial" w:hAnsi="Arial" w:cs="Arial"/>
                <w:lang w:val="es-MX" w:eastAsia="en-US"/>
              </w:rPr>
              <w:t>X</w:t>
            </w:r>
          </w:p>
        </w:tc>
        <w:tc>
          <w:tcPr>
            <w:tcW w:w="709" w:type="dxa"/>
            <w:vAlign w:val="center"/>
          </w:tcPr>
          <w:p w14:paraId="159607CD"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37B5F633"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5AB2DB3E" w14:textId="77777777" w:rsidR="0015196C" w:rsidRPr="00C0260C" w:rsidRDefault="0015196C" w:rsidP="007B3358">
            <w:pPr>
              <w:spacing w:line="360" w:lineRule="auto"/>
              <w:jc w:val="center"/>
              <w:rPr>
                <w:rFonts w:ascii="Arial" w:hAnsi="Arial" w:cs="Arial"/>
                <w:lang w:val="es-MX" w:eastAsia="en-US"/>
              </w:rPr>
            </w:pPr>
          </w:p>
        </w:tc>
      </w:tr>
      <w:tr w:rsidR="0015196C" w:rsidRPr="00C0260C" w14:paraId="53B22145" w14:textId="77777777" w:rsidTr="00EB2B4F">
        <w:trPr>
          <w:trHeight w:val="988"/>
        </w:trPr>
        <w:tc>
          <w:tcPr>
            <w:tcW w:w="5954" w:type="dxa"/>
          </w:tcPr>
          <w:p w14:paraId="62F6C451"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r w:rsidRPr="00C0260C">
              <w:rPr>
                <w:rFonts w:ascii="Arial" w:hAnsi="Arial" w:cs="Arial"/>
                <w:lang w:val="es-CR" w:eastAsia="en-US"/>
              </w:rPr>
              <w:t xml:space="preserve">La entidad está al día con el envío de la información a </w:t>
            </w:r>
            <w:smartTag w:uri="urn:schemas-microsoft-com:office:smarttags" w:element="PersonName">
              <w:smartTagPr>
                <w:attr w:name="ProductID" w:val="la Autoridad Presupuestaria"/>
              </w:smartTagPr>
              <w:r w:rsidRPr="00C0260C">
                <w:rPr>
                  <w:rFonts w:ascii="Arial" w:hAnsi="Arial" w:cs="Arial"/>
                  <w:lang w:val="es-CR" w:eastAsia="en-US"/>
                </w:rPr>
                <w:t>la Autoridad Presupuestaria</w:t>
              </w:r>
            </w:smartTag>
            <w:r w:rsidRPr="00C0260C">
              <w:rPr>
                <w:rFonts w:ascii="Arial" w:hAnsi="Arial" w:cs="Arial"/>
                <w:lang w:val="es-CR" w:eastAsia="en-US"/>
              </w:rPr>
              <w:t xml:space="preserve"> y al Banco Central de Costa Rica, cuando corresponda, según lo indicado </w:t>
            </w:r>
            <w:r w:rsidRPr="00C0260C">
              <w:rPr>
                <w:rFonts w:ascii="Arial" w:hAnsi="Arial" w:cs="Arial"/>
                <w:lang w:val="es-CR" w:eastAsia="en-US"/>
              </w:rPr>
              <w:lastRenderedPageBreak/>
              <w:t xml:space="preserve">en el artículo 36 de </w:t>
            </w:r>
            <w:smartTag w:uri="urn:schemas-microsoft-com:office:smarttags" w:element="PersonName">
              <w:smartTagPr>
                <w:attr w:name="ProductID" w:val="la Ley"/>
              </w:smartTagPr>
              <w:r w:rsidRPr="00C0260C">
                <w:rPr>
                  <w:rFonts w:ascii="Arial" w:hAnsi="Arial" w:cs="Arial"/>
                  <w:lang w:val="es-CR" w:eastAsia="en-US"/>
                </w:rPr>
                <w:t>la Ley</w:t>
              </w:r>
            </w:smartTag>
            <w:r w:rsidRPr="00C0260C">
              <w:rPr>
                <w:rFonts w:ascii="Arial" w:hAnsi="Arial" w:cs="Arial"/>
                <w:lang w:val="es-CR" w:eastAsia="en-US"/>
              </w:rPr>
              <w:t xml:space="preserve"> para el equilibrio financiero del sector público, Nº 6955</w:t>
            </w:r>
            <w:r w:rsidRPr="00C0260C">
              <w:rPr>
                <w:rFonts w:ascii="Arial" w:hAnsi="Arial"/>
                <w:bCs/>
                <w:sz w:val="22"/>
                <w:vertAlign w:val="superscript"/>
                <w:lang w:val="es-CR"/>
              </w:rPr>
              <w:footnoteReference w:id="21"/>
            </w:r>
            <w:r w:rsidRPr="00C0260C">
              <w:rPr>
                <w:rFonts w:ascii="Arial" w:hAnsi="Arial" w:cs="Arial"/>
                <w:lang w:val="es-CR" w:eastAsia="en-US"/>
              </w:rPr>
              <w:t xml:space="preserve">. </w:t>
            </w:r>
          </w:p>
        </w:tc>
        <w:tc>
          <w:tcPr>
            <w:tcW w:w="707" w:type="dxa"/>
            <w:vAlign w:val="center"/>
          </w:tcPr>
          <w:p w14:paraId="2FD64665" w14:textId="0748845C" w:rsidR="0015196C" w:rsidRPr="00C0260C" w:rsidRDefault="0015196C" w:rsidP="007B3358">
            <w:pPr>
              <w:spacing w:line="360" w:lineRule="auto"/>
              <w:jc w:val="center"/>
              <w:rPr>
                <w:rFonts w:ascii="Arial" w:hAnsi="Arial" w:cs="Arial"/>
                <w:b/>
                <w:lang w:val="es-MX" w:eastAsia="en-US"/>
              </w:rPr>
            </w:pPr>
          </w:p>
        </w:tc>
        <w:tc>
          <w:tcPr>
            <w:tcW w:w="709" w:type="dxa"/>
            <w:vAlign w:val="center"/>
          </w:tcPr>
          <w:p w14:paraId="4A576AE8"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16AD146F" w14:textId="040A712A" w:rsidR="0015196C" w:rsidRPr="00C0260C" w:rsidRDefault="00EB2B4F" w:rsidP="007B3358">
            <w:pPr>
              <w:spacing w:line="360" w:lineRule="auto"/>
              <w:jc w:val="center"/>
              <w:rPr>
                <w:rFonts w:ascii="Arial" w:hAnsi="Arial" w:cs="Arial"/>
                <w:lang w:val="es-MX" w:eastAsia="en-US"/>
              </w:rPr>
            </w:pPr>
            <w:r>
              <w:rPr>
                <w:rFonts w:ascii="Arial" w:hAnsi="Arial" w:cs="Arial"/>
                <w:lang w:val="es-MX" w:eastAsia="en-US"/>
              </w:rPr>
              <w:t>X</w:t>
            </w:r>
          </w:p>
        </w:tc>
        <w:tc>
          <w:tcPr>
            <w:tcW w:w="1910" w:type="dxa"/>
            <w:vAlign w:val="center"/>
          </w:tcPr>
          <w:p w14:paraId="08F5AB1D" w14:textId="616CCC14" w:rsidR="0015196C" w:rsidRPr="00EB2B4F" w:rsidRDefault="00EB2B4F" w:rsidP="00EB2B4F">
            <w:pPr>
              <w:jc w:val="center"/>
              <w:rPr>
                <w:rFonts w:ascii="Arial" w:hAnsi="Arial" w:cs="Arial"/>
                <w:sz w:val="20"/>
                <w:lang w:val="es-MX" w:eastAsia="en-US"/>
              </w:rPr>
            </w:pPr>
            <w:r>
              <w:rPr>
                <w:rFonts w:ascii="Arial" w:hAnsi="Arial" w:cs="Arial"/>
                <w:sz w:val="20"/>
                <w:lang w:val="es-MX" w:eastAsia="en-US"/>
              </w:rPr>
              <w:t xml:space="preserve">No aplica porque la SUPEN no está incluida entre las </w:t>
            </w:r>
            <w:r w:rsidRPr="00EB2B4F">
              <w:rPr>
                <w:rFonts w:ascii="Arial" w:hAnsi="Arial" w:cs="Arial"/>
                <w:sz w:val="20"/>
                <w:lang w:val="es-MX" w:eastAsia="en-US"/>
              </w:rPr>
              <w:t xml:space="preserve">instituciones públicas </w:t>
            </w:r>
            <w:r>
              <w:rPr>
                <w:rFonts w:ascii="Arial" w:hAnsi="Arial" w:cs="Arial"/>
                <w:sz w:val="20"/>
                <w:lang w:val="es-MX" w:eastAsia="en-US"/>
              </w:rPr>
              <w:t xml:space="preserve">que están </w:t>
            </w:r>
            <w:r w:rsidRPr="00EB2B4F">
              <w:rPr>
                <w:rFonts w:ascii="Arial" w:hAnsi="Arial" w:cs="Arial"/>
                <w:sz w:val="20"/>
                <w:lang w:val="es-MX" w:eastAsia="en-US"/>
              </w:rPr>
              <w:t xml:space="preserve">obligadas a enviar </w:t>
            </w:r>
            <w:r w:rsidRPr="00EB2B4F">
              <w:rPr>
                <w:rFonts w:ascii="Arial" w:hAnsi="Arial" w:cs="Arial"/>
                <w:sz w:val="20"/>
                <w:lang w:val="es-MX" w:eastAsia="en-US"/>
              </w:rPr>
              <w:lastRenderedPageBreak/>
              <w:t>a la Autoridad Presupuestaria y al Banco Central de Costa Rica, copia de los saldos conciliados de las cuentas, depósitos y reservas que mantengan en los bancos</w:t>
            </w:r>
            <w:r w:rsidR="00722C76">
              <w:rPr>
                <w:rFonts w:ascii="Arial" w:hAnsi="Arial" w:cs="Arial"/>
                <w:sz w:val="20"/>
                <w:lang w:val="es-MX" w:eastAsia="en-US"/>
              </w:rPr>
              <w:t>.</w:t>
            </w:r>
          </w:p>
        </w:tc>
      </w:tr>
      <w:bookmarkEnd w:id="410"/>
      <w:tr w:rsidR="0015196C" w:rsidRPr="00C0260C" w14:paraId="5A7D67BC" w14:textId="77777777" w:rsidTr="00EB2B4F">
        <w:trPr>
          <w:trHeight w:val="974"/>
        </w:trPr>
        <w:tc>
          <w:tcPr>
            <w:tcW w:w="5954" w:type="dxa"/>
          </w:tcPr>
          <w:p w14:paraId="73B33492" w14:textId="77777777" w:rsidR="0015196C" w:rsidRPr="00C0260C" w:rsidRDefault="0015196C" w:rsidP="0015196C">
            <w:pPr>
              <w:numPr>
                <w:ilvl w:val="0"/>
                <w:numId w:val="18"/>
              </w:numPr>
              <w:tabs>
                <w:tab w:val="left" w:pos="355"/>
              </w:tabs>
              <w:ind w:left="356" w:hanging="356"/>
              <w:jc w:val="both"/>
              <w:rPr>
                <w:rFonts w:ascii="Arial" w:hAnsi="Arial" w:cs="Arial"/>
                <w:lang w:val="es-CR" w:eastAsia="en-US"/>
              </w:rPr>
            </w:pPr>
            <w:r w:rsidRPr="00C0260C">
              <w:rPr>
                <w:rFonts w:ascii="Arial" w:hAnsi="Arial" w:cs="Arial"/>
                <w:lang w:val="es-CR" w:eastAsia="en-US"/>
              </w:rPr>
              <w:t>El documento presupuestario fue aprobado</w:t>
            </w:r>
            <w:r w:rsidRPr="00C0260C">
              <w:rPr>
                <w:rFonts w:ascii="Arial" w:hAnsi="Arial" w:cs="Arial"/>
                <w:vertAlign w:val="superscript"/>
                <w:lang w:val="es-CR" w:eastAsia="en-US"/>
              </w:rPr>
              <w:footnoteReference w:id="22"/>
            </w:r>
            <w:r w:rsidRPr="00C0260C">
              <w:rPr>
                <w:rFonts w:ascii="Arial" w:hAnsi="Arial" w:cs="Arial"/>
                <w:lang w:val="es-CR" w:eastAsia="en-US"/>
              </w:rPr>
              <w:t xml:space="preserve"> por la instancia interna competente</w:t>
            </w:r>
            <w:r w:rsidRPr="00C0260C">
              <w:rPr>
                <w:rFonts w:ascii="Arial" w:hAnsi="Arial" w:cs="Arial"/>
                <w:vertAlign w:val="superscript"/>
                <w:lang w:val="es-CR" w:eastAsia="en-US"/>
              </w:rPr>
              <w:footnoteReference w:id="23"/>
            </w:r>
            <w:r w:rsidRPr="00C0260C">
              <w:rPr>
                <w:rFonts w:ascii="Arial" w:hAnsi="Arial" w:cs="Arial"/>
                <w:lang w:val="es-CR" w:eastAsia="en-US"/>
              </w:rPr>
              <w:t xml:space="preserve">, conforme con lo establecido en </w:t>
            </w:r>
            <w:smartTag w:uri="urn:schemas-microsoft-com:office:smarttags" w:element="PersonName">
              <w:smartTagPr>
                <w:attr w:name="ProductID" w:val="la Ley General"/>
              </w:smartTagPr>
              <w:r w:rsidRPr="00C0260C">
                <w:rPr>
                  <w:rFonts w:ascii="Arial" w:hAnsi="Arial" w:cs="Arial"/>
                  <w:lang w:val="es-CR" w:eastAsia="en-US"/>
                </w:rPr>
                <w:t>la Ley General</w:t>
              </w:r>
            </w:smartTag>
            <w:r w:rsidRPr="00C0260C">
              <w:rPr>
                <w:rFonts w:ascii="Arial" w:hAnsi="Arial" w:cs="Arial"/>
                <w:lang w:val="es-CR" w:eastAsia="en-US"/>
              </w:rPr>
              <w:t xml:space="preserve"> de </w:t>
            </w:r>
            <w:smartTag w:uri="urn:schemas-microsoft-com:office:smarttags" w:element="PersonName">
              <w:smartTagPr>
                <w:attr w:name="ProductID" w:val="la Administraci￳n P￺blica"/>
              </w:smartTagPr>
              <w:r w:rsidRPr="00C0260C">
                <w:rPr>
                  <w:rFonts w:ascii="Arial" w:hAnsi="Arial" w:cs="Arial"/>
                  <w:lang w:val="es-CR" w:eastAsia="en-US"/>
                </w:rPr>
                <w:t>la Administración Pública</w:t>
              </w:r>
            </w:smartTag>
            <w:r w:rsidRPr="00C0260C">
              <w:rPr>
                <w:rFonts w:ascii="Arial" w:hAnsi="Arial" w:cs="Arial"/>
                <w:lang w:val="es-CR" w:eastAsia="en-US"/>
              </w:rPr>
              <w:t xml:space="preserve"> (LGAP), No 6227 (especialmente en los artículos 70 y 129 y siguientes).</w:t>
            </w:r>
          </w:p>
        </w:tc>
        <w:tc>
          <w:tcPr>
            <w:tcW w:w="707" w:type="dxa"/>
            <w:vAlign w:val="center"/>
          </w:tcPr>
          <w:p w14:paraId="3CF4C372" w14:textId="77777777" w:rsidR="0015196C" w:rsidRPr="00C0260C" w:rsidRDefault="0015196C" w:rsidP="007B3358">
            <w:pPr>
              <w:spacing w:line="360" w:lineRule="auto"/>
              <w:jc w:val="center"/>
              <w:rPr>
                <w:rFonts w:ascii="Arial" w:hAnsi="Arial" w:cs="Arial"/>
                <w:lang w:val="es-MX" w:eastAsia="en-US"/>
              </w:rPr>
            </w:pPr>
            <w:r>
              <w:rPr>
                <w:rFonts w:ascii="Arial" w:hAnsi="Arial" w:cs="Arial"/>
                <w:lang w:val="es-MX" w:eastAsia="en-US"/>
              </w:rPr>
              <w:t>X</w:t>
            </w:r>
          </w:p>
        </w:tc>
        <w:tc>
          <w:tcPr>
            <w:tcW w:w="709" w:type="dxa"/>
            <w:vAlign w:val="center"/>
          </w:tcPr>
          <w:p w14:paraId="14FAB061" w14:textId="77777777" w:rsidR="0015196C" w:rsidRPr="00C0260C" w:rsidRDefault="0015196C" w:rsidP="007B3358">
            <w:pPr>
              <w:spacing w:line="360" w:lineRule="auto"/>
              <w:jc w:val="center"/>
              <w:rPr>
                <w:rFonts w:ascii="Arial" w:hAnsi="Arial" w:cs="Arial"/>
                <w:lang w:val="es-MX" w:eastAsia="en-US"/>
              </w:rPr>
            </w:pPr>
          </w:p>
        </w:tc>
        <w:tc>
          <w:tcPr>
            <w:tcW w:w="852" w:type="dxa"/>
            <w:vAlign w:val="center"/>
          </w:tcPr>
          <w:p w14:paraId="704D230C" w14:textId="77777777" w:rsidR="0015196C" w:rsidRPr="00C0260C" w:rsidRDefault="0015196C" w:rsidP="007B3358">
            <w:pPr>
              <w:spacing w:line="360" w:lineRule="auto"/>
              <w:jc w:val="center"/>
              <w:rPr>
                <w:rFonts w:ascii="Arial" w:hAnsi="Arial" w:cs="Arial"/>
                <w:lang w:val="es-MX" w:eastAsia="en-US"/>
              </w:rPr>
            </w:pPr>
          </w:p>
        </w:tc>
        <w:tc>
          <w:tcPr>
            <w:tcW w:w="1910" w:type="dxa"/>
            <w:vAlign w:val="center"/>
          </w:tcPr>
          <w:p w14:paraId="5A466AD6" w14:textId="77777777" w:rsidR="0015196C" w:rsidRPr="00C0260C" w:rsidRDefault="0015196C" w:rsidP="007B3358">
            <w:pPr>
              <w:spacing w:line="360" w:lineRule="auto"/>
              <w:jc w:val="center"/>
              <w:rPr>
                <w:rFonts w:ascii="Arial" w:hAnsi="Arial" w:cs="Arial"/>
                <w:lang w:val="es-MX" w:eastAsia="en-US"/>
              </w:rPr>
            </w:pPr>
          </w:p>
        </w:tc>
      </w:tr>
    </w:tbl>
    <w:p w14:paraId="180188E4" w14:textId="77777777" w:rsidR="0015196C" w:rsidRPr="00C0260C" w:rsidRDefault="0015196C" w:rsidP="0015196C">
      <w:pPr>
        <w:tabs>
          <w:tab w:val="left" w:pos="426"/>
        </w:tabs>
        <w:ind w:left="567"/>
        <w:jc w:val="both"/>
        <w:rPr>
          <w:rFonts w:ascii="Arial" w:hAnsi="Arial"/>
          <w:b/>
          <w:sz w:val="22"/>
          <w:lang w:val="es-CR"/>
        </w:rPr>
      </w:pPr>
    </w:p>
    <w:p w14:paraId="0DED5465" w14:textId="77777777" w:rsidR="0015196C" w:rsidRPr="00C0260C" w:rsidRDefault="0015196C" w:rsidP="0015196C">
      <w:pPr>
        <w:tabs>
          <w:tab w:val="left" w:pos="5032"/>
          <w:tab w:val="left" w:pos="7003"/>
          <w:tab w:val="left" w:pos="7882"/>
          <w:tab w:val="left" w:pos="11236"/>
          <w:tab w:val="left" w:pos="14563"/>
        </w:tabs>
        <w:ind w:left="212"/>
        <w:rPr>
          <w:rFonts w:ascii="Arial" w:hAnsi="Arial" w:cs="Arial"/>
          <w:bCs/>
        </w:rPr>
      </w:pPr>
      <w:r w:rsidRPr="00C0260C">
        <w:rPr>
          <w:rFonts w:ascii="Arial" w:hAnsi="Arial" w:cs="Arial"/>
          <w:bCs/>
        </w:rPr>
        <w:tab/>
      </w:r>
    </w:p>
    <w:p w14:paraId="64CB57B1" w14:textId="77777777" w:rsidR="0015196C" w:rsidRPr="00271169" w:rsidRDefault="0015196C" w:rsidP="0015196C">
      <w:pPr>
        <w:jc w:val="both"/>
        <w:rPr>
          <w:rFonts w:ascii="Arial" w:hAnsi="Arial"/>
          <w:bCs/>
          <w:sz w:val="22"/>
          <w:lang w:val="es-CR" w:eastAsia="en-US"/>
        </w:rPr>
      </w:pPr>
      <w:r w:rsidRPr="00271169">
        <w:rPr>
          <w:rFonts w:ascii="Arial" w:hAnsi="Arial"/>
          <w:bCs/>
          <w:sz w:val="22"/>
          <w:lang w:val="es-CR" w:eastAsia="en-US"/>
        </w:rPr>
        <w:t>Esta certificación la realizo a las</w:t>
      </w:r>
      <w:r>
        <w:rPr>
          <w:rFonts w:ascii="Arial" w:hAnsi="Arial"/>
          <w:bCs/>
          <w:sz w:val="22"/>
          <w:lang w:val="es-CR" w:eastAsia="en-US"/>
        </w:rPr>
        <w:t xml:space="preserve"> once</w:t>
      </w:r>
      <w:r w:rsidRPr="00271169">
        <w:rPr>
          <w:rFonts w:ascii="Arial" w:hAnsi="Arial"/>
          <w:bCs/>
          <w:sz w:val="22"/>
          <w:lang w:val="es-CR" w:eastAsia="en-US"/>
        </w:rPr>
        <w:t xml:space="preserve"> horas del día </w:t>
      </w:r>
      <w:r>
        <w:rPr>
          <w:rFonts w:ascii="Arial" w:hAnsi="Arial"/>
          <w:bCs/>
          <w:sz w:val="22"/>
          <w:lang w:val="es-CR" w:eastAsia="en-US"/>
        </w:rPr>
        <w:t>23 del mes de setiembre del año 2016</w:t>
      </w:r>
      <w:r w:rsidRPr="00271169">
        <w:rPr>
          <w:rFonts w:ascii="Arial" w:hAnsi="Arial"/>
          <w:bCs/>
          <w:sz w:val="22"/>
          <w:lang w:val="es-CR" w:eastAsia="en-US"/>
        </w:rPr>
        <w:t>.</w:t>
      </w:r>
    </w:p>
    <w:p w14:paraId="67F0198F" w14:textId="77777777" w:rsidR="0015196C" w:rsidRDefault="0015196C" w:rsidP="0015196C">
      <w:pPr>
        <w:ind w:firstLine="426"/>
        <w:jc w:val="center"/>
        <w:rPr>
          <w:rFonts w:ascii="Arial" w:hAnsi="Arial"/>
          <w:b/>
          <w:bCs/>
          <w:sz w:val="22"/>
          <w:lang w:val="es-CR" w:eastAsia="en-US"/>
        </w:rPr>
      </w:pPr>
    </w:p>
    <w:p w14:paraId="0111713F" w14:textId="77777777" w:rsidR="0015196C" w:rsidRDefault="0015196C" w:rsidP="0015196C">
      <w:pPr>
        <w:ind w:firstLine="426"/>
        <w:jc w:val="center"/>
        <w:rPr>
          <w:rFonts w:ascii="Arial" w:hAnsi="Arial"/>
          <w:b/>
          <w:bCs/>
          <w:sz w:val="22"/>
          <w:lang w:val="es-CR" w:eastAsia="en-US"/>
        </w:rPr>
      </w:pPr>
    </w:p>
    <w:p w14:paraId="15323FC0" w14:textId="77777777" w:rsidR="0015196C" w:rsidRDefault="0015196C" w:rsidP="0015196C">
      <w:pPr>
        <w:ind w:firstLine="426"/>
        <w:jc w:val="center"/>
        <w:rPr>
          <w:rFonts w:ascii="Arial" w:hAnsi="Arial"/>
          <w:b/>
          <w:bCs/>
          <w:sz w:val="22"/>
          <w:lang w:val="es-CR" w:eastAsia="en-US"/>
        </w:rPr>
      </w:pPr>
    </w:p>
    <w:p w14:paraId="43C475A1" w14:textId="77777777" w:rsidR="0015196C" w:rsidRDefault="0015196C" w:rsidP="0015196C">
      <w:pPr>
        <w:ind w:firstLine="426"/>
        <w:jc w:val="center"/>
        <w:rPr>
          <w:rFonts w:ascii="Arial" w:hAnsi="Arial"/>
          <w:b/>
          <w:bCs/>
          <w:sz w:val="22"/>
          <w:lang w:val="es-CR" w:eastAsia="en-US"/>
        </w:rPr>
      </w:pPr>
    </w:p>
    <w:p w14:paraId="62E16E66" w14:textId="77777777" w:rsidR="0015196C" w:rsidRDefault="0015196C" w:rsidP="0015196C">
      <w:pPr>
        <w:ind w:left="2552" w:hanging="142"/>
        <w:rPr>
          <w:b/>
          <w:bCs/>
          <w:sz w:val="22"/>
          <w:lang w:val="es-MX"/>
        </w:rPr>
      </w:pPr>
      <w:r>
        <w:rPr>
          <w:b/>
          <w:bCs/>
          <w:sz w:val="22"/>
          <w:lang w:val="es-MX"/>
        </w:rPr>
        <w:t>Firma _______________________________</w:t>
      </w:r>
    </w:p>
    <w:p w14:paraId="7D553D88" w14:textId="77777777" w:rsidR="0015196C" w:rsidRDefault="0015196C" w:rsidP="0015196C">
      <w:pPr>
        <w:ind w:left="2552" w:hanging="142"/>
        <w:rPr>
          <w:b/>
          <w:bCs/>
          <w:sz w:val="22"/>
          <w:lang w:val="es-MX"/>
        </w:rPr>
      </w:pPr>
      <w:r>
        <w:rPr>
          <w:b/>
          <w:bCs/>
          <w:sz w:val="22"/>
          <w:lang w:val="es-MX"/>
        </w:rPr>
        <w:t>Nombre:</w:t>
      </w:r>
      <w:r>
        <w:rPr>
          <w:b/>
          <w:bCs/>
          <w:sz w:val="22"/>
          <w:lang w:val="es-MX"/>
        </w:rPr>
        <w:tab/>
        <w:t xml:space="preserve">Álvaro Ramos Chaves                               </w:t>
      </w:r>
    </w:p>
    <w:p w14:paraId="4A267B9F" w14:textId="77777777" w:rsidR="0015196C" w:rsidRPr="001B0844" w:rsidRDefault="0015196C" w:rsidP="0015196C">
      <w:pPr>
        <w:ind w:left="2552" w:hanging="142"/>
        <w:rPr>
          <w:b/>
          <w:bCs/>
          <w:sz w:val="22"/>
          <w:lang w:val="es-MX"/>
        </w:rPr>
      </w:pPr>
      <w:r>
        <w:rPr>
          <w:b/>
          <w:bCs/>
          <w:sz w:val="22"/>
          <w:lang w:val="es-MX"/>
        </w:rPr>
        <w:t>Puesto:</w:t>
      </w:r>
      <w:r>
        <w:rPr>
          <w:b/>
          <w:bCs/>
          <w:sz w:val="22"/>
          <w:lang w:val="es-MX"/>
        </w:rPr>
        <w:tab/>
        <w:t>Superintendente de Pensiones</w:t>
      </w:r>
    </w:p>
    <w:p w14:paraId="05969E12" w14:textId="77777777" w:rsidR="00BC6DE0" w:rsidRDefault="00BC6DE0" w:rsidP="00BC6DE0">
      <w:pPr>
        <w:rPr>
          <w:lang w:val="es-MX"/>
        </w:rPr>
      </w:pPr>
    </w:p>
    <w:p w14:paraId="5F0E912B" w14:textId="49AF1D48" w:rsidR="001C438E" w:rsidRDefault="001C438E">
      <w:pPr>
        <w:rPr>
          <w:lang w:val="es-MX"/>
        </w:rPr>
      </w:pPr>
      <w:r>
        <w:rPr>
          <w:lang w:val="es-MX"/>
        </w:rPr>
        <w:br w:type="page"/>
      </w:r>
    </w:p>
    <w:p w14:paraId="52B8EA92" w14:textId="77777777" w:rsidR="00813AC2" w:rsidRDefault="00813AC2">
      <w:pPr>
        <w:rPr>
          <w:lang w:val="es-MX"/>
        </w:rPr>
      </w:pPr>
    </w:p>
    <w:p w14:paraId="3284024E" w14:textId="782BA9EA" w:rsidR="00912D0F" w:rsidRDefault="001C438E" w:rsidP="00975D90">
      <w:pPr>
        <w:rPr>
          <w:lang w:val="es-MX"/>
        </w:rPr>
      </w:pPr>
      <w:r>
        <w:rPr>
          <w:noProof/>
        </w:rPr>
        <w:drawing>
          <wp:inline distT="0" distB="0" distL="0" distR="0" wp14:anchorId="21BD3B38" wp14:editId="4E44B2A3">
            <wp:extent cx="5647334" cy="7363587"/>
            <wp:effectExtent l="0" t="0" r="0" b="8890"/>
            <wp:docPr id="80475" name="Imagen 8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5" name="Guía.jpg"/>
                    <pic:cNvPicPr/>
                  </pic:nvPicPr>
                  <pic:blipFill>
                    <a:blip r:embed="rId115">
                      <a:extLst>
                        <a:ext uri="{28A0092B-C50C-407E-A947-70E740481C1C}">
                          <a14:useLocalDpi xmlns:a14="http://schemas.microsoft.com/office/drawing/2010/main" val="0"/>
                        </a:ext>
                      </a:extLst>
                    </a:blip>
                    <a:stretch>
                      <a:fillRect/>
                    </a:stretch>
                  </pic:blipFill>
                  <pic:spPr>
                    <a:xfrm>
                      <a:off x="0" y="0"/>
                      <a:ext cx="5658580" cy="7378250"/>
                    </a:xfrm>
                    <a:prstGeom prst="rect">
                      <a:avLst/>
                    </a:prstGeom>
                  </pic:spPr>
                </pic:pic>
              </a:graphicData>
            </a:graphic>
          </wp:inline>
        </w:drawing>
      </w:r>
    </w:p>
    <w:p w14:paraId="19DF0147" w14:textId="77777777" w:rsidR="00975D90" w:rsidRDefault="00975D90" w:rsidP="00975D90">
      <w:pPr>
        <w:rPr>
          <w:lang w:val="es-MX"/>
        </w:rPr>
      </w:pPr>
    </w:p>
    <w:p w14:paraId="240B3CEE" w14:textId="77777777" w:rsidR="003506F2" w:rsidRDefault="003506F2">
      <w:pPr>
        <w:rPr>
          <w:lang w:val="es-MX"/>
        </w:rPr>
        <w:sectPr w:rsidR="003506F2" w:rsidSect="00912D0F">
          <w:pgSz w:w="12242" w:h="15842" w:code="1"/>
          <w:pgMar w:top="1418" w:right="1701" w:bottom="1418" w:left="1701" w:header="709" w:footer="709" w:gutter="0"/>
          <w:cols w:space="708"/>
          <w:docGrid w:linePitch="360"/>
        </w:sectPr>
      </w:pPr>
    </w:p>
    <w:p w14:paraId="5BCC514C" w14:textId="2ED0CBEC" w:rsidR="00D97F28" w:rsidRPr="004A2776" w:rsidRDefault="00D97F28" w:rsidP="00433D2C">
      <w:pPr>
        <w:pStyle w:val="NormalWeb"/>
        <w:tabs>
          <w:tab w:val="left" w:pos="567"/>
        </w:tabs>
        <w:ind w:left="567" w:hanging="567"/>
        <w:outlineLvl w:val="0"/>
        <w:rPr>
          <w:rFonts w:asciiTheme="majorHAnsi" w:hAnsiTheme="majorHAnsi" w:cs="Tahoma"/>
          <w:b/>
          <w:bCs/>
          <w:smallCaps/>
          <w:sz w:val="28"/>
          <w:u w:val="single"/>
        </w:rPr>
      </w:pPr>
      <w:bookmarkStart w:id="411" w:name="_Toc429563293"/>
      <w:r>
        <w:rPr>
          <w:rFonts w:asciiTheme="majorHAnsi" w:hAnsiTheme="majorHAnsi" w:cs="Tahoma"/>
          <w:b/>
          <w:bCs/>
          <w:smallCaps/>
          <w:sz w:val="28"/>
          <w:u w:val="single"/>
        </w:rPr>
        <w:lastRenderedPageBreak/>
        <w:t xml:space="preserve">14. </w:t>
      </w:r>
      <w:r>
        <w:rPr>
          <w:rFonts w:asciiTheme="majorHAnsi" w:hAnsiTheme="majorHAnsi" w:cs="Tahoma"/>
          <w:b/>
          <w:bCs/>
          <w:smallCaps/>
          <w:sz w:val="28"/>
          <w:u w:val="single"/>
        </w:rPr>
        <w:tab/>
      </w:r>
      <w:r w:rsidRPr="00D97F28">
        <w:rPr>
          <w:rFonts w:asciiTheme="majorHAnsi" w:hAnsiTheme="majorHAnsi" w:cs="Tahoma"/>
          <w:b/>
          <w:bCs/>
          <w:smallCaps/>
          <w:sz w:val="28"/>
          <w:u w:val="single"/>
        </w:rPr>
        <w:t>Informe Técnico del Proceso de Formulación de Salarios 201</w:t>
      </w:r>
      <w:r w:rsidR="00433D2C">
        <w:rPr>
          <w:rFonts w:asciiTheme="majorHAnsi" w:hAnsiTheme="majorHAnsi" w:cs="Tahoma"/>
          <w:b/>
          <w:bCs/>
          <w:smallCaps/>
          <w:sz w:val="28"/>
          <w:u w:val="single"/>
        </w:rPr>
        <w:t>7</w:t>
      </w:r>
      <w:r w:rsidRPr="00D97F28">
        <w:rPr>
          <w:rFonts w:asciiTheme="majorHAnsi" w:hAnsiTheme="majorHAnsi" w:cs="Tahoma"/>
          <w:b/>
          <w:bCs/>
          <w:smallCaps/>
          <w:sz w:val="28"/>
          <w:u w:val="single"/>
        </w:rPr>
        <w:t xml:space="preserve"> de BCCR y ODM</w:t>
      </w:r>
      <w:bookmarkEnd w:id="411"/>
    </w:p>
    <w:p w14:paraId="13A5BF1D" w14:textId="77777777" w:rsidR="003506F2" w:rsidRPr="005D4CB6" w:rsidRDefault="003506F2" w:rsidP="00813AC2">
      <w:pPr>
        <w:rPr>
          <w:sz w:val="22"/>
          <w:lang w:eastAsia="es-ES_tradnl"/>
        </w:rPr>
      </w:pPr>
    </w:p>
    <w:p w14:paraId="23E8343B" w14:textId="77777777" w:rsidR="005D4CB6" w:rsidRPr="005D4CB6" w:rsidRDefault="005D4CB6" w:rsidP="005D4CB6">
      <w:pPr>
        <w:spacing w:line="276" w:lineRule="auto"/>
        <w:ind w:firstLine="720"/>
        <w:jc w:val="center"/>
        <w:rPr>
          <w:rFonts w:ascii="Book Antiqua" w:hAnsi="Book Antiqua"/>
          <w:b/>
          <w:sz w:val="22"/>
        </w:rPr>
      </w:pPr>
      <w:r w:rsidRPr="005D4CB6">
        <w:rPr>
          <w:rFonts w:ascii="Book Antiqua" w:hAnsi="Book Antiqua"/>
          <w:b/>
          <w:sz w:val="22"/>
        </w:rPr>
        <w:t>Informe Técnico del Proceso de Formulación de Salarios 2017, BCCR y ODM</w:t>
      </w:r>
    </w:p>
    <w:p w14:paraId="154417FE" w14:textId="77777777" w:rsidR="005D4CB6" w:rsidRPr="005D4CB6" w:rsidRDefault="005D4CB6" w:rsidP="005D4CB6">
      <w:pPr>
        <w:spacing w:before="120" w:line="276" w:lineRule="auto"/>
        <w:rPr>
          <w:rFonts w:ascii="Book Antiqua" w:hAnsi="Book Antiqua"/>
          <w:b/>
          <w:i/>
          <w:color w:val="800000"/>
          <w:sz w:val="22"/>
        </w:rPr>
      </w:pPr>
      <w:r w:rsidRPr="005D4CB6">
        <w:rPr>
          <w:rFonts w:ascii="Book Antiqua" w:hAnsi="Book Antiqua"/>
          <w:b/>
          <w:i/>
          <w:color w:val="800000"/>
          <w:sz w:val="22"/>
        </w:rPr>
        <w:t>Introducción</w:t>
      </w:r>
    </w:p>
    <w:p w14:paraId="70593380"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El presente informe tiene como objetivo analizar las variaciones que se observan de comparar los presupuestos de salarios formulados para el 2017 y 2016, así como exponer la metodología seguida en el proceso de formulación de los salarios del 2017, análisis que incluye a todas las dependencias de BCCR y ODM, referido a las partidas salariales ordinarias únicamente.</w:t>
      </w:r>
    </w:p>
    <w:p w14:paraId="5AF20569"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 xml:space="preserve">Como punto de partida, es importante señalar que el presupuesto salarial del año 2017 fue formulado tomando como base los parámetros de presupuesto 2017 definidos por la Junta Directiva en el artículo 4 del acta de la sesión 5723-2016, celebrada el 24 de mayo del 2016, que entre ellos estableció como tope de crecimiento final para la partida de Remuneraciones entre 2016 y 2015 un </w:t>
      </w:r>
      <w:r w:rsidRPr="005D4CB6">
        <w:rPr>
          <w:rFonts w:ascii="Book Antiqua" w:hAnsi="Book Antiqua"/>
          <w:b/>
          <w:sz w:val="22"/>
        </w:rPr>
        <w:t>3%,</w:t>
      </w:r>
      <w:r w:rsidRPr="005D4CB6">
        <w:rPr>
          <w:rFonts w:ascii="Book Antiqua" w:hAnsi="Book Antiqua"/>
          <w:sz w:val="22"/>
        </w:rPr>
        <w:t xml:space="preserve"> incremento que a la vez se concibe como “provisión” para cubrir los posibles aumentos salariales que se autoricen por la Junta Directiva durante el año 2017.</w:t>
      </w:r>
    </w:p>
    <w:p w14:paraId="06C51C8E" w14:textId="77777777" w:rsidR="005D4CB6" w:rsidRPr="005D4CB6" w:rsidRDefault="005D4CB6" w:rsidP="005D4CB6">
      <w:pPr>
        <w:spacing w:before="120" w:line="276" w:lineRule="auto"/>
        <w:rPr>
          <w:rFonts w:ascii="Book Antiqua" w:hAnsi="Book Antiqua"/>
          <w:b/>
          <w:i/>
          <w:color w:val="800000"/>
          <w:sz w:val="22"/>
        </w:rPr>
      </w:pPr>
      <w:r w:rsidRPr="005D4CB6">
        <w:rPr>
          <w:rFonts w:ascii="Book Antiqua" w:hAnsi="Book Antiqua"/>
          <w:b/>
          <w:i/>
          <w:color w:val="800000"/>
          <w:sz w:val="22"/>
        </w:rPr>
        <w:t>Composición del presupuesto de salarios</w:t>
      </w:r>
    </w:p>
    <w:p w14:paraId="52E5220A"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El siguiente cuadro presenta en forma comparativa la composición porcentual de las partidas salariales que conforman el presupuesto de salarios formulado para los años 2017 y 2016, donde se observa que entre un año y otro las variaciones son muy leves; siendo el salario básico la partida que más disminuye su participación.</w:t>
      </w:r>
    </w:p>
    <w:p w14:paraId="0E4D5C17" w14:textId="77777777" w:rsidR="005D4CB6" w:rsidRPr="005D4CB6" w:rsidRDefault="005D4CB6" w:rsidP="005D4CB6">
      <w:pPr>
        <w:spacing w:line="276" w:lineRule="auto"/>
        <w:jc w:val="both"/>
        <w:rPr>
          <w:rFonts w:ascii="Book Antiqua" w:hAnsi="Book Antiqua"/>
          <w:sz w:val="22"/>
        </w:rPr>
      </w:pPr>
    </w:p>
    <w:p w14:paraId="48D28E76" w14:textId="77777777" w:rsidR="005D4CB6" w:rsidRPr="005D4CB6" w:rsidRDefault="005D4CB6" w:rsidP="005D4CB6">
      <w:pPr>
        <w:spacing w:line="276" w:lineRule="auto"/>
        <w:jc w:val="center"/>
        <w:rPr>
          <w:rFonts w:ascii="Book Antiqua" w:hAnsi="Book Antiqua"/>
          <w:b/>
          <w:sz w:val="20"/>
        </w:rPr>
      </w:pPr>
      <w:r w:rsidRPr="005D4CB6">
        <w:rPr>
          <w:rFonts w:ascii="Book Antiqua" w:hAnsi="Book Antiqua"/>
          <w:b/>
          <w:sz w:val="20"/>
        </w:rPr>
        <w:t>Distribución Porcentual del Presupuesto de Salarios, según Partida</w:t>
      </w:r>
    </w:p>
    <w:p w14:paraId="50B00FDF" w14:textId="77777777" w:rsidR="005D4CB6" w:rsidRPr="005D4CB6" w:rsidRDefault="005D4CB6" w:rsidP="005D4CB6">
      <w:pPr>
        <w:spacing w:line="276" w:lineRule="auto"/>
        <w:jc w:val="center"/>
        <w:rPr>
          <w:rFonts w:ascii="Book Antiqua" w:hAnsi="Book Antiqua"/>
          <w:b/>
          <w:sz w:val="20"/>
        </w:rPr>
      </w:pPr>
      <w:r w:rsidRPr="005D4CB6">
        <w:rPr>
          <w:rFonts w:ascii="Book Antiqua" w:hAnsi="Book Antiqua"/>
          <w:b/>
          <w:sz w:val="20"/>
        </w:rPr>
        <w:t>Anual, Período 2016-2017</w:t>
      </w:r>
    </w:p>
    <w:tbl>
      <w:tblPr>
        <w:tblW w:w="6531" w:type="dxa"/>
        <w:jc w:val="center"/>
        <w:tblLook w:val="0000" w:firstRow="0" w:lastRow="0" w:firstColumn="0" w:lastColumn="0" w:noHBand="0" w:noVBand="0"/>
      </w:tblPr>
      <w:tblGrid>
        <w:gridCol w:w="2930"/>
        <w:gridCol w:w="1090"/>
        <w:gridCol w:w="1130"/>
        <w:gridCol w:w="1381"/>
      </w:tblGrid>
      <w:tr w:rsidR="005D4CB6" w:rsidRPr="005D4CB6" w14:paraId="3FC434FD" w14:textId="77777777" w:rsidTr="005D4CB6">
        <w:trPr>
          <w:trHeight w:val="315"/>
          <w:jc w:val="center"/>
        </w:trPr>
        <w:tc>
          <w:tcPr>
            <w:tcW w:w="2930" w:type="dxa"/>
            <w:vMerge w:val="restart"/>
            <w:tcBorders>
              <w:top w:val="double" w:sz="6" w:space="0" w:color="0000FF"/>
              <w:left w:val="nil"/>
              <w:bottom w:val="single" w:sz="8" w:space="0" w:color="0000FF"/>
              <w:right w:val="single" w:sz="4" w:space="0" w:color="0000FF"/>
            </w:tcBorders>
            <w:shd w:val="clear" w:color="auto" w:fill="auto"/>
            <w:noWrap/>
            <w:vAlign w:val="center"/>
          </w:tcPr>
          <w:p w14:paraId="0D5DB109" w14:textId="77777777" w:rsidR="005D4CB6" w:rsidRPr="005D4CB6" w:rsidRDefault="005D4CB6" w:rsidP="005D4CB6">
            <w:pPr>
              <w:spacing w:line="276" w:lineRule="auto"/>
              <w:jc w:val="center"/>
              <w:rPr>
                <w:rFonts w:ascii="Book Antiqua" w:hAnsi="Book Antiqua"/>
                <w:b/>
                <w:bCs/>
                <w:sz w:val="20"/>
              </w:rPr>
            </w:pPr>
            <w:r w:rsidRPr="005D4CB6">
              <w:rPr>
                <w:rFonts w:ascii="Book Antiqua" w:hAnsi="Book Antiqua"/>
                <w:b/>
                <w:bCs/>
                <w:sz w:val="20"/>
              </w:rPr>
              <w:t>Partida</w:t>
            </w:r>
          </w:p>
        </w:tc>
        <w:tc>
          <w:tcPr>
            <w:tcW w:w="3601" w:type="dxa"/>
            <w:gridSpan w:val="3"/>
            <w:tcBorders>
              <w:top w:val="double" w:sz="6" w:space="0" w:color="0000FF"/>
              <w:left w:val="nil"/>
              <w:bottom w:val="single" w:sz="4" w:space="0" w:color="0000FF"/>
              <w:right w:val="nil"/>
            </w:tcBorders>
          </w:tcPr>
          <w:p w14:paraId="5E5D63A2" w14:textId="77777777" w:rsidR="005D4CB6" w:rsidRPr="005D4CB6" w:rsidRDefault="005D4CB6" w:rsidP="005D4CB6">
            <w:pPr>
              <w:spacing w:line="276" w:lineRule="auto"/>
              <w:jc w:val="center"/>
              <w:rPr>
                <w:rFonts w:ascii="Book Antiqua" w:hAnsi="Book Antiqua"/>
                <w:b/>
                <w:bCs/>
                <w:sz w:val="20"/>
              </w:rPr>
            </w:pPr>
            <w:r w:rsidRPr="005D4CB6">
              <w:rPr>
                <w:rFonts w:ascii="Book Antiqua" w:hAnsi="Book Antiqua"/>
                <w:b/>
                <w:bCs/>
                <w:sz w:val="20"/>
              </w:rPr>
              <w:t>Distribución porcentual</w:t>
            </w:r>
          </w:p>
        </w:tc>
      </w:tr>
      <w:tr w:rsidR="005D4CB6" w:rsidRPr="005D4CB6" w14:paraId="06CA104A" w14:textId="77777777" w:rsidTr="005D4CB6">
        <w:trPr>
          <w:trHeight w:val="315"/>
          <w:jc w:val="center"/>
        </w:trPr>
        <w:tc>
          <w:tcPr>
            <w:tcW w:w="2930" w:type="dxa"/>
            <w:vMerge/>
            <w:tcBorders>
              <w:top w:val="double" w:sz="6" w:space="0" w:color="0000FF"/>
              <w:left w:val="nil"/>
              <w:bottom w:val="single" w:sz="8" w:space="0" w:color="0000FF"/>
              <w:right w:val="single" w:sz="4" w:space="0" w:color="0000FF"/>
            </w:tcBorders>
            <w:vAlign w:val="center"/>
          </w:tcPr>
          <w:p w14:paraId="6531A067" w14:textId="77777777" w:rsidR="005D4CB6" w:rsidRPr="005D4CB6" w:rsidRDefault="005D4CB6" w:rsidP="005D4CB6">
            <w:pPr>
              <w:spacing w:line="276" w:lineRule="auto"/>
              <w:rPr>
                <w:rFonts w:ascii="Book Antiqua" w:hAnsi="Book Antiqua"/>
                <w:b/>
                <w:bCs/>
                <w:sz w:val="20"/>
              </w:rPr>
            </w:pPr>
          </w:p>
        </w:tc>
        <w:tc>
          <w:tcPr>
            <w:tcW w:w="1090" w:type="dxa"/>
            <w:tcBorders>
              <w:top w:val="nil"/>
              <w:left w:val="nil"/>
              <w:bottom w:val="single" w:sz="8" w:space="0" w:color="0000FF"/>
              <w:right w:val="nil"/>
            </w:tcBorders>
            <w:vAlign w:val="bottom"/>
          </w:tcPr>
          <w:p w14:paraId="3BE38F19" w14:textId="77777777" w:rsidR="005D4CB6" w:rsidRPr="005D4CB6" w:rsidRDefault="005D4CB6" w:rsidP="005D4CB6">
            <w:pPr>
              <w:spacing w:line="276" w:lineRule="auto"/>
              <w:jc w:val="center"/>
              <w:rPr>
                <w:rFonts w:ascii="Book Antiqua" w:hAnsi="Book Antiqua"/>
                <w:b/>
                <w:bCs/>
                <w:sz w:val="20"/>
              </w:rPr>
            </w:pPr>
            <w:r w:rsidRPr="005D4CB6">
              <w:rPr>
                <w:rFonts w:ascii="Book Antiqua" w:hAnsi="Book Antiqua"/>
                <w:b/>
                <w:bCs/>
                <w:sz w:val="20"/>
              </w:rPr>
              <w:t>2016</w:t>
            </w:r>
          </w:p>
        </w:tc>
        <w:tc>
          <w:tcPr>
            <w:tcW w:w="1130" w:type="dxa"/>
            <w:tcBorders>
              <w:top w:val="nil"/>
              <w:left w:val="nil"/>
              <w:bottom w:val="single" w:sz="8" w:space="0" w:color="0000FF"/>
              <w:right w:val="nil"/>
            </w:tcBorders>
            <w:shd w:val="clear" w:color="auto" w:fill="auto"/>
            <w:noWrap/>
            <w:vAlign w:val="bottom"/>
          </w:tcPr>
          <w:p w14:paraId="23F57957" w14:textId="77777777" w:rsidR="005D4CB6" w:rsidRPr="005D4CB6" w:rsidRDefault="005D4CB6" w:rsidP="005D4CB6">
            <w:pPr>
              <w:spacing w:line="276" w:lineRule="auto"/>
              <w:jc w:val="center"/>
              <w:rPr>
                <w:rFonts w:ascii="Book Antiqua" w:hAnsi="Book Antiqua"/>
                <w:b/>
                <w:bCs/>
                <w:sz w:val="20"/>
              </w:rPr>
            </w:pPr>
            <w:r w:rsidRPr="005D4CB6">
              <w:rPr>
                <w:rFonts w:ascii="Book Antiqua" w:hAnsi="Book Antiqua"/>
                <w:b/>
                <w:bCs/>
                <w:sz w:val="20"/>
              </w:rPr>
              <w:t>2017</w:t>
            </w:r>
          </w:p>
        </w:tc>
        <w:tc>
          <w:tcPr>
            <w:tcW w:w="1381" w:type="dxa"/>
            <w:tcBorders>
              <w:top w:val="nil"/>
              <w:left w:val="nil"/>
              <w:bottom w:val="single" w:sz="8" w:space="0" w:color="0000FF"/>
              <w:right w:val="nil"/>
            </w:tcBorders>
            <w:shd w:val="clear" w:color="auto" w:fill="auto"/>
            <w:noWrap/>
            <w:vAlign w:val="bottom"/>
          </w:tcPr>
          <w:p w14:paraId="1B3CCE7B" w14:textId="77777777" w:rsidR="005D4CB6" w:rsidRPr="005D4CB6" w:rsidRDefault="005D4CB6" w:rsidP="005D4CB6">
            <w:pPr>
              <w:spacing w:line="276" w:lineRule="auto"/>
              <w:jc w:val="center"/>
              <w:rPr>
                <w:rFonts w:ascii="Book Antiqua" w:hAnsi="Book Antiqua"/>
                <w:b/>
                <w:bCs/>
                <w:sz w:val="20"/>
              </w:rPr>
            </w:pPr>
            <w:r w:rsidRPr="005D4CB6">
              <w:rPr>
                <w:rFonts w:ascii="Book Antiqua" w:hAnsi="Book Antiqua"/>
                <w:b/>
                <w:bCs/>
                <w:sz w:val="20"/>
              </w:rPr>
              <w:t>Diferencia</w:t>
            </w:r>
          </w:p>
        </w:tc>
      </w:tr>
      <w:tr w:rsidR="005D4CB6" w:rsidRPr="005D4CB6" w14:paraId="1E18B694"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10DFA4ED"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Sueldos Básicos</w:t>
            </w:r>
          </w:p>
        </w:tc>
        <w:tc>
          <w:tcPr>
            <w:tcW w:w="1090" w:type="dxa"/>
            <w:tcBorders>
              <w:top w:val="nil"/>
              <w:left w:val="nil"/>
              <w:bottom w:val="nil"/>
              <w:right w:val="nil"/>
            </w:tcBorders>
            <w:vAlign w:val="center"/>
          </w:tcPr>
          <w:p w14:paraId="6EC6DADB"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12.68%</w:t>
            </w:r>
          </w:p>
        </w:tc>
        <w:tc>
          <w:tcPr>
            <w:tcW w:w="1130" w:type="dxa"/>
            <w:tcBorders>
              <w:top w:val="nil"/>
              <w:left w:val="nil"/>
              <w:bottom w:val="nil"/>
              <w:right w:val="nil"/>
            </w:tcBorders>
            <w:shd w:val="clear" w:color="auto" w:fill="auto"/>
            <w:noWrap/>
            <w:vAlign w:val="center"/>
          </w:tcPr>
          <w:p w14:paraId="5DC6FDB1" w14:textId="77777777" w:rsidR="005D4CB6" w:rsidRPr="005D4CB6" w:rsidRDefault="005D4CB6" w:rsidP="005D4CB6">
            <w:pPr>
              <w:spacing w:line="276" w:lineRule="auto"/>
              <w:jc w:val="center"/>
              <w:rPr>
                <w:rFonts w:ascii="Book Antiqua" w:hAnsi="Book Antiqua"/>
                <w:sz w:val="18"/>
                <w:szCs w:val="22"/>
                <w:lang w:eastAsia="es-CR"/>
              </w:rPr>
            </w:pPr>
            <w:r w:rsidRPr="005D4CB6">
              <w:rPr>
                <w:rFonts w:ascii="Book Antiqua" w:hAnsi="Book Antiqua"/>
                <w:sz w:val="18"/>
                <w:szCs w:val="22"/>
              </w:rPr>
              <w:t>12.12%</w:t>
            </w:r>
          </w:p>
        </w:tc>
        <w:tc>
          <w:tcPr>
            <w:tcW w:w="1381" w:type="dxa"/>
            <w:tcBorders>
              <w:top w:val="nil"/>
              <w:left w:val="nil"/>
              <w:bottom w:val="nil"/>
              <w:right w:val="nil"/>
            </w:tcBorders>
            <w:shd w:val="clear" w:color="auto" w:fill="auto"/>
            <w:noWrap/>
            <w:vAlign w:val="center"/>
          </w:tcPr>
          <w:p w14:paraId="35FF4C23"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-0.56%</w:t>
            </w:r>
          </w:p>
        </w:tc>
      </w:tr>
      <w:tr w:rsidR="005D4CB6" w:rsidRPr="005D4CB6" w14:paraId="482072F0"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352119C4"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Salario Único</w:t>
            </w:r>
          </w:p>
        </w:tc>
        <w:tc>
          <w:tcPr>
            <w:tcW w:w="1090" w:type="dxa"/>
            <w:tcBorders>
              <w:top w:val="nil"/>
              <w:left w:val="nil"/>
              <w:bottom w:val="nil"/>
              <w:right w:val="nil"/>
            </w:tcBorders>
            <w:vAlign w:val="bottom"/>
          </w:tcPr>
          <w:p w14:paraId="51E6516A"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59.22%</w:t>
            </w:r>
          </w:p>
        </w:tc>
        <w:tc>
          <w:tcPr>
            <w:tcW w:w="1130" w:type="dxa"/>
            <w:tcBorders>
              <w:top w:val="nil"/>
              <w:left w:val="nil"/>
              <w:bottom w:val="nil"/>
              <w:right w:val="nil"/>
            </w:tcBorders>
            <w:shd w:val="clear" w:color="auto" w:fill="auto"/>
            <w:noWrap/>
            <w:vAlign w:val="bottom"/>
          </w:tcPr>
          <w:p w14:paraId="0BCE27DA"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59.29%</w:t>
            </w:r>
          </w:p>
        </w:tc>
        <w:tc>
          <w:tcPr>
            <w:tcW w:w="1381" w:type="dxa"/>
            <w:tcBorders>
              <w:top w:val="nil"/>
              <w:left w:val="nil"/>
              <w:bottom w:val="nil"/>
              <w:right w:val="nil"/>
            </w:tcBorders>
            <w:shd w:val="clear" w:color="auto" w:fill="auto"/>
            <w:noWrap/>
            <w:vAlign w:val="bottom"/>
          </w:tcPr>
          <w:p w14:paraId="7EDB8F96"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0.07%</w:t>
            </w:r>
          </w:p>
        </w:tc>
      </w:tr>
      <w:tr w:rsidR="005D4CB6" w:rsidRPr="005D4CB6" w14:paraId="07835D9E"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1FE64E5C"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Servicios especiales</w:t>
            </w:r>
          </w:p>
        </w:tc>
        <w:tc>
          <w:tcPr>
            <w:tcW w:w="1090" w:type="dxa"/>
            <w:tcBorders>
              <w:top w:val="nil"/>
              <w:left w:val="nil"/>
              <w:bottom w:val="nil"/>
              <w:right w:val="nil"/>
            </w:tcBorders>
            <w:vAlign w:val="bottom"/>
          </w:tcPr>
          <w:p w14:paraId="6158EBD9"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3.82%</w:t>
            </w:r>
          </w:p>
        </w:tc>
        <w:tc>
          <w:tcPr>
            <w:tcW w:w="1130" w:type="dxa"/>
            <w:tcBorders>
              <w:top w:val="nil"/>
              <w:left w:val="nil"/>
              <w:bottom w:val="nil"/>
              <w:right w:val="nil"/>
            </w:tcBorders>
            <w:shd w:val="clear" w:color="auto" w:fill="auto"/>
            <w:noWrap/>
            <w:vAlign w:val="bottom"/>
          </w:tcPr>
          <w:p w14:paraId="2B5CC82A"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3.79%</w:t>
            </w:r>
          </w:p>
        </w:tc>
        <w:tc>
          <w:tcPr>
            <w:tcW w:w="1381" w:type="dxa"/>
            <w:tcBorders>
              <w:top w:val="nil"/>
              <w:left w:val="nil"/>
              <w:bottom w:val="nil"/>
              <w:right w:val="nil"/>
            </w:tcBorders>
            <w:shd w:val="clear" w:color="auto" w:fill="auto"/>
            <w:noWrap/>
            <w:vAlign w:val="bottom"/>
          </w:tcPr>
          <w:p w14:paraId="2177AF0E"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-0.03%</w:t>
            </w:r>
          </w:p>
        </w:tc>
      </w:tr>
      <w:tr w:rsidR="005D4CB6" w:rsidRPr="005D4CB6" w14:paraId="75A661BF"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55AB2C59"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Anualidad</w:t>
            </w:r>
          </w:p>
        </w:tc>
        <w:tc>
          <w:tcPr>
            <w:tcW w:w="1090" w:type="dxa"/>
            <w:tcBorders>
              <w:top w:val="nil"/>
              <w:left w:val="nil"/>
              <w:bottom w:val="nil"/>
              <w:right w:val="nil"/>
            </w:tcBorders>
            <w:vAlign w:val="bottom"/>
          </w:tcPr>
          <w:p w14:paraId="22D123C8"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8.45%</w:t>
            </w:r>
          </w:p>
        </w:tc>
        <w:tc>
          <w:tcPr>
            <w:tcW w:w="1130" w:type="dxa"/>
            <w:tcBorders>
              <w:top w:val="nil"/>
              <w:left w:val="nil"/>
              <w:bottom w:val="nil"/>
              <w:right w:val="nil"/>
            </w:tcBorders>
            <w:shd w:val="clear" w:color="auto" w:fill="auto"/>
            <w:noWrap/>
            <w:vAlign w:val="bottom"/>
          </w:tcPr>
          <w:p w14:paraId="4C567424"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8.23%</w:t>
            </w:r>
          </w:p>
        </w:tc>
        <w:tc>
          <w:tcPr>
            <w:tcW w:w="1381" w:type="dxa"/>
            <w:tcBorders>
              <w:top w:val="nil"/>
              <w:left w:val="nil"/>
              <w:bottom w:val="nil"/>
              <w:right w:val="nil"/>
            </w:tcBorders>
            <w:shd w:val="clear" w:color="auto" w:fill="auto"/>
            <w:noWrap/>
            <w:vAlign w:val="bottom"/>
          </w:tcPr>
          <w:p w14:paraId="2BB263AB"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-0.22%</w:t>
            </w:r>
          </w:p>
        </w:tc>
      </w:tr>
      <w:tr w:rsidR="005D4CB6" w:rsidRPr="005D4CB6" w14:paraId="5AD072F1"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0B00D94C"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Méritos</w:t>
            </w:r>
          </w:p>
        </w:tc>
        <w:tc>
          <w:tcPr>
            <w:tcW w:w="1090" w:type="dxa"/>
            <w:tcBorders>
              <w:top w:val="nil"/>
              <w:left w:val="nil"/>
              <w:bottom w:val="nil"/>
              <w:right w:val="nil"/>
            </w:tcBorders>
            <w:vAlign w:val="bottom"/>
          </w:tcPr>
          <w:p w14:paraId="3A9CE44B"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10.77%</w:t>
            </w:r>
          </w:p>
        </w:tc>
        <w:tc>
          <w:tcPr>
            <w:tcW w:w="1130" w:type="dxa"/>
            <w:tcBorders>
              <w:top w:val="nil"/>
              <w:left w:val="nil"/>
              <w:bottom w:val="nil"/>
              <w:right w:val="nil"/>
            </w:tcBorders>
            <w:shd w:val="clear" w:color="auto" w:fill="auto"/>
            <w:noWrap/>
            <w:vAlign w:val="bottom"/>
          </w:tcPr>
          <w:p w14:paraId="2FEEE71D"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10.69%</w:t>
            </w:r>
          </w:p>
        </w:tc>
        <w:tc>
          <w:tcPr>
            <w:tcW w:w="1381" w:type="dxa"/>
            <w:tcBorders>
              <w:top w:val="nil"/>
              <w:left w:val="nil"/>
              <w:bottom w:val="nil"/>
              <w:right w:val="nil"/>
            </w:tcBorders>
            <w:shd w:val="clear" w:color="auto" w:fill="auto"/>
            <w:noWrap/>
            <w:vAlign w:val="bottom"/>
          </w:tcPr>
          <w:p w14:paraId="7B252384"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-0.08%</w:t>
            </w:r>
          </w:p>
        </w:tc>
      </w:tr>
      <w:tr w:rsidR="005D4CB6" w:rsidRPr="005D4CB6" w14:paraId="09D67ECB"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09D66849"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Bonificación profesional</w:t>
            </w:r>
          </w:p>
        </w:tc>
        <w:tc>
          <w:tcPr>
            <w:tcW w:w="1090" w:type="dxa"/>
            <w:tcBorders>
              <w:top w:val="nil"/>
              <w:left w:val="nil"/>
              <w:bottom w:val="nil"/>
              <w:right w:val="nil"/>
            </w:tcBorders>
            <w:vAlign w:val="bottom"/>
          </w:tcPr>
          <w:p w14:paraId="016B7F1B"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2.24%</w:t>
            </w:r>
          </w:p>
        </w:tc>
        <w:tc>
          <w:tcPr>
            <w:tcW w:w="1130" w:type="dxa"/>
            <w:tcBorders>
              <w:top w:val="nil"/>
              <w:left w:val="nil"/>
              <w:bottom w:val="nil"/>
              <w:right w:val="nil"/>
            </w:tcBorders>
            <w:shd w:val="clear" w:color="auto" w:fill="auto"/>
            <w:noWrap/>
            <w:vAlign w:val="bottom"/>
          </w:tcPr>
          <w:p w14:paraId="13F7E655"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2.18%</w:t>
            </w:r>
          </w:p>
        </w:tc>
        <w:tc>
          <w:tcPr>
            <w:tcW w:w="1381" w:type="dxa"/>
            <w:tcBorders>
              <w:top w:val="nil"/>
              <w:left w:val="nil"/>
              <w:bottom w:val="nil"/>
              <w:right w:val="nil"/>
            </w:tcBorders>
            <w:shd w:val="clear" w:color="auto" w:fill="auto"/>
            <w:noWrap/>
            <w:vAlign w:val="bottom"/>
          </w:tcPr>
          <w:p w14:paraId="284C1536"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-0.06%</w:t>
            </w:r>
          </w:p>
        </w:tc>
      </w:tr>
      <w:tr w:rsidR="005D4CB6" w:rsidRPr="005D4CB6" w14:paraId="103B4C52" w14:textId="77777777" w:rsidTr="005D4CB6">
        <w:trPr>
          <w:trHeight w:val="300"/>
          <w:jc w:val="center"/>
        </w:trPr>
        <w:tc>
          <w:tcPr>
            <w:tcW w:w="2930" w:type="dxa"/>
            <w:tcBorders>
              <w:top w:val="nil"/>
              <w:left w:val="nil"/>
              <w:bottom w:val="nil"/>
              <w:right w:val="single" w:sz="4" w:space="0" w:color="0000FF"/>
            </w:tcBorders>
            <w:shd w:val="clear" w:color="auto" w:fill="auto"/>
            <w:noWrap/>
            <w:vAlign w:val="bottom"/>
          </w:tcPr>
          <w:p w14:paraId="04CAD621"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 xml:space="preserve">Prohibición </w:t>
            </w:r>
          </w:p>
        </w:tc>
        <w:tc>
          <w:tcPr>
            <w:tcW w:w="1090" w:type="dxa"/>
            <w:tcBorders>
              <w:top w:val="nil"/>
              <w:left w:val="nil"/>
              <w:bottom w:val="nil"/>
              <w:right w:val="nil"/>
            </w:tcBorders>
            <w:vAlign w:val="bottom"/>
          </w:tcPr>
          <w:p w14:paraId="7485576F"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2.42%</w:t>
            </w:r>
          </w:p>
        </w:tc>
        <w:tc>
          <w:tcPr>
            <w:tcW w:w="1130" w:type="dxa"/>
            <w:tcBorders>
              <w:top w:val="nil"/>
              <w:left w:val="nil"/>
              <w:bottom w:val="nil"/>
              <w:right w:val="nil"/>
            </w:tcBorders>
            <w:shd w:val="clear" w:color="auto" w:fill="auto"/>
            <w:noWrap/>
            <w:vAlign w:val="bottom"/>
          </w:tcPr>
          <w:p w14:paraId="3A7842A9"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3.16%</w:t>
            </w:r>
          </w:p>
        </w:tc>
        <w:tc>
          <w:tcPr>
            <w:tcW w:w="1381" w:type="dxa"/>
            <w:tcBorders>
              <w:top w:val="nil"/>
              <w:left w:val="nil"/>
              <w:bottom w:val="nil"/>
              <w:right w:val="nil"/>
            </w:tcBorders>
            <w:shd w:val="clear" w:color="auto" w:fill="auto"/>
            <w:noWrap/>
            <w:vAlign w:val="bottom"/>
          </w:tcPr>
          <w:p w14:paraId="32A21CE5"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0.74%</w:t>
            </w:r>
          </w:p>
        </w:tc>
      </w:tr>
      <w:tr w:rsidR="005D4CB6" w:rsidRPr="005D4CB6" w14:paraId="368607CA" w14:textId="77777777" w:rsidTr="005D4CB6">
        <w:trPr>
          <w:trHeight w:val="300"/>
          <w:jc w:val="center"/>
        </w:trPr>
        <w:tc>
          <w:tcPr>
            <w:tcW w:w="2930" w:type="dxa"/>
            <w:tcBorders>
              <w:top w:val="nil"/>
              <w:left w:val="nil"/>
              <w:right w:val="single" w:sz="4" w:space="0" w:color="0000FF"/>
            </w:tcBorders>
            <w:shd w:val="clear" w:color="auto" w:fill="auto"/>
            <w:noWrap/>
            <w:vAlign w:val="bottom"/>
          </w:tcPr>
          <w:p w14:paraId="4DEB9212" w14:textId="77777777" w:rsidR="005D4CB6" w:rsidRPr="005D4CB6" w:rsidRDefault="005D4CB6" w:rsidP="005D4CB6">
            <w:pPr>
              <w:spacing w:line="276" w:lineRule="auto"/>
              <w:rPr>
                <w:rFonts w:ascii="Book Antiqua" w:hAnsi="Book Antiqua"/>
                <w:sz w:val="20"/>
              </w:rPr>
            </w:pPr>
            <w:r w:rsidRPr="005D4CB6">
              <w:rPr>
                <w:rFonts w:ascii="Book Antiqua" w:hAnsi="Book Antiqua"/>
                <w:sz w:val="20"/>
              </w:rPr>
              <w:t>Ajuste Personal</w:t>
            </w:r>
          </w:p>
        </w:tc>
        <w:tc>
          <w:tcPr>
            <w:tcW w:w="1090" w:type="dxa"/>
            <w:tcBorders>
              <w:top w:val="nil"/>
              <w:left w:val="nil"/>
              <w:right w:val="nil"/>
            </w:tcBorders>
            <w:vAlign w:val="bottom"/>
          </w:tcPr>
          <w:p w14:paraId="614FA3CA"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0.04%</w:t>
            </w:r>
          </w:p>
        </w:tc>
        <w:tc>
          <w:tcPr>
            <w:tcW w:w="1130" w:type="dxa"/>
            <w:tcBorders>
              <w:top w:val="nil"/>
              <w:left w:val="nil"/>
              <w:right w:val="nil"/>
            </w:tcBorders>
            <w:shd w:val="clear" w:color="auto" w:fill="auto"/>
            <w:noWrap/>
            <w:vAlign w:val="bottom"/>
          </w:tcPr>
          <w:p w14:paraId="474B61C3"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0.04%</w:t>
            </w:r>
          </w:p>
        </w:tc>
        <w:tc>
          <w:tcPr>
            <w:tcW w:w="1381" w:type="dxa"/>
            <w:tcBorders>
              <w:top w:val="nil"/>
              <w:left w:val="nil"/>
              <w:right w:val="nil"/>
            </w:tcBorders>
            <w:shd w:val="clear" w:color="auto" w:fill="auto"/>
            <w:noWrap/>
            <w:vAlign w:val="bottom"/>
          </w:tcPr>
          <w:p w14:paraId="31F24677"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0.00%</w:t>
            </w:r>
          </w:p>
        </w:tc>
      </w:tr>
      <w:tr w:rsidR="005D4CB6" w:rsidRPr="005D4CB6" w14:paraId="57A7DD3D" w14:textId="77777777" w:rsidTr="005D4CB6">
        <w:trPr>
          <w:trHeight w:val="315"/>
          <w:jc w:val="center"/>
        </w:trPr>
        <w:tc>
          <w:tcPr>
            <w:tcW w:w="2930" w:type="dxa"/>
            <w:tcBorders>
              <w:top w:val="nil"/>
              <w:left w:val="nil"/>
              <w:right w:val="single" w:sz="4" w:space="0" w:color="0000FF"/>
            </w:tcBorders>
            <w:shd w:val="clear" w:color="auto" w:fill="auto"/>
            <w:noWrap/>
            <w:vAlign w:val="bottom"/>
          </w:tcPr>
          <w:p w14:paraId="4EE5B1F0" w14:textId="77777777" w:rsidR="005D4CB6" w:rsidRPr="005D4CB6" w:rsidRDefault="005D4CB6" w:rsidP="005D4CB6">
            <w:pPr>
              <w:spacing w:line="276" w:lineRule="auto"/>
              <w:rPr>
                <w:rFonts w:ascii="Book Antiqua" w:hAnsi="Book Antiqua"/>
                <w:bCs/>
                <w:sz w:val="20"/>
              </w:rPr>
            </w:pPr>
            <w:r w:rsidRPr="005D4CB6">
              <w:rPr>
                <w:rFonts w:ascii="Book Antiqua" w:hAnsi="Book Antiqua"/>
                <w:bCs/>
                <w:sz w:val="20"/>
              </w:rPr>
              <w:t>Ajuste de mercado</w:t>
            </w:r>
          </w:p>
        </w:tc>
        <w:tc>
          <w:tcPr>
            <w:tcW w:w="1090" w:type="dxa"/>
            <w:tcBorders>
              <w:top w:val="nil"/>
              <w:left w:val="nil"/>
              <w:right w:val="nil"/>
            </w:tcBorders>
            <w:vAlign w:val="bottom"/>
          </w:tcPr>
          <w:p w14:paraId="5CE8310F"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0.36%</w:t>
            </w:r>
          </w:p>
        </w:tc>
        <w:tc>
          <w:tcPr>
            <w:tcW w:w="1130" w:type="dxa"/>
            <w:tcBorders>
              <w:top w:val="nil"/>
              <w:left w:val="nil"/>
              <w:right w:val="nil"/>
            </w:tcBorders>
            <w:shd w:val="clear" w:color="auto" w:fill="auto"/>
            <w:noWrap/>
            <w:vAlign w:val="bottom"/>
          </w:tcPr>
          <w:p w14:paraId="52AEE35D"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0.51%</w:t>
            </w:r>
          </w:p>
        </w:tc>
        <w:tc>
          <w:tcPr>
            <w:tcW w:w="1381" w:type="dxa"/>
            <w:tcBorders>
              <w:top w:val="nil"/>
              <w:left w:val="nil"/>
              <w:right w:val="nil"/>
            </w:tcBorders>
            <w:shd w:val="clear" w:color="auto" w:fill="auto"/>
            <w:noWrap/>
            <w:vAlign w:val="bottom"/>
          </w:tcPr>
          <w:p w14:paraId="1A555B9A" w14:textId="77777777" w:rsidR="005D4CB6" w:rsidRPr="005D4CB6" w:rsidRDefault="005D4CB6" w:rsidP="005D4CB6">
            <w:pPr>
              <w:spacing w:line="276" w:lineRule="auto"/>
              <w:jc w:val="center"/>
              <w:rPr>
                <w:rFonts w:ascii="Book Antiqua" w:hAnsi="Book Antiqua"/>
                <w:sz w:val="18"/>
                <w:szCs w:val="22"/>
              </w:rPr>
            </w:pPr>
            <w:r w:rsidRPr="005D4CB6">
              <w:rPr>
                <w:rFonts w:ascii="Book Antiqua" w:hAnsi="Book Antiqua"/>
                <w:sz w:val="18"/>
                <w:szCs w:val="22"/>
              </w:rPr>
              <w:t>0.15%</w:t>
            </w:r>
          </w:p>
        </w:tc>
      </w:tr>
      <w:tr w:rsidR="005D4CB6" w:rsidRPr="005D4CB6" w14:paraId="2AF68F7A" w14:textId="77777777" w:rsidTr="005D4CB6">
        <w:trPr>
          <w:trHeight w:val="315"/>
          <w:jc w:val="center"/>
        </w:trPr>
        <w:tc>
          <w:tcPr>
            <w:tcW w:w="2930" w:type="dxa"/>
            <w:tcBorders>
              <w:left w:val="nil"/>
              <w:bottom w:val="double" w:sz="6" w:space="0" w:color="0000FF"/>
              <w:right w:val="single" w:sz="4" w:space="0" w:color="0000FF"/>
            </w:tcBorders>
            <w:shd w:val="clear" w:color="auto" w:fill="auto"/>
            <w:noWrap/>
            <w:vAlign w:val="bottom"/>
          </w:tcPr>
          <w:p w14:paraId="5DDF5323" w14:textId="77777777" w:rsidR="005D4CB6" w:rsidRPr="005D4CB6" w:rsidRDefault="005D4CB6" w:rsidP="005D4CB6">
            <w:pPr>
              <w:spacing w:line="276" w:lineRule="auto"/>
              <w:rPr>
                <w:rFonts w:ascii="Book Antiqua" w:hAnsi="Book Antiqua"/>
                <w:b/>
                <w:bCs/>
                <w:sz w:val="20"/>
              </w:rPr>
            </w:pPr>
            <w:r w:rsidRPr="005D4CB6">
              <w:rPr>
                <w:rFonts w:ascii="Book Antiqua" w:hAnsi="Book Antiqua"/>
                <w:b/>
                <w:bCs/>
                <w:sz w:val="20"/>
              </w:rPr>
              <w:t>Total</w:t>
            </w:r>
          </w:p>
        </w:tc>
        <w:tc>
          <w:tcPr>
            <w:tcW w:w="1090" w:type="dxa"/>
            <w:tcBorders>
              <w:left w:val="nil"/>
              <w:bottom w:val="double" w:sz="6" w:space="0" w:color="0000FF"/>
              <w:right w:val="nil"/>
            </w:tcBorders>
            <w:vAlign w:val="bottom"/>
          </w:tcPr>
          <w:p w14:paraId="5B8547B8" w14:textId="77777777" w:rsidR="005D4CB6" w:rsidRPr="005D4CB6" w:rsidRDefault="005D4CB6" w:rsidP="005D4CB6">
            <w:pPr>
              <w:spacing w:line="276" w:lineRule="auto"/>
              <w:jc w:val="center"/>
              <w:rPr>
                <w:rFonts w:ascii="Book Antiqua" w:hAnsi="Book Antiqua"/>
                <w:b/>
                <w:sz w:val="18"/>
                <w:szCs w:val="22"/>
              </w:rPr>
            </w:pPr>
            <w:r w:rsidRPr="005D4CB6">
              <w:rPr>
                <w:rFonts w:ascii="Book Antiqua" w:hAnsi="Book Antiqua"/>
                <w:b/>
                <w:sz w:val="18"/>
                <w:szCs w:val="22"/>
              </w:rPr>
              <w:t>100.00%</w:t>
            </w:r>
          </w:p>
        </w:tc>
        <w:tc>
          <w:tcPr>
            <w:tcW w:w="1130" w:type="dxa"/>
            <w:tcBorders>
              <w:left w:val="nil"/>
              <w:bottom w:val="double" w:sz="6" w:space="0" w:color="0000FF"/>
              <w:right w:val="nil"/>
            </w:tcBorders>
            <w:shd w:val="clear" w:color="auto" w:fill="auto"/>
            <w:noWrap/>
            <w:vAlign w:val="bottom"/>
          </w:tcPr>
          <w:p w14:paraId="231D4E2A" w14:textId="77777777" w:rsidR="005D4CB6" w:rsidRPr="005D4CB6" w:rsidRDefault="005D4CB6" w:rsidP="005D4CB6">
            <w:pPr>
              <w:spacing w:line="276" w:lineRule="auto"/>
              <w:jc w:val="center"/>
              <w:rPr>
                <w:rFonts w:ascii="Book Antiqua" w:hAnsi="Book Antiqua"/>
                <w:b/>
                <w:sz w:val="18"/>
                <w:szCs w:val="22"/>
              </w:rPr>
            </w:pPr>
            <w:r w:rsidRPr="005D4CB6">
              <w:rPr>
                <w:rFonts w:ascii="Book Antiqua" w:hAnsi="Book Antiqua"/>
                <w:b/>
                <w:sz w:val="18"/>
                <w:szCs w:val="22"/>
              </w:rPr>
              <w:t>100.00%</w:t>
            </w:r>
          </w:p>
        </w:tc>
        <w:tc>
          <w:tcPr>
            <w:tcW w:w="1381" w:type="dxa"/>
            <w:tcBorders>
              <w:left w:val="nil"/>
              <w:bottom w:val="double" w:sz="6" w:space="0" w:color="0000FF"/>
              <w:right w:val="nil"/>
            </w:tcBorders>
            <w:shd w:val="clear" w:color="auto" w:fill="auto"/>
            <w:noWrap/>
            <w:vAlign w:val="bottom"/>
          </w:tcPr>
          <w:p w14:paraId="364C5F73" w14:textId="77777777" w:rsidR="005D4CB6" w:rsidRPr="005D4CB6" w:rsidRDefault="005D4CB6" w:rsidP="005D4CB6">
            <w:pPr>
              <w:spacing w:line="276" w:lineRule="auto"/>
              <w:jc w:val="center"/>
              <w:rPr>
                <w:rFonts w:ascii="Book Antiqua" w:hAnsi="Book Antiqua"/>
                <w:b/>
                <w:sz w:val="18"/>
                <w:szCs w:val="22"/>
              </w:rPr>
            </w:pPr>
          </w:p>
        </w:tc>
      </w:tr>
    </w:tbl>
    <w:p w14:paraId="4FEB06D9" w14:textId="77777777" w:rsidR="005D4CB6" w:rsidRPr="005D4CB6" w:rsidRDefault="005D4CB6" w:rsidP="005D4CB6">
      <w:pPr>
        <w:spacing w:line="276" w:lineRule="auto"/>
        <w:rPr>
          <w:rFonts w:ascii="Book Antiqua" w:hAnsi="Book Antiqua"/>
          <w:b/>
          <w:i/>
          <w:color w:val="800000"/>
          <w:sz w:val="22"/>
        </w:rPr>
      </w:pPr>
    </w:p>
    <w:p w14:paraId="7527D6AB"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lastRenderedPageBreak/>
        <w:t>En el siguiente Gráfico No.1, se observa como el rubro salario global ha venido año con año tomando mayor relevancia en el ámbito de Banco Central, dependencia en la cual se ubica la mayor cantidad de plazas a nivel corporativo. Por ejemplo, desde el año 2014 la partida “salario único o global” representó más de la mitad (&gt;50%) de todos los salarios formulados en dicha dependencia; mientras que la partida de salario básico, a pesar de que cada año existen menos plazas cubiertas por esa escala salarial, para el 2017 se observa una disminución de apenas un punto porcentual (de 14% a 13%).</w:t>
      </w:r>
    </w:p>
    <w:p w14:paraId="28EE91D6" w14:textId="77777777" w:rsidR="005D4CB6" w:rsidRPr="005D4CB6" w:rsidRDefault="005D4CB6" w:rsidP="005D4CB6">
      <w:pPr>
        <w:spacing w:line="276" w:lineRule="auto"/>
        <w:jc w:val="both"/>
        <w:rPr>
          <w:rFonts w:ascii="Book Antiqua" w:hAnsi="Book Antiqua"/>
          <w:sz w:val="22"/>
        </w:rPr>
      </w:pPr>
    </w:p>
    <w:p w14:paraId="399C5F66" w14:textId="77777777" w:rsidR="005D4CB6" w:rsidRPr="005D4CB6" w:rsidRDefault="005D4CB6" w:rsidP="005D4CB6">
      <w:pPr>
        <w:spacing w:line="276" w:lineRule="auto"/>
        <w:jc w:val="center"/>
        <w:rPr>
          <w:rFonts w:ascii="Book Antiqua" w:hAnsi="Book Antiqua"/>
          <w:b/>
          <w:sz w:val="18"/>
          <w:szCs w:val="20"/>
        </w:rPr>
      </w:pPr>
      <w:r w:rsidRPr="005D4CB6">
        <w:rPr>
          <w:rFonts w:ascii="Book Antiqua" w:hAnsi="Book Antiqua"/>
          <w:b/>
          <w:sz w:val="18"/>
          <w:szCs w:val="20"/>
        </w:rPr>
        <w:t>GRÁFICO No.1</w:t>
      </w:r>
    </w:p>
    <w:p w14:paraId="3F048D2B" w14:textId="77777777" w:rsidR="005D4CB6" w:rsidRPr="005D4CB6" w:rsidRDefault="005D4CB6" w:rsidP="005D4CB6">
      <w:pPr>
        <w:spacing w:line="276" w:lineRule="auto"/>
        <w:jc w:val="center"/>
        <w:rPr>
          <w:rFonts w:ascii="Book Antiqua" w:hAnsi="Book Antiqua"/>
          <w:b/>
          <w:sz w:val="18"/>
          <w:szCs w:val="20"/>
        </w:rPr>
      </w:pPr>
      <w:r w:rsidRPr="005D4CB6">
        <w:rPr>
          <w:rFonts w:ascii="Book Antiqua" w:hAnsi="Book Antiqua"/>
          <w:b/>
          <w:sz w:val="18"/>
          <w:szCs w:val="20"/>
        </w:rPr>
        <w:t xml:space="preserve">BCCR: DISTRIBUCIÓN PORCENTUAL DEL PRESUPUESTO DE SALARIOS, SEGÚN PARTIDA </w:t>
      </w:r>
    </w:p>
    <w:p w14:paraId="2CA87E8B" w14:textId="77777777" w:rsidR="005D4CB6" w:rsidRPr="005D4CB6" w:rsidRDefault="005D4CB6" w:rsidP="005D4CB6">
      <w:pPr>
        <w:spacing w:line="276" w:lineRule="auto"/>
        <w:jc w:val="center"/>
        <w:rPr>
          <w:rFonts w:ascii="Book Antiqua" w:hAnsi="Book Antiqua"/>
          <w:b/>
          <w:i/>
          <w:color w:val="800000"/>
          <w:sz w:val="18"/>
          <w:szCs w:val="20"/>
        </w:rPr>
      </w:pPr>
      <w:r w:rsidRPr="005D4CB6">
        <w:rPr>
          <w:rFonts w:ascii="Book Antiqua" w:hAnsi="Book Antiqua"/>
          <w:b/>
          <w:sz w:val="18"/>
          <w:szCs w:val="20"/>
        </w:rPr>
        <w:t>Y AÑO, PERIODO 2009-2017</w:t>
      </w:r>
    </w:p>
    <w:p w14:paraId="570B5EC1" w14:textId="77777777" w:rsidR="005D4CB6" w:rsidRPr="005D4CB6" w:rsidRDefault="005D4CB6" w:rsidP="005D4CB6">
      <w:pPr>
        <w:spacing w:line="276" w:lineRule="auto"/>
        <w:jc w:val="center"/>
        <w:rPr>
          <w:rFonts w:ascii="Book Antiqua" w:hAnsi="Book Antiqua"/>
          <w:b/>
          <w:i/>
          <w:color w:val="800000"/>
          <w:sz w:val="22"/>
        </w:rPr>
      </w:pPr>
      <w:r w:rsidRPr="005D4CB6">
        <w:rPr>
          <w:rFonts w:ascii="Book Antiqua" w:hAnsi="Book Antiqua"/>
          <w:b/>
          <w:i/>
          <w:noProof/>
          <w:color w:val="800000"/>
          <w:sz w:val="22"/>
        </w:rPr>
        <w:drawing>
          <wp:inline distT="0" distB="0" distL="0" distR="0" wp14:anchorId="79B1B19C" wp14:editId="29E59A8F">
            <wp:extent cx="4230093" cy="30693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234953" cy="3072901"/>
                    </a:xfrm>
                    <a:prstGeom prst="rect">
                      <a:avLst/>
                    </a:prstGeom>
                    <a:noFill/>
                  </pic:spPr>
                </pic:pic>
              </a:graphicData>
            </a:graphic>
          </wp:inline>
        </w:drawing>
      </w:r>
    </w:p>
    <w:p w14:paraId="6A3EFE28" w14:textId="77777777" w:rsidR="005D4CB6" w:rsidRPr="005D4CB6" w:rsidRDefault="005D4CB6" w:rsidP="005D4CB6">
      <w:pPr>
        <w:spacing w:line="276" w:lineRule="auto"/>
        <w:jc w:val="both"/>
        <w:rPr>
          <w:rFonts w:ascii="Book Antiqua" w:hAnsi="Book Antiqua"/>
          <w:sz w:val="22"/>
        </w:rPr>
      </w:pPr>
    </w:p>
    <w:p w14:paraId="0DA941E4"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De acuerdo con el Gráfico No.2, al analizar la composición de las partidas de salarios de los Entes Desconcentrados para el 2017, se observa poca variación al comparar dicha composición en relación con años anteriores.  El salario básico se ha estabilizado en un 11% para los últimos tres años formulados.</w:t>
      </w:r>
    </w:p>
    <w:p w14:paraId="51CE8B91" w14:textId="3EA2226C" w:rsidR="000170B2" w:rsidRDefault="000170B2">
      <w:pPr>
        <w:rPr>
          <w:rFonts w:ascii="Book Antiqua" w:hAnsi="Book Antiqua"/>
          <w:sz w:val="22"/>
        </w:rPr>
      </w:pPr>
      <w:r>
        <w:rPr>
          <w:rFonts w:ascii="Book Antiqua" w:hAnsi="Book Antiqua"/>
          <w:sz w:val="22"/>
        </w:rPr>
        <w:br w:type="page"/>
      </w:r>
    </w:p>
    <w:p w14:paraId="7BCD1828" w14:textId="77777777" w:rsidR="005D4CB6" w:rsidRPr="005D4CB6" w:rsidRDefault="005D4CB6" w:rsidP="005D4CB6">
      <w:pPr>
        <w:spacing w:line="276" w:lineRule="auto"/>
        <w:jc w:val="center"/>
        <w:rPr>
          <w:rFonts w:ascii="Book Antiqua" w:hAnsi="Book Antiqua"/>
          <w:b/>
          <w:sz w:val="18"/>
          <w:szCs w:val="20"/>
        </w:rPr>
      </w:pPr>
      <w:r w:rsidRPr="005D4CB6">
        <w:rPr>
          <w:rFonts w:ascii="Book Antiqua" w:hAnsi="Book Antiqua"/>
          <w:b/>
          <w:sz w:val="18"/>
          <w:szCs w:val="20"/>
        </w:rPr>
        <w:lastRenderedPageBreak/>
        <w:t>GRÁFICO No.2</w:t>
      </w:r>
    </w:p>
    <w:p w14:paraId="0624B89C" w14:textId="77777777" w:rsidR="005D4CB6" w:rsidRPr="005D4CB6" w:rsidRDefault="005D4CB6" w:rsidP="005D4CB6">
      <w:pPr>
        <w:spacing w:line="276" w:lineRule="auto"/>
        <w:jc w:val="center"/>
        <w:rPr>
          <w:rFonts w:ascii="Book Antiqua" w:hAnsi="Book Antiqua"/>
          <w:b/>
          <w:sz w:val="18"/>
          <w:szCs w:val="20"/>
        </w:rPr>
      </w:pPr>
      <w:r w:rsidRPr="005D4CB6">
        <w:rPr>
          <w:rFonts w:ascii="Book Antiqua" w:hAnsi="Book Antiqua"/>
          <w:b/>
          <w:sz w:val="18"/>
          <w:szCs w:val="20"/>
        </w:rPr>
        <w:t xml:space="preserve">ODM: DISTRIBUCIÓN PORCENTUAL DEL PRESUPUESTO DE SALARIOS, SEGÚN PARTIDA </w:t>
      </w:r>
    </w:p>
    <w:p w14:paraId="49CAF8BC" w14:textId="77777777" w:rsidR="005D4CB6" w:rsidRPr="005D4CB6" w:rsidRDefault="005D4CB6" w:rsidP="005D4CB6">
      <w:pPr>
        <w:spacing w:line="276" w:lineRule="auto"/>
        <w:jc w:val="center"/>
        <w:rPr>
          <w:rFonts w:ascii="Book Antiqua" w:hAnsi="Book Antiqua"/>
          <w:b/>
          <w:i/>
          <w:color w:val="800000"/>
          <w:sz w:val="18"/>
          <w:szCs w:val="20"/>
        </w:rPr>
      </w:pPr>
      <w:r w:rsidRPr="005D4CB6">
        <w:rPr>
          <w:rFonts w:ascii="Book Antiqua" w:hAnsi="Book Antiqua"/>
          <w:b/>
          <w:sz w:val="18"/>
          <w:szCs w:val="20"/>
        </w:rPr>
        <w:t>SEGÚN Y AÑO, PERIODO 2009-2017</w:t>
      </w:r>
    </w:p>
    <w:p w14:paraId="0AB529C1" w14:textId="77777777" w:rsidR="005D4CB6" w:rsidRPr="005D4CB6" w:rsidRDefault="005D4CB6" w:rsidP="005D4CB6">
      <w:pPr>
        <w:spacing w:line="276" w:lineRule="auto"/>
        <w:jc w:val="center"/>
        <w:rPr>
          <w:rFonts w:ascii="Book Antiqua" w:hAnsi="Book Antiqua"/>
          <w:sz w:val="22"/>
        </w:rPr>
      </w:pPr>
      <w:r w:rsidRPr="005D4CB6">
        <w:rPr>
          <w:rFonts w:ascii="Book Antiqua" w:hAnsi="Book Antiqua"/>
          <w:noProof/>
          <w:sz w:val="22"/>
        </w:rPr>
        <w:drawing>
          <wp:inline distT="0" distB="0" distL="0" distR="0" wp14:anchorId="27A869C7" wp14:editId="35055BE1">
            <wp:extent cx="4524292" cy="328284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532240" cy="3288615"/>
                    </a:xfrm>
                    <a:prstGeom prst="rect">
                      <a:avLst/>
                    </a:prstGeom>
                    <a:noFill/>
                  </pic:spPr>
                </pic:pic>
              </a:graphicData>
            </a:graphic>
          </wp:inline>
        </w:drawing>
      </w:r>
    </w:p>
    <w:p w14:paraId="630F8257" w14:textId="77777777" w:rsidR="005D4CB6" w:rsidRPr="005D4CB6" w:rsidRDefault="005D4CB6" w:rsidP="005D4CB6">
      <w:pPr>
        <w:spacing w:line="276" w:lineRule="auto"/>
        <w:jc w:val="both"/>
        <w:rPr>
          <w:rFonts w:ascii="Book Antiqua" w:hAnsi="Book Antiqua"/>
          <w:sz w:val="22"/>
        </w:rPr>
      </w:pPr>
    </w:p>
    <w:p w14:paraId="65082A68" w14:textId="77777777" w:rsidR="005D4CB6" w:rsidRPr="005D4CB6" w:rsidRDefault="005D4CB6" w:rsidP="005D4CB6">
      <w:pPr>
        <w:spacing w:after="120" w:line="276" w:lineRule="auto"/>
        <w:jc w:val="both"/>
        <w:rPr>
          <w:rFonts w:ascii="Book Antiqua" w:hAnsi="Book Antiqua"/>
          <w:b/>
          <w:i/>
          <w:color w:val="800000"/>
          <w:sz w:val="22"/>
        </w:rPr>
      </w:pPr>
      <w:r w:rsidRPr="005D4CB6">
        <w:rPr>
          <w:rFonts w:ascii="Book Antiqua" w:hAnsi="Book Antiqua"/>
          <w:b/>
          <w:i/>
          <w:color w:val="800000"/>
          <w:sz w:val="22"/>
        </w:rPr>
        <w:t>Número de plazas en el presupuesto de salarios 2017</w:t>
      </w:r>
    </w:p>
    <w:p w14:paraId="054FB9B7"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En relación con la cantidad de plazas aprobadas a nivel institucional (BCCR y ODM) para el 2017,  no hay incremento con respecto a la formulación del año 2016.   El único cambio relevante es el traslado de una plaza proveniente de la SUGEF a la División Gestión y Desarrollo del BCCR.</w:t>
      </w:r>
    </w:p>
    <w:p w14:paraId="5E946477" w14:textId="77777777" w:rsidR="005D4CB6" w:rsidRPr="005D4CB6" w:rsidRDefault="005D4CB6" w:rsidP="005D4CB6">
      <w:pPr>
        <w:spacing w:line="276" w:lineRule="auto"/>
        <w:jc w:val="both"/>
        <w:rPr>
          <w:rFonts w:ascii="Book Antiqua" w:hAnsi="Book Antiqua"/>
          <w:sz w:val="22"/>
        </w:rPr>
      </w:pPr>
    </w:p>
    <w:p w14:paraId="40AD2E2F" w14:textId="77777777" w:rsidR="005D4CB6" w:rsidRPr="005D4CB6" w:rsidRDefault="005D4CB6" w:rsidP="005D4CB6">
      <w:pPr>
        <w:spacing w:line="276" w:lineRule="auto"/>
        <w:ind w:firstLine="360"/>
        <w:jc w:val="center"/>
        <w:rPr>
          <w:rFonts w:ascii="Book Antiqua" w:hAnsi="Book Antiqua"/>
          <w:b/>
          <w:sz w:val="22"/>
        </w:rPr>
      </w:pPr>
      <w:r w:rsidRPr="005D4CB6">
        <w:rPr>
          <w:rFonts w:ascii="Book Antiqua" w:hAnsi="Book Antiqua"/>
          <w:b/>
          <w:sz w:val="22"/>
        </w:rPr>
        <w:t>Distribución Plazas del Presupuesto de Salarios, según dependencia</w:t>
      </w:r>
    </w:p>
    <w:p w14:paraId="4ED1A388" w14:textId="77777777" w:rsidR="005D4CB6" w:rsidRPr="005D4CB6" w:rsidRDefault="005D4CB6" w:rsidP="005D4CB6">
      <w:pPr>
        <w:spacing w:line="276" w:lineRule="auto"/>
        <w:jc w:val="center"/>
        <w:rPr>
          <w:rFonts w:ascii="Book Antiqua" w:hAnsi="Book Antiqua"/>
          <w:b/>
          <w:sz w:val="22"/>
        </w:rPr>
      </w:pPr>
      <w:r w:rsidRPr="005D4CB6">
        <w:rPr>
          <w:rFonts w:ascii="Book Antiqua" w:hAnsi="Book Antiqua"/>
          <w:b/>
          <w:sz w:val="22"/>
        </w:rPr>
        <w:t>Período 2016-2017</w:t>
      </w:r>
    </w:p>
    <w:tbl>
      <w:tblPr>
        <w:tblW w:w="5069" w:type="dxa"/>
        <w:jc w:val="center"/>
        <w:tblLook w:val="0000" w:firstRow="0" w:lastRow="0" w:firstColumn="0" w:lastColumn="0" w:noHBand="0" w:noVBand="0"/>
      </w:tblPr>
      <w:tblGrid>
        <w:gridCol w:w="1815"/>
        <w:gridCol w:w="768"/>
        <w:gridCol w:w="923"/>
        <w:gridCol w:w="1563"/>
      </w:tblGrid>
      <w:tr w:rsidR="005D4CB6" w:rsidRPr="005D4CB6" w14:paraId="4372197D" w14:textId="77777777" w:rsidTr="005D4CB6">
        <w:trPr>
          <w:trHeight w:val="315"/>
          <w:jc w:val="center"/>
        </w:trPr>
        <w:tc>
          <w:tcPr>
            <w:tcW w:w="1815" w:type="dxa"/>
            <w:vMerge w:val="restart"/>
            <w:tcBorders>
              <w:top w:val="double" w:sz="6" w:space="0" w:color="0000FF"/>
              <w:left w:val="nil"/>
              <w:bottom w:val="single" w:sz="8" w:space="0" w:color="0000FF"/>
              <w:right w:val="single" w:sz="4" w:space="0" w:color="0000FF"/>
            </w:tcBorders>
            <w:shd w:val="clear" w:color="auto" w:fill="auto"/>
            <w:noWrap/>
            <w:vAlign w:val="center"/>
          </w:tcPr>
          <w:p w14:paraId="5B7B65CE" w14:textId="77777777" w:rsidR="005D4CB6" w:rsidRPr="005D4CB6" w:rsidRDefault="005D4CB6" w:rsidP="005D4CB6">
            <w:pPr>
              <w:spacing w:line="276" w:lineRule="auto"/>
              <w:jc w:val="center"/>
              <w:rPr>
                <w:rFonts w:ascii="Book Antiqua" w:hAnsi="Book Antiqua"/>
                <w:b/>
                <w:bCs/>
                <w:sz w:val="22"/>
              </w:rPr>
            </w:pPr>
            <w:r w:rsidRPr="005D4CB6">
              <w:rPr>
                <w:rFonts w:ascii="Book Antiqua" w:hAnsi="Book Antiqua"/>
                <w:b/>
                <w:bCs/>
                <w:sz w:val="22"/>
              </w:rPr>
              <w:t>Dependencia</w:t>
            </w:r>
          </w:p>
        </w:tc>
        <w:tc>
          <w:tcPr>
            <w:tcW w:w="3254" w:type="dxa"/>
            <w:gridSpan w:val="3"/>
            <w:tcBorders>
              <w:top w:val="double" w:sz="6" w:space="0" w:color="0000FF"/>
              <w:left w:val="nil"/>
              <w:bottom w:val="single" w:sz="4" w:space="0" w:color="0000FF"/>
              <w:right w:val="nil"/>
            </w:tcBorders>
            <w:vAlign w:val="center"/>
          </w:tcPr>
          <w:p w14:paraId="27FD8207" w14:textId="77777777" w:rsidR="005D4CB6" w:rsidRPr="005D4CB6" w:rsidRDefault="005D4CB6" w:rsidP="005D4CB6">
            <w:pPr>
              <w:spacing w:line="276" w:lineRule="auto"/>
              <w:jc w:val="center"/>
              <w:rPr>
                <w:rFonts w:ascii="Book Antiqua" w:hAnsi="Book Antiqua"/>
                <w:b/>
                <w:bCs/>
                <w:sz w:val="22"/>
              </w:rPr>
            </w:pPr>
            <w:r w:rsidRPr="005D4CB6">
              <w:rPr>
                <w:rFonts w:ascii="Book Antiqua" w:hAnsi="Book Antiqua"/>
                <w:b/>
                <w:bCs/>
                <w:sz w:val="22"/>
              </w:rPr>
              <w:t>Distribución plazas</w:t>
            </w:r>
          </w:p>
        </w:tc>
      </w:tr>
      <w:tr w:rsidR="005D4CB6" w:rsidRPr="005D4CB6" w14:paraId="7DA7DC56" w14:textId="77777777" w:rsidTr="005D4CB6">
        <w:trPr>
          <w:trHeight w:val="315"/>
          <w:jc w:val="center"/>
        </w:trPr>
        <w:tc>
          <w:tcPr>
            <w:tcW w:w="1815" w:type="dxa"/>
            <w:vMerge/>
            <w:tcBorders>
              <w:top w:val="double" w:sz="6" w:space="0" w:color="0000FF"/>
              <w:left w:val="nil"/>
              <w:bottom w:val="single" w:sz="8" w:space="0" w:color="0000FF"/>
              <w:right w:val="single" w:sz="4" w:space="0" w:color="0000FF"/>
            </w:tcBorders>
            <w:vAlign w:val="center"/>
          </w:tcPr>
          <w:p w14:paraId="0B48AD2D" w14:textId="77777777" w:rsidR="005D4CB6" w:rsidRPr="005D4CB6" w:rsidRDefault="005D4CB6" w:rsidP="005D4CB6">
            <w:pPr>
              <w:spacing w:line="276" w:lineRule="auto"/>
              <w:rPr>
                <w:rFonts w:ascii="Book Antiqua" w:hAnsi="Book Antiqua"/>
                <w:b/>
                <w:bCs/>
                <w:sz w:val="22"/>
              </w:rPr>
            </w:pPr>
          </w:p>
        </w:tc>
        <w:tc>
          <w:tcPr>
            <w:tcW w:w="768" w:type="dxa"/>
            <w:tcBorders>
              <w:top w:val="nil"/>
              <w:left w:val="nil"/>
              <w:bottom w:val="single" w:sz="8" w:space="0" w:color="0000FF"/>
              <w:right w:val="nil"/>
            </w:tcBorders>
            <w:vAlign w:val="bottom"/>
          </w:tcPr>
          <w:p w14:paraId="7E2845E0" w14:textId="77777777" w:rsidR="005D4CB6" w:rsidRPr="005D4CB6" w:rsidRDefault="005D4CB6" w:rsidP="005D4CB6">
            <w:pPr>
              <w:spacing w:line="276" w:lineRule="auto"/>
              <w:jc w:val="center"/>
              <w:rPr>
                <w:rFonts w:ascii="Book Antiqua" w:hAnsi="Book Antiqua"/>
                <w:b/>
                <w:bCs/>
                <w:sz w:val="22"/>
              </w:rPr>
            </w:pPr>
            <w:r w:rsidRPr="005D4CB6">
              <w:rPr>
                <w:rFonts w:ascii="Book Antiqua" w:hAnsi="Book Antiqua"/>
                <w:b/>
                <w:bCs/>
                <w:sz w:val="22"/>
              </w:rPr>
              <w:t>2016</w:t>
            </w:r>
          </w:p>
        </w:tc>
        <w:tc>
          <w:tcPr>
            <w:tcW w:w="923" w:type="dxa"/>
            <w:tcBorders>
              <w:top w:val="nil"/>
              <w:left w:val="nil"/>
              <w:bottom w:val="single" w:sz="8" w:space="0" w:color="0000FF"/>
              <w:right w:val="nil"/>
            </w:tcBorders>
            <w:shd w:val="clear" w:color="auto" w:fill="auto"/>
            <w:noWrap/>
            <w:vAlign w:val="bottom"/>
          </w:tcPr>
          <w:p w14:paraId="6A0D9ADC" w14:textId="77777777" w:rsidR="005D4CB6" w:rsidRPr="005D4CB6" w:rsidRDefault="005D4CB6" w:rsidP="005D4CB6">
            <w:pPr>
              <w:spacing w:line="276" w:lineRule="auto"/>
              <w:jc w:val="center"/>
              <w:rPr>
                <w:rFonts w:ascii="Book Antiqua" w:hAnsi="Book Antiqua"/>
                <w:b/>
                <w:bCs/>
                <w:sz w:val="22"/>
              </w:rPr>
            </w:pPr>
            <w:r w:rsidRPr="005D4CB6">
              <w:rPr>
                <w:rFonts w:ascii="Book Antiqua" w:hAnsi="Book Antiqua"/>
                <w:b/>
                <w:bCs/>
                <w:sz w:val="22"/>
              </w:rPr>
              <w:t>2017</w:t>
            </w:r>
          </w:p>
        </w:tc>
        <w:tc>
          <w:tcPr>
            <w:tcW w:w="1563" w:type="dxa"/>
            <w:tcBorders>
              <w:top w:val="nil"/>
              <w:left w:val="nil"/>
              <w:bottom w:val="single" w:sz="8" w:space="0" w:color="0000FF"/>
              <w:right w:val="nil"/>
            </w:tcBorders>
            <w:shd w:val="clear" w:color="auto" w:fill="auto"/>
            <w:noWrap/>
            <w:vAlign w:val="bottom"/>
          </w:tcPr>
          <w:p w14:paraId="26FAC6C3" w14:textId="77777777" w:rsidR="005D4CB6" w:rsidRPr="005D4CB6" w:rsidRDefault="005D4CB6" w:rsidP="005D4CB6">
            <w:pPr>
              <w:spacing w:line="276" w:lineRule="auto"/>
              <w:jc w:val="center"/>
              <w:rPr>
                <w:rFonts w:ascii="Book Antiqua" w:hAnsi="Book Antiqua"/>
                <w:b/>
                <w:bCs/>
                <w:sz w:val="22"/>
              </w:rPr>
            </w:pPr>
            <w:r w:rsidRPr="005D4CB6">
              <w:rPr>
                <w:rFonts w:ascii="Book Antiqua" w:hAnsi="Book Antiqua"/>
                <w:b/>
                <w:bCs/>
                <w:sz w:val="22"/>
              </w:rPr>
              <w:t>Diferencia</w:t>
            </w:r>
          </w:p>
        </w:tc>
      </w:tr>
      <w:tr w:rsidR="005D4CB6" w:rsidRPr="005D4CB6" w14:paraId="1037ECAD" w14:textId="77777777" w:rsidTr="005D4CB6">
        <w:trPr>
          <w:trHeight w:val="300"/>
          <w:jc w:val="center"/>
        </w:trPr>
        <w:tc>
          <w:tcPr>
            <w:tcW w:w="1815" w:type="dxa"/>
            <w:tcBorders>
              <w:top w:val="nil"/>
              <w:left w:val="nil"/>
              <w:bottom w:val="nil"/>
              <w:right w:val="single" w:sz="4" w:space="0" w:color="0000FF"/>
            </w:tcBorders>
            <w:shd w:val="clear" w:color="auto" w:fill="auto"/>
            <w:noWrap/>
            <w:vAlign w:val="bottom"/>
          </w:tcPr>
          <w:p w14:paraId="2BBCC39B" w14:textId="77777777" w:rsidR="005D4CB6" w:rsidRPr="005D4CB6" w:rsidRDefault="005D4CB6" w:rsidP="005D4CB6">
            <w:pPr>
              <w:spacing w:line="276" w:lineRule="auto"/>
              <w:rPr>
                <w:rFonts w:ascii="Book Antiqua" w:hAnsi="Book Antiqua"/>
                <w:i/>
                <w:sz w:val="22"/>
              </w:rPr>
            </w:pPr>
            <w:r w:rsidRPr="005D4CB6">
              <w:rPr>
                <w:rFonts w:ascii="Book Antiqua" w:hAnsi="Book Antiqua"/>
                <w:i/>
                <w:sz w:val="22"/>
              </w:rPr>
              <w:t xml:space="preserve"> BCCR</w:t>
            </w:r>
          </w:p>
        </w:tc>
        <w:tc>
          <w:tcPr>
            <w:tcW w:w="768" w:type="dxa"/>
            <w:tcBorders>
              <w:top w:val="nil"/>
              <w:left w:val="nil"/>
              <w:bottom w:val="nil"/>
              <w:right w:val="nil"/>
            </w:tcBorders>
          </w:tcPr>
          <w:p w14:paraId="03A8EE99" w14:textId="77777777" w:rsidR="005D4CB6" w:rsidRPr="005D4CB6" w:rsidRDefault="005D4CB6" w:rsidP="005D4CB6">
            <w:pPr>
              <w:spacing w:line="276" w:lineRule="auto"/>
              <w:jc w:val="right"/>
              <w:rPr>
                <w:sz w:val="22"/>
              </w:rPr>
            </w:pPr>
            <w:r w:rsidRPr="005D4CB6">
              <w:rPr>
                <w:sz w:val="22"/>
              </w:rPr>
              <w:t>713</w:t>
            </w:r>
          </w:p>
        </w:tc>
        <w:tc>
          <w:tcPr>
            <w:tcW w:w="923" w:type="dxa"/>
            <w:tcBorders>
              <w:top w:val="nil"/>
              <w:left w:val="nil"/>
              <w:bottom w:val="nil"/>
              <w:right w:val="nil"/>
            </w:tcBorders>
            <w:shd w:val="clear" w:color="auto" w:fill="auto"/>
            <w:noWrap/>
          </w:tcPr>
          <w:p w14:paraId="02D61C88" w14:textId="77777777" w:rsidR="005D4CB6" w:rsidRPr="005D4CB6" w:rsidRDefault="005D4CB6" w:rsidP="005D4CB6">
            <w:pPr>
              <w:spacing w:line="276" w:lineRule="auto"/>
              <w:jc w:val="right"/>
              <w:rPr>
                <w:sz w:val="22"/>
              </w:rPr>
            </w:pPr>
            <w:r w:rsidRPr="005D4CB6">
              <w:rPr>
                <w:sz w:val="22"/>
              </w:rPr>
              <w:t>714</w:t>
            </w:r>
          </w:p>
        </w:tc>
        <w:tc>
          <w:tcPr>
            <w:tcW w:w="1563" w:type="dxa"/>
            <w:tcBorders>
              <w:top w:val="nil"/>
              <w:left w:val="nil"/>
              <w:bottom w:val="nil"/>
              <w:right w:val="nil"/>
            </w:tcBorders>
            <w:shd w:val="clear" w:color="auto" w:fill="auto"/>
            <w:noWrap/>
          </w:tcPr>
          <w:p w14:paraId="6B1142AE" w14:textId="77777777" w:rsidR="005D4CB6" w:rsidRPr="005D4CB6" w:rsidRDefault="005D4CB6" w:rsidP="005D4CB6">
            <w:pPr>
              <w:spacing w:line="276" w:lineRule="auto"/>
              <w:jc w:val="center"/>
              <w:rPr>
                <w:sz w:val="22"/>
              </w:rPr>
            </w:pPr>
            <w:r w:rsidRPr="005D4CB6">
              <w:rPr>
                <w:sz w:val="22"/>
              </w:rPr>
              <w:t>+1</w:t>
            </w:r>
          </w:p>
        </w:tc>
      </w:tr>
      <w:tr w:rsidR="005D4CB6" w:rsidRPr="005D4CB6" w14:paraId="76191FAC" w14:textId="77777777" w:rsidTr="005D4CB6">
        <w:trPr>
          <w:trHeight w:val="300"/>
          <w:jc w:val="center"/>
        </w:trPr>
        <w:tc>
          <w:tcPr>
            <w:tcW w:w="1815" w:type="dxa"/>
            <w:tcBorders>
              <w:top w:val="nil"/>
              <w:left w:val="nil"/>
              <w:bottom w:val="nil"/>
              <w:right w:val="single" w:sz="4" w:space="0" w:color="0000FF"/>
            </w:tcBorders>
            <w:shd w:val="clear" w:color="auto" w:fill="auto"/>
            <w:noWrap/>
            <w:vAlign w:val="bottom"/>
          </w:tcPr>
          <w:p w14:paraId="4C7F5CC6" w14:textId="77777777" w:rsidR="005D4CB6" w:rsidRPr="005D4CB6" w:rsidRDefault="005D4CB6" w:rsidP="005D4CB6">
            <w:pPr>
              <w:spacing w:line="276" w:lineRule="auto"/>
              <w:rPr>
                <w:rFonts w:ascii="Book Antiqua" w:hAnsi="Book Antiqua"/>
                <w:i/>
                <w:sz w:val="22"/>
              </w:rPr>
            </w:pPr>
            <w:r w:rsidRPr="005D4CB6">
              <w:rPr>
                <w:rFonts w:ascii="Book Antiqua" w:hAnsi="Book Antiqua"/>
                <w:i/>
                <w:sz w:val="22"/>
              </w:rPr>
              <w:t xml:space="preserve"> SUGEF</w:t>
            </w:r>
          </w:p>
        </w:tc>
        <w:tc>
          <w:tcPr>
            <w:tcW w:w="768" w:type="dxa"/>
            <w:tcBorders>
              <w:top w:val="nil"/>
              <w:left w:val="nil"/>
              <w:bottom w:val="nil"/>
              <w:right w:val="nil"/>
            </w:tcBorders>
          </w:tcPr>
          <w:p w14:paraId="4D16ED0C" w14:textId="77777777" w:rsidR="005D4CB6" w:rsidRPr="005D4CB6" w:rsidRDefault="005D4CB6" w:rsidP="005D4CB6">
            <w:pPr>
              <w:spacing w:line="276" w:lineRule="auto"/>
              <w:jc w:val="right"/>
              <w:rPr>
                <w:sz w:val="22"/>
              </w:rPr>
            </w:pPr>
            <w:r w:rsidRPr="005D4CB6">
              <w:rPr>
                <w:sz w:val="22"/>
              </w:rPr>
              <w:t>206</w:t>
            </w:r>
          </w:p>
        </w:tc>
        <w:tc>
          <w:tcPr>
            <w:tcW w:w="923" w:type="dxa"/>
            <w:tcBorders>
              <w:top w:val="nil"/>
              <w:left w:val="nil"/>
              <w:bottom w:val="nil"/>
              <w:right w:val="nil"/>
            </w:tcBorders>
            <w:shd w:val="clear" w:color="auto" w:fill="auto"/>
            <w:noWrap/>
          </w:tcPr>
          <w:p w14:paraId="0390CC64" w14:textId="77777777" w:rsidR="005D4CB6" w:rsidRPr="005D4CB6" w:rsidRDefault="005D4CB6" w:rsidP="005D4CB6">
            <w:pPr>
              <w:spacing w:line="276" w:lineRule="auto"/>
              <w:jc w:val="right"/>
              <w:rPr>
                <w:sz w:val="22"/>
              </w:rPr>
            </w:pPr>
            <w:r w:rsidRPr="005D4CB6">
              <w:rPr>
                <w:sz w:val="22"/>
              </w:rPr>
              <w:t>205</w:t>
            </w:r>
          </w:p>
        </w:tc>
        <w:tc>
          <w:tcPr>
            <w:tcW w:w="1563" w:type="dxa"/>
            <w:tcBorders>
              <w:top w:val="nil"/>
              <w:left w:val="nil"/>
              <w:bottom w:val="nil"/>
              <w:right w:val="nil"/>
            </w:tcBorders>
            <w:shd w:val="clear" w:color="auto" w:fill="auto"/>
            <w:noWrap/>
          </w:tcPr>
          <w:p w14:paraId="64FDC270" w14:textId="77777777" w:rsidR="005D4CB6" w:rsidRPr="005D4CB6" w:rsidRDefault="005D4CB6" w:rsidP="005D4CB6">
            <w:pPr>
              <w:spacing w:line="276" w:lineRule="auto"/>
              <w:jc w:val="center"/>
              <w:rPr>
                <w:sz w:val="22"/>
              </w:rPr>
            </w:pPr>
            <w:r w:rsidRPr="005D4CB6">
              <w:rPr>
                <w:sz w:val="22"/>
              </w:rPr>
              <w:t>-1</w:t>
            </w:r>
          </w:p>
        </w:tc>
      </w:tr>
      <w:tr w:rsidR="005D4CB6" w:rsidRPr="005D4CB6" w14:paraId="2F177C0F" w14:textId="77777777" w:rsidTr="005D4CB6">
        <w:trPr>
          <w:trHeight w:val="300"/>
          <w:jc w:val="center"/>
        </w:trPr>
        <w:tc>
          <w:tcPr>
            <w:tcW w:w="1815" w:type="dxa"/>
            <w:tcBorders>
              <w:top w:val="nil"/>
              <w:left w:val="nil"/>
              <w:right w:val="single" w:sz="4" w:space="0" w:color="0000FF"/>
            </w:tcBorders>
            <w:shd w:val="clear" w:color="auto" w:fill="auto"/>
            <w:noWrap/>
            <w:vAlign w:val="bottom"/>
          </w:tcPr>
          <w:p w14:paraId="3CE0F349" w14:textId="77777777" w:rsidR="005D4CB6" w:rsidRPr="005D4CB6" w:rsidRDefault="005D4CB6" w:rsidP="005D4CB6">
            <w:pPr>
              <w:spacing w:line="276" w:lineRule="auto"/>
              <w:rPr>
                <w:rFonts w:ascii="Book Antiqua" w:hAnsi="Book Antiqua"/>
                <w:i/>
                <w:sz w:val="22"/>
              </w:rPr>
            </w:pPr>
            <w:r w:rsidRPr="005D4CB6">
              <w:rPr>
                <w:rFonts w:ascii="Book Antiqua" w:hAnsi="Book Antiqua"/>
                <w:i/>
                <w:sz w:val="22"/>
              </w:rPr>
              <w:t xml:space="preserve"> CONASSIF</w:t>
            </w:r>
          </w:p>
        </w:tc>
        <w:tc>
          <w:tcPr>
            <w:tcW w:w="768" w:type="dxa"/>
            <w:tcBorders>
              <w:top w:val="nil"/>
              <w:left w:val="nil"/>
              <w:right w:val="nil"/>
            </w:tcBorders>
          </w:tcPr>
          <w:p w14:paraId="1CE1FD48" w14:textId="77777777" w:rsidR="005D4CB6" w:rsidRPr="005D4CB6" w:rsidRDefault="005D4CB6" w:rsidP="005D4CB6">
            <w:pPr>
              <w:spacing w:line="276" w:lineRule="auto"/>
              <w:jc w:val="right"/>
              <w:rPr>
                <w:sz w:val="22"/>
              </w:rPr>
            </w:pPr>
            <w:r w:rsidRPr="005D4CB6">
              <w:rPr>
                <w:sz w:val="22"/>
              </w:rPr>
              <w:t>25</w:t>
            </w:r>
          </w:p>
        </w:tc>
        <w:tc>
          <w:tcPr>
            <w:tcW w:w="923" w:type="dxa"/>
            <w:tcBorders>
              <w:top w:val="nil"/>
              <w:left w:val="nil"/>
              <w:right w:val="nil"/>
            </w:tcBorders>
            <w:shd w:val="clear" w:color="auto" w:fill="auto"/>
            <w:noWrap/>
          </w:tcPr>
          <w:p w14:paraId="24BE6AC1" w14:textId="77777777" w:rsidR="005D4CB6" w:rsidRPr="005D4CB6" w:rsidRDefault="005D4CB6" w:rsidP="005D4CB6">
            <w:pPr>
              <w:spacing w:line="276" w:lineRule="auto"/>
              <w:jc w:val="right"/>
              <w:rPr>
                <w:sz w:val="22"/>
              </w:rPr>
            </w:pPr>
            <w:r w:rsidRPr="005D4CB6">
              <w:rPr>
                <w:sz w:val="22"/>
              </w:rPr>
              <w:t>25</w:t>
            </w:r>
          </w:p>
        </w:tc>
        <w:tc>
          <w:tcPr>
            <w:tcW w:w="1563" w:type="dxa"/>
            <w:tcBorders>
              <w:top w:val="nil"/>
              <w:left w:val="nil"/>
              <w:right w:val="nil"/>
            </w:tcBorders>
            <w:shd w:val="clear" w:color="auto" w:fill="auto"/>
            <w:noWrap/>
          </w:tcPr>
          <w:p w14:paraId="38123F69" w14:textId="77777777" w:rsidR="005D4CB6" w:rsidRPr="005D4CB6" w:rsidRDefault="005D4CB6" w:rsidP="005D4CB6">
            <w:pPr>
              <w:spacing w:line="276" w:lineRule="auto"/>
              <w:jc w:val="center"/>
              <w:rPr>
                <w:sz w:val="22"/>
              </w:rPr>
            </w:pPr>
            <w:r w:rsidRPr="005D4CB6">
              <w:rPr>
                <w:sz w:val="22"/>
              </w:rPr>
              <w:t>0</w:t>
            </w:r>
          </w:p>
        </w:tc>
      </w:tr>
      <w:tr w:rsidR="005D4CB6" w:rsidRPr="005D4CB6" w14:paraId="029B9D57" w14:textId="77777777" w:rsidTr="005D4CB6">
        <w:trPr>
          <w:trHeight w:val="315"/>
          <w:jc w:val="center"/>
        </w:trPr>
        <w:tc>
          <w:tcPr>
            <w:tcW w:w="1815" w:type="dxa"/>
            <w:tcBorders>
              <w:top w:val="nil"/>
              <w:left w:val="nil"/>
              <w:right w:val="single" w:sz="4" w:space="0" w:color="0000FF"/>
            </w:tcBorders>
            <w:shd w:val="clear" w:color="auto" w:fill="auto"/>
            <w:noWrap/>
            <w:vAlign w:val="bottom"/>
          </w:tcPr>
          <w:p w14:paraId="32FF07EB" w14:textId="77777777" w:rsidR="005D4CB6" w:rsidRPr="005D4CB6" w:rsidRDefault="005D4CB6" w:rsidP="005D4CB6">
            <w:pPr>
              <w:spacing w:line="276" w:lineRule="auto"/>
              <w:rPr>
                <w:rFonts w:ascii="Book Antiqua" w:hAnsi="Book Antiqua"/>
                <w:i/>
                <w:sz w:val="22"/>
              </w:rPr>
            </w:pPr>
            <w:r w:rsidRPr="005D4CB6">
              <w:rPr>
                <w:rFonts w:ascii="Book Antiqua" w:hAnsi="Book Antiqua"/>
                <w:i/>
                <w:sz w:val="22"/>
              </w:rPr>
              <w:t xml:space="preserve"> SUPEN</w:t>
            </w:r>
          </w:p>
        </w:tc>
        <w:tc>
          <w:tcPr>
            <w:tcW w:w="768" w:type="dxa"/>
            <w:tcBorders>
              <w:top w:val="nil"/>
              <w:left w:val="nil"/>
              <w:right w:val="nil"/>
            </w:tcBorders>
          </w:tcPr>
          <w:p w14:paraId="7CDF8C3F" w14:textId="77777777" w:rsidR="005D4CB6" w:rsidRPr="005D4CB6" w:rsidRDefault="005D4CB6" w:rsidP="005D4CB6">
            <w:pPr>
              <w:spacing w:line="276" w:lineRule="auto"/>
              <w:jc w:val="right"/>
              <w:rPr>
                <w:sz w:val="22"/>
              </w:rPr>
            </w:pPr>
            <w:r w:rsidRPr="005D4CB6">
              <w:rPr>
                <w:sz w:val="22"/>
              </w:rPr>
              <w:t>80</w:t>
            </w:r>
          </w:p>
        </w:tc>
        <w:tc>
          <w:tcPr>
            <w:tcW w:w="923" w:type="dxa"/>
            <w:tcBorders>
              <w:top w:val="nil"/>
              <w:left w:val="nil"/>
              <w:right w:val="nil"/>
            </w:tcBorders>
            <w:shd w:val="clear" w:color="auto" w:fill="auto"/>
            <w:noWrap/>
          </w:tcPr>
          <w:p w14:paraId="271450D6" w14:textId="77777777" w:rsidR="005D4CB6" w:rsidRPr="005D4CB6" w:rsidRDefault="005D4CB6" w:rsidP="005D4CB6">
            <w:pPr>
              <w:spacing w:line="276" w:lineRule="auto"/>
              <w:jc w:val="right"/>
              <w:rPr>
                <w:sz w:val="22"/>
              </w:rPr>
            </w:pPr>
            <w:r w:rsidRPr="005D4CB6">
              <w:rPr>
                <w:sz w:val="22"/>
              </w:rPr>
              <w:t>80</w:t>
            </w:r>
          </w:p>
        </w:tc>
        <w:tc>
          <w:tcPr>
            <w:tcW w:w="1563" w:type="dxa"/>
            <w:tcBorders>
              <w:top w:val="nil"/>
              <w:left w:val="nil"/>
              <w:right w:val="nil"/>
            </w:tcBorders>
            <w:shd w:val="clear" w:color="auto" w:fill="auto"/>
            <w:noWrap/>
          </w:tcPr>
          <w:p w14:paraId="516DF6A3" w14:textId="77777777" w:rsidR="005D4CB6" w:rsidRPr="005D4CB6" w:rsidRDefault="005D4CB6" w:rsidP="005D4CB6">
            <w:pPr>
              <w:spacing w:line="276" w:lineRule="auto"/>
              <w:jc w:val="center"/>
              <w:rPr>
                <w:sz w:val="22"/>
              </w:rPr>
            </w:pPr>
            <w:r w:rsidRPr="005D4CB6">
              <w:rPr>
                <w:sz w:val="22"/>
              </w:rPr>
              <w:t>0</w:t>
            </w:r>
          </w:p>
        </w:tc>
      </w:tr>
      <w:tr w:rsidR="005D4CB6" w:rsidRPr="005D4CB6" w14:paraId="6F7A1C08" w14:textId="77777777" w:rsidTr="005D4CB6">
        <w:trPr>
          <w:trHeight w:val="315"/>
          <w:jc w:val="center"/>
        </w:trPr>
        <w:tc>
          <w:tcPr>
            <w:tcW w:w="1815" w:type="dxa"/>
            <w:tcBorders>
              <w:top w:val="nil"/>
              <w:left w:val="nil"/>
              <w:right w:val="single" w:sz="4" w:space="0" w:color="0000FF"/>
            </w:tcBorders>
            <w:shd w:val="clear" w:color="auto" w:fill="auto"/>
            <w:noWrap/>
            <w:vAlign w:val="bottom"/>
          </w:tcPr>
          <w:p w14:paraId="26EFC915" w14:textId="77777777" w:rsidR="005D4CB6" w:rsidRPr="005D4CB6" w:rsidRDefault="005D4CB6" w:rsidP="005D4CB6">
            <w:pPr>
              <w:spacing w:line="276" w:lineRule="auto"/>
              <w:rPr>
                <w:rFonts w:ascii="Book Antiqua" w:hAnsi="Book Antiqua"/>
                <w:i/>
                <w:sz w:val="22"/>
              </w:rPr>
            </w:pPr>
            <w:r w:rsidRPr="005D4CB6">
              <w:rPr>
                <w:rFonts w:ascii="Book Antiqua" w:hAnsi="Book Antiqua"/>
                <w:i/>
                <w:sz w:val="22"/>
              </w:rPr>
              <w:t xml:space="preserve"> SUGEVAL</w:t>
            </w:r>
          </w:p>
        </w:tc>
        <w:tc>
          <w:tcPr>
            <w:tcW w:w="768" w:type="dxa"/>
            <w:tcBorders>
              <w:top w:val="nil"/>
              <w:left w:val="nil"/>
              <w:right w:val="nil"/>
            </w:tcBorders>
          </w:tcPr>
          <w:p w14:paraId="5801E021" w14:textId="77777777" w:rsidR="005D4CB6" w:rsidRPr="005D4CB6" w:rsidRDefault="005D4CB6" w:rsidP="005D4CB6">
            <w:pPr>
              <w:spacing w:line="276" w:lineRule="auto"/>
              <w:jc w:val="right"/>
              <w:rPr>
                <w:sz w:val="22"/>
              </w:rPr>
            </w:pPr>
            <w:r w:rsidRPr="005D4CB6">
              <w:rPr>
                <w:sz w:val="22"/>
              </w:rPr>
              <w:t>93</w:t>
            </w:r>
          </w:p>
        </w:tc>
        <w:tc>
          <w:tcPr>
            <w:tcW w:w="923" w:type="dxa"/>
            <w:tcBorders>
              <w:top w:val="nil"/>
              <w:left w:val="nil"/>
              <w:right w:val="nil"/>
            </w:tcBorders>
            <w:shd w:val="clear" w:color="auto" w:fill="auto"/>
            <w:noWrap/>
          </w:tcPr>
          <w:p w14:paraId="5B0036FE" w14:textId="77777777" w:rsidR="005D4CB6" w:rsidRPr="005D4CB6" w:rsidRDefault="005D4CB6" w:rsidP="005D4CB6">
            <w:pPr>
              <w:spacing w:line="276" w:lineRule="auto"/>
              <w:jc w:val="right"/>
              <w:rPr>
                <w:sz w:val="22"/>
              </w:rPr>
            </w:pPr>
            <w:r w:rsidRPr="005D4CB6">
              <w:rPr>
                <w:sz w:val="22"/>
              </w:rPr>
              <w:t>93</w:t>
            </w:r>
          </w:p>
        </w:tc>
        <w:tc>
          <w:tcPr>
            <w:tcW w:w="1563" w:type="dxa"/>
            <w:tcBorders>
              <w:top w:val="nil"/>
              <w:left w:val="nil"/>
              <w:right w:val="nil"/>
            </w:tcBorders>
            <w:shd w:val="clear" w:color="auto" w:fill="auto"/>
            <w:noWrap/>
          </w:tcPr>
          <w:p w14:paraId="324A826B" w14:textId="77777777" w:rsidR="005D4CB6" w:rsidRPr="005D4CB6" w:rsidRDefault="005D4CB6" w:rsidP="005D4CB6">
            <w:pPr>
              <w:spacing w:line="276" w:lineRule="auto"/>
              <w:jc w:val="center"/>
              <w:rPr>
                <w:sz w:val="22"/>
              </w:rPr>
            </w:pPr>
            <w:r w:rsidRPr="005D4CB6">
              <w:rPr>
                <w:sz w:val="22"/>
              </w:rPr>
              <w:t>0</w:t>
            </w:r>
          </w:p>
        </w:tc>
      </w:tr>
      <w:tr w:rsidR="005D4CB6" w:rsidRPr="005D4CB6" w14:paraId="6FE6279D" w14:textId="77777777" w:rsidTr="005D4CB6">
        <w:trPr>
          <w:trHeight w:val="315"/>
          <w:jc w:val="center"/>
        </w:trPr>
        <w:tc>
          <w:tcPr>
            <w:tcW w:w="1815" w:type="dxa"/>
            <w:tcBorders>
              <w:top w:val="nil"/>
              <w:left w:val="nil"/>
              <w:right w:val="single" w:sz="4" w:space="0" w:color="0000FF"/>
            </w:tcBorders>
            <w:shd w:val="clear" w:color="auto" w:fill="auto"/>
            <w:noWrap/>
            <w:vAlign w:val="bottom"/>
          </w:tcPr>
          <w:p w14:paraId="3A9264F4" w14:textId="77777777" w:rsidR="005D4CB6" w:rsidRPr="005D4CB6" w:rsidRDefault="005D4CB6" w:rsidP="005D4CB6">
            <w:pPr>
              <w:spacing w:line="276" w:lineRule="auto"/>
              <w:rPr>
                <w:rFonts w:ascii="Book Antiqua" w:hAnsi="Book Antiqua"/>
                <w:i/>
                <w:sz w:val="22"/>
              </w:rPr>
            </w:pPr>
            <w:r w:rsidRPr="005D4CB6">
              <w:rPr>
                <w:rFonts w:ascii="Book Antiqua" w:hAnsi="Book Antiqua"/>
                <w:i/>
                <w:sz w:val="22"/>
              </w:rPr>
              <w:t>SUGESE</w:t>
            </w:r>
          </w:p>
        </w:tc>
        <w:tc>
          <w:tcPr>
            <w:tcW w:w="768" w:type="dxa"/>
            <w:tcBorders>
              <w:top w:val="nil"/>
              <w:left w:val="nil"/>
              <w:right w:val="nil"/>
            </w:tcBorders>
          </w:tcPr>
          <w:p w14:paraId="1D37BCD5" w14:textId="77777777" w:rsidR="005D4CB6" w:rsidRPr="005D4CB6" w:rsidRDefault="005D4CB6" w:rsidP="005D4CB6">
            <w:pPr>
              <w:spacing w:line="276" w:lineRule="auto"/>
              <w:jc w:val="right"/>
              <w:rPr>
                <w:sz w:val="22"/>
              </w:rPr>
            </w:pPr>
            <w:r w:rsidRPr="005D4CB6">
              <w:rPr>
                <w:sz w:val="22"/>
              </w:rPr>
              <w:t>42</w:t>
            </w:r>
          </w:p>
        </w:tc>
        <w:tc>
          <w:tcPr>
            <w:tcW w:w="923" w:type="dxa"/>
            <w:tcBorders>
              <w:top w:val="nil"/>
              <w:left w:val="nil"/>
              <w:right w:val="nil"/>
            </w:tcBorders>
            <w:shd w:val="clear" w:color="auto" w:fill="auto"/>
            <w:noWrap/>
          </w:tcPr>
          <w:p w14:paraId="7E540932" w14:textId="77777777" w:rsidR="005D4CB6" w:rsidRPr="005D4CB6" w:rsidRDefault="005D4CB6" w:rsidP="005D4CB6">
            <w:pPr>
              <w:spacing w:line="276" w:lineRule="auto"/>
              <w:jc w:val="right"/>
              <w:rPr>
                <w:sz w:val="22"/>
              </w:rPr>
            </w:pPr>
            <w:r w:rsidRPr="005D4CB6">
              <w:rPr>
                <w:sz w:val="22"/>
              </w:rPr>
              <w:t>42</w:t>
            </w:r>
          </w:p>
        </w:tc>
        <w:tc>
          <w:tcPr>
            <w:tcW w:w="1563" w:type="dxa"/>
            <w:tcBorders>
              <w:top w:val="nil"/>
              <w:left w:val="nil"/>
              <w:right w:val="nil"/>
            </w:tcBorders>
            <w:shd w:val="clear" w:color="auto" w:fill="auto"/>
            <w:noWrap/>
          </w:tcPr>
          <w:p w14:paraId="78F1D0DA" w14:textId="77777777" w:rsidR="005D4CB6" w:rsidRPr="005D4CB6" w:rsidRDefault="005D4CB6" w:rsidP="005D4CB6">
            <w:pPr>
              <w:spacing w:line="276" w:lineRule="auto"/>
              <w:jc w:val="center"/>
              <w:rPr>
                <w:sz w:val="22"/>
              </w:rPr>
            </w:pPr>
            <w:r w:rsidRPr="005D4CB6">
              <w:rPr>
                <w:sz w:val="22"/>
              </w:rPr>
              <w:t>0</w:t>
            </w:r>
          </w:p>
        </w:tc>
      </w:tr>
      <w:tr w:rsidR="005D4CB6" w:rsidRPr="005D4CB6" w14:paraId="1D326C99" w14:textId="77777777" w:rsidTr="005D4CB6">
        <w:trPr>
          <w:trHeight w:val="315"/>
          <w:jc w:val="center"/>
        </w:trPr>
        <w:tc>
          <w:tcPr>
            <w:tcW w:w="1815" w:type="dxa"/>
            <w:tcBorders>
              <w:left w:val="nil"/>
              <w:bottom w:val="double" w:sz="6" w:space="0" w:color="0000FF"/>
              <w:right w:val="single" w:sz="4" w:space="0" w:color="0000FF"/>
            </w:tcBorders>
            <w:shd w:val="clear" w:color="auto" w:fill="auto"/>
            <w:noWrap/>
            <w:vAlign w:val="bottom"/>
          </w:tcPr>
          <w:p w14:paraId="6B8AABF1" w14:textId="77777777" w:rsidR="005D4CB6" w:rsidRPr="005D4CB6" w:rsidRDefault="005D4CB6" w:rsidP="005D4CB6">
            <w:pPr>
              <w:spacing w:line="276" w:lineRule="auto"/>
              <w:jc w:val="center"/>
              <w:rPr>
                <w:rFonts w:ascii="Book Antiqua" w:hAnsi="Book Antiqua"/>
                <w:b/>
                <w:bCs/>
                <w:sz w:val="22"/>
              </w:rPr>
            </w:pPr>
            <w:r w:rsidRPr="005D4CB6">
              <w:rPr>
                <w:rFonts w:ascii="Book Antiqua" w:hAnsi="Book Antiqua"/>
                <w:b/>
                <w:bCs/>
                <w:sz w:val="22"/>
              </w:rPr>
              <w:t>Total</w:t>
            </w:r>
          </w:p>
        </w:tc>
        <w:tc>
          <w:tcPr>
            <w:tcW w:w="768" w:type="dxa"/>
            <w:tcBorders>
              <w:left w:val="nil"/>
              <w:bottom w:val="double" w:sz="6" w:space="0" w:color="0000FF"/>
              <w:right w:val="nil"/>
            </w:tcBorders>
          </w:tcPr>
          <w:p w14:paraId="41F32AC5" w14:textId="77777777" w:rsidR="005D4CB6" w:rsidRPr="005D4CB6" w:rsidRDefault="005D4CB6" w:rsidP="005D4CB6">
            <w:pPr>
              <w:spacing w:line="276" w:lineRule="auto"/>
              <w:jc w:val="right"/>
              <w:rPr>
                <w:b/>
                <w:sz w:val="22"/>
              </w:rPr>
            </w:pPr>
            <w:r w:rsidRPr="005D4CB6">
              <w:rPr>
                <w:b/>
                <w:sz w:val="22"/>
              </w:rPr>
              <w:t>1,159</w:t>
            </w:r>
          </w:p>
        </w:tc>
        <w:tc>
          <w:tcPr>
            <w:tcW w:w="923" w:type="dxa"/>
            <w:tcBorders>
              <w:left w:val="nil"/>
              <w:bottom w:val="double" w:sz="6" w:space="0" w:color="0000FF"/>
              <w:right w:val="nil"/>
            </w:tcBorders>
            <w:shd w:val="clear" w:color="auto" w:fill="auto"/>
            <w:noWrap/>
          </w:tcPr>
          <w:p w14:paraId="28BCA8E6" w14:textId="77777777" w:rsidR="005D4CB6" w:rsidRPr="005D4CB6" w:rsidRDefault="005D4CB6" w:rsidP="005D4CB6">
            <w:pPr>
              <w:spacing w:line="276" w:lineRule="auto"/>
              <w:jc w:val="right"/>
              <w:rPr>
                <w:b/>
                <w:sz w:val="22"/>
              </w:rPr>
            </w:pPr>
            <w:r w:rsidRPr="005D4CB6">
              <w:rPr>
                <w:b/>
                <w:sz w:val="22"/>
              </w:rPr>
              <w:t>1,159</w:t>
            </w:r>
          </w:p>
        </w:tc>
        <w:tc>
          <w:tcPr>
            <w:tcW w:w="1563" w:type="dxa"/>
            <w:tcBorders>
              <w:left w:val="nil"/>
              <w:bottom w:val="double" w:sz="6" w:space="0" w:color="0000FF"/>
              <w:right w:val="nil"/>
            </w:tcBorders>
            <w:shd w:val="clear" w:color="auto" w:fill="auto"/>
            <w:noWrap/>
          </w:tcPr>
          <w:p w14:paraId="68A85785" w14:textId="77777777" w:rsidR="005D4CB6" w:rsidRPr="005D4CB6" w:rsidRDefault="005D4CB6" w:rsidP="005D4CB6">
            <w:pPr>
              <w:spacing w:line="276" w:lineRule="auto"/>
              <w:jc w:val="center"/>
              <w:rPr>
                <w:b/>
                <w:sz w:val="22"/>
              </w:rPr>
            </w:pPr>
            <w:r w:rsidRPr="005D4CB6">
              <w:rPr>
                <w:b/>
                <w:sz w:val="22"/>
              </w:rPr>
              <w:t>0</w:t>
            </w:r>
          </w:p>
        </w:tc>
      </w:tr>
    </w:tbl>
    <w:p w14:paraId="327CF6E9" w14:textId="77777777" w:rsidR="005D4CB6" w:rsidRPr="005D4CB6" w:rsidRDefault="005D4CB6" w:rsidP="005D4CB6">
      <w:pPr>
        <w:spacing w:line="276" w:lineRule="auto"/>
        <w:jc w:val="both"/>
        <w:rPr>
          <w:rFonts w:ascii="Book Antiqua" w:hAnsi="Book Antiqua"/>
          <w:b/>
          <w:i/>
          <w:color w:val="800000"/>
          <w:sz w:val="22"/>
        </w:rPr>
      </w:pPr>
    </w:p>
    <w:p w14:paraId="7F190D80" w14:textId="77777777" w:rsidR="005D4CB6" w:rsidRPr="005D4CB6" w:rsidRDefault="005D4CB6" w:rsidP="005D4CB6">
      <w:pPr>
        <w:spacing w:line="276" w:lineRule="auto"/>
        <w:jc w:val="both"/>
        <w:rPr>
          <w:rFonts w:ascii="Book Antiqua" w:hAnsi="Book Antiqua"/>
          <w:sz w:val="22"/>
        </w:rPr>
      </w:pPr>
    </w:p>
    <w:p w14:paraId="7F27E4ED" w14:textId="77777777" w:rsidR="005D4CB6" w:rsidRPr="005D4CB6" w:rsidRDefault="005D4CB6" w:rsidP="005D4CB6">
      <w:pPr>
        <w:spacing w:line="276" w:lineRule="auto"/>
        <w:jc w:val="both"/>
        <w:rPr>
          <w:rFonts w:ascii="Book Antiqua" w:hAnsi="Book Antiqua"/>
          <w:b/>
          <w:i/>
          <w:color w:val="800000"/>
          <w:sz w:val="22"/>
        </w:rPr>
      </w:pPr>
      <w:r w:rsidRPr="005D4CB6">
        <w:rPr>
          <w:rFonts w:ascii="Book Antiqua" w:hAnsi="Book Antiqua"/>
          <w:b/>
          <w:i/>
          <w:color w:val="800000"/>
          <w:sz w:val="22"/>
        </w:rPr>
        <w:lastRenderedPageBreak/>
        <w:t>Variaciones de plazas entre escalas salariales</w:t>
      </w:r>
    </w:p>
    <w:p w14:paraId="38865B00"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En el siguiente cuadro se presentan las variaciones de plazas entre escalas salariales, siendo la principal variación originada por la conversión que se dio de plazas vacantes en donde plazas de la escala regular de básico más pluses se convierten en plazas dela escala regular global.</w:t>
      </w:r>
    </w:p>
    <w:p w14:paraId="155DCF11" w14:textId="77777777" w:rsidR="005D4CB6" w:rsidRPr="005D4CB6" w:rsidRDefault="005D4CB6" w:rsidP="005D4CB6">
      <w:pPr>
        <w:spacing w:line="276" w:lineRule="auto"/>
        <w:jc w:val="center"/>
        <w:rPr>
          <w:rFonts w:ascii="Book Antiqua" w:hAnsi="Book Antiqua"/>
          <w:b/>
          <w:sz w:val="22"/>
        </w:rPr>
      </w:pPr>
    </w:p>
    <w:p w14:paraId="4ADD7E44" w14:textId="77777777" w:rsidR="005D4CB6" w:rsidRPr="00E16284" w:rsidRDefault="005D4CB6" w:rsidP="00E16284">
      <w:pPr>
        <w:jc w:val="center"/>
        <w:rPr>
          <w:rFonts w:ascii="Book Antiqua" w:hAnsi="Book Antiqua"/>
          <w:b/>
          <w:sz w:val="20"/>
        </w:rPr>
      </w:pPr>
      <w:r w:rsidRPr="00E16284">
        <w:rPr>
          <w:rFonts w:ascii="Book Antiqua" w:hAnsi="Book Antiqua"/>
          <w:b/>
          <w:sz w:val="20"/>
        </w:rPr>
        <w:t>Distribución de Plazas en Presupuestos Formulados,</w:t>
      </w:r>
    </w:p>
    <w:p w14:paraId="2E41CE4C" w14:textId="77777777" w:rsidR="005D4CB6" w:rsidRPr="00E16284" w:rsidRDefault="005D4CB6" w:rsidP="00E16284">
      <w:pPr>
        <w:jc w:val="center"/>
        <w:rPr>
          <w:rFonts w:ascii="Book Antiqua" w:hAnsi="Book Antiqua"/>
          <w:b/>
          <w:sz w:val="20"/>
        </w:rPr>
      </w:pPr>
      <w:r w:rsidRPr="00E16284">
        <w:rPr>
          <w:rFonts w:ascii="Book Antiqua" w:hAnsi="Book Antiqua"/>
          <w:b/>
          <w:sz w:val="20"/>
        </w:rPr>
        <w:t>Según Escala por Año, Periodo 2016-2017</w:t>
      </w:r>
    </w:p>
    <w:tbl>
      <w:tblPr>
        <w:tblW w:w="5861" w:type="dxa"/>
        <w:jc w:val="center"/>
        <w:tblLook w:val="0000" w:firstRow="0" w:lastRow="0" w:firstColumn="0" w:lastColumn="0" w:noHBand="0" w:noVBand="0"/>
      </w:tblPr>
      <w:tblGrid>
        <w:gridCol w:w="2463"/>
        <w:gridCol w:w="846"/>
        <w:gridCol w:w="989"/>
        <w:gridCol w:w="1563"/>
      </w:tblGrid>
      <w:tr w:rsidR="005D4CB6" w:rsidRPr="00E16284" w14:paraId="2C02803C" w14:textId="77777777" w:rsidTr="005D4CB6">
        <w:trPr>
          <w:trHeight w:val="315"/>
          <w:jc w:val="center"/>
        </w:trPr>
        <w:tc>
          <w:tcPr>
            <w:tcW w:w="2463" w:type="dxa"/>
            <w:vMerge w:val="restart"/>
            <w:tcBorders>
              <w:top w:val="double" w:sz="6" w:space="0" w:color="0000FF"/>
              <w:left w:val="nil"/>
              <w:bottom w:val="single" w:sz="4" w:space="0" w:color="0000FF"/>
              <w:right w:val="single" w:sz="4" w:space="0" w:color="0000FF"/>
            </w:tcBorders>
            <w:shd w:val="clear" w:color="auto" w:fill="auto"/>
            <w:noWrap/>
            <w:vAlign w:val="center"/>
          </w:tcPr>
          <w:p w14:paraId="2D93FA0D" w14:textId="77777777" w:rsidR="005D4CB6" w:rsidRPr="00E16284" w:rsidRDefault="005D4CB6" w:rsidP="00E16284">
            <w:pPr>
              <w:jc w:val="center"/>
              <w:rPr>
                <w:rFonts w:ascii="Book Antiqua" w:hAnsi="Book Antiqua"/>
                <w:b/>
                <w:bCs/>
                <w:sz w:val="20"/>
              </w:rPr>
            </w:pPr>
            <w:r w:rsidRPr="00E16284">
              <w:rPr>
                <w:rFonts w:ascii="Book Antiqua" w:hAnsi="Book Antiqua"/>
                <w:b/>
                <w:bCs/>
                <w:sz w:val="20"/>
              </w:rPr>
              <w:t>Escala</w:t>
            </w:r>
          </w:p>
        </w:tc>
        <w:tc>
          <w:tcPr>
            <w:tcW w:w="3398" w:type="dxa"/>
            <w:gridSpan w:val="3"/>
            <w:tcBorders>
              <w:top w:val="double" w:sz="6" w:space="0" w:color="0000FF"/>
              <w:left w:val="nil"/>
              <w:bottom w:val="nil"/>
              <w:right w:val="nil"/>
            </w:tcBorders>
            <w:shd w:val="clear" w:color="auto" w:fill="auto"/>
            <w:noWrap/>
            <w:vAlign w:val="center"/>
          </w:tcPr>
          <w:p w14:paraId="20EC804B" w14:textId="77777777" w:rsidR="005D4CB6" w:rsidRPr="00E16284" w:rsidRDefault="005D4CB6" w:rsidP="00E16284">
            <w:pPr>
              <w:jc w:val="center"/>
              <w:rPr>
                <w:rFonts w:ascii="Book Antiqua" w:hAnsi="Book Antiqua"/>
                <w:b/>
                <w:bCs/>
                <w:sz w:val="20"/>
              </w:rPr>
            </w:pPr>
            <w:r w:rsidRPr="00E16284">
              <w:rPr>
                <w:rFonts w:ascii="Book Antiqua" w:hAnsi="Book Antiqua"/>
                <w:b/>
                <w:bCs/>
                <w:sz w:val="20"/>
              </w:rPr>
              <w:t>Año</w:t>
            </w:r>
          </w:p>
        </w:tc>
      </w:tr>
      <w:tr w:rsidR="005D4CB6" w:rsidRPr="00E16284" w14:paraId="07D445E9" w14:textId="77777777" w:rsidTr="005D4CB6">
        <w:trPr>
          <w:trHeight w:val="300"/>
          <w:jc w:val="center"/>
        </w:trPr>
        <w:tc>
          <w:tcPr>
            <w:tcW w:w="2463" w:type="dxa"/>
            <w:vMerge/>
            <w:tcBorders>
              <w:top w:val="double" w:sz="6" w:space="0" w:color="0000FF"/>
              <w:left w:val="nil"/>
              <w:bottom w:val="single" w:sz="4" w:space="0" w:color="0000FF"/>
              <w:right w:val="single" w:sz="4" w:space="0" w:color="0000FF"/>
            </w:tcBorders>
            <w:vAlign w:val="center"/>
          </w:tcPr>
          <w:p w14:paraId="76FE401B" w14:textId="77777777" w:rsidR="005D4CB6" w:rsidRPr="00E16284" w:rsidRDefault="005D4CB6" w:rsidP="00E16284">
            <w:pPr>
              <w:rPr>
                <w:rFonts w:ascii="Book Antiqua" w:hAnsi="Book Antiqua"/>
                <w:b/>
                <w:bCs/>
                <w:sz w:val="20"/>
              </w:rPr>
            </w:pPr>
          </w:p>
        </w:tc>
        <w:tc>
          <w:tcPr>
            <w:tcW w:w="846" w:type="dxa"/>
            <w:tcBorders>
              <w:top w:val="nil"/>
              <w:left w:val="nil"/>
              <w:bottom w:val="single" w:sz="4" w:space="0" w:color="0000FF"/>
              <w:right w:val="nil"/>
            </w:tcBorders>
            <w:shd w:val="clear" w:color="auto" w:fill="auto"/>
            <w:noWrap/>
            <w:vAlign w:val="bottom"/>
          </w:tcPr>
          <w:p w14:paraId="12EE4280" w14:textId="77777777" w:rsidR="005D4CB6" w:rsidRPr="00E16284" w:rsidRDefault="005D4CB6" w:rsidP="00E16284">
            <w:pPr>
              <w:jc w:val="center"/>
              <w:rPr>
                <w:rFonts w:ascii="Book Antiqua" w:hAnsi="Book Antiqua"/>
                <w:b/>
                <w:bCs/>
                <w:sz w:val="20"/>
              </w:rPr>
            </w:pPr>
            <w:r w:rsidRPr="00E16284">
              <w:rPr>
                <w:rFonts w:ascii="Book Antiqua" w:hAnsi="Book Antiqua"/>
                <w:b/>
                <w:bCs/>
                <w:sz w:val="20"/>
              </w:rPr>
              <w:t>2016</w:t>
            </w:r>
          </w:p>
        </w:tc>
        <w:tc>
          <w:tcPr>
            <w:tcW w:w="989" w:type="dxa"/>
            <w:tcBorders>
              <w:top w:val="nil"/>
              <w:left w:val="nil"/>
              <w:bottom w:val="single" w:sz="4" w:space="0" w:color="0000FF"/>
              <w:right w:val="nil"/>
            </w:tcBorders>
            <w:shd w:val="clear" w:color="auto" w:fill="auto"/>
            <w:noWrap/>
            <w:vAlign w:val="bottom"/>
          </w:tcPr>
          <w:p w14:paraId="5979D12F" w14:textId="77777777" w:rsidR="005D4CB6" w:rsidRPr="00E16284" w:rsidRDefault="005D4CB6" w:rsidP="00E16284">
            <w:pPr>
              <w:jc w:val="center"/>
              <w:rPr>
                <w:rFonts w:ascii="Book Antiqua" w:hAnsi="Book Antiqua"/>
                <w:b/>
                <w:bCs/>
                <w:sz w:val="20"/>
              </w:rPr>
            </w:pPr>
            <w:r w:rsidRPr="00E16284">
              <w:rPr>
                <w:rFonts w:ascii="Book Antiqua" w:hAnsi="Book Antiqua"/>
                <w:b/>
                <w:bCs/>
                <w:sz w:val="20"/>
              </w:rPr>
              <w:t>2017</w:t>
            </w:r>
          </w:p>
        </w:tc>
        <w:tc>
          <w:tcPr>
            <w:tcW w:w="1563" w:type="dxa"/>
            <w:tcBorders>
              <w:top w:val="nil"/>
              <w:left w:val="nil"/>
              <w:bottom w:val="single" w:sz="4" w:space="0" w:color="0000FF"/>
              <w:right w:val="nil"/>
            </w:tcBorders>
            <w:shd w:val="clear" w:color="auto" w:fill="auto"/>
            <w:noWrap/>
            <w:vAlign w:val="bottom"/>
          </w:tcPr>
          <w:p w14:paraId="315AEA1E" w14:textId="77777777" w:rsidR="005D4CB6" w:rsidRPr="00E16284" w:rsidRDefault="005D4CB6" w:rsidP="00E16284">
            <w:pPr>
              <w:jc w:val="center"/>
              <w:rPr>
                <w:rFonts w:ascii="Book Antiqua" w:hAnsi="Book Antiqua"/>
                <w:b/>
                <w:bCs/>
                <w:sz w:val="20"/>
              </w:rPr>
            </w:pPr>
            <w:r w:rsidRPr="00E16284">
              <w:rPr>
                <w:rFonts w:ascii="Book Antiqua" w:hAnsi="Book Antiqua"/>
                <w:b/>
                <w:bCs/>
                <w:sz w:val="20"/>
              </w:rPr>
              <w:t>Crecimiento</w:t>
            </w:r>
          </w:p>
        </w:tc>
      </w:tr>
      <w:tr w:rsidR="005D4CB6" w:rsidRPr="00E16284" w14:paraId="08468408" w14:textId="77777777" w:rsidTr="005D4CB6">
        <w:trPr>
          <w:trHeight w:val="300"/>
          <w:jc w:val="center"/>
        </w:trPr>
        <w:tc>
          <w:tcPr>
            <w:tcW w:w="2463" w:type="dxa"/>
            <w:tcBorders>
              <w:top w:val="nil"/>
              <w:left w:val="nil"/>
              <w:bottom w:val="nil"/>
              <w:right w:val="single" w:sz="4" w:space="0" w:color="0000FF"/>
            </w:tcBorders>
            <w:shd w:val="clear" w:color="auto" w:fill="auto"/>
            <w:noWrap/>
            <w:vAlign w:val="bottom"/>
          </w:tcPr>
          <w:p w14:paraId="758ABA48" w14:textId="77777777" w:rsidR="005D4CB6" w:rsidRPr="00E16284" w:rsidRDefault="005D4CB6" w:rsidP="00E16284">
            <w:pPr>
              <w:rPr>
                <w:rFonts w:ascii="Book Antiqua" w:hAnsi="Book Antiqua"/>
                <w:sz w:val="20"/>
              </w:rPr>
            </w:pPr>
            <w:r w:rsidRPr="00E16284">
              <w:rPr>
                <w:rFonts w:ascii="Book Antiqua" w:hAnsi="Book Antiqua"/>
                <w:sz w:val="20"/>
              </w:rPr>
              <w:t>Gerencial Global</w:t>
            </w:r>
          </w:p>
        </w:tc>
        <w:tc>
          <w:tcPr>
            <w:tcW w:w="846" w:type="dxa"/>
            <w:tcBorders>
              <w:top w:val="nil"/>
              <w:left w:val="nil"/>
              <w:bottom w:val="nil"/>
              <w:right w:val="nil"/>
            </w:tcBorders>
            <w:shd w:val="clear" w:color="auto" w:fill="auto"/>
            <w:noWrap/>
            <w:vAlign w:val="center"/>
          </w:tcPr>
          <w:p w14:paraId="661956A9"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12</w:t>
            </w:r>
          </w:p>
        </w:tc>
        <w:tc>
          <w:tcPr>
            <w:tcW w:w="989" w:type="dxa"/>
            <w:tcBorders>
              <w:top w:val="nil"/>
              <w:left w:val="nil"/>
              <w:bottom w:val="nil"/>
              <w:right w:val="nil"/>
            </w:tcBorders>
            <w:shd w:val="clear" w:color="auto" w:fill="auto"/>
            <w:noWrap/>
            <w:vAlign w:val="center"/>
          </w:tcPr>
          <w:p w14:paraId="751E90FF"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12</w:t>
            </w:r>
          </w:p>
        </w:tc>
        <w:tc>
          <w:tcPr>
            <w:tcW w:w="1563" w:type="dxa"/>
            <w:tcBorders>
              <w:top w:val="nil"/>
              <w:left w:val="nil"/>
              <w:bottom w:val="nil"/>
              <w:right w:val="nil"/>
            </w:tcBorders>
            <w:shd w:val="clear" w:color="auto" w:fill="auto"/>
            <w:noWrap/>
            <w:vAlign w:val="center"/>
          </w:tcPr>
          <w:p w14:paraId="30AD6D4A"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 xml:space="preserve">  0</w:t>
            </w:r>
          </w:p>
        </w:tc>
      </w:tr>
      <w:tr w:rsidR="005D4CB6" w:rsidRPr="00E16284" w14:paraId="6A2F7462" w14:textId="77777777" w:rsidTr="005D4CB6">
        <w:trPr>
          <w:trHeight w:val="300"/>
          <w:jc w:val="center"/>
        </w:trPr>
        <w:tc>
          <w:tcPr>
            <w:tcW w:w="2463" w:type="dxa"/>
            <w:tcBorders>
              <w:top w:val="nil"/>
              <w:left w:val="nil"/>
              <w:bottom w:val="nil"/>
              <w:right w:val="single" w:sz="4" w:space="0" w:color="0000FF"/>
            </w:tcBorders>
            <w:shd w:val="clear" w:color="auto" w:fill="auto"/>
            <w:noWrap/>
            <w:vAlign w:val="bottom"/>
          </w:tcPr>
          <w:p w14:paraId="1443D9B6" w14:textId="77777777" w:rsidR="005D4CB6" w:rsidRPr="00E16284" w:rsidRDefault="005D4CB6" w:rsidP="00E16284">
            <w:pPr>
              <w:rPr>
                <w:rFonts w:ascii="Book Antiqua" w:hAnsi="Book Antiqua"/>
                <w:sz w:val="20"/>
              </w:rPr>
            </w:pPr>
            <w:r w:rsidRPr="00E16284">
              <w:rPr>
                <w:rFonts w:ascii="Book Antiqua" w:hAnsi="Book Antiqua"/>
                <w:sz w:val="20"/>
              </w:rPr>
              <w:t>Gerencial Pluses</w:t>
            </w:r>
          </w:p>
        </w:tc>
        <w:tc>
          <w:tcPr>
            <w:tcW w:w="846" w:type="dxa"/>
            <w:tcBorders>
              <w:top w:val="nil"/>
              <w:left w:val="nil"/>
              <w:bottom w:val="nil"/>
              <w:right w:val="nil"/>
            </w:tcBorders>
            <w:shd w:val="clear" w:color="auto" w:fill="auto"/>
            <w:noWrap/>
            <w:vAlign w:val="center"/>
          </w:tcPr>
          <w:p w14:paraId="0A03D471"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2</w:t>
            </w:r>
          </w:p>
        </w:tc>
        <w:tc>
          <w:tcPr>
            <w:tcW w:w="989" w:type="dxa"/>
            <w:tcBorders>
              <w:top w:val="nil"/>
              <w:left w:val="nil"/>
              <w:bottom w:val="nil"/>
              <w:right w:val="nil"/>
            </w:tcBorders>
            <w:shd w:val="clear" w:color="auto" w:fill="auto"/>
            <w:noWrap/>
            <w:vAlign w:val="center"/>
          </w:tcPr>
          <w:p w14:paraId="4FF9A4CD"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2</w:t>
            </w:r>
          </w:p>
        </w:tc>
        <w:tc>
          <w:tcPr>
            <w:tcW w:w="1563" w:type="dxa"/>
            <w:tcBorders>
              <w:top w:val="nil"/>
              <w:left w:val="nil"/>
              <w:bottom w:val="nil"/>
              <w:right w:val="nil"/>
            </w:tcBorders>
            <w:shd w:val="clear" w:color="auto" w:fill="auto"/>
            <w:noWrap/>
            <w:vAlign w:val="center"/>
          </w:tcPr>
          <w:p w14:paraId="37343DB1"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0</w:t>
            </w:r>
          </w:p>
        </w:tc>
      </w:tr>
      <w:tr w:rsidR="005D4CB6" w:rsidRPr="00E16284" w14:paraId="17E601C1" w14:textId="77777777" w:rsidTr="005D4CB6">
        <w:trPr>
          <w:trHeight w:val="300"/>
          <w:jc w:val="center"/>
        </w:trPr>
        <w:tc>
          <w:tcPr>
            <w:tcW w:w="2463" w:type="dxa"/>
            <w:tcBorders>
              <w:top w:val="nil"/>
              <w:left w:val="nil"/>
              <w:bottom w:val="nil"/>
              <w:right w:val="single" w:sz="4" w:space="0" w:color="0000FF"/>
            </w:tcBorders>
            <w:shd w:val="clear" w:color="auto" w:fill="auto"/>
            <w:noWrap/>
            <w:vAlign w:val="bottom"/>
          </w:tcPr>
          <w:p w14:paraId="3990BF93" w14:textId="77777777" w:rsidR="005D4CB6" w:rsidRPr="00E16284" w:rsidRDefault="005D4CB6" w:rsidP="00E16284">
            <w:pPr>
              <w:rPr>
                <w:rFonts w:ascii="Book Antiqua" w:hAnsi="Book Antiqua"/>
                <w:sz w:val="20"/>
              </w:rPr>
            </w:pPr>
            <w:r w:rsidRPr="00E16284">
              <w:rPr>
                <w:rFonts w:ascii="Book Antiqua" w:hAnsi="Book Antiqua"/>
                <w:sz w:val="20"/>
              </w:rPr>
              <w:t>Regular Global</w:t>
            </w:r>
          </w:p>
        </w:tc>
        <w:tc>
          <w:tcPr>
            <w:tcW w:w="846" w:type="dxa"/>
            <w:tcBorders>
              <w:top w:val="nil"/>
              <w:left w:val="nil"/>
              <w:bottom w:val="nil"/>
              <w:right w:val="nil"/>
            </w:tcBorders>
            <w:shd w:val="clear" w:color="auto" w:fill="auto"/>
            <w:noWrap/>
            <w:vAlign w:val="center"/>
          </w:tcPr>
          <w:p w14:paraId="01123A6E"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680</w:t>
            </w:r>
          </w:p>
        </w:tc>
        <w:tc>
          <w:tcPr>
            <w:tcW w:w="989" w:type="dxa"/>
            <w:tcBorders>
              <w:top w:val="nil"/>
              <w:left w:val="nil"/>
              <w:bottom w:val="nil"/>
              <w:right w:val="nil"/>
            </w:tcBorders>
            <w:shd w:val="clear" w:color="auto" w:fill="auto"/>
            <w:noWrap/>
            <w:vAlign w:val="center"/>
          </w:tcPr>
          <w:p w14:paraId="33584123"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687</w:t>
            </w:r>
          </w:p>
        </w:tc>
        <w:tc>
          <w:tcPr>
            <w:tcW w:w="1563" w:type="dxa"/>
            <w:tcBorders>
              <w:top w:val="nil"/>
              <w:left w:val="nil"/>
              <w:bottom w:val="nil"/>
              <w:right w:val="nil"/>
            </w:tcBorders>
            <w:shd w:val="clear" w:color="auto" w:fill="auto"/>
            <w:noWrap/>
            <w:vAlign w:val="center"/>
          </w:tcPr>
          <w:p w14:paraId="5BC7B7E0"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+7</w:t>
            </w:r>
          </w:p>
        </w:tc>
      </w:tr>
      <w:tr w:rsidR="005D4CB6" w:rsidRPr="00E16284" w14:paraId="230B3B90" w14:textId="77777777" w:rsidTr="005D4CB6">
        <w:trPr>
          <w:trHeight w:val="300"/>
          <w:jc w:val="center"/>
        </w:trPr>
        <w:tc>
          <w:tcPr>
            <w:tcW w:w="2463" w:type="dxa"/>
            <w:tcBorders>
              <w:top w:val="nil"/>
              <w:left w:val="nil"/>
              <w:bottom w:val="nil"/>
              <w:right w:val="single" w:sz="4" w:space="0" w:color="0000FF"/>
            </w:tcBorders>
            <w:shd w:val="clear" w:color="auto" w:fill="auto"/>
            <w:noWrap/>
            <w:vAlign w:val="bottom"/>
          </w:tcPr>
          <w:p w14:paraId="6DDDFE29" w14:textId="77777777" w:rsidR="005D4CB6" w:rsidRPr="00E16284" w:rsidRDefault="005D4CB6" w:rsidP="00E16284">
            <w:pPr>
              <w:rPr>
                <w:rFonts w:ascii="Book Antiqua" w:hAnsi="Book Antiqua"/>
                <w:sz w:val="20"/>
              </w:rPr>
            </w:pPr>
            <w:r w:rsidRPr="00E16284">
              <w:rPr>
                <w:rFonts w:ascii="Book Antiqua" w:hAnsi="Book Antiqua"/>
                <w:sz w:val="20"/>
              </w:rPr>
              <w:t>Regular Pluses</w:t>
            </w:r>
          </w:p>
        </w:tc>
        <w:tc>
          <w:tcPr>
            <w:tcW w:w="846" w:type="dxa"/>
            <w:tcBorders>
              <w:top w:val="nil"/>
              <w:left w:val="nil"/>
              <w:bottom w:val="nil"/>
              <w:right w:val="nil"/>
            </w:tcBorders>
            <w:shd w:val="clear" w:color="auto" w:fill="auto"/>
            <w:noWrap/>
            <w:vAlign w:val="center"/>
          </w:tcPr>
          <w:p w14:paraId="786C5BCF"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397</w:t>
            </w:r>
          </w:p>
        </w:tc>
        <w:tc>
          <w:tcPr>
            <w:tcW w:w="989" w:type="dxa"/>
            <w:tcBorders>
              <w:top w:val="nil"/>
              <w:left w:val="nil"/>
              <w:bottom w:val="nil"/>
              <w:right w:val="nil"/>
            </w:tcBorders>
            <w:shd w:val="clear" w:color="auto" w:fill="auto"/>
            <w:noWrap/>
            <w:vAlign w:val="center"/>
          </w:tcPr>
          <w:p w14:paraId="700B0A35"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390</w:t>
            </w:r>
          </w:p>
        </w:tc>
        <w:tc>
          <w:tcPr>
            <w:tcW w:w="1563" w:type="dxa"/>
            <w:tcBorders>
              <w:top w:val="nil"/>
              <w:left w:val="nil"/>
              <w:bottom w:val="nil"/>
              <w:right w:val="nil"/>
            </w:tcBorders>
            <w:shd w:val="clear" w:color="auto" w:fill="auto"/>
            <w:noWrap/>
            <w:vAlign w:val="center"/>
          </w:tcPr>
          <w:p w14:paraId="729396C0"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-7</w:t>
            </w:r>
          </w:p>
        </w:tc>
      </w:tr>
      <w:tr w:rsidR="005D4CB6" w:rsidRPr="00E16284" w14:paraId="14246BF6" w14:textId="77777777" w:rsidTr="005D4CB6">
        <w:trPr>
          <w:trHeight w:val="300"/>
          <w:jc w:val="center"/>
        </w:trPr>
        <w:tc>
          <w:tcPr>
            <w:tcW w:w="2463" w:type="dxa"/>
            <w:tcBorders>
              <w:top w:val="nil"/>
              <w:left w:val="nil"/>
              <w:bottom w:val="nil"/>
              <w:right w:val="single" w:sz="4" w:space="0" w:color="0000FF"/>
            </w:tcBorders>
            <w:shd w:val="clear" w:color="auto" w:fill="auto"/>
            <w:noWrap/>
            <w:vAlign w:val="bottom"/>
          </w:tcPr>
          <w:p w14:paraId="00F8C7E0" w14:textId="77777777" w:rsidR="005D4CB6" w:rsidRPr="00E16284" w:rsidRDefault="005D4CB6" w:rsidP="00E16284">
            <w:pPr>
              <w:rPr>
                <w:rFonts w:ascii="Book Antiqua" w:hAnsi="Book Antiqua"/>
                <w:sz w:val="20"/>
              </w:rPr>
            </w:pPr>
            <w:r w:rsidRPr="00E16284">
              <w:rPr>
                <w:rFonts w:ascii="Book Antiqua" w:hAnsi="Book Antiqua"/>
                <w:sz w:val="20"/>
              </w:rPr>
              <w:t>Servicios Especiales</w:t>
            </w:r>
          </w:p>
        </w:tc>
        <w:tc>
          <w:tcPr>
            <w:tcW w:w="846" w:type="dxa"/>
            <w:tcBorders>
              <w:top w:val="nil"/>
              <w:left w:val="nil"/>
              <w:bottom w:val="nil"/>
              <w:right w:val="nil"/>
            </w:tcBorders>
            <w:shd w:val="clear" w:color="auto" w:fill="auto"/>
            <w:noWrap/>
            <w:vAlign w:val="center"/>
          </w:tcPr>
          <w:p w14:paraId="63189791"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68</w:t>
            </w:r>
          </w:p>
        </w:tc>
        <w:tc>
          <w:tcPr>
            <w:tcW w:w="989" w:type="dxa"/>
            <w:tcBorders>
              <w:top w:val="nil"/>
              <w:left w:val="nil"/>
              <w:bottom w:val="nil"/>
              <w:right w:val="nil"/>
            </w:tcBorders>
            <w:shd w:val="clear" w:color="auto" w:fill="auto"/>
            <w:noWrap/>
            <w:vAlign w:val="center"/>
          </w:tcPr>
          <w:p w14:paraId="417B828C"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68</w:t>
            </w:r>
          </w:p>
        </w:tc>
        <w:tc>
          <w:tcPr>
            <w:tcW w:w="1563" w:type="dxa"/>
            <w:tcBorders>
              <w:top w:val="nil"/>
              <w:left w:val="nil"/>
              <w:bottom w:val="nil"/>
              <w:right w:val="nil"/>
            </w:tcBorders>
            <w:shd w:val="clear" w:color="auto" w:fill="auto"/>
            <w:noWrap/>
            <w:vAlign w:val="center"/>
          </w:tcPr>
          <w:p w14:paraId="3A4C173E"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 xml:space="preserve"> 0</w:t>
            </w:r>
          </w:p>
        </w:tc>
      </w:tr>
      <w:tr w:rsidR="005D4CB6" w:rsidRPr="00E16284" w14:paraId="3F6E7956" w14:textId="77777777" w:rsidTr="005D4CB6">
        <w:trPr>
          <w:trHeight w:val="315"/>
          <w:jc w:val="center"/>
        </w:trPr>
        <w:tc>
          <w:tcPr>
            <w:tcW w:w="2463" w:type="dxa"/>
            <w:tcBorders>
              <w:top w:val="nil"/>
              <w:left w:val="nil"/>
              <w:bottom w:val="double" w:sz="6" w:space="0" w:color="0000FF"/>
              <w:right w:val="single" w:sz="4" w:space="0" w:color="0000FF"/>
            </w:tcBorders>
            <w:shd w:val="clear" w:color="auto" w:fill="auto"/>
            <w:noWrap/>
            <w:vAlign w:val="bottom"/>
          </w:tcPr>
          <w:p w14:paraId="544E65F4" w14:textId="77777777" w:rsidR="005D4CB6" w:rsidRPr="00E16284" w:rsidRDefault="005D4CB6" w:rsidP="00E16284">
            <w:pPr>
              <w:rPr>
                <w:rFonts w:ascii="Book Antiqua" w:hAnsi="Book Antiqua"/>
                <w:b/>
                <w:bCs/>
                <w:sz w:val="20"/>
              </w:rPr>
            </w:pPr>
            <w:r w:rsidRPr="00E16284">
              <w:rPr>
                <w:rFonts w:ascii="Book Antiqua" w:hAnsi="Book Antiqua"/>
                <w:b/>
                <w:bCs/>
                <w:sz w:val="20"/>
              </w:rPr>
              <w:t>Total</w:t>
            </w:r>
          </w:p>
        </w:tc>
        <w:tc>
          <w:tcPr>
            <w:tcW w:w="846" w:type="dxa"/>
            <w:tcBorders>
              <w:top w:val="nil"/>
              <w:left w:val="nil"/>
              <w:bottom w:val="double" w:sz="6" w:space="0" w:color="0000FF"/>
              <w:right w:val="nil"/>
            </w:tcBorders>
            <w:shd w:val="clear" w:color="auto" w:fill="auto"/>
            <w:noWrap/>
            <w:vAlign w:val="center"/>
          </w:tcPr>
          <w:p w14:paraId="5EAA1436" w14:textId="77777777" w:rsidR="005D4CB6" w:rsidRPr="00E16284" w:rsidRDefault="005D4CB6" w:rsidP="00E16284">
            <w:pPr>
              <w:jc w:val="center"/>
              <w:rPr>
                <w:rFonts w:ascii="Book Antiqua" w:hAnsi="Book Antiqua"/>
                <w:b/>
                <w:sz w:val="18"/>
                <w:szCs w:val="22"/>
              </w:rPr>
            </w:pPr>
            <w:r w:rsidRPr="00E16284">
              <w:rPr>
                <w:rFonts w:ascii="Book Antiqua" w:hAnsi="Book Antiqua"/>
                <w:b/>
                <w:sz w:val="18"/>
                <w:szCs w:val="22"/>
              </w:rPr>
              <w:t>1,159</w:t>
            </w:r>
          </w:p>
        </w:tc>
        <w:tc>
          <w:tcPr>
            <w:tcW w:w="989" w:type="dxa"/>
            <w:tcBorders>
              <w:top w:val="nil"/>
              <w:left w:val="nil"/>
              <w:bottom w:val="double" w:sz="6" w:space="0" w:color="0000FF"/>
              <w:right w:val="nil"/>
            </w:tcBorders>
            <w:shd w:val="clear" w:color="auto" w:fill="auto"/>
            <w:noWrap/>
            <w:vAlign w:val="center"/>
          </w:tcPr>
          <w:p w14:paraId="3DD63BE7" w14:textId="77777777" w:rsidR="005D4CB6" w:rsidRPr="00E16284" w:rsidRDefault="005D4CB6" w:rsidP="00E16284">
            <w:pPr>
              <w:jc w:val="center"/>
              <w:rPr>
                <w:rFonts w:ascii="Book Antiqua" w:hAnsi="Book Antiqua"/>
                <w:b/>
                <w:sz w:val="18"/>
                <w:szCs w:val="22"/>
              </w:rPr>
            </w:pPr>
            <w:r w:rsidRPr="00E16284">
              <w:rPr>
                <w:rFonts w:ascii="Book Antiqua" w:hAnsi="Book Antiqua"/>
                <w:b/>
                <w:sz w:val="18"/>
                <w:szCs w:val="22"/>
              </w:rPr>
              <w:t>1,159</w:t>
            </w:r>
          </w:p>
        </w:tc>
        <w:tc>
          <w:tcPr>
            <w:tcW w:w="1563" w:type="dxa"/>
            <w:tcBorders>
              <w:top w:val="nil"/>
              <w:left w:val="nil"/>
              <w:bottom w:val="double" w:sz="6" w:space="0" w:color="0000FF"/>
              <w:right w:val="nil"/>
            </w:tcBorders>
            <w:shd w:val="clear" w:color="auto" w:fill="auto"/>
            <w:noWrap/>
            <w:vAlign w:val="center"/>
          </w:tcPr>
          <w:p w14:paraId="5EC4D00D"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 xml:space="preserve">  0</w:t>
            </w:r>
          </w:p>
        </w:tc>
      </w:tr>
    </w:tbl>
    <w:p w14:paraId="0C31A054" w14:textId="77777777" w:rsidR="005D4CB6" w:rsidRPr="005D4CB6" w:rsidRDefault="005D4CB6" w:rsidP="005D4CB6">
      <w:pPr>
        <w:spacing w:line="276" w:lineRule="auto"/>
        <w:rPr>
          <w:rFonts w:ascii="Book Antiqua" w:hAnsi="Book Antiqua"/>
          <w:b/>
          <w:i/>
          <w:color w:val="800000"/>
          <w:sz w:val="22"/>
        </w:rPr>
      </w:pPr>
    </w:p>
    <w:p w14:paraId="48CDD846" w14:textId="77777777" w:rsidR="005D4CB6" w:rsidRPr="005D4CB6" w:rsidRDefault="005D4CB6" w:rsidP="005D4CB6">
      <w:pPr>
        <w:spacing w:line="276" w:lineRule="auto"/>
        <w:rPr>
          <w:rFonts w:ascii="Book Antiqua" w:hAnsi="Book Antiqua"/>
          <w:b/>
          <w:i/>
          <w:color w:val="800000"/>
          <w:sz w:val="22"/>
        </w:rPr>
      </w:pPr>
      <w:r w:rsidRPr="005D4CB6">
        <w:rPr>
          <w:rFonts w:ascii="Book Antiqua" w:hAnsi="Book Antiqua"/>
          <w:b/>
          <w:i/>
          <w:color w:val="800000"/>
          <w:sz w:val="22"/>
        </w:rPr>
        <w:t>Variaciones en las Escalas Salariales Globales</w:t>
      </w:r>
    </w:p>
    <w:p w14:paraId="35C5C264"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 xml:space="preserve">Para la definición de los salarios presupuestarios de la escala regular global del 2017, se incrementó en un </w:t>
      </w:r>
      <w:r w:rsidRPr="005D4CB6">
        <w:rPr>
          <w:rFonts w:ascii="Book Antiqua" w:hAnsi="Book Antiqua"/>
          <w:b/>
          <w:sz w:val="22"/>
        </w:rPr>
        <w:t>2.04%</w:t>
      </w:r>
      <w:r w:rsidRPr="005D4CB6">
        <w:rPr>
          <w:rFonts w:ascii="Book Antiqua" w:hAnsi="Book Antiqua"/>
          <w:sz w:val="22"/>
        </w:rPr>
        <w:t xml:space="preserve"> cada categoría salarial de la escala regular global presupuestada en el año 2016, con el objetivo de respetar el parámetro de crecimiento máximo a nivel del presupuesto de </w:t>
      </w:r>
      <w:r w:rsidRPr="005D4CB6">
        <w:rPr>
          <w:rFonts w:ascii="Book Antiqua" w:hAnsi="Book Antiqua"/>
          <w:b/>
          <w:sz w:val="22"/>
        </w:rPr>
        <w:t>3.0%</w:t>
      </w:r>
      <w:r w:rsidRPr="005D4CB6">
        <w:rPr>
          <w:rFonts w:ascii="Book Antiqua" w:hAnsi="Book Antiqua"/>
          <w:sz w:val="22"/>
        </w:rPr>
        <w:t xml:space="preserve"> para la partida de Remuneraciones a nivel institucional. Las escalas salariales presupuestarias utilizadas como base para definir el incremento en las escalas presupuestarias del 2017, son las que se presentan a continuación:</w:t>
      </w:r>
    </w:p>
    <w:p w14:paraId="7EBF4D9E" w14:textId="77777777" w:rsidR="005D4CB6" w:rsidRPr="00E16284" w:rsidRDefault="005D4CB6" w:rsidP="005D4CB6">
      <w:pPr>
        <w:spacing w:line="276" w:lineRule="auto"/>
        <w:jc w:val="both"/>
        <w:rPr>
          <w:rFonts w:ascii="Book Antiqua" w:hAnsi="Book Antiqua"/>
          <w:sz w:val="16"/>
        </w:rPr>
      </w:pPr>
    </w:p>
    <w:tbl>
      <w:tblPr>
        <w:tblW w:w="5909" w:type="dxa"/>
        <w:jc w:val="center"/>
        <w:tblLook w:val="0000" w:firstRow="0" w:lastRow="0" w:firstColumn="0" w:lastColumn="0" w:noHBand="0" w:noVBand="0"/>
      </w:tblPr>
      <w:tblGrid>
        <w:gridCol w:w="1270"/>
        <w:gridCol w:w="1603"/>
        <w:gridCol w:w="1603"/>
        <w:gridCol w:w="1433"/>
      </w:tblGrid>
      <w:tr w:rsidR="005D4CB6" w:rsidRPr="000170B2" w14:paraId="19F52D5B" w14:textId="77777777" w:rsidTr="005D4CB6">
        <w:trPr>
          <w:trHeight w:val="390"/>
          <w:jc w:val="center"/>
        </w:trPr>
        <w:tc>
          <w:tcPr>
            <w:tcW w:w="5909" w:type="dxa"/>
            <w:gridSpan w:val="4"/>
            <w:tcBorders>
              <w:top w:val="nil"/>
              <w:left w:val="nil"/>
              <w:bottom w:val="double" w:sz="4" w:space="0" w:color="0000FF"/>
              <w:right w:val="nil"/>
            </w:tcBorders>
            <w:shd w:val="clear" w:color="auto" w:fill="auto"/>
            <w:noWrap/>
            <w:vAlign w:val="center"/>
          </w:tcPr>
          <w:p w14:paraId="0C1197B2" w14:textId="77777777" w:rsidR="005D4CB6" w:rsidRPr="000170B2" w:rsidRDefault="005D4CB6" w:rsidP="00E16284">
            <w:pPr>
              <w:jc w:val="center"/>
              <w:rPr>
                <w:rFonts w:ascii="Book Antiqua" w:hAnsi="Book Antiqua"/>
                <w:b/>
                <w:bCs/>
                <w:sz w:val="18"/>
              </w:rPr>
            </w:pPr>
            <w:r w:rsidRPr="000170B2">
              <w:rPr>
                <w:rFonts w:ascii="Book Antiqua" w:hAnsi="Book Antiqua"/>
                <w:sz w:val="18"/>
              </w:rPr>
              <w:br w:type="page"/>
            </w:r>
            <w:r w:rsidRPr="000170B2">
              <w:rPr>
                <w:rFonts w:ascii="Book Antiqua" w:hAnsi="Book Antiqua"/>
                <w:sz w:val="18"/>
              </w:rPr>
              <w:br w:type="page"/>
            </w:r>
            <w:r w:rsidRPr="000170B2">
              <w:rPr>
                <w:sz w:val="18"/>
              </w:rPr>
              <w:br w:type="page"/>
            </w:r>
            <w:r w:rsidRPr="000170B2">
              <w:rPr>
                <w:rFonts w:ascii="Book Antiqua" w:hAnsi="Book Antiqua"/>
                <w:b/>
                <w:bCs/>
                <w:sz w:val="18"/>
              </w:rPr>
              <w:t>Escala Regular Global Presupuestaria</w:t>
            </w:r>
          </w:p>
        </w:tc>
      </w:tr>
      <w:tr w:rsidR="005D4CB6" w:rsidRPr="000170B2" w14:paraId="38107870" w14:textId="77777777" w:rsidTr="005D4CB6">
        <w:trPr>
          <w:trHeight w:val="585"/>
          <w:jc w:val="center"/>
        </w:trPr>
        <w:tc>
          <w:tcPr>
            <w:tcW w:w="1270" w:type="dxa"/>
            <w:tcBorders>
              <w:top w:val="double" w:sz="4" w:space="0" w:color="0000FF"/>
              <w:bottom w:val="single" w:sz="4" w:space="0" w:color="0000FF"/>
            </w:tcBorders>
            <w:shd w:val="clear" w:color="auto" w:fill="auto"/>
            <w:vAlign w:val="center"/>
          </w:tcPr>
          <w:p w14:paraId="6DD9BD8B" w14:textId="77777777" w:rsidR="005D4CB6" w:rsidRPr="000170B2" w:rsidRDefault="005D4CB6" w:rsidP="00E16284">
            <w:pPr>
              <w:jc w:val="center"/>
              <w:rPr>
                <w:rFonts w:ascii="Book Antiqua" w:hAnsi="Book Antiqua"/>
                <w:b/>
                <w:bCs/>
                <w:sz w:val="18"/>
              </w:rPr>
            </w:pPr>
            <w:r w:rsidRPr="000170B2">
              <w:rPr>
                <w:rFonts w:ascii="Book Antiqua" w:hAnsi="Book Antiqua"/>
                <w:b/>
                <w:bCs/>
                <w:sz w:val="18"/>
              </w:rPr>
              <w:t>Categoría</w:t>
            </w:r>
          </w:p>
        </w:tc>
        <w:tc>
          <w:tcPr>
            <w:tcW w:w="1603" w:type="dxa"/>
            <w:tcBorders>
              <w:top w:val="double" w:sz="4" w:space="0" w:color="0000FF"/>
              <w:bottom w:val="single" w:sz="4" w:space="0" w:color="0000FF"/>
            </w:tcBorders>
            <w:shd w:val="clear" w:color="auto" w:fill="auto"/>
            <w:vAlign w:val="center"/>
          </w:tcPr>
          <w:p w14:paraId="55497442" w14:textId="77777777" w:rsidR="005D4CB6" w:rsidRPr="000170B2" w:rsidRDefault="005D4CB6" w:rsidP="00E16284">
            <w:pPr>
              <w:jc w:val="center"/>
              <w:rPr>
                <w:rFonts w:ascii="Book Antiqua" w:hAnsi="Book Antiqua"/>
                <w:b/>
                <w:bCs/>
                <w:sz w:val="18"/>
              </w:rPr>
            </w:pPr>
            <w:r w:rsidRPr="000170B2">
              <w:rPr>
                <w:rFonts w:ascii="Book Antiqua" w:hAnsi="Book Antiqua"/>
                <w:b/>
                <w:bCs/>
                <w:sz w:val="18"/>
              </w:rPr>
              <w:t>Formulación 2016</w:t>
            </w:r>
          </w:p>
        </w:tc>
        <w:tc>
          <w:tcPr>
            <w:tcW w:w="1603" w:type="dxa"/>
            <w:tcBorders>
              <w:top w:val="double" w:sz="4" w:space="0" w:color="0000FF"/>
              <w:bottom w:val="single" w:sz="4" w:space="0" w:color="0000FF"/>
            </w:tcBorders>
            <w:shd w:val="clear" w:color="auto" w:fill="auto"/>
            <w:vAlign w:val="center"/>
          </w:tcPr>
          <w:p w14:paraId="7DFDDE11" w14:textId="77777777" w:rsidR="005D4CB6" w:rsidRPr="000170B2" w:rsidRDefault="005D4CB6" w:rsidP="00E16284">
            <w:pPr>
              <w:jc w:val="center"/>
              <w:rPr>
                <w:rFonts w:ascii="Book Antiqua" w:hAnsi="Book Antiqua"/>
                <w:b/>
                <w:bCs/>
                <w:sz w:val="18"/>
              </w:rPr>
            </w:pPr>
            <w:r w:rsidRPr="000170B2">
              <w:rPr>
                <w:rFonts w:ascii="Book Antiqua" w:hAnsi="Book Antiqua"/>
                <w:b/>
                <w:bCs/>
                <w:sz w:val="18"/>
              </w:rPr>
              <w:t>Formulación 2017</w:t>
            </w:r>
          </w:p>
        </w:tc>
        <w:tc>
          <w:tcPr>
            <w:tcW w:w="1433" w:type="dxa"/>
            <w:tcBorders>
              <w:top w:val="double" w:sz="4" w:space="0" w:color="0000FF"/>
              <w:bottom w:val="single" w:sz="4" w:space="0" w:color="0000FF"/>
            </w:tcBorders>
            <w:shd w:val="clear" w:color="auto" w:fill="auto"/>
            <w:vAlign w:val="center"/>
          </w:tcPr>
          <w:p w14:paraId="0F3D2711" w14:textId="77777777" w:rsidR="005D4CB6" w:rsidRPr="000170B2" w:rsidRDefault="005D4CB6" w:rsidP="00E16284">
            <w:pPr>
              <w:jc w:val="center"/>
              <w:rPr>
                <w:rFonts w:ascii="Book Antiqua" w:hAnsi="Book Antiqua"/>
                <w:b/>
                <w:bCs/>
                <w:sz w:val="18"/>
              </w:rPr>
            </w:pPr>
            <w:r w:rsidRPr="000170B2">
              <w:rPr>
                <w:rFonts w:ascii="Book Antiqua" w:hAnsi="Book Antiqua"/>
                <w:b/>
                <w:bCs/>
                <w:sz w:val="18"/>
              </w:rPr>
              <w:t>Variación</w:t>
            </w:r>
          </w:p>
        </w:tc>
      </w:tr>
      <w:tr w:rsidR="005D4CB6" w:rsidRPr="000170B2" w14:paraId="2F29D64A" w14:textId="77777777" w:rsidTr="005D4CB6">
        <w:trPr>
          <w:trHeight w:val="300"/>
          <w:jc w:val="center"/>
        </w:trPr>
        <w:tc>
          <w:tcPr>
            <w:tcW w:w="1270" w:type="dxa"/>
            <w:tcBorders>
              <w:top w:val="single" w:sz="4" w:space="0" w:color="0000FF"/>
              <w:left w:val="nil"/>
              <w:bottom w:val="nil"/>
              <w:right w:val="nil"/>
            </w:tcBorders>
            <w:shd w:val="clear" w:color="auto" w:fill="auto"/>
            <w:vAlign w:val="bottom"/>
          </w:tcPr>
          <w:p w14:paraId="6AE9428B" w14:textId="77777777" w:rsidR="005D4CB6" w:rsidRPr="000170B2" w:rsidRDefault="005D4CB6" w:rsidP="00E16284">
            <w:pPr>
              <w:jc w:val="center"/>
              <w:rPr>
                <w:rFonts w:ascii="Book Antiqua" w:hAnsi="Book Antiqua"/>
                <w:sz w:val="18"/>
              </w:rPr>
            </w:pPr>
            <w:r w:rsidRPr="000170B2">
              <w:rPr>
                <w:rFonts w:ascii="Book Antiqua" w:hAnsi="Book Antiqua"/>
                <w:sz w:val="18"/>
              </w:rPr>
              <w:t>01</w:t>
            </w:r>
          </w:p>
        </w:tc>
        <w:tc>
          <w:tcPr>
            <w:tcW w:w="1603" w:type="dxa"/>
            <w:tcBorders>
              <w:top w:val="single" w:sz="4" w:space="0" w:color="0000FF"/>
              <w:left w:val="nil"/>
              <w:bottom w:val="nil"/>
              <w:right w:val="nil"/>
            </w:tcBorders>
            <w:shd w:val="clear" w:color="auto" w:fill="auto"/>
            <w:noWrap/>
            <w:vAlign w:val="bottom"/>
          </w:tcPr>
          <w:p w14:paraId="11AAB0E1" w14:textId="77777777" w:rsidR="005D4CB6" w:rsidRPr="000170B2" w:rsidRDefault="005D4CB6" w:rsidP="00E16284">
            <w:pPr>
              <w:jc w:val="center"/>
              <w:rPr>
                <w:rFonts w:ascii="Book Antiqua" w:hAnsi="Book Antiqua"/>
                <w:sz w:val="18"/>
              </w:rPr>
            </w:pPr>
            <w:r w:rsidRPr="000170B2">
              <w:rPr>
                <w:rFonts w:ascii="Book Antiqua" w:hAnsi="Book Antiqua"/>
                <w:sz w:val="18"/>
              </w:rPr>
              <w:t>105,540</w:t>
            </w:r>
          </w:p>
        </w:tc>
        <w:tc>
          <w:tcPr>
            <w:tcW w:w="1603" w:type="dxa"/>
            <w:tcBorders>
              <w:top w:val="single" w:sz="4" w:space="0" w:color="0000FF"/>
              <w:left w:val="nil"/>
              <w:bottom w:val="nil"/>
              <w:right w:val="nil"/>
            </w:tcBorders>
            <w:shd w:val="clear" w:color="auto" w:fill="auto"/>
            <w:noWrap/>
            <w:vAlign w:val="bottom"/>
          </w:tcPr>
          <w:p w14:paraId="5C506E3F" w14:textId="77777777" w:rsidR="005D4CB6" w:rsidRPr="000170B2" w:rsidRDefault="005D4CB6" w:rsidP="00E16284">
            <w:pPr>
              <w:jc w:val="center"/>
              <w:rPr>
                <w:rFonts w:ascii="Book Antiqua" w:hAnsi="Book Antiqua"/>
                <w:sz w:val="18"/>
              </w:rPr>
            </w:pPr>
            <w:r w:rsidRPr="000170B2">
              <w:rPr>
                <w:rFonts w:ascii="Book Antiqua" w:hAnsi="Book Antiqua"/>
                <w:sz w:val="18"/>
              </w:rPr>
              <w:t>107,694</w:t>
            </w:r>
          </w:p>
        </w:tc>
        <w:tc>
          <w:tcPr>
            <w:tcW w:w="1433" w:type="dxa"/>
            <w:tcBorders>
              <w:top w:val="single" w:sz="4" w:space="0" w:color="0000FF"/>
              <w:left w:val="nil"/>
              <w:bottom w:val="nil"/>
              <w:right w:val="nil"/>
            </w:tcBorders>
            <w:shd w:val="clear" w:color="auto" w:fill="auto"/>
            <w:noWrap/>
            <w:vAlign w:val="bottom"/>
          </w:tcPr>
          <w:p w14:paraId="14A23DCE" w14:textId="77777777" w:rsidR="005D4CB6" w:rsidRPr="000170B2" w:rsidRDefault="005D4CB6" w:rsidP="00E16284">
            <w:pPr>
              <w:jc w:val="center"/>
              <w:rPr>
                <w:rFonts w:ascii="Book Antiqua" w:hAnsi="Book Antiqua"/>
                <w:sz w:val="18"/>
              </w:rPr>
            </w:pPr>
            <w:r w:rsidRPr="000170B2">
              <w:rPr>
                <w:rFonts w:ascii="Book Antiqua" w:hAnsi="Book Antiqua"/>
                <w:sz w:val="18"/>
              </w:rPr>
              <w:t>2.04%</w:t>
            </w:r>
          </w:p>
        </w:tc>
      </w:tr>
      <w:tr w:rsidR="005D4CB6" w:rsidRPr="000170B2" w14:paraId="0B019E48" w14:textId="77777777" w:rsidTr="005D4CB6">
        <w:trPr>
          <w:trHeight w:val="300"/>
          <w:jc w:val="center"/>
        </w:trPr>
        <w:tc>
          <w:tcPr>
            <w:tcW w:w="1270" w:type="dxa"/>
            <w:tcBorders>
              <w:top w:val="nil"/>
              <w:left w:val="nil"/>
              <w:bottom w:val="nil"/>
              <w:right w:val="nil"/>
            </w:tcBorders>
            <w:shd w:val="clear" w:color="auto" w:fill="auto"/>
            <w:vAlign w:val="bottom"/>
          </w:tcPr>
          <w:p w14:paraId="730E8F2D" w14:textId="77777777" w:rsidR="005D4CB6" w:rsidRPr="000170B2" w:rsidRDefault="005D4CB6" w:rsidP="00E16284">
            <w:pPr>
              <w:jc w:val="center"/>
              <w:rPr>
                <w:rFonts w:ascii="Book Antiqua" w:hAnsi="Book Antiqua"/>
                <w:sz w:val="18"/>
              </w:rPr>
            </w:pPr>
            <w:r w:rsidRPr="000170B2">
              <w:rPr>
                <w:rFonts w:ascii="Book Antiqua" w:hAnsi="Book Antiqua"/>
                <w:sz w:val="18"/>
              </w:rPr>
              <w:t>02</w:t>
            </w:r>
          </w:p>
        </w:tc>
        <w:tc>
          <w:tcPr>
            <w:tcW w:w="1603" w:type="dxa"/>
            <w:tcBorders>
              <w:top w:val="nil"/>
              <w:left w:val="nil"/>
              <w:bottom w:val="nil"/>
              <w:right w:val="nil"/>
            </w:tcBorders>
            <w:shd w:val="clear" w:color="auto" w:fill="auto"/>
            <w:noWrap/>
            <w:vAlign w:val="bottom"/>
          </w:tcPr>
          <w:p w14:paraId="10979754" w14:textId="77777777" w:rsidR="005D4CB6" w:rsidRPr="000170B2" w:rsidRDefault="005D4CB6" w:rsidP="00E16284">
            <w:pPr>
              <w:jc w:val="center"/>
              <w:rPr>
                <w:rFonts w:ascii="Book Antiqua" w:hAnsi="Book Antiqua"/>
                <w:sz w:val="18"/>
              </w:rPr>
            </w:pPr>
            <w:r w:rsidRPr="000170B2">
              <w:rPr>
                <w:rFonts w:ascii="Book Antiqua" w:hAnsi="Book Antiqua"/>
                <w:sz w:val="18"/>
              </w:rPr>
              <w:t>129,305</w:t>
            </w:r>
          </w:p>
        </w:tc>
        <w:tc>
          <w:tcPr>
            <w:tcW w:w="1603" w:type="dxa"/>
            <w:tcBorders>
              <w:top w:val="nil"/>
              <w:left w:val="nil"/>
              <w:bottom w:val="nil"/>
              <w:right w:val="nil"/>
            </w:tcBorders>
            <w:shd w:val="clear" w:color="auto" w:fill="auto"/>
            <w:noWrap/>
            <w:vAlign w:val="bottom"/>
          </w:tcPr>
          <w:p w14:paraId="22952D3C" w14:textId="77777777" w:rsidR="005D4CB6" w:rsidRPr="000170B2" w:rsidRDefault="005D4CB6" w:rsidP="00E16284">
            <w:pPr>
              <w:jc w:val="center"/>
              <w:rPr>
                <w:rFonts w:ascii="Book Antiqua" w:hAnsi="Book Antiqua"/>
                <w:sz w:val="18"/>
              </w:rPr>
            </w:pPr>
            <w:r w:rsidRPr="000170B2">
              <w:rPr>
                <w:rFonts w:ascii="Book Antiqua" w:hAnsi="Book Antiqua"/>
                <w:sz w:val="18"/>
              </w:rPr>
              <w:t>131,944</w:t>
            </w:r>
          </w:p>
        </w:tc>
        <w:tc>
          <w:tcPr>
            <w:tcW w:w="1433" w:type="dxa"/>
            <w:tcBorders>
              <w:top w:val="nil"/>
              <w:left w:val="nil"/>
              <w:bottom w:val="nil"/>
              <w:right w:val="nil"/>
            </w:tcBorders>
            <w:shd w:val="clear" w:color="auto" w:fill="auto"/>
            <w:noWrap/>
          </w:tcPr>
          <w:p w14:paraId="4FF527B8"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2452E5C9" w14:textId="77777777" w:rsidTr="005D4CB6">
        <w:trPr>
          <w:trHeight w:val="300"/>
          <w:jc w:val="center"/>
        </w:trPr>
        <w:tc>
          <w:tcPr>
            <w:tcW w:w="1270" w:type="dxa"/>
            <w:tcBorders>
              <w:top w:val="nil"/>
              <w:left w:val="nil"/>
              <w:bottom w:val="nil"/>
              <w:right w:val="nil"/>
            </w:tcBorders>
            <w:shd w:val="clear" w:color="auto" w:fill="auto"/>
            <w:vAlign w:val="bottom"/>
          </w:tcPr>
          <w:p w14:paraId="5821DADD" w14:textId="77777777" w:rsidR="005D4CB6" w:rsidRPr="000170B2" w:rsidRDefault="005D4CB6" w:rsidP="00E16284">
            <w:pPr>
              <w:jc w:val="center"/>
              <w:rPr>
                <w:rFonts w:ascii="Book Antiqua" w:hAnsi="Book Antiqua"/>
                <w:sz w:val="18"/>
              </w:rPr>
            </w:pPr>
            <w:r w:rsidRPr="000170B2">
              <w:rPr>
                <w:rFonts w:ascii="Book Antiqua" w:hAnsi="Book Antiqua"/>
                <w:sz w:val="18"/>
              </w:rPr>
              <w:t>03</w:t>
            </w:r>
          </w:p>
        </w:tc>
        <w:tc>
          <w:tcPr>
            <w:tcW w:w="1603" w:type="dxa"/>
            <w:tcBorders>
              <w:top w:val="nil"/>
              <w:left w:val="nil"/>
              <w:bottom w:val="nil"/>
              <w:right w:val="nil"/>
            </w:tcBorders>
            <w:shd w:val="clear" w:color="auto" w:fill="auto"/>
            <w:noWrap/>
            <w:vAlign w:val="bottom"/>
          </w:tcPr>
          <w:p w14:paraId="25D63EA8" w14:textId="77777777" w:rsidR="005D4CB6" w:rsidRPr="000170B2" w:rsidRDefault="005D4CB6" w:rsidP="00E16284">
            <w:pPr>
              <w:jc w:val="center"/>
              <w:rPr>
                <w:rFonts w:ascii="Book Antiqua" w:hAnsi="Book Antiqua"/>
                <w:sz w:val="18"/>
              </w:rPr>
            </w:pPr>
            <w:r w:rsidRPr="000170B2">
              <w:rPr>
                <w:rFonts w:ascii="Book Antiqua" w:hAnsi="Book Antiqua"/>
                <w:sz w:val="18"/>
              </w:rPr>
              <w:t>139,722</w:t>
            </w:r>
          </w:p>
        </w:tc>
        <w:tc>
          <w:tcPr>
            <w:tcW w:w="1603" w:type="dxa"/>
            <w:tcBorders>
              <w:top w:val="nil"/>
              <w:left w:val="nil"/>
              <w:bottom w:val="nil"/>
              <w:right w:val="nil"/>
            </w:tcBorders>
            <w:shd w:val="clear" w:color="auto" w:fill="auto"/>
            <w:noWrap/>
            <w:vAlign w:val="bottom"/>
          </w:tcPr>
          <w:p w14:paraId="272E7BDD" w14:textId="77777777" w:rsidR="005D4CB6" w:rsidRPr="000170B2" w:rsidRDefault="005D4CB6" w:rsidP="00E16284">
            <w:pPr>
              <w:jc w:val="center"/>
              <w:rPr>
                <w:rFonts w:ascii="Book Antiqua" w:hAnsi="Book Antiqua"/>
                <w:sz w:val="18"/>
              </w:rPr>
            </w:pPr>
            <w:r w:rsidRPr="000170B2">
              <w:rPr>
                <w:rFonts w:ascii="Book Antiqua" w:hAnsi="Book Antiqua"/>
                <w:sz w:val="18"/>
              </w:rPr>
              <w:t>142,574</w:t>
            </w:r>
          </w:p>
        </w:tc>
        <w:tc>
          <w:tcPr>
            <w:tcW w:w="1433" w:type="dxa"/>
            <w:tcBorders>
              <w:top w:val="nil"/>
              <w:left w:val="nil"/>
              <w:bottom w:val="nil"/>
              <w:right w:val="nil"/>
            </w:tcBorders>
            <w:shd w:val="clear" w:color="auto" w:fill="auto"/>
            <w:noWrap/>
          </w:tcPr>
          <w:p w14:paraId="3D52960B"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05D4374F" w14:textId="77777777" w:rsidTr="005D4CB6">
        <w:trPr>
          <w:trHeight w:val="300"/>
          <w:jc w:val="center"/>
        </w:trPr>
        <w:tc>
          <w:tcPr>
            <w:tcW w:w="1270" w:type="dxa"/>
            <w:tcBorders>
              <w:top w:val="nil"/>
              <w:left w:val="nil"/>
              <w:bottom w:val="nil"/>
              <w:right w:val="nil"/>
            </w:tcBorders>
            <w:shd w:val="clear" w:color="auto" w:fill="auto"/>
            <w:vAlign w:val="bottom"/>
          </w:tcPr>
          <w:p w14:paraId="1B4615EE" w14:textId="77777777" w:rsidR="005D4CB6" w:rsidRPr="000170B2" w:rsidRDefault="005D4CB6" w:rsidP="00E16284">
            <w:pPr>
              <w:jc w:val="center"/>
              <w:rPr>
                <w:rFonts w:ascii="Book Antiqua" w:hAnsi="Book Antiqua"/>
                <w:sz w:val="18"/>
              </w:rPr>
            </w:pPr>
            <w:r w:rsidRPr="000170B2">
              <w:rPr>
                <w:rFonts w:ascii="Book Antiqua" w:hAnsi="Book Antiqua"/>
                <w:sz w:val="18"/>
              </w:rPr>
              <w:t>04</w:t>
            </w:r>
          </w:p>
        </w:tc>
        <w:tc>
          <w:tcPr>
            <w:tcW w:w="1603" w:type="dxa"/>
            <w:tcBorders>
              <w:top w:val="nil"/>
              <w:left w:val="nil"/>
              <w:bottom w:val="nil"/>
              <w:right w:val="nil"/>
            </w:tcBorders>
            <w:shd w:val="clear" w:color="auto" w:fill="auto"/>
            <w:noWrap/>
            <w:vAlign w:val="bottom"/>
          </w:tcPr>
          <w:p w14:paraId="6AC410FE" w14:textId="77777777" w:rsidR="005D4CB6" w:rsidRPr="000170B2" w:rsidRDefault="005D4CB6" w:rsidP="00E16284">
            <w:pPr>
              <w:jc w:val="center"/>
              <w:rPr>
                <w:rFonts w:ascii="Book Antiqua" w:hAnsi="Book Antiqua"/>
                <w:sz w:val="18"/>
              </w:rPr>
            </w:pPr>
            <w:r w:rsidRPr="000170B2">
              <w:rPr>
                <w:rFonts w:ascii="Book Antiqua" w:hAnsi="Book Antiqua"/>
                <w:sz w:val="18"/>
              </w:rPr>
              <w:t>181,587</w:t>
            </w:r>
          </w:p>
        </w:tc>
        <w:tc>
          <w:tcPr>
            <w:tcW w:w="1603" w:type="dxa"/>
            <w:tcBorders>
              <w:top w:val="nil"/>
              <w:left w:val="nil"/>
              <w:bottom w:val="nil"/>
              <w:right w:val="nil"/>
            </w:tcBorders>
            <w:shd w:val="clear" w:color="auto" w:fill="auto"/>
            <w:noWrap/>
            <w:vAlign w:val="bottom"/>
          </w:tcPr>
          <w:p w14:paraId="7ECCCFB0" w14:textId="77777777" w:rsidR="005D4CB6" w:rsidRPr="000170B2" w:rsidRDefault="005D4CB6" w:rsidP="00E16284">
            <w:pPr>
              <w:jc w:val="center"/>
              <w:rPr>
                <w:rFonts w:ascii="Book Antiqua" w:hAnsi="Book Antiqua"/>
                <w:sz w:val="18"/>
              </w:rPr>
            </w:pPr>
            <w:r w:rsidRPr="000170B2">
              <w:rPr>
                <w:rFonts w:ascii="Book Antiqua" w:hAnsi="Book Antiqua"/>
                <w:sz w:val="18"/>
              </w:rPr>
              <w:t>185,293</w:t>
            </w:r>
          </w:p>
        </w:tc>
        <w:tc>
          <w:tcPr>
            <w:tcW w:w="1433" w:type="dxa"/>
            <w:tcBorders>
              <w:top w:val="nil"/>
              <w:left w:val="nil"/>
              <w:bottom w:val="nil"/>
              <w:right w:val="nil"/>
            </w:tcBorders>
            <w:shd w:val="clear" w:color="auto" w:fill="auto"/>
            <w:noWrap/>
          </w:tcPr>
          <w:p w14:paraId="124896F7"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24197487" w14:textId="77777777" w:rsidTr="005D4CB6">
        <w:trPr>
          <w:trHeight w:val="300"/>
          <w:jc w:val="center"/>
        </w:trPr>
        <w:tc>
          <w:tcPr>
            <w:tcW w:w="1270" w:type="dxa"/>
            <w:tcBorders>
              <w:top w:val="nil"/>
              <w:left w:val="nil"/>
              <w:bottom w:val="nil"/>
              <w:right w:val="nil"/>
            </w:tcBorders>
            <w:shd w:val="clear" w:color="auto" w:fill="auto"/>
            <w:vAlign w:val="bottom"/>
          </w:tcPr>
          <w:p w14:paraId="395A804E" w14:textId="77777777" w:rsidR="005D4CB6" w:rsidRPr="000170B2" w:rsidRDefault="005D4CB6" w:rsidP="00E16284">
            <w:pPr>
              <w:jc w:val="center"/>
              <w:rPr>
                <w:rFonts w:ascii="Book Antiqua" w:hAnsi="Book Antiqua"/>
                <w:sz w:val="18"/>
              </w:rPr>
            </w:pPr>
            <w:r w:rsidRPr="000170B2">
              <w:rPr>
                <w:rFonts w:ascii="Book Antiqua" w:hAnsi="Book Antiqua"/>
                <w:sz w:val="18"/>
              </w:rPr>
              <w:t>05</w:t>
            </w:r>
          </w:p>
        </w:tc>
        <w:tc>
          <w:tcPr>
            <w:tcW w:w="1603" w:type="dxa"/>
            <w:tcBorders>
              <w:top w:val="nil"/>
              <w:left w:val="nil"/>
              <w:bottom w:val="nil"/>
              <w:right w:val="nil"/>
            </w:tcBorders>
            <w:shd w:val="clear" w:color="auto" w:fill="auto"/>
            <w:noWrap/>
            <w:vAlign w:val="bottom"/>
          </w:tcPr>
          <w:p w14:paraId="5FF9096D" w14:textId="77777777" w:rsidR="005D4CB6" w:rsidRPr="000170B2" w:rsidRDefault="005D4CB6" w:rsidP="00E16284">
            <w:pPr>
              <w:jc w:val="center"/>
              <w:rPr>
                <w:rFonts w:ascii="Book Antiqua" w:hAnsi="Book Antiqua"/>
                <w:sz w:val="18"/>
              </w:rPr>
            </w:pPr>
            <w:r w:rsidRPr="000170B2">
              <w:rPr>
                <w:rFonts w:ascii="Book Antiqua" w:hAnsi="Book Antiqua"/>
                <w:sz w:val="18"/>
              </w:rPr>
              <w:t>195,074</w:t>
            </w:r>
          </w:p>
        </w:tc>
        <w:tc>
          <w:tcPr>
            <w:tcW w:w="1603" w:type="dxa"/>
            <w:tcBorders>
              <w:top w:val="nil"/>
              <w:left w:val="nil"/>
              <w:bottom w:val="nil"/>
              <w:right w:val="nil"/>
            </w:tcBorders>
            <w:shd w:val="clear" w:color="auto" w:fill="auto"/>
            <w:noWrap/>
            <w:vAlign w:val="bottom"/>
          </w:tcPr>
          <w:p w14:paraId="6FEB734F" w14:textId="77777777" w:rsidR="005D4CB6" w:rsidRPr="000170B2" w:rsidRDefault="005D4CB6" w:rsidP="00E16284">
            <w:pPr>
              <w:jc w:val="center"/>
              <w:rPr>
                <w:rFonts w:ascii="Book Antiqua" w:hAnsi="Book Antiqua"/>
                <w:sz w:val="18"/>
              </w:rPr>
            </w:pPr>
            <w:r w:rsidRPr="000170B2">
              <w:rPr>
                <w:rFonts w:ascii="Book Antiqua" w:hAnsi="Book Antiqua"/>
                <w:sz w:val="18"/>
              </w:rPr>
              <w:t>199,055</w:t>
            </w:r>
          </w:p>
        </w:tc>
        <w:tc>
          <w:tcPr>
            <w:tcW w:w="1433" w:type="dxa"/>
            <w:tcBorders>
              <w:top w:val="nil"/>
              <w:left w:val="nil"/>
              <w:bottom w:val="nil"/>
              <w:right w:val="nil"/>
            </w:tcBorders>
            <w:shd w:val="clear" w:color="auto" w:fill="auto"/>
            <w:noWrap/>
          </w:tcPr>
          <w:p w14:paraId="36B3A04D"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29F0D58C" w14:textId="77777777" w:rsidTr="005D4CB6">
        <w:trPr>
          <w:trHeight w:val="300"/>
          <w:jc w:val="center"/>
        </w:trPr>
        <w:tc>
          <w:tcPr>
            <w:tcW w:w="1270" w:type="dxa"/>
            <w:tcBorders>
              <w:top w:val="nil"/>
              <w:left w:val="nil"/>
              <w:bottom w:val="nil"/>
              <w:right w:val="nil"/>
            </w:tcBorders>
            <w:shd w:val="clear" w:color="auto" w:fill="auto"/>
            <w:vAlign w:val="bottom"/>
          </w:tcPr>
          <w:p w14:paraId="7F982E9D" w14:textId="77777777" w:rsidR="005D4CB6" w:rsidRPr="000170B2" w:rsidRDefault="005D4CB6" w:rsidP="00E16284">
            <w:pPr>
              <w:jc w:val="center"/>
              <w:rPr>
                <w:rFonts w:ascii="Book Antiqua" w:hAnsi="Book Antiqua"/>
                <w:sz w:val="18"/>
              </w:rPr>
            </w:pPr>
            <w:r w:rsidRPr="000170B2">
              <w:rPr>
                <w:rFonts w:ascii="Book Antiqua" w:hAnsi="Book Antiqua"/>
                <w:sz w:val="18"/>
              </w:rPr>
              <w:t>06</w:t>
            </w:r>
          </w:p>
        </w:tc>
        <w:tc>
          <w:tcPr>
            <w:tcW w:w="1603" w:type="dxa"/>
            <w:tcBorders>
              <w:top w:val="nil"/>
              <w:left w:val="nil"/>
              <w:bottom w:val="nil"/>
              <w:right w:val="nil"/>
            </w:tcBorders>
            <w:shd w:val="clear" w:color="auto" w:fill="auto"/>
            <w:noWrap/>
            <w:vAlign w:val="bottom"/>
          </w:tcPr>
          <w:p w14:paraId="0C41397F" w14:textId="77777777" w:rsidR="005D4CB6" w:rsidRPr="000170B2" w:rsidRDefault="005D4CB6" w:rsidP="00E16284">
            <w:pPr>
              <w:jc w:val="center"/>
              <w:rPr>
                <w:rFonts w:ascii="Book Antiqua" w:hAnsi="Book Antiqua"/>
                <w:sz w:val="18"/>
              </w:rPr>
            </w:pPr>
            <w:r w:rsidRPr="000170B2">
              <w:rPr>
                <w:rFonts w:ascii="Book Antiqua" w:hAnsi="Book Antiqua"/>
                <w:sz w:val="18"/>
              </w:rPr>
              <w:t>276,238</w:t>
            </w:r>
          </w:p>
        </w:tc>
        <w:tc>
          <w:tcPr>
            <w:tcW w:w="1603" w:type="dxa"/>
            <w:tcBorders>
              <w:top w:val="nil"/>
              <w:left w:val="nil"/>
              <w:bottom w:val="nil"/>
              <w:right w:val="nil"/>
            </w:tcBorders>
            <w:shd w:val="clear" w:color="auto" w:fill="auto"/>
            <w:noWrap/>
            <w:vAlign w:val="bottom"/>
          </w:tcPr>
          <w:p w14:paraId="3D476560" w14:textId="77777777" w:rsidR="005D4CB6" w:rsidRPr="000170B2" w:rsidRDefault="005D4CB6" w:rsidP="00E16284">
            <w:pPr>
              <w:jc w:val="center"/>
              <w:rPr>
                <w:rFonts w:ascii="Book Antiqua" w:hAnsi="Book Antiqua"/>
                <w:sz w:val="18"/>
              </w:rPr>
            </w:pPr>
            <w:r w:rsidRPr="000170B2">
              <w:rPr>
                <w:rFonts w:ascii="Book Antiqua" w:hAnsi="Book Antiqua"/>
                <w:sz w:val="18"/>
              </w:rPr>
              <w:t>281,875</w:t>
            </w:r>
          </w:p>
        </w:tc>
        <w:tc>
          <w:tcPr>
            <w:tcW w:w="1433" w:type="dxa"/>
            <w:tcBorders>
              <w:top w:val="nil"/>
              <w:left w:val="nil"/>
              <w:bottom w:val="nil"/>
              <w:right w:val="nil"/>
            </w:tcBorders>
            <w:shd w:val="clear" w:color="auto" w:fill="auto"/>
            <w:noWrap/>
          </w:tcPr>
          <w:p w14:paraId="7708DC1A"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6B7E6230" w14:textId="77777777" w:rsidTr="005D4CB6">
        <w:trPr>
          <w:trHeight w:val="300"/>
          <w:jc w:val="center"/>
        </w:trPr>
        <w:tc>
          <w:tcPr>
            <w:tcW w:w="1270" w:type="dxa"/>
            <w:tcBorders>
              <w:top w:val="nil"/>
              <w:left w:val="nil"/>
              <w:bottom w:val="nil"/>
              <w:right w:val="nil"/>
            </w:tcBorders>
            <w:shd w:val="clear" w:color="auto" w:fill="auto"/>
            <w:vAlign w:val="bottom"/>
          </w:tcPr>
          <w:p w14:paraId="173D1854" w14:textId="77777777" w:rsidR="005D4CB6" w:rsidRPr="000170B2" w:rsidRDefault="005D4CB6" w:rsidP="00E16284">
            <w:pPr>
              <w:jc w:val="center"/>
              <w:rPr>
                <w:rFonts w:ascii="Book Antiqua" w:hAnsi="Book Antiqua"/>
                <w:sz w:val="18"/>
              </w:rPr>
            </w:pPr>
            <w:r w:rsidRPr="000170B2">
              <w:rPr>
                <w:rFonts w:ascii="Book Antiqua" w:hAnsi="Book Antiqua"/>
                <w:sz w:val="18"/>
              </w:rPr>
              <w:t>07</w:t>
            </w:r>
          </w:p>
        </w:tc>
        <w:tc>
          <w:tcPr>
            <w:tcW w:w="1603" w:type="dxa"/>
            <w:tcBorders>
              <w:top w:val="nil"/>
              <w:left w:val="nil"/>
              <w:bottom w:val="nil"/>
              <w:right w:val="nil"/>
            </w:tcBorders>
            <w:shd w:val="clear" w:color="auto" w:fill="auto"/>
            <w:noWrap/>
            <w:vAlign w:val="bottom"/>
          </w:tcPr>
          <w:p w14:paraId="1DDB1866" w14:textId="77777777" w:rsidR="005D4CB6" w:rsidRPr="000170B2" w:rsidRDefault="005D4CB6" w:rsidP="00E16284">
            <w:pPr>
              <w:jc w:val="center"/>
              <w:rPr>
                <w:rFonts w:ascii="Book Antiqua" w:hAnsi="Book Antiqua"/>
                <w:sz w:val="18"/>
              </w:rPr>
            </w:pPr>
            <w:r w:rsidRPr="000170B2">
              <w:rPr>
                <w:rFonts w:ascii="Book Antiqua" w:hAnsi="Book Antiqua"/>
                <w:sz w:val="18"/>
              </w:rPr>
              <w:t>342,532</w:t>
            </w:r>
          </w:p>
        </w:tc>
        <w:tc>
          <w:tcPr>
            <w:tcW w:w="1603" w:type="dxa"/>
            <w:tcBorders>
              <w:top w:val="nil"/>
              <w:left w:val="nil"/>
              <w:bottom w:val="nil"/>
              <w:right w:val="nil"/>
            </w:tcBorders>
            <w:shd w:val="clear" w:color="auto" w:fill="auto"/>
            <w:noWrap/>
            <w:vAlign w:val="bottom"/>
          </w:tcPr>
          <w:p w14:paraId="7943B846" w14:textId="77777777" w:rsidR="005D4CB6" w:rsidRPr="000170B2" w:rsidRDefault="005D4CB6" w:rsidP="00E16284">
            <w:pPr>
              <w:jc w:val="center"/>
              <w:rPr>
                <w:rFonts w:ascii="Book Antiqua" w:hAnsi="Book Antiqua"/>
                <w:sz w:val="18"/>
              </w:rPr>
            </w:pPr>
            <w:r w:rsidRPr="000170B2">
              <w:rPr>
                <w:rFonts w:ascii="Book Antiqua" w:hAnsi="Book Antiqua"/>
                <w:sz w:val="18"/>
              </w:rPr>
              <w:t>349,523</w:t>
            </w:r>
          </w:p>
        </w:tc>
        <w:tc>
          <w:tcPr>
            <w:tcW w:w="1433" w:type="dxa"/>
            <w:tcBorders>
              <w:top w:val="nil"/>
              <w:left w:val="nil"/>
              <w:bottom w:val="nil"/>
              <w:right w:val="nil"/>
            </w:tcBorders>
            <w:shd w:val="clear" w:color="auto" w:fill="auto"/>
            <w:noWrap/>
          </w:tcPr>
          <w:p w14:paraId="3601509D"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6CDC5B1F" w14:textId="77777777" w:rsidTr="005D4CB6">
        <w:trPr>
          <w:trHeight w:val="300"/>
          <w:jc w:val="center"/>
        </w:trPr>
        <w:tc>
          <w:tcPr>
            <w:tcW w:w="1270" w:type="dxa"/>
            <w:tcBorders>
              <w:top w:val="nil"/>
              <w:left w:val="nil"/>
              <w:bottom w:val="nil"/>
              <w:right w:val="nil"/>
            </w:tcBorders>
            <w:shd w:val="clear" w:color="auto" w:fill="auto"/>
            <w:vAlign w:val="bottom"/>
          </w:tcPr>
          <w:p w14:paraId="6A89AC64" w14:textId="77777777" w:rsidR="005D4CB6" w:rsidRPr="000170B2" w:rsidRDefault="005D4CB6" w:rsidP="00E16284">
            <w:pPr>
              <w:jc w:val="center"/>
              <w:rPr>
                <w:rFonts w:ascii="Book Antiqua" w:hAnsi="Book Antiqua"/>
                <w:sz w:val="18"/>
              </w:rPr>
            </w:pPr>
            <w:r w:rsidRPr="000170B2">
              <w:rPr>
                <w:rFonts w:ascii="Book Antiqua" w:hAnsi="Book Antiqua"/>
                <w:sz w:val="18"/>
              </w:rPr>
              <w:t>08</w:t>
            </w:r>
          </w:p>
        </w:tc>
        <w:tc>
          <w:tcPr>
            <w:tcW w:w="1603" w:type="dxa"/>
            <w:tcBorders>
              <w:top w:val="nil"/>
              <w:left w:val="nil"/>
              <w:bottom w:val="nil"/>
              <w:right w:val="nil"/>
            </w:tcBorders>
            <w:shd w:val="clear" w:color="auto" w:fill="auto"/>
            <w:noWrap/>
            <w:vAlign w:val="bottom"/>
          </w:tcPr>
          <w:p w14:paraId="3EA77A54" w14:textId="77777777" w:rsidR="005D4CB6" w:rsidRPr="000170B2" w:rsidRDefault="005D4CB6" w:rsidP="00E16284">
            <w:pPr>
              <w:jc w:val="center"/>
              <w:rPr>
                <w:rFonts w:ascii="Book Antiqua" w:hAnsi="Book Antiqua"/>
                <w:sz w:val="18"/>
              </w:rPr>
            </w:pPr>
            <w:r w:rsidRPr="000170B2">
              <w:rPr>
                <w:rFonts w:ascii="Book Antiqua" w:hAnsi="Book Antiqua"/>
                <w:sz w:val="18"/>
              </w:rPr>
              <w:t>419,801</w:t>
            </w:r>
          </w:p>
        </w:tc>
        <w:tc>
          <w:tcPr>
            <w:tcW w:w="1603" w:type="dxa"/>
            <w:tcBorders>
              <w:top w:val="nil"/>
              <w:left w:val="nil"/>
              <w:bottom w:val="nil"/>
              <w:right w:val="nil"/>
            </w:tcBorders>
            <w:shd w:val="clear" w:color="auto" w:fill="auto"/>
            <w:noWrap/>
            <w:vAlign w:val="bottom"/>
          </w:tcPr>
          <w:p w14:paraId="3A0CC7FA" w14:textId="77777777" w:rsidR="005D4CB6" w:rsidRPr="000170B2" w:rsidRDefault="005D4CB6" w:rsidP="00E16284">
            <w:pPr>
              <w:jc w:val="center"/>
              <w:rPr>
                <w:rFonts w:ascii="Book Antiqua" w:hAnsi="Book Antiqua"/>
                <w:sz w:val="18"/>
              </w:rPr>
            </w:pPr>
            <w:r w:rsidRPr="000170B2">
              <w:rPr>
                <w:rFonts w:ascii="Book Antiqua" w:hAnsi="Book Antiqua"/>
                <w:sz w:val="18"/>
              </w:rPr>
              <w:t>428,368</w:t>
            </w:r>
          </w:p>
        </w:tc>
        <w:tc>
          <w:tcPr>
            <w:tcW w:w="1433" w:type="dxa"/>
            <w:tcBorders>
              <w:top w:val="nil"/>
              <w:left w:val="nil"/>
              <w:bottom w:val="nil"/>
              <w:right w:val="nil"/>
            </w:tcBorders>
            <w:shd w:val="clear" w:color="auto" w:fill="auto"/>
            <w:noWrap/>
          </w:tcPr>
          <w:p w14:paraId="17608509"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4E5A2D4E" w14:textId="77777777" w:rsidTr="005D4CB6">
        <w:trPr>
          <w:trHeight w:val="300"/>
          <w:jc w:val="center"/>
        </w:trPr>
        <w:tc>
          <w:tcPr>
            <w:tcW w:w="1270" w:type="dxa"/>
            <w:tcBorders>
              <w:top w:val="nil"/>
              <w:left w:val="nil"/>
              <w:bottom w:val="nil"/>
              <w:right w:val="nil"/>
            </w:tcBorders>
            <w:shd w:val="clear" w:color="auto" w:fill="auto"/>
            <w:vAlign w:val="bottom"/>
          </w:tcPr>
          <w:p w14:paraId="5CA09E95" w14:textId="77777777" w:rsidR="005D4CB6" w:rsidRPr="000170B2" w:rsidRDefault="005D4CB6" w:rsidP="00E16284">
            <w:pPr>
              <w:jc w:val="center"/>
              <w:rPr>
                <w:rFonts w:ascii="Book Antiqua" w:hAnsi="Book Antiqua"/>
                <w:sz w:val="18"/>
              </w:rPr>
            </w:pPr>
            <w:r w:rsidRPr="000170B2">
              <w:rPr>
                <w:rFonts w:ascii="Book Antiqua" w:hAnsi="Book Antiqua"/>
                <w:sz w:val="18"/>
              </w:rPr>
              <w:t>09</w:t>
            </w:r>
          </w:p>
        </w:tc>
        <w:tc>
          <w:tcPr>
            <w:tcW w:w="1603" w:type="dxa"/>
            <w:tcBorders>
              <w:top w:val="nil"/>
              <w:left w:val="nil"/>
              <w:bottom w:val="nil"/>
              <w:right w:val="nil"/>
            </w:tcBorders>
            <w:shd w:val="clear" w:color="auto" w:fill="auto"/>
            <w:noWrap/>
            <w:vAlign w:val="bottom"/>
          </w:tcPr>
          <w:p w14:paraId="18F0B0BE" w14:textId="77777777" w:rsidR="005D4CB6" w:rsidRPr="000170B2" w:rsidRDefault="005D4CB6" w:rsidP="00E16284">
            <w:pPr>
              <w:jc w:val="center"/>
              <w:rPr>
                <w:rFonts w:ascii="Book Antiqua" w:hAnsi="Book Antiqua"/>
                <w:sz w:val="18"/>
              </w:rPr>
            </w:pPr>
            <w:r w:rsidRPr="000170B2">
              <w:rPr>
                <w:rFonts w:ascii="Book Antiqua" w:hAnsi="Book Antiqua"/>
                <w:sz w:val="18"/>
              </w:rPr>
              <w:t>517,989</w:t>
            </w:r>
          </w:p>
        </w:tc>
        <w:tc>
          <w:tcPr>
            <w:tcW w:w="1603" w:type="dxa"/>
            <w:tcBorders>
              <w:top w:val="nil"/>
              <w:left w:val="nil"/>
              <w:bottom w:val="nil"/>
              <w:right w:val="nil"/>
            </w:tcBorders>
            <w:shd w:val="clear" w:color="auto" w:fill="auto"/>
            <w:noWrap/>
            <w:vAlign w:val="bottom"/>
          </w:tcPr>
          <w:p w14:paraId="64B9311A" w14:textId="77777777" w:rsidR="005D4CB6" w:rsidRPr="000170B2" w:rsidRDefault="005D4CB6" w:rsidP="00E16284">
            <w:pPr>
              <w:jc w:val="center"/>
              <w:rPr>
                <w:rFonts w:ascii="Book Antiqua" w:hAnsi="Book Antiqua"/>
                <w:sz w:val="18"/>
              </w:rPr>
            </w:pPr>
            <w:r w:rsidRPr="000170B2">
              <w:rPr>
                <w:rFonts w:ascii="Book Antiqua" w:hAnsi="Book Antiqua"/>
                <w:sz w:val="18"/>
              </w:rPr>
              <w:t>528,561</w:t>
            </w:r>
          </w:p>
        </w:tc>
        <w:tc>
          <w:tcPr>
            <w:tcW w:w="1433" w:type="dxa"/>
            <w:tcBorders>
              <w:top w:val="nil"/>
              <w:left w:val="nil"/>
              <w:bottom w:val="nil"/>
              <w:right w:val="nil"/>
            </w:tcBorders>
            <w:shd w:val="clear" w:color="auto" w:fill="auto"/>
            <w:noWrap/>
          </w:tcPr>
          <w:p w14:paraId="2F9DA89C"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7B4E998A" w14:textId="77777777" w:rsidTr="005D4CB6">
        <w:trPr>
          <w:trHeight w:val="300"/>
          <w:jc w:val="center"/>
        </w:trPr>
        <w:tc>
          <w:tcPr>
            <w:tcW w:w="1270" w:type="dxa"/>
            <w:tcBorders>
              <w:top w:val="nil"/>
              <w:left w:val="nil"/>
              <w:bottom w:val="nil"/>
              <w:right w:val="nil"/>
            </w:tcBorders>
            <w:shd w:val="clear" w:color="auto" w:fill="auto"/>
            <w:vAlign w:val="bottom"/>
          </w:tcPr>
          <w:p w14:paraId="7488F1DC" w14:textId="77777777" w:rsidR="005D4CB6" w:rsidRPr="000170B2" w:rsidRDefault="005D4CB6" w:rsidP="00E16284">
            <w:pPr>
              <w:jc w:val="center"/>
              <w:rPr>
                <w:rFonts w:ascii="Book Antiqua" w:hAnsi="Book Antiqua"/>
                <w:sz w:val="18"/>
              </w:rPr>
            </w:pPr>
            <w:r w:rsidRPr="000170B2">
              <w:rPr>
                <w:rFonts w:ascii="Book Antiqua" w:hAnsi="Book Antiqua"/>
                <w:sz w:val="18"/>
              </w:rPr>
              <w:t>10</w:t>
            </w:r>
          </w:p>
        </w:tc>
        <w:tc>
          <w:tcPr>
            <w:tcW w:w="1603" w:type="dxa"/>
            <w:tcBorders>
              <w:top w:val="nil"/>
              <w:left w:val="nil"/>
              <w:bottom w:val="nil"/>
              <w:right w:val="nil"/>
            </w:tcBorders>
            <w:shd w:val="clear" w:color="auto" w:fill="auto"/>
            <w:noWrap/>
            <w:vAlign w:val="bottom"/>
          </w:tcPr>
          <w:p w14:paraId="44B36DAC" w14:textId="77777777" w:rsidR="005D4CB6" w:rsidRPr="000170B2" w:rsidRDefault="005D4CB6" w:rsidP="00E16284">
            <w:pPr>
              <w:jc w:val="center"/>
              <w:rPr>
                <w:rFonts w:ascii="Book Antiqua" w:hAnsi="Book Antiqua"/>
                <w:sz w:val="18"/>
              </w:rPr>
            </w:pPr>
            <w:r w:rsidRPr="000170B2">
              <w:rPr>
                <w:rFonts w:ascii="Book Antiqua" w:hAnsi="Book Antiqua"/>
                <w:sz w:val="18"/>
              </w:rPr>
              <w:t>869,017</w:t>
            </w:r>
          </w:p>
        </w:tc>
        <w:tc>
          <w:tcPr>
            <w:tcW w:w="1603" w:type="dxa"/>
            <w:tcBorders>
              <w:top w:val="nil"/>
              <w:left w:val="nil"/>
              <w:bottom w:val="nil"/>
              <w:right w:val="nil"/>
            </w:tcBorders>
            <w:shd w:val="clear" w:color="auto" w:fill="auto"/>
            <w:noWrap/>
            <w:vAlign w:val="bottom"/>
          </w:tcPr>
          <w:p w14:paraId="328336ED" w14:textId="77777777" w:rsidR="005D4CB6" w:rsidRPr="000170B2" w:rsidRDefault="005D4CB6" w:rsidP="00E16284">
            <w:pPr>
              <w:jc w:val="center"/>
              <w:rPr>
                <w:rFonts w:ascii="Book Antiqua" w:hAnsi="Book Antiqua"/>
                <w:sz w:val="18"/>
              </w:rPr>
            </w:pPr>
            <w:r w:rsidRPr="000170B2">
              <w:rPr>
                <w:rFonts w:ascii="Book Antiqua" w:hAnsi="Book Antiqua"/>
                <w:sz w:val="18"/>
              </w:rPr>
              <w:t>886,752</w:t>
            </w:r>
          </w:p>
        </w:tc>
        <w:tc>
          <w:tcPr>
            <w:tcW w:w="1433" w:type="dxa"/>
            <w:tcBorders>
              <w:top w:val="nil"/>
              <w:left w:val="nil"/>
              <w:bottom w:val="nil"/>
              <w:right w:val="nil"/>
            </w:tcBorders>
            <w:shd w:val="clear" w:color="auto" w:fill="auto"/>
            <w:noWrap/>
          </w:tcPr>
          <w:p w14:paraId="6EDEFAF6"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19DC0840" w14:textId="77777777" w:rsidTr="005D4CB6">
        <w:trPr>
          <w:trHeight w:val="300"/>
          <w:jc w:val="center"/>
        </w:trPr>
        <w:tc>
          <w:tcPr>
            <w:tcW w:w="1270" w:type="dxa"/>
            <w:tcBorders>
              <w:top w:val="nil"/>
              <w:left w:val="nil"/>
              <w:right w:val="nil"/>
            </w:tcBorders>
            <w:shd w:val="clear" w:color="auto" w:fill="auto"/>
            <w:vAlign w:val="bottom"/>
          </w:tcPr>
          <w:p w14:paraId="11652BD0" w14:textId="77777777" w:rsidR="005D4CB6" w:rsidRPr="000170B2" w:rsidRDefault="005D4CB6" w:rsidP="00E16284">
            <w:pPr>
              <w:jc w:val="center"/>
              <w:rPr>
                <w:rFonts w:ascii="Book Antiqua" w:hAnsi="Book Antiqua"/>
                <w:sz w:val="18"/>
              </w:rPr>
            </w:pPr>
            <w:r w:rsidRPr="000170B2">
              <w:rPr>
                <w:rFonts w:ascii="Book Antiqua" w:hAnsi="Book Antiqua"/>
                <w:sz w:val="18"/>
              </w:rPr>
              <w:t>11</w:t>
            </w:r>
          </w:p>
        </w:tc>
        <w:tc>
          <w:tcPr>
            <w:tcW w:w="1603" w:type="dxa"/>
            <w:tcBorders>
              <w:top w:val="nil"/>
              <w:left w:val="nil"/>
              <w:right w:val="nil"/>
            </w:tcBorders>
            <w:shd w:val="clear" w:color="auto" w:fill="auto"/>
            <w:noWrap/>
            <w:vAlign w:val="bottom"/>
          </w:tcPr>
          <w:p w14:paraId="714E7498" w14:textId="77777777" w:rsidR="005D4CB6" w:rsidRPr="000170B2" w:rsidRDefault="005D4CB6" w:rsidP="00E16284">
            <w:pPr>
              <w:jc w:val="center"/>
              <w:rPr>
                <w:rFonts w:ascii="Book Antiqua" w:hAnsi="Book Antiqua"/>
                <w:sz w:val="18"/>
              </w:rPr>
            </w:pPr>
            <w:r w:rsidRPr="000170B2">
              <w:rPr>
                <w:rFonts w:ascii="Book Antiqua" w:hAnsi="Book Antiqua"/>
                <w:sz w:val="18"/>
              </w:rPr>
              <w:t>872,576</w:t>
            </w:r>
          </w:p>
        </w:tc>
        <w:tc>
          <w:tcPr>
            <w:tcW w:w="1603" w:type="dxa"/>
            <w:tcBorders>
              <w:top w:val="nil"/>
              <w:left w:val="nil"/>
              <w:right w:val="nil"/>
            </w:tcBorders>
            <w:shd w:val="clear" w:color="auto" w:fill="auto"/>
            <w:noWrap/>
            <w:vAlign w:val="bottom"/>
          </w:tcPr>
          <w:p w14:paraId="69DBE799" w14:textId="77777777" w:rsidR="005D4CB6" w:rsidRPr="000170B2" w:rsidRDefault="005D4CB6" w:rsidP="00E16284">
            <w:pPr>
              <w:jc w:val="center"/>
              <w:rPr>
                <w:rFonts w:ascii="Book Antiqua" w:hAnsi="Book Antiqua"/>
                <w:sz w:val="18"/>
              </w:rPr>
            </w:pPr>
            <w:r w:rsidRPr="000170B2">
              <w:rPr>
                <w:rFonts w:ascii="Book Antiqua" w:hAnsi="Book Antiqua"/>
                <w:sz w:val="18"/>
              </w:rPr>
              <w:t>890,384</w:t>
            </w:r>
          </w:p>
        </w:tc>
        <w:tc>
          <w:tcPr>
            <w:tcW w:w="1433" w:type="dxa"/>
            <w:tcBorders>
              <w:top w:val="nil"/>
              <w:left w:val="nil"/>
              <w:right w:val="nil"/>
            </w:tcBorders>
            <w:shd w:val="clear" w:color="auto" w:fill="auto"/>
            <w:noWrap/>
          </w:tcPr>
          <w:p w14:paraId="3450C681"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74843E0E" w14:textId="77777777" w:rsidTr="005D4CB6">
        <w:trPr>
          <w:trHeight w:val="315"/>
          <w:jc w:val="center"/>
        </w:trPr>
        <w:tc>
          <w:tcPr>
            <w:tcW w:w="1270" w:type="dxa"/>
            <w:tcBorders>
              <w:top w:val="nil"/>
              <w:left w:val="nil"/>
              <w:bottom w:val="nil"/>
              <w:right w:val="nil"/>
            </w:tcBorders>
            <w:shd w:val="clear" w:color="auto" w:fill="auto"/>
            <w:vAlign w:val="bottom"/>
          </w:tcPr>
          <w:p w14:paraId="29353A5F" w14:textId="77777777" w:rsidR="005D4CB6" w:rsidRPr="000170B2" w:rsidRDefault="005D4CB6" w:rsidP="00E16284">
            <w:pPr>
              <w:jc w:val="center"/>
              <w:rPr>
                <w:rFonts w:ascii="Book Antiqua" w:hAnsi="Book Antiqua"/>
                <w:sz w:val="18"/>
              </w:rPr>
            </w:pPr>
            <w:r w:rsidRPr="000170B2">
              <w:rPr>
                <w:rFonts w:ascii="Book Antiqua" w:hAnsi="Book Antiqua"/>
                <w:sz w:val="18"/>
              </w:rPr>
              <w:t>12</w:t>
            </w:r>
          </w:p>
        </w:tc>
        <w:tc>
          <w:tcPr>
            <w:tcW w:w="1603" w:type="dxa"/>
            <w:tcBorders>
              <w:top w:val="nil"/>
              <w:left w:val="nil"/>
              <w:bottom w:val="nil"/>
              <w:right w:val="nil"/>
            </w:tcBorders>
            <w:shd w:val="clear" w:color="auto" w:fill="auto"/>
            <w:noWrap/>
            <w:vAlign w:val="bottom"/>
          </w:tcPr>
          <w:p w14:paraId="7A0D0E0C" w14:textId="77777777" w:rsidR="005D4CB6" w:rsidRPr="000170B2" w:rsidRDefault="005D4CB6" w:rsidP="00E16284">
            <w:pPr>
              <w:jc w:val="center"/>
              <w:rPr>
                <w:rFonts w:ascii="Book Antiqua" w:hAnsi="Book Antiqua"/>
                <w:sz w:val="18"/>
              </w:rPr>
            </w:pPr>
            <w:r w:rsidRPr="000170B2">
              <w:rPr>
                <w:rFonts w:ascii="Book Antiqua" w:hAnsi="Book Antiqua"/>
                <w:sz w:val="18"/>
              </w:rPr>
              <w:t>1,223,407</w:t>
            </w:r>
          </w:p>
        </w:tc>
        <w:tc>
          <w:tcPr>
            <w:tcW w:w="1603" w:type="dxa"/>
            <w:tcBorders>
              <w:top w:val="nil"/>
              <w:left w:val="nil"/>
              <w:bottom w:val="nil"/>
              <w:right w:val="nil"/>
            </w:tcBorders>
            <w:shd w:val="clear" w:color="auto" w:fill="auto"/>
            <w:noWrap/>
            <w:vAlign w:val="bottom"/>
          </w:tcPr>
          <w:p w14:paraId="61E0E3C2" w14:textId="77777777" w:rsidR="005D4CB6" w:rsidRPr="000170B2" w:rsidRDefault="005D4CB6" w:rsidP="00E16284">
            <w:pPr>
              <w:jc w:val="center"/>
              <w:rPr>
                <w:rFonts w:ascii="Book Antiqua" w:hAnsi="Book Antiqua"/>
                <w:sz w:val="18"/>
              </w:rPr>
            </w:pPr>
            <w:r w:rsidRPr="000170B2">
              <w:rPr>
                <w:rFonts w:ascii="Book Antiqua" w:hAnsi="Book Antiqua"/>
                <w:sz w:val="18"/>
              </w:rPr>
              <w:t>1,248,374</w:t>
            </w:r>
          </w:p>
        </w:tc>
        <w:tc>
          <w:tcPr>
            <w:tcW w:w="1433" w:type="dxa"/>
            <w:tcBorders>
              <w:top w:val="nil"/>
              <w:left w:val="nil"/>
              <w:bottom w:val="nil"/>
              <w:right w:val="nil"/>
            </w:tcBorders>
            <w:shd w:val="clear" w:color="auto" w:fill="auto"/>
            <w:noWrap/>
          </w:tcPr>
          <w:p w14:paraId="0B8E7DFE" w14:textId="77777777" w:rsidR="005D4CB6" w:rsidRPr="000170B2" w:rsidRDefault="005D4CB6" w:rsidP="00E16284">
            <w:pPr>
              <w:jc w:val="center"/>
              <w:rPr>
                <w:sz w:val="18"/>
              </w:rPr>
            </w:pPr>
            <w:r w:rsidRPr="000170B2">
              <w:rPr>
                <w:rFonts w:ascii="Book Antiqua" w:hAnsi="Book Antiqua"/>
                <w:sz w:val="18"/>
              </w:rPr>
              <w:t>2.04%</w:t>
            </w:r>
          </w:p>
        </w:tc>
      </w:tr>
      <w:tr w:rsidR="005D4CB6" w:rsidRPr="000170B2" w14:paraId="4EA91258" w14:textId="77777777" w:rsidTr="005D4CB6">
        <w:trPr>
          <w:trHeight w:val="315"/>
          <w:jc w:val="center"/>
        </w:trPr>
        <w:tc>
          <w:tcPr>
            <w:tcW w:w="1270" w:type="dxa"/>
            <w:tcBorders>
              <w:top w:val="nil"/>
              <w:left w:val="nil"/>
              <w:bottom w:val="double" w:sz="4" w:space="0" w:color="0000FF"/>
              <w:right w:val="nil"/>
            </w:tcBorders>
            <w:shd w:val="clear" w:color="auto" w:fill="auto"/>
            <w:vAlign w:val="bottom"/>
          </w:tcPr>
          <w:p w14:paraId="104D958D" w14:textId="77777777" w:rsidR="005D4CB6" w:rsidRPr="000170B2" w:rsidRDefault="005D4CB6" w:rsidP="00E16284">
            <w:pPr>
              <w:jc w:val="center"/>
              <w:rPr>
                <w:rFonts w:ascii="Book Antiqua" w:hAnsi="Book Antiqua"/>
                <w:sz w:val="18"/>
              </w:rPr>
            </w:pPr>
            <w:r w:rsidRPr="000170B2">
              <w:rPr>
                <w:rFonts w:ascii="Book Antiqua" w:hAnsi="Book Antiqua"/>
                <w:sz w:val="18"/>
              </w:rPr>
              <w:t>13</w:t>
            </w:r>
          </w:p>
        </w:tc>
        <w:tc>
          <w:tcPr>
            <w:tcW w:w="1603" w:type="dxa"/>
            <w:tcBorders>
              <w:top w:val="nil"/>
              <w:left w:val="nil"/>
              <w:bottom w:val="double" w:sz="4" w:space="0" w:color="0000FF"/>
              <w:right w:val="nil"/>
            </w:tcBorders>
            <w:shd w:val="clear" w:color="auto" w:fill="auto"/>
            <w:noWrap/>
            <w:vAlign w:val="bottom"/>
          </w:tcPr>
          <w:p w14:paraId="0B6EFC72" w14:textId="77777777" w:rsidR="005D4CB6" w:rsidRPr="000170B2" w:rsidRDefault="005D4CB6" w:rsidP="00E16284">
            <w:pPr>
              <w:jc w:val="center"/>
              <w:rPr>
                <w:rFonts w:ascii="Book Antiqua" w:hAnsi="Book Antiqua"/>
                <w:sz w:val="18"/>
              </w:rPr>
            </w:pPr>
            <w:r w:rsidRPr="000170B2">
              <w:rPr>
                <w:rFonts w:ascii="Book Antiqua" w:hAnsi="Book Antiqua"/>
                <w:sz w:val="18"/>
              </w:rPr>
              <w:t>1,470,951</w:t>
            </w:r>
          </w:p>
        </w:tc>
        <w:tc>
          <w:tcPr>
            <w:tcW w:w="1603" w:type="dxa"/>
            <w:tcBorders>
              <w:top w:val="nil"/>
              <w:left w:val="nil"/>
              <w:bottom w:val="double" w:sz="4" w:space="0" w:color="0000FF"/>
              <w:right w:val="nil"/>
            </w:tcBorders>
            <w:shd w:val="clear" w:color="auto" w:fill="auto"/>
            <w:noWrap/>
            <w:vAlign w:val="bottom"/>
          </w:tcPr>
          <w:p w14:paraId="3BD75A0F" w14:textId="77777777" w:rsidR="005D4CB6" w:rsidRPr="000170B2" w:rsidRDefault="005D4CB6" w:rsidP="00E16284">
            <w:pPr>
              <w:jc w:val="center"/>
              <w:rPr>
                <w:rFonts w:ascii="Book Antiqua" w:hAnsi="Book Antiqua"/>
                <w:sz w:val="18"/>
              </w:rPr>
            </w:pPr>
            <w:r w:rsidRPr="000170B2">
              <w:rPr>
                <w:rFonts w:ascii="Book Antiqua" w:hAnsi="Book Antiqua"/>
                <w:sz w:val="18"/>
              </w:rPr>
              <w:t>1,500,971</w:t>
            </w:r>
          </w:p>
        </w:tc>
        <w:tc>
          <w:tcPr>
            <w:tcW w:w="1433" w:type="dxa"/>
            <w:tcBorders>
              <w:top w:val="nil"/>
              <w:left w:val="nil"/>
              <w:bottom w:val="double" w:sz="4" w:space="0" w:color="0000FF"/>
              <w:right w:val="nil"/>
            </w:tcBorders>
            <w:shd w:val="clear" w:color="auto" w:fill="auto"/>
            <w:noWrap/>
          </w:tcPr>
          <w:p w14:paraId="4FA6D793" w14:textId="77777777" w:rsidR="005D4CB6" w:rsidRPr="000170B2" w:rsidRDefault="005D4CB6" w:rsidP="00E16284">
            <w:pPr>
              <w:jc w:val="center"/>
              <w:rPr>
                <w:sz w:val="18"/>
              </w:rPr>
            </w:pPr>
            <w:r w:rsidRPr="000170B2">
              <w:rPr>
                <w:rFonts w:ascii="Book Antiqua" w:hAnsi="Book Antiqua"/>
                <w:sz w:val="18"/>
              </w:rPr>
              <w:t>2.04%</w:t>
            </w:r>
          </w:p>
        </w:tc>
      </w:tr>
    </w:tbl>
    <w:p w14:paraId="4731A20B" w14:textId="77777777" w:rsidR="005D4CB6" w:rsidRPr="005D4CB6" w:rsidRDefault="005D4CB6" w:rsidP="00E16284">
      <w:pPr>
        <w:jc w:val="both"/>
        <w:rPr>
          <w:rFonts w:ascii="Book Antiqua" w:hAnsi="Book Antiqua"/>
          <w:sz w:val="22"/>
        </w:rPr>
      </w:pPr>
    </w:p>
    <w:p w14:paraId="5622654C" w14:textId="77777777" w:rsidR="005D4CB6" w:rsidRPr="005D4CB6" w:rsidRDefault="005D4CB6" w:rsidP="005D4CB6">
      <w:pPr>
        <w:spacing w:line="276" w:lineRule="auto"/>
        <w:jc w:val="both"/>
        <w:rPr>
          <w:rFonts w:ascii="Book Antiqua" w:hAnsi="Book Antiqua"/>
          <w:sz w:val="22"/>
        </w:rPr>
      </w:pPr>
      <w:r w:rsidRPr="005D4CB6">
        <w:rPr>
          <w:rFonts w:ascii="Book Antiqua" w:hAnsi="Book Antiqua"/>
          <w:sz w:val="22"/>
        </w:rPr>
        <w:t>A diferencia de los años anteriores, en donde se utilizaba como referencia la escala de planilla, al no haber otorgado aumento alguno, se ha optado en esta ocasión utilizar como referencia la escala presupuestaria del año anterior, que en todas las categorías es superior a la establecida para la planilla que no sufrió incremento alguno.</w:t>
      </w:r>
    </w:p>
    <w:p w14:paraId="009504A2" w14:textId="77777777" w:rsidR="005D4CB6" w:rsidRPr="005D4CB6" w:rsidRDefault="005D4CB6" w:rsidP="005D4CB6">
      <w:pPr>
        <w:spacing w:before="120" w:line="276" w:lineRule="auto"/>
        <w:jc w:val="both"/>
        <w:rPr>
          <w:rFonts w:ascii="Book Antiqua" w:hAnsi="Book Antiqua"/>
          <w:sz w:val="22"/>
        </w:rPr>
      </w:pPr>
      <w:r w:rsidRPr="005D4CB6">
        <w:rPr>
          <w:rFonts w:ascii="Book Antiqua" w:hAnsi="Book Antiqua"/>
          <w:sz w:val="22"/>
        </w:rPr>
        <w:t xml:space="preserve">Para la definición de la escala regular de básicos más pluses presupuestaria 2017, se estableció una variación de un </w:t>
      </w:r>
      <w:r w:rsidRPr="005D4CB6">
        <w:rPr>
          <w:rFonts w:ascii="Book Antiqua" w:hAnsi="Book Antiqua"/>
          <w:b/>
          <w:sz w:val="22"/>
        </w:rPr>
        <w:t xml:space="preserve">0.14% </w:t>
      </w:r>
      <w:r w:rsidRPr="005D4CB6">
        <w:rPr>
          <w:rFonts w:ascii="Book Antiqua" w:hAnsi="Book Antiqua"/>
          <w:sz w:val="22"/>
        </w:rPr>
        <w:t>a partir de la escala formulada para el año 2016, la cual se estima técnicamente suficiente para cubrir los aumentos que se lleguen a autorizar a partir del 2017 para dicha escala salarial.</w:t>
      </w:r>
    </w:p>
    <w:p w14:paraId="6FDF5D2B" w14:textId="77777777" w:rsidR="005D4CB6" w:rsidRPr="005D4CB6" w:rsidRDefault="005D4CB6" w:rsidP="005D4CB6">
      <w:pPr>
        <w:spacing w:line="276" w:lineRule="auto"/>
        <w:rPr>
          <w:rFonts w:ascii="Book Antiqua" w:hAnsi="Book Antiqua"/>
          <w:sz w:val="22"/>
        </w:rPr>
      </w:pPr>
    </w:p>
    <w:p w14:paraId="67061BCD" w14:textId="77777777" w:rsidR="005D4CB6" w:rsidRPr="005D4CB6" w:rsidRDefault="005D4CB6" w:rsidP="005D4CB6">
      <w:pPr>
        <w:spacing w:before="120" w:line="276" w:lineRule="auto"/>
        <w:jc w:val="both"/>
        <w:rPr>
          <w:rFonts w:ascii="Book Antiqua" w:hAnsi="Book Antiqua"/>
          <w:sz w:val="22"/>
        </w:rPr>
      </w:pPr>
      <w:r w:rsidRPr="005D4CB6">
        <w:rPr>
          <w:rFonts w:ascii="Book Antiqua" w:hAnsi="Book Antiqua"/>
          <w:sz w:val="22"/>
        </w:rPr>
        <w:t xml:space="preserve">En lo que respecta a la definición de la escala Gerencial Global presupuestaria 2017 se determinó una variación del </w:t>
      </w:r>
      <w:r w:rsidRPr="005D4CB6">
        <w:rPr>
          <w:rFonts w:ascii="Book Antiqua" w:hAnsi="Book Antiqua"/>
          <w:b/>
          <w:sz w:val="22"/>
        </w:rPr>
        <w:t>2.68%</w:t>
      </w:r>
      <w:r w:rsidRPr="005D4CB6">
        <w:rPr>
          <w:rFonts w:ascii="Book Antiqua" w:hAnsi="Book Antiqua"/>
          <w:sz w:val="22"/>
        </w:rPr>
        <w:t xml:space="preserve"> con respecto a la escala formulada para el año 2016, cuyo detalle por categoría se presenta en la siguiente tabla.</w:t>
      </w:r>
    </w:p>
    <w:p w14:paraId="7065837A" w14:textId="77777777" w:rsidR="005D4CB6" w:rsidRPr="00E16284" w:rsidRDefault="005D4CB6" w:rsidP="00E16284">
      <w:pPr>
        <w:spacing w:before="120"/>
        <w:jc w:val="both"/>
        <w:rPr>
          <w:rFonts w:ascii="Book Antiqua" w:hAnsi="Book Antiqua"/>
          <w:sz w:val="20"/>
        </w:rPr>
      </w:pPr>
    </w:p>
    <w:tbl>
      <w:tblPr>
        <w:tblStyle w:val="Tablabsica1"/>
        <w:tblW w:w="6583" w:type="dxa"/>
        <w:tblInd w:w="1514" w:type="dxa"/>
        <w:tblLayout w:type="fixed"/>
        <w:tblLook w:val="04A0" w:firstRow="1" w:lastRow="0" w:firstColumn="1" w:lastColumn="0" w:noHBand="0" w:noVBand="1"/>
      </w:tblPr>
      <w:tblGrid>
        <w:gridCol w:w="1549"/>
        <w:gridCol w:w="1720"/>
        <w:gridCol w:w="1998"/>
        <w:gridCol w:w="1316"/>
      </w:tblGrid>
      <w:tr w:rsidR="005D4CB6" w:rsidRPr="00E16284" w14:paraId="35E6C3D7" w14:textId="77777777" w:rsidTr="005D4CB6">
        <w:trPr>
          <w:cnfStyle w:val="100000000000" w:firstRow="1" w:lastRow="0" w:firstColumn="0" w:lastColumn="0" w:oddVBand="0" w:evenVBand="0" w:oddHBand="0" w:evenHBand="0" w:firstRowFirstColumn="0" w:firstRowLastColumn="0" w:lastRowFirstColumn="0" w:lastRowLastColumn="0"/>
        </w:trPr>
        <w:tc>
          <w:tcPr>
            <w:tcW w:w="1549" w:type="dxa"/>
            <w:vAlign w:val="center"/>
          </w:tcPr>
          <w:p w14:paraId="0171D0C4" w14:textId="77777777" w:rsidR="005D4CB6" w:rsidRPr="00E16284" w:rsidRDefault="005D4CB6" w:rsidP="00E16284">
            <w:pPr>
              <w:jc w:val="center"/>
              <w:rPr>
                <w:rFonts w:ascii="Book Antiqua" w:hAnsi="Book Antiqua"/>
                <w:sz w:val="20"/>
              </w:rPr>
            </w:pPr>
            <w:r w:rsidRPr="00E16284">
              <w:rPr>
                <w:rFonts w:ascii="Book Antiqua" w:hAnsi="Book Antiqua"/>
                <w:sz w:val="20"/>
              </w:rPr>
              <w:br w:type="page"/>
              <w:t>Categoría</w:t>
            </w:r>
          </w:p>
        </w:tc>
        <w:tc>
          <w:tcPr>
            <w:tcW w:w="1720" w:type="dxa"/>
            <w:vAlign w:val="center"/>
          </w:tcPr>
          <w:p w14:paraId="0662A2FB" w14:textId="77777777" w:rsidR="005D4CB6" w:rsidRPr="00E16284" w:rsidRDefault="005D4CB6" w:rsidP="00E16284">
            <w:pPr>
              <w:jc w:val="center"/>
              <w:rPr>
                <w:rFonts w:ascii="Book Antiqua" w:hAnsi="Book Antiqua"/>
                <w:sz w:val="20"/>
              </w:rPr>
            </w:pPr>
            <w:r w:rsidRPr="00E16284">
              <w:rPr>
                <w:rFonts w:ascii="Book Antiqua" w:hAnsi="Book Antiqua"/>
                <w:sz w:val="20"/>
              </w:rPr>
              <w:t>Formulación</w:t>
            </w:r>
          </w:p>
          <w:p w14:paraId="11133E5F" w14:textId="77777777" w:rsidR="005D4CB6" w:rsidRPr="00E16284" w:rsidRDefault="005D4CB6" w:rsidP="00E16284">
            <w:pPr>
              <w:jc w:val="center"/>
              <w:rPr>
                <w:rFonts w:ascii="Book Antiqua" w:hAnsi="Book Antiqua"/>
                <w:sz w:val="20"/>
              </w:rPr>
            </w:pPr>
            <w:r w:rsidRPr="00E16284">
              <w:rPr>
                <w:rFonts w:ascii="Book Antiqua" w:hAnsi="Book Antiqua"/>
                <w:sz w:val="20"/>
              </w:rPr>
              <w:t>2016</w:t>
            </w:r>
          </w:p>
        </w:tc>
        <w:tc>
          <w:tcPr>
            <w:tcW w:w="1998" w:type="dxa"/>
            <w:vAlign w:val="center"/>
          </w:tcPr>
          <w:p w14:paraId="2A4C708D" w14:textId="77777777" w:rsidR="005D4CB6" w:rsidRPr="00E16284" w:rsidRDefault="005D4CB6" w:rsidP="00E16284">
            <w:pPr>
              <w:jc w:val="center"/>
              <w:rPr>
                <w:rFonts w:ascii="Book Antiqua" w:hAnsi="Book Antiqua"/>
                <w:sz w:val="20"/>
              </w:rPr>
            </w:pPr>
            <w:r w:rsidRPr="00E16284">
              <w:rPr>
                <w:rFonts w:ascii="Book Antiqua" w:hAnsi="Book Antiqua"/>
                <w:sz w:val="20"/>
              </w:rPr>
              <w:t>Formulación 2017</w:t>
            </w:r>
          </w:p>
        </w:tc>
        <w:tc>
          <w:tcPr>
            <w:tcW w:w="1316" w:type="dxa"/>
            <w:vAlign w:val="center"/>
          </w:tcPr>
          <w:p w14:paraId="5186A7F8" w14:textId="77777777" w:rsidR="005D4CB6" w:rsidRPr="00E16284" w:rsidRDefault="005D4CB6" w:rsidP="00E16284">
            <w:pPr>
              <w:jc w:val="center"/>
              <w:rPr>
                <w:rFonts w:ascii="Book Antiqua" w:hAnsi="Book Antiqua"/>
                <w:sz w:val="20"/>
                <w:lang w:val="en-US"/>
              </w:rPr>
            </w:pPr>
            <w:r w:rsidRPr="00E16284">
              <w:rPr>
                <w:rFonts w:ascii="Book Antiqua" w:hAnsi="Book Antiqua"/>
                <w:sz w:val="20"/>
                <w:lang w:val="en-US"/>
              </w:rPr>
              <w:t>Form. 2017 vs 2016</w:t>
            </w:r>
          </w:p>
        </w:tc>
      </w:tr>
      <w:tr w:rsidR="005D4CB6" w:rsidRPr="00E16284" w14:paraId="2948572A" w14:textId="77777777" w:rsidTr="005D4CB6">
        <w:tc>
          <w:tcPr>
            <w:tcW w:w="1549" w:type="dxa"/>
            <w:vAlign w:val="center"/>
          </w:tcPr>
          <w:p w14:paraId="70F3D469" w14:textId="77777777" w:rsidR="005D4CB6" w:rsidRPr="00E16284" w:rsidRDefault="005D4CB6" w:rsidP="00E16284">
            <w:pPr>
              <w:spacing w:before="120"/>
              <w:jc w:val="center"/>
              <w:rPr>
                <w:rFonts w:ascii="Book Antiqua" w:hAnsi="Book Antiqua"/>
                <w:sz w:val="20"/>
                <w:lang w:val="en-US"/>
              </w:rPr>
            </w:pPr>
            <w:r w:rsidRPr="00E16284">
              <w:rPr>
                <w:rFonts w:ascii="Book Antiqua" w:hAnsi="Book Antiqua"/>
                <w:sz w:val="20"/>
                <w:lang w:val="en-US"/>
              </w:rPr>
              <w:t>01</w:t>
            </w:r>
          </w:p>
        </w:tc>
        <w:tc>
          <w:tcPr>
            <w:tcW w:w="1720" w:type="dxa"/>
            <w:vAlign w:val="center"/>
          </w:tcPr>
          <w:p w14:paraId="5528C105" w14:textId="77777777" w:rsidR="005D4CB6" w:rsidRPr="00E16284" w:rsidRDefault="005D4CB6" w:rsidP="00E16284">
            <w:pPr>
              <w:jc w:val="center"/>
              <w:rPr>
                <w:rFonts w:ascii="Book Antiqua" w:hAnsi="Book Antiqua" w:cs="Arial"/>
                <w:sz w:val="20"/>
                <w:szCs w:val="20"/>
                <w:lang w:eastAsia="es-CR"/>
              </w:rPr>
            </w:pPr>
            <w:r w:rsidRPr="00E16284">
              <w:rPr>
                <w:rFonts w:ascii="Book Antiqua" w:hAnsi="Book Antiqua" w:cs="Arial"/>
                <w:sz w:val="20"/>
                <w:szCs w:val="20"/>
              </w:rPr>
              <w:t>1,018,791</w:t>
            </w:r>
          </w:p>
        </w:tc>
        <w:tc>
          <w:tcPr>
            <w:tcW w:w="1998" w:type="dxa"/>
            <w:vAlign w:val="center"/>
          </w:tcPr>
          <w:p w14:paraId="1781C6D8" w14:textId="77777777" w:rsidR="005D4CB6" w:rsidRPr="00E16284" w:rsidRDefault="005D4CB6" w:rsidP="00E16284">
            <w:pPr>
              <w:jc w:val="center"/>
              <w:rPr>
                <w:rFonts w:ascii="Book Antiqua" w:hAnsi="Book Antiqua" w:cs="Arial"/>
                <w:sz w:val="20"/>
                <w:szCs w:val="20"/>
                <w:lang w:eastAsia="es-CR"/>
              </w:rPr>
            </w:pPr>
            <w:r w:rsidRPr="00E16284">
              <w:rPr>
                <w:rFonts w:ascii="Book Antiqua" w:hAnsi="Book Antiqua" w:cs="Arial"/>
                <w:sz w:val="20"/>
                <w:szCs w:val="20"/>
              </w:rPr>
              <w:t>992,214</w:t>
            </w:r>
          </w:p>
        </w:tc>
        <w:tc>
          <w:tcPr>
            <w:tcW w:w="1316" w:type="dxa"/>
            <w:vAlign w:val="center"/>
          </w:tcPr>
          <w:p w14:paraId="68B600C4" w14:textId="77777777" w:rsidR="005D4CB6" w:rsidRPr="00E16284" w:rsidRDefault="005D4CB6" w:rsidP="00E16284">
            <w:pPr>
              <w:jc w:val="center"/>
              <w:rPr>
                <w:rFonts w:ascii="Book Antiqua" w:hAnsi="Book Antiqua"/>
                <w:color w:val="000000"/>
                <w:sz w:val="20"/>
                <w:szCs w:val="22"/>
              </w:rPr>
            </w:pPr>
            <w:r w:rsidRPr="00E16284">
              <w:rPr>
                <w:rFonts w:ascii="Book Antiqua" w:hAnsi="Book Antiqua"/>
                <w:color w:val="000000"/>
                <w:sz w:val="20"/>
                <w:szCs w:val="22"/>
              </w:rPr>
              <w:t>2.68%</w:t>
            </w:r>
          </w:p>
        </w:tc>
      </w:tr>
      <w:tr w:rsidR="005D4CB6" w:rsidRPr="00E16284" w14:paraId="602BFF94" w14:textId="77777777" w:rsidTr="005D4CB6">
        <w:tc>
          <w:tcPr>
            <w:tcW w:w="1549" w:type="dxa"/>
            <w:vAlign w:val="center"/>
          </w:tcPr>
          <w:p w14:paraId="5744B8AE" w14:textId="77777777" w:rsidR="005D4CB6" w:rsidRPr="00E16284" w:rsidRDefault="005D4CB6" w:rsidP="00E16284">
            <w:pPr>
              <w:spacing w:before="120"/>
              <w:jc w:val="center"/>
              <w:rPr>
                <w:rFonts w:ascii="Book Antiqua" w:hAnsi="Book Antiqua"/>
                <w:sz w:val="20"/>
                <w:lang w:val="en-US"/>
              </w:rPr>
            </w:pPr>
            <w:r w:rsidRPr="00E16284">
              <w:rPr>
                <w:rFonts w:ascii="Book Antiqua" w:hAnsi="Book Antiqua"/>
                <w:sz w:val="20"/>
                <w:lang w:val="en-US"/>
              </w:rPr>
              <w:t>02</w:t>
            </w:r>
          </w:p>
        </w:tc>
        <w:tc>
          <w:tcPr>
            <w:tcW w:w="1720" w:type="dxa"/>
            <w:vAlign w:val="center"/>
          </w:tcPr>
          <w:p w14:paraId="026DBD90"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1,290,469</w:t>
            </w:r>
          </w:p>
        </w:tc>
        <w:tc>
          <w:tcPr>
            <w:tcW w:w="1998" w:type="dxa"/>
            <w:vAlign w:val="center"/>
          </w:tcPr>
          <w:p w14:paraId="470DE254"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1,256,805</w:t>
            </w:r>
          </w:p>
        </w:tc>
        <w:tc>
          <w:tcPr>
            <w:tcW w:w="1316" w:type="dxa"/>
            <w:vAlign w:val="center"/>
          </w:tcPr>
          <w:p w14:paraId="7AB08003" w14:textId="77777777" w:rsidR="005D4CB6" w:rsidRPr="00E16284" w:rsidRDefault="005D4CB6" w:rsidP="00E16284">
            <w:pPr>
              <w:jc w:val="center"/>
              <w:rPr>
                <w:rFonts w:ascii="Book Antiqua" w:hAnsi="Book Antiqua"/>
                <w:color w:val="000000"/>
                <w:sz w:val="20"/>
                <w:szCs w:val="22"/>
              </w:rPr>
            </w:pPr>
            <w:r w:rsidRPr="00E16284">
              <w:rPr>
                <w:rFonts w:ascii="Book Antiqua" w:hAnsi="Book Antiqua"/>
                <w:color w:val="000000"/>
                <w:sz w:val="20"/>
                <w:szCs w:val="22"/>
              </w:rPr>
              <w:t>2.68%</w:t>
            </w:r>
          </w:p>
        </w:tc>
      </w:tr>
      <w:tr w:rsidR="005D4CB6" w:rsidRPr="00E16284" w14:paraId="7CD7D955" w14:textId="77777777" w:rsidTr="005D4CB6">
        <w:tc>
          <w:tcPr>
            <w:tcW w:w="1549" w:type="dxa"/>
            <w:vAlign w:val="center"/>
          </w:tcPr>
          <w:p w14:paraId="12F8C0C9" w14:textId="77777777" w:rsidR="005D4CB6" w:rsidRPr="00E16284" w:rsidRDefault="005D4CB6" w:rsidP="00E16284">
            <w:pPr>
              <w:spacing w:before="120"/>
              <w:jc w:val="center"/>
              <w:rPr>
                <w:rFonts w:ascii="Book Antiqua" w:hAnsi="Book Antiqua"/>
                <w:sz w:val="20"/>
                <w:lang w:val="en-US"/>
              </w:rPr>
            </w:pPr>
            <w:r w:rsidRPr="00E16284">
              <w:rPr>
                <w:rFonts w:ascii="Book Antiqua" w:hAnsi="Book Antiqua"/>
                <w:sz w:val="20"/>
                <w:lang w:val="en-US"/>
              </w:rPr>
              <w:t>03</w:t>
            </w:r>
          </w:p>
        </w:tc>
        <w:tc>
          <w:tcPr>
            <w:tcW w:w="1720" w:type="dxa"/>
            <w:vAlign w:val="center"/>
          </w:tcPr>
          <w:p w14:paraId="6C08A7B3"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1,358,387</w:t>
            </w:r>
          </w:p>
        </w:tc>
        <w:tc>
          <w:tcPr>
            <w:tcW w:w="1998" w:type="dxa"/>
            <w:vAlign w:val="center"/>
          </w:tcPr>
          <w:p w14:paraId="23165F36"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1,322,951</w:t>
            </w:r>
          </w:p>
        </w:tc>
        <w:tc>
          <w:tcPr>
            <w:tcW w:w="1316" w:type="dxa"/>
            <w:vAlign w:val="center"/>
          </w:tcPr>
          <w:p w14:paraId="2C4F64B9" w14:textId="77777777" w:rsidR="005D4CB6" w:rsidRPr="00E16284" w:rsidRDefault="005D4CB6" w:rsidP="00E16284">
            <w:pPr>
              <w:jc w:val="center"/>
              <w:rPr>
                <w:rFonts w:ascii="Book Antiqua" w:hAnsi="Book Antiqua"/>
                <w:color w:val="000000"/>
                <w:sz w:val="20"/>
                <w:szCs w:val="22"/>
              </w:rPr>
            </w:pPr>
            <w:r w:rsidRPr="00E16284">
              <w:rPr>
                <w:rFonts w:ascii="Book Antiqua" w:hAnsi="Book Antiqua"/>
                <w:color w:val="000000"/>
                <w:sz w:val="20"/>
                <w:szCs w:val="22"/>
              </w:rPr>
              <w:t>2.68%</w:t>
            </w:r>
          </w:p>
        </w:tc>
      </w:tr>
      <w:tr w:rsidR="005D4CB6" w:rsidRPr="00E16284" w14:paraId="458A9154" w14:textId="77777777" w:rsidTr="005D4CB6">
        <w:tc>
          <w:tcPr>
            <w:tcW w:w="1549" w:type="dxa"/>
            <w:vAlign w:val="center"/>
          </w:tcPr>
          <w:p w14:paraId="7FB980B2" w14:textId="77777777" w:rsidR="005D4CB6" w:rsidRPr="00E16284" w:rsidRDefault="005D4CB6" w:rsidP="00E16284">
            <w:pPr>
              <w:spacing w:before="120"/>
              <w:jc w:val="center"/>
              <w:rPr>
                <w:rFonts w:ascii="Book Antiqua" w:hAnsi="Book Antiqua"/>
                <w:sz w:val="20"/>
                <w:lang w:val="en-US"/>
              </w:rPr>
            </w:pPr>
            <w:r w:rsidRPr="00E16284">
              <w:rPr>
                <w:rFonts w:ascii="Book Antiqua" w:hAnsi="Book Antiqua"/>
                <w:sz w:val="20"/>
                <w:lang w:val="en-US"/>
              </w:rPr>
              <w:t>04</w:t>
            </w:r>
          </w:p>
        </w:tc>
        <w:tc>
          <w:tcPr>
            <w:tcW w:w="1720" w:type="dxa"/>
            <w:vAlign w:val="center"/>
          </w:tcPr>
          <w:p w14:paraId="0A8B1F62"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1,844,272</w:t>
            </w:r>
          </w:p>
        </w:tc>
        <w:tc>
          <w:tcPr>
            <w:tcW w:w="1998" w:type="dxa"/>
            <w:vAlign w:val="center"/>
          </w:tcPr>
          <w:p w14:paraId="163FA9AD"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1,796,161</w:t>
            </w:r>
          </w:p>
        </w:tc>
        <w:tc>
          <w:tcPr>
            <w:tcW w:w="1316" w:type="dxa"/>
            <w:vAlign w:val="center"/>
          </w:tcPr>
          <w:p w14:paraId="235D18BB" w14:textId="77777777" w:rsidR="005D4CB6" w:rsidRPr="00E16284" w:rsidRDefault="005D4CB6" w:rsidP="00E16284">
            <w:pPr>
              <w:jc w:val="center"/>
              <w:rPr>
                <w:rFonts w:ascii="Book Antiqua" w:hAnsi="Book Antiqua"/>
                <w:color w:val="000000"/>
                <w:sz w:val="20"/>
                <w:szCs w:val="22"/>
              </w:rPr>
            </w:pPr>
            <w:r w:rsidRPr="00E16284">
              <w:rPr>
                <w:rFonts w:ascii="Book Antiqua" w:hAnsi="Book Antiqua"/>
                <w:color w:val="000000"/>
                <w:sz w:val="20"/>
                <w:szCs w:val="22"/>
              </w:rPr>
              <w:t>2.68%</w:t>
            </w:r>
          </w:p>
        </w:tc>
      </w:tr>
      <w:tr w:rsidR="005D4CB6" w:rsidRPr="00E16284" w14:paraId="109FCF40" w14:textId="77777777" w:rsidTr="005D4CB6">
        <w:tc>
          <w:tcPr>
            <w:tcW w:w="1549" w:type="dxa"/>
            <w:vAlign w:val="center"/>
          </w:tcPr>
          <w:p w14:paraId="6FF623B9" w14:textId="77777777" w:rsidR="005D4CB6" w:rsidRPr="00E16284" w:rsidRDefault="005D4CB6" w:rsidP="00E16284">
            <w:pPr>
              <w:spacing w:before="120"/>
              <w:jc w:val="center"/>
              <w:rPr>
                <w:rFonts w:ascii="Book Antiqua" w:hAnsi="Book Antiqua"/>
                <w:sz w:val="20"/>
                <w:lang w:val="en-US"/>
              </w:rPr>
            </w:pPr>
            <w:r w:rsidRPr="00E16284">
              <w:rPr>
                <w:rFonts w:ascii="Book Antiqua" w:hAnsi="Book Antiqua"/>
                <w:sz w:val="20"/>
                <w:lang w:val="en-US"/>
              </w:rPr>
              <w:t>05</w:t>
            </w:r>
          </w:p>
        </w:tc>
        <w:tc>
          <w:tcPr>
            <w:tcW w:w="1720" w:type="dxa"/>
            <w:vAlign w:val="center"/>
          </w:tcPr>
          <w:p w14:paraId="50C552BD"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1,951,493</w:t>
            </w:r>
          </w:p>
        </w:tc>
        <w:tc>
          <w:tcPr>
            <w:tcW w:w="1998" w:type="dxa"/>
            <w:vAlign w:val="center"/>
          </w:tcPr>
          <w:p w14:paraId="3D03F11B" w14:textId="77777777" w:rsidR="005D4CB6" w:rsidRPr="00E16284" w:rsidRDefault="005D4CB6" w:rsidP="00E16284">
            <w:pPr>
              <w:jc w:val="center"/>
              <w:rPr>
                <w:rFonts w:ascii="Book Antiqua" w:hAnsi="Book Antiqua" w:cs="Arial"/>
                <w:sz w:val="20"/>
                <w:szCs w:val="20"/>
              </w:rPr>
            </w:pPr>
            <w:r w:rsidRPr="00E16284">
              <w:rPr>
                <w:rFonts w:ascii="Book Antiqua" w:hAnsi="Book Antiqua" w:cs="Arial"/>
                <w:sz w:val="20"/>
                <w:szCs w:val="20"/>
              </w:rPr>
              <w:t>1,900,584</w:t>
            </w:r>
          </w:p>
        </w:tc>
        <w:tc>
          <w:tcPr>
            <w:tcW w:w="1316" w:type="dxa"/>
            <w:vAlign w:val="center"/>
          </w:tcPr>
          <w:p w14:paraId="5B45677B" w14:textId="77777777" w:rsidR="005D4CB6" w:rsidRPr="00E16284" w:rsidRDefault="005D4CB6" w:rsidP="00E16284">
            <w:pPr>
              <w:jc w:val="center"/>
              <w:rPr>
                <w:rFonts w:ascii="Book Antiqua" w:hAnsi="Book Antiqua"/>
                <w:color w:val="000000"/>
                <w:sz w:val="20"/>
                <w:szCs w:val="22"/>
              </w:rPr>
            </w:pPr>
            <w:r w:rsidRPr="00E16284">
              <w:rPr>
                <w:rFonts w:ascii="Book Antiqua" w:hAnsi="Book Antiqua"/>
                <w:color w:val="000000"/>
                <w:sz w:val="20"/>
                <w:szCs w:val="22"/>
              </w:rPr>
              <w:t>2.68%</w:t>
            </w:r>
          </w:p>
        </w:tc>
      </w:tr>
    </w:tbl>
    <w:p w14:paraId="5DDE7D80" w14:textId="77777777" w:rsidR="005D4CB6" w:rsidRPr="00E16284" w:rsidRDefault="005D4CB6" w:rsidP="00E16284">
      <w:pPr>
        <w:jc w:val="both"/>
        <w:rPr>
          <w:rFonts w:ascii="Book Antiqua" w:hAnsi="Book Antiqua"/>
          <w:b/>
          <w:i/>
          <w:color w:val="800000"/>
          <w:sz w:val="20"/>
        </w:rPr>
      </w:pPr>
    </w:p>
    <w:p w14:paraId="714A583D" w14:textId="77777777" w:rsidR="005D4CB6" w:rsidRPr="005D4CB6" w:rsidRDefault="005D4CB6" w:rsidP="005D4CB6">
      <w:pPr>
        <w:spacing w:line="276" w:lineRule="auto"/>
        <w:jc w:val="both"/>
        <w:rPr>
          <w:rFonts w:ascii="Book Antiqua" w:hAnsi="Book Antiqua"/>
          <w:b/>
          <w:i/>
          <w:color w:val="800000"/>
          <w:sz w:val="22"/>
        </w:rPr>
      </w:pPr>
      <w:r w:rsidRPr="005D4CB6">
        <w:rPr>
          <w:rFonts w:ascii="Book Antiqua" w:hAnsi="Book Antiqua"/>
          <w:b/>
          <w:i/>
          <w:color w:val="800000"/>
          <w:sz w:val="22"/>
        </w:rPr>
        <w:t>Montos presupuestados según partida 2016 - 2017</w:t>
      </w:r>
    </w:p>
    <w:p w14:paraId="4C280FA0" w14:textId="77777777" w:rsidR="005D4CB6" w:rsidRPr="005D4CB6" w:rsidRDefault="005D4CB6" w:rsidP="005D4CB6">
      <w:pPr>
        <w:spacing w:line="276" w:lineRule="auto"/>
        <w:jc w:val="both"/>
        <w:rPr>
          <w:rFonts w:ascii="Book Antiqua" w:hAnsi="Book Antiqua"/>
          <w:b/>
          <w:i/>
          <w:color w:val="800000"/>
          <w:sz w:val="22"/>
        </w:rPr>
      </w:pPr>
    </w:p>
    <w:p w14:paraId="37EC4385" w14:textId="77777777" w:rsidR="005D4CB6" w:rsidRPr="005D4CB6" w:rsidRDefault="005D4CB6" w:rsidP="005D4CB6">
      <w:pPr>
        <w:spacing w:line="276" w:lineRule="auto"/>
        <w:jc w:val="both"/>
        <w:rPr>
          <w:rFonts w:ascii="Book Antiqua" w:hAnsi="Book Antiqua"/>
          <w:bCs/>
          <w:sz w:val="22"/>
        </w:rPr>
      </w:pPr>
      <w:r w:rsidRPr="005D4CB6">
        <w:rPr>
          <w:rFonts w:ascii="Book Antiqua" w:hAnsi="Book Antiqua"/>
          <w:bCs/>
          <w:sz w:val="22"/>
        </w:rPr>
        <w:t xml:space="preserve">En el siguiente cuadro se comparan los montos presupuestarios del 2016 y 2017 para toda la corporación Banco Central y los Órganos de Desconcentración Máxima, por partida con su respectiva variación porcentual, en el cual se puede observar que la </w:t>
      </w:r>
      <w:r w:rsidRPr="005D4CB6">
        <w:rPr>
          <w:rFonts w:ascii="Book Antiqua" w:hAnsi="Book Antiqua"/>
          <w:b/>
          <w:bCs/>
          <w:sz w:val="22"/>
        </w:rPr>
        <w:t>variación total</w:t>
      </w:r>
      <w:r w:rsidRPr="005D4CB6">
        <w:rPr>
          <w:rFonts w:ascii="Book Antiqua" w:hAnsi="Book Antiqua"/>
          <w:bCs/>
          <w:sz w:val="22"/>
        </w:rPr>
        <w:t xml:space="preserve"> promedio del presupuesto Institucional de un año a otro es de </w:t>
      </w:r>
      <w:r w:rsidRPr="005D4CB6">
        <w:rPr>
          <w:rFonts w:ascii="Book Antiqua" w:hAnsi="Book Antiqua"/>
          <w:b/>
          <w:bCs/>
          <w:sz w:val="22"/>
        </w:rPr>
        <w:t>3.0%,</w:t>
      </w:r>
      <w:r w:rsidRPr="005D4CB6">
        <w:rPr>
          <w:rFonts w:ascii="Book Antiqua" w:hAnsi="Book Antiqua"/>
          <w:bCs/>
          <w:sz w:val="22"/>
        </w:rPr>
        <w:t xml:space="preserve"> porcentaje que esta alienado con el lineamiento de gasto definido por la Junta Directiva para la partida de Remuneraciones para el 2017.</w:t>
      </w:r>
    </w:p>
    <w:p w14:paraId="7F1A2D2B" w14:textId="77777777" w:rsidR="005D4CB6" w:rsidRPr="005D4CB6" w:rsidRDefault="005D4CB6" w:rsidP="005D4CB6">
      <w:pPr>
        <w:spacing w:line="276" w:lineRule="auto"/>
        <w:jc w:val="both"/>
        <w:rPr>
          <w:rFonts w:ascii="Book Antiqua" w:hAnsi="Book Antiqua"/>
          <w:bCs/>
          <w:sz w:val="22"/>
        </w:rPr>
      </w:pPr>
    </w:p>
    <w:p w14:paraId="2A43CC40" w14:textId="5940D64A" w:rsidR="00E16284" w:rsidRDefault="00E16284">
      <w:pPr>
        <w:rPr>
          <w:rFonts w:ascii="Book Antiqua" w:hAnsi="Book Antiqua"/>
          <w:bCs/>
          <w:sz w:val="22"/>
        </w:rPr>
      </w:pPr>
      <w:r>
        <w:rPr>
          <w:rFonts w:ascii="Book Antiqua" w:hAnsi="Book Antiqua"/>
          <w:bCs/>
          <w:sz w:val="22"/>
        </w:rPr>
        <w:br w:type="page"/>
      </w:r>
    </w:p>
    <w:p w14:paraId="05FF7005" w14:textId="77777777" w:rsidR="005D4CB6" w:rsidRPr="00E16284" w:rsidRDefault="005D4CB6" w:rsidP="00E16284">
      <w:pPr>
        <w:jc w:val="center"/>
        <w:rPr>
          <w:rFonts w:ascii="Book Antiqua" w:hAnsi="Book Antiqua"/>
          <w:b/>
          <w:sz w:val="20"/>
        </w:rPr>
      </w:pPr>
      <w:r w:rsidRPr="00E16284">
        <w:rPr>
          <w:rFonts w:ascii="Book Antiqua" w:hAnsi="Book Antiqua"/>
          <w:b/>
          <w:sz w:val="20"/>
        </w:rPr>
        <w:lastRenderedPageBreak/>
        <w:t>Distribución del Presupuesto Formulado de Salarios,</w:t>
      </w:r>
    </w:p>
    <w:p w14:paraId="33792F35" w14:textId="77777777" w:rsidR="005D4CB6" w:rsidRPr="00E16284" w:rsidRDefault="005D4CB6" w:rsidP="00E16284">
      <w:pPr>
        <w:jc w:val="center"/>
        <w:rPr>
          <w:rFonts w:ascii="Book Antiqua" w:hAnsi="Book Antiqua"/>
          <w:b/>
          <w:sz w:val="20"/>
        </w:rPr>
      </w:pPr>
      <w:r w:rsidRPr="00E16284">
        <w:rPr>
          <w:rFonts w:ascii="Book Antiqua" w:hAnsi="Book Antiqua"/>
          <w:b/>
          <w:sz w:val="20"/>
        </w:rPr>
        <w:t>Según Partida por Año, Periodo 2017-2016</w:t>
      </w:r>
    </w:p>
    <w:tbl>
      <w:tblPr>
        <w:tblW w:w="9777" w:type="dxa"/>
        <w:jc w:val="center"/>
        <w:tblLook w:val="0000" w:firstRow="0" w:lastRow="0" w:firstColumn="0" w:lastColumn="0" w:noHBand="0" w:noVBand="0"/>
      </w:tblPr>
      <w:tblGrid>
        <w:gridCol w:w="2518"/>
        <w:gridCol w:w="1927"/>
        <w:gridCol w:w="1862"/>
        <w:gridCol w:w="1615"/>
        <w:gridCol w:w="1855"/>
      </w:tblGrid>
      <w:tr w:rsidR="005D4CB6" w:rsidRPr="00E16284" w14:paraId="19752D06" w14:textId="77777777" w:rsidTr="00E16284">
        <w:trPr>
          <w:trHeight w:val="312"/>
          <w:jc w:val="center"/>
        </w:trPr>
        <w:tc>
          <w:tcPr>
            <w:tcW w:w="2518" w:type="dxa"/>
            <w:tcBorders>
              <w:top w:val="double" w:sz="4" w:space="0" w:color="1A25F8"/>
              <w:left w:val="nil"/>
              <w:bottom w:val="single" w:sz="4" w:space="0" w:color="0000FF"/>
              <w:right w:val="single" w:sz="4" w:space="0" w:color="0000FF"/>
            </w:tcBorders>
            <w:shd w:val="clear" w:color="auto" w:fill="auto"/>
            <w:noWrap/>
            <w:vAlign w:val="center"/>
          </w:tcPr>
          <w:p w14:paraId="4B14D15B" w14:textId="77777777" w:rsidR="005D4CB6" w:rsidRPr="00E16284" w:rsidRDefault="005D4CB6" w:rsidP="00E16284">
            <w:pPr>
              <w:spacing w:before="120" w:after="120"/>
              <w:jc w:val="center"/>
              <w:rPr>
                <w:rFonts w:ascii="Book Antiqua" w:hAnsi="Book Antiqua"/>
                <w:b/>
                <w:bCs/>
                <w:sz w:val="20"/>
              </w:rPr>
            </w:pPr>
            <w:r w:rsidRPr="00E16284">
              <w:rPr>
                <w:rFonts w:ascii="Book Antiqua" w:hAnsi="Book Antiqua"/>
                <w:b/>
                <w:bCs/>
                <w:sz w:val="20"/>
              </w:rPr>
              <w:t>Partida</w:t>
            </w:r>
          </w:p>
        </w:tc>
        <w:tc>
          <w:tcPr>
            <w:tcW w:w="1927" w:type="dxa"/>
            <w:tcBorders>
              <w:top w:val="double" w:sz="4" w:space="0" w:color="1A25F8"/>
              <w:left w:val="single" w:sz="4" w:space="0" w:color="0000FF"/>
              <w:bottom w:val="single" w:sz="4" w:space="0" w:color="0000FF"/>
            </w:tcBorders>
            <w:vAlign w:val="center"/>
          </w:tcPr>
          <w:p w14:paraId="78B0665F" w14:textId="77777777" w:rsidR="005D4CB6" w:rsidRPr="00E16284" w:rsidRDefault="005D4CB6" w:rsidP="00E16284">
            <w:pPr>
              <w:spacing w:before="120" w:after="120"/>
              <w:ind w:left="-141" w:firstLine="141"/>
              <w:jc w:val="center"/>
              <w:rPr>
                <w:rFonts w:ascii="Book Antiqua" w:hAnsi="Book Antiqua"/>
                <w:b/>
                <w:bCs/>
                <w:sz w:val="20"/>
              </w:rPr>
            </w:pPr>
            <w:r w:rsidRPr="00E16284">
              <w:rPr>
                <w:rFonts w:ascii="Book Antiqua" w:hAnsi="Book Antiqua"/>
                <w:b/>
                <w:bCs/>
                <w:sz w:val="20"/>
              </w:rPr>
              <w:t>2017</w:t>
            </w:r>
          </w:p>
        </w:tc>
        <w:tc>
          <w:tcPr>
            <w:tcW w:w="1862" w:type="dxa"/>
            <w:tcBorders>
              <w:top w:val="double" w:sz="4" w:space="0" w:color="1A25F8"/>
              <w:bottom w:val="single" w:sz="4" w:space="0" w:color="0000FF"/>
            </w:tcBorders>
            <w:shd w:val="clear" w:color="auto" w:fill="auto"/>
            <w:noWrap/>
            <w:vAlign w:val="center"/>
          </w:tcPr>
          <w:p w14:paraId="2254544F" w14:textId="77777777" w:rsidR="005D4CB6" w:rsidRPr="00E16284" w:rsidRDefault="005D4CB6" w:rsidP="00E16284">
            <w:pPr>
              <w:spacing w:before="120" w:after="120"/>
              <w:jc w:val="center"/>
              <w:rPr>
                <w:rFonts w:ascii="Book Antiqua" w:hAnsi="Book Antiqua"/>
                <w:b/>
                <w:bCs/>
                <w:sz w:val="20"/>
              </w:rPr>
            </w:pPr>
            <w:r w:rsidRPr="00E16284">
              <w:rPr>
                <w:rFonts w:ascii="Book Antiqua" w:hAnsi="Book Antiqua"/>
                <w:b/>
                <w:bCs/>
                <w:sz w:val="20"/>
              </w:rPr>
              <w:t>2016</w:t>
            </w:r>
          </w:p>
        </w:tc>
        <w:tc>
          <w:tcPr>
            <w:tcW w:w="1615" w:type="dxa"/>
            <w:tcBorders>
              <w:top w:val="double" w:sz="4" w:space="0" w:color="1A25F8"/>
              <w:bottom w:val="single" w:sz="4" w:space="0" w:color="0000FF"/>
            </w:tcBorders>
            <w:vAlign w:val="center"/>
          </w:tcPr>
          <w:p w14:paraId="18330FAD" w14:textId="77777777" w:rsidR="005D4CB6" w:rsidRPr="00E16284" w:rsidRDefault="005D4CB6" w:rsidP="00E16284">
            <w:pPr>
              <w:spacing w:before="120" w:after="120"/>
              <w:jc w:val="center"/>
              <w:rPr>
                <w:rFonts w:ascii="Book Antiqua" w:hAnsi="Book Antiqua"/>
                <w:b/>
                <w:bCs/>
                <w:sz w:val="20"/>
              </w:rPr>
            </w:pPr>
            <w:r w:rsidRPr="00E16284">
              <w:rPr>
                <w:rFonts w:ascii="Book Antiqua" w:hAnsi="Book Antiqua"/>
                <w:b/>
                <w:bCs/>
                <w:sz w:val="20"/>
              </w:rPr>
              <w:t>Diferencia</w:t>
            </w:r>
          </w:p>
        </w:tc>
        <w:tc>
          <w:tcPr>
            <w:tcW w:w="1855" w:type="dxa"/>
            <w:tcBorders>
              <w:top w:val="double" w:sz="4" w:space="0" w:color="1A25F8"/>
              <w:bottom w:val="single" w:sz="4" w:space="0" w:color="0000FF"/>
              <w:right w:val="nil"/>
            </w:tcBorders>
            <w:shd w:val="clear" w:color="auto" w:fill="auto"/>
            <w:noWrap/>
            <w:vAlign w:val="center"/>
          </w:tcPr>
          <w:p w14:paraId="79ED236E" w14:textId="77777777" w:rsidR="005D4CB6" w:rsidRPr="00E16284" w:rsidRDefault="005D4CB6" w:rsidP="00E16284">
            <w:pPr>
              <w:spacing w:before="120" w:after="120"/>
              <w:jc w:val="center"/>
              <w:rPr>
                <w:rFonts w:ascii="Book Antiqua" w:hAnsi="Book Antiqua"/>
                <w:b/>
                <w:bCs/>
                <w:sz w:val="20"/>
              </w:rPr>
            </w:pPr>
            <w:r w:rsidRPr="00E16284">
              <w:rPr>
                <w:rFonts w:ascii="Book Antiqua" w:hAnsi="Book Antiqua"/>
                <w:b/>
                <w:bCs/>
                <w:sz w:val="20"/>
              </w:rPr>
              <w:t>Variación %</w:t>
            </w:r>
          </w:p>
        </w:tc>
      </w:tr>
      <w:tr w:rsidR="005D4CB6" w:rsidRPr="00E16284" w14:paraId="4A69DD96" w14:textId="77777777" w:rsidTr="005D4CB6">
        <w:trPr>
          <w:trHeight w:val="300"/>
          <w:jc w:val="center"/>
        </w:trPr>
        <w:tc>
          <w:tcPr>
            <w:tcW w:w="2518" w:type="dxa"/>
            <w:tcBorders>
              <w:top w:val="single" w:sz="4" w:space="0" w:color="0000FF"/>
              <w:left w:val="nil"/>
              <w:bottom w:val="nil"/>
              <w:right w:val="single" w:sz="4" w:space="0" w:color="0000FF"/>
            </w:tcBorders>
            <w:shd w:val="clear" w:color="auto" w:fill="auto"/>
            <w:noWrap/>
            <w:vAlign w:val="bottom"/>
          </w:tcPr>
          <w:p w14:paraId="3F4CEE9C" w14:textId="77777777" w:rsidR="005D4CB6" w:rsidRPr="00E16284" w:rsidRDefault="005D4CB6" w:rsidP="00E16284">
            <w:pPr>
              <w:rPr>
                <w:rFonts w:ascii="Book Antiqua" w:hAnsi="Book Antiqua"/>
                <w:sz w:val="20"/>
              </w:rPr>
            </w:pPr>
            <w:r w:rsidRPr="00E16284">
              <w:rPr>
                <w:rFonts w:ascii="Book Antiqua" w:hAnsi="Book Antiqua"/>
                <w:sz w:val="20"/>
              </w:rPr>
              <w:t>Sueldos Básicos</w:t>
            </w:r>
          </w:p>
        </w:tc>
        <w:tc>
          <w:tcPr>
            <w:tcW w:w="1927" w:type="dxa"/>
            <w:tcBorders>
              <w:top w:val="single" w:sz="4" w:space="0" w:color="0000FF"/>
              <w:left w:val="nil"/>
              <w:bottom w:val="nil"/>
              <w:right w:val="nil"/>
            </w:tcBorders>
            <w:vAlign w:val="bottom"/>
          </w:tcPr>
          <w:p w14:paraId="056AAFB1" w14:textId="77777777" w:rsidR="005D4CB6" w:rsidRPr="00E16284" w:rsidRDefault="005D4CB6" w:rsidP="00E16284">
            <w:pPr>
              <w:jc w:val="right"/>
              <w:rPr>
                <w:rFonts w:ascii="Book Antiqua" w:hAnsi="Book Antiqua"/>
                <w:sz w:val="18"/>
                <w:szCs w:val="22"/>
                <w:lang w:eastAsia="es-CR"/>
              </w:rPr>
            </w:pPr>
            <w:r w:rsidRPr="00E16284">
              <w:rPr>
                <w:rFonts w:ascii="Book Antiqua" w:hAnsi="Book Antiqua"/>
                <w:sz w:val="18"/>
                <w:szCs w:val="22"/>
              </w:rPr>
              <w:t>3.448.165.656</w:t>
            </w:r>
          </w:p>
        </w:tc>
        <w:tc>
          <w:tcPr>
            <w:tcW w:w="1862" w:type="dxa"/>
            <w:tcBorders>
              <w:top w:val="single" w:sz="4" w:space="0" w:color="0000FF"/>
              <w:left w:val="nil"/>
              <w:bottom w:val="nil"/>
              <w:right w:val="nil"/>
            </w:tcBorders>
            <w:shd w:val="clear" w:color="auto" w:fill="auto"/>
            <w:noWrap/>
            <w:vAlign w:val="bottom"/>
          </w:tcPr>
          <w:p w14:paraId="68E2C4AF"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3.502.797.168</w:t>
            </w:r>
          </w:p>
        </w:tc>
        <w:tc>
          <w:tcPr>
            <w:tcW w:w="1615" w:type="dxa"/>
            <w:tcBorders>
              <w:top w:val="single" w:sz="4" w:space="0" w:color="0000FF"/>
              <w:left w:val="nil"/>
              <w:bottom w:val="nil"/>
              <w:right w:val="nil"/>
            </w:tcBorders>
            <w:vAlign w:val="bottom"/>
          </w:tcPr>
          <w:p w14:paraId="5EA04DEE"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-54.631.512</w:t>
            </w:r>
          </w:p>
        </w:tc>
        <w:tc>
          <w:tcPr>
            <w:tcW w:w="1855" w:type="dxa"/>
            <w:tcBorders>
              <w:top w:val="single" w:sz="4" w:space="0" w:color="0000FF"/>
              <w:left w:val="nil"/>
              <w:bottom w:val="nil"/>
              <w:right w:val="nil"/>
            </w:tcBorders>
            <w:shd w:val="clear" w:color="auto" w:fill="auto"/>
            <w:noWrap/>
            <w:vAlign w:val="bottom"/>
          </w:tcPr>
          <w:p w14:paraId="46DA93EE"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-1,6%</w:t>
            </w:r>
          </w:p>
        </w:tc>
      </w:tr>
      <w:tr w:rsidR="005D4CB6" w:rsidRPr="00E16284" w14:paraId="1E853680"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5A66B24F" w14:textId="77777777" w:rsidR="005D4CB6" w:rsidRPr="00E16284" w:rsidRDefault="005D4CB6" w:rsidP="00E16284">
            <w:pPr>
              <w:rPr>
                <w:rFonts w:ascii="Book Antiqua" w:hAnsi="Book Antiqua"/>
                <w:sz w:val="20"/>
              </w:rPr>
            </w:pPr>
            <w:r w:rsidRPr="00E16284">
              <w:rPr>
                <w:rFonts w:ascii="Book Antiqua" w:hAnsi="Book Antiqua"/>
                <w:sz w:val="20"/>
              </w:rPr>
              <w:t>Salario Único</w:t>
            </w:r>
          </w:p>
        </w:tc>
        <w:tc>
          <w:tcPr>
            <w:tcW w:w="1927" w:type="dxa"/>
            <w:tcBorders>
              <w:top w:val="nil"/>
              <w:left w:val="nil"/>
              <w:bottom w:val="nil"/>
              <w:right w:val="nil"/>
            </w:tcBorders>
            <w:vAlign w:val="bottom"/>
          </w:tcPr>
          <w:p w14:paraId="30D37357"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16.871.869.300</w:t>
            </w:r>
          </w:p>
        </w:tc>
        <w:tc>
          <w:tcPr>
            <w:tcW w:w="1862" w:type="dxa"/>
            <w:tcBorders>
              <w:top w:val="nil"/>
              <w:left w:val="nil"/>
              <w:bottom w:val="nil"/>
              <w:right w:val="nil"/>
            </w:tcBorders>
            <w:shd w:val="clear" w:color="auto" w:fill="auto"/>
            <w:noWrap/>
            <w:vAlign w:val="bottom"/>
          </w:tcPr>
          <w:p w14:paraId="3AFCA700"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16.360.531.127</w:t>
            </w:r>
          </w:p>
        </w:tc>
        <w:tc>
          <w:tcPr>
            <w:tcW w:w="1615" w:type="dxa"/>
            <w:tcBorders>
              <w:top w:val="nil"/>
              <w:left w:val="nil"/>
              <w:bottom w:val="nil"/>
              <w:right w:val="nil"/>
            </w:tcBorders>
            <w:vAlign w:val="bottom"/>
          </w:tcPr>
          <w:p w14:paraId="099F6F0A"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511.338.173</w:t>
            </w:r>
          </w:p>
        </w:tc>
        <w:tc>
          <w:tcPr>
            <w:tcW w:w="1855" w:type="dxa"/>
            <w:tcBorders>
              <w:top w:val="nil"/>
              <w:left w:val="nil"/>
              <w:bottom w:val="nil"/>
              <w:right w:val="nil"/>
            </w:tcBorders>
            <w:shd w:val="clear" w:color="auto" w:fill="auto"/>
            <w:noWrap/>
            <w:vAlign w:val="bottom"/>
          </w:tcPr>
          <w:p w14:paraId="44738369"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3,1%</w:t>
            </w:r>
          </w:p>
        </w:tc>
      </w:tr>
      <w:tr w:rsidR="005D4CB6" w:rsidRPr="00E16284" w14:paraId="19988BFA"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7788A0CB" w14:textId="77777777" w:rsidR="005D4CB6" w:rsidRPr="00E16284" w:rsidRDefault="005D4CB6" w:rsidP="00E16284">
            <w:pPr>
              <w:rPr>
                <w:rFonts w:ascii="Book Antiqua" w:hAnsi="Book Antiqua"/>
                <w:sz w:val="20"/>
              </w:rPr>
            </w:pPr>
            <w:r w:rsidRPr="00E16284">
              <w:rPr>
                <w:rFonts w:ascii="Book Antiqua" w:hAnsi="Book Antiqua"/>
                <w:sz w:val="20"/>
              </w:rPr>
              <w:t>Servicios especiales</w:t>
            </w:r>
          </w:p>
        </w:tc>
        <w:tc>
          <w:tcPr>
            <w:tcW w:w="1927" w:type="dxa"/>
            <w:tcBorders>
              <w:top w:val="nil"/>
              <w:left w:val="nil"/>
              <w:bottom w:val="nil"/>
              <w:right w:val="nil"/>
            </w:tcBorders>
            <w:vAlign w:val="bottom"/>
          </w:tcPr>
          <w:p w14:paraId="4F8D72D9"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1.078.203.048</w:t>
            </w:r>
          </w:p>
        </w:tc>
        <w:tc>
          <w:tcPr>
            <w:tcW w:w="1862" w:type="dxa"/>
            <w:tcBorders>
              <w:top w:val="nil"/>
              <w:left w:val="nil"/>
              <w:bottom w:val="nil"/>
              <w:right w:val="nil"/>
            </w:tcBorders>
            <w:shd w:val="clear" w:color="auto" w:fill="auto"/>
            <w:noWrap/>
            <w:vAlign w:val="bottom"/>
          </w:tcPr>
          <w:p w14:paraId="007BC647"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1.056.640.000</w:t>
            </w:r>
          </w:p>
        </w:tc>
        <w:tc>
          <w:tcPr>
            <w:tcW w:w="1615" w:type="dxa"/>
            <w:tcBorders>
              <w:top w:val="nil"/>
              <w:left w:val="nil"/>
              <w:bottom w:val="nil"/>
              <w:right w:val="nil"/>
            </w:tcBorders>
            <w:vAlign w:val="bottom"/>
          </w:tcPr>
          <w:p w14:paraId="2772444C"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21.563.048</w:t>
            </w:r>
          </w:p>
        </w:tc>
        <w:tc>
          <w:tcPr>
            <w:tcW w:w="1855" w:type="dxa"/>
            <w:tcBorders>
              <w:top w:val="nil"/>
              <w:left w:val="nil"/>
              <w:bottom w:val="nil"/>
              <w:right w:val="nil"/>
            </w:tcBorders>
            <w:shd w:val="clear" w:color="auto" w:fill="auto"/>
            <w:noWrap/>
            <w:vAlign w:val="bottom"/>
          </w:tcPr>
          <w:p w14:paraId="65B2DB6B"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2,0%</w:t>
            </w:r>
          </w:p>
        </w:tc>
      </w:tr>
      <w:tr w:rsidR="005D4CB6" w:rsidRPr="00E16284" w14:paraId="035DF7B5"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0C3EA76D" w14:textId="77777777" w:rsidR="005D4CB6" w:rsidRPr="00E16284" w:rsidRDefault="005D4CB6" w:rsidP="00E16284">
            <w:pPr>
              <w:rPr>
                <w:rFonts w:ascii="Book Antiqua" w:hAnsi="Book Antiqua"/>
                <w:sz w:val="20"/>
              </w:rPr>
            </w:pPr>
            <w:r w:rsidRPr="00E16284">
              <w:rPr>
                <w:rFonts w:ascii="Book Antiqua" w:hAnsi="Book Antiqua"/>
                <w:sz w:val="20"/>
              </w:rPr>
              <w:t xml:space="preserve">Anualidad </w:t>
            </w:r>
          </w:p>
        </w:tc>
        <w:tc>
          <w:tcPr>
            <w:tcW w:w="1927" w:type="dxa"/>
            <w:tcBorders>
              <w:top w:val="nil"/>
              <w:left w:val="nil"/>
              <w:bottom w:val="nil"/>
              <w:right w:val="nil"/>
            </w:tcBorders>
            <w:vAlign w:val="bottom"/>
          </w:tcPr>
          <w:p w14:paraId="5AA9BD83"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2.342.024.802</w:t>
            </w:r>
          </w:p>
        </w:tc>
        <w:tc>
          <w:tcPr>
            <w:tcW w:w="1862" w:type="dxa"/>
            <w:tcBorders>
              <w:top w:val="nil"/>
              <w:left w:val="nil"/>
              <w:bottom w:val="nil"/>
              <w:right w:val="nil"/>
            </w:tcBorders>
            <w:shd w:val="clear" w:color="auto" w:fill="auto"/>
            <w:noWrap/>
            <w:vAlign w:val="bottom"/>
          </w:tcPr>
          <w:p w14:paraId="3CD83E48"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2.335.045.217</w:t>
            </w:r>
          </w:p>
        </w:tc>
        <w:tc>
          <w:tcPr>
            <w:tcW w:w="1615" w:type="dxa"/>
            <w:tcBorders>
              <w:top w:val="nil"/>
              <w:left w:val="nil"/>
              <w:bottom w:val="nil"/>
              <w:right w:val="nil"/>
            </w:tcBorders>
            <w:vAlign w:val="bottom"/>
          </w:tcPr>
          <w:p w14:paraId="4EDA1504"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6.979.585</w:t>
            </w:r>
          </w:p>
        </w:tc>
        <w:tc>
          <w:tcPr>
            <w:tcW w:w="1855" w:type="dxa"/>
            <w:tcBorders>
              <w:top w:val="nil"/>
              <w:left w:val="nil"/>
              <w:bottom w:val="nil"/>
              <w:right w:val="nil"/>
            </w:tcBorders>
            <w:shd w:val="clear" w:color="auto" w:fill="auto"/>
            <w:noWrap/>
            <w:vAlign w:val="bottom"/>
          </w:tcPr>
          <w:p w14:paraId="1F651186"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0,3%</w:t>
            </w:r>
          </w:p>
        </w:tc>
      </w:tr>
      <w:tr w:rsidR="005D4CB6" w:rsidRPr="00E16284" w14:paraId="6DB9FE67"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46F48CCE" w14:textId="77777777" w:rsidR="005D4CB6" w:rsidRPr="00E16284" w:rsidRDefault="005D4CB6" w:rsidP="00E16284">
            <w:pPr>
              <w:rPr>
                <w:rFonts w:ascii="Book Antiqua" w:hAnsi="Book Antiqua"/>
                <w:sz w:val="20"/>
              </w:rPr>
            </w:pPr>
            <w:r w:rsidRPr="00E16284">
              <w:rPr>
                <w:rFonts w:ascii="Book Antiqua" w:hAnsi="Book Antiqua"/>
                <w:sz w:val="20"/>
              </w:rPr>
              <w:t>Méritos</w:t>
            </w:r>
          </w:p>
        </w:tc>
        <w:tc>
          <w:tcPr>
            <w:tcW w:w="1927" w:type="dxa"/>
            <w:tcBorders>
              <w:top w:val="nil"/>
              <w:left w:val="nil"/>
              <w:bottom w:val="nil"/>
              <w:right w:val="nil"/>
            </w:tcBorders>
            <w:vAlign w:val="bottom"/>
          </w:tcPr>
          <w:p w14:paraId="2ECAA190"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3.040.981.755</w:t>
            </w:r>
          </w:p>
        </w:tc>
        <w:tc>
          <w:tcPr>
            <w:tcW w:w="1862" w:type="dxa"/>
            <w:tcBorders>
              <w:top w:val="nil"/>
              <w:left w:val="nil"/>
              <w:bottom w:val="nil"/>
              <w:right w:val="nil"/>
            </w:tcBorders>
            <w:shd w:val="clear" w:color="auto" w:fill="auto"/>
            <w:noWrap/>
            <w:vAlign w:val="bottom"/>
          </w:tcPr>
          <w:p w14:paraId="2EA4EC47"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2.976.441.107</w:t>
            </w:r>
          </w:p>
        </w:tc>
        <w:tc>
          <w:tcPr>
            <w:tcW w:w="1615" w:type="dxa"/>
            <w:tcBorders>
              <w:top w:val="nil"/>
              <w:left w:val="nil"/>
              <w:bottom w:val="nil"/>
              <w:right w:val="nil"/>
            </w:tcBorders>
            <w:vAlign w:val="center"/>
          </w:tcPr>
          <w:p w14:paraId="080926E7"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64.540.648</w:t>
            </w:r>
          </w:p>
        </w:tc>
        <w:tc>
          <w:tcPr>
            <w:tcW w:w="1855" w:type="dxa"/>
            <w:tcBorders>
              <w:top w:val="nil"/>
              <w:left w:val="nil"/>
              <w:bottom w:val="nil"/>
              <w:right w:val="nil"/>
            </w:tcBorders>
            <w:shd w:val="clear" w:color="auto" w:fill="auto"/>
            <w:noWrap/>
            <w:vAlign w:val="center"/>
          </w:tcPr>
          <w:p w14:paraId="62262DDA"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2,2%</w:t>
            </w:r>
          </w:p>
        </w:tc>
      </w:tr>
      <w:tr w:rsidR="005D4CB6" w:rsidRPr="00E16284" w14:paraId="2E53F897"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13619913" w14:textId="77777777" w:rsidR="005D4CB6" w:rsidRPr="00E16284" w:rsidRDefault="005D4CB6" w:rsidP="00E16284">
            <w:pPr>
              <w:rPr>
                <w:rFonts w:ascii="Book Antiqua" w:hAnsi="Book Antiqua"/>
                <w:sz w:val="20"/>
              </w:rPr>
            </w:pPr>
            <w:r w:rsidRPr="00E16284">
              <w:rPr>
                <w:rFonts w:ascii="Book Antiqua" w:hAnsi="Book Antiqua"/>
                <w:sz w:val="16"/>
              </w:rPr>
              <w:t>Bonificación profesional</w:t>
            </w:r>
          </w:p>
        </w:tc>
        <w:tc>
          <w:tcPr>
            <w:tcW w:w="1927" w:type="dxa"/>
            <w:tcBorders>
              <w:top w:val="nil"/>
              <w:left w:val="nil"/>
              <w:bottom w:val="nil"/>
              <w:right w:val="nil"/>
            </w:tcBorders>
            <w:vAlign w:val="bottom"/>
          </w:tcPr>
          <w:p w14:paraId="223A37DC"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620.777.664</w:t>
            </w:r>
          </w:p>
        </w:tc>
        <w:tc>
          <w:tcPr>
            <w:tcW w:w="1862" w:type="dxa"/>
            <w:tcBorders>
              <w:top w:val="nil"/>
              <w:left w:val="nil"/>
              <w:bottom w:val="nil"/>
              <w:right w:val="nil"/>
            </w:tcBorders>
            <w:shd w:val="clear" w:color="auto" w:fill="auto"/>
            <w:noWrap/>
            <w:vAlign w:val="bottom"/>
          </w:tcPr>
          <w:p w14:paraId="2E7DB11D"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617.862.752</w:t>
            </w:r>
          </w:p>
        </w:tc>
        <w:tc>
          <w:tcPr>
            <w:tcW w:w="1615" w:type="dxa"/>
            <w:tcBorders>
              <w:top w:val="nil"/>
              <w:left w:val="nil"/>
              <w:bottom w:val="nil"/>
              <w:right w:val="nil"/>
            </w:tcBorders>
            <w:vAlign w:val="bottom"/>
          </w:tcPr>
          <w:p w14:paraId="2700763C"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2.914.912</w:t>
            </w:r>
          </w:p>
        </w:tc>
        <w:tc>
          <w:tcPr>
            <w:tcW w:w="1855" w:type="dxa"/>
            <w:tcBorders>
              <w:top w:val="nil"/>
              <w:left w:val="nil"/>
              <w:bottom w:val="nil"/>
              <w:right w:val="nil"/>
            </w:tcBorders>
            <w:shd w:val="clear" w:color="auto" w:fill="auto"/>
            <w:noWrap/>
            <w:vAlign w:val="bottom"/>
          </w:tcPr>
          <w:p w14:paraId="57C4A753"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0,5%</w:t>
            </w:r>
          </w:p>
        </w:tc>
      </w:tr>
      <w:tr w:rsidR="005D4CB6" w:rsidRPr="00E16284" w14:paraId="2CEE5C77"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66747FBC" w14:textId="77777777" w:rsidR="005D4CB6" w:rsidRPr="00E16284" w:rsidRDefault="005D4CB6" w:rsidP="00E16284">
            <w:pPr>
              <w:rPr>
                <w:rFonts w:ascii="Book Antiqua" w:hAnsi="Book Antiqua"/>
                <w:sz w:val="20"/>
              </w:rPr>
            </w:pPr>
            <w:r w:rsidRPr="00E16284">
              <w:rPr>
                <w:rFonts w:ascii="Book Antiqua" w:hAnsi="Book Antiqua"/>
                <w:sz w:val="20"/>
              </w:rPr>
              <w:t xml:space="preserve">Prohibición </w:t>
            </w:r>
          </w:p>
        </w:tc>
        <w:tc>
          <w:tcPr>
            <w:tcW w:w="1927" w:type="dxa"/>
            <w:tcBorders>
              <w:top w:val="nil"/>
              <w:left w:val="nil"/>
              <w:bottom w:val="nil"/>
              <w:right w:val="nil"/>
            </w:tcBorders>
            <w:vAlign w:val="bottom"/>
          </w:tcPr>
          <w:p w14:paraId="1E55490F"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899.659.988</w:t>
            </w:r>
          </w:p>
        </w:tc>
        <w:tc>
          <w:tcPr>
            <w:tcW w:w="1862" w:type="dxa"/>
            <w:tcBorders>
              <w:top w:val="nil"/>
              <w:left w:val="nil"/>
              <w:bottom w:val="nil"/>
              <w:right w:val="nil"/>
            </w:tcBorders>
            <w:shd w:val="clear" w:color="auto" w:fill="auto"/>
            <w:noWrap/>
            <w:vAlign w:val="bottom"/>
          </w:tcPr>
          <w:p w14:paraId="48E07E4B"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667.846.488</w:t>
            </w:r>
          </w:p>
        </w:tc>
        <w:tc>
          <w:tcPr>
            <w:tcW w:w="1615" w:type="dxa"/>
            <w:tcBorders>
              <w:top w:val="nil"/>
              <w:left w:val="nil"/>
              <w:bottom w:val="nil"/>
              <w:right w:val="nil"/>
            </w:tcBorders>
            <w:vAlign w:val="bottom"/>
          </w:tcPr>
          <w:p w14:paraId="6759E5C6"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231.813.500</w:t>
            </w:r>
          </w:p>
        </w:tc>
        <w:tc>
          <w:tcPr>
            <w:tcW w:w="1855" w:type="dxa"/>
            <w:tcBorders>
              <w:top w:val="nil"/>
              <w:left w:val="nil"/>
              <w:bottom w:val="nil"/>
              <w:right w:val="nil"/>
            </w:tcBorders>
            <w:shd w:val="clear" w:color="auto" w:fill="auto"/>
            <w:noWrap/>
            <w:vAlign w:val="bottom"/>
          </w:tcPr>
          <w:p w14:paraId="7ED0D7A9"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34,7%</w:t>
            </w:r>
          </w:p>
        </w:tc>
      </w:tr>
      <w:tr w:rsidR="005D4CB6" w:rsidRPr="00E16284" w14:paraId="193DC2CB" w14:textId="77777777" w:rsidTr="005D4CB6">
        <w:trPr>
          <w:trHeight w:val="300"/>
          <w:jc w:val="center"/>
        </w:trPr>
        <w:tc>
          <w:tcPr>
            <w:tcW w:w="2518" w:type="dxa"/>
            <w:tcBorders>
              <w:top w:val="nil"/>
              <w:left w:val="nil"/>
              <w:right w:val="single" w:sz="4" w:space="0" w:color="0000FF"/>
            </w:tcBorders>
            <w:shd w:val="clear" w:color="auto" w:fill="auto"/>
            <w:noWrap/>
            <w:vAlign w:val="bottom"/>
          </w:tcPr>
          <w:p w14:paraId="4F5E14A0" w14:textId="77777777" w:rsidR="005D4CB6" w:rsidRPr="00E16284" w:rsidRDefault="005D4CB6" w:rsidP="00E16284">
            <w:pPr>
              <w:rPr>
                <w:rFonts w:ascii="Book Antiqua" w:hAnsi="Book Antiqua"/>
                <w:sz w:val="20"/>
              </w:rPr>
            </w:pPr>
            <w:r w:rsidRPr="00E16284">
              <w:rPr>
                <w:rFonts w:ascii="Book Antiqua" w:hAnsi="Book Antiqua"/>
                <w:sz w:val="20"/>
              </w:rPr>
              <w:t>Ajuste Personal</w:t>
            </w:r>
          </w:p>
        </w:tc>
        <w:tc>
          <w:tcPr>
            <w:tcW w:w="1927" w:type="dxa"/>
            <w:tcBorders>
              <w:top w:val="nil"/>
              <w:left w:val="nil"/>
              <w:right w:val="nil"/>
            </w:tcBorders>
            <w:vAlign w:val="bottom"/>
          </w:tcPr>
          <w:p w14:paraId="674A1E55"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10.480.392</w:t>
            </w:r>
          </w:p>
        </w:tc>
        <w:tc>
          <w:tcPr>
            <w:tcW w:w="1862" w:type="dxa"/>
            <w:tcBorders>
              <w:top w:val="nil"/>
              <w:left w:val="nil"/>
              <w:right w:val="nil"/>
            </w:tcBorders>
            <w:shd w:val="clear" w:color="auto" w:fill="auto"/>
            <w:noWrap/>
            <w:vAlign w:val="bottom"/>
          </w:tcPr>
          <w:p w14:paraId="217A8569"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11.171.787</w:t>
            </w:r>
          </w:p>
        </w:tc>
        <w:tc>
          <w:tcPr>
            <w:tcW w:w="1615" w:type="dxa"/>
            <w:tcBorders>
              <w:top w:val="nil"/>
              <w:left w:val="nil"/>
              <w:right w:val="nil"/>
            </w:tcBorders>
            <w:vAlign w:val="bottom"/>
          </w:tcPr>
          <w:p w14:paraId="745CE183"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-691.395</w:t>
            </w:r>
          </w:p>
        </w:tc>
        <w:tc>
          <w:tcPr>
            <w:tcW w:w="1855" w:type="dxa"/>
            <w:tcBorders>
              <w:top w:val="nil"/>
              <w:left w:val="nil"/>
              <w:right w:val="nil"/>
            </w:tcBorders>
            <w:shd w:val="clear" w:color="auto" w:fill="auto"/>
            <w:noWrap/>
            <w:vAlign w:val="bottom"/>
          </w:tcPr>
          <w:p w14:paraId="2A444CA9"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-6,2%</w:t>
            </w:r>
          </w:p>
        </w:tc>
      </w:tr>
      <w:tr w:rsidR="005D4CB6" w:rsidRPr="00E16284" w14:paraId="5CDC3206" w14:textId="77777777" w:rsidTr="005D4CB6">
        <w:trPr>
          <w:trHeight w:val="315"/>
          <w:jc w:val="center"/>
        </w:trPr>
        <w:tc>
          <w:tcPr>
            <w:tcW w:w="2518" w:type="dxa"/>
            <w:tcBorders>
              <w:top w:val="nil"/>
              <w:left w:val="nil"/>
              <w:right w:val="single" w:sz="4" w:space="0" w:color="0000FF"/>
            </w:tcBorders>
            <w:shd w:val="clear" w:color="auto" w:fill="auto"/>
            <w:noWrap/>
            <w:vAlign w:val="bottom"/>
          </w:tcPr>
          <w:p w14:paraId="71669F97" w14:textId="77777777" w:rsidR="005D4CB6" w:rsidRPr="00E16284" w:rsidRDefault="005D4CB6" w:rsidP="00E16284">
            <w:pPr>
              <w:rPr>
                <w:rFonts w:ascii="Book Antiqua" w:hAnsi="Book Antiqua"/>
                <w:bCs/>
                <w:sz w:val="20"/>
              </w:rPr>
            </w:pPr>
            <w:r w:rsidRPr="00E16284">
              <w:rPr>
                <w:rFonts w:ascii="Book Antiqua" w:hAnsi="Book Antiqua"/>
                <w:bCs/>
                <w:sz w:val="20"/>
              </w:rPr>
              <w:t>Ajuste de mercado</w:t>
            </w:r>
          </w:p>
        </w:tc>
        <w:tc>
          <w:tcPr>
            <w:tcW w:w="1927" w:type="dxa"/>
            <w:tcBorders>
              <w:top w:val="nil"/>
              <w:left w:val="nil"/>
              <w:right w:val="nil"/>
            </w:tcBorders>
            <w:vAlign w:val="bottom"/>
          </w:tcPr>
          <w:p w14:paraId="09054664"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145.897.890</w:t>
            </w:r>
          </w:p>
        </w:tc>
        <w:tc>
          <w:tcPr>
            <w:tcW w:w="1862" w:type="dxa"/>
            <w:tcBorders>
              <w:top w:val="nil"/>
              <w:left w:val="nil"/>
              <w:right w:val="nil"/>
            </w:tcBorders>
            <w:shd w:val="clear" w:color="auto" w:fill="auto"/>
            <w:noWrap/>
            <w:vAlign w:val="bottom"/>
          </w:tcPr>
          <w:p w14:paraId="2A6A1869"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99.722.708</w:t>
            </w:r>
          </w:p>
        </w:tc>
        <w:tc>
          <w:tcPr>
            <w:tcW w:w="1615" w:type="dxa"/>
            <w:tcBorders>
              <w:top w:val="nil"/>
              <w:left w:val="nil"/>
              <w:right w:val="nil"/>
            </w:tcBorders>
            <w:vAlign w:val="bottom"/>
          </w:tcPr>
          <w:p w14:paraId="433742D2" w14:textId="77777777" w:rsidR="005D4CB6" w:rsidRPr="00E16284" w:rsidRDefault="005D4CB6" w:rsidP="00E16284">
            <w:pPr>
              <w:jc w:val="right"/>
              <w:rPr>
                <w:rFonts w:ascii="Book Antiqua" w:hAnsi="Book Antiqua"/>
                <w:sz w:val="18"/>
                <w:szCs w:val="22"/>
              </w:rPr>
            </w:pPr>
            <w:r w:rsidRPr="00E16284">
              <w:rPr>
                <w:rFonts w:ascii="Book Antiqua" w:hAnsi="Book Antiqua"/>
                <w:sz w:val="18"/>
                <w:szCs w:val="22"/>
              </w:rPr>
              <w:t>46.175.182</w:t>
            </w:r>
          </w:p>
        </w:tc>
        <w:tc>
          <w:tcPr>
            <w:tcW w:w="1855" w:type="dxa"/>
            <w:tcBorders>
              <w:top w:val="nil"/>
              <w:left w:val="nil"/>
              <w:right w:val="nil"/>
            </w:tcBorders>
            <w:shd w:val="clear" w:color="auto" w:fill="auto"/>
            <w:noWrap/>
            <w:vAlign w:val="bottom"/>
          </w:tcPr>
          <w:p w14:paraId="3A0B417D" w14:textId="77777777" w:rsidR="005D4CB6" w:rsidRPr="00E16284" w:rsidRDefault="005D4CB6" w:rsidP="00E16284">
            <w:pPr>
              <w:jc w:val="center"/>
              <w:rPr>
                <w:rFonts w:ascii="Book Antiqua" w:hAnsi="Book Antiqua"/>
                <w:sz w:val="18"/>
                <w:szCs w:val="22"/>
              </w:rPr>
            </w:pPr>
            <w:r w:rsidRPr="00E16284">
              <w:rPr>
                <w:rFonts w:ascii="Book Antiqua" w:hAnsi="Book Antiqua"/>
                <w:sz w:val="18"/>
                <w:szCs w:val="22"/>
              </w:rPr>
              <w:t>46,3%</w:t>
            </w:r>
          </w:p>
        </w:tc>
      </w:tr>
      <w:tr w:rsidR="005D4CB6" w:rsidRPr="00E16284" w14:paraId="5029B008" w14:textId="77777777" w:rsidTr="005D4CB6">
        <w:trPr>
          <w:trHeight w:val="315"/>
          <w:jc w:val="center"/>
        </w:trPr>
        <w:tc>
          <w:tcPr>
            <w:tcW w:w="2518" w:type="dxa"/>
            <w:tcBorders>
              <w:left w:val="nil"/>
              <w:bottom w:val="double" w:sz="6" w:space="0" w:color="0000FF"/>
              <w:right w:val="single" w:sz="4" w:space="0" w:color="0000FF"/>
            </w:tcBorders>
            <w:shd w:val="clear" w:color="auto" w:fill="auto"/>
            <w:noWrap/>
            <w:vAlign w:val="bottom"/>
          </w:tcPr>
          <w:p w14:paraId="0677F350" w14:textId="77777777" w:rsidR="005D4CB6" w:rsidRPr="00E16284" w:rsidRDefault="005D4CB6" w:rsidP="00E16284">
            <w:pPr>
              <w:rPr>
                <w:rFonts w:ascii="Book Antiqua" w:hAnsi="Book Antiqua"/>
                <w:b/>
                <w:bCs/>
                <w:sz w:val="20"/>
              </w:rPr>
            </w:pPr>
            <w:r w:rsidRPr="00E16284">
              <w:rPr>
                <w:rFonts w:ascii="Book Antiqua" w:hAnsi="Book Antiqua"/>
                <w:b/>
                <w:bCs/>
                <w:sz w:val="20"/>
              </w:rPr>
              <w:t>Total</w:t>
            </w:r>
          </w:p>
        </w:tc>
        <w:tc>
          <w:tcPr>
            <w:tcW w:w="1927" w:type="dxa"/>
            <w:tcBorders>
              <w:left w:val="nil"/>
              <w:bottom w:val="double" w:sz="6" w:space="0" w:color="0000FF"/>
              <w:right w:val="nil"/>
            </w:tcBorders>
            <w:vAlign w:val="bottom"/>
          </w:tcPr>
          <w:p w14:paraId="42BE0374" w14:textId="77777777" w:rsidR="005D4CB6" w:rsidRPr="00E16284" w:rsidRDefault="005D4CB6" w:rsidP="00E16284">
            <w:pPr>
              <w:jc w:val="right"/>
              <w:rPr>
                <w:rFonts w:ascii="Book Antiqua" w:hAnsi="Book Antiqua"/>
                <w:b/>
                <w:bCs/>
                <w:sz w:val="18"/>
                <w:szCs w:val="22"/>
              </w:rPr>
            </w:pPr>
            <w:r w:rsidRPr="00E16284">
              <w:rPr>
                <w:rFonts w:ascii="Book Antiqua" w:hAnsi="Book Antiqua"/>
                <w:b/>
                <w:bCs/>
                <w:sz w:val="18"/>
                <w:szCs w:val="22"/>
              </w:rPr>
              <w:t>28.458.060.495</w:t>
            </w:r>
          </w:p>
        </w:tc>
        <w:tc>
          <w:tcPr>
            <w:tcW w:w="1862" w:type="dxa"/>
            <w:tcBorders>
              <w:left w:val="nil"/>
              <w:bottom w:val="double" w:sz="6" w:space="0" w:color="0000FF"/>
              <w:right w:val="nil"/>
            </w:tcBorders>
            <w:shd w:val="clear" w:color="auto" w:fill="auto"/>
            <w:noWrap/>
            <w:vAlign w:val="bottom"/>
          </w:tcPr>
          <w:p w14:paraId="0E97463F" w14:textId="77777777" w:rsidR="005D4CB6" w:rsidRPr="00E16284" w:rsidRDefault="005D4CB6" w:rsidP="00E16284">
            <w:pPr>
              <w:jc w:val="right"/>
              <w:rPr>
                <w:rFonts w:ascii="Book Antiqua" w:hAnsi="Book Antiqua"/>
                <w:b/>
                <w:bCs/>
                <w:sz w:val="18"/>
                <w:szCs w:val="22"/>
              </w:rPr>
            </w:pPr>
            <w:r w:rsidRPr="00E16284">
              <w:rPr>
                <w:rFonts w:ascii="Book Antiqua" w:hAnsi="Book Antiqua"/>
                <w:b/>
                <w:bCs/>
                <w:sz w:val="18"/>
                <w:szCs w:val="22"/>
              </w:rPr>
              <w:t>27.628.058.353</w:t>
            </w:r>
          </w:p>
        </w:tc>
        <w:tc>
          <w:tcPr>
            <w:tcW w:w="1615" w:type="dxa"/>
            <w:tcBorders>
              <w:left w:val="nil"/>
              <w:bottom w:val="double" w:sz="6" w:space="0" w:color="0000FF"/>
              <w:right w:val="nil"/>
            </w:tcBorders>
            <w:vAlign w:val="bottom"/>
          </w:tcPr>
          <w:p w14:paraId="5C6E8ED7" w14:textId="77777777" w:rsidR="005D4CB6" w:rsidRPr="00E16284" w:rsidRDefault="005D4CB6" w:rsidP="00E16284">
            <w:pPr>
              <w:jc w:val="right"/>
              <w:rPr>
                <w:rFonts w:ascii="Book Antiqua" w:hAnsi="Book Antiqua"/>
                <w:b/>
                <w:bCs/>
                <w:sz w:val="18"/>
                <w:szCs w:val="22"/>
              </w:rPr>
            </w:pPr>
            <w:r w:rsidRPr="00E16284">
              <w:rPr>
                <w:rFonts w:ascii="Book Antiqua" w:hAnsi="Book Antiqua"/>
                <w:b/>
                <w:bCs/>
                <w:sz w:val="18"/>
                <w:szCs w:val="22"/>
              </w:rPr>
              <w:t>830.002.141</w:t>
            </w:r>
          </w:p>
        </w:tc>
        <w:tc>
          <w:tcPr>
            <w:tcW w:w="1855" w:type="dxa"/>
            <w:tcBorders>
              <w:left w:val="nil"/>
              <w:bottom w:val="double" w:sz="6" w:space="0" w:color="0000FF"/>
              <w:right w:val="nil"/>
            </w:tcBorders>
            <w:shd w:val="clear" w:color="auto" w:fill="auto"/>
            <w:noWrap/>
            <w:vAlign w:val="bottom"/>
          </w:tcPr>
          <w:p w14:paraId="186AB18A" w14:textId="77777777" w:rsidR="005D4CB6" w:rsidRPr="00E16284" w:rsidRDefault="005D4CB6" w:rsidP="00E16284">
            <w:pPr>
              <w:jc w:val="center"/>
              <w:rPr>
                <w:rFonts w:ascii="Book Antiqua" w:hAnsi="Book Antiqua"/>
                <w:b/>
                <w:bCs/>
                <w:sz w:val="18"/>
                <w:szCs w:val="22"/>
              </w:rPr>
            </w:pPr>
            <w:r w:rsidRPr="00E16284">
              <w:rPr>
                <w:rFonts w:ascii="Book Antiqua" w:hAnsi="Book Antiqua"/>
                <w:b/>
                <w:bCs/>
                <w:sz w:val="18"/>
                <w:szCs w:val="22"/>
              </w:rPr>
              <w:t>3,0%</w:t>
            </w:r>
          </w:p>
        </w:tc>
      </w:tr>
    </w:tbl>
    <w:p w14:paraId="6A5305E2" w14:textId="77777777" w:rsidR="005D4CB6" w:rsidRPr="00E16284" w:rsidRDefault="005D4CB6" w:rsidP="005D4CB6">
      <w:pPr>
        <w:tabs>
          <w:tab w:val="left" w:pos="3765"/>
        </w:tabs>
        <w:spacing w:line="276" w:lineRule="auto"/>
        <w:jc w:val="both"/>
        <w:rPr>
          <w:rFonts w:ascii="Book Antiqua" w:hAnsi="Book Antiqua"/>
          <w:sz w:val="20"/>
        </w:rPr>
      </w:pPr>
    </w:p>
    <w:p w14:paraId="0E15AD49" w14:textId="77777777" w:rsidR="005D4CB6" w:rsidRPr="005D4CB6" w:rsidRDefault="005D4CB6" w:rsidP="005D4CB6">
      <w:pPr>
        <w:tabs>
          <w:tab w:val="left" w:pos="3765"/>
        </w:tabs>
        <w:spacing w:line="276" w:lineRule="auto"/>
        <w:jc w:val="both"/>
        <w:rPr>
          <w:rFonts w:ascii="Book Antiqua" w:hAnsi="Book Antiqua"/>
          <w:sz w:val="22"/>
        </w:rPr>
      </w:pPr>
      <w:r w:rsidRPr="005D4CB6">
        <w:rPr>
          <w:rFonts w:ascii="Book Antiqua" w:hAnsi="Book Antiqua"/>
          <w:sz w:val="22"/>
        </w:rPr>
        <w:t>Las disminuciones observadas en algunas partidas entre un año y otro tienen su explicación con la salida de personal de básico más pluses.   La partida de “Ajuste Personal” tiende a disminuir cada año, debido a que este es un monto invariable y que solo disminuirá con la salida de personal, y la partida de sueldos básicos, a pesar de su crecimiento anualmente, el hecho de que haya menos plazas en la escala de básico más pluses afecta el crecimiento en dicha partida.</w:t>
      </w:r>
    </w:p>
    <w:p w14:paraId="70A5787F" w14:textId="77777777" w:rsidR="005D4CB6" w:rsidRPr="00E16284" w:rsidRDefault="005D4CB6" w:rsidP="005D4CB6">
      <w:pPr>
        <w:tabs>
          <w:tab w:val="left" w:pos="3765"/>
        </w:tabs>
        <w:spacing w:line="276" w:lineRule="auto"/>
        <w:jc w:val="both"/>
        <w:rPr>
          <w:rFonts w:ascii="Book Antiqua" w:hAnsi="Book Antiqua"/>
          <w:sz w:val="20"/>
        </w:rPr>
      </w:pPr>
    </w:p>
    <w:p w14:paraId="170C9C12" w14:textId="77777777" w:rsidR="005D4CB6" w:rsidRPr="005D4CB6" w:rsidRDefault="005D4CB6" w:rsidP="005D4CB6">
      <w:pPr>
        <w:tabs>
          <w:tab w:val="left" w:pos="3765"/>
        </w:tabs>
        <w:spacing w:line="276" w:lineRule="auto"/>
        <w:jc w:val="both"/>
        <w:rPr>
          <w:rFonts w:ascii="Book Antiqua" w:hAnsi="Book Antiqua"/>
          <w:sz w:val="22"/>
        </w:rPr>
      </w:pPr>
      <w:r w:rsidRPr="005D4CB6">
        <w:rPr>
          <w:rFonts w:ascii="Book Antiqua" w:hAnsi="Book Antiqua"/>
          <w:sz w:val="22"/>
        </w:rPr>
        <w:t>Las partidas de Ajuste de mercado, Bonificación profesional, méritos y en menor medida anualidades, fueron estimadas con cierto grado de holgura que permita mantenerlas con un crecimiento superior al definido para el salario básico.</w:t>
      </w:r>
    </w:p>
    <w:p w14:paraId="59CC22CC" w14:textId="77777777" w:rsidR="005D4CB6" w:rsidRPr="00E16284" w:rsidRDefault="005D4CB6" w:rsidP="005D4CB6">
      <w:pPr>
        <w:tabs>
          <w:tab w:val="left" w:pos="3765"/>
        </w:tabs>
        <w:spacing w:line="276" w:lineRule="auto"/>
        <w:jc w:val="both"/>
        <w:rPr>
          <w:rFonts w:ascii="Book Antiqua" w:hAnsi="Book Antiqua"/>
          <w:sz w:val="20"/>
        </w:rPr>
      </w:pPr>
    </w:p>
    <w:p w14:paraId="075FD829" w14:textId="77777777" w:rsidR="005D4CB6" w:rsidRPr="005D4CB6" w:rsidRDefault="005D4CB6" w:rsidP="005D4CB6">
      <w:pPr>
        <w:tabs>
          <w:tab w:val="left" w:pos="3765"/>
        </w:tabs>
        <w:spacing w:line="276" w:lineRule="auto"/>
        <w:jc w:val="both"/>
        <w:rPr>
          <w:rFonts w:ascii="Book Antiqua" w:hAnsi="Book Antiqua"/>
          <w:sz w:val="22"/>
        </w:rPr>
      </w:pPr>
      <w:r w:rsidRPr="005D4CB6">
        <w:rPr>
          <w:rFonts w:ascii="Book Antiqua" w:hAnsi="Book Antiqua"/>
          <w:sz w:val="22"/>
        </w:rPr>
        <w:t xml:space="preserve">Los crecimientos observados en las partidas de salarios globales y servicios especiales están alineados con el lineamiento del crecimiento del presupuesto.  </w:t>
      </w:r>
    </w:p>
    <w:p w14:paraId="714EE318" w14:textId="77777777" w:rsidR="005D4CB6" w:rsidRPr="00E16284" w:rsidRDefault="005D4CB6" w:rsidP="005D4CB6">
      <w:pPr>
        <w:tabs>
          <w:tab w:val="left" w:pos="3765"/>
        </w:tabs>
        <w:spacing w:line="276" w:lineRule="auto"/>
        <w:jc w:val="both"/>
        <w:rPr>
          <w:rFonts w:ascii="Book Antiqua" w:hAnsi="Book Antiqua"/>
          <w:sz w:val="18"/>
        </w:rPr>
      </w:pPr>
    </w:p>
    <w:p w14:paraId="7A6B129E" w14:textId="77777777" w:rsidR="005D4CB6" w:rsidRPr="00E16284" w:rsidRDefault="005D4CB6" w:rsidP="00E16284">
      <w:pPr>
        <w:jc w:val="center"/>
        <w:rPr>
          <w:rFonts w:ascii="Book Antiqua" w:hAnsi="Book Antiqua"/>
          <w:b/>
          <w:sz w:val="18"/>
        </w:rPr>
      </w:pPr>
      <w:r w:rsidRPr="00E16284">
        <w:rPr>
          <w:rFonts w:ascii="Book Antiqua" w:hAnsi="Book Antiqua"/>
          <w:b/>
          <w:sz w:val="18"/>
        </w:rPr>
        <w:t>Distribución del Presupuesto Formulado de Salarios,</w:t>
      </w:r>
    </w:p>
    <w:p w14:paraId="78B634C0" w14:textId="77777777" w:rsidR="005D4CB6" w:rsidRPr="00E16284" w:rsidRDefault="005D4CB6" w:rsidP="00E16284">
      <w:pPr>
        <w:jc w:val="center"/>
        <w:rPr>
          <w:rFonts w:ascii="Book Antiqua" w:hAnsi="Book Antiqua"/>
          <w:b/>
          <w:sz w:val="18"/>
        </w:rPr>
      </w:pPr>
      <w:r w:rsidRPr="00E16284">
        <w:rPr>
          <w:rFonts w:ascii="Book Antiqua" w:hAnsi="Book Antiqua"/>
          <w:b/>
          <w:sz w:val="18"/>
        </w:rPr>
        <w:t>Según Partida por Año, Período 2017-2016, BCCR</w:t>
      </w:r>
    </w:p>
    <w:tbl>
      <w:tblPr>
        <w:tblW w:w="9777" w:type="dxa"/>
        <w:jc w:val="center"/>
        <w:tblLook w:val="0000" w:firstRow="0" w:lastRow="0" w:firstColumn="0" w:lastColumn="0" w:noHBand="0" w:noVBand="0"/>
      </w:tblPr>
      <w:tblGrid>
        <w:gridCol w:w="2518"/>
        <w:gridCol w:w="1927"/>
        <w:gridCol w:w="1862"/>
        <w:gridCol w:w="1615"/>
        <w:gridCol w:w="1855"/>
      </w:tblGrid>
      <w:tr w:rsidR="005D4CB6" w:rsidRPr="00E16284" w14:paraId="0FD573F7" w14:textId="77777777" w:rsidTr="005D4CB6">
        <w:trPr>
          <w:trHeight w:val="315"/>
          <w:jc w:val="center"/>
        </w:trPr>
        <w:tc>
          <w:tcPr>
            <w:tcW w:w="2518" w:type="dxa"/>
            <w:tcBorders>
              <w:top w:val="double" w:sz="4" w:space="0" w:color="1A25F8"/>
              <w:left w:val="nil"/>
              <w:bottom w:val="single" w:sz="4" w:space="0" w:color="0000FF"/>
              <w:right w:val="single" w:sz="4" w:space="0" w:color="0000FF"/>
            </w:tcBorders>
            <w:shd w:val="clear" w:color="auto" w:fill="auto"/>
            <w:vAlign w:val="center"/>
          </w:tcPr>
          <w:p w14:paraId="0112A59C"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Partida</w:t>
            </w:r>
          </w:p>
        </w:tc>
        <w:tc>
          <w:tcPr>
            <w:tcW w:w="1927" w:type="dxa"/>
            <w:tcBorders>
              <w:top w:val="double" w:sz="4" w:space="0" w:color="1A25F8"/>
              <w:left w:val="nil"/>
              <w:bottom w:val="single" w:sz="4" w:space="0" w:color="0000FF"/>
              <w:right w:val="nil"/>
            </w:tcBorders>
            <w:vAlign w:val="center"/>
          </w:tcPr>
          <w:p w14:paraId="43680EE3" w14:textId="77777777" w:rsidR="005D4CB6" w:rsidRPr="00E16284" w:rsidRDefault="005D4CB6" w:rsidP="00E16284">
            <w:pPr>
              <w:spacing w:before="120" w:after="120"/>
              <w:ind w:left="-141" w:firstLine="141"/>
              <w:jc w:val="center"/>
              <w:rPr>
                <w:rFonts w:ascii="Book Antiqua" w:hAnsi="Book Antiqua"/>
                <w:b/>
                <w:bCs/>
                <w:sz w:val="18"/>
              </w:rPr>
            </w:pPr>
            <w:r w:rsidRPr="00E16284">
              <w:rPr>
                <w:rFonts w:ascii="Book Antiqua" w:hAnsi="Book Antiqua"/>
                <w:b/>
                <w:bCs/>
                <w:sz w:val="18"/>
              </w:rPr>
              <w:t>2017</w:t>
            </w:r>
          </w:p>
        </w:tc>
        <w:tc>
          <w:tcPr>
            <w:tcW w:w="1862" w:type="dxa"/>
            <w:tcBorders>
              <w:top w:val="double" w:sz="4" w:space="0" w:color="1A25F8"/>
              <w:left w:val="nil"/>
              <w:bottom w:val="single" w:sz="4" w:space="0" w:color="0000FF"/>
              <w:right w:val="nil"/>
            </w:tcBorders>
            <w:shd w:val="clear" w:color="auto" w:fill="auto"/>
            <w:noWrap/>
            <w:vAlign w:val="center"/>
          </w:tcPr>
          <w:p w14:paraId="0A1003AB"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2016</w:t>
            </w:r>
          </w:p>
        </w:tc>
        <w:tc>
          <w:tcPr>
            <w:tcW w:w="1615" w:type="dxa"/>
            <w:tcBorders>
              <w:top w:val="double" w:sz="4" w:space="0" w:color="1A25F8"/>
              <w:left w:val="nil"/>
              <w:bottom w:val="single" w:sz="4" w:space="0" w:color="0000FF"/>
              <w:right w:val="nil"/>
            </w:tcBorders>
            <w:vAlign w:val="center"/>
          </w:tcPr>
          <w:p w14:paraId="236976F6"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20058BEB"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Variación %</w:t>
            </w:r>
          </w:p>
        </w:tc>
      </w:tr>
      <w:tr w:rsidR="005D4CB6" w:rsidRPr="00E16284" w14:paraId="6F590349"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0ACE8A0C" w14:textId="77777777" w:rsidR="005D4CB6" w:rsidRPr="00E16284" w:rsidRDefault="005D4CB6" w:rsidP="00E16284">
            <w:pPr>
              <w:rPr>
                <w:rFonts w:ascii="Book Antiqua" w:hAnsi="Book Antiqua"/>
                <w:sz w:val="18"/>
              </w:rPr>
            </w:pPr>
            <w:r w:rsidRPr="00E16284">
              <w:rPr>
                <w:rFonts w:ascii="Book Antiqua" w:hAnsi="Book Antiqua"/>
                <w:sz w:val="18"/>
              </w:rPr>
              <w:t>Sueldos Básicos</w:t>
            </w:r>
          </w:p>
        </w:tc>
        <w:tc>
          <w:tcPr>
            <w:tcW w:w="1927" w:type="dxa"/>
            <w:tcBorders>
              <w:top w:val="nil"/>
              <w:left w:val="nil"/>
              <w:bottom w:val="nil"/>
              <w:right w:val="nil"/>
            </w:tcBorders>
            <w:vAlign w:val="bottom"/>
          </w:tcPr>
          <w:p w14:paraId="3092B47E" w14:textId="77777777" w:rsidR="005D4CB6" w:rsidRPr="00E16284" w:rsidRDefault="005D4CB6" w:rsidP="00E16284">
            <w:pPr>
              <w:jc w:val="right"/>
              <w:rPr>
                <w:rFonts w:ascii="Book Antiqua" w:hAnsi="Book Antiqua"/>
                <w:sz w:val="16"/>
                <w:szCs w:val="22"/>
                <w:lang w:eastAsia="es-CR"/>
              </w:rPr>
            </w:pPr>
            <w:r w:rsidRPr="00E16284">
              <w:rPr>
                <w:rFonts w:ascii="Book Antiqua" w:hAnsi="Book Antiqua"/>
                <w:sz w:val="16"/>
                <w:szCs w:val="22"/>
              </w:rPr>
              <w:t>2.198.255.436</w:t>
            </w:r>
          </w:p>
        </w:tc>
        <w:tc>
          <w:tcPr>
            <w:tcW w:w="1862" w:type="dxa"/>
            <w:tcBorders>
              <w:top w:val="nil"/>
              <w:left w:val="nil"/>
              <w:bottom w:val="nil"/>
              <w:right w:val="nil"/>
            </w:tcBorders>
            <w:shd w:val="clear" w:color="auto" w:fill="auto"/>
            <w:noWrap/>
            <w:vAlign w:val="bottom"/>
          </w:tcPr>
          <w:p w14:paraId="07232037"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2.220.564.164</w:t>
            </w:r>
          </w:p>
        </w:tc>
        <w:tc>
          <w:tcPr>
            <w:tcW w:w="1615" w:type="dxa"/>
            <w:tcBorders>
              <w:top w:val="nil"/>
              <w:left w:val="nil"/>
              <w:bottom w:val="nil"/>
              <w:right w:val="nil"/>
            </w:tcBorders>
            <w:vAlign w:val="bottom"/>
          </w:tcPr>
          <w:p w14:paraId="69979AAC"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-22.308.728</w:t>
            </w:r>
          </w:p>
        </w:tc>
        <w:tc>
          <w:tcPr>
            <w:tcW w:w="1855" w:type="dxa"/>
            <w:tcBorders>
              <w:top w:val="nil"/>
              <w:left w:val="nil"/>
              <w:bottom w:val="nil"/>
              <w:right w:val="nil"/>
            </w:tcBorders>
            <w:shd w:val="clear" w:color="auto" w:fill="auto"/>
            <w:noWrap/>
            <w:vAlign w:val="bottom"/>
          </w:tcPr>
          <w:p w14:paraId="78159744"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-1,0%</w:t>
            </w:r>
          </w:p>
        </w:tc>
      </w:tr>
      <w:tr w:rsidR="005D4CB6" w:rsidRPr="00E16284" w14:paraId="31083783"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44E003D3" w14:textId="77777777" w:rsidR="005D4CB6" w:rsidRPr="00E16284" w:rsidRDefault="005D4CB6" w:rsidP="00E16284">
            <w:pPr>
              <w:rPr>
                <w:rFonts w:ascii="Book Antiqua" w:hAnsi="Book Antiqua"/>
                <w:sz w:val="18"/>
              </w:rPr>
            </w:pPr>
            <w:r w:rsidRPr="00E16284">
              <w:rPr>
                <w:rFonts w:ascii="Book Antiqua" w:hAnsi="Book Antiqua"/>
                <w:sz w:val="18"/>
              </w:rPr>
              <w:t>Salario Único</w:t>
            </w:r>
          </w:p>
        </w:tc>
        <w:tc>
          <w:tcPr>
            <w:tcW w:w="1927" w:type="dxa"/>
            <w:tcBorders>
              <w:top w:val="nil"/>
              <w:left w:val="nil"/>
              <w:bottom w:val="nil"/>
              <w:right w:val="nil"/>
            </w:tcBorders>
            <w:vAlign w:val="bottom"/>
          </w:tcPr>
          <w:p w14:paraId="60FF9CAD"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9.093.396.936</w:t>
            </w:r>
          </w:p>
        </w:tc>
        <w:tc>
          <w:tcPr>
            <w:tcW w:w="1862" w:type="dxa"/>
            <w:tcBorders>
              <w:top w:val="nil"/>
              <w:left w:val="nil"/>
              <w:bottom w:val="nil"/>
              <w:right w:val="nil"/>
            </w:tcBorders>
            <w:shd w:val="clear" w:color="auto" w:fill="auto"/>
            <w:noWrap/>
            <w:vAlign w:val="bottom"/>
          </w:tcPr>
          <w:p w14:paraId="492A8FAF"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8.828.778.431</w:t>
            </w:r>
          </w:p>
        </w:tc>
        <w:tc>
          <w:tcPr>
            <w:tcW w:w="1615" w:type="dxa"/>
            <w:tcBorders>
              <w:top w:val="nil"/>
              <w:left w:val="nil"/>
              <w:bottom w:val="nil"/>
              <w:right w:val="nil"/>
            </w:tcBorders>
            <w:vAlign w:val="bottom"/>
          </w:tcPr>
          <w:p w14:paraId="00D70990"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264.618.505</w:t>
            </w:r>
          </w:p>
        </w:tc>
        <w:tc>
          <w:tcPr>
            <w:tcW w:w="1855" w:type="dxa"/>
            <w:tcBorders>
              <w:top w:val="nil"/>
              <w:left w:val="nil"/>
              <w:bottom w:val="nil"/>
              <w:right w:val="nil"/>
            </w:tcBorders>
            <w:shd w:val="clear" w:color="auto" w:fill="auto"/>
            <w:noWrap/>
            <w:vAlign w:val="bottom"/>
          </w:tcPr>
          <w:p w14:paraId="54969CBF"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3,0%</w:t>
            </w:r>
          </w:p>
        </w:tc>
      </w:tr>
      <w:tr w:rsidR="005D4CB6" w:rsidRPr="00E16284" w14:paraId="37E4ED5C"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23465FA7" w14:textId="77777777" w:rsidR="005D4CB6" w:rsidRPr="00E16284" w:rsidRDefault="005D4CB6" w:rsidP="00E16284">
            <w:pPr>
              <w:rPr>
                <w:rFonts w:ascii="Book Antiqua" w:hAnsi="Book Antiqua"/>
                <w:sz w:val="18"/>
              </w:rPr>
            </w:pPr>
            <w:r w:rsidRPr="00E16284">
              <w:rPr>
                <w:rFonts w:ascii="Book Antiqua" w:hAnsi="Book Antiqua"/>
                <w:sz w:val="18"/>
              </w:rPr>
              <w:t>Servicios especiales</w:t>
            </w:r>
          </w:p>
        </w:tc>
        <w:tc>
          <w:tcPr>
            <w:tcW w:w="1927" w:type="dxa"/>
            <w:tcBorders>
              <w:top w:val="nil"/>
              <w:left w:val="nil"/>
              <w:bottom w:val="nil"/>
              <w:right w:val="nil"/>
            </w:tcBorders>
            <w:vAlign w:val="bottom"/>
          </w:tcPr>
          <w:p w14:paraId="5DD052F2"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1.078.203.048</w:t>
            </w:r>
          </w:p>
        </w:tc>
        <w:tc>
          <w:tcPr>
            <w:tcW w:w="1862" w:type="dxa"/>
            <w:tcBorders>
              <w:top w:val="nil"/>
              <w:left w:val="nil"/>
              <w:bottom w:val="nil"/>
              <w:right w:val="nil"/>
            </w:tcBorders>
            <w:shd w:val="clear" w:color="auto" w:fill="auto"/>
            <w:noWrap/>
            <w:vAlign w:val="bottom"/>
          </w:tcPr>
          <w:p w14:paraId="1C0B007B"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1.056.640.000</w:t>
            </w:r>
          </w:p>
        </w:tc>
        <w:tc>
          <w:tcPr>
            <w:tcW w:w="1615" w:type="dxa"/>
            <w:tcBorders>
              <w:top w:val="nil"/>
              <w:left w:val="nil"/>
              <w:bottom w:val="nil"/>
              <w:right w:val="nil"/>
            </w:tcBorders>
            <w:vAlign w:val="bottom"/>
          </w:tcPr>
          <w:p w14:paraId="6D1E3E1B"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21.563.048</w:t>
            </w:r>
          </w:p>
        </w:tc>
        <w:tc>
          <w:tcPr>
            <w:tcW w:w="1855" w:type="dxa"/>
            <w:tcBorders>
              <w:top w:val="nil"/>
              <w:left w:val="nil"/>
              <w:bottom w:val="nil"/>
              <w:right w:val="nil"/>
            </w:tcBorders>
            <w:shd w:val="clear" w:color="auto" w:fill="auto"/>
            <w:noWrap/>
            <w:vAlign w:val="bottom"/>
          </w:tcPr>
          <w:p w14:paraId="3C418054"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2,0%</w:t>
            </w:r>
          </w:p>
        </w:tc>
      </w:tr>
      <w:tr w:rsidR="005D4CB6" w:rsidRPr="00E16284" w14:paraId="4C816AF4"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6472A9E7" w14:textId="77777777" w:rsidR="005D4CB6" w:rsidRPr="00E16284" w:rsidRDefault="005D4CB6" w:rsidP="00E16284">
            <w:pPr>
              <w:rPr>
                <w:rFonts w:ascii="Book Antiqua" w:hAnsi="Book Antiqua"/>
                <w:sz w:val="18"/>
              </w:rPr>
            </w:pPr>
            <w:r w:rsidRPr="00E16284">
              <w:rPr>
                <w:rFonts w:ascii="Book Antiqua" w:hAnsi="Book Antiqua"/>
                <w:sz w:val="18"/>
              </w:rPr>
              <w:t xml:space="preserve">Anualidad </w:t>
            </w:r>
          </w:p>
        </w:tc>
        <w:tc>
          <w:tcPr>
            <w:tcW w:w="1927" w:type="dxa"/>
            <w:tcBorders>
              <w:top w:val="nil"/>
              <w:left w:val="nil"/>
              <w:bottom w:val="nil"/>
              <w:right w:val="nil"/>
            </w:tcBorders>
            <w:vAlign w:val="bottom"/>
          </w:tcPr>
          <w:p w14:paraId="1DECE7B3"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1.480.394.221</w:t>
            </w:r>
          </w:p>
        </w:tc>
        <w:tc>
          <w:tcPr>
            <w:tcW w:w="1862" w:type="dxa"/>
            <w:tcBorders>
              <w:top w:val="nil"/>
              <w:left w:val="nil"/>
              <w:bottom w:val="nil"/>
              <w:right w:val="nil"/>
            </w:tcBorders>
            <w:shd w:val="clear" w:color="auto" w:fill="auto"/>
            <w:noWrap/>
            <w:vAlign w:val="bottom"/>
          </w:tcPr>
          <w:p w14:paraId="24817D4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1.473.697.607</w:t>
            </w:r>
          </w:p>
        </w:tc>
        <w:tc>
          <w:tcPr>
            <w:tcW w:w="1615" w:type="dxa"/>
            <w:tcBorders>
              <w:top w:val="nil"/>
              <w:left w:val="nil"/>
              <w:bottom w:val="nil"/>
              <w:right w:val="nil"/>
            </w:tcBorders>
            <w:vAlign w:val="bottom"/>
          </w:tcPr>
          <w:p w14:paraId="16AF7F3C"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6.696.614</w:t>
            </w:r>
          </w:p>
        </w:tc>
        <w:tc>
          <w:tcPr>
            <w:tcW w:w="1855" w:type="dxa"/>
            <w:tcBorders>
              <w:top w:val="nil"/>
              <w:left w:val="nil"/>
              <w:bottom w:val="nil"/>
              <w:right w:val="nil"/>
            </w:tcBorders>
            <w:shd w:val="clear" w:color="auto" w:fill="auto"/>
            <w:noWrap/>
            <w:vAlign w:val="bottom"/>
          </w:tcPr>
          <w:p w14:paraId="65B0D8FE"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0,5%</w:t>
            </w:r>
          </w:p>
        </w:tc>
      </w:tr>
      <w:tr w:rsidR="005D4CB6" w:rsidRPr="00E16284" w14:paraId="14CEBF4E"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1BF0F4F3" w14:textId="77777777" w:rsidR="005D4CB6" w:rsidRPr="00E16284" w:rsidRDefault="005D4CB6" w:rsidP="00E16284">
            <w:pPr>
              <w:rPr>
                <w:rFonts w:ascii="Book Antiqua" w:hAnsi="Book Antiqua"/>
                <w:sz w:val="18"/>
              </w:rPr>
            </w:pPr>
            <w:r w:rsidRPr="00E16284">
              <w:rPr>
                <w:rFonts w:ascii="Book Antiqua" w:hAnsi="Book Antiqua"/>
                <w:sz w:val="18"/>
              </w:rPr>
              <w:t>Méritos</w:t>
            </w:r>
          </w:p>
        </w:tc>
        <w:tc>
          <w:tcPr>
            <w:tcW w:w="1927" w:type="dxa"/>
            <w:tcBorders>
              <w:top w:val="nil"/>
              <w:left w:val="nil"/>
              <w:bottom w:val="nil"/>
              <w:right w:val="nil"/>
            </w:tcBorders>
            <w:vAlign w:val="center"/>
          </w:tcPr>
          <w:p w14:paraId="05F1CDBF"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1.904.763.069</w:t>
            </w:r>
          </w:p>
        </w:tc>
        <w:tc>
          <w:tcPr>
            <w:tcW w:w="1862" w:type="dxa"/>
            <w:tcBorders>
              <w:top w:val="nil"/>
              <w:left w:val="nil"/>
              <w:bottom w:val="nil"/>
              <w:right w:val="nil"/>
            </w:tcBorders>
            <w:shd w:val="clear" w:color="auto" w:fill="auto"/>
            <w:noWrap/>
            <w:vAlign w:val="center"/>
          </w:tcPr>
          <w:p w14:paraId="286EC618"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1.852.325.806</w:t>
            </w:r>
          </w:p>
        </w:tc>
        <w:tc>
          <w:tcPr>
            <w:tcW w:w="1615" w:type="dxa"/>
            <w:tcBorders>
              <w:top w:val="nil"/>
              <w:left w:val="nil"/>
              <w:bottom w:val="nil"/>
              <w:right w:val="nil"/>
            </w:tcBorders>
            <w:vAlign w:val="center"/>
          </w:tcPr>
          <w:p w14:paraId="3CB258EA"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52.437.263</w:t>
            </w:r>
          </w:p>
        </w:tc>
        <w:tc>
          <w:tcPr>
            <w:tcW w:w="1855" w:type="dxa"/>
            <w:tcBorders>
              <w:top w:val="nil"/>
              <w:left w:val="nil"/>
              <w:bottom w:val="nil"/>
              <w:right w:val="nil"/>
            </w:tcBorders>
            <w:shd w:val="clear" w:color="auto" w:fill="auto"/>
            <w:noWrap/>
            <w:vAlign w:val="center"/>
          </w:tcPr>
          <w:p w14:paraId="2109ECD1"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2,8%</w:t>
            </w:r>
          </w:p>
        </w:tc>
      </w:tr>
      <w:tr w:rsidR="005D4CB6" w:rsidRPr="00E16284" w14:paraId="496596FB"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5A8DE1B6" w14:textId="77777777" w:rsidR="005D4CB6" w:rsidRPr="00E16284" w:rsidRDefault="005D4CB6" w:rsidP="00E16284">
            <w:pPr>
              <w:rPr>
                <w:rFonts w:ascii="Book Antiqua" w:hAnsi="Book Antiqua"/>
                <w:sz w:val="18"/>
              </w:rPr>
            </w:pPr>
            <w:r w:rsidRPr="00E16284">
              <w:rPr>
                <w:rFonts w:ascii="Book Antiqua" w:hAnsi="Book Antiqua"/>
                <w:sz w:val="18"/>
              </w:rPr>
              <w:t>Bonific. profesional</w:t>
            </w:r>
          </w:p>
        </w:tc>
        <w:tc>
          <w:tcPr>
            <w:tcW w:w="1927" w:type="dxa"/>
            <w:tcBorders>
              <w:top w:val="nil"/>
              <w:left w:val="nil"/>
              <w:bottom w:val="nil"/>
              <w:right w:val="nil"/>
            </w:tcBorders>
            <w:vAlign w:val="bottom"/>
          </w:tcPr>
          <w:p w14:paraId="1018DCCF"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378.099.644</w:t>
            </w:r>
          </w:p>
        </w:tc>
        <w:tc>
          <w:tcPr>
            <w:tcW w:w="1862" w:type="dxa"/>
            <w:tcBorders>
              <w:top w:val="nil"/>
              <w:left w:val="nil"/>
              <w:bottom w:val="nil"/>
              <w:right w:val="nil"/>
            </w:tcBorders>
            <w:shd w:val="clear" w:color="auto" w:fill="auto"/>
            <w:noWrap/>
            <w:vAlign w:val="bottom"/>
          </w:tcPr>
          <w:p w14:paraId="24DBB4F0"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370.293.508</w:t>
            </w:r>
          </w:p>
        </w:tc>
        <w:tc>
          <w:tcPr>
            <w:tcW w:w="1615" w:type="dxa"/>
            <w:tcBorders>
              <w:top w:val="nil"/>
              <w:left w:val="nil"/>
              <w:bottom w:val="nil"/>
              <w:right w:val="nil"/>
            </w:tcBorders>
            <w:vAlign w:val="bottom"/>
          </w:tcPr>
          <w:p w14:paraId="1BB9167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7.806.136</w:t>
            </w:r>
          </w:p>
        </w:tc>
        <w:tc>
          <w:tcPr>
            <w:tcW w:w="1855" w:type="dxa"/>
            <w:tcBorders>
              <w:top w:val="nil"/>
              <w:left w:val="nil"/>
              <w:bottom w:val="nil"/>
              <w:right w:val="nil"/>
            </w:tcBorders>
            <w:shd w:val="clear" w:color="auto" w:fill="auto"/>
            <w:noWrap/>
            <w:vAlign w:val="bottom"/>
          </w:tcPr>
          <w:p w14:paraId="269F53FB"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2,1%</w:t>
            </w:r>
          </w:p>
        </w:tc>
      </w:tr>
      <w:tr w:rsidR="005D4CB6" w:rsidRPr="00E16284" w14:paraId="1A16409D"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595DEA02" w14:textId="77777777" w:rsidR="005D4CB6" w:rsidRPr="00E16284" w:rsidRDefault="005D4CB6" w:rsidP="00E16284">
            <w:pPr>
              <w:rPr>
                <w:rFonts w:ascii="Book Antiqua" w:hAnsi="Book Antiqua"/>
                <w:sz w:val="18"/>
              </w:rPr>
            </w:pPr>
            <w:r w:rsidRPr="00E16284">
              <w:rPr>
                <w:rFonts w:ascii="Book Antiqua" w:hAnsi="Book Antiqua"/>
                <w:sz w:val="18"/>
              </w:rPr>
              <w:t xml:space="preserve">Prohibición </w:t>
            </w:r>
          </w:p>
        </w:tc>
        <w:tc>
          <w:tcPr>
            <w:tcW w:w="1927" w:type="dxa"/>
            <w:tcBorders>
              <w:top w:val="nil"/>
              <w:left w:val="nil"/>
              <w:bottom w:val="nil"/>
              <w:right w:val="nil"/>
            </w:tcBorders>
            <w:vAlign w:val="bottom"/>
          </w:tcPr>
          <w:p w14:paraId="02E72BDE"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424.952.375</w:t>
            </w:r>
          </w:p>
        </w:tc>
        <w:tc>
          <w:tcPr>
            <w:tcW w:w="1862" w:type="dxa"/>
            <w:tcBorders>
              <w:top w:val="nil"/>
              <w:left w:val="nil"/>
              <w:bottom w:val="nil"/>
              <w:right w:val="nil"/>
            </w:tcBorders>
            <w:shd w:val="clear" w:color="auto" w:fill="auto"/>
            <w:noWrap/>
            <w:vAlign w:val="bottom"/>
          </w:tcPr>
          <w:p w14:paraId="798A8EA7"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336.847.856</w:t>
            </w:r>
          </w:p>
        </w:tc>
        <w:tc>
          <w:tcPr>
            <w:tcW w:w="1615" w:type="dxa"/>
            <w:tcBorders>
              <w:top w:val="nil"/>
              <w:left w:val="nil"/>
              <w:bottom w:val="nil"/>
              <w:right w:val="nil"/>
            </w:tcBorders>
            <w:vAlign w:val="bottom"/>
          </w:tcPr>
          <w:p w14:paraId="538FA6EA"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88.104.519</w:t>
            </w:r>
          </w:p>
        </w:tc>
        <w:tc>
          <w:tcPr>
            <w:tcW w:w="1855" w:type="dxa"/>
            <w:tcBorders>
              <w:top w:val="nil"/>
              <w:left w:val="nil"/>
              <w:bottom w:val="nil"/>
              <w:right w:val="nil"/>
            </w:tcBorders>
            <w:shd w:val="clear" w:color="auto" w:fill="auto"/>
            <w:noWrap/>
            <w:vAlign w:val="bottom"/>
          </w:tcPr>
          <w:p w14:paraId="49032E5B"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26,2%</w:t>
            </w:r>
          </w:p>
        </w:tc>
      </w:tr>
      <w:tr w:rsidR="005D4CB6" w:rsidRPr="00E16284" w14:paraId="78640955" w14:textId="77777777" w:rsidTr="005D4CB6">
        <w:trPr>
          <w:trHeight w:val="300"/>
          <w:jc w:val="center"/>
        </w:trPr>
        <w:tc>
          <w:tcPr>
            <w:tcW w:w="2518" w:type="dxa"/>
            <w:tcBorders>
              <w:top w:val="nil"/>
              <w:left w:val="nil"/>
              <w:right w:val="single" w:sz="4" w:space="0" w:color="0000FF"/>
            </w:tcBorders>
            <w:shd w:val="clear" w:color="auto" w:fill="auto"/>
            <w:noWrap/>
            <w:vAlign w:val="bottom"/>
          </w:tcPr>
          <w:p w14:paraId="62B97B8F" w14:textId="77777777" w:rsidR="005D4CB6" w:rsidRPr="00E16284" w:rsidRDefault="005D4CB6" w:rsidP="00E16284">
            <w:pPr>
              <w:rPr>
                <w:rFonts w:ascii="Book Antiqua" w:hAnsi="Book Antiqua"/>
                <w:sz w:val="18"/>
              </w:rPr>
            </w:pPr>
            <w:r w:rsidRPr="00E16284">
              <w:rPr>
                <w:rFonts w:ascii="Book Antiqua" w:hAnsi="Book Antiqua"/>
                <w:sz w:val="18"/>
              </w:rPr>
              <w:t>Ajuste Personal</w:t>
            </w:r>
          </w:p>
        </w:tc>
        <w:tc>
          <w:tcPr>
            <w:tcW w:w="1927" w:type="dxa"/>
            <w:tcBorders>
              <w:top w:val="nil"/>
              <w:left w:val="nil"/>
              <w:right w:val="nil"/>
            </w:tcBorders>
            <w:vAlign w:val="bottom"/>
          </w:tcPr>
          <w:p w14:paraId="00C6037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7.212.712</w:t>
            </w:r>
          </w:p>
        </w:tc>
        <w:tc>
          <w:tcPr>
            <w:tcW w:w="1862" w:type="dxa"/>
            <w:tcBorders>
              <w:top w:val="nil"/>
              <w:left w:val="nil"/>
              <w:right w:val="nil"/>
            </w:tcBorders>
            <w:shd w:val="clear" w:color="auto" w:fill="auto"/>
            <w:noWrap/>
            <w:vAlign w:val="bottom"/>
          </w:tcPr>
          <w:p w14:paraId="477F3F33"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7.810.943</w:t>
            </w:r>
          </w:p>
        </w:tc>
        <w:tc>
          <w:tcPr>
            <w:tcW w:w="1615" w:type="dxa"/>
            <w:tcBorders>
              <w:top w:val="nil"/>
              <w:left w:val="nil"/>
              <w:right w:val="nil"/>
            </w:tcBorders>
            <w:vAlign w:val="bottom"/>
          </w:tcPr>
          <w:p w14:paraId="77A85AFF"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-598.231</w:t>
            </w:r>
          </w:p>
        </w:tc>
        <w:tc>
          <w:tcPr>
            <w:tcW w:w="1855" w:type="dxa"/>
            <w:tcBorders>
              <w:top w:val="nil"/>
              <w:left w:val="nil"/>
              <w:right w:val="nil"/>
            </w:tcBorders>
            <w:shd w:val="clear" w:color="auto" w:fill="auto"/>
            <w:noWrap/>
            <w:vAlign w:val="bottom"/>
          </w:tcPr>
          <w:p w14:paraId="10B7DB48"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-7,7%</w:t>
            </w:r>
          </w:p>
        </w:tc>
      </w:tr>
      <w:tr w:rsidR="005D4CB6" w:rsidRPr="00E16284" w14:paraId="45B68C02" w14:textId="77777777" w:rsidTr="005D4CB6">
        <w:trPr>
          <w:trHeight w:val="315"/>
          <w:jc w:val="center"/>
        </w:trPr>
        <w:tc>
          <w:tcPr>
            <w:tcW w:w="2518" w:type="dxa"/>
            <w:tcBorders>
              <w:top w:val="nil"/>
              <w:left w:val="nil"/>
              <w:right w:val="single" w:sz="4" w:space="0" w:color="0000FF"/>
            </w:tcBorders>
            <w:shd w:val="clear" w:color="auto" w:fill="auto"/>
            <w:noWrap/>
            <w:vAlign w:val="bottom"/>
          </w:tcPr>
          <w:p w14:paraId="30C6FA37" w14:textId="77777777" w:rsidR="005D4CB6" w:rsidRPr="00E16284" w:rsidRDefault="005D4CB6" w:rsidP="00E16284">
            <w:pPr>
              <w:rPr>
                <w:rFonts w:ascii="Book Antiqua" w:hAnsi="Book Antiqua"/>
                <w:bCs/>
                <w:sz w:val="18"/>
              </w:rPr>
            </w:pPr>
            <w:r w:rsidRPr="00E16284">
              <w:rPr>
                <w:rFonts w:ascii="Book Antiqua" w:hAnsi="Book Antiqua"/>
                <w:bCs/>
                <w:sz w:val="18"/>
              </w:rPr>
              <w:t>Ajuste de mercado</w:t>
            </w:r>
          </w:p>
        </w:tc>
        <w:tc>
          <w:tcPr>
            <w:tcW w:w="1927" w:type="dxa"/>
            <w:tcBorders>
              <w:top w:val="nil"/>
              <w:left w:val="nil"/>
              <w:right w:val="nil"/>
            </w:tcBorders>
            <w:vAlign w:val="bottom"/>
          </w:tcPr>
          <w:p w14:paraId="5C79DF07"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100.402.372</w:t>
            </w:r>
          </w:p>
        </w:tc>
        <w:tc>
          <w:tcPr>
            <w:tcW w:w="1862" w:type="dxa"/>
            <w:tcBorders>
              <w:top w:val="nil"/>
              <w:left w:val="nil"/>
              <w:right w:val="nil"/>
            </w:tcBorders>
            <w:shd w:val="clear" w:color="auto" w:fill="auto"/>
            <w:noWrap/>
            <w:vAlign w:val="bottom"/>
          </w:tcPr>
          <w:p w14:paraId="4A6E019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73.604.029</w:t>
            </w:r>
          </w:p>
        </w:tc>
        <w:tc>
          <w:tcPr>
            <w:tcW w:w="1615" w:type="dxa"/>
            <w:tcBorders>
              <w:top w:val="nil"/>
              <w:left w:val="nil"/>
              <w:right w:val="nil"/>
            </w:tcBorders>
            <w:vAlign w:val="bottom"/>
          </w:tcPr>
          <w:p w14:paraId="793F9C7F"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26.798.343</w:t>
            </w:r>
          </w:p>
        </w:tc>
        <w:tc>
          <w:tcPr>
            <w:tcW w:w="1855" w:type="dxa"/>
            <w:tcBorders>
              <w:top w:val="nil"/>
              <w:left w:val="nil"/>
              <w:right w:val="nil"/>
            </w:tcBorders>
            <w:shd w:val="clear" w:color="auto" w:fill="auto"/>
            <w:noWrap/>
            <w:vAlign w:val="bottom"/>
          </w:tcPr>
          <w:p w14:paraId="1863BF82"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36,4%</w:t>
            </w:r>
          </w:p>
        </w:tc>
      </w:tr>
      <w:tr w:rsidR="005D4CB6" w:rsidRPr="00E16284" w14:paraId="6964773C" w14:textId="77777777" w:rsidTr="005D4CB6">
        <w:trPr>
          <w:trHeight w:val="315"/>
          <w:jc w:val="center"/>
        </w:trPr>
        <w:tc>
          <w:tcPr>
            <w:tcW w:w="2518" w:type="dxa"/>
            <w:tcBorders>
              <w:left w:val="nil"/>
              <w:bottom w:val="double" w:sz="6" w:space="0" w:color="0000FF"/>
              <w:right w:val="single" w:sz="4" w:space="0" w:color="0000FF"/>
            </w:tcBorders>
            <w:shd w:val="clear" w:color="auto" w:fill="auto"/>
            <w:noWrap/>
            <w:vAlign w:val="bottom"/>
          </w:tcPr>
          <w:p w14:paraId="072601E5" w14:textId="77777777" w:rsidR="005D4CB6" w:rsidRPr="00E16284" w:rsidRDefault="005D4CB6" w:rsidP="00E16284">
            <w:pPr>
              <w:rPr>
                <w:rFonts w:ascii="Book Antiqua" w:hAnsi="Book Antiqua"/>
                <w:b/>
                <w:bCs/>
                <w:sz w:val="18"/>
              </w:rPr>
            </w:pPr>
            <w:r w:rsidRPr="00E16284">
              <w:rPr>
                <w:rFonts w:ascii="Book Antiqua" w:hAnsi="Book Antiqua"/>
                <w:b/>
                <w:bCs/>
                <w:sz w:val="18"/>
              </w:rPr>
              <w:lastRenderedPageBreak/>
              <w:t>Total</w:t>
            </w:r>
          </w:p>
        </w:tc>
        <w:tc>
          <w:tcPr>
            <w:tcW w:w="1927" w:type="dxa"/>
            <w:tcBorders>
              <w:left w:val="nil"/>
              <w:bottom w:val="double" w:sz="6" w:space="0" w:color="0000FF"/>
              <w:right w:val="nil"/>
            </w:tcBorders>
            <w:vAlign w:val="bottom"/>
          </w:tcPr>
          <w:p w14:paraId="58236783" w14:textId="77777777" w:rsidR="005D4CB6" w:rsidRPr="00E16284" w:rsidRDefault="005D4CB6" w:rsidP="00E16284">
            <w:pPr>
              <w:jc w:val="right"/>
              <w:rPr>
                <w:rFonts w:ascii="Book Antiqua" w:hAnsi="Book Antiqua"/>
                <w:b/>
                <w:bCs/>
                <w:sz w:val="16"/>
                <w:szCs w:val="22"/>
              </w:rPr>
            </w:pPr>
            <w:r w:rsidRPr="00E16284">
              <w:rPr>
                <w:rFonts w:ascii="Book Antiqua" w:hAnsi="Book Antiqua"/>
                <w:b/>
                <w:bCs/>
                <w:sz w:val="16"/>
                <w:szCs w:val="22"/>
              </w:rPr>
              <w:t>16.665.679.813</w:t>
            </w:r>
          </w:p>
        </w:tc>
        <w:tc>
          <w:tcPr>
            <w:tcW w:w="1862" w:type="dxa"/>
            <w:tcBorders>
              <w:left w:val="nil"/>
              <w:bottom w:val="double" w:sz="6" w:space="0" w:color="0000FF"/>
              <w:right w:val="nil"/>
            </w:tcBorders>
            <w:shd w:val="clear" w:color="auto" w:fill="auto"/>
            <w:noWrap/>
            <w:vAlign w:val="bottom"/>
          </w:tcPr>
          <w:p w14:paraId="6146E4B4" w14:textId="77777777" w:rsidR="005D4CB6" w:rsidRPr="00E16284" w:rsidRDefault="005D4CB6" w:rsidP="00E16284">
            <w:pPr>
              <w:jc w:val="right"/>
              <w:rPr>
                <w:rFonts w:ascii="Book Antiqua" w:hAnsi="Book Antiqua"/>
                <w:b/>
                <w:bCs/>
                <w:sz w:val="16"/>
                <w:szCs w:val="22"/>
              </w:rPr>
            </w:pPr>
            <w:r w:rsidRPr="00E16284">
              <w:rPr>
                <w:rFonts w:ascii="Book Antiqua" w:hAnsi="Book Antiqua"/>
                <w:b/>
                <w:bCs/>
                <w:sz w:val="16"/>
                <w:szCs w:val="22"/>
              </w:rPr>
              <w:t>16.220.562.345</w:t>
            </w:r>
          </w:p>
        </w:tc>
        <w:tc>
          <w:tcPr>
            <w:tcW w:w="1615" w:type="dxa"/>
            <w:tcBorders>
              <w:left w:val="nil"/>
              <w:bottom w:val="double" w:sz="6" w:space="0" w:color="0000FF"/>
              <w:right w:val="nil"/>
            </w:tcBorders>
            <w:vAlign w:val="bottom"/>
          </w:tcPr>
          <w:p w14:paraId="77C0BE9B" w14:textId="77777777" w:rsidR="005D4CB6" w:rsidRPr="00E16284" w:rsidRDefault="005D4CB6" w:rsidP="00E16284">
            <w:pPr>
              <w:jc w:val="right"/>
              <w:rPr>
                <w:rFonts w:ascii="Book Antiqua" w:hAnsi="Book Antiqua"/>
                <w:b/>
                <w:bCs/>
                <w:sz w:val="16"/>
                <w:szCs w:val="22"/>
              </w:rPr>
            </w:pPr>
            <w:r w:rsidRPr="00E16284">
              <w:rPr>
                <w:rFonts w:ascii="Book Antiqua" w:hAnsi="Book Antiqua"/>
                <w:b/>
                <w:bCs/>
                <w:sz w:val="16"/>
                <w:szCs w:val="22"/>
              </w:rPr>
              <w:t>445.117.468</w:t>
            </w:r>
          </w:p>
        </w:tc>
        <w:tc>
          <w:tcPr>
            <w:tcW w:w="1855" w:type="dxa"/>
            <w:tcBorders>
              <w:left w:val="nil"/>
              <w:bottom w:val="double" w:sz="6" w:space="0" w:color="0000FF"/>
              <w:right w:val="nil"/>
            </w:tcBorders>
            <w:shd w:val="clear" w:color="auto" w:fill="auto"/>
            <w:noWrap/>
            <w:vAlign w:val="bottom"/>
          </w:tcPr>
          <w:p w14:paraId="385D2BC2" w14:textId="77777777" w:rsidR="005D4CB6" w:rsidRPr="00E16284" w:rsidRDefault="005D4CB6" w:rsidP="00E16284">
            <w:pPr>
              <w:jc w:val="center"/>
              <w:rPr>
                <w:rFonts w:ascii="Book Antiqua" w:hAnsi="Book Antiqua"/>
                <w:b/>
                <w:bCs/>
                <w:sz w:val="16"/>
                <w:szCs w:val="22"/>
              </w:rPr>
            </w:pPr>
            <w:r w:rsidRPr="00E16284">
              <w:rPr>
                <w:rFonts w:ascii="Book Antiqua" w:hAnsi="Book Antiqua"/>
                <w:b/>
                <w:bCs/>
                <w:sz w:val="16"/>
                <w:szCs w:val="22"/>
              </w:rPr>
              <w:t>2,7%</w:t>
            </w:r>
          </w:p>
        </w:tc>
      </w:tr>
    </w:tbl>
    <w:p w14:paraId="4E3F16C2" w14:textId="77777777" w:rsidR="005D4CB6" w:rsidRPr="005D4CB6" w:rsidRDefault="005D4CB6" w:rsidP="005D4CB6">
      <w:pPr>
        <w:tabs>
          <w:tab w:val="left" w:pos="3765"/>
        </w:tabs>
        <w:spacing w:line="276" w:lineRule="auto"/>
        <w:jc w:val="both"/>
        <w:rPr>
          <w:rFonts w:ascii="Book Antiqua" w:hAnsi="Book Antiqua"/>
          <w:sz w:val="22"/>
        </w:rPr>
      </w:pPr>
    </w:p>
    <w:p w14:paraId="6558E1C6" w14:textId="77777777" w:rsidR="005D4CB6" w:rsidRPr="005D4CB6" w:rsidRDefault="005D4CB6" w:rsidP="005D4CB6">
      <w:pPr>
        <w:tabs>
          <w:tab w:val="left" w:pos="3765"/>
        </w:tabs>
        <w:spacing w:line="276" w:lineRule="auto"/>
        <w:jc w:val="both"/>
        <w:rPr>
          <w:rFonts w:ascii="Book Antiqua" w:hAnsi="Book Antiqua"/>
          <w:sz w:val="22"/>
        </w:rPr>
      </w:pPr>
      <w:r w:rsidRPr="005D4CB6">
        <w:rPr>
          <w:rFonts w:ascii="Book Antiqua" w:hAnsi="Book Antiqua"/>
          <w:sz w:val="22"/>
        </w:rPr>
        <w:t>Al analizar el comportamiento de las partidas del ámbito Banco Central, independiente de los Entes de Desconcentración Máxima, la variación es similar y ligeramente inferior al nivel esperado del crecimiento del presupuesto (3.0% vs 2.7%), debido fundamentalmente al ser la entidad que cuenta todavía con la mayoría del personal de básico más pluses, y al estarse modificando las condiciones de las plazas y convertirlas en globales, los salarios tienden a ser menores.</w:t>
      </w:r>
    </w:p>
    <w:p w14:paraId="1DDA45D8" w14:textId="77777777" w:rsidR="005D4CB6" w:rsidRPr="005D4CB6" w:rsidRDefault="005D4CB6" w:rsidP="005D4CB6">
      <w:pPr>
        <w:tabs>
          <w:tab w:val="left" w:pos="3765"/>
        </w:tabs>
        <w:spacing w:before="240" w:line="276" w:lineRule="auto"/>
        <w:jc w:val="both"/>
        <w:rPr>
          <w:rFonts w:ascii="Book Antiqua" w:hAnsi="Book Antiqua"/>
          <w:sz w:val="22"/>
        </w:rPr>
      </w:pPr>
      <w:r w:rsidRPr="005D4CB6">
        <w:rPr>
          <w:rFonts w:ascii="Book Antiqua" w:hAnsi="Book Antiqua"/>
          <w:sz w:val="22"/>
        </w:rPr>
        <w:t>En el caso de los Órganos de Desconcentración Máxima, el comportamiento de las partidas es similar al observado en BCCR, con la salvedad de que los componentes de salarios de básico más pluses que en menor medida que en el BCCR y la disminución del salario básico es más acelerada.</w:t>
      </w:r>
    </w:p>
    <w:p w14:paraId="134492A9" w14:textId="77777777" w:rsidR="005D4CB6" w:rsidRPr="005D4CB6" w:rsidRDefault="005D4CB6" w:rsidP="005D4CB6">
      <w:pPr>
        <w:spacing w:line="276" w:lineRule="auto"/>
        <w:jc w:val="center"/>
        <w:rPr>
          <w:rFonts w:ascii="Book Antiqua" w:hAnsi="Book Antiqua"/>
          <w:b/>
          <w:sz w:val="22"/>
        </w:rPr>
      </w:pPr>
    </w:p>
    <w:p w14:paraId="48BB288C" w14:textId="77777777" w:rsidR="005D4CB6" w:rsidRPr="00E16284" w:rsidRDefault="005D4CB6" w:rsidP="00E16284">
      <w:pPr>
        <w:jc w:val="center"/>
        <w:rPr>
          <w:rFonts w:ascii="Book Antiqua" w:hAnsi="Book Antiqua"/>
          <w:b/>
          <w:sz w:val="18"/>
        </w:rPr>
      </w:pPr>
      <w:r w:rsidRPr="00E16284">
        <w:rPr>
          <w:rFonts w:ascii="Book Antiqua" w:hAnsi="Book Antiqua"/>
          <w:b/>
          <w:sz w:val="18"/>
        </w:rPr>
        <w:t>Distribución del Presupuesto Formulado de Salarios,</w:t>
      </w:r>
    </w:p>
    <w:p w14:paraId="4F0F63D1" w14:textId="77777777" w:rsidR="005D4CB6" w:rsidRPr="00E16284" w:rsidRDefault="005D4CB6" w:rsidP="00E16284">
      <w:pPr>
        <w:jc w:val="center"/>
        <w:rPr>
          <w:rFonts w:ascii="Book Antiqua" w:hAnsi="Book Antiqua"/>
          <w:b/>
          <w:sz w:val="18"/>
        </w:rPr>
      </w:pPr>
      <w:r w:rsidRPr="00E16284">
        <w:rPr>
          <w:rFonts w:ascii="Book Antiqua" w:hAnsi="Book Antiqua"/>
          <w:b/>
          <w:sz w:val="18"/>
        </w:rPr>
        <w:t>Según Partida por Año, Período 2017-2016, ODM</w:t>
      </w:r>
    </w:p>
    <w:tbl>
      <w:tblPr>
        <w:tblW w:w="9777" w:type="dxa"/>
        <w:jc w:val="center"/>
        <w:tblLook w:val="0000" w:firstRow="0" w:lastRow="0" w:firstColumn="0" w:lastColumn="0" w:noHBand="0" w:noVBand="0"/>
      </w:tblPr>
      <w:tblGrid>
        <w:gridCol w:w="2518"/>
        <w:gridCol w:w="1927"/>
        <w:gridCol w:w="1862"/>
        <w:gridCol w:w="1615"/>
        <w:gridCol w:w="1855"/>
      </w:tblGrid>
      <w:tr w:rsidR="005D4CB6" w:rsidRPr="00E16284" w14:paraId="5956D466" w14:textId="77777777" w:rsidTr="005D4CB6">
        <w:trPr>
          <w:trHeight w:val="315"/>
          <w:jc w:val="center"/>
        </w:trPr>
        <w:tc>
          <w:tcPr>
            <w:tcW w:w="2518" w:type="dxa"/>
            <w:tcBorders>
              <w:top w:val="double" w:sz="4" w:space="0" w:color="1A25F8"/>
              <w:left w:val="nil"/>
              <w:bottom w:val="single" w:sz="4" w:space="0" w:color="0000FF"/>
              <w:right w:val="single" w:sz="4" w:space="0" w:color="0000FF"/>
            </w:tcBorders>
            <w:shd w:val="clear" w:color="auto" w:fill="auto"/>
            <w:vAlign w:val="center"/>
          </w:tcPr>
          <w:p w14:paraId="1C75246A"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Partida</w:t>
            </w:r>
          </w:p>
        </w:tc>
        <w:tc>
          <w:tcPr>
            <w:tcW w:w="1927" w:type="dxa"/>
            <w:tcBorders>
              <w:top w:val="double" w:sz="4" w:space="0" w:color="1A25F8"/>
              <w:left w:val="nil"/>
              <w:bottom w:val="single" w:sz="4" w:space="0" w:color="0000FF"/>
              <w:right w:val="nil"/>
            </w:tcBorders>
            <w:vAlign w:val="center"/>
          </w:tcPr>
          <w:p w14:paraId="5502C807" w14:textId="77777777" w:rsidR="005D4CB6" w:rsidRPr="00E16284" w:rsidRDefault="005D4CB6" w:rsidP="00E16284">
            <w:pPr>
              <w:spacing w:before="120" w:after="120"/>
              <w:ind w:left="-141" w:firstLine="141"/>
              <w:jc w:val="center"/>
              <w:rPr>
                <w:rFonts w:ascii="Book Antiqua" w:hAnsi="Book Antiqua"/>
                <w:b/>
                <w:bCs/>
                <w:sz w:val="18"/>
              </w:rPr>
            </w:pPr>
            <w:r w:rsidRPr="00E16284">
              <w:rPr>
                <w:rFonts w:ascii="Book Antiqua" w:hAnsi="Book Antiqua"/>
                <w:b/>
                <w:bCs/>
                <w:sz w:val="18"/>
              </w:rPr>
              <w:t>2017</w:t>
            </w:r>
          </w:p>
        </w:tc>
        <w:tc>
          <w:tcPr>
            <w:tcW w:w="1862" w:type="dxa"/>
            <w:tcBorders>
              <w:top w:val="double" w:sz="4" w:space="0" w:color="1A25F8"/>
              <w:left w:val="nil"/>
              <w:bottom w:val="single" w:sz="4" w:space="0" w:color="0000FF"/>
              <w:right w:val="nil"/>
            </w:tcBorders>
            <w:shd w:val="clear" w:color="auto" w:fill="auto"/>
            <w:noWrap/>
            <w:vAlign w:val="center"/>
          </w:tcPr>
          <w:p w14:paraId="66C0A65B"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2016</w:t>
            </w:r>
          </w:p>
        </w:tc>
        <w:tc>
          <w:tcPr>
            <w:tcW w:w="1615" w:type="dxa"/>
            <w:tcBorders>
              <w:top w:val="double" w:sz="4" w:space="0" w:color="1A25F8"/>
              <w:left w:val="nil"/>
              <w:bottom w:val="single" w:sz="4" w:space="0" w:color="0000FF"/>
              <w:right w:val="nil"/>
            </w:tcBorders>
            <w:vAlign w:val="center"/>
          </w:tcPr>
          <w:p w14:paraId="07BAEDE5"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Diferencia</w:t>
            </w:r>
          </w:p>
        </w:tc>
        <w:tc>
          <w:tcPr>
            <w:tcW w:w="1855" w:type="dxa"/>
            <w:tcBorders>
              <w:top w:val="double" w:sz="4" w:space="0" w:color="1A25F8"/>
              <w:left w:val="nil"/>
              <w:bottom w:val="single" w:sz="4" w:space="0" w:color="0000FF"/>
              <w:right w:val="nil"/>
            </w:tcBorders>
            <w:shd w:val="clear" w:color="auto" w:fill="auto"/>
            <w:noWrap/>
            <w:vAlign w:val="center"/>
          </w:tcPr>
          <w:p w14:paraId="29450ED5" w14:textId="77777777" w:rsidR="005D4CB6" w:rsidRPr="00E16284" w:rsidRDefault="005D4CB6" w:rsidP="00E16284">
            <w:pPr>
              <w:spacing w:before="120" w:after="120"/>
              <w:jc w:val="center"/>
              <w:rPr>
                <w:rFonts w:ascii="Book Antiqua" w:hAnsi="Book Antiqua"/>
                <w:b/>
                <w:bCs/>
                <w:sz w:val="18"/>
              </w:rPr>
            </w:pPr>
            <w:r w:rsidRPr="00E16284">
              <w:rPr>
                <w:rFonts w:ascii="Book Antiqua" w:hAnsi="Book Antiqua"/>
                <w:b/>
                <w:bCs/>
                <w:sz w:val="18"/>
              </w:rPr>
              <w:t>Variación %</w:t>
            </w:r>
          </w:p>
        </w:tc>
      </w:tr>
      <w:tr w:rsidR="005D4CB6" w:rsidRPr="00E16284" w14:paraId="41BC4311"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731F30C8" w14:textId="77777777" w:rsidR="005D4CB6" w:rsidRPr="00E16284" w:rsidRDefault="005D4CB6" w:rsidP="00E16284">
            <w:pPr>
              <w:rPr>
                <w:rFonts w:ascii="Book Antiqua" w:hAnsi="Book Antiqua"/>
                <w:sz w:val="18"/>
              </w:rPr>
            </w:pPr>
            <w:r w:rsidRPr="00E16284">
              <w:rPr>
                <w:rFonts w:ascii="Book Antiqua" w:hAnsi="Book Antiqua"/>
                <w:sz w:val="18"/>
              </w:rPr>
              <w:t>Sueldos Básicos</w:t>
            </w:r>
          </w:p>
        </w:tc>
        <w:tc>
          <w:tcPr>
            <w:tcW w:w="1927" w:type="dxa"/>
            <w:tcBorders>
              <w:top w:val="nil"/>
              <w:left w:val="nil"/>
              <w:bottom w:val="nil"/>
              <w:right w:val="nil"/>
            </w:tcBorders>
            <w:vAlign w:val="bottom"/>
          </w:tcPr>
          <w:p w14:paraId="0E9F5FCC" w14:textId="77777777" w:rsidR="005D4CB6" w:rsidRPr="00E16284" w:rsidRDefault="005D4CB6" w:rsidP="00E16284">
            <w:pPr>
              <w:jc w:val="right"/>
              <w:rPr>
                <w:rFonts w:ascii="Book Antiqua" w:hAnsi="Book Antiqua"/>
                <w:sz w:val="16"/>
                <w:szCs w:val="22"/>
                <w:lang w:eastAsia="es-CR"/>
              </w:rPr>
            </w:pPr>
            <w:r w:rsidRPr="00E16284">
              <w:rPr>
                <w:rFonts w:ascii="Book Antiqua" w:hAnsi="Book Antiqua"/>
                <w:sz w:val="16"/>
                <w:szCs w:val="22"/>
              </w:rPr>
              <w:t>1.249.910.220</w:t>
            </w:r>
          </w:p>
        </w:tc>
        <w:tc>
          <w:tcPr>
            <w:tcW w:w="1862" w:type="dxa"/>
            <w:tcBorders>
              <w:top w:val="nil"/>
              <w:left w:val="nil"/>
              <w:bottom w:val="nil"/>
              <w:right w:val="nil"/>
            </w:tcBorders>
            <w:shd w:val="clear" w:color="auto" w:fill="auto"/>
            <w:noWrap/>
            <w:vAlign w:val="bottom"/>
          </w:tcPr>
          <w:p w14:paraId="132AC16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1.282.233.004</w:t>
            </w:r>
          </w:p>
        </w:tc>
        <w:tc>
          <w:tcPr>
            <w:tcW w:w="1615" w:type="dxa"/>
            <w:tcBorders>
              <w:top w:val="nil"/>
              <w:left w:val="nil"/>
              <w:bottom w:val="nil"/>
              <w:right w:val="nil"/>
            </w:tcBorders>
            <w:vAlign w:val="bottom"/>
          </w:tcPr>
          <w:p w14:paraId="6A4A0094"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-32.322.784</w:t>
            </w:r>
          </w:p>
        </w:tc>
        <w:tc>
          <w:tcPr>
            <w:tcW w:w="1855" w:type="dxa"/>
            <w:tcBorders>
              <w:top w:val="nil"/>
              <w:left w:val="nil"/>
              <w:bottom w:val="nil"/>
              <w:right w:val="nil"/>
            </w:tcBorders>
            <w:shd w:val="clear" w:color="auto" w:fill="auto"/>
            <w:noWrap/>
            <w:vAlign w:val="bottom"/>
          </w:tcPr>
          <w:p w14:paraId="34051325"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-2,5%</w:t>
            </w:r>
          </w:p>
        </w:tc>
      </w:tr>
      <w:tr w:rsidR="005D4CB6" w:rsidRPr="00E16284" w14:paraId="7A3948AE"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6E65A7BC" w14:textId="77777777" w:rsidR="005D4CB6" w:rsidRPr="00E16284" w:rsidRDefault="005D4CB6" w:rsidP="00E16284">
            <w:pPr>
              <w:rPr>
                <w:rFonts w:ascii="Book Antiqua" w:hAnsi="Book Antiqua"/>
                <w:sz w:val="18"/>
              </w:rPr>
            </w:pPr>
            <w:r w:rsidRPr="00E16284">
              <w:rPr>
                <w:rFonts w:ascii="Book Antiqua" w:hAnsi="Book Antiqua"/>
                <w:sz w:val="18"/>
              </w:rPr>
              <w:t>Salario Único</w:t>
            </w:r>
          </w:p>
        </w:tc>
        <w:tc>
          <w:tcPr>
            <w:tcW w:w="1927" w:type="dxa"/>
            <w:tcBorders>
              <w:top w:val="nil"/>
              <w:left w:val="nil"/>
              <w:bottom w:val="nil"/>
              <w:right w:val="nil"/>
            </w:tcBorders>
            <w:vAlign w:val="bottom"/>
          </w:tcPr>
          <w:p w14:paraId="4CE0B8DA"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7.778.472.364</w:t>
            </w:r>
          </w:p>
        </w:tc>
        <w:tc>
          <w:tcPr>
            <w:tcW w:w="1862" w:type="dxa"/>
            <w:tcBorders>
              <w:top w:val="nil"/>
              <w:left w:val="nil"/>
              <w:bottom w:val="nil"/>
              <w:right w:val="nil"/>
            </w:tcBorders>
            <w:shd w:val="clear" w:color="auto" w:fill="auto"/>
            <w:noWrap/>
            <w:vAlign w:val="bottom"/>
          </w:tcPr>
          <w:p w14:paraId="64207037"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7.531.752.696</w:t>
            </w:r>
          </w:p>
        </w:tc>
        <w:tc>
          <w:tcPr>
            <w:tcW w:w="1615" w:type="dxa"/>
            <w:tcBorders>
              <w:top w:val="nil"/>
              <w:left w:val="nil"/>
              <w:bottom w:val="nil"/>
              <w:right w:val="nil"/>
            </w:tcBorders>
            <w:vAlign w:val="bottom"/>
          </w:tcPr>
          <w:p w14:paraId="4B7DD2D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246.719.668</w:t>
            </w:r>
          </w:p>
        </w:tc>
        <w:tc>
          <w:tcPr>
            <w:tcW w:w="1855" w:type="dxa"/>
            <w:tcBorders>
              <w:top w:val="nil"/>
              <w:left w:val="nil"/>
              <w:bottom w:val="nil"/>
              <w:right w:val="nil"/>
            </w:tcBorders>
            <w:shd w:val="clear" w:color="auto" w:fill="auto"/>
            <w:noWrap/>
            <w:vAlign w:val="bottom"/>
          </w:tcPr>
          <w:p w14:paraId="350E21F3"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3,3%</w:t>
            </w:r>
          </w:p>
        </w:tc>
      </w:tr>
      <w:tr w:rsidR="005D4CB6" w:rsidRPr="00E16284" w14:paraId="312A6795"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02A64083" w14:textId="77777777" w:rsidR="005D4CB6" w:rsidRPr="00E16284" w:rsidRDefault="005D4CB6" w:rsidP="00E16284">
            <w:pPr>
              <w:rPr>
                <w:rFonts w:ascii="Book Antiqua" w:hAnsi="Book Antiqua"/>
                <w:sz w:val="18"/>
              </w:rPr>
            </w:pPr>
            <w:r w:rsidRPr="00E16284">
              <w:rPr>
                <w:rFonts w:ascii="Book Antiqua" w:hAnsi="Book Antiqua"/>
                <w:sz w:val="18"/>
              </w:rPr>
              <w:t>Servicios especiales</w:t>
            </w:r>
          </w:p>
        </w:tc>
        <w:tc>
          <w:tcPr>
            <w:tcW w:w="1927" w:type="dxa"/>
            <w:tcBorders>
              <w:top w:val="nil"/>
              <w:left w:val="nil"/>
              <w:bottom w:val="nil"/>
              <w:right w:val="nil"/>
            </w:tcBorders>
            <w:vAlign w:val="bottom"/>
          </w:tcPr>
          <w:p w14:paraId="3F059A76"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0</w:t>
            </w:r>
          </w:p>
        </w:tc>
        <w:tc>
          <w:tcPr>
            <w:tcW w:w="1862" w:type="dxa"/>
            <w:tcBorders>
              <w:top w:val="nil"/>
              <w:left w:val="nil"/>
              <w:bottom w:val="nil"/>
              <w:right w:val="nil"/>
            </w:tcBorders>
            <w:shd w:val="clear" w:color="auto" w:fill="auto"/>
            <w:noWrap/>
            <w:vAlign w:val="bottom"/>
          </w:tcPr>
          <w:p w14:paraId="5503758A"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0</w:t>
            </w:r>
          </w:p>
        </w:tc>
        <w:tc>
          <w:tcPr>
            <w:tcW w:w="1615" w:type="dxa"/>
            <w:tcBorders>
              <w:top w:val="nil"/>
              <w:left w:val="nil"/>
              <w:bottom w:val="nil"/>
              <w:right w:val="nil"/>
            </w:tcBorders>
            <w:vAlign w:val="bottom"/>
          </w:tcPr>
          <w:p w14:paraId="00C1035B"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0</w:t>
            </w:r>
          </w:p>
        </w:tc>
        <w:tc>
          <w:tcPr>
            <w:tcW w:w="1855" w:type="dxa"/>
            <w:tcBorders>
              <w:top w:val="nil"/>
              <w:left w:val="nil"/>
              <w:bottom w:val="nil"/>
              <w:right w:val="nil"/>
            </w:tcBorders>
            <w:shd w:val="clear" w:color="auto" w:fill="auto"/>
            <w:noWrap/>
            <w:vAlign w:val="bottom"/>
          </w:tcPr>
          <w:p w14:paraId="07AA73D5"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 </w:t>
            </w:r>
          </w:p>
        </w:tc>
      </w:tr>
      <w:tr w:rsidR="005D4CB6" w:rsidRPr="00E16284" w14:paraId="1108243A"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42D47CC2" w14:textId="77777777" w:rsidR="005D4CB6" w:rsidRPr="00E16284" w:rsidRDefault="005D4CB6" w:rsidP="00E16284">
            <w:pPr>
              <w:rPr>
                <w:rFonts w:ascii="Book Antiqua" w:hAnsi="Book Antiqua"/>
                <w:sz w:val="18"/>
              </w:rPr>
            </w:pPr>
            <w:r w:rsidRPr="00E16284">
              <w:rPr>
                <w:rFonts w:ascii="Book Antiqua" w:hAnsi="Book Antiqua"/>
                <w:sz w:val="18"/>
              </w:rPr>
              <w:t xml:space="preserve">Anualidad </w:t>
            </w:r>
          </w:p>
        </w:tc>
        <w:tc>
          <w:tcPr>
            <w:tcW w:w="1927" w:type="dxa"/>
            <w:tcBorders>
              <w:top w:val="nil"/>
              <w:left w:val="nil"/>
              <w:bottom w:val="nil"/>
              <w:right w:val="nil"/>
            </w:tcBorders>
            <w:vAlign w:val="bottom"/>
          </w:tcPr>
          <w:p w14:paraId="6CC2F474"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861.630.581</w:t>
            </w:r>
          </w:p>
        </w:tc>
        <w:tc>
          <w:tcPr>
            <w:tcW w:w="1862" w:type="dxa"/>
            <w:tcBorders>
              <w:top w:val="nil"/>
              <w:left w:val="nil"/>
              <w:bottom w:val="nil"/>
              <w:right w:val="nil"/>
            </w:tcBorders>
            <w:shd w:val="clear" w:color="auto" w:fill="auto"/>
            <w:noWrap/>
            <w:vAlign w:val="bottom"/>
          </w:tcPr>
          <w:p w14:paraId="0E2903B9"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861.347.610</w:t>
            </w:r>
          </w:p>
        </w:tc>
        <w:tc>
          <w:tcPr>
            <w:tcW w:w="1615" w:type="dxa"/>
            <w:tcBorders>
              <w:top w:val="nil"/>
              <w:left w:val="nil"/>
              <w:bottom w:val="nil"/>
              <w:right w:val="nil"/>
            </w:tcBorders>
            <w:vAlign w:val="bottom"/>
          </w:tcPr>
          <w:p w14:paraId="5680942A"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282.971</w:t>
            </w:r>
          </w:p>
        </w:tc>
        <w:tc>
          <w:tcPr>
            <w:tcW w:w="1855" w:type="dxa"/>
            <w:tcBorders>
              <w:top w:val="nil"/>
              <w:left w:val="nil"/>
              <w:bottom w:val="nil"/>
              <w:right w:val="nil"/>
            </w:tcBorders>
            <w:shd w:val="clear" w:color="auto" w:fill="auto"/>
            <w:noWrap/>
            <w:vAlign w:val="bottom"/>
          </w:tcPr>
          <w:p w14:paraId="1DC105CC"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0,0%</w:t>
            </w:r>
          </w:p>
        </w:tc>
      </w:tr>
      <w:tr w:rsidR="005D4CB6" w:rsidRPr="00E16284" w14:paraId="617803E2"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006272A2" w14:textId="77777777" w:rsidR="005D4CB6" w:rsidRPr="00E16284" w:rsidRDefault="005D4CB6" w:rsidP="00E16284">
            <w:pPr>
              <w:rPr>
                <w:rFonts w:ascii="Book Antiqua" w:hAnsi="Book Antiqua"/>
                <w:sz w:val="18"/>
              </w:rPr>
            </w:pPr>
            <w:r w:rsidRPr="00E16284">
              <w:rPr>
                <w:rFonts w:ascii="Book Antiqua" w:hAnsi="Book Antiqua"/>
                <w:sz w:val="18"/>
              </w:rPr>
              <w:t>Méritos</w:t>
            </w:r>
          </w:p>
        </w:tc>
        <w:tc>
          <w:tcPr>
            <w:tcW w:w="1927" w:type="dxa"/>
            <w:tcBorders>
              <w:top w:val="nil"/>
              <w:left w:val="nil"/>
              <w:bottom w:val="nil"/>
              <w:right w:val="nil"/>
            </w:tcBorders>
            <w:vAlign w:val="center"/>
          </w:tcPr>
          <w:p w14:paraId="5BD44EBF"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1.136.218.686</w:t>
            </w:r>
          </w:p>
        </w:tc>
        <w:tc>
          <w:tcPr>
            <w:tcW w:w="1862" w:type="dxa"/>
            <w:tcBorders>
              <w:top w:val="nil"/>
              <w:left w:val="nil"/>
              <w:bottom w:val="nil"/>
              <w:right w:val="nil"/>
            </w:tcBorders>
            <w:shd w:val="clear" w:color="auto" w:fill="auto"/>
            <w:noWrap/>
            <w:vAlign w:val="center"/>
          </w:tcPr>
          <w:p w14:paraId="7ADDE16E"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1.124.115.300</w:t>
            </w:r>
          </w:p>
        </w:tc>
        <w:tc>
          <w:tcPr>
            <w:tcW w:w="1615" w:type="dxa"/>
            <w:tcBorders>
              <w:top w:val="nil"/>
              <w:left w:val="nil"/>
              <w:bottom w:val="nil"/>
              <w:right w:val="nil"/>
            </w:tcBorders>
            <w:vAlign w:val="center"/>
          </w:tcPr>
          <w:p w14:paraId="2D1E44B4"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12.103.385</w:t>
            </w:r>
          </w:p>
        </w:tc>
        <w:tc>
          <w:tcPr>
            <w:tcW w:w="1855" w:type="dxa"/>
            <w:tcBorders>
              <w:top w:val="nil"/>
              <w:left w:val="nil"/>
              <w:bottom w:val="nil"/>
              <w:right w:val="nil"/>
            </w:tcBorders>
            <w:shd w:val="clear" w:color="auto" w:fill="auto"/>
            <w:noWrap/>
            <w:vAlign w:val="center"/>
          </w:tcPr>
          <w:p w14:paraId="7D3E7E16"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1,1%</w:t>
            </w:r>
          </w:p>
        </w:tc>
      </w:tr>
      <w:tr w:rsidR="005D4CB6" w:rsidRPr="00E16284" w14:paraId="36D411A1"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5439D289" w14:textId="77777777" w:rsidR="005D4CB6" w:rsidRPr="00E16284" w:rsidRDefault="005D4CB6" w:rsidP="00E16284">
            <w:pPr>
              <w:rPr>
                <w:rFonts w:ascii="Book Antiqua" w:hAnsi="Book Antiqua"/>
                <w:sz w:val="18"/>
              </w:rPr>
            </w:pPr>
            <w:r w:rsidRPr="00E16284">
              <w:rPr>
                <w:rFonts w:ascii="Book Antiqua" w:hAnsi="Book Antiqua"/>
                <w:sz w:val="18"/>
              </w:rPr>
              <w:t>Bonific. profesional</w:t>
            </w:r>
          </w:p>
        </w:tc>
        <w:tc>
          <w:tcPr>
            <w:tcW w:w="1927" w:type="dxa"/>
            <w:tcBorders>
              <w:top w:val="nil"/>
              <w:left w:val="nil"/>
              <w:bottom w:val="nil"/>
              <w:right w:val="nil"/>
            </w:tcBorders>
            <w:vAlign w:val="bottom"/>
          </w:tcPr>
          <w:p w14:paraId="494EBF04"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242.678.020</w:t>
            </w:r>
          </w:p>
        </w:tc>
        <w:tc>
          <w:tcPr>
            <w:tcW w:w="1862" w:type="dxa"/>
            <w:tcBorders>
              <w:top w:val="nil"/>
              <w:left w:val="nil"/>
              <w:bottom w:val="nil"/>
              <w:right w:val="nil"/>
            </w:tcBorders>
            <w:shd w:val="clear" w:color="auto" w:fill="auto"/>
            <w:noWrap/>
            <w:vAlign w:val="bottom"/>
          </w:tcPr>
          <w:p w14:paraId="6D02CFD9"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247.569.244</w:t>
            </w:r>
          </w:p>
        </w:tc>
        <w:tc>
          <w:tcPr>
            <w:tcW w:w="1615" w:type="dxa"/>
            <w:tcBorders>
              <w:top w:val="nil"/>
              <w:left w:val="nil"/>
              <w:bottom w:val="nil"/>
              <w:right w:val="nil"/>
            </w:tcBorders>
            <w:vAlign w:val="bottom"/>
          </w:tcPr>
          <w:p w14:paraId="1FEC980B"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-4.891.224</w:t>
            </w:r>
          </w:p>
        </w:tc>
        <w:tc>
          <w:tcPr>
            <w:tcW w:w="1855" w:type="dxa"/>
            <w:tcBorders>
              <w:top w:val="nil"/>
              <w:left w:val="nil"/>
              <w:bottom w:val="nil"/>
              <w:right w:val="nil"/>
            </w:tcBorders>
            <w:shd w:val="clear" w:color="auto" w:fill="auto"/>
            <w:noWrap/>
            <w:vAlign w:val="bottom"/>
          </w:tcPr>
          <w:p w14:paraId="52919A2A"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-2,0%</w:t>
            </w:r>
          </w:p>
        </w:tc>
      </w:tr>
      <w:tr w:rsidR="005D4CB6" w:rsidRPr="00E16284" w14:paraId="147517B0" w14:textId="77777777" w:rsidTr="005D4CB6">
        <w:trPr>
          <w:trHeight w:val="300"/>
          <w:jc w:val="center"/>
        </w:trPr>
        <w:tc>
          <w:tcPr>
            <w:tcW w:w="2518" w:type="dxa"/>
            <w:tcBorders>
              <w:top w:val="nil"/>
              <w:left w:val="nil"/>
              <w:bottom w:val="nil"/>
              <w:right w:val="single" w:sz="4" w:space="0" w:color="0000FF"/>
            </w:tcBorders>
            <w:shd w:val="clear" w:color="auto" w:fill="auto"/>
            <w:noWrap/>
            <w:vAlign w:val="bottom"/>
          </w:tcPr>
          <w:p w14:paraId="00B51533" w14:textId="77777777" w:rsidR="005D4CB6" w:rsidRPr="00E16284" w:rsidRDefault="005D4CB6" w:rsidP="00E16284">
            <w:pPr>
              <w:rPr>
                <w:rFonts w:ascii="Book Antiqua" w:hAnsi="Book Antiqua"/>
                <w:sz w:val="18"/>
              </w:rPr>
            </w:pPr>
            <w:r w:rsidRPr="00E16284">
              <w:rPr>
                <w:rFonts w:ascii="Book Antiqua" w:hAnsi="Book Antiqua"/>
                <w:sz w:val="18"/>
              </w:rPr>
              <w:t xml:space="preserve">Prohibición </w:t>
            </w:r>
          </w:p>
        </w:tc>
        <w:tc>
          <w:tcPr>
            <w:tcW w:w="1927" w:type="dxa"/>
            <w:tcBorders>
              <w:top w:val="nil"/>
              <w:left w:val="nil"/>
              <w:bottom w:val="nil"/>
              <w:right w:val="nil"/>
            </w:tcBorders>
            <w:vAlign w:val="bottom"/>
          </w:tcPr>
          <w:p w14:paraId="3DFAF27C"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474.707.613</w:t>
            </w:r>
          </w:p>
        </w:tc>
        <w:tc>
          <w:tcPr>
            <w:tcW w:w="1862" w:type="dxa"/>
            <w:tcBorders>
              <w:top w:val="nil"/>
              <w:left w:val="nil"/>
              <w:bottom w:val="nil"/>
              <w:right w:val="nil"/>
            </w:tcBorders>
            <w:shd w:val="clear" w:color="auto" w:fill="auto"/>
            <w:noWrap/>
            <w:vAlign w:val="bottom"/>
          </w:tcPr>
          <w:p w14:paraId="5F355849"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330.998.632</w:t>
            </w:r>
          </w:p>
        </w:tc>
        <w:tc>
          <w:tcPr>
            <w:tcW w:w="1615" w:type="dxa"/>
            <w:tcBorders>
              <w:top w:val="nil"/>
              <w:left w:val="nil"/>
              <w:bottom w:val="nil"/>
              <w:right w:val="nil"/>
            </w:tcBorders>
            <w:vAlign w:val="bottom"/>
          </w:tcPr>
          <w:p w14:paraId="1C88DAA3"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143.708.981</w:t>
            </w:r>
          </w:p>
        </w:tc>
        <w:tc>
          <w:tcPr>
            <w:tcW w:w="1855" w:type="dxa"/>
            <w:tcBorders>
              <w:top w:val="nil"/>
              <w:left w:val="nil"/>
              <w:bottom w:val="nil"/>
              <w:right w:val="nil"/>
            </w:tcBorders>
            <w:shd w:val="clear" w:color="auto" w:fill="auto"/>
            <w:noWrap/>
            <w:vAlign w:val="bottom"/>
          </w:tcPr>
          <w:p w14:paraId="49386B31"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43,4%</w:t>
            </w:r>
          </w:p>
        </w:tc>
      </w:tr>
      <w:tr w:rsidR="005D4CB6" w:rsidRPr="00E16284" w14:paraId="412C30E0" w14:textId="77777777" w:rsidTr="005D4CB6">
        <w:trPr>
          <w:trHeight w:val="300"/>
          <w:jc w:val="center"/>
        </w:trPr>
        <w:tc>
          <w:tcPr>
            <w:tcW w:w="2518" w:type="dxa"/>
            <w:tcBorders>
              <w:top w:val="nil"/>
              <w:left w:val="nil"/>
              <w:right w:val="single" w:sz="4" w:space="0" w:color="0000FF"/>
            </w:tcBorders>
            <w:shd w:val="clear" w:color="auto" w:fill="auto"/>
            <w:noWrap/>
            <w:vAlign w:val="bottom"/>
          </w:tcPr>
          <w:p w14:paraId="6B1A6917" w14:textId="77777777" w:rsidR="005D4CB6" w:rsidRPr="00E16284" w:rsidRDefault="005D4CB6" w:rsidP="00E16284">
            <w:pPr>
              <w:rPr>
                <w:rFonts w:ascii="Book Antiqua" w:hAnsi="Book Antiqua"/>
                <w:sz w:val="18"/>
              </w:rPr>
            </w:pPr>
            <w:r w:rsidRPr="00E16284">
              <w:rPr>
                <w:rFonts w:ascii="Book Antiqua" w:hAnsi="Book Antiqua"/>
                <w:sz w:val="18"/>
              </w:rPr>
              <w:t>Ajuste Personal</w:t>
            </w:r>
          </w:p>
        </w:tc>
        <w:tc>
          <w:tcPr>
            <w:tcW w:w="1927" w:type="dxa"/>
            <w:tcBorders>
              <w:top w:val="nil"/>
              <w:left w:val="nil"/>
              <w:right w:val="nil"/>
            </w:tcBorders>
            <w:vAlign w:val="bottom"/>
          </w:tcPr>
          <w:p w14:paraId="6F3E935C"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3.267.680</w:t>
            </w:r>
          </w:p>
        </w:tc>
        <w:tc>
          <w:tcPr>
            <w:tcW w:w="1862" w:type="dxa"/>
            <w:tcBorders>
              <w:top w:val="nil"/>
              <w:left w:val="nil"/>
              <w:right w:val="nil"/>
            </w:tcBorders>
            <w:shd w:val="clear" w:color="auto" w:fill="auto"/>
            <w:noWrap/>
            <w:vAlign w:val="bottom"/>
          </w:tcPr>
          <w:p w14:paraId="4EA821F0"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3.360.843</w:t>
            </w:r>
          </w:p>
        </w:tc>
        <w:tc>
          <w:tcPr>
            <w:tcW w:w="1615" w:type="dxa"/>
            <w:tcBorders>
              <w:top w:val="nil"/>
              <w:left w:val="nil"/>
              <w:right w:val="nil"/>
            </w:tcBorders>
            <w:vAlign w:val="bottom"/>
          </w:tcPr>
          <w:p w14:paraId="232AD539"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-93.163</w:t>
            </w:r>
          </w:p>
        </w:tc>
        <w:tc>
          <w:tcPr>
            <w:tcW w:w="1855" w:type="dxa"/>
            <w:tcBorders>
              <w:top w:val="nil"/>
              <w:left w:val="nil"/>
              <w:right w:val="nil"/>
            </w:tcBorders>
            <w:shd w:val="clear" w:color="auto" w:fill="auto"/>
            <w:noWrap/>
            <w:vAlign w:val="bottom"/>
          </w:tcPr>
          <w:p w14:paraId="3D42A7CD"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-2,8%</w:t>
            </w:r>
          </w:p>
        </w:tc>
      </w:tr>
      <w:tr w:rsidR="005D4CB6" w:rsidRPr="00E16284" w14:paraId="229E3F34" w14:textId="77777777" w:rsidTr="005D4CB6">
        <w:trPr>
          <w:trHeight w:val="315"/>
          <w:jc w:val="center"/>
        </w:trPr>
        <w:tc>
          <w:tcPr>
            <w:tcW w:w="2518" w:type="dxa"/>
            <w:tcBorders>
              <w:top w:val="nil"/>
              <w:left w:val="nil"/>
              <w:right w:val="single" w:sz="4" w:space="0" w:color="0000FF"/>
            </w:tcBorders>
            <w:shd w:val="clear" w:color="auto" w:fill="auto"/>
            <w:noWrap/>
            <w:vAlign w:val="bottom"/>
          </w:tcPr>
          <w:p w14:paraId="575BCD34" w14:textId="77777777" w:rsidR="005D4CB6" w:rsidRPr="00E16284" w:rsidRDefault="005D4CB6" w:rsidP="00E16284">
            <w:pPr>
              <w:rPr>
                <w:rFonts w:ascii="Book Antiqua" w:hAnsi="Book Antiqua"/>
                <w:bCs/>
                <w:sz w:val="18"/>
              </w:rPr>
            </w:pPr>
            <w:r w:rsidRPr="00E16284">
              <w:rPr>
                <w:rFonts w:ascii="Book Antiqua" w:hAnsi="Book Antiqua"/>
                <w:bCs/>
                <w:sz w:val="18"/>
              </w:rPr>
              <w:t>Ajuste de mercado</w:t>
            </w:r>
          </w:p>
        </w:tc>
        <w:tc>
          <w:tcPr>
            <w:tcW w:w="1927" w:type="dxa"/>
            <w:tcBorders>
              <w:top w:val="nil"/>
              <w:left w:val="nil"/>
              <w:right w:val="nil"/>
            </w:tcBorders>
            <w:vAlign w:val="bottom"/>
          </w:tcPr>
          <w:p w14:paraId="77DC16D5"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45.495.518</w:t>
            </w:r>
          </w:p>
        </w:tc>
        <w:tc>
          <w:tcPr>
            <w:tcW w:w="1862" w:type="dxa"/>
            <w:tcBorders>
              <w:top w:val="nil"/>
              <w:left w:val="nil"/>
              <w:right w:val="nil"/>
            </w:tcBorders>
            <w:shd w:val="clear" w:color="auto" w:fill="auto"/>
            <w:noWrap/>
            <w:vAlign w:val="bottom"/>
          </w:tcPr>
          <w:p w14:paraId="5164EC81"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26.118.679</w:t>
            </w:r>
          </w:p>
        </w:tc>
        <w:tc>
          <w:tcPr>
            <w:tcW w:w="1615" w:type="dxa"/>
            <w:tcBorders>
              <w:top w:val="nil"/>
              <w:left w:val="nil"/>
              <w:right w:val="nil"/>
            </w:tcBorders>
            <w:vAlign w:val="bottom"/>
          </w:tcPr>
          <w:p w14:paraId="27D1E5E9" w14:textId="77777777" w:rsidR="005D4CB6" w:rsidRPr="00E16284" w:rsidRDefault="005D4CB6" w:rsidP="00E16284">
            <w:pPr>
              <w:jc w:val="right"/>
              <w:rPr>
                <w:rFonts w:ascii="Book Antiqua" w:hAnsi="Book Antiqua"/>
                <w:sz w:val="16"/>
                <w:szCs w:val="22"/>
              </w:rPr>
            </w:pPr>
            <w:r w:rsidRPr="00E16284">
              <w:rPr>
                <w:rFonts w:ascii="Book Antiqua" w:hAnsi="Book Antiqua"/>
                <w:sz w:val="16"/>
                <w:szCs w:val="22"/>
              </w:rPr>
              <w:t>19.376.839</w:t>
            </w:r>
          </w:p>
        </w:tc>
        <w:tc>
          <w:tcPr>
            <w:tcW w:w="1855" w:type="dxa"/>
            <w:tcBorders>
              <w:top w:val="nil"/>
              <w:left w:val="nil"/>
              <w:right w:val="nil"/>
            </w:tcBorders>
            <w:shd w:val="clear" w:color="auto" w:fill="auto"/>
            <w:noWrap/>
            <w:vAlign w:val="bottom"/>
          </w:tcPr>
          <w:p w14:paraId="3A6DD557" w14:textId="77777777" w:rsidR="005D4CB6" w:rsidRPr="00E16284" w:rsidRDefault="005D4CB6" w:rsidP="00E16284">
            <w:pPr>
              <w:jc w:val="center"/>
              <w:rPr>
                <w:rFonts w:ascii="Book Antiqua" w:hAnsi="Book Antiqua"/>
                <w:sz w:val="16"/>
                <w:szCs w:val="22"/>
              </w:rPr>
            </w:pPr>
            <w:r w:rsidRPr="00E16284">
              <w:rPr>
                <w:rFonts w:ascii="Book Antiqua" w:hAnsi="Book Antiqua"/>
                <w:sz w:val="16"/>
                <w:szCs w:val="22"/>
              </w:rPr>
              <w:t>74,2%</w:t>
            </w:r>
          </w:p>
        </w:tc>
      </w:tr>
      <w:tr w:rsidR="005D4CB6" w:rsidRPr="00E16284" w14:paraId="662ADABF" w14:textId="77777777" w:rsidTr="005D4CB6">
        <w:trPr>
          <w:trHeight w:val="315"/>
          <w:jc w:val="center"/>
        </w:trPr>
        <w:tc>
          <w:tcPr>
            <w:tcW w:w="2518" w:type="dxa"/>
            <w:tcBorders>
              <w:left w:val="nil"/>
              <w:bottom w:val="double" w:sz="6" w:space="0" w:color="0000FF"/>
              <w:right w:val="single" w:sz="4" w:space="0" w:color="0000FF"/>
            </w:tcBorders>
            <w:shd w:val="clear" w:color="auto" w:fill="auto"/>
            <w:noWrap/>
            <w:vAlign w:val="bottom"/>
          </w:tcPr>
          <w:p w14:paraId="2BEB6424" w14:textId="77777777" w:rsidR="005D4CB6" w:rsidRPr="00E16284" w:rsidRDefault="005D4CB6" w:rsidP="00E16284">
            <w:pPr>
              <w:rPr>
                <w:rFonts w:ascii="Book Antiqua" w:hAnsi="Book Antiqua"/>
                <w:b/>
                <w:bCs/>
                <w:sz w:val="18"/>
              </w:rPr>
            </w:pPr>
            <w:r w:rsidRPr="00E16284">
              <w:rPr>
                <w:rFonts w:ascii="Book Antiqua" w:hAnsi="Book Antiqua"/>
                <w:b/>
                <w:bCs/>
                <w:sz w:val="18"/>
              </w:rPr>
              <w:t>Total</w:t>
            </w:r>
          </w:p>
        </w:tc>
        <w:tc>
          <w:tcPr>
            <w:tcW w:w="1927" w:type="dxa"/>
            <w:tcBorders>
              <w:left w:val="nil"/>
              <w:bottom w:val="double" w:sz="6" w:space="0" w:color="0000FF"/>
              <w:right w:val="nil"/>
            </w:tcBorders>
            <w:vAlign w:val="bottom"/>
          </w:tcPr>
          <w:p w14:paraId="006D800A" w14:textId="77777777" w:rsidR="005D4CB6" w:rsidRPr="00E16284" w:rsidRDefault="005D4CB6" w:rsidP="00E16284">
            <w:pPr>
              <w:jc w:val="right"/>
              <w:rPr>
                <w:rFonts w:ascii="Book Antiqua" w:hAnsi="Book Antiqua"/>
                <w:b/>
                <w:bCs/>
                <w:sz w:val="16"/>
                <w:szCs w:val="22"/>
              </w:rPr>
            </w:pPr>
            <w:r w:rsidRPr="00E16284">
              <w:rPr>
                <w:rFonts w:ascii="Book Antiqua" w:hAnsi="Book Antiqua"/>
                <w:b/>
                <w:bCs/>
                <w:sz w:val="16"/>
                <w:szCs w:val="22"/>
              </w:rPr>
              <w:t>11.792.380.682</w:t>
            </w:r>
          </w:p>
        </w:tc>
        <w:tc>
          <w:tcPr>
            <w:tcW w:w="1862" w:type="dxa"/>
            <w:tcBorders>
              <w:left w:val="nil"/>
              <w:bottom w:val="double" w:sz="6" w:space="0" w:color="0000FF"/>
              <w:right w:val="nil"/>
            </w:tcBorders>
            <w:shd w:val="clear" w:color="auto" w:fill="auto"/>
            <w:noWrap/>
            <w:vAlign w:val="bottom"/>
          </w:tcPr>
          <w:p w14:paraId="03D5B3A3" w14:textId="77777777" w:rsidR="005D4CB6" w:rsidRPr="00E16284" w:rsidRDefault="005D4CB6" w:rsidP="00E16284">
            <w:pPr>
              <w:jc w:val="right"/>
              <w:rPr>
                <w:rFonts w:ascii="Book Antiqua" w:hAnsi="Book Antiqua"/>
                <w:b/>
                <w:bCs/>
                <w:sz w:val="16"/>
                <w:szCs w:val="22"/>
              </w:rPr>
            </w:pPr>
            <w:r w:rsidRPr="00E16284">
              <w:rPr>
                <w:rFonts w:ascii="Book Antiqua" w:hAnsi="Book Antiqua"/>
                <w:b/>
                <w:bCs/>
                <w:sz w:val="16"/>
                <w:szCs w:val="22"/>
              </w:rPr>
              <w:t>11.407.496.009</w:t>
            </w:r>
          </w:p>
        </w:tc>
        <w:tc>
          <w:tcPr>
            <w:tcW w:w="1615" w:type="dxa"/>
            <w:tcBorders>
              <w:left w:val="nil"/>
              <w:bottom w:val="double" w:sz="6" w:space="0" w:color="0000FF"/>
              <w:right w:val="nil"/>
            </w:tcBorders>
            <w:vAlign w:val="bottom"/>
          </w:tcPr>
          <w:p w14:paraId="385929F1" w14:textId="77777777" w:rsidR="005D4CB6" w:rsidRPr="00E16284" w:rsidRDefault="005D4CB6" w:rsidP="00E16284">
            <w:pPr>
              <w:jc w:val="right"/>
              <w:rPr>
                <w:rFonts w:ascii="Book Antiqua" w:hAnsi="Book Antiqua"/>
                <w:b/>
                <w:bCs/>
                <w:sz w:val="16"/>
                <w:szCs w:val="22"/>
              </w:rPr>
            </w:pPr>
            <w:r w:rsidRPr="00E16284">
              <w:rPr>
                <w:rFonts w:ascii="Book Antiqua" w:hAnsi="Book Antiqua"/>
                <w:b/>
                <w:bCs/>
                <w:sz w:val="16"/>
                <w:szCs w:val="22"/>
              </w:rPr>
              <w:t>384.884.673</w:t>
            </w:r>
          </w:p>
        </w:tc>
        <w:tc>
          <w:tcPr>
            <w:tcW w:w="1855" w:type="dxa"/>
            <w:tcBorders>
              <w:left w:val="nil"/>
              <w:bottom w:val="double" w:sz="6" w:space="0" w:color="0000FF"/>
              <w:right w:val="nil"/>
            </w:tcBorders>
            <w:shd w:val="clear" w:color="auto" w:fill="auto"/>
            <w:noWrap/>
            <w:vAlign w:val="bottom"/>
          </w:tcPr>
          <w:p w14:paraId="4FAACA97" w14:textId="77777777" w:rsidR="005D4CB6" w:rsidRPr="00E16284" w:rsidRDefault="005D4CB6" w:rsidP="00E16284">
            <w:pPr>
              <w:jc w:val="center"/>
              <w:rPr>
                <w:rFonts w:ascii="Book Antiqua" w:hAnsi="Book Antiqua"/>
                <w:b/>
                <w:bCs/>
                <w:sz w:val="16"/>
                <w:szCs w:val="22"/>
              </w:rPr>
            </w:pPr>
            <w:r w:rsidRPr="00E16284">
              <w:rPr>
                <w:rFonts w:ascii="Book Antiqua" w:hAnsi="Book Antiqua"/>
                <w:b/>
                <w:bCs/>
                <w:sz w:val="16"/>
                <w:szCs w:val="22"/>
              </w:rPr>
              <w:t>3,4%</w:t>
            </w:r>
          </w:p>
        </w:tc>
      </w:tr>
    </w:tbl>
    <w:p w14:paraId="22127D7A" w14:textId="77777777" w:rsidR="005D4CB6" w:rsidRPr="005D4CB6" w:rsidRDefault="005D4CB6" w:rsidP="005D4CB6">
      <w:pPr>
        <w:spacing w:line="276" w:lineRule="auto"/>
        <w:rPr>
          <w:rFonts w:ascii="Book Antiqua" w:hAnsi="Book Antiqua"/>
          <w:sz w:val="22"/>
        </w:rPr>
      </w:pPr>
    </w:p>
    <w:p w14:paraId="6397D82E" w14:textId="77777777" w:rsidR="005D4CB6" w:rsidRPr="005D4CB6" w:rsidRDefault="005D4CB6" w:rsidP="005D4CB6">
      <w:pPr>
        <w:tabs>
          <w:tab w:val="left" w:pos="3765"/>
        </w:tabs>
        <w:spacing w:line="276" w:lineRule="auto"/>
        <w:jc w:val="both"/>
        <w:rPr>
          <w:rFonts w:ascii="Book Antiqua" w:hAnsi="Book Antiqua"/>
          <w:sz w:val="22"/>
        </w:rPr>
      </w:pPr>
      <w:r w:rsidRPr="005D4CB6">
        <w:rPr>
          <w:rFonts w:ascii="Book Antiqua" w:hAnsi="Book Antiqua"/>
          <w:sz w:val="22"/>
        </w:rPr>
        <w:t xml:space="preserve">En resumen, con las cifras propuestas en el siguiente cuadro, correspondientes a las subpartidas ordinarias de salarios, para la formulación del presupuesto de Remuneraciones del 2017, se cumple con el lineamiento presupuestario de crecimiento máximo del </w:t>
      </w:r>
      <w:r w:rsidRPr="005D4CB6">
        <w:rPr>
          <w:rFonts w:ascii="Book Antiqua" w:hAnsi="Book Antiqua"/>
          <w:b/>
          <w:sz w:val="22"/>
        </w:rPr>
        <w:t xml:space="preserve">3% </w:t>
      </w:r>
      <w:r w:rsidRPr="005D4CB6">
        <w:rPr>
          <w:rFonts w:ascii="Book Antiqua" w:hAnsi="Book Antiqua"/>
          <w:sz w:val="22"/>
        </w:rPr>
        <w:t>en dicha partida.</w:t>
      </w:r>
    </w:p>
    <w:p w14:paraId="3A6475CE" w14:textId="534D3C8B" w:rsidR="005D4CB6" w:rsidRPr="005D4CB6" w:rsidRDefault="005D4CB6" w:rsidP="005D4CB6">
      <w:pPr>
        <w:tabs>
          <w:tab w:val="left" w:pos="3765"/>
        </w:tabs>
        <w:spacing w:line="360" w:lineRule="auto"/>
        <w:jc w:val="both"/>
        <w:rPr>
          <w:rFonts w:ascii="Book Antiqua" w:hAnsi="Book Antiqua"/>
          <w:sz w:val="22"/>
        </w:rPr>
      </w:pPr>
      <w:r w:rsidRPr="005D4CB6">
        <w:rPr>
          <w:rFonts w:ascii="Book Antiqua" w:hAnsi="Book Antiqua"/>
          <w:sz w:val="22"/>
        </w:rPr>
        <w:t xml:space="preserve"> </w:t>
      </w:r>
    </w:p>
    <w:p w14:paraId="3B083A6D" w14:textId="77777777" w:rsidR="005D4CB6" w:rsidRPr="005D4CB6" w:rsidRDefault="005D4CB6" w:rsidP="005D4CB6">
      <w:pPr>
        <w:tabs>
          <w:tab w:val="left" w:pos="3765"/>
        </w:tabs>
        <w:spacing w:line="360" w:lineRule="auto"/>
        <w:jc w:val="both"/>
        <w:rPr>
          <w:rFonts w:ascii="Book Antiqua" w:hAnsi="Book Antiqua"/>
          <w:sz w:val="22"/>
        </w:rPr>
        <w:sectPr w:rsidR="005D4CB6" w:rsidRPr="005D4CB6" w:rsidSect="005D4CB6">
          <w:headerReference w:type="default" r:id="rId118"/>
          <w:footerReference w:type="even" r:id="rId119"/>
          <w:footerReference w:type="default" r:id="rId120"/>
          <w:headerReference w:type="first" r:id="rId121"/>
          <w:pgSz w:w="12240" w:h="15840" w:code="1"/>
          <w:pgMar w:top="1440" w:right="1440" w:bottom="1440" w:left="1440" w:header="720" w:footer="720" w:gutter="0"/>
          <w:cols w:space="708"/>
          <w:titlePg/>
          <w:docGrid w:linePitch="360"/>
        </w:sectPr>
      </w:pPr>
    </w:p>
    <w:p w14:paraId="45B6323A" w14:textId="77777777" w:rsidR="005D4CB6" w:rsidRPr="005D4CB6" w:rsidRDefault="005D4CB6" w:rsidP="005D4CB6">
      <w:pPr>
        <w:spacing w:after="240"/>
        <w:jc w:val="center"/>
        <w:rPr>
          <w:noProof/>
          <w:sz w:val="22"/>
          <w:lang w:eastAsia="es-CR"/>
        </w:rPr>
      </w:pPr>
      <w:r w:rsidRPr="005D4CB6">
        <w:rPr>
          <w:b/>
          <w:sz w:val="22"/>
        </w:rPr>
        <w:lastRenderedPageBreak/>
        <w:t>FORMULACIÓN PRESUPUESTO PARTIDAS SALARIO ORDINARIO 2017</w:t>
      </w:r>
    </w:p>
    <w:p w14:paraId="193A68FA" w14:textId="251F1F88" w:rsidR="00813AC2" w:rsidRPr="009F0301" w:rsidRDefault="005D4CB6" w:rsidP="00813AC2">
      <w:pPr>
        <w:spacing w:after="240" w:line="276" w:lineRule="auto"/>
        <w:jc w:val="center"/>
        <w:rPr>
          <w:rFonts w:ascii="Book Antiqua" w:hAnsi="Book Antiqua"/>
        </w:rPr>
      </w:pPr>
      <w:r w:rsidRPr="00B10730">
        <w:rPr>
          <w:noProof/>
        </w:rPr>
        <w:drawing>
          <wp:inline distT="0" distB="0" distL="0" distR="0" wp14:anchorId="36095B68" wp14:editId="200464B3">
            <wp:extent cx="8257540" cy="4471841"/>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257540" cy="4471841"/>
                    </a:xfrm>
                    <a:prstGeom prst="rect">
                      <a:avLst/>
                    </a:prstGeom>
                    <a:noFill/>
                    <a:ln>
                      <a:noFill/>
                    </a:ln>
                  </pic:spPr>
                </pic:pic>
              </a:graphicData>
            </a:graphic>
          </wp:inline>
        </w:drawing>
      </w:r>
    </w:p>
    <w:p w14:paraId="317A3A17" w14:textId="77777777" w:rsidR="00A964FD" w:rsidRDefault="00A964FD" w:rsidP="004A2776">
      <w:pPr>
        <w:rPr>
          <w:lang w:val="es-ES_tradnl" w:eastAsia="es-ES_tradnl"/>
        </w:rPr>
      </w:pPr>
    </w:p>
    <w:p w14:paraId="2F5E3F8E" w14:textId="77777777" w:rsidR="00BD3052" w:rsidRDefault="00BD3052" w:rsidP="004A2776">
      <w:pPr>
        <w:rPr>
          <w:lang w:val="es-ES_tradnl" w:eastAsia="es-ES_tradnl"/>
        </w:rPr>
        <w:sectPr w:rsidR="00BD3052" w:rsidSect="005D4CB6">
          <w:headerReference w:type="default" r:id="rId123"/>
          <w:footerReference w:type="even" r:id="rId124"/>
          <w:footerReference w:type="default" r:id="rId125"/>
          <w:headerReference w:type="first" r:id="rId126"/>
          <w:pgSz w:w="15842" w:h="12242" w:orient="landscape" w:code="1"/>
          <w:pgMar w:top="1701" w:right="1418" w:bottom="1701" w:left="1418" w:header="709" w:footer="709" w:gutter="0"/>
          <w:cols w:space="708"/>
          <w:docGrid w:linePitch="360"/>
        </w:sectPr>
      </w:pPr>
    </w:p>
    <w:p w14:paraId="73966F22" w14:textId="3C778E57" w:rsidR="00BD3052" w:rsidRPr="004A2776" w:rsidRDefault="00BD3052" w:rsidP="00BD3052">
      <w:pPr>
        <w:pStyle w:val="NormalWeb"/>
        <w:tabs>
          <w:tab w:val="left" w:pos="567"/>
        </w:tabs>
        <w:outlineLvl w:val="0"/>
        <w:rPr>
          <w:rFonts w:asciiTheme="majorHAnsi" w:hAnsiTheme="majorHAnsi" w:cs="Tahoma"/>
          <w:b/>
          <w:bCs/>
          <w:smallCaps/>
          <w:sz w:val="28"/>
          <w:u w:val="single"/>
        </w:rPr>
      </w:pPr>
      <w:bookmarkStart w:id="412" w:name="_Toc429563294"/>
      <w:r>
        <w:rPr>
          <w:rFonts w:asciiTheme="majorHAnsi" w:hAnsiTheme="majorHAnsi" w:cs="Tahoma"/>
          <w:b/>
          <w:bCs/>
          <w:smallCaps/>
          <w:sz w:val="28"/>
          <w:u w:val="single"/>
        </w:rPr>
        <w:lastRenderedPageBreak/>
        <w:t xml:space="preserve">15. </w:t>
      </w:r>
      <w:r>
        <w:rPr>
          <w:rFonts w:asciiTheme="majorHAnsi" w:hAnsiTheme="majorHAnsi" w:cs="Tahoma"/>
          <w:b/>
          <w:bCs/>
          <w:smallCaps/>
          <w:sz w:val="28"/>
          <w:u w:val="single"/>
        </w:rPr>
        <w:tab/>
      </w:r>
      <w:r w:rsidR="00C2480F">
        <w:rPr>
          <w:rFonts w:asciiTheme="majorHAnsi" w:hAnsiTheme="majorHAnsi" w:cs="Tahoma"/>
          <w:b/>
          <w:bCs/>
          <w:smallCaps/>
          <w:sz w:val="28"/>
          <w:u w:val="single"/>
        </w:rPr>
        <w:t>Notas de Aprobación</w:t>
      </w:r>
      <w:bookmarkEnd w:id="412"/>
    </w:p>
    <w:p w14:paraId="7271CD13" w14:textId="0187122F" w:rsidR="007B3358" w:rsidRPr="007B3358" w:rsidRDefault="007B3358">
      <w:pPr>
        <w:rPr>
          <w:sz w:val="22"/>
          <w:szCs w:val="22"/>
        </w:rPr>
      </w:pPr>
    </w:p>
    <w:p w14:paraId="12D553AE" w14:textId="64569414" w:rsidR="007B3358" w:rsidRPr="007B3358" w:rsidRDefault="00306EB3">
      <w:pPr>
        <w:rPr>
          <w:sz w:val="22"/>
          <w:szCs w:val="22"/>
        </w:rPr>
      </w:pPr>
      <w:r>
        <w:rPr>
          <w:noProof/>
        </w:rPr>
        <w:drawing>
          <wp:inline distT="0" distB="0" distL="0" distR="0" wp14:anchorId="687BA246" wp14:editId="12AE0426">
            <wp:extent cx="5463961" cy="6670133"/>
            <wp:effectExtent l="0" t="0" r="3810" b="0"/>
            <wp:docPr id="80462" name="Imagen 8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28A0092B-C50C-407E-A947-70E740481C1C}">
                          <a14:useLocalDpi xmlns:a14="http://schemas.microsoft.com/office/drawing/2010/main" val="0"/>
                        </a:ext>
                      </a:extLst>
                    </a:blip>
                    <a:stretch>
                      <a:fillRect/>
                    </a:stretch>
                  </pic:blipFill>
                  <pic:spPr>
                    <a:xfrm>
                      <a:off x="0" y="0"/>
                      <a:ext cx="5478331" cy="6687675"/>
                    </a:xfrm>
                    <a:prstGeom prst="rect">
                      <a:avLst/>
                    </a:prstGeom>
                  </pic:spPr>
                </pic:pic>
              </a:graphicData>
            </a:graphic>
          </wp:inline>
        </w:drawing>
      </w:r>
    </w:p>
    <w:p w14:paraId="2BAA3EB8" w14:textId="333C89DE" w:rsidR="007B3358" w:rsidRDefault="007B3358">
      <w:pPr>
        <w:rPr>
          <w:b/>
          <w:i/>
          <w:sz w:val="22"/>
          <w:szCs w:val="22"/>
        </w:rPr>
      </w:pPr>
      <w:r>
        <w:rPr>
          <w:b/>
          <w:i/>
          <w:sz w:val="22"/>
          <w:szCs w:val="22"/>
        </w:rPr>
        <w:br w:type="page"/>
      </w:r>
    </w:p>
    <w:p w14:paraId="56794DBE" w14:textId="77777777" w:rsidR="00EA2524" w:rsidRDefault="00EA2524" w:rsidP="00EA2524">
      <w:pPr>
        <w:pStyle w:val="Encabezado"/>
      </w:pPr>
      <w:r>
        <w:rPr>
          <w:noProof/>
          <w:lang w:val="es-ES" w:eastAsia="es-ES"/>
        </w:rPr>
        <w:lastRenderedPageBreak/>
        <w:drawing>
          <wp:anchor distT="0" distB="0" distL="114300" distR="114300" simplePos="0" relativeHeight="251729920" behindDoc="0" locked="0" layoutInCell="1" allowOverlap="1" wp14:anchorId="06A85229" wp14:editId="0264A419">
            <wp:simplePos x="0" y="0"/>
            <wp:positionH relativeFrom="column">
              <wp:posOffset>-120015</wp:posOffset>
            </wp:positionH>
            <wp:positionV relativeFrom="paragraph">
              <wp:posOffset>135890</wp:posOffset>
            </wp:positionV>
            <wp:extent cx="4697730" cy="398780"/>
            <wp:effectExtent l="0" t="0" r="0" b="1270"/>
            <wp:wrapTight wrapText="bothSides">
              <wp:wrapPolygon edited="0">
                <wp:start x="438" y="0"/>
                <wp:lineTo x="0" y="9287"/>
                <wp:lineTo x="0" y="14446"/>
                <wp:lineTo x="876" y="20637"/>
                <wp:lineTo x="964" y="20637"/>
                <wp:lineTo x="1401" y="20637"/>
                <wp:lineTo x="15854" y="17541"/>
                <wp:lineTo x="15854" y="5159"/>
                <wp:lineTo x="1314" y="0"/>
                <wp:lineTo x="438"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9">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4EA5E" w14:textId="77777777" w:rsidR="00EA2524" w:rsidRDefault="00EA2524" w:rsidP="00EA2524">
      <w:pPr>
        <w:widowControl w:val="0"/>
        <w:jc w:val="both"/>
        <w:rPr>
          <w:sz w:val="22"/>
          <w:szCs w:val="22"/>
          <w:lang w:val="es-CR"/>
        </w:rPr>
      </w:pPr>
    </w:p>
    <w:p w14:paraId="1CF08A44" w14:textId="77777777" w:rsidR="00EA2524" w:rsidRPr="00721FC9" w:rsidRDefault="00EA2524" w:rsidP="00EA2524">
      <w:pPr>
        <w:widowControl w:val="0"/>
        <w:jc w:val="both"/>
        <w:rPr>
          <w:sz w:val="22"/>
          <w:szCs w:val="22"/>
          <w:lang w:val="es-CR"/>
        </w:rPr>
      </w:pPr>
    </w:p>
    <w:p w14:paraId="320FE39A" w14:textId="77777777" w:rsidR="00EA2524" w:rsidRDefault="00EA2524" w:rsidP="00EA2524">
      <w:pPr>
        <w:jc w:val="both"/>
        <w:rPr>
          <w:b/>
          <w:i/>
          <w:sz w:val="22"/>
          <w:szCs w:val="22"/>
        </w:rPr>
      </w:pPr>
    </w:p>
    <w:p w14:paraId="69F80535" w14:textId="77777777" w:rsidR="00EA2524" w:rsidRPr="007B3358" w:rsidRDefault="00EA2524" w:rsidP="00EA2524">
      <w:pPr>
        <w:jc w:val="both"/>
        <w:rPr>
          <w:sz w:val="22"/>
          <w:szCs w:val="22"/>
        </w:rPr>
      </w:pPr>
    </w:p>
    <w:p w14:paraId="7995992E" w14:textId="77777777" w:rsidR="00F36B91" w:rsidRPr="007B3358" w:rsidRDefault="00F36B91" w:rsidP="00EA2524">
      <w:pPr>
        <w:jc w:val="both"/>
        <w:rPr>
          <w:sz w:val="22"/>
          <w:szCs w:val="22"/>
        </w:rPr>
      </w:pPr>
    </w:p>
    <w:p w14:paraId="2AA105D6" w14:textId="77777777" w:rsidR="005339B5" w:rsidRPr="0061600F" w:rsidRDefault="005339B5" w:rsidP="005339B5">
      <w:pPr>
        <w:ind w:left="567" w:hanging="567"/>
        <w:jc w:val="both"/>
        <w:rPr>
          <w:sz w:val="22"/>
          <w:szCs w:val="22"/>
        </w:rPr>
      </w:pPr>
      <w:r w:rsidRPr="0061600F">
        <w:rPr>
          <w:sz w:val="22"/>
          <w:szCs w:val="22"/>
        </w:rPr>
        <w:t>6 de setiembre del 2016</w:t>
      </w:r>
    </w:p>
    <w:p w14:paraId="7E69B8D5" w14:textId="77777777" w:rsidR="005339B5" w:rsidRPr="0061600F" w:rsidRDefault="005339B5" w:rsidP="005339B5">
      <w:pPr>
        <w:ind w:left="567" w:hanging="567"/>
        <w:jc w:val="both"/>
        <w:rPr>
          <w:sz w:val="22"/>
          <w:szCs w:val="22"/>
        </w:rPr>
      </w:pPr>
      <w:r w:rsidRPr="0061600F">
        <w:rPr>
          <w:sz w:val="22"/>
          <w:szCs w:val="22"/>
        </w:rPr>
        <w:t>CNS-1277/05</w:t>
      </w:r>
    </w:p>
    <w:p w14:paraId="38E4B845" w14:textId="77777777" w:rsidR="005339B5" w:rsidRPr="0061600F" w:rsidRDefault="005339B5" w:rsidP="005339B5">
      <w:pPr>
        <w:ind w:left="567" w:hanging="567"/>
        <w:jc w:val="both"/>
        <w:rPr>
          <w:sz w:val="22"/>
          <w:szCs w:val="22"/>
        </w:rPr>
      </w:pPr>
      <w:r w:rsidRPr="0061600F">
        <w:rPr>
          <w:sz w:val="22"/>
          <w:szCs w:val="22"/>
        </w:rPr>
        <w:t>CNS-1278/06</w:t>
      </w:r>
    </w:p>
    <w:p w14:paraId="397DF054" w14:textId="77777777" w:rsidR="005339B5" w:rsidRPr="0061600F" w:rsidRDefault="005339B5" w:rsidP="005339B5">
      <w:pPr>
        <w:jc w:val="both"/>
        <w:rPr>
          <w:b/>
          <w:i/>
          <w:sz w:val="22"/>
          <w:szCs w:val="22"/>
        </w:rPr>
      </w:pPr>
    </w:p>
    <w:p w14:paraId="2F79A860" w14:textId="77777777" w:rsidR="005339B5" w:rsidRDefault="005339B5" w:rsidP="005339B5">
      <w:pPr>
        <w:widowControl w:val="0"/>
        <w:jc w:val="both"/>
        <w:rPr>
          <w:sz w:val="22"/>
          <w:szCs w:val="22"/>
        </w:rPr>
      </w:pPr>
    </w:p>
    <w:p w14:paraId="693D26E4" w14:textId="77777777" w:rsidR="005339B5" w:rsidRPr="0061600F" w:rsidRDefault="005339B5" w:rsidP="005339B5">
      <w:pPr>
        <w:widowControl w:val="0"/>
        <w:jc w:val="both"/>
        <w:rPr>
          <w:sz w:val="22"/>
          <w:szCs w:val="22"/>
        </w:rPr>
      </w:pPr>
    </w:p>
    <w:p w14:paraId="6A09E59F" w14:textId="77777777" w:rsidR="005339B5" w:rsidRPr="0061600F" w:rsidRDefault="005339B5" w:rsidP="005339B5">
      <w:pPr>
        <w:widowControl w:val="0"/>
        <w:jc w:val="both"/>
        <w:rPr>
          <w:sz w:val="22"/>
          <w:szCs w:val="22"/>
        </w:rPr>
      </w:pPr>
    </w:p>
    <w:p w14:paraId="18BAFB14" w14:textId="77777777" w:rsidR="005339B5" w:rsidRPr="0061600F" w:rsidRDefault="005339B5" w:rsidP="005339B5">
      <w:pPr>
        <w:widowControl w:val="0"/>
        <w:jc w:val="both"/>
        <w:rPr>
          <w:sz w:val="22"/>
          <w:szCs w:val="22"/>
        </w:rPr>
      </w:pPr>
      <w:r w:rsidRPr="0061600F">
        <w:rPr>
          <w:sz w:val="22"/>
          <w:szCs w:val="22"/>
        </w:rPr>
        <w:t>Señor</w:t>
      </w:r>
    </w:p>
    <w:p w14:paraId="583EDA79" w14:textId="77777777" w:rsidR="005339B5" w:rsidRPr="0061600F" w:rsidRDefault="005339B5" w:rsidP="005339B5">
      <w:pPr>
        <w:widowControl w:val="0"/>
        <w:jc w:val="both"/>
        <w:rPr>
          <w:b/>
          <w:i/>
          <w:sz w:val="22"/>
          <w:szCs w:val="22"/>
        </w:rPr>
      </w:pPr>
      <w:r w:rsidRPr="0061600F">
        <w:rPr>
          <w:sz w:val="22"/>
          <w:szCs w:val="22"/>
        </w:rPr>
        <w:t xml:space="preserve">Luis Carlos Delgado Murillo, </w:t>
      </w:r>
      <w:r w:rsidRPr="0061600F">
        <w:rPr>
          <w:b/>
          <w:i/>
          <w:sz w:val="22"/>
          <w:szCs w:val="22"/>
        </w:rPr>
        <w:t>Presidente</w:t>
      </w:r>
    </w:p>
    <w:p w14:paraId="7E50343D" w14:textId="77777777" w:rsidR="005339B5" w:rsidRPr="0061600F" w:rsidRDefault="005339B5" w:rsidP="005339B5">
      <w:pPr>
        <w:widowControl w:val="0"/>
        <w:jc w:val="both"/>
        <w:rPr>
          <w:b/>
          <w:i/>
          <w:sz w:val="22"/>
          <w:szCs w:val="22"/>
        </w:rPr>
      </w:pPr>
      <w:r w:rsidRPr="0061600F">
        <w:rPr>
          <w:b/>
          <w:i/>
          <w:sz w:val="22"/>
          <w:szCs w:val="22"/>
        </w:rPr>
        <w:t xml:space="preserve">CONSEJO NACIONAL DE SUPERVISIÓN </w:t>
      </w:r>
    </w:p>
    <w:p w14:paraId="65F0F1A8" w14:textId="77777777" w:rsidR="005339B5" w:rsidRPr="0061600F" w:rsidRDefault="005339B5" w:rsidP="005339B5">
      <w:pPr>
        <w:widowControl w:val="0"/>
        <w:jc w:val="both"/>
        <w:rPr>
          <w:b/>
          <w:i/>
          <w:sz w:val="22"/>
          <w:szCs w:val="22"/>
        </w:rPr>
      </w:pPr>
      <w:r w:rsidRPr="0061600F">
        <w:rPr>
          <w:b/>
          <w:i/>
          <w:sz w:val="22"/>
          <w:szCs w:val="22"/>
        </w:rPr>
        <w:t>DEL SISTEMA FINANCIERO</w:t>
      </w:r>
    </w:p>
    <w:p w14:paraId="6773B0A4" w14:textId="77777777" w:rsidR="005339B5" w:rsidRDefault="005339B5" w:rsidP="005339B5">
      <w:pPr>
        <w:jc w:val="both"/>
        <w:rPr>
          <w:b/>
          <w:i/>
          <w:sz w:val="22"/>
          <w:szCs w:val="22"/>
        </w:rPr>
      </w:pPr>
    </w:p>
    <w:p w14:paraId="5C4C7205" w14:textId="77777777" w:rsidR="005339B5" w:rsidRPr="0061600F" w:rsidRDefault="005339B5" w:rsidP="005339B5">
      <w:pPr>
        <w:jc w:val="both"/>
        <w:rPr>
          <w:b/>
          <w:i/>
          <w:sz w:val="22"/>
          <w:szCs w:val="22"/>
        </w:rPr>
      </w:pPr>
    </w:p>
    <w:p w14:paraId="7BBF1FFA" w14:textId="77777777" w:rsidR="005339B5" w:rsidRPr="0061600F" w:rsidRDefault="005339B5" w:rsidP="005339B5">
      <w:pPr>
        <w:widowControl w:val="0"/>
        <w:jc w:val="both"/>
        <w:rPr>
          <w:sz w:val="22"/>
          <w:szCs w:val="22"/>
        </w:rPr>
      </w:pPr>
      <w:r w:rsidRPr="0061600F">
        <w:rPr>
          <w:sz w:val="22"/>
          <w:szCs w:val="22"/>
        </w:rPr>
        <w:t>Estimado señor:</w:t>
      </w:r>
    </w:p>
    <w:p w14:paraId="6E3AA4D1" w14:textId="77777777" w:rsidR="005339B5" w:rsidRPr="0061600F" w:rsidRDefault="005339B5" w:rsidP="005339B5">
      <w:pPr>
        <w:jc w:val="both"/>
        <w:rPr>
          <w:b/>
          <w:i/>
          <w:sz w:val="22"/>
          <w:szCs w:val="22"/>
        </w:rPr>
      </w:pPr>
    </w:p>
    <w:p w14:paraId="5AD1CE73" w14:textId="77777777" w:rsidR="005339B5" w:rsidRPr="0061600F" w:rsidRDefault="005339B5" w:rsidP="005339B5">
      <w:pPr>
        <w:widowControl w:val="0"/>
        <w:jc w:val="both"/>
        <w:rPr>
          <w:sz w:val="22"/>
          <w:szCs w:val="22"/>
        </w:rPr>
      </w:pPr>
      <w:r w:rsidRPr="0061600F">
        <w:rPr>
          <w:sz w:val="22"/>
          <w:szCs w:val="22"/>
        </w:rPr>
        <w:t xml:space="preserve">El Consejo Nacional de Supervisión del Sistema Financiero en los artículos 5 y 6 de las actas de las sesiones 1277-2016 y 1278-2016, celebradas el 6 de setiembre del 2016, </w:t>
      </w:r>
    </w:p>
    <w:p w14:paraId="3DE9FA9A" w14:textId="77777777" w:rsidR="005339B5" w:rsidRPr="0061600F" w:rsidRDefault="005339B5" w:rsidP="005339B5">
      <w:pPr>
        <w:widowControl w:val="0"/>
        <w:jc w:val="both"/>
        <w:rPr>
          <w:sz w:val="22"/>
          <w:szCs w:val="22"/>
        </w:rPr>
      </w:pPr>
    </w:p>
    <w:p w14:paraId="543FC434" w14:textId="77777777" w:rsidR="005339B5" w:rsidRPr="0061600F" w:rsidRDefault="005339B5" w:rsidP="005339B5">
      <w:pPr>
        <w:widowControl w:val="0"/>
        <w:jc w:val="both"/>
        <w:rPr>
          <w:b/>
          <w:bCs/>
          <w:sz w:val="22"/>
          <w:szCs w:val="22"/>
          <w:lang w:eastAsia="es-CR"/>
        </w:rPr>
      </w:pPr>
      <w:r w:rsidRPr="0061600F">
        <w:rPr>
          <w:b/>
          <w:bCs/>
          <w:sz w:val="22"/>
          <w:szCs w:val="22"/>
          <w:lang w:eastAsia="es-CR"/>
        </w:rPr>
        <w:t>considerando que:</w:t>
      </w:r>
    </w:p>
    <w:p w14:paraId="2D56EC10" w14:textId="77777777" w:rsidR="005339B5" w:rsidRPr="0061600F" w:rsidRDefault="005339B5" w:rsidP="005339B5">
      <w:pPr>
        <w:widowControl w:val="0"/>
        <w:jc w:val="both"/>
        <w:rPr>
          <w:b/>
          <w:bCs/>
          <w:sz w:val="22"/>
          <w:szCs w:val="22"/>
          <w:lang w:eastAsia="es-CR"/>
        </w:rPr>
      </w:pPr>
    </w:p>
    <w:p w14:paraId="7AAAEE3C" w14:textId="77777777" w:rsidR="005339B5" w:rsidRPr="0061600F" w:rsidRDefault="005339B5" w:rsidP="005339B5">
      <w:pPr>
        <w:widowControl w:val="0"/>
        <w:ind w:left="426" w:hanging="426"/>
        <w:jc w:val="both"/>
        <w:rPr>
          <w:sz w:val="22"/>
          <w:szCs w:val="22"/>
        </w:rPr>
      </w:pPr>
      <w:r w:rsidRPr="0061600F">
        <w:rPr>
          <w:bCs/>
          <w:sz w:val="22"/>
          <w:szCs w:val="22"/>
          <w:lang w:eastAsia="es-CR"/>
        </w:rPr>
        <w:t xml:space="preserve">A. </w:t>
      </w:r>
      <w:r w:rsidRPr="0061600F">
        <w:rPr>
          <w:bCs/>
          <w:sz w:val="22"/>
          <w:szCs w:val="22"/>
          <w:lang w:eastAsia="es-CR"/>
        </w:rPr>
        <w:tab/>
        <w:t xml:space="preserve">Según se consigna en los artículos </w:t>
      </w:r>
      <w:r w:rsidRPr="0061600F">
        <w:rPr>
          <w:sz w:val="22"/>
          <w:szCs w:val="22"/>
        </w:rPr>
        <w:t xml:space="preserve">los artículos 17 y 6, de las actas de las sesiones 1270-2016 y 1271-2016, respectivamente, ambas del 10 de agosto del 2016, el Consejo Nacional resolvió solicitar a la Junta Directiva del Banco Central de Costa Rica la aprobación de una transferencia por ¢28.868.689.598,00, a efecto </w:t>
      </w:r>
      <w:r>
        <w:rPr>
          <w:sz w:val="22"/>
          <w:szCs w:val="22"/>
        </w:rPr>
        <w:t xml:space="preserve">de </w:t>
      </w:r>
      <w:r w:rsidRPr="0061600F">
        <w:rPr>
          <w:sz w:val="22"/>
          <w:szCs w:val="22"/>
        </w:rPr>
        <w:t>financiar los presupuestos ordinarios de las Superintendencias y del Consejo Nacional de Supervisión del Sistema Financiero, correspondientes al 2017.</w:t>
      </w:r>
    </w:p>
    <w:p w14:paraId="0A827E7E" w14:textId="77777777" w:rsidR="005339B5" w:rsidRPr="0061600F" w:rsidRDefault="005339B5" w:rsidP="005339B5">
      <w:pPr>
        <w:widowControl w:val="0"/>
        <w:ind w:left="426" w:hanging="426"/>
        <w:jc w:val="both"/>
        <w:rPr>
          <w:sz w:val="22"/>
          <w:szCs w:val="22"/>
        </w:rPr>
      </w:pPr>
    </w:p>
    <w:p w14:paraId="4B3B63A4" w14:textId="77777777" w:rsidR="005339B5" w:rsidRPr="0061600F" w:rsidRDefault="005339B5" w:rsidP="005339B5">
      <w:pPr>
        <w:widowControl w:val="0"/>
        <w:ind w:left="426" w:hanging="426"/>
        <w:jc w:val="both"/>
        <w:rPr>
          <w:sz w:val="22"/>
          <w:szCs w:val="22"/>
        </w:rPr>
      </w:pPr>
      <w:r w:rsidRPr="0061600F">
        <w:rPr>
          <w:sz w:val="22"/>
          <w:szCs w:val="22"/>
        </w:rPr>
        <w:t>B.</w:t>
      </w:r>
      <w:r w:rsidRPr="0061600F">
        <w:rPr>
          <w:sz w:val="22"/>
          <w:szCs w:val="22"/>
        </w:rPr>
        <w:tab/>
        <w:t xml:space="preserve">Mediante el artículo 5, del acta de la sesión 1273-2016, del 23 de agosto del 2016, se encomendó solicitar al </w:t>
      </w:r>
      <w:r w:rsidRPr="0061600F">
        <w:rPr>
          <w:bCs/>
          <w:sz w:val="22"/>
          <w:szCs w:val="22"/>
          <w:lang w:eastAsia="es-CR"/>
        </w:rPr>
        <w:t>Comité Permanente de Presupuesto, Gestión de Riesgo y Evaluación Institucional del Consejo Nacional</w:t>
      </w:r>
      <w:r w:rsidRPr="0061600F">
        <w:rPr>
          <w:sz w:val="22"/>
          <w:szCs w:val="22"/>
        </w:rPr>
        <w:t>, que, de manera conjunta con los técnicos del Banco Central de Costa Rica, revisara diferentes observaciones de la Administración del Instituto Emisor, en torno a la solicitud de transferencia al Banco Central de Costa Rica, para el financiamiento de presupuestos ordinarios de las Superintendencias y del Consejo Nacional de Supervisión del Sistema Financiero, para el 2017, acordada en artículos 17 y 6, de las susodichas actas de las sesiones 1270-2016 y 1271-2016.</w:t>
      </w:r>
    </w:p>
    <w:p w14:paraId="406A6970" w14:textId="77777777" w:rsidR="005339B5" w:rsidRPr="0061600F" w:rsidRDefault="005339B5" w:rsidP="005339B5">
      <w:pPr>
        <w:widowControl w:val="0"/>
        <w:ind w:left="426" w:hanging="426"/>
        <w:jc w:val="both"/>
        <w:rPr>
          <w:sz w:val="22"/>
          <w:szCs w:val="22"/>
        </w:rPr>
      </w:pPr>
    </w:p>
    <w:p w14:paraId="4D5BC5E1" w14:textId="77777777" w:rsidR="005339B5" w:rsidRPr="0061600F" w:rsidRDefault="005339B5" w:rsidP="005339B5">
      <w:pPr>
        <w:widowControl w:val="0"/>
        <w:ind w:left="426" w:hanging="426"/>
        <w:jc w:val="both"/>
        <w:rPr>
          <w:sz w:val="22"/>
          <w:szCs w:val="22"/>
        </w:rPr>
      </w:pPr>
      <w:r w:rsidRPr="0061600F">
        <w:rPr>
          <w:sz w:val="22"/>
          <w:szCs w:val="22"/>
        </w:rPr>
        <w:t xml:space="preserve">C. </w:t>
      </w:r>
      <w:r w:rsidRPr="0061600F">
        <w:rPr>
          <w:sz w:val="22"/>
          <w:szCs w:val="22"/>
        </w:rPr>
        <w:tab/>
        <w:t>El Comité Permanente de Presupuesto, Gestión de Riesgo y Evaluación Institucional se reunió el 26 de agosto de</w:t>
      </w:r>
      <w:r>
        <w:rPr>
          <w:sz w:val="22"/>
          <w:szCs w:val="22"/>
        </w:rPr>
        <w:t>l</w:t>
      </w:r>
      <w:r w:rsidRPr="0061600F">
        <w:rPr>
          <w:sz w:val="22"/>
          <w:szCs w:val="22"/>
        </w:rPr>
        <w:t xml:space="preserve"> 2016 y planteó una modificación a la cifra de transferencia, para que fuera valorada por el Consejo.</w:t>
      </w:r>
    </w:p>
    <w:p w14:paraId="54C31A8F" w14:textId="77777777" w:rsidR="005339B5" w:rsidRPr="0061600F" w:rsidRDefault="005339B5" w:rsidP="005339B5">
      <w:pPr>
        <w:widowControl w:val="0"/>
        <w:ind w:left="426" w:hanging="426"/>
        <w:jc w:val="both"/>
        <w:rPr>
          <w:sz w:val="22"/>
          <w:szCs w:val="22"/>
        </w:rPr>
      </w:pPr>
    </w:p>
    <w:p w14:paraId="5BDEC746" w14:textId="77777777" w:rsidR="005339B5" w:rsidRPr="0061600F" w:rsidRDefault="005339B5" w:rsidP="005339B5">
      <w:pPr>
        <w:widowControl w:val="0"/>
        <w:ind w:left="426" w:hanging="426"/>
        <w:jc w:val="both"/>
        <w:rPr>
          <w:sz w:val="22"/>
          <w:szCs w:val="22"/>
        </w:rPr>
      </w:pPr>
      <w:r w:rsidRPr="0061600F">
        <w:rPr>
          <w:sz w:val="22"/>
          <w:szCs w:val="22"/>
        </w:rPr>
        <w:t xml:space="preserve">D. </w:t>
      </w:r>
      <w:r w:rsidRPr="0061600F">
        <w:rPr>
          <w:sz w:val="22"/>
          <w:szCs w:val="22"/>
        </w:rPr>
        <w:tab/>
        <w:t xml:space="preserve">Con la modificación realizada por el Comité Permanente </w:t>
      </w:r>
      <w:r>
        <w:rPr>
          <w:sz w:val="22"/>
          <w:szCs w:val="22"/>
        </w:rPr>
        <w:t xml:space="preserve">de </w:t>
      </w:r>
      <w:r w:rsidRPr="0061600F">
        <w:rPr>
          <w:sz w:val="22"/>
          <w:szCs w:val="22"/>
        </w:rPr>
        <w:t>Presupuesto, Gestión de Riesgo y Evaluación Institucional, el 26 de agosto de</w:t>
      </w:r>
      <w:r>
        <w:rPr>
          <w:sz w:val="22"/>
          <w:szCs w:val="22"/>
        </w:rPr>
        <w:t>l</w:t>
      </w:r>
      <w:r w:rsidRPr="0061600F">
        <w:rPr>
          <w:sz w:val="22"/>
          <w:szCs w:val="22"/>
        </w:rPr>
        <w:t xml:space="preserve"> 2016, el presupuesto consolidado 2017 del CONASSIF y las Superintendencias muestra una reducción de ¢100,0 millones, con respecto a la propuesta original aprobada en las sesiones 1270-2016 y 1271-2016, antes referidas. Consecuentemente, la nueva cifra de transferencia asciende a ¢28.768,7 millones. Dicha cifra </w:t>
      </w:r>
      <w:r w:rsidRPr="0061600F">
        <w:rPr>
          <w:sz w:val="22"/>
          <w:szCs w:val="22"/>
        </w:rPr>
        <w:lastRenderedPageBreak/>
        <w:t>presenta un aumento de 0,2%, comparada con el presupuesto para el 2016, incluyendo el costo imputado de los servicios administrativos brindados por el Banco Central de Costa Rica a las Superintendencias.</w:t>
      </w:r>
    </w:p>
    <w:p w14:paraId="001702CD" w14:textId="77777777" w:rsidR="005339B5" w:rsidRPr="0061600F" w:rsidRDefault="005339B5" w:rsidP="005339B5">
      <w:pPr>
        <w:widowControl w:val="0"/>
        <w:ind w:left="426" w:hanging="426"/>
        <w:jc w:val="both"/>
        <w:rPr>
          <w:sz w:val="22"/>
          <w:szCs w:val="22"/>
        </w:rPr>
      </w:pPr>
    </w:p>
    <w:p w14:paraId="0DD3110C" w14:textId="77777777" w:rsidR="005339B5" w:rsidRPr="0061600F" w:rsidRDefault="005339B5" w:rsidP="005339B5">
      <w:pPr>
        <w:widowControl w:val="0"/>
        <w:ind w:left="426" w:hanging="426"/>
        <w:jc w:val="both"/>
        <w:rPr>
          <w:sz w:val="22"/>
          <w:szCs w:val="22"/>
        </w:rPr>
      </w:pPr>
      <w:r w:rsidRPr="0061600F">
        <w:rPr>
          <w:sz w:val="22"/>
          <w:szCs w:val="22"/>
        </w:rPr>
        <w:t>E.</w:t>
      </w:r>
      <w:r w:rsidRPr="0061600F">
        <w:rPr>
          <w:sz w:val="22"/>
          <w:szCs w:val="22"/>
        </w:rPr>
        <w:tab/>
        <w:t xml:space="preserve">En </w:t>
      </w:r>
      <w:r w:rsidRPr="0061600F">
        <w:rPr>
          <w:bCs/>
          <w:sz w:val="22"/>
          <w:szCs w:val="22"/>
          <w:lang w:eastAsia="es-CR"/>
        </w:rPr>
        <w:t>oficio CP-011-2016, del 1° de setiembre del 2016, la señora Silena Alvarado Víquez, en nombre del Comité Permanente de Presupuesto, Gestión de Riesgo y Evaluación Institucional del Consejo Nacional de Supervisión del Sistema Financiero, solicita al CONASSIF</w:t>
      </w:r>
      <w:r w:rsidRPr="0061600F">
        <w:rPr>
          <w:sz w:val="22"/>
          <w:szCs w:val="22"/>
        </w:rPr>
        <w:t xml:space="preserve"> modificar lo dispuesto en los artículos 17 y 6, de las actas de las sesiones 1270-2016 y 1271-2016, de previa mención, en el sentido de modificar, a un monto total de ¢28.768.689.598</w:t>
      </w:r>
      <w:r>
        <w:rPr>
          <w:sz w:val="22"/>
          <w:szCs w:val="22"/>
        </w:rPr>
        <w:t>,00</w:t>
      </w:r>
      <w:r w:rsidRPr="0061600F">
        <w:rPr>
          <w:sz w:val="22"/>
          <w:szCs w:val="22"/>
        </w:rPr>
        <w:t>, la transferencia que se debe solicitar</w:t>
      </w:r>
      <w:r>
        <w:rPr>
          <w:sz w:val="22"/>
          <w:szCs w:val="22"/>
        </w:rPr>
        <w:t xml:space="preserve"> a</w:t>
      </w:r>
      <w:r w:rsidRPr="0061600F">
        <w:rPr>
          <w:sz w:val="22"/>
          <w:szCs w:val="22"/>
        </w:rPr>
        <w:t xml:space="preserve"> la Junta Directiva del Banco Central de Costa Rica para financiar la propuesta de Presupuesto de Ingresos y Egresos del CONASSIF y sus Órganos de Desconcentración Máxima, para el 2017.</w:t>
      </w:r>
    </w:p>
    <w:p w14:paraId="7541B108" w14:textId="77777777" w:rsidR="005339B5" w:rsidRPr="0061600F" w:rsidRDefault="005339B5" w:rsidP="005339B5">
      <w:pPr>
        <w:widowControl w:val="0"/>
        <w:ind w:left="426" w:hanging="426"/>
        <w:jc w:val="both"/>
        <w:rPr>
          <w:sz w:val="22"/>
          <w:szCs w:val="22"/>
        </w:rPr>
      </w:pPr>
    </w:p>
    <w:p w14:paraId="743165D3" w14:textId="77777777" w:rsidR="005339B5" w:rsidRPr="0061600F" w:rsidRDefault="005339B5" w:rsidP="005339B5">
      <w:pPr>
        <w:widowControl w:val="0"/>
        <w:ind w:left="426" w:hanging="426"/>
        <w:jc w:val="both"/>
        <w:rPr>
          <w:bCs/>
          <w:sz w:val="22"/>
          <w:szCs w:val="22"/>
          <w:lang w:eastAsia="es-CR"/>
        </w:rPr>
      </w:pPr>
      <w:r w:rsidRPr="0061600F">
        <w:rPr>
          <w:sz w:val="22"/>
          <w:szCs w:val="22"/>
        </w:rPr>
        <w:t>F.</w:t>
      </w:r>
      <w:r w:rsidRPr="0061600F">
        <w:rPr>
          <w:sz w:val="22"/>
          <w:szCs w:val="22"/>
        </w:rPr>
        <w:tab/>
        <w:t xml:space="preserve">Los señores miembros del Consejo Nacional estuvieron de acuerdo con la sugerencia de la señora Silena Alvarado Víquez, expuesta en su oficio </w:t>
      </w:r>
      <w:r w:rsidRPr="0061600F">
        <w:rPr>
          <w:bCs/>
          <w:sz w:val="22"/>
          <w:szCs w:val="22"/>
          <w:lang w:eastAsia="es-CR"/>
        </w:rPr>
        <w:t xml:space="preserve">CP-011-2016, del 1° de setiembre del 2016, detallada en el considerando </w:t>
      </w:r>
      <w:r>
        <w:rPr>
          <w:bCs/>
          <w:sz w:val="22"/>
          <w:szCs w:val="22"/>
          <w:lang w:eastAsia="es-CR"/>
        </w:rPr>
        <w:t>E</w:t>
      </w:r>
      <w:r w:rsidRPr="0061600F">
        <w:rPr>
          <w:bCs/>
          <w:sz w:val="22"/>
          <w:szCs w:val="22"/>
          <w:lang w:eastAsia="es-CR"/>
        </w:rPr>
        <w:t>) precedente.</w:t>
      </w:r>
    </w:p>
    <w:p w14:paraId="261C4943" w14:textId="77777777" w:rsidR="005339B5" w:rsidRPr="0061600F" w:rsidRDefault="005339B5" w:rsidP="005339B5">
      <w:pPr>
        <w:widowControl w:val="0"/>
        <w:jc w:val="both"/>
        <w:rPr>
          <w:sz w:val="22"/>
          <w:szCs w:val="22"/>
        </w:rPr>
      </w:pPr>
    </w:p>
    <w:p w14:paraId="263361B0" w14:textId="77777777" w:rsidR="005339B5" w:rsidRPr="0061600F" w:rsidRDefault="005339B5" w:rsidP="005339B5">
      <w:pPr>
        <w:widowControl w:val="0"/>
        <w:jc w:val="both"/>
        <w:rPr>
          <w:sz w:val="22"/>
          <w:szCs w:val="22"/>
        </w:rPr>
      </w:pPr>
      <w:r w:rsidRPr="0061600F">
        <w:rPr>
          <w:b/>
          <w:sz w:val="22"/>
          <w:szCs w:val="22"/>
        </w:rPr>
        <w:t>dispuso en firme:</w:t>
      </w:r>
    </w:p>
    <w:p w14:paraId="1C376851" w14:textId="77777777" w:rsidR="005339B5" w:rsidRPr="0061600F" w:rsidRDefault="005339B5" w:rsidP="005339B5">
      <w:pPr>
        <w:widowControl w:val="0"/>
        <w:jc w:val="both"/>
        <w:rPr>
          <w:sz w:val="22"/>
          <w:szCs w:val="22"/>
        </w:rPr>
      </w:pPr>
    </w:p>
    <w:p w14:paraId="14A9BAED" w14:textId="77777777" w:rsidR="005339B5" w:rsidRPr="0061600F" w:rsidRDefault="005339B5" w:rsidP="005339B5">
      <w:pPr>
        <w:widowControl w:val="0"/>
        <w:ind w:left="426" w:hanging="426"/>
        <w:jc w:val="both"/>
        <w:rPr>
          <w:sz w:val="22"/>
          <w:szCs w:val="22"/>
        </w:rPr>
      </w:pPr>
      <w:r w:rsidRPr="0061600F">
        <w:rPr>
          <w:sz w:val="22"/>
          <w:szCs w:val="22"/>
        </w:rPr>
        <w:t>1.</w:t>
      </w:r>
      <w:r w:rsidRPr="0061600F">
        <w:rPr>
          <w:sz w:val="22"/>
          <w:szCs w:val="22"/>
        </w:rPr>
        <w:tab/>
        <w:t xml:space="preserve">Dejar sin efecto lo dispuesto mediante los artículos 17 y 6, de las actas de las sesiones 1270-2016 y 1271-2016, respectivamente, celebradas ambas el 10 de agosto del 2016, oportunidades en las que se acordó solicitar a la Junta Directiva del Banco Central de Costa Rica la aprobación de una transferencia por ¢28.868.689.598,00, a efecto </w:t>
      </w:r>
      <w:r>
        <w:rPr>
          <w:sz w:val="22"/>
          <w:szCs w:val="22"/>
        </w:rPr>
        <w:t xml:space="preserve">de </w:t>
      </w:r>
      <w:r w:rsidRPr="0061600F">
        <w:rPr>
          <w:sz w:val="22"/>
          <w:szCs w:val="22"/>
        </w:rPr>
        <w:t>financiar los presupuestos ordinarios de las Superintendencias y del Consejo Nacional de Supervisión del Sistema Financiero, correspondientes al 2017.</w:t>
      </w:r>
    </w:p>
    <w:p w14:paraId="4E74E539" w14:textId="77777777" w:rsidR="005339B5" w:rsidRPr="0061600F" w:rsidRDefault="005339B5" w:rsidP="005339B5">
      <w:pPr>
        <w:widowControl w:val="0"/>
        <w:ind w:left="426" w:hanging="426"/>
        <w:jc w:val="both"/>
        <w:rPr>
          <w:sz w:val="22"/>
          <w:szCs w:val="22"/>
        </w:rPr>
      </w:pPr>
    </w:p>
    <w:p w14:paraId="758A8E5A" w14:textId="77777777" w:rsidR="005339B5" w:rsidRPr="0061600F" w:rsidRDefault="005339B5" w:rsidP="005339B5">
      <w:pPr>
        <w:widowControl w:val="0"/>
        <w:ind w:left="426" w:hanging="426"/>
        <w:jc w:val="both"/>
        <w:rPr>
          <w:sz w:val="22"/>
          <w:szCs w:val="22"/>
        </w:rPr>
      </w:pPr>
      <w:r w:rsidRPr="0061600F">
        <w:rPr>
          <w:sz w:val="22"/>
          <w:szCs w:val="22"/>
        </w:rPr>
        <w:t>2.</w:t>
      </w:r>
      <w:r w:rsidRPr="0061600F">
        <w:rPr>
          <w:sz w:val="22"/>
          <w:szCs w:val="22"/>
        </w:rPr>
        <w:tab/>
        <w:t xml:space="preserve">Solicitar a la Junta Directiva del Banco Central de Costa Rica la aprobación de una transferencia por ¢28.768.689.598,00, con sustento en lo que prevé el literal k, del artículo 171, de la </w:t>
      </w:r>
      <w:r w:rsidRPr="0061600F">
        <w:rPr>
          <w:i/>
          <w:sz w:val="22"/>
          <w:szCs w:val="22"/>
        </w:rPr>
        <w:t>Ley Reguladora del Mercado de Valores</w:t>
      </w:r>
      <w:r w:rsidRPr="0061600F">
        <w:rPr>
          <w:sz w:val="22"/>
          <w:szCs w:val="22"/>
        </w:rPr>
        <w:t>, Ley 7732, del 27 de enero de 1998, y sus reformas, a fin de dar contenido a los presupuestos ordinarios del Consejo Nacional de Supervisión del Sistema Financiero y de los Órganos de Desconcentración Máxima, para el 2017.</w:t>
      </w:r>
    </w:p>
    <w:p w14:paraId="5F83F9F2" w14:textId="77777777" w:rsidR="005339B5" w:rsidRPr="0061600F" w:rsidRDefault="005339B5" w:rsidP="005339B5">
      <w:pPr>
        <w:widowControl w:val="0"/>
        <w:jc w:val="both"/>
        <w:rPr>
          <w:sz w:val="22"/>
          <w:szCs w:val="22"/>
        </w:rPr>
      </w:pPr>
    </w:p>
    <w:p w14:paraId="65189E71" w14:textId="77777777" w:rsidR="005339B5" w:rsidRPr="0061600F" w:rsidRDefault="005339B5" w:rsidP="005339B5">
      <w:pPr>
        <w:widowControl w:val="0"/>
        <w:jc w:val="both"/>
        <w:rPr>
          <w:sz w:val="22"/>
          <w:szCs w:val="22"/>
        </w:rPr>
      </w:pPr>
      <w:r w:rsidRPr="0061600F">
        <w:rPr>
          <w:sz w:val="22"/>
          <w:szCs w:val="22"/>
        </w:rPr>
        <w:t>Atentamente,</w:t>
      </w:r>
    </w:p>
    <w:p w14:paraId="7C83339B" w14:textId="77777777" w:rsidR="005339B5" w:rsidRPr="0061600F" w:rsidRDefault="005339B5" w:rsidP="005339B5">
      <w:pPr>
        <w:widowControl w:val="0"/>
        <w:jc w:val="both"/>
        <w:rPr>
          <w:sz w:val="22"/>
          <w:szCs w:val="22"/>
        </w:rPr>
      </w:pPr>
    </w:p>
    <w:p w14:paraId="505FCA5A" w14:textId="77777777" w:rsidR="005339B5" w:rsidRPr="0061600F" w:rsidRDefault="005339B5" w:rsidP="005339B5">
      <w:pPr>
        <w:widowControl w:val="0"/>
        <w:jc w:val="both"/>
        <w:rPr>
          <w:sz w:val="22"/>
          <w:szCs w:val="22"/>
        </w:rPr>
      </w:pPr>
      <w:r w:rsidRPr="0061600F">
        <w:rPr>
          <w:noProof/>
          <w:sz w:val="22"/>
          <w:szCs w:val="22"/>
        </w:rPr>
        <w:drawing>
          <wp:anchor distT="0" distB="0" distL="114300" distR="114300" simplePos="0" relativeHeight="251749376" behindDoc="1" locked="0" layoutInCell="1" allowOverlap="1" wp14:anchorId="4F50EF3B" wp14:editId="6EF698E0">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22" name="Imagen 22"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2C114" w14:textId="77777777" w:rsidR="005339B5" w:rsidRPr="0061600F" w:rsidRDefault="005339B5" w:rsidP="005339B5">
      <w:pPr>
        <w:widowControl w:val="0"/>
        <w:jc w:val="both"/>
        <w:rPr>
          <w:sz w:val="22"/>
          <w:szCs w:val="22"/>
        </w:rPr>
      </w:pPr>
    </w:p>
    <w:p w14:paraId="6715E2B2" w14:textId="77777777" w:rsidR="005339B5" w:rsidRPr="0061600F" w:rsidRDefault="005339B5" w:rsidP="005339B5">
      <w:pPr>
        <w:widowControl w:val="0"/>
        <w:jc w:val="both"/>
        <w:rPr>
          <w:sz w:val="22"/>
          <w:szCs w:val="22"/>
        </w:rPr>
      </w:pPr>
    </w:p>
    <w:p w14:paraId="4DA6BCFA" w14:textId="77777777" w:rsidR="005339B5" w:rsidRPr="0061600F" w:rsidRDefault="005339B5" w:rsidP="005339B5">
      <w:pPr>
        <w:widowControl w:val="0"/>
        <w:rPr>
          <w:sz w:val="22"/>
          <w:szCs w:val="22"/>
        </w:rPr>
      </w:pPr>
      <w:r w:rsidRPr="0061600F">
        <w:rPr>
          <w:sz w:val="22"/>
          <w:szCs w:val="22"/>
        </w:rPr>
        <w:t>Jorge Monge Bonilla</w:t>
      </w:r>
    </w:p>
    <w:p w14:paraId="10AC9565" w14:textId="77777777" w:rsidR="005339B5" w:rsidRPr="0061600F" w:rsidRDefault="005339B5" w:rsidP="005339B5">
      <w:pPr>
        <w:widowControl w:val="0"/>
        <w:rPr>
          <w:i/>
          <w:sz w:val="22"/>
          <w:szCs w:val="22"/>
        </w:rPr>
      </w:pPr>
      <w:r w:rsidRPr="0061600F">
        <w:rPr>
          <w:i/>
          <w:sz w:val="22"/>
          <w:szCs w:val="22"/>
        </w:rPr>
        <w:t>Secretario del Consejo</w:t>
      </w:r>
    </w:p>
    <w:p w14:paraId="47EBFD9C" w14:textId="77777777" w:rsidR="005339B5" w:rsidRDefault="005339B5" w:rsidP="005339B5">
      <w:pPr>
        <w:widowControl w:val="0"/>
        <w:jc w:val="both"/>
        <w:rPr>
          <w:sz w:val="22"/>
          <w:szCs w:val="22"/>
        </w:rPr>
      </w:pPr>
    </w:p>
    <w:p w14:paraId="436D332C" w14:textId="77777777" w:rsidR="005339B5" w:rsidRDefault="005339B5" w:rsidP="005339B5">
      <w:pPr>
        <w:widowControl w:val="0"/>
        <w:jc w:val="both"/>
        <w:rPr>
          <w:lang w:val="es-CR"/>
        </w:rPr>
      </w:pPr>
    </w:p>
    <w:p w14:paraId="0ED70F05" w14:textId="6367EA53" w:rsidR="00CA6A26" w:rsidRPr="005339B5" w:rsidRDefault="00CA6A26">
      <w:pPr>
        <w:rPr>
          <w:lang w:val="es-CR" w:eastAsia="es-ES_tradnl"/>
        </w:rPr>
      </w:pPr>
    </w:p>
    <w:p w14:paraId="19004704" w14:textId="72D81828" w:rsidR="009400B0" w:rsidRDefault="009400B0">
      <w:pPr>
        <w:rPr>
          <w:lang w:val="es-ES_tradnl" w:eastAsia="es-ES_tradnl"/>
        </w:rPr>
      </w:pPr>
      <w:r>
        <w:rPr>
          <w:lang w:val="es-ES_tradnl" w:eastAsia="es-ES_tradnl"/>
        </w:rPr>
        <w:br w:type="page"/>
      </w:r>
    </w:p>
    <w:p w14:paraId="6BC7B8E5" w14:textId="77777777" w:rsidR="00DC377B" w:rsidRDefault="00DC377B" w:rsidP="00DC377B">
      <w:pPr>
        <w:tabs>
          <w:tab w:val="center" w:pos="4419"/>
          <w:tab w:val="right" w:pos="8838"/>
        </w:tabs>
        <w:spacing w:before="120" w:after="120"/>
        <w:jc w:val="both"/>
        <w:rPr>
          <w:szCs w:val="20"/>
        </w:rPr>
      </w:pPr>
      <w:r>
        <w:rPr>
          <w:noProof/>
          <w:szCs w:val="20"/>
        </w:rPr>
        <w:lastRenderedPageBreak/>
        <w:drawing>
          <wp:inline distT="0" distB="0" distL="0" distR="0" wp14:anchorId="5055E3AB" wp14:editId="29A344C5">
            <wp:extent cx="5469255" cy="414020"/>
            <wp:effectExtent l="0" t="0" r="0" b="508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69255" cy="414020"/>
                    </a:xfrm>
                    <a:prstGeom prst="rect">
                      <a:avLst/>
                    </a:prstGeom>
                    <a:noFill/>
                  </pic:spPr>
                </pic:pic>
              </a:graphicData>
            </a:graphic>
          </wp:inline>
        </w:drawing>
      </w:r>
    </w:p>
    <w:p w14:paraId="4C7DEF0D" w14:textId="77777777" w:rsidR="00DC377B" w:rsidRDefault="00DC377B" w:rsidP="00DC377B">
      <w:pPr>
        <w:widowControl w:val="0"/>
        <w:jc w:val="both"/>
        <w:rPr>
          <w:vanish/>
          <w:lang w:val="es-ES_tradnl" w:eastAsia="es-ES_tradnl"/>
        </w:rPr>
      </w:pPr>
    </w:p>
    <w:p w14:paraId="5AA522C8" w14:textId="77777777" w:rsidR="005339B5" w:rsidRPr="0021474B" w:rsidRDefault="005339B5" w:rsidP="005339B5">
      <w:pPr>
        <w:widowControl w:val="0"/>
        <w:jc w:val="both"/>
      </w:pPr>
      <w:r w:rsidRPr="0021474B">
        <w:t>16 de setiembre del 2016</w:t>
      </w:r>
    </w:p>
    <w:p w14:paraId="0C3439E9" w14:textId="77777777" w:rsidR="005339B5" w:rsidRPr="0021474B" w:rsidRDefault="005339B5" w:rsidP="005339B5">
      <w:pPr>
        <w:widowControl w:val="0"/>
        <w:jc w:val="both"/>
      </w:pPr>
      <w:r w:rsidRPr="0021474B">
        <w:t>JD-5738</w:t>
      </w:r>
      <w:r>
        <w:t>/08</w:t>
      </w:r>
    </w:p>
    <w:p w14:paraId="4A9E5EA9" w14:textId="77777777" w:rsidR="005339B5" w:rsidRPr="0021474B" w:rsidRDefault="005339B5" w:rsidP="005339B5">
      <w:pPr>
        <w:widowControl w:val="0"/>
        <w:jc w:val="both"/>
      </w:pPr>
    </w:p>
    <w:p w14:paraId="38A24A05" w14:textId="77777777" w:rsidR="005339B5" w:rsidRPr="0021474B" w:rsidRDefault="005339B5" w:rsidP="005339B5">
      <w:pPr>
        <w:widowControl w:val="0"/>
        <w:jc w:val="both"/>
      </w:pPr>
    </w:p>
    <w:p w14:paraId="44FE6660" w14:textId="77777777" w:rsidR="005339B5" w:rsidRDefault="005339B5" w:rsidP="005339B5">
      <w:pPr>
        <w:widowControl w:val="0"/>
        <w:jc w:val="both"/>
      </w:pPr>
    </w:p>
    <w:p w14:paraId="6EAA526E" w14:textId="77777777" w:rsidR="005339B5" w:rsidRPr="00E81D1B" w:rsidRDefault="005339B5" w:rsidP="005339B5">
      <w:r w:rsidRPr="00E81D1B">
        <w:t>Señor</w:t>
      </w:r>
    </w:p>
    <w:p w14:paraId="172932D6" w14:textId="77777777" w:rsidR="005339B5" w:rsidRPr="00E81D1B" w:rsidRDefault="005339B5" w:rsidP="005339B5">
      <w:pPr>
        <w:widowControl w:val="0"/>
        <w:jc w:val="both"/>
        <w:rPr>
          <w:b/>
          <w:i/>
        </w:rPr>
      </w:pPr>
      <w:r w:rsidRPr="00E81D1B">
        <w:t xml:space="preserve">Alvaro Ramos Chaves, </w:t>
      </w:r>
      <w:r w:rsidRPr="00E81D1B">
        <w:rPr>
          <w:b/>
          <w:i/>
        </w:rPr>
        <w:t>Superintendente</w:t>
      </w:r>
    </w:p>
    <w:p w14:paraId="228FEC5F" w14:textId="77777777" w:rsidR="005339B5" w:rsidRDefault="005339B5" w:rsidP="005339B5">
      <w:pPr>
        <w:widowControl w:val="0"/>
        <w:jc w:val="both"/>
        <w:rPr>
          <w:b/>
          <w:i/>
        </w:rPr>
      </w:pPr>
      <w:r w:rsidRPr="00E81D1B">
        <w:rPr>
          <w:b/>
          <w:i/>
        </w:rPr>
        <w:t>SUPERINTENDENCIA DE PENSIONES</w:t>
      </w:r>
    </w:p>
    <w:p w14:paraId="066BCDEF" w14:textId="77777777" w:rsidR="005339B5" w:rsidRDefault="005339B5" w:rsidP="005339B5">
      <w:pPr>
        <w:widowControl w:val="0"/>
        <w:jc w:val="both"/>
      </w:pPr>
    </w:p>
    <w:p w14:paraId="70C7FFFF" w14:textId="77777777" w:rsidR="005339B5" w:rsidRPr="0021474B" w:rsidRDefault="005339B5" w:rsidP="005339B5">
      <w:pPr>
        <w:widowControl w:val="0"/>
        <w:jc w:val="both"/>
      </w:pPr>
    </w:p>
    <w:p w14:paraId="43B4BFFD" w14:textId="77777777" w:rsidR="005339B5" w:rsidRPr="0021474B" w:rsidRDefault="005339B5" w:rsidP="005339B5">
      <w:pPr>
        <w:widowControl w:val="0"/>
        <w:jc w:val="both"/>
      </w:pPr>
      <w:r w:rsidRPr="0021474B">
        <w:t>Estimado señor:</w:t>
      </w:r>
    </w:p>
    <w:p w14:paraId="08362B8C" w14:textId="77777777" w:rsidR="005339B5" w:rsidRPr="0021474B" w:rsidRDefault="005339B5" w:rsidP="005339B5">
      <w:pPr>
        <w:widowControl w:val="0"/>
        <w:jc w:val="both"/>
      </w:pPr>
    </w:p>
    <w:p w14:paraId="21315D26" w14:textId="77777777" w:rsidR="005339B5" w:rsidRPr="0021474B" w:rsidRDefault="005339B5" w:rsidP="005339B5">
      <w:pPr>
        <w:widowControl w:val="0"/>
        <w:jc w:val="both"/>
      </w:pPr>
      <w:r w:rsidRPr="0021474B">
        <w:t>La Junta Directiva del</w:t>
      </w:r>
      <w:r>
        <w:t xml:space="preserve"> Banco Central de Costa Rica en el numeral II d</w:t>
      </w:r>
      <w:r w:rsidRPr="0021474B">
        <w:t xml:space="preserve">el artículo 8 del acta de la sesión 5738-2016, celebrada el 14 de setiembre del 2016, </w:t>
      </w:r>
    </w:p>
    <w:p w14:paraId="7DCF329F" w14:textId="77777777" w:rsidR="005339B5" w:rsidRPr="0021474B" w:rsidRDefault="005339B5" w:rsidP="005339B5">
      <w:pPr>
        <w:widowControl w:val="0"/>
        <w:jc w:val="both"/>
      </w:pPr>
    </w:p>
    <w:p w14:paraId="10D60A55" w14:textId="77777777" w:rsidR="005339B5" w:rsidRPr="0021474B" w:rsidRDefault="005339B5" w:rsidP="005339B5">
      <w:pPr>
        <w:jc w:val="both"/>
        <w:rPr>
          <w:b/>
          <w:color w:val="000000"/>
        </w:rPr>
      </w:pPr>
      <w:r w:rsidRPr="0021474B">
        <w:rPr>
          <w:b/>
          <w:color w:val="000000"/>
        </w:rPr>
        <w:t>considerando que:</w:t>
      </w:r>
    </w:p>
    <w:p w14:paraId="7E57090F" w14:textId="77777777" w:rsidR="005339B5" w:rsidRPr="0021474B" w:rsidRDefault="005339B5" w:rsidP="005339B5">
      <w:pPr>
        <w:jc w:val="both"/>
        <w:rPr>
          <w:color w:val="000000"/>
          <w:sz w:val="12"/>
        </w:rPr>
      </w:pPr>
    </w:p>
    <w:p w14:paraId="6C038EC4" w14:textId="77777777" w:rsidR="005339B5" w:rsidRPr="0021474B" w:rsidRDefault="005339B5" w:rsidP="005339B5">
      <w:pPr>
        <w:ind w:left="567" w:hanging="567"/>
        <w:jc w:val="both"/>
        <w:rPr>
          <w:color w:val="000000"/>
        </w:rPr>
      </w:pPr>
      <w:r w:rsidRPr="0021474B">
        <w:rPr>
          <w:color w:val="000000"/>
        </w:rPr>
        <w:t xml:space="preserve">A. </w:t>
      </w:r>
      <w:r w:rsidRPr="0021474B">
        <w:rPr>
          <w:color w:val="000000"/>
        </w:rPr>
        <w:tab/>
        <w:t xml:space="preserve">El Consejo Nacional de Supervisión del Sistema Financiero en los artículos 5 y 6 de las actas de las sesiones 1277-2016 y 1278-2016, celebradas el 6 de setiembre del 2016, dispuso en firme </w:t>
      </w:r>
      <w:r>
        <w:rPr>
          <w:color w:val="000000"/>
        </w:rPr>
        <w:t>s</w:t>
      </w:r>
      <w:r w:rsidRPr="0021474B">
        <w:rPr>
          <w:color w:val="000000"/>
        </w:rPr>
        <w:t xml:space="preserve">olicitar a la Junta Directiva del Banco Central de Costa Rica la aprobación de una transferencia por ¢28.768.689.598,00, con sustento en lo que prevé el literal k, del artículo 171, de la </w:t>
      </w:r>
      <w:r w:rsidRPr="00787FD8">
        <w:rPr>
          <w:i/>
          <w:color w:val="000000"/>
        </w:rPr>
        <w:t>Ley Reguladora del Mercado de Valores</w:t>
      </w:r>
      <w:r w:rsidRPr="0021474B">
        <w:rPr>
          <w:color w:val="000000"/>
        </w:rPr>
        <w:t>, Ley 7732, del 27 de enero de 1998, y sus reformas, a fin de dar contenido a los presupuestos ordinarios del Consejo Nacional de Supervisión del Sistema Financiero y de los Órganos de Desconcentración Máxima, para el 2017.</w:t>
      </w:r>
    </w:p>
    <w:p w14:paraId="5F88DB07" w14:textId="77777777" w:rsidR="005339B5" w:rsidRPr="0021474B" w:rsidRDefault="005339B5" w:rsidP="005339B5">
      <w:pPr>
        <w:jc w:val="both"/>
        <w:rPr>
          <w:color w:val="000000"/>
          <w:sz w:val="12"/>
        </w:rPr>
      </w:pPr>
    </w:p>
    <w:p w14:paraId="2047960E" w14:textId="77777777" w:rsidR="005339B5" w:rsidRPr="0021474B" w:rsidRDefault="005339B5" w:rsidP="005339B5">
      <w:pPr>
        <w:ind w:left="567" w:hanging="567"/>
        <w:jc w:val="both"/>
        <w:rPr>
          <w:color w:val="000000"/>
        </w:rPr>
      </w:pPr>
      <w:r w:rsidRPr="0021474B">
        <w:rPr>
          <w:color w:val="000000"/>
        </w:rPr>
        <w:t xml:space="preserve">B. </w:t>
      </w:r>
      <w:r w:rsidRPr="0021474B">
        <w:rPr>
          <w:color w:val="000000"/>
        </w:rPr>
        <w:tab/>
        <w:t xml:space="preserve">El artículo 174 de la </w:t>
      </w:r>
      <w:r w:rsidRPr="0021474B">
        <w:rPr>
          <w:i/>
          <w:color w:val="000000"/>
        </w:rPr>
        <w:t>Ley Reguladora del Mercado de Valores</w:t>
      </w:r>
      <w:r w:rsidRPr="0021474B">
        <w:rPr>
          <w:color w:val="000000"/>
        </w:rPr>
        <w:t xml:space="preserve">, Ley 7732, establece que los presupuestos de la Superintendencia General de Entidades Financieras, </w:t>
      </w:r>
      <w:r>
        <w:rPr>
          <w:color w:val="000000"/>
        </w:rPr>
        <w:t xml:space="preserve">de </w:t>
      </w:r>
      <w:r w:rsidRPr="0021474B">
        <w:rPr>
          <w:color w:val="000000"/>
        </w:rPr>
        <w:t>la Superintendencia General de Valores y de la Superintendencia de Pensiones serán financiados, en un 80% con recursos provenientes del Banco Central de Costa Rica y, en un 20% de los gastos efectivamente incurridos, mediante contribuciones obligatorias de los sujetos fiscalizados.</w:t>
      </w:r>
    </w:p>
    <w:p w14:paraId="755449E2" w14:textId="77777777" w:rsidR="005339B5" w:rsidRPr="0021474B" w:rsidRDefault="005339B5" w:rsidP="005339B5">
      <w:pPr>
        <w:ind w:left="567" w:hanging="567"/>
        <w:jc w:val="both"/>
        <w:rPr>
          <w:color w:val="000000"/>
          <w:sz w:val="12"/>
        </w:rPr>
      </w:pPr>
    </w:p>
    <w:p w14:paraId="3DA36926" w14:textId="77777777" w:rsidR="005339B5" w:rsidRDefault="005339B5" w:rsidP="005339B5">
      <w:pPr>
        <w:ind w:left="567" w:hanging="567"/>
        <w:jc w:val="both"/>
        <w:rPr>
          <w:color w:val="000000"/>
        </w:rPr>
      </w:pPr>
      <w:r w:rsidRPr="0021474B">
        <w:rPr>
          <w:color w:val="000000"/>
        </w:rPr>
        <w:t xml:space="preserve">C. </w:t>
      </w:r>
      <w:r w:rsidRPr="0021474B">
        <w:rPr>
          <w:color w:val="000000"/>
        </w:rPr>
        <w:tab/>
        <w:t xml:space="preserve">El artículo 28 de la </w:t>
      </w:r>
      <w:r w:rsidRPr="0021474B">
        <w:rPr>
          <w:i/>
          <w:color w:val="000000"/>
        </w:rPr>
        <w:t>Ley Reguladora del Mercado de Seguros</w:t>
      </w:r>
      <w:r w:rsidRPr="0021474B">
        <w:rPr>
          <w:color w:val="000000"/>
        </w:rPr>
        <w:t>, Ley 8653, indica que el Banco Central de Costa Rica sufragará los gastos necesarios para garantizar el correcto y eficiente funcionamiento de la Superintendencia General de Seguros.</w:t>
      </w:r>
    </w:p>
    <w:p w14:paraId="4105AEFF" w14:textId="77777777" w:rsidR="005339B5" w:rsidRDefault="005339B5" w:rsidP="005339B5">
      <w:pPr>
        <w:ind w:left="705" w:hanging="705"/>
        <w:jc w:val="both"/>
        <w:rPr>
          <w:color w:val="000000"/>
        </w:rPr>
      </w:pPr>
    </w:p>
    <w:p w14:paraId="12173E76" w14:textId="77777777" w:rsidR="005339B5" w:rsidRPr="0021474B" w:rsidRDefault="005339B5" w:rsidP="005339B5">
      <w:pPr>
        <w:jc w:val="both"/>
        <w:rPr>
          <w:b/>
          <w:color w:val="000000"/>
        </w:rPr>
      </w:pPr>
      <w:r w:rsidRPr="0021474B">
        <w:rPr>
          <w:b/>
          <w:color w:val="000000"/>
        </w:rPr>
        <w:t>resolvió:</w:t>
      </w:r>
    </w:p>
    <w:p w14:paraId="20C3F5D5" w14:textId="77777777" w:rsidR="005339B5" w:rsidRPr="0021474B" w:rsidRDefault="005339B5" w:rsidP="005339B5">
      <w:pPr>
        <w:jc w:val="both"/>
        <w:rPr>
          <w:color w:val="000000"/>
          <w:sz w:val="12"/>
        </w:rPr>
      </w:pPr>
    </w:p>
    <w:p w14:paraId="18BAB25D" w14:textId="77777777" w:rsidR="005339B5" w:rsidRPr="0021474B" w:rsidRDefault="005339B5" w:rsidP="005339B5">
      <w:pPr>
        <w:jc w:val="both"/>
        <w:rPr>
          <w:color w:val="000000"/>
        </w:rPr>
      </w:pPr>
      <w:r w:rsidRPr="0021474B">
        <w:rPr>
          <w:color w:val="000000"/>
        </w:rPr>
        <w:t xml:space="preserve">Aprobar una transferencia de ¢28.768.689.598,00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Seguros, para el 2017. </w:t>
      </w:r>
    </w:p>
    <w:p w14:paraId="4D596649" w14:textId="77777777" w:rsidR="005339B5" w:rsidRPr="0021474B" w:rsidRDefault="005339B5" w:rsidP="005339B5">
      <w:pPr>
        <w:jc w:val="both"/>
        <w:rPr>
          <w:color w:val="000000"/>
          <w:sz w:val="12"/>
        </w:rPr>
      </w:pPr>
    </w:p>
    <w:p w14:paraId="79B5E9D0" w14:textId="77777777" w:rsidR="005339B5" w:rsidRPr="0021474B" w:rsidRDefault="005339B5" w:rsidP="005339B5">
      <w:pPr>
        <w:jc w:val="both"/>
        <w:rPr>
          <w:color w:val="000000"/>
        </w:rPr>
      </w:pPr>
      <w:r w:rsidRPr="0021474B">
        <w:rPr>
          <w:color w:val="000000"/>
        </w:rPr>
        <w:lastRenderedPageBreak/>
        <w:t xml:space="preserve">El 20% del presupuesto efectivo que aportarán los órganos supervisados por la Superintendencia General de Entidades Financieras, la Superintendencia General de Valores y la Superintendencia de Pensiones será rembolsado al Banco Central de Costa Rica, para compensar, en lo que corresponda, la transferencia incluida en el Presupuesto Ordinario del Banco Central para financiar los presupuestos ordinarios del CONASSIF y las Superintendencias, a la luz de lo establecido en el </w:t>
      </w:r>
      <w:r w:rsidRPr="008D187E">
        <w:rPr>
          <w:i/>
          <w:color w:val="000000"/>
        </w:rPr>
        <w:t>Reglamento para Regular la Participación de los Sujetos Fiscalizados y del Banco Central en el Financiamiento del Presupuesto de las Superintendencias</w:t>
      </w:r>
      <w:r w:rsidRPr="0021474B">
        <w:rPr>
          <w:color w:val="000000"/>
        </w:rPr>
        <w:t>, publicado en el diario oficial La Gaceta 79, del 25 de abril del 2014.</w:t>
      </w:r>
    </w:p>
    <w:p w14:paraId="52D7D4F6" w14:textId="77777777" w:rsidR="005339B5" w:rsidRPr="0021474B" w:rsidRDefault="005339B5" w:rsidP="005339B5">
      <w:pPr>
        <w:jc w:val="both"/>
        <w:rPr>
          <w:color w:val="000000"/>
          <w:sz w:val="12"/>
        </w:rPr>
      </w:pPr>
    </w:p>
    <w:p w14:paraId="3D11B9B5" w14:textId="77777777" w:rsidR="005339B5" w:rsidRPr="0021474B" w:rsidRDefault="005339B5" w:rsidP="005339B5">
      <w:pPr>
        <w:jc w:val="both"/>
        <w:rPr>
          <w:color w:val="000000"/>
        </w:rPr>
      </w:pPr>
      <w:r w:rsidRPr="0021474B">
        <w:rPr>
          <w:color w:val="000000"/>
        </w:rPr>
        <w:t xml:space="preserve">En el caso del financiamiento del presupuesto de la Superintendencia General de Seguros, de conformidad con lo dispuesto en el artículo 28 de la </w:t>
      </w:r>
      <w:r w:rsidRPr="0021474B">
        <w:rPr>
          <w:i/>
          <w:color w:val="000000"/>
        </w:rPr>
        <w:t>Ley Reguladora del Mercado de Seguros</w:t>
      </w:r>
      <w:r w:rsidRPr="0021474B">
        <w:rPr>
          <w:color w:val="000000"/>
        </w:rPr>
        <w:t>, Ley 8653, el Banco Central de Costa Rica sufragará los gastos necesarios para garantizar el funcionamiento de esa Superintendencia.</w:t>
      </w:r>
    </w:p>
    <w:p w14:paraId="6C0E3483" w14:textId="77777777" w:rsidR="005339B5" w:rsidRPr="0021474B" w:rsidRDefault="005339B5" w:rsidP="005339B5">
      <w:pPr>
        <w:jc w:val="both"/>
        <w:rPr>
          <w:color w:val="000000"/>
          <w:sz w:val="12"/>
        </w:rPr>
      </w:pPr>
    </w:p>
    <w:p w14:paraId="780164AC" w14:textId="77777777" w:rsidR="005339B5" w:rsidRPr="0021474B" w:rsidRDefault="005339B5" w:rsidP="005339B5">
      <w:pPr>
        <w:widowControl w:val="0"/>
        <w:jc w:val="both"/>
      </w:pPr>
      <w:r w:rsidRPr="0021474B">
        <w:t>Atentamente,</w:t>
      </w:r>
    </w:p>
    <w:p w14:paraId="688007A7" w14:textId="77777777" w:rsidR="005339B5" w:rsidRPr="0021474B" w:rsidRDefault="005339B5" w:rsidP="005339B5">
      <w:pPr>
        <w:widowControl w:val="0"/>
        <w:jc w:val="both"/>
      </w:pPr>
    </w:p>
    <w:p w14:paraId="12B28489" w14:textId="77777777" w:rsidR="005339B5" w:rsidRPr="0021474B" w:rsidRDefault="005339B5" w:rsidP="005339B5">
      <w:pPr>
        <w:widowControl w:val="0"/>
      </w:pPr>
    </w:p>
    <w:p w14:paraId="659340B4" w14:textId="77777777" w:rsidR="005339B5" w:rsidRPr="0021474B" w:rsidRDefault="005339B5" w:rsidP="005339B5">
      <w:pPr>
        <w:widowControl w:val="0"/>
        <w:jc w:val="both"/>
      </w:pPr>
      <w:r w:rsidRPr="0021474B">
        <w:rPr>
          <w:noProof/>
        </w:rPr>
        <w:drawing>
          <wp:anchor distT="0" distB="0" distL="114300" distR="114300" simplePos="0" relativeHeight="251747328" behindDoc="1" locked="0" layoutInCell="1" allowOverlap="1" wp14:anchorId="7333B962" wp14:editId="225BE1CF">
            <wp:simplePos x="0" y="0"/>
            <wp:positionH relativeFrom="column">
              <wp:posOffset>-194945</wp:posOffset>
            </wp:positionH>
            <wp:positionV relativeFrom="paragraph">
              <wp:posOffset>74930</wp:posOffset>
            </wp:positionV>
            <wp:extent cx="2552700" cy="396240"/>
            <wp:effectExtent l="0" t="0" r="0" b="3810"/>
            <wp:wrapTight wrapText="bothSides">
              <wp:wrapPolygon edited="0">
                <wp:start x="0" y="0"/>
                <wp:lineTo x="0" y="20769"/>
                <wp:lineTo x="21439" y="20769"/>
                <wp:lineTo x="21439" y="0"/>
                <wp:lineTo x="0" y="0"/>
              </wp:wrapPolygon>
            </wp:wrapTight>
            <wp:docPr id="21" name="Imagen 21"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i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5527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6176D" w14:textId="77777777" w:rsidR="005339B5" w:rsidRPr="0021474B" w:rsidRDefault="005339B5" w:rsidP="005339B5">
      <w:pPr>
        <w:widowControl w:val="0"/>
        <w:jc w:val="both"/>
      </w:pPr>
    </w:p>
    <w:p w14:paraId="195D88DE" w14:textId="77777777" w:rsidR="005339B5" w:rsidRPr="0021474B" w:rsidRDefault="005339B5" w:rsidP="005339B5">
      <w:pPr>
        <w:widowControl w:val="0"/>
        <w:jc w:val="both"/>
      </w:pPr>
    </w:p>
    <w:p w14:paraId="34585F14" w14:textId="77777777" w:rsidR="005339B5" w:rsidRPr="0021474B" w:rsidRDefault="005339B5" w:rsidP="005339B5">
      <w:pPr>
        <w:widowControl w:val="0"/>
        <w:ind w:left="567" w:hanging="567"/>
        <w:jc w:val="both"/>
      </w:pPr>
      <w:r w:rsidRPr="0021474B">
        <w:t>Jorge Monge Bonilla</w:t>
      </w:r>
    </w:p>
    <w:p w14:paraId="3D443F1C" w14:textId="77777777" w:rsidR="005339B5" w:rsidRPr="0021474B" w:rsidRDefault="005339B5" w:rsidP="005339B5">
      <w:pPr>
        <w:widowControl w:val="0"/>
        <w:ind w:left="567" w:hanging="567"/>
        <w:jc w:val="both"/>
        <w:rPr>
          <w:i/>
        </w:rPr>
      </w:pPr>
      <w:r w:rsidRPr="0021474B">
        <w:rPr>
          <w:i/>
        </w:rPr>
        <w:t>Secretario General</w:t>
      </w:r>
    </w:p>
    <w:p w14:paraId="7E35DB87" w14:textId="77777777" w:rsidR="005339B5" w:rsidRPr="0021474B" w:rsidRDefault="005339B5" w:rsidP="005339B5">
      <w:pPr>
        <w:widowControl w:val="0"/>
        <w:jc w:val="both"/>
      </w:pPr>
    </w:p>
    <w:p w14:paraId="64610061" w14:textId="39ACBF88" w:rsidR="009400B0" w:rsidRDefault="009400B0" w:rsidP="004A2776">
      <w:pPr>
        <w:rPr>
          <w:vanish/>
          <w:lang w:val="es-ES_tradnl" w:eastAsia="es-ES_tradnl"/>
        </w:rPr>
      </w:pPr>
    </w:p>
    <w:p w14:paraId="3FB3AB48" w14:textId="77777777" w:rsidR="00DC377B" w:rsidRDefault="00DC377B">
      <w:pPr>
        <w:rPr>
          <w:vanish/>
          <w:lang w:val="es-ES_tradnl" w:eastAsia="es-ES_tradnl"/>
        </w:rPr>
      </w:pPr>
      <w:r>
        <w:rPr>
          <w:vanish/>
          <w:lang w:val="es-ES_tradnl" w:eastAsia="es-ES_tradnl"/>
        </w:rPr>
        <w:br w:type="page"/>
      </w:r>
    </w:p>
    <w:p w14:paraId="16928FC8" w14:textId="77777777" w:rsidR="00BD0A8F" w:rsidRDefault="00BD0A8F" w:rsidP="00BD0A8F">
      <w:pPr>
        <w:pStyle w:val="Encabezado"/>
      </w:pPr>
      <w:r>
        <w:rPr>
          <w:noProof/>
          <w:lang w:val="es-ES" w:eastAsia="es-ES"/>
        </w:rPr>
        <w:lastRenderedPageBreak/>
        <w:drawing>
          <wp:anchor distT="0" distB="0" distL="114300" distR="114300" simplePos="0" relativeHeight="251739136" behindDoc="0" locked="0" layoutInCell="1" allowOverlap="1" wp14:anchorId="0FA2ADD2" wp14:editId="6EF313AC">
            <wp:simplePos x="0" y="0"/>
            <wp:positionH relativeFrom="column">
              <wp:posOffset>-120015</wp:posOffset>
            </wp:positionH>
            <wp:positionV relativeFrom="paragraph">
              <wp:posOffset>135890</wp:posOffset>
            </wp:positionV>
            <wp:extent cx="4697730" cy="398780"/>
            <wp:effectExtent l="0" t="0" r="0" b="1270"/>
            <wp:wrapTight wrapText="bothSides">
              <wp:wrapPolygon edited="0">
                <wp:start x="438" y="0"/>
                <wp:lineTo x="0" y="9287"/>
                <wp:lineTo x="0" y="14446"/>
                <wp:lineTo x="876" y="20637"/>
                <wp:lineTo x="964" y="20637"/>
                <wp:lineTo x="1401" y="20637"/>
                <wp:lineTo x="15854" y="17541"/>
                <wp:lineTo x="15854" y="5159"/>
                <wp:lineTo x="1314" y="0"/>
                <wp:lineTo x="438" y="0"/>
              </wp:wrapPolygon>
            </wp:wrapTight>
            <wp:docPr id="80455" name="Imagen 80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9">
                      <a:extLst>
                        <a:ext uri="{28A0092B-C50C-407E-A947-70E740481C1C}">
                          <a14:useLocalDpi xmlns:a14="http://schemas.microsoft.com/office/drawing/2010/main" val="0"/>
                        </a:ext>
                      </a:extLst>
                    </a:blip>
                    <a:srcRect r="14087"/>
                    <a:stretch>
                      <a:fillRect/>
                    </a:stretch>
                  </pic:blipFill>
                  <pic:spPr bwMode="auto">
                    <a:xfrm>
                      <a:off x="0" y="0"/>
                      <a:ext cx="4697730"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11BB4" w14:textId="77777777" w:rsidR="00BD0A8F" w:rsidRDefault="00BD0A8F" w:rsidP="00BD0A8F">
      <w:pPr>
        <w:ind w:left="567" w:hanging="567"/>
        <w:jc w:val="both"/>
        <w:rPr>
          <w:sz w:val="22"/>
          <w:szCs w:val="22"/>
        </w:rPr>
      </w:pPr>
    </w:p>
    <w:p w14:paraId="63DAE3A8" w14:textId="77777777" w:rsidR="00BD0A8F" w:rsidRDefault="00BD0A8F" w:rsidP="00BD0A8F">
      <w:pPr>
        <w:ind w:left="567" w:hanging="567"/>
        <w:jc w:val="both"/>
        <w:rPr>
          <w:sz w:val="22"/>
          <w:szCs w:val="22"/>
        </w:rPr>
      </w:pPr>
    </w:p>
    <w:p w14:paraId="53A1CE53" w14:textId="77777777" w:rsidR="00BD0A8F" w:rsidRDefault="00BD0A8F" w:rsidP="00BD0A8F">
      <w:pPr>
        <w:ind w:left="567" w:hanging="567"/>
        <w:jc w:val="both"/>
        <w:rPr>
          <w:sz w:val="22"/>
          <w:szCs w:val="22"/>
        </w:rPr>
      </w:pPr>
    </w:p>
    <w:p w14:paraId="7C651C5B" w14:textId="77777777" w:rsidR="00BD0A8F" w:rsidRPr="00CB6FBF" w:rsidRDefault="00BD0A8F" w:rsidP="00BD0A8F">
      <w:pPr>
        <w:ind w:left="567" w:hanging="567"/>
        <w:jc w:val="both"/>
        <w:rPr>
          <w:sz w:val="22"/>
          <w:szCs w:val="22"/>
        </w:rPr>
      </w:pPr>
    </w:p>
    <w:p w14:paraId="3848A4F7" w14:textId="77777777" w:rsidR="00F36B91" w:rsidRDefault="00F36B91" w:rsidP="004A2776">
      <w:pPr>
        <w:rPr>
          <w:vanish/>
          <w:lang w:eastAsia="es-ES_tradnl"/>
        </w:rPr>
      </w:pPr>
    </w:p>
    <w:p w14:paraId="123EA4A5" w14:textId="77777777" w:rsidR="004D11EF" w:rsidRPr="00CD0D82" w:rsidRDefault="004D11EF" w:rsidP="004D11EF">
      <w:pPr>
        <w:ind w:left="567" w:hanging="567"/>
        <w:jc w:val="both"/>
        <w:rPr>
          <w:sz w:val="22"/>
          <w:szCs w:val="22"/>
        </w:rPr>
      </w:pPr>
      <w:r w:rsidRPr="00CD0D82">
        <w:rPr>
          <w:sz w:val="22"/>
          <w:szCs w:val="22"/>
        </w:rPr>
        <w:t>22 de setiembre del 2016</w:t>
      </w:r>
    </w:p>
    <w:p w14:paraId="083F03F8" w14:textId="77777777" w:rsidR="004D11EF" w:rsidRPr="00CD0D82" w:rsidRDefault="004D11EF" w:rsidP="004D11EF">
      <w:pPr>
        <w:ind w:left="567" w:hanging="567"/>
        <w:jc w:val="both"/>
        <w:rPr>
          <w:sz w:val="22"/>
          <w:szCs w:val="22"/>
        </w:rPr>
      </w:pPr>
      <w:r w:rsidRPr="00CD0D82">
        <w:rPr>
          <w:sz w:val="22"/>
          <w:szCs w:val="22"/>
        </w:rPr>
        <w:t>CNS-1281/05</w:t>
      </w:r>
    </w:p>
    <w:p w14:paraId="7487F325" w14:textId="77777777" w:rsidR="004D11EF" w:rsidRPr="00CD0D82" w:rsidRDefault="004D11EF" w:rsidP="004D11EF">
      <w:pPr>
        <w:jc w:val="both"/>
        <w:rPr>
          <w:b/>
          <w:i/>
          <w:sz w:val="22"/>
          <w:szCs w:val="22"/>
        </w:rPr>
      </w:pPr>
    </w:p>
    <w:p w14:paraId="1E87B92C" w14:textId="77777777" w:rsidR="004D11EF" w:rsidRDefault="004D11EF" w:rsidP="004D11EF">
      <w:pPr>
        <w:jc w:val="both"/>
        <w:rPr>
          <w:b/>
          <w:i/>
          <w:sz w:val="22"/>
          <w:szCs w:val="22"/>
        </w:rPr>
      </w:pPr>
    </w:p>
    <w:p w14:paraId="57D781A8" w14:textId="77777777" w:rsidR="004D11EF" w:rsidRDefault="004D11EF" w:rsidP="004D11EF">
      <w:pPr>
        <w:jc w:val="both"/>
        <w:rPr>
          <w:b/>
          <w:i/>
          <w:sz w:val="22"/>
          <w:szCs w:val="22"/>
        </w:rPr>
      </w:pPr>
    </w:p>
    <w:p w14:paraId="0195FE79" w14:textId="77777777" w:rsidR="004D11EF" w:rsidRPr="00D111CC" w:rsidRDefault="004D11EF" w:rsidP="004D11EF">
      <w:pPr>
        <w:jc w:val="both"/>
        <w:rPr>
          <w:b/>
          <w:i/>
        </w:rPr>
      </w:pPr>
    </w:p>
    <w:p w14:paraId="725025C5" w14:textId="77777777" w:rsidR="004D11EF" w:rsidRPr="00D111CC" w:rsidRDefault="004D11EF" w:rsidP="004D11EF">
      <w:pPr>
        <w:widowControl w:val="0"/>
        <w:jc w:val="both"/>
        <w:rPr>
          <w:sz w:val="22"/>
          <w:szCs w:val="22"/>
        </w:rPr>
      </w:pPr>
      <w:r w:rsidRPr="00D111CC">
        <w:rPr>
          <w:sz w:val="22"/>
          <w:szCs w:val="22"/>
        </w:rPr>
        <w:t>Señor</w:t>
      </w:r>
    </w:p>
    <w:p w14:paraId="07C5F127" w14:textId="77777777" w:rsidR="004D11EF" w:rsidRPr="0062398D" w:rsidRDefault="004D11EF" w:rsidP="004D11EF">
      <w:pPr>
        <w:widowControl w:val="0"/>
        <w:jc w:val="both"/>
        <w:rPr>
          <w:b/>
          <w:i/>
          <w:sz w:val="22"/>
          <w:szCs w:val="22"/>
        </w:rPr>
      </w:pPr>
      <w:r w:rsidRPr="0062398D">
        <w:rPr>
          <w:sz w:val="22"/>
          <w:szCs w:val="22"/>
        </w:rPr>
        <w:t xml:space="preserve">Alvaro Ramos Chaves, </w:t>
      </w:r>
      <w:r w:rsidRPr="0062398D">
        <w:rPr>
          <w:b/>
          <w:i/>
          <w:sz w:val="22"/>
          <w:szCs w:val="22"/>
        </w:rPr>
        <w:t>Superintendente</w:t>
      </w:r>
    </w:p>
    <w:p w14:paraId="4FC12A7A" w14:textId="77777777" w:rsidR="004D11EF" w:rsidRPr="0062398D" w:rsidRDefault="004D11EF" w:rsidP="004D11EF">
      <w:pPr>
        <w:widowControl w:val="0"/>
        <w:jc w:val="both"/>
        <w:rPr>
          <w:b/>
          <w:i/>
          <w:sz w:val="22"/>
          <w:szCs w:val="22"/>
        </w:rPr>
      </w:pPr>
      <w:r w:rsidRPr="0062398D">
        <w:rPr>
          <w:b/>
          <w:i/>
          <w:sz w:val="22"/>
          <w:szCs w:val="22"/>
        </w:rPr>
        <w:t>SUPERINTENDENCIA DE PENSIONES</w:t>
      </w:r>
    </w:p>
    <w:p w14:paraId="408764D5" w14:textId="77777777" w:rsidR="004D11EF" w:rsidRDefault="004D11EF" w:rsidP="004D11EF">
      <w:pPr>
        <w:widowControl w:val="0"/>
        <w:jc w:val="both"/>
        <w:rPr>
          <w:b/>
          <w:i/>
          <w:sz w:val="22"/>
          <w:szCs w:val="22"/>
        </w:rPr>
      </w:pPr>
    </w:p>
    <w:p w14:paraId="25342968" w14:textId="77777777" w:rsidR="004D11EF" w:rsidRPr="00CD0D82" w:rsidRDefault="004D11EF" w:rsidP="004D11EF">
      <w:pPr>
        <w:jc w:val="both"/>
        <w:rPr>
          <w:b/>
          <w:i/>
          <w:sz w:val="22"/>
          <w:szCs w:val="22"/>
        </w:rPr>
      </w:pPr>
    </w:p>
    <w:p w14:paraId="5D252F14" w14:textId="77777777" w:rsidR="004D11EF" w:rsidRPr="00CD0D82" w:rsidRDefault="004D11EF" w:rsidP="004D11EF">
      <w:pPr>
        <w:widowControl w:val="0"/>
        <w:jc w:val="both"/>
        <w:rPr>
          <w:sz w:val="22"/>
          <w:szCs w:val="22"/>
        </w:rPr>
      </w:pPr>
      <w:r w:rsidRPr="00CD0D82">
        <w:rPr>
          <w:sz w:val="22"/>
          <w:szCs w:val="22"/>
        </w:rPr>
        <w:t>Estimado señor:</w:t>
      </w:r>
    </w:p>
    <w:p w14:paraId="768C0A39" w14:textId="77777777" w:rsidR="004D11EF" w:rsidRPr="00CD0D82" w:rsidRDefault="004D11EF" w:rsidP="004D11EF">
      <w:pPr>
        <w:jc w:val="both"/>
        <w:rPr>
          <w:b/>
          <w:i/>
          <w:sz w:val="22"/>
          <w:szCs w:val="22"/>
        </w:rPr>
      </w:pPr>
    </w:p>
    <w:p w14:paraId="7571257D" w14:textId="77777777" w:rsidR="004D11EF" w:rsidRPr="00CD0D82" w:rsidRDefault="004D11EF" w:rsidP="004D11EF">
      <w:pPr>
        <w:widowControl w:val="0"/>
        <w:jc w:val="both"/>
        <w:rPr>
          <w:sz w:val="22"/>
          <w:szCs w:val="22"/>
        </w:rPr>
      </w:pPr>
      <w:r w:rsidRPr="00CD0D82">
        <w:rPr>
          <w:sz w:val="22"/>
          <w:szCs w:val="22"/>
        </w:rPr>
        <w:t xml:space="preserve">El Consejo Nacional de Supervisión del Sistema Financiero en el </w:t>
      </w:r>
      <w:r>
        <w:rPr>
          <w:sz w:val="22"/>
          <w:szCs w:val="22"/>
        </w:rPr>
        <w:t xml:space="preserve">inciso II del </w:t>
      </w:r>
      <w:r w:rsidRPr="00CD0D82">
        <w:rPr>
          <w:sz w:val="22"/>
          <w:szCs w:val="22"/>
        </w:rPr>
        <w:t>artículo 5</w:t>
      </w:r>
      <w:r>
        <w:rPr>
          <w:sz w:val="22"/>
          <w:szCs w:val="22"/>
        </w:rPr>
        <w:t>,</w:t>
      </w:r>
      <w:r w:rsidRPr="00CD0D82">
        <w:rPr>
          <w:sz w:val="22"/>
          <w:szCs w:val="22"/>
        </w:rPr>
        <w:t xml:space="preserve"> del acta de la sesión 1281-2016, celebrada el 20 de setiembre del 2016, con base en lo expuesto en la carta PDC-128-2016, del 14 de setiembre del 2016, suscrito por la Encargada Administrativa del Consejo, y en el oficio SP 1021-2016, del 6 de setiembre del 2016, de la Superintendencia de Pensiones,</w:t>
      </w:r>
    </w:p>
    <w:p w14:paraId="10B8251F" w14:textId="77777777" w:rsidR="004D11EF" w:rsidRPr="00CD0D82" w:rsidRDefault="004D11EF" w:rsidP="004D11EF">
      <w:pPr>
        <w:widowControl w:val="0"/>
        <w:ind w:left="284" w:hanging="284"/>
        <w:jc w:val="both"/>
        <w:rPr>
          <w:sz w:val="22"/>
          <w:szCs w:val="22"/>
        </w:rPr>
      </w:pPr>
    </w:p>
    <w:p w14:paraId="0374E1B8" w14:textId="77777777" w:rsidR="004D11EF" w:rsidRPr="00CD0D82" w:rsidRDefault="004D11EF" w:rsidP="004D11EF">
      <w:pPr>
        <w:widowControl w:val="0"/>
        <w:jc w:val="both"/>
        <w:rPr>
          <w:b/>
          <w:sz w:val="22"/>
          <w:szCs w:val="22"/>
        </w:rPr>
      </w:pPr>
      <w:r w:rsidRPr="00CD0D82">
        <w:rPr>
          <w:b/>
          <w:sz w:val="22"/>
          <w:szCs w:val="22"/>
        </w:rPr>
        <w:t>Plan Operativo Institucional, Plan Estratégico 2016-2020 y al Pr</w:t>
      </w:r>
      <w:r>
        <w:rPr>
          <w:b/>
          <w:sz w:val="22"/>
          <w:szCs w:val="22"/>
        </w:rPr>
        <w:t xml:space="preserve">esupuesto de Ingresos y Egresos </w:t>
      </w:r>
      <w:r w:rsidRPr="00CD0D82">
        <w:rPr>
          <w:b/>
          <w:sz w:val="22"/>
          <w:szCs w:val="22"/>
        </w:rPr>
        <w:t>de la Superintendencia de Pensiones, para el 2017</w:t>
      </w:r>
    </w:p>
    <w:p w14:paraId="3603FFF3" w14:textId="77777777" w:rsidR="004D11EF" w:rsidRPr="00CD0D82" w:rsidRDefault="004D11EF" w:rsidP="004D11EF">
      <w:pPr>
        <w:widowControl w:val="0"/>
        <w:ind w:left="284" w:hanging="284"/>
        <w:jc w:val="both"/>
        <w:rPr>
          <w:sz w:val="22"/>
          <w:szCs w:val="22"/>
        </w:rPr>
      </w:pPr>
    </w:p>
    <w:p w14:paraId="527ED848" w14:textId="77777777" w:rsidR="004D11EF" w:rsidRPr="00CD0D82" w:rsidRDefault="004D11EF" w:rsidP="004D11EF">
      <w:pPr>
        <w:widowControl w:val="0"/>
        <w:jc w:val="both"/>
        <w:rPr>
          <w:b/>
          <w:sz w:val="22"/>
          <w:szCs w:val="22"/>
        </w:rPr>
      </w:pPr>
      <w:r w:rsidRPr="00CD0D82">
        <w:rPr>
          <w:b/>
          <w:sz w:val="22"/>
          <w:szCs w:val="22"/>
        </w:rPr>
        <w:t>considerando que:</w:t>
      </w:r>
    </w:p>
    <w:p w14:paraId="673C152D" w14:textId="77777777" w:rsidR="004D11EF" w:rsidRPr="00CD0D82" w:rsidRDefault="004D11EF" w:rsidP="004D11EF">
      <w:pPr>
        <w:widowControl w:val="0"/>
        <w:jc w:val="both"/>
        <w:rPr>
          <w:sz w:val="22"/>
          <w:szCs w:val="22"/>
        </w:rPr>
      </w:pPr>
    </w:p>
    <w:p w14:paraId="07054315" w14:textId="77777777" w:rsidR="004D11EF" w:rsidRPr="00CD0D82" w:rsidRDefault="004D11EF" w:rsidP="004D11EF">
      <w:pPr>
        <w:ind w:left="567" w:hanging="567"/>
        <w:jc w:val="both"/>
        <w:rPr>
          <w:sz w:val="22"/>
          <w:szCs w:val="22"/>
        </w:rPr>
      </w:pPr>
      <w:r w:rsidRPr="00CD0D82">
        <w:rPr>
          <w:sz w:val="22"/>
          <w:szCs w:val="22"/>
        </w:rPr>
        <w:t xml:space="preserve">a. </w:t>
      </w:r>
      <w:r w:rsidRPr="00CD0D82">
        <w:rPr>
          <w:sz w:val="22"/>
          <w:szCs w:val="22"/>
        </w:rPr>
        <w:tab/>
        <w:t xml:space="preserve">Con sustento en lo previsto en el literal k), artículo 171, de la </w:t>
      </w:r>
      <w:r w:rsidRPr="00CD0D82">
        <w:rPr>
          <w:i/>
          <w:sz w:val="22"/>
          <w:szCs w:val="22"/>
        </w:rPr>
        <w:t>Ley Reguladora del Mercado de Valores,</w:t>
      </w:r>
      <w:r w:rsidRPr="00CD0D82">
        <w:rPr>
          <w:sz w:val="22"/>
          <w:szCs w:val="22"/>
        </w:rPr>
        <w:t xml:space="preserve"> Ley 7732, y sus reformas, según se consigna en</w:t>
      </w:r>
      <w:r w:rsidRPr="00CD0D82">
        <w:rPr>
          <w:color w:val="000000"/>
          <w:sz w:val="22"/>
          <w:szCs w:val="22"/>
        </w:rPr>
        <w:t xml:space="preserve"> los 17 y 6, de las actas de las sesiones 1270-2016 y 1271-2016, celebradas</w:t>
      </w:r>
      <w:r>
        <w:rPr>
          <w:color w:val="000000"/>
          <w:sz w:val="22"/>
          <w:szCs w:val="22"/>
        </w:rPr>
        <w:t xml:space="preserve"> ambas</w:t>
      </w:r>
      <w:r w:rsidRPr="00CD0D82">
        <w:rPr>
          <w:color w:val="000000"/>
          <w:sz w:val="22"/>
          <w:szCs w:val="22"/>
        </w:rPr>
        <w:t xml:space="preserve"> el 10 de agosto del 2016, y modificados según lo resuelto en los artículos 5 y 6, de las actas de las sesiones 1277-2016 y 1278-2016, celebradas</w:t>
      </w:r>
      <w:r>
        <w:rPr>
          <w:color w:val="000000"/>
          <w:sz w:val="22"/>
          <w:szCs w:val="22"/>
        </w:rPr>
        <w:t xml:space="preserve"> ambas</w:t>
      </w:r>
      <w:r w:rsidRPr="00CD0D82">
        <w:rPr>
          <w:color w:val="000000"/>
          <w:sz w:val="22"/>
          <w:szCs w:val="22"/>
        </w:rPr>
        <w:t xml:space="preserve"> el 6 de setiembre de 2016, </w:t>
      </w:r>
      <w:r w:rsidRPr="00CD0D82">
        <w:rPr>
          <w:sz w:val="22"/>
          <w:szCs w:val="22"/>
        </w:rPr>
        <w:t>el Consejo Nacional de Supervisión del Sistema Financiero solicitó al Banco Central de Costa Rica la aprobación de una transferencia por ¢</w:t>
      </w:r>
      <w:r w:rsidRPr="00CD0D82">
        <w:rPr>
          <w:color w:val="000000"/>
          <w:sz w:val="22"/>
          <w:szCs w:val="22"/>
        </w:rPr>
        <w:t>28.768.689.598,00, para efectos del financiamiento de los presupuestos ordinarios de los Órganos Desconcentrados y del CONASSIF, correspondientes al 2017</w:t>
      </w:r>
      <w:r w:rsidRPr="00CD0D82">
        <w:rPr>
          <w:sz w:val="22"/>
          <w:szCs w:val="22"/>
        </w:rPr>
        <w:t>.</w:t>
      </w:r>
    </w:p>
    <w:p w14:paraId="6FEB2709" w14:textId="77777777" w:rsidR="004D11EF" w:rsidRPr="00CD0D82" w:rsidRDefault="004D11EF" w:rsidP="004D11EF">
      <w:pPr>
        <w:ind w:left="284" w:hanging="284"/>
        <w:jc w:val="both"/>
        <w:rPr>
          <w:sz w:val="22"/>
          <w:szCs w:val="22"/>
        </w:rPr>
      </w:pPr>
    </w:p>
    <w:p w14:paraId="2B457D21" w14:textId="77777777" w:rsidR="004D11EF" w:rsidRPr="00CD0D82" w:rsidRDefault="004D11EF" w:rsidP="004D11EF">
      <w:pPr>
        <w:ind w:left="567" w:hanging="567"/>
        <w:jc w:val="both"/>
        <w:rPr>
          <w:sz w:val="22"/>
          <w:szCs w:val="22"/>
        </w:rPr>
      </w:pPr>
      <w:r w:rsidRPr="00CD0D82">
        <w:rPr>
          <w:sz w:val="22"/>
          <w:szCs w:val="22"/>
        </w:rPr>
        <w:t xml:space="preserve">b. </w:t>
      </w:r>
      <w:r w:rsidRPr="00CD0D82">
        <w:rPr>
          <w:sz w:val="22"/>
          <w:szCs w:val="22"/>
        </w:rPr>
        <w:tab/>
        <w:t xml:space="preserve">La Junta Directiva del Banco Central de Costa Rica aprobó la citada transferencia de </w:t>
      </w:r>
      <w:r w:rsidRPr="00CD0D82">
        <w:rPr>
          <w:color w:val="000000"/>
          <w:sz w:val="22"/>
          <w:szCs w:val="22"/>
        </w:rPr>
        <w:t>¢28.768.689.598,00</w:t>
      </w:r>
      <w:r w:rsidRPr="00CD0D82">
        <w:rPr>
          <w:sz w:val="22"/>
          <w:szCs w:val="22"/>
        </w:rPr>
        <w:t>, según se consigna en el inciso II, artículo 8, del acta de la sesión 5738-2016, celebrada el 14 de setiembre del 2016, de conformidad con lo establecido en el artículo 171 de dicha Ley 7732, como límite global, con base en la cual se financiará el Presupuesto Ordinario del Consejo Nacional de Supervisión del Sistema Financiero y las Superintendencias, para el 2017.</w:t>
      </w:r>
    </w:p>
    <w:p w14:paraId="23DE3461" w14:textId="77777777" w:rsidR="004D11EF" w:rsidRPr="00CD0D82" w:rsidRDefault="004D11EF" w:rsidP="004D11EF">
      <w:pPr>
        <w:ind w:left="284" w:hanging="284"/>
        <w:jc w:val="both"/>
        <w:rPr>
          <w:sz w:val="22"/>
          <w:szCs w:val="22"/>
        </w:rPr>
      </w:pPr>
    </w:p>
    <w:p w14:paraId="1E8C3B77" w14:textId="77777777" w:rsidR="004D11EF" w:rsidRPr="00CD0D82" w:rsidRDefault="004D11EF" w:rsidP="004D11EF">
      <w:pPr>
        <w:ind w:left="567" w:hanging="567"/>
        <w:jc w:val="both"/>
        <w:rPr>
          <w:sz w:val="22"/>
          <w:szCs w:val="22"/>
        </w:rPr>
      </w:pPr>
      <w:r w:rsidRPr="00CD0D82">
        <w:rPr>
          <w:sz w:val="22"/>
          <w:szCs w:val="22"/>
        </w:rPr>
        <w:t xml:space="preserve">c. </w:t>
      </w:r>
      <w:r w:rsidRPr="00CD0D82">
        <w:rPr>
          <w:sz w:val="22"/>
          <w:szCs w:val="22"/>
        </w:rPr>
        <w:tab/>
        <w:t>La Superintendencia de Pensiones, en su informe del Plan Operativo Institucional, del Plan Estratégico 2016-2020</w:t>
      </w:r>
      <w:r>
        <w:rPr>
          <w:sz w:val="22"/>
          <w:szCs w:val="22"/>
        </w:rPr>
        <w:t xml:space="preserve"> y del Presupuesto para el 2017</w:t>
      </w:r>
      <w:r w:rsidRPr="00CD0D82">
        <w:rPr>
          <w:sz w:val="22"/>
          <w:szCs w:val="22"/>
        </w:rPr>
        <w:t>, adjunto al oficio SP 1021-2016, del 6 de setiembre del 2016, indica que su Presupuesto de Ingresos y Egresos para el 2017 asciende a ¢5.191.636.814,47.</w:t>
      </w:r>
    </w:p>
    <w:p w14:paraId="04D20FFD" w14:textId="77777777" w:rsidR="004D11EF" w:rsidRDefault="004D11EF" w:rsidP="004D11EF">
      <w:pPr>
        <w:jc w:val="both"/>
        <w:rPr>
          <w:sz w:val="22"/>
          <w:szCs w:val="22"/>
        </w:rPr>
      </w:pPr>
    </w:p>
    <w:p w14:paraId="09BC0287" w14:textId="77777777" w:rsidR="004D11EF" w:rsidRDefault="004D11EF" w:rsidP="004D11EF">
      <w:pPr>
        <w:jc w:val="both"/>
        <w:rPr>
          <w:b/>
          <w:sz w:val="22"/>
          <w:szCs w:val="22"/>
        </w:rPr>
      </w:pPr>
    </w:p>
    <w:p w14:paraId="0CB9AF91" w14:textId="77777777" w:rsidR="004D11EF" w:rsidRDefault="004D11EF" w:rsidP="004D11EF">
      <w:pPr>
        <w:jc w:val="both"/>
        <w:rPr>
          <w:b/>
          <w:sz w:val="22"/>
          <w:szCs w:val="22"/>
        </w:rPr>
      </w:pPr>
    </w:p>
    <w:p w14:paraId="4A90FBD5" w14:textId="77777777" w:rsidR="004D11EF" w:rsidRDefault="004D11EF" w:rsidP="004D11EF">
      <w:pPr>
        <w:jc w:val="both"/>
        <w:rPr>
          <w:b/>
          <w:sz w:val="22"/>
          <w:szCs w:val="22"/>
        </w:rPr>
      </w:pPr>
    </w:p>
    <w:p w14:paraId="3719F006" w14:textId="77777777" w:rsidR="004D11EF" w:rsidRPr="00CD0D82" w:rsidRDefault="004D11EF" w:rsidP="004D11EF">
      <w:pPr>
        <w:jc w:val="both"/>
        <w:rPr>
          <w:b/>
          <w:sz w:val="22"/>
          <w:szCs w:val="22"/>
        </w:rPr>
      </w:pPr>
      <w:r w:rsidRPr="00CD0D82">
        <w:rPr>
          <w:b/>
          <w:sz w:val="22"/>
          <w:szCs w:val="22"/>
        </w:rPr>
        <w:t>dispuso, por mayoría y en firme:</w:t>
      </w:r>
    </w:p>
    <w:p w14:paraId="7919E141" w14:textId="77777777" w:rsidR="004D11EF" w:rsidRPr="00CD0D82" w:rsidRDefault="004D11EF" w:rsidP="004D11EF">
      <w:pPr>
        <w:jc w:val="both"/>
        <w:rPr>
          <w:sz w:val="22"/>
          <w:szCs w:val="22"/>
        </w:rPr>
      </w:pPr>
    </w:p>
    <w:p w14:paraId="70E37AF6" w14:textId="77777777" w:rsidR="004D11EF" w:rsidRPr="00CD0D82" w:rsidRDefault="004D11EF" w:rsidP="004D11EF">
      <w:pPr>
        <w:jc w:val="both"/>
        <w:rPr>
          <w:sz w:val="22"/>
          <w:szCs w:val="22"/>
        </w:rPr>
      </w:pPr>
      <w:r w:rsidRPr="00CD0D82">
        <w:rPr>
          <w:sz w:val="22"/>
          <w:szCs w:val="22"/>
        </w:rPr>
        <w:t>aprobar, conforme a la documentación conocida en esta ocasión, el Plan Operativo Institucional, el Plan Estratégico 2016-2020 y el Presupuesto para el 2017, adjunto al oficio SP 1021-2016, del 6 de setiembre del 2016, de la Superintendencia de Pensiones, por un monto de ¢5.191.636.814,47, el cual será financiado con la transferencia aprobada para tales fines por la Junta Directiva del Banco Central de Costa Rica, según se consigna en el artículo 8, del acta de la sesión 5738-2016, del 14 de setiembre del 2016.</w:t>
      </w:r>
    </w:p>
    <w:p w14:paraId="61F1356A" w14:textId="77777777" w:rsidR="004D11EF" w:rsidRPr="00CD0D82" w:rsidRDefault="004D11EF" w:rsidP="004D11EF">
      <w:pPr>
        <w:jc w:val="both"/>
        <w:rPr>
          <w:sz w:val="22"/>
          <w:szCs w:val="22"/>
        </w:rPr>
      </w:pPr>
    </w:p>
    <w:p w14:paraId="7D9AFBB2" w14:textId="77777777" w:rsidR="004D11EF" w:rsidRPr="00CD0D82" w:rsidRDefault="004D11EF" w:rsidP="004D11EF">
      <w:pPr>
        <w:ind w:firstLine="709"/>
        <w:jc w:val="both"/>
        <w:rPr>
          <w:sz w:val="22"/>
          <w:szCs w:val="22"/>
        </w:rPr>
      </w:pPr>
      <w:r w:rsidRPr="00CD0D82">
        <w:rPr>
          <w:sz w:val="22"/>
          <w:szCs w:val="22"/>
        </w:rPr>
        <w:t>El 20% del presupuesto efectivo que aportarán los órganos supervisados de l</w:t>
      </w:r>
      <w:r>
        <w:rPr>
          <w:sz w:val="22"/>
          <w:szCs w:val="22"/>
        </w:rPr>
        <w:t>a Superintendencia de Pensiones</w:t>
      </w:r>
      <w:r w:rsidRPr="00CD0D82">
        <w:rPr>
          <w:sz w:val="22"/>
          <w:szCs w:val="22"/>
        </w:rPr>
        <w:t xml:space="preserve"> será reembolsado al Banco Central de Costa Rica para compensar, en lo que corresponda, la transferencia incluida en el Presupuesto Ordinario del Banco Central de Costa Rica para el 2017 para financiar los presupuestos ordinarios del CONASSIF y</w:t>
      </w:r>
      <w:r>
        <w:rPr>
          <w:sz w:val="22"/>
          <w:szCs w:val="22"/>
        </w:rPr>
        <w:t xml:space="preserve"> de</w:t>
      </w:r>
      <w:r w:rsidRPr="00CD0D82">
        <w:rPr>
          <w:sz w:val="22"/>
          <w:szCs w:val="22"/>
        </w:rPr>
        <w:t xml:space="preserve"> la SUPEN, a la luz de lo establecido en el </w:t>
      </w:r>
      <w:r w:rsidRPr="00CD0D82">
        <w:rPr>
          <w:i/>
          <w:sz w:val="22"/>
          <w:szCs w:val="22"/>
        </w:rPr>
        <w:t>Reglamento para regular la participación de los sujetos fiscalizados y del Banco Central en el financiamiento del Presupuesto de las Superintendencias</w:t>
      </w:r>
      <w:r w:rsidRPr="00CD0D82">
        <w:rPr>
          <w:sz w:val="22"/>
          <w:szCs w:val="22"/>
        </w:rPr>
        <w:t>, publicado en el diario oficial La Gaceta 79, del 25 de abril del 2014.</w:t>
      </w:r>
    </w:p>
    <w:p w14:paraId="3DB6D3D9" w14:textId="77777777" w:rsidR="004D11EF" w:rsidRPr="00CD0D82" w:rsidRDefault="004D11EF" w:rsidP="004D11EF">
      <w:pPr>
        <w:ind w:firstLine="1418"/>
        <w:jc w:val="both"/>
        <w:rPr>
          <w:sz w:val="22"/>
          <w:szCs w:val="22"/>
        </w:rPr>
      </w:pPr>
    </w:p>
    <w:p w14:paraId="29EA1329" w14:textId="77777777" w:rsidR="004D11EF" w:rsidRPr="00CD0D82" w:rsidRDefault="004D11EF" w:rsidP="004D11EF">
      <w:pPr>
        <w:widowControl w:val="0"/>
        <w:ind w:firstLine="709"/>
        <w:jc w:val="both"/>
        <w:rPr>
          <w:sz w:val="22"/>
          <w:szCs w:val="22"/>
        </w:rPr>
      </w:pPr>
      <w:r w:rsidRPr="00CD0D82">
        <w:rPr>
          <w:sz w:val="22"/>
          <w:szCs w:val="22"/>
        </w:rPr>
        <w:t>Queda entendido que la Superintendencia de Pensiones remitirá a la Contraloría General de la República el Plan Operativo Institucional y el Presupuesto para el 2017, para los fines pertinentes.</w:t>
      </w:r>
    </w:p>
    <w:p w14:paraId="13EDD1E1" w14:textId="77777777" w:rsidR="004D11EF" w:rsidRPr="00CD0D82" w:rsidRDefault="004D11EF" w:rsidP="004D11EF">
      <w:pPr>
        <w:widowControl w:val="0"/>
        <w:jc w:val="both"/>
        <w:rPr>
          <w:sz w:val="22"/>
          <w:szCs w:val="22"/>
        </w:rPr>
      </w:pPr>
    </w:p>
    <w:p w14:paraId="2599713E" w14:textId="77777777" w:rsidR="004D11EF" w:rsidRPr="00CD0D82" w:rsidRDefault="004D11EF" w:rsidP="004D11EF">
      <w:pPr>
        <w:widowControl w:val="0"/>
        <w:jc w:val="both"/>
        <w:rPr>
          <w:sz w:val="22"/>
          <w:szCs w:val="22"/>
        </w:rPr>
      </w:pPr>
      <w:r w:rsidRPr="00CD0D82">
        <w:rPr>
          <w:sz w:val="22"/>
          <w:szCs w:val="22"/>
        </w:rPr>
        <w:t>Atentamente,</w:t>
      </w:r>
    </w:p>
    <w:p w14:paraId="0A9A1C76" w14:textId="77777777" w:rsidR="004D11EF" w:rsidRPr="00CD0D82" w:rsidRDefault="004D11EF" w:rsidP="004D11EF">
      <w:pPr>
        <w:widowControl w:val="0"/>
        <w:jc w:val="both"/>
        <w:rPr>
          <w:sz w:val="22"/>
          <w:szCs w:val="22"/>
        </w:rPr>
      </w:pPr>
    </w:p>
    <w:p w14:paraId="5542928A" w14:textId="77777777" w:rsidR="004D11EF" w:rsidRPr="00CD0D82" w:rsidRDefault="004D11EF" w:rsidP="004D11EF">
      <w:pPr>
        <w:widowControl w:val="0"/>
        <w:jc w:val="both"/>
        <w:rPr>
          <w:sz w:val="22"/>
          <w:szCs w:val="22"/>
        </w:rPr>
      </w:pPr>
      <w:r w:rsidRPr="00CD0D82">
        <w:rPr>
          <w:noProof/>
          <w:sz w:val="22"/>
          <w:szCs w:val="22"/>
        </w:rPr>
        <w:drawing>
          <wp:anchor distT="0" distB="0" distL="114300" distR="114300" simplePos="0" relativeHeight="251751424" behindDoc="1" locked="0" layoutInCell="1" allowOverlap="1" wp14:anchorId="04CF3196" wp14:editId="1BADFDE5">
            <wp:simplePos x="0" y="0"/>
            <wp:positionH relativeFrom="column">
              <wp:posOffset>-162560</wp:posOffset>
            </wp:positionH>
            <wp:positionV relativeFrom="paragraph">
              <wp:posOffset>1905</wp:posOffset>
            </wp:positionV>
            <wp:extent cx="2553970" cy="396240"/>
            <wp:effectExtent l="0" t="0" r="0" b="3810"/>
            <wp:wrapTight wrapText="bothSides">
              <wp:wrapPolygon edited="0">
                <wp:start x="0" y="0"/>
                <wp:lineTo x="0" y="20769"/>
                <wp:lineTo x="21428" y="20769"/>
                <wp:lineTo x="21428" y="0"/>
                <wp:lineTo x="0" y="0"/>
              </wp:wrapPolygon>
            </wp:wrapTight>
            <wp:docPr id="24" name="Imagen 24" descr="F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di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53970" cy="396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C9065" w14:textId="77777777" w:rsidR="004D11EF" w:rsidRPr="00CD0D82" w:rsidRDefault="004D11EF" w:rsidP="004D11EF">
      <w:pPr>
        <w:widowControl w:val="0"/>
        <w:jc w:val="both"/>
        <w:rPr>
          <w:sz w:val="22"/>
          <w:szCs w:val="22"/>
        </w:rPr>
      </w:pPr>
    </w:p>
    <w:p w14:paraId="753C71D8" w14:textId="77777777" w:rsidR="004D11EF" w:rsidRPr="00CD0D82" w:rsidRDefault="004D11EF" w:rsidP="004D11EF">
      <w:pPr>
        <w:widowControl w:val="0"/>
        <w:jc w:val="both"/>
        <w:rPr>
          <w:sz w:val="22"/>
          <w:szCs w:val="22"/>
        </w:rPr>
      </w:pPr>
    </w:p>
    <w:p w14:paraId="2AE84EC0" w14:textId="77777777" w:rsidR="004D11EF" w:rsidRPr="00CD0D82" w:rsidRDefault="004D11EF" w:rsidP="004D11EF">
      <w:pPr>
        <w:widowControl w:val="0"/>
        <w:rPr>
          <w:sz w:val="22"/>
          <w:szCs w:val="22"/>
        </w:rPr>
      </w:pPr>
      <w:r w:rsidRPr="00CD0D82">
        <w:rPr>
          <w:sz w:val="22"/>
          <w:szCs w:val="22"/>
        </w:rPr>
        <w:t>Jorge Monge Bonilla</w:t>
      </w:r>
    </w:p>
    <w:p w14:paraId="2D21E927" w14:textId="77777777" w:rsidR="004D11EF" w:rsidRPr="00CD0D82" w:rsidRDefault="004D11EF" w:rsidP="004D11EF">
      <w:pPr>
        <w:widowControl w:val="0"/>
        <w:rPr>
          <w:i/>
          <w:sz w:val="22"/>
          <w:szCs w:val="22"/>
        </w:rPr>
      </w:pPr>
      <w:r w:rsidRPr="00CD0D82">
        <w:rPr>
          <w:i/>
          <w:sz w:val="22"/>
          <w:szCs w:val="22"/>
        </w:rPr>
        <w:t>Secretario del Consejo</w:t>
      </w:r>
    </w:p>
    <w:p w14:paraId="08FA4900" w14:textId="77777777" w:rsidR="004D11EF" w:rsidRDefault="004D11EF" w:rsidP="004D11EF">
      <w:pPr>
        <w:widowControl w:val="0"/>
        <w:jc w:val="both"/>
        <w:rPr>
          <w:sz w:val="22"/>
          <w:szCs w:val="22"/>
        </w:rPr>
      </w:pPr>
    </w:p>
    <w:p w14:paraId="4E3297FE" w14:textId="77777777" w:rsidR="00BE58C2" w:rsidRPr="00BD0A8F" w:rsidRDefault="00BE58C2" w:rsidP="004A2776">
      <w:pPr>
        <w:rPr>
          <w:vanish/>
          <w:lang w:eastAsia="es-ES_tradnl"/>
        </w:rPr>
      </w:pPr>
    </w:p>
    <w:sectPr w:rsidR="00BE58C2" w:rsidRPr="00BD0A8F" w:rsidSect="00BD3052">
      <w:headerReference w:type="default" r:id="rId12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2D00D" w14:textId="77777777" w:rsidR="004A4A9C" w:rsidRDefault="004A4A9C">
      <w:r>
        <w:separator/>
      </w:r>
    </w:p>
  </w:endnote>
  <w:endnote w:type="continuationSeparator" w:id="0">
    <w:p w14:paraId="4DFF74D0" w14:textId="77777777" w:rsidR="004A4A9C" w:rsidRDefault="004A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1)">
    <w:altName w:val="Arial"/>
    <w:charset w:val="00"/>
    <w:family w:val="swiss"/>
    <w:pitch w:val="variable"/>
    <w:sig w:usb0="00000000"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6" w14:textId="77777777" w:rsidR="00722C76" w:rsidRDefault="00722C7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7" w14:textId="77777777" w:rsidR="00722C76" w:rsidRDefault="00722C76">
    <w:pPr>
      <w:pStyle w:val="Piedepgina"/>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6D8E7" w14:textId="77777777" w:rsidR="00722C76" w:rsidRDefault="00722C76" w:rsidP="005D4CB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DBDF7F" w14:textId="77777777" w:rsidR="00722C76" w:rsidRDefault="00722C76" w:rsidP="005D4CB6">
    <w:pPr>
      <w:pStyle w:val="Piedepgina"/>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443FF" w14:textId="6C7F8733" w:rsidR="00722C76" w:rsidRDefault="00722C76" w:rsidP="005D4CB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08D8">
      <w:rPr>
        <w:rStyle w:val="Nmerodepgina"/>
        <w:noProof/>
      </w:rPr>
      <w:t>172</w:t>
    </w:r>
    <w:r>
      <w:rPr>
        <w:rStyle w:val="Nmerodepgina"/>
      </w:rPr>
      <w:fldChar w:fldCharType="end"/>
    </w:r>
  </w:p>
  <w:p w14:paraId="51015E55" w14:textId="77777777" w:rsidR="00722C76" w:rsidRDefault="00722C76" w:rsidP="005D4CB6">
    <w:pPr>
      <w:pStyle w:val="Piedepgina"/>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2AC43" w14:textId="77777777" w:rsidR="00722C76" w:rsidRDefault="00722C76" w:rsidP="00912D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A74CB3" w14:textId="77777777" w:rsidR="00722C76" w:rsidRDefault="00722C76" w:rsidP="00912D0F">
    <w:pPr>
      <w:pStyle w:val="Piedepgina"/>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F7B6A" w14:textId="30C02756" w:rsidR="00722C76" w:rsidRDefault="00722C76" w:rsidP="00912D0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08D8">
      <w:rPr>
        <w:rStyle w:val="Nmerodepgina"/>
        <w:noProof/>
      </w:rPr>
      <w:t>180</w:t>
    </w:r>
    <w:r>
      <w:rPr>
        <w:rStyle w:val="Nmerodepgina"/>
      </w:rPr>
      <w:fldChar w:fldCharType="end"/>
    </w:r>
  </w:p>
  <w:p w14:paraId="78FE97C7" w14:textId="77777777" w:rsidR="00722C76" w:rsidRDefault="00722C76" w:rsidP="00912D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8" w14:textId="47A8198D" w:rsidR="00722C76" w:rsidRDefault="00722C7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08D8">
      <w:rPr>
        <w:rStyle w:val="Nmerodepgina"/>
        <w:noProof/>
      </w:rPr>
      <w:t>ii</w:t>
    </w:r>
    <w:r>
      <w:rPr>
        <w:rStyle w:val="Nmerodepgina"/>
      </w:rPr>
      <w:fldChar w:fldCharType="end"/>
    </w:r>
  </w:p>
  <w:p w14:paraId="06A94EB9" w14:textId="77777777" w:rsidR="00722C76" w:rsidRDefault="00722C76">
    <w:pPr>
      <w:pStyle w:val="Piedepgina"/>
      <w:pBdr>
        <w:bottom w:val="single" w:sz="4" w:space="1" w:color="auto"/>
      </w:pBd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956"/>
      <w:gridCol w:w="884"/>
    </w:tblGrid>
    <w:tr w:rsidR="00722C76" w14:paraId="2CA5E15F" w14:textId="77777777" w:rsidTr="00D45411">
      <w:tc>
        <w:tcPr>
          <w:tcW w:w="4500" w:type="pct"/>
          <w:tcBorders>
            <w:top w:val="single" w:sz="4" w:space="0" w:color="000000"/>
          </w:tcBorders>
        </w:tcPr>
        <w:p w14:paraId="63E65A4B" w14:textId="7179363E" w:rsidR="00722C76" w:rsidRDefault="00722C76" w:rsidP="004250DC">
          <w:pPr>
            <w:pStyle w:val="Piedepgina"/>
            <w:jc w:val="right"/>
          </w:pPr>
        </w:p>
      </w:tc>
      <w:tc>
        <w:tcPr>
          <w:tcW w:w="500" w:type="pct"/>
          <w:tcBorders>
            <w:top w:val="single" w:sz="4" w:space="0" w:color="C0504D"/>
          </w:tcBorders>
          <w:shd w:val="clear" w:color="auto" w:fill="B8CCE4"/>
        </w:tcPr>
        <w:p w14:paraId="1722C9D6" w14:textId="6665FBC9" w:rsidR="00722C76" w:rsidRPr="00253B98" w:rsidRDefault="00722C76" w:rsidP="00D45411">
          <w:pPr>
            <w:pStyle w:val="Encabezado"/>
            <w:jc w:val="center"/>
            <w:rPr>
              <w:b/>
              <w:color w:val="000000"/>
            </w:rPr>
          </w:pPr>
        </w:p>
      </w:tc>
    </w:tr>
  </w:tbl>
  <w:p w14:paraId="06A94EBC" w14:textId="77777777" w:rsidR="00722C76" w:rsidRDefault="00722C76">
    <w:pPr>
      <w:pStyle w:val="Piedepgina"/>
      <w:pBdr>
        <w:bottom w:val="single" w:sz="4" w:space="1"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D" w14:textId="77777777" w:rsidR="00722C76" w:rsidRDefault="00722C76"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A94EBE" w14:textId="77777777" w:rsidR="00722C76" w:rsidRDefault="00722C76" w:rsidP="0030723E">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F" w14:textId="2AFFB19B" w:rsidR="00722C76" w:rsidRDefault="00722C76"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08D8">
      <w:rPr>
        <w:rStyle w:val="Nmerodepgina"/>
        <w:noProof/>
      </w:rPr>
      <w:t>81</w:t>
    </w:r>
    <w:r>
      <w:rPr>
        <w:rStyle w:val="Nmerodepgina"/>
      </w:rPr>
      <w:fldChar w:fldCharType="end"/>
    </w:r>
  </w:p>
  <w:p w14:paraId="06A94EC0" w14:textId="77777777" w:rsidR="00722C76" w:rsidRDefault="00722C76" w:rsidP="00501112">
    <w:pPr>
      <w:pStyle w:val="Piedepgina"/>
      <w:pBdr>
        <w:bottom w:val="dotted" w:sz="4" w:space="1" w:color="auto"/>
      </w:pBdr>
      <w:tabs>
        <w:tab w:val="clear" w:pos="8504"/>
        <w:tab w:val="right" w:pos="9360"/>
      </w:tabs>
      <w:ind w:right="-1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AEC0B" w14:textId="1A08CDB8" w:rsidR="00722C76" w:rsidRDefault="00722C76">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CE08D8">
      <w:rPr>
        <w:caps/>
        <w:noProof/>
        <w:color w:val="4F81BD" w:themeColor="accent1"/>
      </w:rPr>
      <w:t>141</w:t>
    </w:r>
    <w:r>
      <w:rPr>
        <w:caps/>
        <w:color w:val="4F81BD" w:themeColor="accent1"/>
      </w:rPr>
      <w:fldChar w:fldCharType="end"/>
    </w:r>
  </w:p>
  <w:p w14:paraId="7C8E47F8" w14:textId="77777777" w:rsidR="00722C76" w:rsidRDefault="00722C76">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3FECC" w14:textId="77777777" w:rsidR="00722C76" w:rsidRDefault="00722C76"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42C6B4" w14:textId="77777777" w:rsidR="00722C76" w:rsidRDefault="00722C76" w:rsidP="002C4881">
    <w:pPr>
      <w:pStyle w:val="Piedepgina"/>
      <w:ind w:right="360"/>
    </w:pPr>
  </w:p>
  <w:p w14:paraId="75E121DA" w14:textId="77777777" w:rsidR="00722C76" w:rsidRDefault="00722C7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03F61" w14:textId="7D99F0FE" w:rsidR="00722C76" w:rsidRDefault="00722C76" w:rsidP="002C48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E08D8">
      <w:rPr>
        <w:rStyle w:val="Nmerodepgina"/>
        <w:noProof/>
      </w:rPr>
      <w:t>151</w:t>
    </w:r>
    <w:r>
      <w:rPr>
        <w:rStyle w:val="Nmerodepgina"/>
      </w:rPr>
      <w:fldChar w:fldCharType="end"/>
    </w:r>
  </w:p>
  <w:p w14:paraId="165C5584" w14:textId="77777777" w:rsidR="00722C76" w:rsidRDefault="00722C76" w:rsidP="002C4881">
    <w:pPr>
      <w:pStyle w:val="Piedepgina"/>
      <w:ind w:right="360"/>
    </w:pPr>
  </w:p>
  <w:p w14:paraId="3EDD169A" w14:textId="77777777" w:rsidR="00722C76" w:rsidRDefault="00722C7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595536"/>
      <w:docPartObj>
        <w:docPartGallery w:val="Page Numbers (Bottom of Page)"/>
        <w:docPartUnique/>
      </w:docPartObj>
    </w:sdtPr>
    <w:sdtContent>
      <w:p w14:paraId="38AB1340" w14:textId="626F8EC9" w:rsidR="00722C76" w:rsidRDefault="00722C76">
        <w:pPr>
          <w:pStyle w:val="Piedepgina"/>
          <w:jc w:val="right"/>
        </w:pPr>
        <w:r>
          <w:fldChar w:fldCharType="begin"/>
        </w:r>
        <w:r>
          <w:instrText>PAGE   \* MERGEFORMAT</w:instrText>
        </w:r>
        <w:r>
          <w:fldChar w:fldCharType="separate"/>
        </w:r>
        <w:r w:rsidR="00CE08D8">
          <w:rPr>
            <w:noProof/>
          </w:rPr>
          <w:t>163</w:t>
        </w:r>
        <w:r>
          <w:fldChar w:fldCharType="end"/>
        </w:r>
      </w:p>
    </w:sdtContent>
  </w:sdt>
  <w:p w14:paraId="56EE4134" w14:textId="21C220E3" w:rsidR="00722C76" w:rsidRDefault="00722C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DD843" w14:textId="77777777" w:rsidR="004A4A9C" w:rsidRDefault="004A4A9C">
      <w:r>
        <w:separator/>
      </w:r>
    </w:p>
  </w:footnote>
  <w:footnote w:type="continuationSeparator" w:id="0">
    <w:p w14:paraId="6AA3437D" w14:textId="77777777" w:rsidR="004A4A9C" w:rsidRDefault="004A4A9C">
      <w:r>
        <w:continuationSeparator/>
      </w:r>
    </w:p>
  </w:footnote>
  <w:footnote w:id="1">
    <w:p w14:paraId="5D56EFC0" w14:textId="467ED568" w:rsidR="00722C76" w:rsidRPr="006D62FA" w:rsidRDefault="00722C76">
      <w:pPr>
        <w:pStyle w:val="Textonotapie"/>
      </w:pPr>
      <w:r>
        <w:rPr>
          <w:rStyle w:val="Refdenotaalpie"/>
        </w:rPr>
        <w:footnoteRef/>
      </w:r>
      <w:r>
        <w:t xml:space="preserve"> Proceso externo, provisto por el BCCR</w:t>
      </w:r>
    </w:p>
  </w:footnote>
  <w:footnote w:id="2">
    <w:p w14:paraId="5FCE37FE" w14:textId="47BFE21F" w:rsidR="00722C76" w:rsidRPr="00CE411E" w:rsidRDefault="00722C76" w:rsidP="00A45792">
      <w:pPr>
        <w:pStyle w:val="Textonotapie"/>
        <w:jc w:val="both"/>
      </w:pPr>
      <w:r>
        <w:rPr>
          <w:rStyle w:val="Refdenotaalpie"/>
        </w:rPr>
        <w:footnoteRef/>
      </w:r>
      <w:r>
        <w:t xml:space="preserve"> </w:t>
      </w:r>
      <w:r w:rsidRPr="00CE411E">
        <w:t>Señaló el FMI, en la Actualización de las Perspectivas de la economía mundial, del pasado 19 de julio, que el crecimiento de la productividad en la mayoría de economías avanzadas continuó lento y la inflación permaneció por debajo de la meta, ante la holgura en su capacidad de producción.</w:t>
      </w:r>
    </w:p>
  </w:footnote>
  <w:footnote w:id="3">
    <w:p w14:paraId="2BD98DC0" w14:textId="77777777" w:rsidR="00722C76" w:rsidRPr="00851AC7" w:rsidRDefault="00722C76" w:rsidP="00A45792">
      <w:pPr>
        <w:pStyle w:val="Textonotapie"/>
        <w:jc w:val="both"/>
        <w:rPr>
          <w:lang w:val="es-CR"/>
        </w:rPr>
      </w:pPr>
      <w:r>
        <w:rPr>
          <w:rStyle w:val="Refdenotaalpie"/>
        </w:rPr>
        <w:footnoteRef/>
      </w:r>
      <w:r>
        <w:t xml:space="preserve"> </w:t>
      </w:r>
      <w:r w:rsidRPr="00F81D38">
        <w:rPr>
          <w:lang w:val="es-CR"/>
        </w:rPr>
        <w:t>D</w:t>
      </w:r>
      <w:r>
        <w:rPr>
          <w:lang w:val="es-CR"/>
        </w:rPr>
        <w:t>ato anual del PIB publicado en la página web del BCCR:</w:t>
      </w:r>
      <w:r w:rsidRPr="0075576E">
        <w:rPr>
          <w:bCs/>
          <w:lang w:val="es-CR"/>
        </w:rPr>
        <w:t xml:space="preserve"> </w:t>
      </w:r>
      <w:r w:rsidRPr="00F81D38">
        <w:rPr>
          <w:bCs/>
          <w:lang w:val="es-CR"/>
        </w:rPr>
        <w:t>Producto Interno Bruto e Ingreso per cápita a precios corrientes</w:t>
      </w:r>
      <w:r>
        <w:rPr>
          <w:b/>
          <w:bCs/>
          <w:lang w:val="es-CR"/>
        </w:rPr>
        <w:t>.</w:t>
      </w:r>
    </w:p>
  </w:footnote>
  <w:footnote w:id="4">
    <w:p w14:paraId="5BBAF73A" w14:textId="382061D9" w:rsidR="00722C76" w:rsidRPr="00812DE9" w:rsidRDefault="00722C76">
      <w:pPr>
        <w:pStyle w:val="Textonotapie"/>
      </w:pPr>
      <w:r>
        <w:rPr>
          <w:rStyle w:val="Refdenotaalpie"/>
        </w:rPr>
        <w:footnoteRef/>
      </w:r>
      <w:r>
        <w:t xml:space="preserve"> En cumplimiento del esquema de presentación, se anexa un documento con el análisis FODA</w:t>
      </w:r>
    </w:p>
  </w:footnote>
  <w:footnote w:id="5">
    <w:p w14:paraId="01895B98" w14:textId="5EEE6BFD" w:rsidR="00722C76" w:rsidRPr="00C61F1B" w:rsidRDefault="00722C76" w:rsidP="009A4853">
      <w:pPr>
        <w:pStyle w:val="Textonotapie"/>
        <w:jc w:val="both"/>
        <w:rPr>
          <w:lang w:val="es-CR"/>
        </w:rPr>
      </w:pPr>
      <w:r>
        <w:rPr>
          <w:rStyle w:val="Refdenotaalpie"/>
        </w:rPr>
        <w:footnoteRef/>
      </w:r>
      <w:r>
        <w:t xml:space="preserve"> </w:t>
      </w:r>
      <w:r>
        <w:rPr>
          <w:lang w:val="es-CR"/>
        </w:rPr>
        <w:t>Revisión por la Dirección, ejercicio requerido por el Sistema de Gestión de Calidad para seguimiento de operaciones en la SUPEN</w:t>
      </w:r>
    </w:p>
  </w:footnote>
  <w:footnote w:id="6">
    <w:p w14:paraId="437E1B90" w14:textId="77777777" w:rsidR="00722C76" w:rsidRPr="004B19A3" w:rsidRDefault="00722C76" w:rsidP="00547B19">
      <w:pPr>
        <w:pStyle w:val="Textonotapie"/>
        <w:rPr>
          <w:lang w:val="es-CR"/>
        </w:rPr>
      </w:pPr>
      <w:r>
        <w:rPr>
          <w:rStyle w:val="Refdenotaalpie"/>
        </w:rPr>
        <w:footnoteRef/>
      </w:r>
      <w:r>
        <w:t xml:space="preserve"> </w:t>
      </w:r>
      <w:r>
        <w:rPr>
          <w:lang w:val="es-CR"/>
        </w:rPr>
        <w:t>Sistema multipilar es aquel que aporta protección al afiliado en el ámbito de un pilar básico obligatorio, un pilar complementario obligatorio, un pilar complementario voluntario y un pilar no contributivo.</w:t>
      </w:r>
    </w:p>
  </w:footnote>
  <w:footnote w:id="7">
    <w:p w14:paraId="57F433B6" w14:textId="77777777" w:rsidR="00722C76" w:rsidRPr="00801957" w:rsidRDefault="00722C76" w:rsidP="00547B19">
      <w:pPr>
        <w:pStyle w:val="Textonotapie"/>
        <w:rPr>
          <w:lang w:val="es-CR"/>
        </w:rPr>
      </w:pPr>
      <w:r>
        <w:rPr>
          <w:rStyle w:val="Refdenotaalpie"/>
        </w:rPr>
        <w:footnoteRef/>
      </w:r>
      <w:r>
        <w:t xml:space="preserve"> </w:t>
      </w:r>
      <w:r>
        <w:rPr>
          <w:lang w:val="es-CR"/>
        </w:rPr>
        <w:t>ídem</w:t>
      </w:r>
    </w:p>
  </w:footnote>
  <w:footnote w:id="8">
    <w:p w14:paraId="4E70A322" w14:textId="77777777" w:rsidR="00722C76" w:rsidRPr="00801957" w:rsidRDefault="00722C76" w:rsidP="00547B19">
      <w:pPr>
        <w:pStyle w:val="Textonotapie"/>
        <w:rPr>
          <w:lang w:val="es-CR"/>
        </w:rPr>
      </w:pPr>
      <w:r>
        <w:rPr>
          <w:rStyle w:val="Refdenotaalpie"/>
        </w:rPr>
        <w:footnoteRef/>
      </w:r>
      <w:r>
        <w:t xml:space="preserve"> </w:t>
      </w:r>
      <w:r>
        <w:rPr>
          <w:lang w:val="es-CR"/>
        </w:rPr>
        <w:t>Durante el Plan Estratégico 2011-2015, no se pudo completar esta regulación, razón por la cual se traslada a este nuevo plan con la consecuente mejora en su alcance original.</w:t>
      </w:r>
    </w:p>
  </w:footnote>
  <w:footnote w:id="9">
    <w:p w14:paraId="2964556F" w14:textId="77777777" w:rsidR="00722C76" w:rsidRPr="0041643D" w:rsidRDefault="00722C76" w:rsidP="0041643D">
      <w:pPr>
        <w:pStyle w:val="Textonotapie"/>
        <w:jc w:val="both"/>
        <w:rPr>
          <w:sz w:val="18"/>
          <w:szCs w:val="18"/>
        </w:rPr>
      </w:pPr>
      <w:r w:rsidRPr="0041643D">
        <w:rPr>
          <w:rStyle w:val="Refdenotaalpie"/>
          <w:sz w:val="18"/>
          <w:szCs w:val="18"/>
        </w:rPr>
        <w:footnoteRef/>
      </w:r>
      <w:r w:rsidRPr="0041643D">
        <w:rPr>
          <w:sz w:val="18"/>
          <w:szCs w:val="18"/>
        </w:rPr>
        <w:t xml:space="preserve"> Edificio principal del BCCR, NAP de las Américas, Parque empresarial Forum II (SUGEF), Torre Equus (SUPEN y SUGEVAL) y Edificio Trifami.</w:t>
      </w:r>
    </w:p>
  </w:footnote>
  <w:footnote w:id="10">
    <w:p w14:paraId="421CB49B" w14:textId="77777777" w:rsidR="00722C76" w:rsidRPr="00287999" w:rsidRDefault="00722C76" w:rsidP="007A4941">
      <w:pPr>
        <w:pStyle w:val="Textonotapie"/>
        <w:jc w:val="both"/>
        <w:rPr>
          <w:lang w:val="es-CR"/>
        </w:rPr>
      </w:pPr>
      <w:r>
        <w:rPr>
          <w:rStyle w:val="Refdenotaalpie"/>
        </w:rPr>
        <w:footnoteRef/>
      </w:r>
      <w:r>
        <w:t xml:space="preserve"> </w:t>
      </w:r>
      <w:r w:rsidRPr="00287999">
        <w:rPr>
          <w:rFonts w:asciiTheme="majorHAnsi" w:hAnsiTheme="majorHAnsi"/>
          <w:lang w:val="es-CR"/>
        </w:rPr>
        <w:t>Cabe aclarar</w:t>
      </w:r>
      <w:r>
        <w:rPr>
          <w:rFonts w:asciiTheme="majorHAnsi" w:hAnsiTheme="majorHAnsi"/>
          <w:lang w:val="es-CR"/>
        </w:rPr>
        <w:t xml:space="preserve"> que los aspectos referidos por tema, son únicamente una guía, es decir, la cantidad de funcionarios a capacitar por proceso sugeridos, puede variar según la oferta existente en el mercado, costo del evento de capacitación y/o la atención de otras prioridades institucionales.</w:t>
      </w:r>
    </w:p>
  </w:footnote>
  <w:footnote w:id="11">
    <w:p w14:paraId="2768C8B8" w14:textId="77777777" w:rsidR="00722C76" w:rsidRPr="00DC5964" w:rsidRDefault="00722C76" w:rsidP="0030375D">
      <w:pPr>
        <w:pStyle w:val="Textonotapie"/>
        <w:ind w:left="426" w:hanging="426"/>
        <w:jc w:val="both"/>
        <w:rPr>
          <w:i/>
        </w:rPr>
      </w:pPr>
      <w:r w:rsidRPr="00285A0F">
        <w:rPr>
          <w:rStyle w:val="Refdenotaalpie"/>
          <w:sz w:val="16"/>
        </w:rPr>
        <w:footnoteRef/>
      </w:r>
      <w:r w:rsidRPr="00285A0F">
        <w:rPr>
          <w:sz w:val="16"/>
        </w:rPr>
        <w:t xml:space="preserve"> </w:t>
      </w:r>
      <w:r w:rsidRPr="00285A0F">
        <w:rPr>
          <w:sz w:val="16"/>
        </w:rPr>
        <w:tab/>
      </w:r>
      <w:r w:rsidRPr="00285A0F">
        <w:rPr>
          <w:i/>
          <w:sz w:val="16"/>
        </w:rPr>
        <w:t>Según el Programa Macroeconómico 2016-2017, aprobado en la Sesión 5708-2015, del 30 de diciembre del 2015, se estableció la meta de inflación para el bienio 2016-2017 en 3% con un rango de tolerancia de ±1 p.p.</w:t>
      </w:r>
    </w:p>
  </w:footnote>
  <w:footnote w:id="12">
    <w:p w14:paraId="329EAA00" w14:textId="77777777" w:rsidR="00722C76" w:rsidRPr="0098230E" w:rsidRDefault="00722C76" w:rsidP="0030375D">
      <w:pPr>
        <w:pStyle w:val="Textonotapie"/>
        <w:ind w:left="284" w:hanging="284"/>
        <w:rPr>
          <w:i/>
          <w:sz w:val="16"/>
        </w:rPr>
      </w:pPr>
      <w:r w:rsidRPr="005D5FF5">
        <w:rPr>
          <w:rStyle w:val="Refdenotaalpie"/>
        </w:rPr>
        <w:footnoteRef/>
      </w:r>
      <w:r w:rsidRPr="005D5FF5">
        <w:t xml:space="preserve"> </w:t>
      </w:r>
      <w:r>
        <w:tab/>
      </w:r>
      <w:r w:rsidRPr="0098230E">
        <w:rPr>
          <w:i/>
          <w:sz w:val="16"/>
        </w:rPr>
        <w:t>Según el Programa Macroeconómico 2016-2017, aprobado en la Sesión 5708-2015, del 30 de diciembre del 2015, se estableció la meta de inflación para el bienio 2016-2017 en 3% con un rango de tolerancia de ±1 p.p.</w:t>
      </w:r>
    </w:p>
  </w:footnote>
  <w:footnote w:id="13">
    <w:p w14:paraId="41616E49" w14:textId="77777777" w:rsidR="00722C76" w:rsidRPr="00271169" w:rsidRDefault="00722C76" w:rsidP="0015196C">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Sin perjuicio de las responsabilidades que se puedan atribuir a los funcionarios que han incumplido sus deberes, según lo establece </w:t>
      </w:r>
      <w:smartTag w:uri="urn:schemas-microsoft-com:office:smarttags" w:element="PersonName">
        <w:smartTagPr>
          <w:attr w:name="ProductID" w:val="la Ley"/>
        </w:smartTagPr>
        <w:r w:rsidRPr="00271169">
          <w:rPr>
            <w:rFonts w:ascii="Arial" w:hAnsi="Arial" w:cs="Arial"/>
            <w:sz w:val="18"/>
            <w:szCs w:val="18"/>
            <w:lang w:val="es-CR"/>
          </w:rPr>
          <w:t>la Ley</w:t>
        </w:r>
      </w:smartTag>
      <w:r w:rsidRPr="00271169">
        <w:rPr>
          <w:rFonts w:ascii="Arial" w:hAnsi="Arial" w:cs="Arial"/>
          <w:sz w:val="18"/>
          <w:szCs w:val="18"/>
          <w:lang w:val="es-CR"/>
        </w:rPr>
        <w:t xml:space="preserve"> de Administración Financiera de </w:t>
      </w:r>
      <w:smartTag w:uri="urn:schemas-microsoft-com:office:smarttags" w:element="PersonName">
        <w:smartTagPr>
          <w:attr w:name="ProductID" w:val="la Rep￺blica"/>
        </w:smartTagPr>
        <w:r w:rsidRPr="00271169">
          <w:rPr>
            <w:rFonts w:ascii="Arial" w:hAnsi="Arial" w:cs="Arial"/>
            <w:sz w:val="18"/>
            <w:szCs w:val="18"/>
            <w:lang w:val="es-CR"/>
          </w:rPr>
          <w:t>la República</w:t>
        </w:r>
      </w:smartTag>
      <w:r w:rsidRPr="00271169">
        <w:rPr>
          <w:rFonts w:ascii="Arial" w:hAnsi="Arial" w:cs="Arial"/>
          <w:sz w:val="18"/>
          <w:szCs w:val="18"/>
          <w:lang w:val="es-CR"/>
        </w:rPr>
        <w:t xml:space="preserve"> y Presupuestos Públicos y </w:t>
      </w:r>
      <w:smartTag w:uri="urn:schemas-microsoft-com:office:smarttags" w:element="PersonName">
        <w:smartTagPr>
          <w:attr w:name="ProductID" w:val="la Ley General"/>
        </w:smartTagPr>
        <w:r w:rsidRPr="00271169">
          <w:rPr>
            <w:rFonts w:ascii="Arial" w:hAnsi="Arial" w:cs="Arial"/>
            <w:sz w:val="18"/>
            <w:szCs w:val="18"/>
            <w:lang w:val="es-CR"/>
          </w:rPr>
          <w:t>la Ley General</w:t>
        </w:r>
      </w:smartTag>
      <w:r w:rsidRPr="00271169">
        <w:rPr>
          <w:rFonts w:ascii="Arial" w:hAnsi="Arial" w:cs="Arial"/>
          <w:sz w:val="18"/>
          <w:szCs w:val="18"/>
          <w:lang w:val="es-CR"/>
        </w:rPr>
        <w:t xml:space="preserve"> de Control Interno. </w:t>
      </w:r>
    </w:p>
  </w:footnote>
  <w:footnote w:id="14">
    <w:p w14:paraId="51D0B318" w14:textId="77777777" w:rsidR="00722C76" w:rsidRPr="00271169" w:rsidRDefault="00722C76" w:rsidP="0015196C">
      <w:pPr>
        <w:pStyle w:val="Textonotapie"/>
        <w:jc w:val="both"/>
        <w:rPr>
          <w:rFonts w:ascii="Arial" w:hAnsi="Arial" w:cs="Arial"/>
          <w:color w:val="000080"/>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Dicha certificación o arreglo de pago deberá incluirse como un anexo al documento presupuestario en el espacio que el SIPP disponga para ello.</w:t>
      </w:r>
    </w:p>
  </w:footnote>
  <w:footnote w:id="15">
    <w:p w14:paraId="4E7391FC" w14:textId="77777777" w:rsidR="00722C76" w:rsidRPr="00271169" w:rsidRDefault="00722C76" w:rsidP="0015196C">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Style w:val="Refdenotaalpie"/>
          <w:rFonts w:ascii="Arial" w:hAnsi="Arial"/>
          <w:sz w:val="18"/>
          <w:szCs w:val="18"/>
        </w:rPr>
        <w:t xml:space="preserve"> </w:t>
      </w:r>
      <w:r w:rsidRPr="00271169">
        <w:rPr>
          <w:rFonts w:ascii="Arial" w:hAnsi="Arial" w:cs="Arial"/>
          <w:sz w:val="18"/>
          <w:szCs w:val="18"/>
          <w:lang w:val="es-CR"/>
        </w:rPr>
        <w:t xml:space="preserve">   Ley Nº 17 del </w:t>
      </w:r>
      <w:smartTag w:uri="urn:schemas-microsoft-com:office:smarttags" w:element="date">
        <w:smartTagPr>
          <w:attr w:name="ls" w:val="trans"/>
          <w:attr w:name="Month" w:val="10"/>
          <w:attr w:name="Day" w:val="22"/>
          <w:attr w:name="Year" w:val="19"/>
        </w:smartTagPr>
        <w:r w:rsidRPr="00271169">
          <w:rPr>
            <w:rFonts w:ascii="Arial" w:hAnsi="Arial" w:cs="Arial"/>
            <w:sz w:val="18"/>
            <w:szCs w:val="18"/>
            <w:lang w:val="es-CR"/>
          </w:rPr>
          <w:t>22 de octubre de 19</w:t>
        </w:r>
      </w:smartTag>
      <w:r w:rsidRPr="00271169">
        <w:rPr>
          <w:rFonts w:ascii="Arial" w:hAnsi="Arial" w:cs="Arial"/>
          <w:sz w:val="18"/>
          <w:szCs w:val="18"/>
          <w:lang w:val="es-CR"/>
        </w:rPr>
        <w:t>43.</w:t>
      </w:r>
    </w:p>
  </w:footnote>
  <w:footnote w:id="16">
    <w:p w14:paraId="42B44A76" w14:textId="77777777" w:rsidR="00722C76" w:rsidRPr="00271169" w:rsidRDefault="00722C76" w:rsidP="0015196C">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Publicada en </w:t>
      </w:r>
      <w:smartTag w:uri="urn:schemas-microsoft-com:office:smarttags" w:element="PersonName">
        <w:smartTagPr>
          <w:attr w:name="ProductID" w:val="La Gaceta N"/>
        </w:smartTagPr>
        <w:r w:rsidRPr="00271169">
          <w:rPr>
            <w:rFonts w:ascii="Arial" w:hAnsi="Arial" w:cs="Arial"/>
            <w:sz w:val="18"/>
            <w:szCs w:val="18"/>
            <w:lang w:val="es-CR"/>
          </w:rPr>
          <w:t>La Gaceta N</w:t>
        </w:r>
      </w:smartTag>
      <w:r w:rsidRPr="00271169">
        <w:rPr>
          <w:rFonts w:ascii="Arial" w:hAnsi="Arial" w:cs="Arial"/>
          <w:sz w:val="18"/>
          <w:szCs w:val="18"/>
          <w:lang w:val="es-CR"/>
        </w:rPr>
        <w:t xml:space="preserve">º 192 del </w:t>
      </w:r>
      <w:smartTag w:uri="urn:schemas-microsoft-com:office:smarttags" w:element="date">
        <w:smartTagPr>
          <w:attr w:name="ls" w:val="trans"/>
          <w:attr w:name="Month" w:val="8"/>
          <w:attr w:name="Day" w:val="29"/>
          <w:attr w:name="Year" w:val="19"/>
        </w:smartTagPr>
        <w:r w:rsidRPr="00271169">
          <w:rPr>
            <w:rFonts w:ascii="Arial" w:hAnsi="Arial" w:cs="Arial"/>
            <w:sz w:val="18"/>
            <w:szCs w:val="18"/>
            <w:lang w:val="es-CR"/>
          </w:rPr>
          <w:t>29 de agosto de 19</w:t>
        </w:r>
      </w:smartTag>
      <w:r w:rsidRPr="00271169">
        <w:rPr>
          <w:rFonts w:ascii="Arial" w:hAnsi="Arial" w:cs="Arial"/>
          <w:sz w:val="18"/>
          <w:szCs w:val="18"/>
          <w:lang w:val="es-CR"/>
        </w:rPr>
        <w:t>43.</w:t>
      </w:r>
    </w:p>
  </w:footnote>
  <w:footnote w:id="17">
    <w:p w14:paraId="19996983" w14:textId="77777777" w:rsidR="00722C76" w:rsidRPr="005A6812" w:rsidRDefault="00722C76" w:rsidP="0015196C">
      <w:pPr>
        <w:pStyle w:val="Textonotapie"/>
        <w:ind w:left="284" w:hanging="284"/>
        <w:jc w:val="both"/>
        <w:rPr>
          <w:rFonts w:ascii="Arial" w:hAnsi="Arial"/>
          <w:sz w:val="16"/>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Los gastos respectivos se clasificarán en la partida y subpartida por objeto del gasto, así como en los programas presupuestarios correspondientes.</w:t>
      </w:r>
      <w:r w:rsidRPr="005A6812">
        <w:rPr>
          <w:rFonts w:ascii="Arial" w:hAnsi="Arial"/>
          <w:sz w:val="16"/>
          <w:lang w:val="es-CR"/>
        </w:rPr>
        <w:t xml:space="preserve"> </w:t>
      </w:r>
    </w:p>
  </w:footnote>
  <w:footnote w:id="18">
    <w:p w14:paraId="2D71757F" w14:textId="77777777" w:rsidR="00722C76" w:rsidRPr="00271169" w:rsidRDefault="00722C76" w:rsidP="0015196C">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Idem</w:t>
      </w:r>
    </w:p>
  </w:footnote>
  <w:footnote w:id="19">
    <w:p w14:paraId="74B557BC" w14:textId="77777777" w:rsidR="00722C76" w:rsidRPr="00271169" w:rsidRDefault="00722C76" w:rsidP="0015196C">
      <w:pPr>
        <w:pStyle w:val="Textonotapie"/>
        <w:tabs>
          <w:tab w:val="left" w:pos="284"/>
        </w:tabs>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 xml:space="preserve">Publicada en </w:t>
      </w:r>
      <w:smartTag w:uri="urn:schemas-microsoft-com:office:smarttags" w:element="PersonName">
        <w:smartTagPr>
          <w:attr w:name="ProductID" w:val="La Gaceta N"/>
        </w:smartTagPr>
        <w:r w:rsidRPr="00271169">
          <w:rPr>
            <w:rFonts w:ascii="Arial" w:hAnsi="Arial" w:cs="Arial"/>
            <w:sz w:val="18"/>
            <w:szCs w:val="18"/>
            <w:lang w:val="es-CR"/>
          </w:rPr>
          <w:t>La Gaceta N</w:t>
        </w:r>
      </w:smartTag>
      <w:r w:rsidRPr="00271169">
        <w:rPr>
          <w:rFonts w:ascii="Arial" w:hAnsi="Arial" w:cs="Arial"/>
          <w:sz w:val="18"/>
          <w:szCs w:val="18"/>
          <w:lang w:val="es-CR"/>
        </w:rPr>
        <w:t xml:space="preserve">º 65 del </w:t>
      </w:r>
      <w:smartTag w:uri="urn:schemas-microsoft-com:office:smarttags" w:element="date">
        <w:smartTagPr>
          <w:attr w:name="ls" w:val="trans"/>
          <w:attr w:name="Month" w:val="3"/>
          <w:attr w:name="Day" w:val="19"/>
          <w:attr w:name="Year" w:val="19"/>
        </w:smartTagPr>
        <w:r w:rsidRPr="00271169">
          <w:rPr>
            <w:rFonts w:ascii="Arial" w:hAnsi="Arial" w:cs="Arial"/>
            <w:sz w:val="18"/>
            <w:szCs w:val="18"/>
            <w:lang w:val="es-CR"/>
          </w:rPr>
          <w:t>19 de marzo de 19</w:t>
        </w:r>
      </w:smartTag>
      <w:r w:rsidRPr="00271169">
        <w:rPr>
          <w:rFonts w:ascii="Arial" w:hAnsi="Arial" w:cs="Arial"/>
          <w:sz w:val="18"/>
          <w:szCs w:val="18"/>
          <w:lang w:val="es-CR"/>
        </w:rPr>
        <w:t>66.</w:t>
      </w:r>
    </w:p>
  </w:footnote>
  <w:footnote w:id="20">
    <w:p w14:paraId="6BF3B5E4" w14:textId="77777777" w:rsidR="00722C76" w:rsidRPr="00271169" w:rsidRDefault="00722C76" w:rsidP="0015196C">
      <w:pPr>
        <w:pStyle w:val="Textonotapie"/>
        <w:tabs>
          <w:tab w:val="left" w:pos="284"/>
        </w:tabs>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 xml:space="preserve">Publicada en el Alcance Nro. </w:t>
      </w:r>
      <w:smartTag w:uri="urn:schemas-microsoft-com:office:smarttags" w:element="metricconverter">
        <w:smartTagPr>
          <w:attr w:name="ProductID" w:val="38 a"/>
        </w:smartTagPr>
        <w:r w:rsidRPr="00271169">
          <w:rPr>
            <w:rFonts w:ascii="Arial" w:hAnsi="Arial" w:cs="Arial"/>
            <w:sz w:val="18"/>
            <w:szCs w:val="18"/>
            <w:lang w:val="es-CR"/>
          </w:rPr>
          <w:t>38 a</w:t>
        </w:r>
      </w:smartTag>
      <w:r w:rsidRPr="00271169">
        <w:rPr>
          <w:rFonts w:ascii="Arial" w:hAnsi="Arial" w:cs="Arial"/>
          <w:sz w:val="18"/>
          <w:szCs w:val="18"/>
          <w:lang w:val="es-CR"/>
        </w:rPr>
        <w:t xml:space="preserve"> </w:t>
      </w:r>
      <w:smartTag w:uri="urn:schemas-microsoft-com:office:smarttags" w:element="PersonName">
        <w:smartTagPr>
          <w:attr w:name="ProductID" w:val="La Gaceta Nro."/>
        </w:smartTagPr>
        <w:r w:rsidRPr="00271169">
          <w:rPr>
            <w:rFonts w:ascii="Arial" w:hAnsi="Arial" w:cs="Arial"/>
            <w:sz w:val="18"/>
            <w:szCs w:val="18"/>
            <w:lang w:val="es-CR"/>
          </w:rPr>
          <w:t>La Gaceta Nro.</w:t>
        </w:r>
      </w:smartTag>
      <w:r w:rsidRPr="00271169">
        <w:rPr>
          <w:rFonts w:ascii="Arial" w:hAnsi="Arial" w:cs="Arial"/>
          <w:sz w:val="18"/>
          <w:szCs w:val="18"/>
          <w:lang w:val="es-CR"/>
        </w:rPr>
        <w:t xml:space="preserve"> 120 del </w:t>
      </w:r>
      <w:smartTag w:uri="urn:schemas-microsoft-com:office:smarttags" w:element="date">
        <w:smartTagPr>
          <w:attr w:name="ls" w:val="trans"/>
          <w:attr w:name="Month" w:val="6"/>
          <w:attr w:name="Day" w:val="22"/>
          <w:attr w:name="Year" w:val="2006"/>
        </w:smartTagPr>
        <w:r w:rsidRPr="00271169">
          <w:rPr>
            <w:rFonts w:ascii="Arial" w:hAnsi="Arial" w:cs="Arial"/>
            <w:sz w:val="18"/>
            <w:szCs w:val="18"/>
            <w:lang w:val="es-CR"/>
          </w:rPr>
          <w:t>22 de junio del 2006</w:t>
        </w:r>
      </w:smartTag>
      <w:r w:rsidRPr="00271169">
        <w:rPr>
          <w:rFonts w:ascii="Arial" w:hAnsi="Arial" w:cs="Arial"/>
          <w:sz w:val="18"/>
          <w:szCs w:val="18"/>
          <w:lang w:val="es-CR"/>
        </w:rPr>
        <w:t>.</w:t>
      </w:r>
    </w:p>
  </w:footnote>
  <w:footnote w:id="21">
    <w:p w14:paraId="7F95C98F" w14:textId="77777777" w:rsidR="00722C76" w:rsidRPr="00271169" w:rsidRDefault="00722C76" w:rsidP="0015196C">
      <w:pPr>
        <w:pStyle w:val="Textonotapie"/>
        <w:tabs>
          <w:tab w:val="left" w:pos="284"/>
        </w:tabs>
        <w:jc w:val="both"/>
        <w:rPr>
          <w:rFonts w:ascii="Arial" w:hAnsi="Arial" w:cs="Arial"/>
          <w:sz w:val="18"/>
          <w:szCs w:val="18"/>
          <w:lang w:val="es-CR"/>
        </w:rPr>
      </w:pPr>
      <w:r w:rsidRPr="00271169">
        <w:rPr>
          <w:rStyle w:val="Refdenotaalpie"/>
          <w:rFonts w:ascii="Arial" w:hAnsi="Arial"/>
          <w:sz w:val="18"/>
          <w:szCs w:val="18"/>
        </w:rPr>
        <w:footnoteRef/>
      </w:r>
      <w:r w:rsidRPr="00271169">
        <w:rPr>
          <w:rFonts w:ascii="Arial" w:hAnsi="Arial" w:cs="Arial"/>
          <w:sz w:val="18"/>
          <w:szCs w:val="18"/>
          <w:lang w:val="es-CR"/>
        </w:rPr>
        <w:t xml:space="preserve"> </w:t>
      </w:r>
      <w:r w:rsidRPr="00271169">
        <w:rPr>
          <w:rFonts w:ascii="Arial" w:hAnsi="Arial" w:cs="Arial"/>
          <w:sz w:val="18"/>
          <w:szCs w:val="18"/>
          <w:lang w:val="es-CR"/>
        </w:rPr>
        <w:tab/>
        <w:t xml:space="preserve">Publicada en </w:t>
      </w:r>
      <w:smartTag w:uri="urn:schemas-microsoft-com:office:smarttags" w:element="PersonName">
        <w:smartTagPr>
          <w:attr w:name="ProductID" w:val="La Gaceta N"/>
        </w:smartTagPr>
        <w:r w:rsidRPr="00271169">
          <w:rPr>
            <w:rFonts w:ascii="Arial" w:hAnsi="Arial" w:cs="Arial"/>
            <w:sz w:val="18"/>
            <w:szCs w:val="18"/>
            <w:lang w:val="es-CR"/>
          </w:rPr>
          <w:t>La Gaceta N</w:t>
        </w:r>
      </w:smartTag>
      <w:r w:rsidRPr="00271169">
        <w:rPr>
          <w:rFonts w:ascii="Arial" w:hAnsi="Arial" w:cs="Arial"/>
          <w:sz w:val="18"/>
          <w:szCs w:val="18"/>
          <w:lang w:val="es-CR"/>
        </w:rPr>
        <w:t xml:space="preserve">º 45 del </w:t>
      </w:r>
      <w:smartTag w:uri="urn:schemas-microsoft-com:office:smarttags" w:element="date">
        <w:smartTagPr>
          <w:attr w:name="ls" w:val="trans"/>
          <w:attr w:name="Month" w:val="3"/>
          <w:attr w:name="Day" w:val="2"/>
          <w:attr w:name="Year" w:val="1984"/>
        </w:smartTagPr>
        <w:r w:rsidRPr="00271169">
          <w:rPr>
            <w:rFonts w:ascii="Arial" w:hAnsi="Arial" w:cs="Arial"/>
            <w:sz w:val="18"/>
            <w:szCs w:val="18"/>
            <w:lang w:val="es-CR"/>
          </w:rPr>
          <w:t>2 de marzo de 1984</w:t>
        </w:r>
      </w:smartTag>
      <w:r w:rsidRPr="00271169">
        <w:rPr>
          <w:rFonts w:ascii="Arial" w:hAnsi="Arial" w:cs="Arial"/>
          <w:sz w:val="18"/>
          <w:szCs w:val="18"/>
          <w:lang w:val="es-CR"/>
        </w:rPr>
        <w:t>.</w:t>
      </w:r>
    </w:p>
  </w:footnote>
  <w:footnote w:id="22">
    <w:p w14:paraId="30627C25" w14:textId="77777777" w:rsidR="00722C76" w:rsidRPr="00271169" w:rsidRDefault="00722C76" w:rsidP="0015196C">
      <w:pPr>
        <w:pStyle w:val="Textonotapie"/>
        <w:ind w:left="284" w:hanging="284"/>
        <w:jc w:val="both"/>
        <w:rPr>
          <w:rFonts w:ascii="Arial" w:hAnsi="Arial" w:cs="Arial"/>
          <w:sz w:val="18"/>
          <w:szCs w:val="18"/>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Dicha aprobación deberá constar en la transcripción del acuerdo de la instancia competente, la cual deberá incluirse como anexo al documento presupuestario en el espacio que el SIPP disponga para ello.</w:t>
      </w:r>
    </w:p>
  </w:footnote>
  <w:footnote w:id="23">
    <w:p w14:paraId="4D416165" w14:textId="77777777" w:rsidR="00722C76" w:rsidRPr="00C0260C" w:rsidRDefault="00722C76" w:rsidP="0015196C">
      <w:pPr>
        <w:pStyle w:val="Textonotapie"/>
        <w:ind w:left="284" w:hanging="284"/>
        <w:jc w:val="both"/>
        <w:rPr>
          <w:lang w:val="es-CR"/>
        </w:rPr>
      </w:pPr>
      <w:r w:rsidRPr="00271169">
        <w:rPr>
          <w:rStyle w:val="Refdenotaalpie"/>
          <w:rFonts w:ascii="Arial" w:hAnsi="Arial"/>
          <w:sz w:val="18"/>
          <w:szCs w:val="18"/>
        </w:rPr>
        <w:footnoteRef/>
      </w:r>
      <w:r>
        <w:rPr>
          <w:rFonts w:ascii="Arial" w:hAnsi="Arial" w:cs="Arial"/>
          <w:sz w:val="18"/>
          <w:szCs w:val="18"/>
          <w:lang w:val="es-CR"/>
        </w:rPr>
        <w:t xml:space="preserve">  </w:t>
      </w:r>
      <w:r>
        <w:rPr>
          <w:rFonts w:ascii="Arial" w:hAnsi="Arial" w:cs="Arial"/>
          <w:sz w:val="18"/>
          <w:szCs w:val="18"/>
          <w:lang w:val="es-CR"/>
        </w:rPr>
        <w:tab/>
      </w:r>
      <w:r w:rsidRPr="00271169">
        <w:rPr>
          <w:rFonts w:ascii="Arial" w:hAnsi="Arial" w:cs="Arial"/>
          <w:sz w:val="18"/>
          <w:szCs w:val="18"/>
          <w:lang w:val="es-CR"/>
        </w:rPr>
        <w:t>Corresponde al superior jerárquico, unipersonal o colegiado del órgano o ente, quien ejerce la máxima autoridad, según lo establecido en la legislación vigente.</w:t>
      </w:r>
      <w:r w:rsidRPr="00C0260C">
        <w:rPr>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F7138" w14:textId="77777777" w:rsidR="00722C76" w:rsidRDefault="00722C76" w:rsidP="00D277D9">
    <w:pPr>
      <w:pStyle w:val="Encabezado"/>
      <w:tabs>
        <w:tab w:val="clear" w:pos="4320"/>
      </w:tabs>
      <w:rPr>
        <w:lang w:val="es-MX"/>
      </w:rPr>
    </w:pPr>
    <w:r>
      <w:rPr>
        <w:noProof/>
        <w:lang w:val="es-ES" w:eastAsia="es-ES"/>
      </w:rPr>
      <w:drawing>
        <wp:inline distT="0" distB="0" distL="0" distR="0" wp14:anchorId="0C575CB8" wp14:editId="0E8CBD7D">
          <wp:extent cx="1276066" cy="590252"/>
          <wp:effectExtent l="0" t="0" r="635" b="63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484E1231" wp14:editId="761CBAF6">
          <wp:extent cx="429370" cy="487755"/>
          <wp:effectExtent l="57150" t="57150" r="0" b="64770"/>
          <wp:docPr id="5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06A94EB5" w14:textId="77777777" w:rsidR="00722C76" w:rsidRPr="00670872" w:rsidRDefault="00722C76">
    <w:pPr>
      <w:pStyle w:val="Encabezado"/>
      <w:pBdr>
        <w:top w:val="single" w:sz="4" w:space="1" w:color="auto"/>
      </w:pBdr>
      <w:rPr>
        <w:sz w:val="16"/>
        <w:szCs w:val="1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47C2B" w14:textId="77777777" w:rsidR="00722C76" w:rsidRDefault="00722C76" w:rsidP="00912D0F">
    <w:pPr>
      <w:pStyle w:val="Encabezado"/>
      <w:pBdr>
        <w:bottom w:val="threeDEngrave" w:sz="24" w:space="1" w:color="auto"/>
      </w:pBdr>
    </w:pPr>
    <w:r>
      <w:object w:dxaOrig="3300" w:dyaOrig="720" w14:anchorId="6C2F5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5.3pt;height:36.3pt" o:ole="" fillcolor="window">
          <v:imagedata r:id="rId1" o:title=""/>
        </v:shape>
        <o:OLEObject Type="Embed" ProgID="Word.Picture.8" ShapeID="_x0000_i1029" DrawAspect="Content" ObjectID="_1537865867" r:id="rId2"/>
      </w:object>
    </w:r>
  </w:p>
  <w:p w14:paraId="602C5BA8" w14:textId="77777777" w:rsidR="00722C76" w:rsidRDefault="00722C76" w:rsidP="00912D0F">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20C5144D" w14:textId="77777777" w:rsidR="00722C76" w:rsidRDefault="00722C76">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9D3FD" w14:textId="77777777" w:rsidR="00722C76" w:rsidRDefault="00722C76" w:rsidP="00912D0F">
    <w:pPr>
      <w:pStyle w:val="Encabezado"/>
      <w:pBdr>
        <w:bottom w:val="threeDEngrave" w:sz="24" w:space="1" w:color="auto"/>
      </w:pBdr>
    </w:pPr>
    <w:r>
      <w:object w:dxaOrig="3300" w:dyaOrig="720" w14:anchorId="6F633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65.3pt;height:36.3pt" o:ole="" fillcolor="window">
          <v:imagedata r:id="rId1" o:title=""/>
        </v:shape>
        <o:OLEObject Type="Embed" ProgID="Word.Picture.8" ShapeID="_x0000_i1030" DrawAspect="Content" ObjectID="_1537865868" r:id="rId2"/>
      </w:object>
    </w:r>
  </w:p>
  <w:p w14:paraId="41268473" w14:textId="77777777" w:rsidR="00722C76" w:rsidRDefault="00722C76" w:rsidP="00912D0F">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7DB40D36" w14:textId="77777777" w:rsidR="00722C76" w:rsidRDefault="00722C76">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0C77E" w14:textId="77777777" w:rsidR="00722C76" w:rsidRDefault="00722C7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94EBA" w14:textId="5525A922" w:rsidR="00722C76" w:rsidRDefault="00722C76" w:rsidP="00230C81">
    <w:pPr>
      <w:pStyle w:val="Encabezado"/>
      <w:tabs>
        <w:tab w:val="clear" w:pos="4320"/>
      </w:tabs>
      <w:rPr>
        <w:lang w:val="es-MX"/>
      </w:rPr>
    </w:pPr>
    <w:r>
      <w:rPr>
        <w:noProof/>
        <w:lang w:val="es-ES" w:eastAsia="es-ES"/>
      </w:rPr>
      <w:drawing>
        <wp:inline distT="0" distB="0" distL="0" distR="0" wp14:anchorId="78280D59" wp14:editId="72104DDE">
          <wp:extent cx="1276066" cy="590252"/>
          <wp:effectExtent l="0" t="0" r="635"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06A94EC7" wp14:editId="20284F66">
          <wp:extent cx="429370" cy="487755"/>
          <wp:effectExtent l="57150" t="57150" r="0" b="64770"/>
          <wp:docPr id="32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06A94EBB" w14:textId="4E05F21A" w:rsidR="00722C76" w:rsidRDefault="00722C76">
    <w:pPr>
      <w:pStyle w:val="Encabezado"/>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F3D45" w14:textId="77777777" w:rsidR="00722C76" w:rsidRPr="00656660" w:rsidRDefault="00722C76" w:rsidP="00965E81">
    <w:pPr>
      <w:pStyle w:val="Encabezado"/>
      <w:pBdr>
        <w:bottom w:val="thinThickLargeGap" w:sz="24" w:space="1" w:color="auto"/>
      </w:pBdr>
      <w:jc w:val="center"/>
      <w:rPr>
        <w:lang w:val="es-CR"/>
      </w:rPr>
    </w:pPr>
    <w:r>
      <w:rPr>
        <w:lang w:val="es-CR"/>
      </w:rPr>
      <w:t>PLAN ESTRATÉGICO 2016 - 2020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7AC71" w14:textId="0CB06A3B" w:rsidR="00722C76" w:rsidRDefault="00722C76" w:rsidP="0006255D">
    <w:pPr>
      <w:pStyle w:val="Encabezado"/>
      <w:tabs>
        <w:tab w:val="clear" w:pos="4320"/>
      </w:tabs>
      <w:rPr>
        <w:lang w:val="es-MX"/>
      </w:rPr>
    </w:pPr>
    <w:r>
      <w:rPr>
        <w:noProof/>
        <w:lang w:val="es-ES" w:eastAsia="es-ES"/>
      </w:rPr>
      <w:drawing>
        <wp:inline distT="0" distB="0" distL="0" distR="0" wp14:anchorId="5A94ED46" wp14:editId="1E5F8806">
          <wp:extent cx="1276066" cy="590252"/>
          <wp:effectExtent l="0" t="0" r="635"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51F20FBE" wp14:editId="4E52C364">
          <wp:extent cx="429370" cy="487755"/>
          <wp:effectExtent l="57150" t="57150" r="0" b="64770"/>
          <wp:docPr id="2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4EA5D00D" w14:textId="77777777" w:rsidR="00722C76" w:rsidRPr="0006255D" w:rsidRDefault="00722C76" w:rsidP="0006255D">
    <w:pPr>
      <w:pStyle w:val="Encabezado"/>
      <w:tabs>
        <w:tab w:val="clear" w:pos="4320"/>
      </w:tabs>
      <w:rPr>
        <w:lang w:val="es-MX"/>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1D8F2" w14:textId="77777777" w:rsidR="00722C76" w:rsidRPr="0006255D" w:rsidRDefault="00722C76" w:rsidP="003D74D9">
    <w:pPr>
      <w:pStyle w:val="Encabezado"/>
      <w:tabs>
        <w:tab w:val="clear" w:pos="4320"/>
      </w:tabs>
      <w:rPr>
        <w:lang w:val="es-MX"/>
      </w:rPr>
    </w:pPr>
    <w:r>
      <w:rPr>
        <w:noProof/>
        <w:lang w:val="es-ES" w:eastAsia="es-ES"/>
      </w:rPr>
      <w:drawing>
        <wp:inline distT="0" distB="0" distL="0" distR="0" wp14:anchorId="740CB85E" wp14:editId="2709E31D">
          <wp:extent cx="1276066" cy="590252"/>
          <wp:effectExtent l="0" t="0" r="635" b="63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415A97D7" wp14:editId="4B7FF7CF">
          <wp:extent cx="429370" cy="487755"/>
          <wp:effectExtent l="57150" t="57150" r="0" b="64770"/>
          <wp:docPr id="3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14:paraId="549FB1A5" w14:textId="77777777" w:rsidR="00722C76" w:rsidRPr="003D74D9" w:rsidRDefault="00722C76">
    <w:pPr>
      <w:rPr>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45A6A" w14:textId="3247C068" w:rsidR="00722C76" w:rsidRPr="0006255D" w:rsidRDefault="00722C76" w:rsidP="0006255D">
    <w:pPr>
      <w:pStyle w:val="Encabezado"/>
      <w:tabs>
        <w:tab w:val="clear" w:pos="4320"/>
      </w:tabs>
      <w:rPr>
        <w:lang w:val="es-MX"/>
      </w:rPr>
    </w:pPr>
    <w:r>
      <w:rPr>
        <w:noProof/>
        <w:lang w:val="es-ES" w:eastAsia="es-ES"/>
      </w:rPr>
      <w:drawing>
        <wp:inline distT="0" distB="0" distL="0" distR="0" wp14:anchorId="4F6CFB79" wp14:editId="22F83A62">
          <wp:extent cx="1276066" cy="590252"/>
          <wp:effectExtent l="0" t="0" r="635" b="6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27E48AE2" wp14:editId="05B0CC4F">
          <wp:extent cx="429370" cy="487755"/>
          <wp:effectExtent l="57150" t="57150" r="0" b="64770"/>
          <wp:docPr id="3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9B87D" w14:textId="180CE9E0" w:rsidR="00722C76" w:rsidRPr="0006255D" w:rsidRDefault="00722C76" w:rsidP="0006255D">
    <w:pPr>
      <w:pStyle w:val="Encabezado"/>
      <w:tabs>
        <w:tab w:val="clear" w:pos="4320"/>
      </w:tabs>
      <w:rPr>
        <w:lang w:val="es-MX"/>
      </w:rPr>
    </w:pPr>
    <w:r>
      <w:rPr>
        <w:noProof/>
        <w:lang w:val="es-ES" w:eastAsia="es-ES"/>
      </w:rPr>
      <w:drawing>
        <wp:inline distT="0" distB="0" distL="0" distR="0" wp14:anchorId="6EA4D683" wp14:editId="44C657A0">
          <wp:extent cx="1276066" cy="590252"/>
          <wp:effectExtent l="0" t="0" r="635" b="63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188" cy="593084"/>
                  </a:xfrm>
                  <a:prstGeom prst="rect">
                    <a:avLst/>
                  </a:prstGeom>
                </pic:spPr>
              </pic:pic>
            </a:graphicData>
          </a:graphic>
        </wp:inline>
      </w:drawing>
    </w:r>
    <w:r>
      <w:rPr>
        <w:lang w:val="es-MX"/>
      </w:rPr>
      <w:tab/>
    </w:r>
    <w:r w:rsidRPr="00230C81">
      <w:rPr>
        <w:noProof/>
        <w:lang w:val="es-ES" w:eastAsia="es-ES"/>
      </w:rPr>
      <w:drawing>
        <wp:inline distT="0" distB="0" distL="0" distR="0" wp14:anchorId="081C6EAB" wp14:editId="45CE4BEB">
          <wp:extent cx="429370" cy="487755"/>
          <wp:effectExtent l="57150" t="57150" r="0" b="64770"/>
          <wp:docPr id="4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srcRect/>
                  <a:stretch>
                    <a:fillRect/>
                  </a:stretch>
                </pic:blipFill>
                <pic:spPr bwMode="auto">
                  <a:xfrm>
                    <a:off x="0" y="0"/>
                    <a:ext cx="432281" cy="491061"/>
                  </a:xfrm>
                  <a:prstGeom prst="rect">
                    <a:avLst/>
                  </a:prstGeom>
                  <a:noFill/>
                  <a:ln w="9525">
                    <a:no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8C1F1" w14:textId="77777777" w:rsidR="00722C76" w:rsidRDefault="00722C76" w:rsidP="005D4CB6">
    <w:pPr>
      <w:pStyle w:val="Encabezado"/>
      <w:pBdr>
        <w:bottom w:val="threeDEngrave" w:sz="24" w:space="1" w:color="auto"/>
      </w:pBdr>
    </w:pPr>
    <w:r>
      <w:object w:dxaOrig="4288" w:dyaOrig="789" w14:anchorId="1CBA8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9pt;height:36.3pt" o:ole="" fillcolor="window">
          <v:imagedata r:id="rId1" o:title=""/>
        </v:shape>
        <o:OLEObject Type="Embed" ProgID="Word.Picture.8" ShapeID="_x0000_i1027" DrawAspect="Content" ObjectID="_1537865865" r:id="rId2"/>
      </w:object>
    </w:r>
  </w:p>
  <w:p w14:paraId="1F653104" w14:textId="77777777" w:rsidR="00722C76" w:rsidRDefault="00722C76" w:rsidP="005D4CB6">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081620AD" w14:textId="77777777" w:rsidR="00722C76" w:rsidRDefault="00722C76">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B6702" w14:textId="77777777" w:rsidR="00722C76" w:rsidRDefault="00722C76" w:rsidP="005D4CB6">
    <w:pPr>
      <w:pStyle w:val="Encabezado"/>
      <w:pBdr>
        <w:bottom w:val="threeDEngrave" w:sz="24" w:space="1" w:color="auto"/>
      </w:pBdr>
    </w:pPr>
    <w:r>
      <w:object w:dxaOrig="4288" w:dyaOrig="789" w14:anchorId="3C1EA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9pt;height:36.3pt" o:ole="" fillcolor="window">
          <v:imagedata r:id="rId1" o:title=""/>
        </v:shape>
        <o:OLEObject Type="Embed" ProgID="Word.Picture.8" ShapeID="_x0000_i1028" DrawAspect="Content" ObjectID="_1537865866" r:id="rId2"/>
      </w:object>
    </w:r>
  </w:p>
  <w:p w14:paraId="733B583E" w14:textId="77777777" w:rsidR="00722C76" w:rsidRDefault="00722C76" w:rsidP="005D4CB6">
    <w:pPr>
      <w:pStyle w:val="Encabezado"/>
      <w:jc w:val="right"/>
    </w:pPr>
    <w:r w:rsidRPr="00E255BB">
      <w:rPr>
        <w:b/>
        <w:i/>
        <w14:shadow w14:blurRad="50800" w14:dist="38100" w14:dir="2700000" w14:sx="100000" w14:sy="100000" w14:kx="0" w14:ky="0" w14:algn="tl">
          <w14:srgbClr w14:val="000000">
            <w14:alpha w14:val="60000"/>
          </w14:srgbClr>
        </w14:shadow>
      </w:rPr>
      <w:t>Departamento Gestión del Factor Humano</w:t>
    </w:r>
  </w:p>
  <w:p w14:paraId="46B53C49" w14:textId="77777777" w:rsidR="00722C76" w:rsidRDefault="00722C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020EE96"/>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00741109"/>
    <w:multiLevelType w:val="hybridMultilevel"/>
    <w:tmpl w:val="8E1A16DA"/>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E9308238">
      <w:start w:val="1"/>
      <w:numFmt w:val="lowerLetter"/>
      <w:lvlText w:val="%2."/>
      <w:lvlJc w:val="left"/>
      <w:pPr>
        <w:tabs>
          <w:tab w:val="num" w:pos="1701"/>
        </w:tabs>
        <w:ind w:left="1701" w:hanging="567"/>
      </w:pPr>
      <w:rPr>
        <w:rFonts w:hint="default"/>
        <w:b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0C410A5"/>
    <w:multiLevelType w:val="hybridMultilevel"/>
    <w:tmpl w:val="5E101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881C0C"/>
    <w:multiLevelType w:val="hybridMultilevel"/>
    <w:tmpl w:val="6736E4E0"/>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4DB0006"/>
    <w:multiLevelType w:val="hybridMultilevel"/>
    <w:tmpl w:val="597A10E0"/>
    <w:lvl w:ilvl="0" w:tplc="A304763A">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4D50E4"/>
    <w:multiLevelType w:val="hybridMultilevel"/>
    <w:tmpl w:val="EFD8B1C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B94636A"/>
    <w:multiLevelType w:val="hybridMultilevel"/>
    <w:tmpl w:val="5FCCADE0"/>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1" w15:restartNumberingAfterBreak="0">
    <w:nsid w:val="0C4C611F"/>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E6314BA"/>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095F2C"/>
    <w:multiLevelType w:val="hybridMultilevel"/>
    <w:tmpl w:val="26447EAC"/>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41B1054"/>
    <w:multiLevelType w:val="hybridMultilevel"/>
    <w:tmpl w:val="29586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461789E"/>
    <w:multiLevelType w:val="hybridMultilevel"/>
    <w:tmpl w:val="E7D46A7A"/>
    <w:lvl w:ilvl="0" w:tplc="140A0001">
      <w:start w:val="1"/>
      <w:numFmt w:val="bullet"/>
      <w:lvlText w:val=""/>
      <w:lvlJc w:val="left"/>
      <w:pPr>
        <w:ind w:left="360" w:hanging="360"/>
      </w:pPr>
      <w:rPr>
        <w:rFonts w:ascii="Symbol" w:hAnsi="Symbol" w:hint="default"/>
      </w:rPr>
    </w:lvl>
    <w:lvl w:ilvl="1" w:tplc="53F8C43C">
      <w:numFmt w:val="bullet"/>
      <w:lvlText w:val="•"/>
      <w:lvlJc w:val="left"/>
      <w:pPr>
        <w:ind w:left="1425" w:hanging="705"/>
      </w:pPr>
      <w:rPr>
        <w:rFonts w:ascii="Century Gothic" w:eastAsia="Times New Roman" w:hAnsi="Century Gothic" w:cs="Times New Roman"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154E7DD1"/>
    <w:multiLevelType w:val="hybridMultilevel"/>
    <w:tmpl w:val="0818ED7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5C54DF2"/>
    <w:multiLevelType w:val="hybridMultilevel"/>
    <w:tmpl w:val="1E24C5A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1B140711"/>
    <w:multiLevelType w:val="hybridMultilevel"/>
    <w:tmpl w:val="8064034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1C010238"/>
    <w:multiLevelType w:val="hybridMultilevel"/>
    <w:tmpl w:val="213AF63E"/>
    <w:lvl w:ilvl="0" w:tplc="C57A4EE6">
      <w:start w:val="13"/>
      <w:numFmt w:val="bullet"/>
      <w:lvlText w:val="-"/>
      <w:lvlJc w:val="left"/>
      <w:pPr>
        <w:ind w:left="720" w:hanging="360"/>
      </w:pPr>
      <w:rPr>
        <w:rFonts w:ascii="Book Antiqua" w:eastAsia="Times New Roman"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D15536"/>
    <w:multiLevelType w:val="hybridMultilevel"/>
    <w:tmpl w:val="A36273C4"/>
    <w:lvl w:ilvl="0" w:tplc="140A0005">
      <w:start w:val="1"/>
      <w:numFmt w:val="bullet"/>
      <w:lvlText w:val=""/>
      <w:lvlJc w:val="left"/>
      <w:pPr>
        <w:ind w:left="720" w:hanging="360"/>
      </w:pPr>
      <w:rPr>
        <w:rFonts w:ascii="Wingdings" w:hAnsi="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0AE5D75"/>
    <w:multiLevelType w:val="hybridMultilevel"/>
    <w:tmpl w:val="091CBCB6"/>
    <w:lvl w:ilvl="0" w:tplc="3CB416F4">
      <w:start w:val="1"/>
      <w:numFmt w:val="lowerLetter"/>
      <w:lvlText w:val="%1)"/>
      <w:lvlJc w:val="left"/>
      <w:pPr>
        <w:ind w:left="786" w:hanging="360"/>
      </w:pPr>
      <w:rPr>
        <w:rFonts w:hint="default"/>
        <w:b/>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5" w15:restartNumberingAfterBreak="0">
    <w:nsid w:val="20BA46BE"/>
    <w:multiLevelType w:val="multilevel"/>
    <w:tmpl w:val="7C5A16CE"/>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3C736E6"/>
    <w:multiLevelType w:val="hybridMultilevel"/>
    <w:tmpl w:val="8D72B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4656A62"/>
    <w:multiLevelType w:val="hybridMultilevel"/>
    <w:tmpl w:val="DA6A9C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5FB52E3"/>
    <w:multiLevelType w:val="hybridMultilevel"/>
    <w:tmpl w:val="4D88CF5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261F2C64"/>
    <w:multiLevelType w:val="hybridMultilevel"/>
    <w:tmpl w:val="3C7A7600"/>
    <w:lvl w:ilvl="0" w:tplc="41DC1654">
      <w:start w:val="7"/>
      <w:numFmt w:val="lowerLetter"/>
      <w:lvlText w:val="%1."/>
      <w:lvlJc w:val="lef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30" w15:restartNumberingAfterBreak="0">
    <w:nsid w:val="280F7055"/>
    <w:multiLevelType w:val="singleLevel"/>
    <w:tmpl w:val="0C0A000F"/>
    <w:lvl w:ilvl="0">
      <w:start w:val="1"/>
      <w:numFmt w:val="decimal"/>
      <w:lvlText w:val="%1."/>
      <w:lvlJc w:val="left"/>
      <w:pPr>
        <w:tabs>
          <w:tab w:val="num" w:pos="720"/>
        </w:tabs>
        <w:ind w:left="720" w:hanging="360"/>
      </w:pPr>
    </w:lvl>
  </w:abstractNum>
  <w:abstractNum w:abstractNumId="31" w15:restartNumberingAfterBreak="0">
    <w:nsid w:val="2E2A30E5"/>
    <w:multiLevelType w:val="hybridMultilevel"/>
    <w:tmpl w:val="96A23B92"/>
    <w:lvl w:ilvl="0" w:tplc="6428B3EA">
      <w:start w:val="100"/>
      <w:numFmt w:val="bullet"/>
      <w:lvlText w:val="-"/>
      <w:lvlJc w:val="left"/>
      <w:pPr>
        <w:ind w:left="720" w:hanging="360"/>
      </w:pPr>
      <w:rPr>
        <w:rFonts w:ascii="Book Antiqua" w:eastAsia="Times New Roman" w:hAnsi="Book Antiqu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01B3D70"/>
    <w:multiLevelType w:val="hybridMultilevel"/>
    <w:tmpl w:val="45F65D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04A4FB9"/>
    <w:multiLevelType w:val="hybridMultilevel"/>
    <w:tmpl w:val="B1CC5D4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32104651"/>
    <w:multiLevelType w:val="hybridMultilevel"/>
    <w:tmpl w:val="9D008510"/>
    <w:lvl w:ilvl="0" w:tplc="0C0A0001">
      <w:start w:val="1"/>
      <w:numFmt w:val="bullet"/>
      <w:lvlText w:val=""/>
      <w:lvlJc w:val="left"/>
      <w:pPr>
        <w:tabs>
          <w:tab w:val="num" w:pos="360"/>
        </w:tabs>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5" w15:restartNumberingAfterBreak="0">
    <w:nsid w:val="323A0FED"/>
    <w:multiLevelType w:val="hybridMultilevel"/>
    <w:tmpl w:val="001A4E2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28C59E5"/>
    <w:multiLevelType w:val="hybridMultilevel"/>
    <w:tmpl w:val="D456664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2E371BB"/>
    <w:multiLevelType w:val="hybridMultilevel"/>
    <w:tmpl w:val="C6CAC68A"/>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35485519"/>
    <w:multiLevelType w:val="hybridMultilevel"/>
    <w:tmpl w:val="B8483A74"/>
    <w:lvl w:ilvl="0" w:tplc="140A0005">
      <w:start w:val="1"/>
      <w:numFmt w:val="bullet"/>
      <w:lvlText w:val=""/>
      <w:lvlJc w:val="left"/>
      <w:pPr>
        <w:ind w:left="360" w:hanging="360"/>
      </w:pPr>
      <w:rPr>
        <w:rFonts w:ascii="Wingdings" w:hAnsi="Wingdings"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9" w15:restartNumberingAfterBreak="0">
    <w:nsid w:val="35622BDD"/>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36EA5DD9"/>
    <w:multiLevelType w:val="hybridMultilevel"/>
    <w:tmpl w:val="10DAC86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3C7929D3"/>
    <w:multiLevelType w:val="hybridMultilevel"/>
    <w:tmpl w:val="73B43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3CE2704C"/>
    <w:multiLevelType w:val="hybridMultilevel"/>
    <w:tmpl w:val="51660B06"/>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3DEE0B2F"/>
    <w:multiLevelType w:val="hybridMultilevel"/>
    <w:tmpl w:val="539C0850"/>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1BE488C"/>
    <w:multiLevelType w:val="hybridMultilevel"/>
    <w:tmpl w:val="D10AFE04"/>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46" w15:restartNumberingAfterBreak="0">
    <w:nsid w:val="44D43525"/>
    <w:multiLevelType w:val="hybridMultilevel"/>
    <w:tmpl w:val="774E52B4"/>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7" w15:restartNumberingAfterBreak="0">
    <w:nsid w:val="45F333B5"/>
    <w:multiLevelType w:val="hybridMultilevel"/>
    <w:tmpl w:val="CDACDDFC"/>
    <w:lvl w:ilvl="0" w:tplc="56906982">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63773DC"/>
    <w:multiLevelType w:val="hybridMultilevel"/>
    <w:tmpl w:val="0EF8A1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78616F8"/>
    <w:multiLevelType w:val="hybridMultilevel"/>
    <w:tmpl w:val="41B0566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47A25547"/>
    <w:multiLevelType w:val="hybridMultilevel"/>
    <w:tmpl w:val="8D9880F0"/>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4AE27D6F"/>
    <w:multiLevelType w:val="hybridMultilevel"/>
    <w:tmpl w:val="8294E23E"/>
    <w:lvl w:ilvl="0" w:tplc="FC669196">
      <w:start w:val="2"/>
      <w:numFmt w:val="lowerLetter"/>
      <w:lvlText w:val="%1."/>
      <w:lvlJc w:val="lef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52" w15:restartNumberingAfterBreak="0">
    <w:nsid w:val="4BB47AF9"/>
    <w:multiLevelType w:val="hybridMultilevel"/>
    <w:tmpl w:val="3E6E87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D0048CA"/>
    <w:multiLevelType w:val="hybridMultilevel"/>
    <w:tmpl w:val="651A30A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5" w15:restartNumberingAfterBreak="0">
    <w:nsid w:val="4E636B3F"/>
    <w:multiLevelType w:val="hybridMultilevel"/>
    <w:tmpl w:val="5E820BB2"/>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56" w15:restartNumberingAfterBreak="0">
    <w:nsid w:val="4F111731"/>
    <w:multiLevelType w:val="hybridMultilevel"/>
    <w:tmpl w:val="BCE65AD8"/>
    <w:lvl w:ilvl="0" w:tplc="6B10CA52">
      <w:start w:val="1"/>
      <w:numFmt w:val="decimal"/>
      <w:isLgl/>
      <w:lvlText w:val="%1."/>
      <w:lvlJc w:val="left"/>
      <w:pPr>
        <w:tabs>
          <w:tab w:val="num" w:pos="1134"/>
        </w:tabs>
        <w:ind w:left="1134" w:hanging="567"/>
      </w:pPr>
      <w:rPr>
        <w:rFonts w:asciiTheme="majorHAnsi" w:hAnsiTheme="majorHAnsi"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7"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58" w15:restartNumberingAfterBreak="0">
    <w:nsid w:val="52E6069C"/>
    <w:multiLevelType w:val="hybridMultilevel"/>
    <w:tmpl w:val="81BA27EA"/>
    <w:lvl w:ilvl="0" w:tplc="140A0005">
      <w:start w:val="1"/>
      <w:numFmt w:val="bullet"/>
      <w:lvlText w:val=""/>
      <w:lvlJc w:val="left"/>
      <w:pPr>
        <w:ind w:left="720" w:hanging="360"/>
      </w:pPr>
      <w:rPr>
        <w:rFonts w:ascii="Wingdings" w:hAnsi="Wingdings" w:hint="default"/>
      </w:rPr>
    </w:lvl>
    <w:lvl w:ilvl="1" w:tplc="140A0005">
      <w:start w:val="1"/>
      <w:numFmt w:val="bullet"/>
      <w:lvlText w:val=""/>
      <w:lvlJc w:val="left"/>
      <w:pPr>
        <w:ind w:left="1440" w:hanging="360"/>
      </w:pPr>
      <w:rPr>
        <w:rFonts w:ascii="Wingdings" w:hAnsi="Wingdings" w:hint="default"/>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9" w15:restartNumberingAfterBreak="0">
    <w:nsid w:val="531F1B96"/>
    <w:multiLevelType w:val="multilevel"/>
    <w:tmpl w:val="B7A01E8A"/>
    <w:lvl w:ilvl="0">
      <w:start w:val="1"/>
      <w:numFmt w:val="decimal"/>
      <w:lvlText w:val="%1."/>
      <w:lvlJc w:val="left"/>
      <w:pPr>
        <w:ind w:left="360" w:hanging="360"/>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549053ED"/>
    <w:multiLevelType w:val="hybridMultilevel"/>
    <w:tmpl w:val="DC204034"/>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1"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62" w15:restartNumberingAfterBreak="0">
    <w:nsid w:val="59FF5812"/>
    <w:multiLevelType w:val="hybridMultilevel"/>
    <w:tmpl w:val="044ADC42"/>
    <w:lvl w:ilvl="0" w:tplc="48FC724C">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A220794"/>
    <w:multiLevelType w:val="hybridMultilevel"/>
    <w:tmpl w:val="6794360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5E4C4E00"/>
    <w:multiLevelType w:val="hybridMultilevel"/>
    <w:tmpl w:val="19BA5CC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5" w15:restartNumberingAfterBreak="0">
    <w:nsid w:val="6C123C17"/>
    <w:multiLevelType w:val="hybridMultilevel"/>
    <w:tmpl w:val="34C48F62"/>
    <w:lvl w:ilvl="0" w:tplc="4A5ADCE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6C152CF3"/>
    <w:multiLevelType w:val="hybridMultilevel"/>
    <w:tmpl w:val="5F50E8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7" w15:restartNumberingAfterBreak="0">
    <w:nsid w:val="705660DF"/>
    <w:multiLevelType w:val="hybridMultilevel"/>
    <w:tmpl w:val="354AE3E6"/>
    <w:lvl w:ilvl="0" w:tplc="A3A8EF50">
      <w:start w:val="1"/>
      <w:numFmt w:val="upperLetter"/>
      <w:lvlText w:val="%1."/>
      <w:lvlJc w:val="left"/>
      <w:pPr>
        <w:ind w:left="360" w:hanging="360"/>
      </w:pPr>
      <w:rPr>
        <w:i w:val="0"/>
      </w:rPr>
    </w:lvl>
    <w:lvl w:ilvl="1" w:tplc="140A0019" w:tentative="1">
      <w:start w:val="1"/>
      <w:numFmt w:val="lowerLetter"/>
      <w:lvlText w:val="%2."/>
      <w:lvlJc w:val="left"/>
      <w:pPr>
        <w:ind w:left="1374" w:hanging="360"/>
      </w:pPr>
    </w:lvl>
    <w:lvl w:ilvl="2" w:tplc="140A001B" w:tentative="1">
      <w:start w:val="1"/>
      <w:numFmt w:val="lowerRoman"/>
      <w:lvlText w:val="%3."/>
      <w:lvlJc w:val="right"/>
      <w:pPr>
        <w:ind w:left="2094" w:hanging="180"/>
      </w:pPr>
    </w:lvl>
    <w:lvl w:ilvl="3" w:tplc="140A000F" w:tentative="1">
      <w:start w:val="1"/>
      <w:numFmt w:val="decimal"/>
      <w:lvlText w:val="%4."/>
      <w:lvlJc w:val="left"/>
      <w:pPr>
        <w:ind w:left="2814" w:hanging="360"/>
      </w:pPr>
    </w:lvl>
    <w:lvl w:ilvl="4" w:tplc="140A0019" w:tentative="1">
      <w:start w:val="1"/>
      <w:numFmt w:val="lowerLetter"/>
      <w:lvlText w:val="%5."/>
      <w:lvlJc w:val="left"/>
      <w:pPr>
        <w:ind w:left="3534" w:hanging="360"/>
      </w:pPr>
    </w:lvl>
    <w:lvl w:ilvl="5" w:tplc="140A001B" w:tentative="1">
      <w:start w:val="1"/>
      <w:numFmt w:val="lowerRoman"/>
      <w:lvlText w:val="%6."/>
      <w:lvlJc w:val="right"/>
      <w:pPr>
        <w:ind w:left="4254" w:hanging="180"/>
      </w:pPr>
    </w:lvl>
    <w:lvl w:ilvl="6" w:tplc="140A000F" w:tentative="1">
      <w:start w:val="1"/>
      <w:numFmt w:val="decimal"/>
      <w:lvlText w:val="%7."/>
      <w:lvlJc w:val="left"/>
      <w:pPr>
        <w:ind w:left="4974" w:hanging="360"/>
      </w:pPr>
    </w:lvl>
    <w:lvl w:ilvl="7" w:tplc="140A0019" w:tentative="1">
      <w:start w:val="1"/>
      <w:numFmt w:val="lowerLetter"/>
      <w:lvlText w:val="%8."/>
      <w:lvlJc w:val="left"/>
      <w:pPr>
        <w:ind w:left="5694" w:hanging="360"/>
      </w:pPr>
    </w:lvl>
    <w:lvl w:ilvl="8" w:tplc="140A001B" w:tentative="1">
      <w:start w:val="1"/>
      <w:numFmt w:val="lowerRoman"/>
      <w:lvlText w:val="%9."/>
      <w:lvlJc w:val="right"/>
      <w:pPr>
        <w:ind w:left="6414" w:hanging="180"/>
      </w:pPr>
    </w:lvl>
  </w:abstractNum>
  <w:abstractNum w:abstractNumId="68" w15:restartNumberingAfterBreak="0">
    <w:nsid w:val="72963B8E"/>
    <w:multiLevelType w:val="hybridMultilevel"/>
    <w:tmpl w:val="FCFE28F8"/>
    <w:lvl w:ilvl="0" w:tplc="56906982">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9" w15:restartNumberingAfterBreak="0">
    <w:nsid w:val="788F55A8"/>
    <w:multiLevelType w:val="hybridMultilevel"/>
    <w:tmpl w:val="CD14105A"/>
    <w:lvl w:ilvl="0" w:tplc="140A0005">
      <w:start w:val="1"/>
      <w:numFmt w:val="bullet"/>
      <w:lvlText w:val=""/>
      <w:lvlJc w:val="left"/>
      <w:pPr>
        <w:ind w:left="720" w:hanging="360"/>
      </w:pPr>
      <w:rPr>
        <w:rFonts w:ascii="Wingdings" w:hAnsi="Wingding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0" w15:restartNumberingAfterBreak="0">
    <w:nsid w:val="78A6409B"/>
    <w:multiLevelType w:val="hybridMultilevel"/>
    <w:tmpl w:val="D356142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6"/>
  </w:num>
  <w:num w:numId="2">
    <w:abstractNumId w:val="62"/>
  </w:num>
  <w:num w:numId="3">
    <w:abstractNumId w:val="3"/>
  </w:num>
  <w:num w:numId="4">
    <w:abstractNumId w:val="56"/>
  </w:num>
  <w:num w:numId="5">
    <w:abstractNumId w:val="8"/>
  </w:num>
  <w:num w:numId="6">
    <w:abstractNumId w:val="7"/>
  </w:num>
  <w:num w:numId="7">
    <w:abstractNumId w:val="51"/>
  </w:num>
  <w:num w:numId="8">
    <w:abstractNumId w:val="29"/>
  </w:num>
  <w:num w:numId="9">
    <w:abstractNumId w:val="53"/>
  </w:num>
  <w:num w:numId="10">
    <w:abstractNumId w:val="57"/>
  </w:num>
  <w:num w:numId="11">
    <w:abstractNumId w:val="47"/>
  </w:num>
  <w:num w:numId="12">
    <w:abstractNumId w:val="22"/>
  </w:num>
  <w:num w:numId="13">
    <w:abstractNumId w:val="42"/>
  </w:num>
  <w:num w:numId="14">
    <w:abstractNumId w:val="2"/>
  </w:num>
  <w:num w:numId="15">
    <w:abstractNumId w:val="1"/>
  </w:num>
  <w:num w:numId="16">
    <w:abstractNumId w:val="0"/>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3"/>
  </w:num>
  <w:num w:numId="20">
    <w:abstractNumId w:val="45"/>
  </w:num>
  <w:num w:numId="21">
    <w:abstractNumId w:val="16"/>
  </w:num>
  <w:num w:numId="22">
    <w:abstractNumId w:val="37"/>
  </w:num>
  <w:num w:numId="23">
    <w:abstractNumId w:val="68"/>
  </w:num>
  <w:num w:numId="24">
    <w:abstractNumId w:val="5"/>
  </w:num>
  <w:num w:numId="25">
    <w:abstractNumId w:val="20"/>
  </w:num>
  <w:num w:numId="26">
    <w:abstractNumId w:val="61"/>
  </w:num>
  <w:num w:numId="27">
    <w:abstractNumId w:val="31"/>
  </w:num>
  <w:num w:numId="28">
    <w:abstractNumId w:val="21"/>
  </w:num>
  <w:num w:numId="29">
    <w:abstractNumId w:val="67"/>
  </w:num>
  <w:num w:numId="30">
    <w:abstractNumId w:val="63"/>
  </w:num>
  <w:num w:numId="31">
    <w:abstractNumId w:val="19"/>
  </w:num>
  <w:num w:numId="32">
    <w:abstractNumId w:val="64"/>
  </w:num>
  <w:num w:numId="33">
    <w:abstractNumId w:val="46"/>
  </w:num>
  <w:num w:numId="34">
    <w:abstractNumId w:val="36"/>
  </w:num>
  <w:num w:numId="35">
    <w:abstractNumId w:val="70"/>
  </w:num>
  <w:num w:numId="36">
    <w:abstractNumId w:val="35"/>
  </w:num>
  <w:num w:numId="37">
    <w:abstractNumId w:val="55"/>
  </w:num>
  <w:num w:numId="38">
    <w:abstractNumId w:val="38"/>
  </w:num>
  <w:num w:numId="39">
    <w:abstractNumId w:val="50"/>
  </w:num>
  <w:num w:numId="40">
    <w:abstractNumId w:val="69"/>
  </w:num>
  <w:num w:numId="41">
    <w:abstractNumId w:val="58"/>
  </w:num>
  <w:num w:numId="42">
    <w:abstractNumId w:val="17"/>
  </w:num>
  <w:num w:numId="43">
    <w:abstractNumId w:val="13"/>
  </w:num>
  <w:num w:numId="44">
    <w:abstractNumId w:val="60"/>
  </w:num>
  <w:num w:numId="45">
    <w:abstractNumId w:val="59"/>
  </w:num>
  <w:num w:numId="46">
    <w:abstractNumId w:val="9"/>
  </w:num>
  <w:num w:numId="47">
    <w:abstractNumId w:val="14"/>
  </w:num>
  <w:num w:numId="48">
    <w:abstractNumId w:val="26"/>
  </w:num>
  <w:num w:numId="49">
    <w:abstractNumId w:val="28"/>
  </w:num>
  <w:num w:numId="50">
    <w:abstractNumId w:val="10"/>
  </w:num>
  <w:num w:numId="51">
    <w:abstractNumId w:val="23"/>
  </w:num>
  <w:num w:numId="52">
    <w:abstractNumId w:val="18"/>
  </w:num>
  <w:num w:numId="53">
    <w:abstractNumId w:val="43"/>
  </w:num>
  <w:num w:numId="54">
    <w:abstractNumId w:val="49"/>
  </w:num>
  <w:num w:numId="55">
    <w:abstractNumId w:val="34"/>
  </w:num>
  <w:num w:numId="56">
    <w:abstractNumId w:val="25"/>
  </w:num>
  <w:num w:numId="57">
    <w:abstractNumId w:val="54"/>
  </w:num>
  <w:num w:numId="58">
    <w:abstractNumId w:val="15"/>
  </w:num>
  <w:num w:numId="59">
    <w:abstractNumId w:val="27"/>
  </w:num>
  <w:num w:numId="60">
    <w:abstractNumId w:val="32"/>
  </w:num>
  <w:num w:numId="61">
    <w:abstractNumId w:val="4"/>
  </w:num>
  <w:num w:numId="62">
    <w:abstractNumId w:val="11"/>
  </w:num>
  <w:num w:numId="63">
    <w:abstractNumId w:val="40"/>
  </w:num>
  <w:num w:numId="64">
    <w:abstractNumId w:val="39"/>
  </w:num>
  <w:num w:numId="65">
    <w:abstractNumId w:val="44"/>
  </w:num>
  <w:num w:numId="66">
    <w:abstractNumId w:val="65"/>
  </w:num>
  <w:num w:numId="67">
    <w:abstractNumId w:val="48"/>
  </w:num>
  <w:num w:numId="68">
    <w:abstractNumId w:val="12"/>
  </w:num>
  <w:num w:numId="69">
    <w:abstractNumId w:val="52"/>
  </w:num>
  <w:num w:numId="70">
    <w:abstractNumId w:val="66"/>
  </w:num>
  <w:num w:numId="71">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CR" w:vendorID="64" w:dllVersion="131078" w:nlCheck="1" w:checkStyle="0"/>
  <w:activeWritingStyle w:appName="MSWord" w:lang="es-MX"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2CE"/>
    <w:rsid w:val="00001B41"/>
    <w:rsid w:val="00006C37"/>
    <w:rsid w:val="0000709C"/>
    <w:rsid w:val="00010EDE"/>
    <w:rsid w:val="00013FEC"/>
    <w:rsid w:val="0001536C"/>
    <w:rsid w:val="0001591F"/>
    <w:rsid w:val="00016D39"/>
    <w:rsid w:val="000170B2"/>
    <w:rsid w:val="000201FD"/>
    <w:rsid w:val="000207C1"/>
    <w:rsid w:val="000209E3"/>
    <w:rsid w:val="00020BD4"/>
    <w:rsid w:val="00021531"/>
    <w:rsid w:val="0002289A"/>
    <w:rsid w:val="00023164"/>
    <w:rsid w:val="0002385C"/>
    <w:rsid w:val="00024540"/>
    <w:rsid w:val="00026AD4"/>
    <w:rsid w:val="00027B60"/>
    <w:rsid w:val="0003144D"/>
    <w:rsid w:val="00031C4A"/>
    <w:rsid w:val="000326B9"/>
    <w:rsid w:val="00032740"/>
    <w:rsid w:val="00032D49"/>
    <w:rsid w:val="000334CA"/>
    <w:rsid w:val="000334EE"/>
    <w:rsid w:val="00033E74"/>
    <w:rsid w:val="00033F48"/>
    <w:rsid w:val="0003441B"/>
    <w:rsid w:val="00034646"/>
    <w:rsid w:val="00036346"/>
    <w:rsid w:val="0004121E"/>
    <w:rsid w:val="000442E3"/>
    <w:rsid w:val="00044463"/>
    <w:rsid w:val="00044BF4"/>
    <w:rsid w:val="0004523B"/>
    <w:rsid w:val="00046F9E"/>
    <w:rsid w:val="00050849"/>
    <w:rsid w:val="0005343F"/>
    <w:rsid w:val="00054962"/>
    <w:rsid w:val="00055364"/>
    <w:rsid w:val="000562DD"/>
    <w:rsid w:val="000572E7"/>
    <w:rsid w:val="00060053"/>
    <w:rsid w:val="000607F4"/>
    <w:rsid w:val="0006243B"/>
    <w:rsid w:val="0006255D"/>
    <w:rsid w:val="00062D9C"/>
    <w:rsid w:val="0006325E"/>
    <w:rsid w:val="00063F04"/>
    <w:rsid w:val="00065D5A"/>
    <w:rsid w:val="00066602"/>
    <w:rsid w:val="0007099C"/>
    <w:rsid w:val="00070E47"/>
    <w:rsid w:val="00071B6E"/>
    <w:rsid w:val="00071D76"/>
    <w:rsid w:val="000734DA"/>
    <w:rsid w:val="000765F5"/>
    <w:rsid w:val="00080992"/>
    <w:rsid w:val="00080F2E"/>
    <w:rsid w:val="000823A2"/>
    <w:rsid w:val="00082B17"/>
    <w:rsid w:val="00083ADA"/>
    <w:rsid w:val="00085761"/>
    <w:rsid w:val="00086350"/>
    <w:rsid w:val="000872B6"/>
    <w:rsid w:val="00087D28"/>
    <w:rsid w:val="00090AC2"/>
    <w:rsid w:val="000921A0"/>
    <w:rsid w:val="0009435D"/>
    <w:rsid w:val="00094C35"/>
    <w:rsid w:val="00095912"/>
    <w:rsid w:val="000965BF"/>
    <w:rsid w:val="00097935"/>
    <w:rsid w:val="000A0C08"/>
    <w:rsid w:val="000A2C57"/>
    <w:rsid w:val="000A3C3A"/>
    <w:rsid w:val="000A6BBA"/>
    <w:rsid w:val="000B0DDD"/>
    <w:rsid w:val="000B1651"/>
    <w:rsid w:val="000B2106"/>
    <w:rsid w:val="000B222D"/>
    <w:rsid w:val="000B26B7"/>
    <w:rsid w:val="000B3817"/>
    <w:rsid w:val="000B4299"/>
    <w:rsid w:val="000B7F28"/>
    <w:rsid w:val="000C058C"/>
    <w:rsid w:val="000C33E7"/>
    <w:rsid w:val="000C433E"/>
    <w:rsid w:val="000C4AAD"/>
    <w:rsid w:val="000C5A44"/>
    <w:rsid w:val="000C5C07"/>
    <w:rsid w:val="000D041F"/>
    <w:rsid w:val="000D2088"/>
    <w:rsid w:val="000D3B83"/>
    <w:rsid w:val="000D46EF"/>
    <w:rsid w:val="000D496A"/>
    <w:rsid w:val="000D6AF2"/>
    <w:rsid w:val="000D761A"/>
    <w:rsid w:val="000E1520"/>
    <w:rsid w:val="000E281E"/>
    <w:rsid w:val="000E5097"/>
    <w:rsid w:val="000E5DEB"/>
    <w:rsid w:val="000E60AB"/>
    <w:rsid w:val="000E6939"/>
    <w:rsid w:val="000E79AF"/>
    <w:rsid w:val="000F0768"/>
    <w:rsid w:val="000F18A2"/>
    <w:rsid w:val="000F3B91"/>
    <w:rsid w:val="000F4C4E"/>
    <w:rsid w:val="000F72DC"/>
    <w:rsid w:val="00102607"/>
    <w:rsid w:val="00103D28"/>
    <w:rsid w:val="00104D43"/>
    <w:rsid w:val="0010591F"/>
    <w:rsid w:val="00106F09"/>
    <w:rsid w:val="0011050B"/>
    <w:rsid w:val="00110644"/>
    <w:rsid w:val="0011091F"/>
    <w:rsid w:val="00110B9B"/>
    <w:rsid w:val="00112C6F"/>
    <w:rsid w:val="00113199"/>
    <w:rsid w:val="0011591E"/>
    <w:rsid w:val="0011674C"/>
    <w:rsid w:val="00116856"/>
    <w:rsid w:val="0012180F"/>
    <w:rsid w:val="00123ADE"/>
    <w:rsid w:val="00124F79"/>
    <w:rsid w:val="0012570F"/>
    <w:rsid w:val="001275A1"/>
    <w:rsid w:val="00130D45"/>
    <w:rsid w:val="00131B1A"/>
    <w:rsid w:val="00131F24"/>
    <w:rsid w:val="001332B1"/>
    <w:rsid w:val="0013662A"/>
    <w:rsid w:val="001415B5"/>
    <w:rsid w:val="001446B3"/>
    <w:rsid w:val="00145B06"/>
    <w:rsid w:val="00151316"/>
    <w:rsid w:val="00151375"/>
    <w:rsid w:val="0015196C"/>
    <w:rsid w:val="001529C7"/>
    <w:rsid w:val="00152A6A"/>
    <w:rsid w:val="001539D9"/>
    <w:rsid w:val="0015568B"/>
    <w:rsid w:val="00155AAC"/>
    <w:rsid w:val="001567A2"/>
    <w:rsid w:val="00157B1A"/>
    <w:rsid w:val="00161897"/>
    <w:rsid w:val="001620DA"/>
    <w:rsid w:val="001628D8"/>
    <w:rsid w:val="001640CC"/>
    <w:rsid w:val="00164396"/>
    <w:rsid w:val="00164829"/>
    <w:rsid w:val="0016524A"/>
    <w:rsid w:val="00165863"/>
    <w:rsid w:val="001666DD"/>
    <w:rsid w:val="00166942"/>
    <w:rsid w:val="001702F2"/>
    <w:rsid w:val="0017378A"/>
    <w:rsid w:val="00174FA4"/>
    <w:rsid w:val="00181ECB"/>
    <w:rsid w:val="00182E33"/>
    <w:rsid w:val="001859A8"/>
    <w:rsid w:val="0018683F"/>
    <w:rsid w:val="00186954"/>
    <w:rsid w:val="00186E87"/>
    <w:rsid w:val="001927B7"/>
    <w:rsid w:val="00193371"/>
    <w:rsid w:val="001938BE"/>
    <w:rsid w:val="00196C6E"/>
    <w:rsid w:val="0019756F"/>
    <w:rsid w:val="001A3DAB"/>
    <w:rsid w:val="001A5EFD"/>
    <w:rsid w:val="001A66E5"/>
    <w:rsid w:val="001A6E05"/>
    <w:rsid w:val="001A6E47"/>
    <w:rsid w:val="001A7411"/>
    <w:rsid w:val="001A788A"/>
    <w:rsid w:val="001B06A5"/>
    <w:rsid w:val="001B1EFF"/>
    <w:rsid w:val="001B2227"/>
    <w:rsid w:val="001B4A82"/>
    <w:rsid w:val="001B5223"/>
    <w:rsid w:val="001B68DD"/>
    <w:rsid w:val="001B6E70"/>
    <w:rsid w:val="001B7A26"/>
    <w:rsid w:val="001C23D2"/>
    <w:rsid w:val="001C27E4"/>
    <w:rsid w:val="001C3E10"/>
    <w:rsid w:val="001C438E"/>
    <w:rsid w:val="001C5B77"/>
    <w:rsid w:val="001D1BED"/>
    <w:rsid w:val="001D483D"/>
    <w:rsid w:val="001D6556"/>
    <w:rsid w:val="001D7374"/>
    <w:rsid w:val="001D7B94"/>
    <w:rsid w:val="001E1EA6"/>
    <w:rsid w:val="001E1F45"/>
    <w:rsid w:val="001E2A97"/>
    <w:rsid w:val="001E33C4"/>
    <w:rsid w:val="001E3772"/>
    <w:rsid w:val="001E485D"/>
    <w:rsid w:val="001F0565"/>
    <w:rsid w:val="001F1B23"/>
    <w:rsid w:val="001F2E88"/>
    <w:rsid w:val="001F39F3"/>
    <w:rsid w:val="001F3ED7"/>
    <w:rsid w:val="001F42FF"/>
    <w:rsid w:val="001F48A2"/>
    <w:rsid w:val="001F4CD1"/>
    <w:rsid w:val="001F58C1"/>
    <w:rsid w:val="001F5F65"/>
    <w:rsid w:val="001F6193"/>
    <w:rsid w:val="001F6E08"/>
    <w:rsid w:val="001F6E50"/>
    <w:rsid w:val="001F7F1F"/>
    <w:rsid w:val="00201253"/>
    <w:rsid w:val="00201E49"/>
    <w:rsid w:val="0020297A"/>
    <w:rsid w:val="002059AB"/>
    <w:rsid w:val="00205F42"/>
    <w:rsid w:val="00215F95"/>
    <w:rsid w:val="0021651E"/>
    <w:rsid w:val="00221617"/>
    <w:rsid w:val="0022287E"/>
    <w:rsid w:val="00222F64"/>
    <w:rsid w:val="00224389"/>
    <w:rsid w:val="002248DE"/>
    <w:rsid w:val="002268BB"/>
    <w:rsid w:val="00227CD1"/>
    <w:rsid w:val="00230C81"/>
    <w:rsid w:val="00232424"/>
    <w:rsid w:val="00233A57"/>
    <w:rsid w:val="00233E46"/>
    <w:rsid w:val="00234137"/>
    <w:rsid w:val="002343C4"/>
    <w:rsid w:val="0023798F"/>
    <w:rsid w:val="002407DB"/>
    <w:rsid w:val="002437F2"/>
    <w:rsid w:val="00250023"/>
    <w:rsid w:val="002502AB"/>
    <w:rsid w:val="002502CE"/>
    <w:rsid w:val="00250619"/>
    <w:rsid w:val="002506A1"/>
    <w:rsid w:val="0025113F"/>
    <w:rsid w:val="0025122A"/>
    <w:rsid w:val="00253CC5"/>
    <w:rsid w:val="00253D40"/>
    <w:rsid w:val="00254B27"/>
    <w:rsid w:val="00255A0C"/>
    <w:rsid w:val="00255DE7"/>
    <w:rsid w:val="00256340"/>
    <w:rsid w:val="00257067"/>
    <w:rsid w:val="00262622"/>
    <w:rsid w:val="002632E6"/>
    <w:rsid w:val="00263AA0"/>
    <w:rsid w:val="00267D53"/>
    <w:rsid w:val="002717F1"/>
    <w:rsid w:val="002719A0"/>
    <w:rsid w:val="002722A5"/>
    <w:rsid w:val="00272609"/>
    <w:rsid w:val="00272D9C"/>
    <w:rsid w:val="002740BE"/>
    <w:rsid w:val="00276D38"/>
    <w:rsid w:val="002806AD"/>
    <w:rsid w:val="002808A9"/>
    <w:rsid w:val="002829A2"/>
    <w:rsid w:val="00282DC5"/>
    <w:rsid w:val="002830C4"/>
    <w:rsid w:val="00283F00"/>
    <w:rsid w:val="0028737A"/>
    <w:rsid w:val="00291CE1"/>
    <w:rsid w:val="00291F68"/>
    <w:rsid w:val="002920EC"/>
    <w:rsid w:val="00293EE4"/>
    <w:rsid w:val="00293F6E"/>
    <w:rsid w:val="00294179"/>
    <w:rsid w:val="00295B19"/>
    <w:rsid w:val="00296252"/>
    <w:rsid w:val="0029730D"/>
    <w:rsid w:val="002A1A56"/>
    <w:rsid w:val="002A428E"/>
    <w:rsid w:val="002A49EF"/>
    <w:rsid w:val="002A5CCD"/>
    <w:rsid w:val="002A68A2"/>
    <w:rsid w:val="002B0C80"/>
    <w:rsid w:val="002B2018"/>
    <w:rsid w:val="002B2859"/>
    <w:rsid w:val="002B488E"/>
    <w:rsid w:val="002B4A65"/>
    <w:rsid w:val="002B4C1C"/>
    <w:rsid w:val="002B64FD"/>
    <w:rsid w:val="002C1F53"/>
    <w:rsid w:val="002C3218"/>
    <w:rsid w:val="002C35AA"/>
    <w:rsid w:val="002C371D"/>
    <w:rsid w:val="002C4881"/>
    <w:rsid w:val="002C64EA"/>
    <w:rsid w:val="002C74D0"/>
    <w:rsid w:val="002D1659"/>
    <w:rsid w:val="002D1B39"/>
    <w:rsid w:val="002D2F10"/>
    <w:rsid w:val="002D2F1F"/>
    <w:rsid w:val="002D34AA"/>
    <w:rsid w:val="002D482E"/>
    <w:rsid w:val="002D5347"/>
    <w:rsid w:val="002D692A"/>
    <w:rsid w:val="002D6B46"/>
    <w:rsid w:val="002E22E3"/>
    <w:rsid w:val="002E3461"/>
    <w:rsid w:val="002E3E23"/>
    <w:rsid w:val="002E74D0"/>
    <w:rsid w:val="002F363A"/>
    <w:rsid w:val="002F64C1"/>
    <w:rsid w:val="002F74EB"/>
    <w:rsid w:val="00300DB4"/>
    <w:rsid w:val="00300F25"/>
    <w:rsid w:val="003026C3"/>
    <w:rsid w:val="00302BA0"/>
    <w:rsid w:val="0030375D"/>
    <w:rsid w:val="00306EB3"/>
    <w:rsid w:val="0030723E"/>
    <w:rsid w:val="00307574"/>
    <w:rsid w:val="00307BE6"/>
    <w:rsid w:val="003102AE"/>
    <w:rsid w:val="00311CBC"/>
    <w:rsid w:val="00311E0A"/>
    <w:rsid w:val="00313203"/>
    <w:rsid w:val="00316C40"/>
    <w:rsid w:val="003175B9"/>
    <w:rsid w:val="00317C42"/>
    <w:rsid w:val="00322F42"/>
    <w:rsid w:val="00323385"/>
    <w:rsid w:val="0032357E"/>
    <w:rsid w:val="0032363C"/>
    <w:rsid w:val="00323DBB"/>
    <w:rsid w:val="00325342"/>
    <w:rsid w:val="00325991"/>
    <w:rsid w:val="00326EAD"/>
    <w:rsid w:val="00332C65"/>
    <w:rsid w:val="00333770"/>
    <w:rsid w:val="00333C46"/>
    <w:rsid w:val="00334814"/>
    <w:rsid w:val="003375CE"/>
    <w:rsid w:val="00337780"/>
    <w:rsid w:val="00337CE2"/>
    <w:rsid w:val="00337FC6"/>
    <w:rsid w:val="00337FF8"/>
    <w:rsid w:val="00340A05"/>
    <w:rsid w:val="00341735"/>
    <w:rsid w:val="0034365F"/>
    <w:rsid w:val="003506E9"/>
    <w:rsid w:val="003506F2"/>
    <w:rsid w:val="003514C3"/>
    <w:rsid w:val="00352FE9"/>
    <w:rsid w:val="00353E06"/>
    <w:rsid w:val="00354712"/>
    <w:rsid w:val="00354BDB"/>
    <w:rsid w:val="00356DDC"/>
    <w:rsid w:val="00356DF2"/>
    <w:rsid w:val="00357777"/>
    <w:rsid w:val="003606E7"/>
    <w:rsid w:val="00360736"/>
    <w:rsid w:val="0036612F"/>
    <w:rsid w:val="003700A0"/>
    <w:rsid w:val="0037456B"/>
    <w:rsid w:val="003766AD"/>
    <w:rsid w:val="003804A5"/>
    <w:rsid w:val="003846CD"/>
    <w:rsid w:val="00385A02"/>
    <w:rsid w:val="0038702E"/>
    <w:rsid w:val="00387A6C"/>
    <w:rsid w:val="00387D53"/>
    <w:rsid w:val="003926E7"/>
    <w:rsid w:val="003958BF"/>
    <w:rsid w:val="003966D9"/>
    <w:rsid w:val="00396A7D"/>
    <w:rsid w:val="003A360B"/>
    <w:rsid w:val="003A60C9"/>
    <w:rsid w:val="003A637D"/>
    <w:rsid w:val="003A701C"/>
    <w:rsid w:val="003B191F"/>
    <w:rsid w:val="003B1C05"/>
    <w:rsid w:val="003B2E5D"/>
    <w:rsid w:val="003B2E81"/>
    <w:rsid w:val="003B361C"/>
    <w:rsid w:val="003B7A6C"/>
    <w:rsid w:val="003C007F"/>
    <w:rsid w:val="003C0184"/>
    <w:rsid w:val="003C45C4"/>
    <w:rsid w:val="003C4B92"/>
    <w:rsid w:val="003C5D69"/>
    <w:rsid w:val="003C6406"/>
    <w:rsid w:val="003C645B"/>
    <w:rsid w:val="003D1D80"/>
    <w:rsid w:val="003D2E9C"/>
    <w:rsid w:val="003D74D9"/>
    <w:rsid w:val="003E148F"/>
    <w:rsid w:val="003E2C8F"/>
    <w:rsid w:val="003E33E5"/>
    <w:rsid w:val="003E3B79"/>
    <w:rsid w:val="003E3F0F"/>
    <w:rsid w:val="003E6A64"/>
    <w:rsid w:val="003F0564"/>
    <w:rsid w:val="003F1D42"/>
    <w:rsid w:val="003F283D"/>
    <w:rsid w:val="003F29B2"/>
    <w:rsid w:val="003F4C40"/>
    <w:rsid w:val="0040128F"/>
    <w:rsid w:val="00401D1F"/>
    <w:rsid w:val="004033F4"/>
    <w:rsid w:val="00403809"/>
    <w:rsid w:val="0040460D"/>
    <w:rsid w:val="00404AFF"/>
    <w:rsid w:val="00405509"/>
    <w:rsid w:val="00405C4E"/>
    <w:rsid w:val="00405CC9"/>
    <w:rsid w:val="00406CF2"/>
    <w:rsid w:val="0040729D"/>
    <w:rsid w:val="00411C05"/>
    <w:rsid w:val="004141D5"/>
    <w:rsid w:val="00415A07"/>
    <w:rsid w:val="0041643D"/>
    <w:rsid w:val="0041645E"/>
    <w:rsid w:val="0041695C"/>
    <w:rsid w:val="00420F78"/>
    <w:rsid w:val="00422058"/>
    <w:rsid w:val="004236CC"/>
    <w:rsid w:val="004237E0"/>
    <w:rsid w:val="00423DFE"/>
    <w:rsid w:val="004250DC"/>
    <w:rsid w:val="00426342"/>
    <w:rsid w:val="00426B8C"/>
    <w:rsid w:val="00430031"/>
    <w:rsid w:val="00430F29"/>
    <w:rsid w:val="00431150"/>
    <w:rsid w:val="00431225"/>
    <w:rsid w:val="00433132"/>
    <w:rsid w:val="00433D2C"/>
    <w:rsid w:val="0043587E"/>
    <w:rsid w:val="0044123D"/>
    <w:rsid w:val="00441A5D"/>
    <w:rsid w:val="004434E5"/>
    <w:rsid w:val="004440A8"/>
    <w:rsid w:val="004519FE"/>
    <w:rsid w:val="00452C71"/>
    <w:rsid w:val="0045363D"/>
    <w:rsid w:val="00453922"/>
    <w:rsid w:val="00455A68"/>
    <w:rsid w:val="00455DFE"/>
    <w:rsid w:val="00456091"/>
    <w:rsid w:val="00464B10"/>
    <w:rsid w:val="00470813"/>
    <w:rsid w:val="00470E39"/>
    <w:rsid w:val="00470F8C"/>
    <w:rsid w:val="00471850"/>
    <w:rsid w:val="004733E4"/>
    <w:rsid w:val="00475EC6"/>
    <w:rsid w:val="00476AD6"/>
    <w:rsid w:val="0048130B"/>
    <w:rsid w:val="00481989"/>
    <w:rsid w:val="00482B60"/>
    <w:rsid w:val="0048366B"/>
    <w:rsid w:val="00483CFC"/>
    <w:rsid w:val="00484ADB"/>
    <w:rsid w:val="00486F3C"/>
    <w:rsid w:val="004879CA"/>
    <w:rsid w:val="00491766"/>
    <w:rsid w:val="00491F12"/>
    <w:rsid w:val="004925D2"/>
    <w:rsid w:val="00492DE2"/>
    <w:rsid w:val="00494AA8"/>
    <w:rsid w:val="0049505E"/>
    <w:rsid w:val="00495887"/>
    <w:rsid w:val="00497D6E"/>
    <w:rsid w:val="004A04B8"/>
    <w:rsid w:val="004A0F96"/>
    <w:rsid w:val="004A2776"/>
    <w:rsid w:val="004A2BAF"/>
    <w:rsid w:val="004A346E"/>
    <w:rsid w:val="004A3F6A"/>
    <w:rsid w:val="004A4A9C"/>
    <w:rsid w:val="004A4E27"/>
    <w:rsid w:val="004B7407"/>
    <w:rsid w:val="004C1A5F"/>
    <w:rsid w:val="004C31C8"/>
    <w:rsid w:val="004C3372"/>
    <w:rsid w:val="004C3832"/>
    <w:rsid w:val="004C3F45"/>
    <w:rsid w:val="004C6C27"/>
    <w:rsid w:val="004C7F40"/>
    <w:rsid w:val="004D11EF"/>
    <w:rsid w:val="004D3B32"/>
    <w:rsid w:val="004D404F"/>
    <w:rsid w:val="004D46EE"/>
    <w:rsid w:val="004D47F2"/>
    <w:rsid w:val="004D6E79"/>
    <w:rsid w:val="004D7122"/>
    <w:rsid w:val="004E1D42"/>
    <w:rsid w:val="004E2D0F"/>
    <w:rsid w:val="004E3198"/>
    <w:rsid w:val="004E3217"/>
    <w:rsid w:val="004E3955"/>
    <w:rsid w:val="004E399A"/>
    <w:rsid w:val="004E39A1"/>
    <w:rsid w:val="004E46C7"/>
    <w:rsid w:val="004E7641"/>
    <w:rsid w:val="004F01DC"/>
    <w:rsid w:val="004F0CA1"/>
    <w:rsid w:val="004F12EB"/>
    <w:rsid w:val="004F78C7"/>
    <w:rsid w:val="00500F6C"/>
    <w:rsid w:val="00501112"/>
    <w:rsid w:val="005012C8"/>
    <w:rsid w:val="005022BD"/>
    <w:rsid w:val="00502566"/>
    <w:rsid w:val="0050655A"/>
    <w:rsid w:val="00511E92"/>
    <w:rsid w:val="00512AC4"/>
    <w:rsid w:val="00513AD6"/>
    <w:rsid w:val="00520288"/>
    <w:rsid w:val="005215FE"/>
    <w:rsid w:val="00522D94"/>
    <w:rsid w:val="005247ED"/>
    <w:rsid w:val="00524CBA"/>
    <w:rsid w:val="00527AA1"/>
    <w:rsid w:val="00527D80"/>
    <w:rsid w:val="005303B0"/>
    <w:rsid w:val="0053159D"/>
    <w:rsid w:val="005319C1"/>
    <w:rsid w:val="005339B5"/>
    <w:rsid w:val="005348DB"/>
    <w:rsid w:val="00535B1D"/>
    <w:rsid w:val="005360A5"/>
    <w:rsid w:val="00536D31"/>
    <w:rsid w:val="00540A76"/>
    <w:rsid w:val="005420BB"/>
    <w:rsid w:val="00543BF3"/>
    <w:rsid w:val="00544D3D"/>
    <w:rsid w:val="00545D1D"/>
    <w:rsid w:val="005460EC"/>
    <w:rsid w:val="005464A5"/>
    <w:rsid w:val="00547B19"/>
    <w:rsid w:val="0055668A"/>
    <w:rsid w:val="005570E8"/>
    <w:rsid w:val="00560FB6"/>
    <w:rsid w:val="005619C2"/>
    <w:rsid w:val="00563B77"/>
    <w:rsid w:val="00563B93"/>
    <w:rsid w:val="0056490B"/>
    <w:rsid w:val="0056549A"/>
    <w:rsid w:val="005658B5"/>
    <w:rsid w:val="005660D7"/>
    <w:rsid w:val="005669BE"/>
    <w:rsid w:val="00570B26"/>
    <w:rsid w:val="00571A02"/>
    <w:rsid w:val="005732BF"/>
    <w:rsid w:val="005764E7"/>
    <w:rsid w:val="00576A57"/>
    <w:rsid w:val="005806BD"/>
    <w:rsid w:val="00582145"/>
    <w:rsid w:val="00582FB2"/>
    <w:rsid w:val="0058608A"/>
    <w:rsid w:val="0058676A"/>
    <w:rsid w:val="005875EB"/>
    <w:rsid w:val="0059031C"/>
    <w:rsid w:val="0059167C"/>
    <w:rsid w:val="005916F3"/>
    <w:rsid w:val="00591CFC"/>
    <w:rsid w:val="00591FB5"/>
    <w:rsid w:val="00593CE2"/>
    <w:rsid w:val="005947F5"/>
    <w:rsid w:val="005A00D7"/>
    <w:rsid w:val="005A5DAE"/>
    <w:rsid w:val="005A5F9D"/>
    <w:rsid w:val="005A6458"/>
    <w:rsid w:val="005A661B"/>
    <w:rsid w:val="005A774B"/>
    <w:rsid w:val="005B16FE"/>
    <w:rsid w:val="005B22E4"/>
    <w:rsid w:val="005B53E8"/>
    <w:rsid w:val="005B549D"/>
    <w:rsid w:val="005B6741"/>
    <w:rsid w:val="005B7172"/>
    <w:rsid w:val="005C05AA"/>
    <w:rsid w:val="005C3F6A"/>
    <w:rsid w:val="005C5DE5"/>
    <w:rsid w:val="005C6143"/>
    <w:rsid w:val="005C6320"/>
    <w:rsid w:val="005C6548"/>
    <w:rsid w:val="005C6E31"/>
    <w:rsid w:val="005C6E61"/>
    <w:rsid w:val="005D07E0"/>
    <w:rsid w:val="005D4412"/>
    <w:rsid w:val="005D4A52"/>
    <w:rsid w:val="005D4CB6"/>
    <w:rsid w:val="005D73FD"/>
    <w:rsid w:val="005E0184"/>
    <w:rsid w:val="005E0BD7"/>
    <w:rsid w:val="005E1098"/>
    <w:rsid w:val="005E2559"/>
    <w:rsid w:val="005E2EA4"/>
    <w:rsid w:val="005E4B23"/>
    <w:rsid w:val="005F0CDE"/>
    <w:rsid w:val="005F0F35"/>
    <w:rsid w:val="005F2070"/>
    <w:rsid w:val="005F4C9D"/>
    <w:rsid w:val="005F5373"/>
    <w:rsid w:val="005F6309"/>
    <w:rsid w:val="00604D0B"/>
    <w:rsid w:val="00605393"/>
    <w:rsid w:val="006072A4"/>
    <w:rsid w:val="006104DA"/>
    <w:rsid w:val="00610A00"/>
    <w:rsid w:val="00611181"/>
    <w:rsid w:val="00611467"/>
    <w:rsid w:val="006121CD"/>
    <w:rsid w:val="00614CA0"/>
    <w:rsid w:val="006165E2"/>
    <w:rsid w:val="006169DB"/>
    <w:rsid w:val="006170A1"/>
    <w:rsid w:val="00617969"/>
    <w:rsid w:val="006222F6"/>
    <w:rsid w:val="006248AE"/>
    <w:rsid w:val="006325BE"/>
    <w:rsid w:val="00633BE1"/>
    <w:rsid w:val="00634AD7"/>
    <w:rsid w:val="00636656"/>
    <w:rsid w:val="00636C86"/>
    <w:rsid w:val="006373A7"/>
    <w:rsid w:val="00637738"/>
    <w:rsid w:val="0064025F"/>
    <w:rsid w:val="006415B2"/>
    <w:rsid w:val="00644D63"/>
    <w:rsid w:val="00650E4E"/>
    <w:rsid w:val="006517DE"/>
    <w:rsid w:val="00653224"/>
    <w:rsid w:val="00656B32"/>
    <w:rsid w:val="0065703D"/>
    <w:rsid w:val="00660198"/>
    <w:rsid w:val="00661E34"/>
    <w:rsid w:val="00665F92"/>
    <w:rsid w:val="0066771F"/>
    <w:rsid w:val="00670872"/>
    <w:rsid w:val="006712CD"/>
    <w:rsid w:val="00672D18"/>
    <w:rsid w:val="006733D6"/>
    <w:rsid w:val="00675AB9"/>
    <w:rsid w:val="00675DA2"/>
    <w:rsid w:val="00676859"/>
    <w:rsid w:val="00676D38"/>
    <w:rsid w:val="006770AE"/>
    <w:rsid w:val="0067750E"/>
    <w:rsid w:val="0068037C"/>
    <w:rsid w:val="00680393"/>
    <w:rsid w:val="00684431"/>
    <w:rsid w:val="00684845"/>
    <w:rsid w:val="006923E0"/>
    <w:rsid w:val="00693705"/>
    <w:rsid w:val="00694FAF"/>
    <w:rsid w:val="0069516B"/>
    <w:rsid w:val="00695320"/>
    <w:rsid w:val="006A0C1A"/>
    <w:rsid w:val="006A0CA8"/>
    <w:rsid w:val="006A107C"/>
    <w:rsid w:val="006A2633"/>
    <w:rsid w:val="006A6B77"/>
    <w:rsid w:val="006A6CEF"/>
    <w:rsid w:val="006A7A01"/>
    <w:rsid w:val="006B3426"/>
    <w:rsid w:val="006B417B"/>
    <w:rsid w:val="006B6473"/>
    <w:rsid w:val="006B72E6"/>
    <w:rsid w:val="006C1EEE"/>
    <w:rsid w:val="006C487B"/>
    <w:rsid w:val="006C5D21"/>
    <w:rsid w:val="006C600F"/>
    <w:rsid w:val="006C7584"/>
    <w:rsid w:val="006C79B6"/>
    <w:rsid w:val="006D62FA"/>
    <w:rsid w:val="006E09CD"/>
    <w:rsid w:val="006E4C53"/>
    <w:rsid w:val="006E5AE6"/>
    <w:rsid w:val="006E6543"/>
    <w:rsid w:val="006E7422"/>
    <w:rsid w:val="006E7FC2"/>
    <w:rsid w:val="006F1DA7"/>
    <w:rsid w:val="006F2747"/>
    <w:rsid w:val="006F3245"/>
    <w:rsid w:val="006F5A02"/>
    <w:rsid w:val="006F60F6"/>
    <w:rsid w:val="006F6172"/>
    <w:rsid w:val="006F63B7"/>
    <w:rsid w:val="006F6EBC"/>
    <w:rsid w:val="00700F6E"/>
    <w:rsid w:val="007010AB"/>
    <w:rsid w:val="00702D5C"/>
    <w:rsid w:val="00703BD8"/>
    <w:rsid w:val="007057F5"/>
    <w:rsid w:val="00707428"/>
    <w:rsid w:val="00710882"/>
    <w:rsid w:val="0071240F"/>
    <w:rsid w:val="0071464F"/>
    <w:rsid w:val="00715531"/>
    <w:rsid w:val="00715B0B"/>
    <w:rsid w:val="00717097"/>
    <w:rsid w:val="00720068"/>
    <w:rsid w:val="00720430"/>
    <w:rsid w:val="0072112C"/>
    <w:rsid w:val="00722C76"/>
    <w:rsid w:val="007233AC"/>
    <w:rsid w:val="00724531"/>
    <w:rsid w:val="00727A09"/>
    <w:rsid w:val="00727FFD"/>
    <w:rsid w:val="00731B3A"/>
    <w:rsid w:val="0073202B"/>
    <w:rsid w:val="0073223F"/>
    <w:rsid w:val="0073314E"/>
    <w:rsid w:val="007343BE"/>
    <w:rsid w:val="007364DB"/>
    <w:rsid w:val="00737482"/>
    <w:rsid w:val="00737F6D"/>
    <w:rsid w:val="00740378"/>
    <w:rsid w:val="007404F1"/>
    <w:rsid w:val="007413A4"/>
    <w:rsid w:val="00746F76"/>
    <w:rsid w:val="00750847"/>
    <w:rsid w:val="007519F8"/>
    <w:rsid w:val="0075218C"/>
    <w:rsid w:val="00752D08"/>
    <w:rsid w:val="00755FCD"/>
    <w:rsid w:val="0075657B"/>
    <w:rsid w:val="007577AA"/>
    <w:rsid w:val="007605C8"/>
    <w:rsid w:val="00760643"/>
    <w:rsid w:val="00761F9B"/>
    <w:rsid w:val="0076297A"/>
    <w:rsid w:val="00762B48"/>
    <w:rsid w:val="007649BA"/>
    <w:rsid w:val="007662FB"/>
    <w:rsid w:val="00766815"/>
    <w:rsid w:val="00767880"/>
    <w:rsid w:val="00770876"/>
    <w:rsid w:val="00772470"/>
    <w:rsid w:val="00772FD6"/>
    <w:rsid w:val="0077529F"/>
    <w:rsid w:val="007759B3"/>
    <w:rsid w:val="00775CBC"/>
    <w:rsid w:val="007761A8"/>
    <w:rsid w:val="007806D1"/>
    <w:rsid w:val="00783977"/>
    <w:rsid w:val="00786ECA"/>
    <w:rsid w:val="0079237A"/>
    <w:rsid w:val="007941FB"/>
    <w:rsid w:val="00796A66"/>
    <w:rsid w:val="007A005E"/>
    <w:rsid w:val="007A0156"/>
    <w:rsid w:val="007A12AA"/>
    <w:rsid w:val="007A2A20"/>
    <w:rsid w:val="007A3A13"/>
    <w:rsid w:val="007A4941"/>
    <w:rsid w:val="007A4E59"/>
    <w:rsid w:val="007A566E"/>
    <w:rsid w:val="007A6CB0"/>
    <w:rsid w:val="007A6FE3"/>
    <w:rsid w:val="007B043A"/>
    <w:rsid w:val="007B23CC"/>
    <w:rsid w:val="007B3358"/>
    <w:rsid w:val="007B5F81"/>
    <w:rsid w:val="007B6C67"/>
    <w:rsid w:val="007B79AB"/>
    <w:rsid w:val="007C077F"/>
    <w:rsid w:val="007C0982"/>
    <w:rsid w:val="007C1B95"/>
    <w:rsid w:val="007C24E4"/>
    <w:rsid w:val="007C3201"/>
    <w:rsid w:val="007C3641"/>
    <w:rsid w:val="007C372E"/>
    <w:rsid w:val="007C4CBC"/>
    <w:rsid w:val="007D20C1"/>
    <w:rsid w:val="007D2C1E"/>
    <w:rsid w:val="007D2E79"/>
    <w:rsid w:val="007D30D8"/>
    <w:rsid w:val="007D327E"/>
    <w:rsid w:val="007D456D"/>
    <w:rsid w:val="007D531F"/>
    <w:rsid w:val="007D5F94"/>
    <w:rsid w:val="007D66B7"/>
    <w:rsid w:val="007D682D"/>
    <w:rsid w:val="007D7EDA"/>
    <w:rsid w:val="007E059B"/>
    <w:rsid w:val="007E0AF5"/>
    <w:rsid w:val="007E2DCF"/>
    <w:rsid w:val="007E4824"/>
    <w:rsid w:val="007E6755"/>
    <w:rsid w:val="007E715F"/>
    <w:rsid w:val="007F283C"/>
    <w:rsid w:val="007F449A"/>
    <w:rsid w:val="007F456B"/>
    <w:rsid w:val="007F70E0"/>
    <w:rsid w:val="0080109F"/>
    <w:rsid w:val="00804367"/>
    <w:rsid w:val="00804AC0"/>
    <w:rsid w:val="00804C7C"/>
    <w:rsid w:val="0081030A"/>
    <w:rsid w:val="008115DA"/>
    <w:rsid w:val="008123B8"/>
    <w:rsid w:val="00812DE9"/>
    <w:rsid w:val="00813607"/>
    <w:rsid w:val="00813AC2"/>
    <w:rsid w:val="00814709"/>
    <w:rsid w:val="00815A77"/>
    <w:rsid w:val="0081627B"/>
    <w:rsid w:val="0081636E"/>
    <w:rsid w:val="0081669E"/>
    <w:rsid w:val="00816908"/>
    <w:rsid w:val="008210D1"/>
    <w:rsid w:val="00822714"/>
    <w:rsid w:val="00827141"/>
    <w:rsid w:val="00827B75"/>
    <w:rsid w:val="008311ED"/>
    <w:rsid w:val="0083207D"/>
    <w:rsid w:val="00834B18"/>
    <w:rsid w:val="0083556A"/>
    <w:rsid w:val="00835648"/>
    <w:rsid w:val="00836014"/>
    <w:rsid w:val="0083750D"/>
    <w:rsid w:val="00840583"/>
    <w:rsid w:val="00842262"/>
    <w:rsid w:val="008429C9"/>
    <w:rsid w:val="008450E8"/>
    <w:rsid w:val="0084550B"/>
    <w:rsid w:val="008459E2"/>
    <w:rsid w:val="0084617A"/>
    <w:rsid w:val="00847AA7"/>
    <w:rsid w:val="00847D01"/>
    <w:rsid w:val="00852412"/>
    <w:rsid w:val="00856371"/>
    <w:rsid w:val="0086099F"/>
    <w:rsid w:val="00864AE7"/>
    <w:rsid w:val="00864CF1"/>
    <w:rsid w:val="00865681"/>
    <w:rsid w:val="00865D8F"/>
    <w:rsid w:val="00866CEB"/>
    <w:rsid w:val="0087113E"/>
    <w:rsid w:val="008719B1"/>
    <w:rsid w:val="00871CFB"/>
    <w:rsid w:val="00872DE3"/>
    <w:rsid w:val="008733B5"/>
    <w:rsid w:val="00874F89"/>
    <w:rsid w:val="00875EAB"/>
    <w:rsid w:val="00876494"/>
    <w:rsid w:val="0087759B"/>
    <w:rsid w:val="00881254"/>
    <w:rsid w:val="008813A2"/>
    <w:rsid w:val="00881C0C"/>
    <w:rsid w:val="00881E0A"/>
    <w:rsid w:val="00882B11"/>
    <w:rsid w:val="00882B5B"/>
    <w:rsid w:val="00882C91"/>
    <w:rsid w:val="00883641"/>
    <w:rsid w:val="00884A53"/>
    <w:rsid w:val="0088633C"/>
    <w:rsid w:val="008874B3"/>
    <w:rsid w:val="008900A5"/>
    <w:rsid w:val="00893600"/>
    <w:rsid w:val="008948B5"/>
    <w:rsid w:val="00895277"/>
    <w:rsid w:val="00895DAF"/>
    <w:rsid w:val="00896DF7"/>
    <w:rsid w:val="008A0BCB"/>
    <w:rsid w:val="008A2932"/>
    <w:rsid w:val="008A3EC0"/>
    <w:rsid w:val="008A3F99"/>
    <w:rsid w:val="008A6EA4"/>
    <w:rsid w:val="008A73E2"/>
    <w:rsid w:val="008B03DB"/>
    <w:rsid w:val="008B3D21"/>
    <w:rsid w:val="008B4A62"/>
    <w:rsid w:val="008B4DF3"/>
    <w:rsid w:val="008B5E05"/>
    <w:rsid w:val="008B6E24"/>
    <w:rsid w:val="008C532E"/>
    <w:rsid w:val="008C56AA"/>
    <w:rsid w:val="008C5FF4"/>
    <w:rsid w:val="008D1AD3"/>
    <w:rsid w:val="008D1E37"/>
    <w:rsid w:val="008D3C10"/>
    <w:rsid w:val="008D474F"/>
    <w:rsid w:val="008D71BC"/>
    <w:rsid w:val="008D783C"/>
    <w:rsid w:val="008E00F6"/>
    <w:rsid w:val="008E29AF"/>
    <w:rsid w:val="008E3CA8"/>
    <w:rsid w:val="008E4FAF"/>
    <w:rsid w:val="008E5C48"/>
    <w:rsid w:val="008E638C"/>
    <w:rsid w:val="008E66BE"/>
    <w:rsid w:val="008E68DD"/>
    <w:rsid w:val="008E75B3"/>
    <w:rsid w:val="008F0C3E"/>
    <w:rsid w:val="008F1B8E"/>
    <w:rsid w:val="008F245F"/>
    <w:rsid w:val="008F289F"/>
    <w:rsid w:val="008F4666"/>
    <w:rsid w:val="008F76B5"/>
    <w:rsid w:val="00900AAA"/>
    <w:rsid w:val="00902059"/>
    <w:rsid w:val="00902265"/>
    <w:rsid w:val="00902608"/>
    <w:rsid w:val="00905AD4"/>
    <w:rsid w:val="00905F1C"/>
    <w:rsid w:val="00906572"/>
    <w:rsid w:val="009069EA"/>
    <w:rsid w:val="00906E1C"/>
    <w:rsid w:val="00907669"/>
    <w:rsid w:val="00910DA5"/>
    <w:rsid w:val="00911087"/>
    <w:rsid w:val="009110AB"/>
    <w:rsid w:val="00911AEE"/>
    <w:rsid w:val="00912D0F"/>
    <w:rsid w:val="00913322"/>
    <w:rsid w:val="0091660D"/>
    <w:rsid w:val="00917655"/>
    <w:rsid w:val="00917B9E"/>
    <w:rsid w:val="009208A5"/>
    <w:rsid w:val="009212EF"/>
    <w:rsid w:val="00922E47"/>
    <w:rsid w:val="00924938"/>
    <w:rsid w:val="00924A86"/>
    <w:rsid w:val="009276F6"/>
    <w:rsid w:val="00927EEF"/>
    <w:rsid w:val="00927F11"/>
    <w:rsid w:val="009321AC"/>
    <w:rsid w:val="0093345B"/>
    <w:rsid w:val="00934A8F"/>
    <w:rsid w:val="00935F97"/>
    <w:rsid w:val="009371AC"/>
    <w:rsid w:val="009400B0"/>
    <w:rsid w:val="00940A25"/>
    <w:rsid w:val="00941116"/>
    <w:rsid w:val="00941860"/>
    <w:rsid w:val="00941923"/>
    <w:rsid w:val="00943ACD"/>
    <w:rsid w:val="009450AF"/>
    <w:rsid w:val="009462CB"/>
    <w:rsid w:val="009516E8"/>
    <w:rsid w:val="00953995"/>
    <w:rsid w:val="009552BC"/>
    <w:rsid w:val="00955495"/>
    <w:rsid w:val="00955807"/>
    <w:rsid w:val="00956720"/>
    <w:rsid w:val="00957535"/>
    <w:rsid w:val="009612CE"/>
    <w:rsid w:val="00961A7D"/>
    <w:rsid w:val="009656BF"/>
    <w:rsid w:val="00965E81"/>
    <w:rsid w:val="0096655A"/>
    <w:rsid w:val="00967F13"/>
    <w:rsid w:val="009719DC"/>
    <w:rsid w:val="00975D90"/>
    <w:rsid w:val="009767D2"/>
    <w:rsid w:val="00976D0E"/>
    <w:rsid w:val="0098017F"/>
    <w:rsid w:val="00981258"/>
    <w:rsid w:val="00981E42"/>
    <w:rsid w:val="009836F6"/>
    <w:rsid w:val="00984811"/>
    <w:rsid w:val="009865F1"/>
    <w:rsid w:val="009876D2"/>
    <w:rsid w:val="00992CD5"/>
    <w:rsid w:val="009936AC"/>
    <w:rsid w:val="00994E92"/>
    <w:rsid w:val="0099672E"/>
    <w:rsid w:val="009A3171"/>
    <w:rsid w:val="009A33AE"/>
    <w:rsid w:val="009A4853"/>
    <w:rsid w:val="009A4DAB"/>
    <w:rsid w:val="009A4E67"/>
    <w:rsid w:val="009A7290"/>
    <w:rsid w:val="009A7C8E"/>
    <w:rsid w:val="009B142B"/>
    <w:rsid w:val="009B199D"/>
    <w:rsid w:val="009B3603"/>
    <w:rsid w:val="009B382F"/>
    <w:rsid w:val="009B3F29"/>
    <w:rsid w:val="009B4BBF"/>
    <w:rsid w:val="009B59D5"/>
    <w:rsid w:val="009B5A21"/>
    <w:rsid w:val="009B6EC7"/>
    <w:rsid w:val="009C0766"/>
    <w:rsid w:val="009C27ED"/>
    <w:rsid w:val="009C2963"/>
    <w:rsid w:val="009C3FBB"/>
    <w:rsid w:val="009C5159"/>
    <w:rsid w:val="009C6970"/>
    <w:rsid w:val="009D034C"/>
    <w:rsid w:val="009D1C2A"/>
    <w:rsid w:val="009D2DE4"/>
    <w:rsid w:val="009D5068"/>
    <w:rsid w:val="009D545D"/>
    <w:rsid w:val="009D765B"/>
    <w:rsid w:val="009E074D"/>
    <w:rsid w:val="009E097B"/>
    <w:rsid w:val="009E25B5"/>
    <w:rsid w:val="009E2A71"/>
    <w:rsid w:val="009E4B59"/>
    <w:rsid w:val="009F11B0"/>
    <w:rsid w:val="009F2F9C"/>
    <w:rsid w:val="009F4B97"/>
    <w:rsid w:val="009F5479"/>
    <w:rsid w:val="009F564F"/>
    <w:rsid w:val="009F66C3"/>
    <w:rsid w:val="009F748D"/>
    <w:rsid w:val="00A011CA"/>
    <w:rsid w:val="00A01584"/>
    <w:rsid w:val="00A03181"/>
    <w:rsid w:val="00A042D5"/>
    <w:rsid w:val="00A07F37"/>
    <w:rsid w:val="00A13167"/>
    <w:rsid w:val="00A132AE"/>
    <w:rsid w:val="00A136CE"/>
    <w:rsid w:val="00A15C5E"/>
    <w:rsid w:val="00A178EE"/>
    <w:rsid w:val="00A17DFE"/>
    <w:rsid w:val="00A216BB"/>
    <w:rsid w:val="00A21707"/>
    <w:rsid w:val="00A219C6"/>
    <w:rsid w:val="00A21C14"/>
    <w:rsid w:val="00A225D2"/>
    <w:rsid w:val="00A2354E"/>
    <w:rsid w:val="00A240E2"/>
    <w:rsid w:val="00A260E5"/>
    <w:rsid w:val="00A26864"/>
    <w:rsid w:val="00A26C72"/>
    <w:rsid w:val="00A275D8"/>
    <w:rsid w:val="00A27D13"/>
    <w:rsid w:val="00A30E50"/>
    <w:rsid w:val="00A324D3"/>
    <w:rsid w:val="00A34B46"/>
    <w:rsid w:val="00A37007"/>
    <w:rsid w:val="00A42C28"/>
    <w:rsid w:val="00A45792"/>
    <w:rsid w:val="00A4628F"/>
    <w:rsid w:val="00A47ACA"/>
    <w:rsid w:val="00A51ABF"/>
    <w:rsid w:val="00A53C29"/>
    <w:rsid w:val="00A572B4"/>
    <w:rsid w:val="00A61263"/>
    <w:rsid w:val="00A61459"/>
    <w:rsid w:val="00A61D48"/>
    <w:rsid w:val="00A626D3"/>
    <w:rsid w:val="00A6595F"/>
    <w:rsid w:val="00A66DEB"/>
    <w:rsid w:val="00A67230"/>
    <w:rsid w:val="00A7033D"/>
    <w:rsid w:val="00A7067E"/>
    <w:rsid w:val="00A75A08"/>
    <w:rsid w:val="00A7633E"/>
    <w:rsid w:val="00A769B9"/>
    <w:rsid w:val="00A77768"/>
    <w:rsid w:val="00A77EC9"/>
    <w:rsid w:val="00A8169E"/>
    <w:rsid w:val="00A82CA6"/>
    <w:rsid w:val="00A83303"/>
    <w:rsid w:val="00A844C3"/>
    <w:rsid w:val="00A868AC"/>
    <w:rsid w:val="00A9376B"/>
    <w:rsid w:val="00A964FD"/>
    <w:rsid w:val="00A96E3B"/>
    <w:rsid w:val="00AA1D26"/>
    <w:rsid w:val="00AA44D3"/>
    <w:rsid w:val="00AA578E"/>
    <w:rsid w:val="00AA6168"/>
    <w:rsid w:val="00AA7244"/>
    <w:rsid w:val="00AB03EF"/>
    <w:rsid w:val="00AB1348"/>
    <w:rsid w:val="00AB134F"/>
    <w:rsid w:val="00AB1440"/>
    <w:rsid w:val="00AB2D90"/>
    <w:rsid w:val="00AB3DF2"/>
    <w:rsid w:val="00AB5005"/>
    <w:rsid w:val="00AB5586"/>
    <w:rsid w:val="00AB6866"/>
    <w:rsid w:val="00AC1A7D"/>
    <w:rsid w:val="00AC50CB"/>
    <w:rsid w:val="00AC53DE"/>
    <w:rsid w:val="00AC6341"/>
    <w:rsid w:val="00AC6FDF"/>
    <w:rsid w:val="00AC7264"/>
    <w:rsid w:val="00AC74A7"/>
    <w:rsid w:val="00AD152A"/>
    <w:rsid w:val="00AD2171"/>
    <w:rsid w:val="00AD3A7C"/>
    <w:rsid w:val="00AD3DCA"/>
    <w:rsid w:val="00AD567D"/>
    <w:rsid w:val="00AE0857"/>
    <w:rsid w:val="00AE299F"/>
    <w:rsid w:val="00AE29A7"/>
    <w:rsid w:val="00AE60FA"/>
    <w:rsid w:val="00AF11AD"/>
    <w:rsid w:val="00AF3E26"/>
    <w:rsid w:val="00AF43BF"/>
    <w:rsid w:val="00B01CDE"/>
    <w:rsid w:val="00B05074"/>
    <w:rsid w:val="00B05EAB"/>
    <w:rsid w:val="00B1113A"/>
    <w:rsid w:val="00B12DBB"/>
    <w:rsid w:val="00B131A3"/>
    <w:rsid w:val="00B141DD"/>
    <w:rsid w:val="00B14257"/>
    <w:rsid w:val="00B143A6"/>
    <w:rsid w:val="00B208C2"/>
    <w:rsid w:val="00B21A1C"/>
    <w:rsid w:val="00B24BFA"/>
    <w:rsid w:val="00B26558"/>
    <w:rsid w:val="00B30C48"/>
    <w:rsid w:val="00B30DD4"/>
    <w:rsid w:val="00B3146C"/>
    <w:rsid w:val="00B32D21"/>
    <w:rsid w:val="00B33957"/>
    <w:rsid w:val="00B33B8E"/>
    <w:rsid w:val="00B3448F"/>
    <w:rsid w:val="00B358E8"/>
    <w:rsid w:val="00B36032"/>
    <w:rsid w:val="00B36410"/>
    <w:rsid w:val="00B36940"/>
    <w:rsid w:val="00B37DB4"/>
    <w:rsid w:val="00B429BB"/>
    <w:rsid w:val="00B44062"/>
    <w:rsid w:val="00B44263"/>
    <w:rsid w:val="00B44C7C"/>
    <w:rsid w:val="00B45FE8"/>
    <w:rsid w:val="00B46808"/>
    <w:rsid w:val="00B47A43"/>
    <w:rsid w:val="00B508D4"/>
    <w:rsid w:val="00B564A1"/>
    <w:rsid w:val="00B56DF4"/>
    <w:rsid w:val="00B602C5"/>
    <w:rsid w:val="00B604B9"/>
    <w:rsid w:val="00B61EB6"/>
    <w:rsid w:val="00B63326"/>
    <w:rsid w:val="00B63F01"/>
    <w:rsid w:val="00B64276"/>
    <w:rsid w:val="00B66028"/>
    <w:rsid w:val="00B670ED"/>
    <w:rsid w:val="00B72D08"/>
    <w:rsid w:val="00B73433"/>
    <w:rsid w:val="00B74CDA"/>
    <w:rsid w:val="00B815AC"/>
    <w:rsid w:val="00B81E8E"/>
    <w:rsid w:val="00B853D9"/>
    <w:rsid w:val="00B87242"/>
    <w:rsid w:val="00B92276"/>
    <w:rsid w:val="00B93F3D"/>
    <w:rsid w:val="00B9661F"/>
    <w:rsid w:val="00B96D98"/>
    <w:rsid w:val="00B9786D"/>
    <w:rsid w:val="00B97927"/>
    <w:rsid w:val="00BA010C"/>
    <w:rsid w:val="00BA1961"/>
    <w:rsid w:val="00BA3407"/>
    <w:rsid w:val="00BA3674"/>
    <w:rsid w:val="00BA4007"/>
    <w:rsid w:val="00BA7268"/>
    <w:rsid w:val="00BA7ADB"/>
    <w:rsid w:val="00BB02D1"/>
    <w:rsid w:val="00BB1A44"/>
    <w:rsid w:val="00BB2C06"/>
    <w:rsid w:val="00BB3803"/>
    <w:rsid w:val="00BB7486"/>
    <w:rsid w:val="00BB765E"/>
    <w:rsid w:val="00BC1E3B"/>
    <w:rsid w:val="00BC2D93"/>
    <w:rsid w:val="00BC2F37"/>
    <w:rsid w:val="00BC4B66"/>
    <w:rsid w:val="00BC5C71"/>
    <w:rsid w:val="00BC6DE0"/>
    <w:rsid w:val="00BC7BE4"/>
    <w:rsid w:val="00BD0A8F"/>
    <w:rsid w:val="00BD2BDC"/>
    <w:rsid w:val="00BD2C6A"/>
    <w:rsid w:val="00BD3052"/>
    <w:rsid w:val="00BD58BA"/>
    <w:rsid w:val="00BD6522"/>
    <w:rsid w:val="00BD685F"/>
    <w:rsid w:val="00BD7DB6"/>
    <w:rsid w:val="00BE02C9"/>
    <w:rsid w:val="00BE3EA5"/>
    <w:rsid w:val="00BE58C2"/>
    <w:rsid w:val="00BE68E6"/>
    <w:rsid w:val="00BE74BC"/>
    <w:rsid w:val="00BF05BF"/>
    <w:rsid w:val="00BF0DC5"/>
    <w:rsid w:val="00BF134D"/>
    <w:rsid w:val="00BF206D"/>
    <w:rsid w:val="00BF20A8"/>
    <w:rsid w:val="00BF294E"/>
    <w:rsid w:val="00BF3A9E"/>
    <w:rsid w:val="00BF3B94"/>
    <w:rsid w:val="00BF3FFA"/>
    <w:rsid w:val="00BF4921"/>
    <w:rsid w:val="00BF5C97"/>
    <w:rsid w:val="00BF7BA4"/>
    <w:rsid w:val="00C0086A"/>
    <w:rsid w:val="00C008F0"/>
    <w:rsid w:val="00C01799"/>
    <w:rsid w:val="00C02BFE"/>
    <w:rsid w:val="00C03A31"/>
    <w:rsid w:val="00C03AF3"/>
    <w:rsid w:val="00C10271"/>
    <w:rsid w:val="00C12E2A"/>
    <w:rsid w:val="00C14493"/>
    <w:rsid w:val="00C1493A"/>
    <w:rsid w:val="00C15AB2"/>
    <w:rsid w:val="00C171B7"/>
    <w:rsid w:val="00C20592"/>
    <w:rsid w:val="00C20CAE"/>
    <w:rsid w:val="00C21911"/>
    <w:rsid w:val="00C21B94"/>
    <w:rsid w:val="00C21D6C"/>
    <w:rsid w:val="00C2480F"/>
    <w:rsid w:val="00C25A8D"/>
    <w:rsid w:val="00C26C25"/>
    <w:rsid w:val="00C27903"/>
    <w:rsid w:val="00C30431"/>
    <w:rsid w:val="00C3065C"/>
    <w:rsid w:val="00C32229"/>
    <w:rsid w:val="00C34035"/>
    <w:rsid w:val="00C37B28"/>
    <w:rsid w:val="00C4019F"/>
    <w:rsid w:val="00C41065"/>
    <w:rsid w:val="00C43320"/>
    <w:rsid w:val="00C44250"/>
    <w:rsid w:val="00C47015"/>
    <w:rsid w:val="00C47B6C"/>
    <w:rsid w:val="00C50656"/>
    <w:rsid w:val="00C5137B"/>
    <w:rsid w:val="00C51B70"/>
    <w:rsid w:val="00C53272"/>
    <w:rsid w:val="00C54EC2"/>
    <w:rsid w:val="00C60E6C"/>
    <w:rsid w:val="00C63601"/>
    <w:rsid w:val="00C63FDF"/>
    <w:rsid w:val="00C64185"/>
    <w:rsid w:val="00C6463A"/>
    <w:rsid w:val="00C65791"/>
    <w:rsid w:val="00C65859"/>
    <w:rsid w:val="00C66912"/>
    <w:rsid w:val="00C67008"/>
    <w:rsid w:val="00C70BB8"/>
    <w:rsid w:val="00C715AB"/>
    <w:rsid w:val="00C71A9D"/>
    <w:rsid w:val="00C71F1E"/>
    <w:rsid w:val="00C74695"/>
    <w:rsid w:val="00C74D2D"/>
    <w:rsid w:val="00C752E2"/>
    <w:rsid w:val="00C75828"/>
    <w:rsid w:val="00C7643D"/>
    <w:rsid w:val="00C80D0A"/>
    <w:rsid w:val="00C823EE"/>
    <w:rsid w:val="00C828CB"/>
    <w:rsid w:val="00C84557"/>
    <w:rsid w:val="00C845A2"/>
    <w:rsid w:val="00C8471E"/>
    <w:rsid w:val="00C84936"/>
    <w:rsid w:val="00C8760A"/>
    <w:rsid w:val="00C9018E"/>
    <w:rsid w:val="00C90A83"/>
    <w:rsid w:val="00C914CA"/>
    <w:rsid w:val="00C93EAE"/>
    <w:rsid w:val="00C93FFE"/>
    <w:rsid w:val="00CA07B0"/>
    <w:rsid w:val="00CA36C9"/>
    <w:rsid w:val="00CA61ED"/>
    <w:rsid w:val="00CA6A26"/>
    <w:rsid w:val="00CB0ED1"/>
    <w:rsid w:val="00CB21D6"/>
    <w:rsid w:val="00CB3D99"/>
    <w:rsid w:val="00CB7068"/>
    <w:rsid w:val="00CC0A80"/>
    <w:rsid w:val="00CC3869"/>
    <w:rsid w:val="00CC3F75"/>
    <w:rsid w:val="00CC4320"/>
    <w:rsid w:val="00CC5050"/>
    <w:rsid w:val="00CC7101"/>
    <w:rsid w:val="00CC78A7"/>
    <w:rsid w:val="00CD2484"/>
    <w:rsid w:val="00CD52C8"/>
    <w:rsid w:val="00CD6443"/>
    <w:rsid w:val="00CD6ABC"/>
    <w:rsid w:val="00CD7871"/>
    <w:rsid w:val="00CE08D8"/>
    <w:rsid w:val="00CE1493"/>
    <w:rsid w:val="00CE392D"/>
    <w:rsid w:val="00CE411E"/>
    <w:rsid w:val="00CE51DA"/>
    <w:rsid w:val="00CE531E"/>
    <w:rsid w:val="00CE5C68"/>
    <w:rsid w:val="00CE60A6"/>
    <w:rsid w:val="00CE65D3"/>
    <w:rsid w:val="00CE7665"/>
    <w:rsid w:val="00CF1722"/>
    <w:rsid w:val="00CF27EE"/>
    <w:rsid w:val="00CF2EC7"/>
    <w:rsid w:val="00CF5316"/>
    <w:rsid w:val="00CF5F35"/>
    <w:rsid w:val="00CF7C40"/>
    <w:rsid w:val="00CF7F45"/>
    <w:rsid w:val="00D00AA5"/>
    <w:rsid w:val="00D05F2F"/>
    <w:rsid w:val="00D10582"/>
    <w:rsid w:val="00D141A8"/>
    <w:rsid w:val="00D14FE6"/>
    <w:rsid w:val="00D155C7"/>
    <w:rsid w:val="00D166B1"/>
    <w:rsid w:val="00D178DA"/>
    <w:rsid w:val="00D21174"/>
    <w:rsid w:val="00D2128D"/>
    <w:rsid w:val="00D23E27"/>
    <w:rsid w:val="00D24A98"/>
    <w:rsid w:val="00D2759C"/>
    <w:rsid w:val="00D277D9"/>
    <w:rsid w:val="00D3154C"/>
    <w:rsid w:val="00D31571"/>
    <w:rsid w:val="00D332DD"/>
    <w:rsid w:val="00D35A37"/>
    <w:rsid w:val="00D35C71"/>
    <w:rsid w:val="00D35F0D"/>
    <w:rsid w:val="00D36414"/>
    <w:rsid w:val="00D37A92"/>
    <w:rsid w:val="00D41834"/>
    <w:rsid w:val="00D43160"/>
    <w:rsid w:val="00D44BFD"/>
    <w:rsid w:val="00D44DF5"/>
    <w:rsid w:val="00D45032"/>
    <w:rsid w:val="00D45411"/>
    <w:rsid w:val="00D460C2"/>
    <w:rsid w:val="00D474C2"/>
    <w:rsid w:val="00D50E30"/>
    <w:rsid w:val="00D515D5"/>
    <w:rsid w:val="00D53B2F"/>
    <w:rsid w:val="00D546F2"/>
    <w:rsid w:val="00D5727E"/>
    <w:rsid w:val="00D57B34"/>
    <w:rsid w:val="00D618AE"/>
    <w:rsid w:val="00D62734"/>
    <w:rsid w:val="00D65081"/>
    <w:rsid w:val="00D66302"/>
    <w:rsid w:val="00D67177"/>
    <w:rsid w:val="00D70592"/>
    <w:rsid w:val="00D71232"/>
    <w:rsid w:val="00D71FDC"/>
    <w:rsid w:val="00D7210B"/>
    <w:rsid w:val="00D8078E"/>
    <w:rsid w:val="00D81356"/>
    <w:rsid w:val="00D81756"/>
    <w:rsid w:val="00D83DEE"/>
    <w:rsid w:val="00D84D29"/>
    <w:rsid w:val="00D87A8E"/>
    <w:rsid w:val="00D901A3"/>
    <w:rsid w:val="00D91540"/>
    <w:rsid w:val="00D92253"/>
    <w:rsid w:val="00D92585"/>
    <w:rsid w:val="00D92A7E"/>
    <w:rsid w:val="00D92CD5"/>
    <w:rsid w:val="00D939E4"/>
    <w:rsid w:val="00D96F88"/>
    <w:rsid w:val="00D97EB6"/>
    <w:rsid w:val="00D97F28"/>
    <w:rsid w:val="00DA279C"/>
    <w:rsid w:val="00DA3C55"/>
    <w:rsid w:val="00DA3FF2"/>
    <w:rsid w:val="00DA5C23"/>
    <w:rsid w:val="00DA6BAF"/>
    <w:rsid w:val="00DB0FCA"/>
    <w:rsid w:val="00DB1E4B"/>
    <w:rsid w:val="00DB38EA"/>
    <w:rsid w:val="00DB5ACF"/>
    <w:rsid w:val="00DC3627"/>
    <w:rsid w:val="00DC377B"/>
    <w:rsid w:val="00DC5E24"/>
    <w:rsid w:val="00DC6B58"/>
    <w:rsid w:val="00DC7389"/>
    <w:rsid w:val="00DD12E9"/>
    <w:rsid w:val="00DD19A4"/>
    <w:rsid w:val="00DD23F4"/>
    <w:rsid w:val="00DD40C6"/>
    <w:rsid w:val="00DD4A94"/>
    <w:rsid w:val="00DD61B8"/>
    <w:rsid w:val="00DD6B12"/>
    <w:rsid w:val="00DD791E"/>
    <w:rsid w:val="00DD7F69"/>
    <w:rsid w:val="00DE010F"/>
    <w:rsid w:val="00DE239D"/>
    <w:rsid w:val="00DE3DDC"/>
    <w:rsid w:val="00DE4F25"/>
    <w:rsid w:val="00DE7B8B"/>
    <w:rsid w:val="00DF0F07"/>
    <w:rsid w:val="00DF1662"/>
    <w:rsid w:val="00DF5C36"/>
    <w:rsid w:val="00DF5D52"/>
    <w:rsid w:val="00DF69B9"/>
    <w:rsid w:val="00DF6E5D"/>
    <w:rsid w:val="00DF7F0A"/>
    <w:rsid w:val="00E00946"/>
    <w:rsid w:val="00E00BA6"/>
    <w:rsid w:val="00E044F6"/>
    <w:rsid w:val="00E05BFD"/>
    <w:rsid w:val="00E05D0B"/>
    <w:rsid w:val="00E10BC0"/>
    <w:rsid w:val="00E12CF5"/>
    <w:rsid w:val="00E1422B"/>
    <w:rsid w:val="00E14E2C"/>
    <w:rsid w:val="00E16284"/>
    <w:rsid w:val="00E17B39"/>
    <w:rsid w:val="00E209A2"/>
    <w:rsid w:val="00E20AFA"/>
    <w:rsid w:val="00E2156C"/>
    <w:rsid w:val="00E227A0"/>
    <w:rsid w:val="00E235BF"/>
    <w:rsid w:val="00E236FA"/>
    <w:rsid w:val="00E269F9"/>
    <w:rsid w:val="00E26F24"/>
    <w:rsid w:val="00E32F1D"/>
    <w:rsid w:val="00E3529D"/>
    <w:rsid w:val="00E36C51"/>
    <w:rsid w:val="00E416A3"/>
    <w:rsid w:val="00E425D7"/>
    <w:rsid w:val="00E431C5"/>
    <w:rsid w:val="00E453F3"/>
    <w:rsid w:val="00E46F20"/>
    <w:rsid w:val="00E51F95"/>
    <w:rsid w:val="00E520AA"/>
    <w:rsid w:val="00E52234"/>
    <w:rsid w:val="00E52274"/>
    <w:rsid w:val="00E5398D"/>
    <w:rsid w:val="00E55D83"/>
    <w:rsid w:val="00E56791"/>
    <w:rsid w:val="00E578DA"/>
    <w:rsid w:val="00E60DD7"/>
    <w:rsid w:val="00E61325"/>
    <w:rsid w:val="00E6252C"/>
    <w:rsid w:val="00E705D8"/>
    <w:rsid w:val="00E70A59"/>
    <w:rsid w:val="00E7101C"/>
    <w:rsid w:val="00E71589"/>
    <w:rsid w:val="00E72C28"/>
    <w:rsid w:val="00E72D47"/>
    <w:rsid w:val="00E7361A"/>
    <w:rsid w:val="00E74698"/>
    <w:rsid w:val="00E749D0"/>
    <w:rsid w:val="00E7765F"/>
    <w:rsid w:val="00E77FF2"/>
    <w:rsid w:val="00E807F0"/>
    <w:rsid w:val="00E821B0"/>
    <w:rsid w:val="00E834B0"/>
    <w:rsid w:val="00E83DDB"/>
    <w:rsid w:val="00E84426"/>
    <w:rsid w:val="00E869F9"/>
    <w:rsid w:val="00E86B51"/>
    <w:rsid w:val="00E9063E"/>
    <w:rsid w:val="00E91A4F"/>
    <w:rsid w:val="00E923CC"/>
    <w:rsid w:val="00E9521C"/>
    <w:rsid w:val="00E96949"/>
    <w:rsid w:val="00E97AD7"/>
    <w:rsid w:val="00EA0E5A"/>
    <w:rsid w:val="00EA1AF6"/>
    <w:rsid w:val="00EA2524"/>
    <w:rsid w:val="00EA2A58"/>
    <w:rsid w:val="00EA2A8C"/>
    <w:rsid w:val="00EA2E0B"/>
    <w:rsid w:val="00EA36C0"/>
    <w:rsid w:val="00EA38C5"/>
    <w:rsid w:val="00EA5B36"/>
    <w:rsid w:val="00EA6CB1"/>
    <w:rsid w:val="00EA7915"/>
    <w:rsid w:val="00EB1A0E"/>
    <w:rsid w:val="00EB2B4F"/>
    <w:rsid w:val="00EB2FB1"/>
    <w:rsid w:val="00EB3C2E"/>
    <w:rsid w:val="00EB5877"/>
    <w:rsid w:val="00EB5EE6"/>
    <w:rsid w:val="00EB7A71"/>
    <w:rsid w:val="00EB7FE5"/>
    <w:rsid w:val="00EC19E8"/>
    <w:rsid w:val="00EC1BA9"/>
    <w:rsid w:val="00EC1ED3"/>
    <w:rsid w:val="00EC3377"/>
    <w:rsid w:val="00EC3B9F"/>
    <w:rsid w:val="00EC42A4"/>
    <w:rsid w:val="00EC5534"/>
    <w:rsid w:val="00EC583B"/>
    <w:rsid w:val="00ED04A1"/>
    <w:rsid w:val="00ED28EC"/>
    <w:rsid w:val="00ED34A0"/>
    <w:rsid w:val="00ED71E1"/>
    <w:rsid w:val="00EE052B"/>
    <w:rsid w:val="00EE0A1A"/>
    <w:rsid w:val="00EE226E"/>
    <w:rsid w:val="00EE55AD"/>
    <w:rsid w:val="00EE6D2A"/>
    <w:rsid w:val="00EF07DC"/>
    <w:rsid w:val="00EF3AB0"/>
    <w:rsid w:val="00EF55C4"/>
    <w:rsid w:val="00F00870"/>
    <w:rsid w:val="00F0185B"/>
    <w:rsid w:val="00F01972"/>
    <w:rsid w:val="00F03670"/>
    <w:rsid w:val="00F03A14"/>
    <w:rsid w:val="00F07ED7"/>
    <w:rsid w:val="00F1171C"/>
    <w:rsid w:val="00F11DF2"/>
    <w:rsid w:val="00F12181"/>
    <w:rsid w:val="00F141EF"/>
    <w:rsid w:val="00F14441"/>
    <w:rsid w:val="00F15E23"/>
    <w:rsid w:val="00F15FE1"/>
    <w:rsid w:val="00F21B68"/>
    <w:rsid w:val="00F21E5B"/>
    <w:rsid w:val="00F228A5"/>
    <w:rsid w:val="00F22B1B"/>
    <w:rsid w:val="00F23600"/>
    <w:rsid w:val="00F24374"/>
    <w:rsid w:val="00F259A4"/>
    <w:rsid w:val="00F32100"/>
    <w:rsid w:val="00F338C4"/>
    <w:rsid w:val="00F343EC"/>
    <w:rsid w:val="00F34E2B"/>
    <w:rsid w:val="00F35105"/>
    <w:rsid w:val="00F366E4"/>
    <w:rsid w:val="00F36B91"/>
    <w:rsid w:val="00F36E42"/>
    <w:rsid w:val="00F4139A"/>
    <w:rsid w:val="00F42072"/>
    <w:rsid w:val="00F4274F"/>
    <w:rsid w:val="00F42AB3"/>
    <w:rsid w:val="00F44F42"/>
    <w:rsid w:val="00F454B2"/>
    <w:rsid w:val="00F461A7"/>
    <w:rsid w:val="00F500B6"/>
    <w:rsid w:val="00F5028A"/>
    <w:rsid w:val="00F51FE5"/>
    <w:rsid w:val="00F52DA2"/>
    <w:rsid w:val="00F5349B"/>
    <w:rsid w:val="00F53525"/>
    <w:rsid w:val="00F53812"/>
    <w:rsid w:val="00F53F41"/>
    <w:rsid w:val="00F546E1"/>
    <w:rsid w:val="00F54974"/>
    <w:rsid w:val="00F54EAF"/>
    <w:rsid w:val="00F555C0"/>
    <w:rsid w:val="00F56D7F"/>
    <w:rsid w:val="00F60C0D"/>
    <w:rsid w:val="00F64185"/>
    <w:rsid w:val="00F65563"/>
    <w:rsid w:val="00F66D83"/>
    <w:rsid w:val="00F7272C"/>
    <w:rsid w:val="00F72E43"/>
    <w:rsid w:val="00F73A72"/>
    <w:rsid w:val="00F73F4B"/>
    <w:rsid w:val="00F74C87"/>
    <w:rsid w:val="00F77B0A"/>
    <w:rsid w:val="00F80216"/>
    <w:rsid w:val="00F81A94"/>
    <w:rsid w:val="00F82B1C"/>
    <w:rsid w:val="00F855F4"/>
    <w:rsid w:val="00F85993"/>
    <w:rsid w:val="00F8652C"/>
    <w:rsid w:val="00F90786"/>
    <w:rsid w:val="00F91115"/>
    <w:rsid w:val="00F91521"/>
    <w:rsid w:val="00F91CA6"/>
    <w:rsid w:val="00F9231C"/>
    <w:rsid w:val="00F92454"/>
    <w:rsid w:val="00F94DAB"/>
    <w:rsid w:val="00FA1224"/>
    <w:rsid w:val="00FA270B"/>
    <w:rsid w:val="00FA34A0"/>
    <w:rsid w:val="00FA3647"/>
    <w:rsid w:val="00FA4560"/>
    <w:rsid w:val="00FA5634"/>
    <w:rsid w:val="00FB0DD0"/>
    <w:rsid w:val="00FB4FF2"/>
    <w:rsid w:val="00FC0013"/>
    <w:rsid w:val="00FC3212"/>
    <w:rsid w:val="00FC35A8"/>
    <w:rsid w:val="00FC4BE2"/>
    <w:rsid w:val="00FC5419"/>
    <w:rsid w:val="00FC5930"/>
    <w:rsid w:val="00FC6A4D"/>
    <w:rsid w:val="00FC6AFC"/>
    <w:rsid w:val="00FD08A0"/>
    <w:rsid w:val="00FD1297"/>
    <w:rsid w:val="00FD234F"/>
    <w:rsid w:val="00FD27C7"/>
    <w:rsid w:val="00FD3950"/>
    <w:rsid w:val="00FD47D6"/>
    <w:rsid w:val="00FD5358"/>
    <w:rsid w:val="00FD6263"/>
    <w:rsid w:val="00FD730E"/>
    <w:rsid w:val="00FD7ED1"/>
    <w:rsid w:val="00FE1E33"/>
    <w:rsid w:val="00FE3E2F"/>
    <w:rsid w:val="00FE54E8"/>
    <w:rsid w:val="00FE601E"/>
    <w:rsid w:val="00FE6BB7"/>
    <w:rsid w:val="00FE7327"/>
    <w:rsid w:val="00FF1C2C"/>
    <w:rsid w:val="00FF25E3"/>
    <w:rsid w:val="00FF5D25"/>
    <w:rsid w:val="00FF72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date"/>
  <w:smartTagType w:namespaceuri="urn:schemas-microsoft-com:office:smarttags" w:name="PersonName"/>
  <w:shapeDefaults>
    <o:shapedefaults v:ext="edit" spidmax="2049"/>
    <o:shapelayout v:ext="edit">
      <o:idmap v:ext="edit" data="1"/>
    </o:shapelayout>
  </w:shapeDefaults>
  <w:decimalSymbol w:val="."/>
  <w:listSeparator w:val=";"/>
  <w14:docId w14:val="06A947B9"/>
  <w15:docId w15:val="{12106BC4-CD75-48E0-89D4-BF9F7BEF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76B"/>
    <w:rPr>
      <w:sz w:val="24"/>
      <w:szCs w:val="24"/>
      <w:lang w:val="es-ES" w:eastAsia="es-ES"/>
    </w:rPr>
  </w:style>
  <w:style w:type="paragraph" w:styleId="Ttulo1">
    <w:name w:val="heading 1"/>
    <w:basedOn w:val="Normal"/>
    <w:next w:val="Normal"/>
    <w:link w:val="Ttulo1Car"/>
    <w:uiPriority w:val="9"/>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uiPriority w:val="9"/>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uiPriority w:val="9"/>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9B199D"/>
    <w:rPr>
      <w:lang w:val="es-ES_tradnl"/>
    </w:rPr>
  </w:style>
  <w:style w:type="paragraph" w:styleId="Textodeglobo">
    <w:name w:val="Balloon Text"/>
    <w:basedOn w:val="Normal"/>
    <w:link w:val="TextodegloboCar"/>
    <w:rsid w:val="00032D49"/>
    <w:rPr>
      <w:rFonts w:ascii="Tahoma" w:hAnsi="Tahoma" w:cs="Tahoma"/>
      <w:sz w:val="16"/>
      <w:szCs w:val="16"/>
    </w:rPr>
  </w:style>
  <w:style w:type="character" w:customStyle="1" w:styleId="TextodegloboCar">
    <w:name w:val="Texto de globo Car"/>
    <w:link w:val="Textodeglobo"/>
    <w:rsid w:val="009A3171"/>
    <w:rPr>
      <w:rFonts w:ascii="Tahoma" w:hAnsi="Tahoma" w:cs="Tahoma"/>
      <w:sz w:val="16"/>
      <w:szCs w:val="16"/>
      <w:lang w:val="es-ES" w:eastAsia="es-ES"/>
    </w:rPr>
  </w:style>
  <w:style w:type="paragraph" w:styleId="Puesto">
    <w:name w:val="Title"/>
    <w:basedOn w:val="Normal"/>
    <w:link w:val="PuestoCar"/>
    <w:qFormat/>
    <w:rsid w:val="009D034C"/>
    <w:pPr>
      <w:jc w:val="center"/>
    </w:pPr>
    <w:rPr>
      <w:rFonts w:ascii="Garamond" w:hAnsi="Garamond" w:cs="Tahoma"/>
      <w:b/>
      <w:bCs/>
      <w:sz w:val="28"/>
      <w:lang w:val="es-MX"/>
    </w:rPr>
  </w:style>
  <w:style w:type="character" w:customStyle="1" w:styleId="PuestoCar">
    <w:name w:val="Puesto Car"/>
    <w:basedOn w:val="Fuentedeprrafopredeter"/>
    <w:link w:val="Puest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9"/>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10"/>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3A637D"/>
    <w:pPr>
      <w:tabs>
        <w:tab w:val="right" w:leader="dot" w:pos="9396"/>
      </w:tabs>
      <w:spacing w:line="276" w:lineRule="auto"/>
      <w:ind w:left="850" w:hanging="708"/>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basedOn w:val="Normal"/>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de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43587E"/>
    <w:pPr>
      <w:tabs>
        <w:tab w:val="left" w:pos="850"/>
        <w:tab w:val="right" w:leader="dot" w:pos="9113"/>
      </w:tabs>
      <w:spacing w:after="100" w:line="276" w:lineRule="auto"/>
    </w:pPr>
    <w:rPr>
      <w:rFonts w:asciiTheme="majorHAnsi" w:eastAsiaTheme="minorEastAsia" w:hAnsiTheme="majorHAnsi" w:cs="Tahoma"/>
      <w:b/>
      <w:bCs/>
      <w:smallCaps/>
      <w:noProof/>
      <w:sz w:val="22"/>
      <w:szCs w:val="22"/>
    </w:rPr>
  </w:style>
  <w:style w:type="paragraph" w:styleId="TDC3">
    <w:name w:val="toc 3"/>
    <w:basedOn w:val="Normal"/>
    <w:next w:val="Normal"/>
    <w:autoRedefine/>
    <w:uiPriority w:val="39"/>
    <w:unhideWhenUsed/>
    <w:qFormat/>
    <w:rsid w:val="00C03AF3"/>
    <w:pPr>
      <w:tabs>
        <w:tab w:val="left" w:pos="851"/>
        <w:tab w:val="right" w:leader="dot" w:pos="9072"/>
      </w:tabs>
      <w:spacing w:after="100" w:line="276" w:lineRule="auto"/>
      <w:ind w:left="567" w:hanging="425"/>
    </w:pPr>
    <w:rPr>
      <w:rFonts w:asciiTheme="minorHAnsi" w:eastAsiaTheme="minorEastAsia" w:hAnsiTheme="minorHAnsi" w:cstheme="minorBidi"/>
      <w:sz w:val="22"/>
      <w:szCs w:val="22"/>
    </w:rPr>
  </w:style>
  <w:style w:type="character" w:styleId="Hipervnculo">
    <w:name w:val="Hyperlink"/>
    <w:basedOn w:val="Fuentedeprrafopredeter"/>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B44C7C"/>
    <w:pPr>
      <w:numPr>
        <w:numId w:val="14"/>
      </w:numPr>
      <w:spacing w:before="200" w:after="200" w:line="276" w:lineRule="auto"/>
    </w:pPr>
    <w:rPr>
      <w:rFonts w:asciiTheme="minorHAnsi" w:eastAsiaTheme="minorEastAsia" w:hAnsiTheme="minorHAnsi" w:cstheme="minorBidi"/>
      <w:sz w:val="20"/>
      <w:szCs w:val="20"/>
      <w:lang w:val="es-CR" w:eastAsia="es-CR"/>
    </w:rPr>
  </w:style>
  <w:style w:type="paragraph" w:styleId="Listaconvietas3">
    <w:name w:val="List Bullet 3"/>
    <w:basedOn w:val="Normal"/>
    <w:autoRedefine/>
    <w:rsid w:val="00B44C7C"/>
    <w:pPr>
      <w:numPr>
        <w:numId w:val="15"/>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6"/>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7"/>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numbering" w:customStyle="1" w:styleId="Sinlista1">
    <w:name w:val="Sin lista1"/>
    <w:next w:val="Sinlista"/>
    <w:uiPriority w:val="99"/>
    <w:semiHidden/>
    <w:unhideWhenUsed/>
    <w:rsid w:val="00CE5C68"/>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a">
    <w:basedOn w:val="Normal"/>
    <w:next w:val="Puest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52"/>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 w:id="395671368">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244458230">
          <w:marLeft w:val="1166"/>
          <w:marRight w:val="0"/>
          <w:marTop w:val="106"/>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017145222">
              <w:marLeft w:val="0"/>
              <w:marRight w:val="0"/>
              <w:marTop w:val="0"/>
              <w:marBottom w:val="0"/>
              <w:divBdr>
                <w:top w:val="none" w:sz="0" w:space="0" w:color="auto"/>
                <w:left w:val="none" w:sz="0" w:space="0" w:color="auto"/>
                <w:bottom w:val="none" w:sz="0" w:space="0" w:color="auto"/>
                <w:right w:val="none" w:sz="0" w:space="0" w:color="auto"/>
              </w:divBdr>
            </w:div>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117" Type="http://schemas.openxmlformats.org/officeDocument/2006/relationships/image" Target="media/image89.png"/><Relationship Id="rId21" Type="http://schemas.openxmlformats.org/officeDocument/2006/relationships/image" Target="media/image7.png"/><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84.jpeg"/><Relationship Id="rId16" Type="http://schemas.openxmlformats.org/officeDocument/2006/relationships/footer" Target="footer3.xml"/><Relationship Id="rId107" Type="http://schemas.openxmlformats.org/officeDocument/2006/relationships/header" Target="header7.xml"/><Relationship Id="rId11" Type="http://schemas.openxmlformats.org/officeDocument/2006/relationships/endnotes" Target="endnotes.xml"/><Relationship Id="rId32" Type="http://schemas.openxmlformats.org/officeDocument/2006/relationships/image" Target="media/image18.emf"/><Relationship Id="rId37" Type="http://schemas.openxmlformats.org/officeDocument/2006/relationships/footer" Target="footer4.xml"/><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5.emf"/><Relationship Id="rId79" Type="http://schemas.openxmlformats.org/officeDocument/2006/relationships/image" Target="media/image58.png"/><Relationship Id="rId102" Type="http://schemas.openxmlformats.org/officeDocument/2006/relationships/header" Target="header5.xml"/><Relationship Id="rId123" Type="http://schemas.openxmlformats.org/officeDocument/2006/relationships/header" Target="header10.xml"/><Relationship Id="rId128" Type="http://schemas.openxmlformats.org/officeDocument/2006/relationships/image" Target="media/image93.jpeg"/><Relationship Id="rId5" Type="http://schemas.openxmlformats.org/officeDocument/2006/relationships/customXml" Target="../customXml/item5.xml"/><Relationship Id="rId90" Type="http://schemas.openxmlformats.org/officeDocument/2006/relationships/image" Target="media/image69.png"/><Relationship Id="rId95" Type="http://schemas.openxmlformats.org/officeDocument/2006/relationships/image" Target="media/image74.png"/><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header" Target="header3.xml"/><Relationship Id="rId77" Type="http://schemas.openxmlformats.org/officeDocument/2006/relationships/oleObject" Target="embeddings/oleObject2.bin"/><Relationship Id="rId100" Type="http://schemas.openxmlformats.org/officeDocument/2006/relationships/image" Target="media/image78.emf"/><Relationship Id="rId105" Type="http://schemas.openxmlformats.org/officeDocument/2006/relationships/header" Target="header6.xml"/><Relationship Id="rId113" Type="http://schemas.openxmlformats.org/officeDocument/2006/relationships/image" Target="media/image85.jpg"/><Relationship Id="rId118" Type="http://schemas.openxmlformats.org/officeDocument/2006/relationships/header" Target="header8.xml"/><Relationship Id="rId126" Type="http://schemas.openxmlformats.org/officeDocument/2006/relationships/header" Target="header11.xml"/><Relationship Id="rId8" Type="http://schemas.openxmlformats.org/officeDocument/2006/relationships/settings" Target="settings.xml"/><Relationship Id="rId51" Type="http://schemas.openxmlformats.org/officeDocument/2006/relationships/image" Target="media/image35.emf"/><Relationship Id="rId72" Type="http://schemas.openxmlformats.org/officeDocument/2006/relationships/hyperlink" Target="http://www.supen.fi.cr" TargetMode="External"/><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image" Target="media/image72.png"/><Relationship Id="rId98" Type="http://schemas.openxmlformats.org/officeDocument/2006/relationships/image" Target="media/image76.emf"/><Relationship Id="rId121"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footer" Target="footer5.xml"/><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103" Type="http://schemas.openxmlformats.org/officeDocument/2006/relationships/footer" Target="footer7.xml"/><Relationship Id="rId108" Type="http://schemas.openxmlformats.org/officeDocument/2006/relationships/footer" Target="footer9.xml"/><Relationship Id="rId116" Type="http://schemas.openxmlformats.org/officeDocument/2006/relationships/image" Target="media/image88.png"/><Relationship Id="rId124" Type="http://schemas.openxmlformats.org/officeDocument/2006/relationships/footer" Target="footer12.xml"/><Relationship Id="rId129" Type="http://schemas.openxmlformats.org/officeDocument/2006/relationships/header" Target="header12.xml"/><Relationship Id="rId20" Type="http://schemas.openxmlformats.org/officeDocument/2006/relationships/image" Target="media/image6.png"/><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footer" Target="footer6.xml"/><Relationship Id="rId75" Type="http://schemas.openxmlformats.org/officeDocument/2006/relationships/oleObject" Target="embeddings/oleObject1.bin"/><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image" Target="media/image8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3.emf"/><Relationship Id="rId57" Type="http://schemas.openxmlformats.org/officeDocument/2006/relationships/image" Target="media/image41.emf"/><Relationship Id="rId106" Type="http://schemas.openxmlformats.org/officeDocument/2006/relationships/image" Target="media/image80.emf"/><Relationship Id="rId114" Type="http://schemas.openxmlformats.org/officeDocument/2006/relationships/image" Target="media/image86.jpeg"/><Relationship Id="rId119" Type="http://schemas.openxmlformats.org/officeDocument/2006/relationships/footer" Target="footer10.xml"/><Relationship Id="rId127" Type="http://schemas.openxmlformats.org/officeDocument/2006/relationships/image" Target="media/image92.png"/><Relationship Id="rId10" Type="http://schemas.openxmlformats.org/officeDocument/2006/relationships/footnotes" Target="footnotes.xml"/><Relationship Id="rId31" Type="http://schemas.openxmlformats.org/officeDocument/2006/relationships/image" Target="media/image17.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4.jp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7.emf"/><Relationship Id="rId101" Type="http://schemas.openxmlformats.org/officeDocument/2006/relationships/image" Target="media/image79.emf"/><Relationship Id="rId122" Type="http://schemas.openxmlformats.org/officeDocument/2006/relationships/image" Target="media/image91.emf"/><Relationship Id="rId13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23.emf"/><Relationship Id="rId109" Type="http://schemas.openxmlformats.org/officeDocument/2006/relationships/image" Target="media/image81.emf"/><Relationship Id="rId34" Type="http://schemas.openxmlformats.org/officeDocument/2006/relationships/image" Target="media/image20.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56.emf"/><Relationship Id="rId97" Type="http://schemas.openxmlformats.org/officeDocument/2006/relationships/header" Target="header4.xml"/><Relationship Id="rId104" Type="http://schemas.openxmlformats.org/officeDocument/2006/relationships/footer" Target="footer8.xml"/><Relationship Id="rId120" Type="http://schemas.openxmlformats.org/officeDocument/2006/relationships/footer" Target="footer11.xml"/><Relationship Id="rId125" Type="http://schemas.openxmlformats.org/officeDocument/2006/relationships/footer" Target="footer13.xml"/><Relationship Id="rId7" Type="http://schemas.openxmlformats.org/officeDocument/2006/relationships/styles" Target="styles.xml"/><Relationship Id="rId71" Type="http://schemas.openxmlformats.org/officeDocument/2006/relationships/image" Target="media/image53.png"/><Relationship Id="rId92" Type="http://schemas.openxmlformats.org/officeDocument/2006/relationships/image" Target="media/image71.png"/><Relationship Id="rId2" Type="http://schemas.openxmlformats.org/officeDocument/2006/relationships/customXml" Target="../customXml/item2.xml"/><Relationship Id="rId29" Type="http://schemas.openxmlformats.org/officeDocument/2006/relationships/image" Target="media/image15.emf"/><Relationship Id="rId24" Type="http://schemas.openxmlformats.org/officeDocument/2006/relationships/image" Target="media/image10.emf"/><Relationship Id="rId40" Type="http://schemas.openxmlformats.org/officeDocument/2006/relationships/image" Target="media/image24.em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66.png"/><Relationship Id="rId110" Type="http://schemas.openxmlformats.org/officeDocument/2006/relationships/image" Target="media/image82.jpeg"/><Relationship Id="rId115" Type="http://schemas.openxmlformats.org/officeDocument/2006/relationships/image" Target="media/image87.jpg"/><Relationship Id="rId131" Type="http://schemas.openxmlformats.org/officeDocument/2006/relationships/theme" Target="theme/theme1.xml"/><Relationship Id="rId61" Type="http://schemas.openxmlformats.org/officeDocument/2006/relationships/image" Target="media/image45.emf"/><Relationship Id="rId82" Type="http://schemas.openxmlformats.org/officeDocument/2006/relationships/image" Target="media/image61.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90.wmf"/></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90.w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90.wmf"/></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90.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Lograr que el personal desarrolle las competencias idóneas para el cumplimiento adecuado de sus funciones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0" ma:contentTypeDescription="Crear nuevo documento." ma:contentTypeScope="" ma:versionID="9c6943234a1a8c49b6905554d0a6e4e0">
  <xsd:schema xmlns:xsd="http://www.w3.org/2001/XMLSchema" xmlns:xs="http://www.w3.org/2001/XMLSchema" xmlns:p="http://schemas.microsoft.com/office/2006/metadata/properties" targetNamespace="http://schemas.microsoft.com/office/2006/metadata/properties" ma:root="true" ma:fieldsID="5ab8db0757c30d72a04c74335ca96c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3.xml><?xml version="1.0" encoding="utf-8"?>
<ds:datastoreItem xmlns:ds="http://schemas.openxmlformats.org/officeDocument/2006/customXml" ds:itemID="{0467A4CA-7CCF-40A6-BCD7-3D6F24B14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1D9DC2-3D73-4A49-AC26-36074649F046}">
  <ds:schemaRefs>
    <ds:schemaRef ds:uri="http://schemas.microsoft.com/office/2006/metadata/properties"/>
  </ds:schemaRefs>
</ds:datastoreItem>
</file>

<file path=customXml/itemProps5.xml><?xml version="1.0" encoding="utf-8"?>
<ds:datastoreItem xmlns:ds="http://schemas.openxmlformats.org/officeDocument/2006/customXml" ds:itemID="{5F27344A-9F36-4E8E-83A2-9F975717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180</Pages>
  <Words>39399</Words>
  <Characters>216699</Characters>
  <Application>Microsoft Office Word</Application>
  <DocSecurity>0</DocSecurity>
  <Lines>1805</Lines>
  <Paragraphs>511</Paragraphs>
  <ScaleCrop>false</ScaleCrop>
  <HeadingPairs>
    <vt:vector size="2" baseType="variant">
      <vt:variant>
        <vt:lpstr>Título</vt:lpstr>
      </vt:variant>
      <vt:variant>
        <vt:i4>1</vt:i4>
      </vt:variant>
    </vt:vector>
  </HeadingPairs>
  <TitlesOfParts>
    <vt:vector size="1" baseType="lpstr">
      <vt:lpstr>Plan Anual de Capacitación Institucional 2017</vt:lpstr>
    </vt:vector>
  </TitlesOfParts>
  <Company>Superintendencia de Pensiones</Company>
  <LinksUpToDate>false</LinksUpToDate>
  <CharactersWithSpaces>255587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Anual de Capacitación Institucional 2017</dc:title>
  <dc:creator>ariasgj</dc:creator>
  <cp:lastModifiedBy>José Arias González</cp:lastModifiedBy>
  <cp:revision>5</cp:revision>
  <cp:lastPrinted>2016-09-22T22:21:00Z</cp:lastPrinted>
  <dcterms:created xsi:type="dcterms:W3CDTF">2016-09-23T21:09:00Z</dcterms:created>
  <dcterms:modified xsi:type="dcterms:W3CDTF">2016-10-13T18:11:00Z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IsMyDocuments">
    <vt:bool>true</vt:bool>
  </property>
</Properties>
</file>