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vsdx" ContentType="application/vnd.ms-visio.drawing"/>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A947B9" w14:textId="77777777" w:rsidR="009D034C" w:rsidRPr="00060053" w:rsidRDefault="009D034C" w:rsidP="009D034C">
      <w:pPr>
        <w:rPr>
          <w:rFonts w:asciiTheme="majorHAnsi" w:hAnsiTheme="majorHAnsi"/>
          <w:b/>
          <w:sz w:val="22"/>
          <w:szCs w:val="22"/>
        </w:rPr>
      </w:pPr>
    </w:p>
    <w:p w14:paraId="06A947BA" w14:textId="768831DC" w:rsidR="009D034C" w:rsidRPr="00060053" w:rsidRDefault="00D277D9" w:rsidP="00D277D9">
      <w:pPr>
        <w:tabs>
          <w:tab w:val="left" w:pos="1945"/>
        </w:tabs>
        <w:rPr>
          <w:rFonts w:asciiTheme="majorHAnsi" w:hAnsiTheme="majorHAnsi"/>
        </w:rPr>
      </w:pPr>
      <w:r>
        <w:rPr>
          <w:rFonts w:asciiTheme="majorHAnsi" w:hAnsiTheme="majorHAnsi"/>
        </w:rPr>
        <w:tab/>
      </w:r>
    </w:p>
    <w:p w14:paraId="06A947BB" w14:textId="77777777" w:rsidR="009D034C" w:rsidRPr="00060053" w:rsidRDefault="009D034C" w:rsidP="009D034C">
      <w:pPr>
        <w:rPr>
          <w:rFonts w:asciiTheme="majorHAnsi" w:hAnsiTheme="majorHAnsi"/>
        </w:rPr>
      </w:pPr>
    </w:p>
    <w:p w14:paraId="06A947BC" w14:textId="77777777" w:rsidR="009D034C" w:rsidRPr="00060053" w:rsidRDefault="009D034C" w:rsidP="009D034C">
      <w:pPr>
        <w:rPr>
          <w:rFonts w:asciiTheme="majorHAnsi" w:hAnsiTheme="majorHAnsi"/>
        </w:rPr>
      </w:pPr>
    </w:p>
    <w:p w14:paraId="06A947BD" w14:textId="77777777" w:rsidR="009D034C" w:rsidRPr="00060053" w:rsidRDefault="009D034C" w:rsidP="009D034C">
      <w:pPr>
        <w:rPr>
          <w:rFonts w:asciiTheme="majorHAnsi" w:hAnsiTheme="majorHAnsi"/>
        </w:rPr>
      </w:pPr>
    </w:p>
    <w:p w14:paraId="06A947BE" w14:textId="77777777" w:rsidR="009D034C" w:rsidRPr="00060053" w:rsidRDefault="009D034C" w:rsidP="009D034C">
      <w:pPr>
        <w:rPr>
          <w:rFonts w:asciiTheme="majorHAnsi" w:hAnsiTheme="majorHAnsi"/>
        </w:rPr>
      </w:pPr>
    </w:p>
    <w:p w14:paraId="06A947BF" w14:textId="77777777" w:rsidR="009D034C" w:rsidRPr="00060053" w:rsidRDefault="009D034C" w:rsidP="009D034C">
      <w:pPr>
        <w:rPr>
          <w:rFonts w:asciiTheme="majorHAnsi" w:hAnsiTheme="majorHAnsi"/>
        </w:rPr>
      </w:pPr>
    </w:p>
    <w:p w14:paraId="06A947C0" w14:textId="77777777" w:rsidR="009D034C" w:rsidRPr="00060053" w:rsidRDefault="009D034C" w:rsidP="009D034C">
      <w:pPr>
        <w:jc w:val="center"/>
        <w:rPr>
          <w:rFonts w:asciiTheme="majorHAnsi" w:hAnsiTheme="majorHAnsi"/>
          <w:sz w:val="40"/>
          <w:szCs w:val="40"/>
        </w:rPr>
      </w:pPr>
    </w:p>
    <w:p w14:paraId="06A947C1" w14:textId="77777777" w:rsidR="009D034C" w:rsidRPr="00060053" w:rsidRDefault="00ED71E1" w:rsidP="009D034C">
      <w:pPr>
        <w:jc w:val="center"/>
        <w:rPr>
          <w:rFonts w:asciiTheme="majorHAnsi" w:hAnsiTheme="majorHAnsi"/>
          <w:sz w:val="72"/>
          <w:szCs w:val="72"/>
          <w14:shadow w14:blurRad="50800" w14:dist="38100" w14:dir="0" w14:sx="100000" w14:sy="100000" w14:kx="0" w14:ky="0" w14:algn="l">
            <w14:srgbClr w14:val="000000">
              <w14:alpha w14:val="60000"/>
            </w14:srgbClr>
          </w14:shadow>
        </w:rPr>
      </w:pPr>
      <w:r w:rsidRPr="00060053">
        <w:rPr>
          <w:rFonts w:asciiTheme="majorHAnsi" w:hAnsiTheme="majorHAnsi"/>
          <w:sz w:val="72"/>
          <w:szCs w:val="72"/>
          <w14:shadow w14:blurRad="50800" w14:dist="38100" w14:dir="0" w14:sx="100000" w14:sy="100000" w14:kx="0" w14:ky="0" w14:algn="l">
            <w14:srgbClr w14:val="000000">
              <w14:alpha w14:val="60000"/>
            </w14:srgbClr>
          </w14:shadow>
        </w:rPr>
        <w:t>SUPERINTENDENCIA DE PENSIONES</w:t>
      </w:r>
    </w:p>
    <w:p w14:paraId="06A947C2" w14:textId="77777777" w:rsidR="009D034C" w:rsidRPr="00060053" w:rsidRDefault="009D034C" w:rsidP="009D034C">
      <w:pPr>
        <w:jc w:val="center"/>
        <w:rPr>
          <w:rFonts w:asciiTheme="majorHAnsi" w:hAnsiTheme="majorHAnsi"/>
          <w:sz w:val="40"/>
          <w:szCs w:val="40"/>
        </w:rPr>
      </w:pPr>
    </w:p>
    <w:p w14:paraId="06A947C3" w14:textId="77777777" w:rsidR="008C532E" w:rsidRPr="00060053" w:rsidRDefault="008C532E" w:rsidP="009D034C">
      <w:pPr>
        <w:jc w:val="center"/>
        <w:rPr>
          <w:rFonts w:asciiTheme="majorHAnsi" w:hAnsiTheme="majorHAnsi"/>
          <w:sz w:val="40"/>
          <w:szCs w:val="40"/>
        </w:rPr>
      </w:pPr>
    </w:p>
    <w:p w14:paraId="06A947C4" w14:textId="77777777" w:rsidR="009D034C" w:rsidRPr="00060053" w:rsidRDefault="009D034C" w:rsidP="009D034C">
      <w:pPr>
        <w:pStyle w:val="Textoindependiente"/>
        <w:jc w:val="center"/>
        <w:rPr>
          <w:rFonts w:asciiTheme="majorHAnsi" w:hAnsiTheme="majorHAnsi"/>
          <w:color w:val="auto"/>
          <w:sz w:val="56"/>
          <w:szCs w:val="56"/>
        </w:rPr>
      </w:pPr>
      <w:r w:rsidRPr="00060053">
        <w:rPr>
          <w:rFonts w:asciiTheme="majorHAnsi" w:hAnsiTheme="majorHAnsi"/>
          <w:color w:val="auto"/>
          <w:sz w:val="56"/>
          <w:szCs w:val="56"/>
        </w:rPr>
        <w:t>PLAN OPERATIVO</w:t>
      </w:r>
      <w:r w:rsidR="00DE4F25" w:rsidRPr="00060053">
        <w:rPr>
          <w:rFonts w:asciiTheme="majorHAnsi" w:hAnsiTheme="majorHAnsi"/>
          <w:color w:val="auto"/>
          <w:sz w:val="56"/>
          <w:szCs w:val="56"/>
        </w:rPr>
        <w:t xml:space="preserve"> INSTITUCIONAL</w:t>
      </w:r>
    </w:p>
    <w:p w14:paraId="06A947C5" w14:textId="77777777" w:rsidR="009D034C" w:rsidRPr="00060053" w:rsidRDefault="009D034C" w:rsidP="009D034C">
      <w:pPr>
        <w:pStyle w:val="Textoindependiente"/>
        <w:jc w:val="center"/>
        <w:rPr>
          <w:rFonts w:asciiTheme="majorHAnsi" w:hAnsiTheme="majorHAnsi"/>
          <w:color w:val="auto"/>
          <w:sz w:val="40"/>
          <w:szCs w:val="40"/>
        </w:rPr>
      </w:pPr>
    </w:p>
    <w:p w14:paraId="06A947C6" w14:textId="77777777" w:rsidR="008C532E" w:rsidRPr="00060053" w:rsidRDefault="008C532E" w:rsidP="009D034C">
      <w:pPr>
        <w:pStyle w:val="Textoindependiente"/>
        <w:jc w:val="center"/>
        <w:rPr>
          <w:rFonts w:asciiTheme="majorHAnsi" w:hAnsiTheme="majorHAnsi"/>
          <w:color w:val="auto"/>
          <w:sz w:val="40"/>
          <w:szCs w:val="40"/>
        </w:rPr>
      </w:pPr>
    </w:p>
    <w:p w14:paraId="06A947C7" w14:textId="77777777" w:rsidR="009D034C" w:rsidRPr="00060053" w:rsidRDefault="009D034C" w:rsidP="009D034C">
      <w:pPr>
        <w:pStyle w:val="Textoindependiente"/>
        <w:jc w:val="center"/>
        <w:rPr>
          <w:rFonts w:asciiTheme="majorHAnsi" w:hAnsiTheme="majorHAnsi"/>
          <w:color w:val="auto"/>
          <w:sz w:val="48"/>
          <w:szCs w:val="48"/>
        </w:rPr>
      </w:pPr>
      <w:r w:rsidRPr="00060053">
        <w:rPr>
          <w:rFonts w:asciiTheme="majorHAnsi" w:hAnsiTheme="majorHAnsi"/>
          <w:color w:val="auto"/>
          <w:sz w:val="48"/>
          <w:szCs w:val="48"/>
        </w:rPr>
        <w:t>PRESUPUESTO DE INGRESOS Y EGRESOS</w:t>
      </w:r>
    </w:p>
    <w:p w14:paraId="06A947C8" w14:textId="77777777" w:rsidR="009D034C" w:rsidRPr="00060053" w:rsidRDefault="009D034C" w:rsidP="009D034C">
      <w:pPr>
        <w:pStyle w:val="Textoindependiente"/>
        <w:jc w:val="center"/>
        <w:rPr>
          <w:rFonts w:asciiTheme="majorHAnsi" w:hAnsiTheme="majorHAnsi"/>
          <w:color w:val="auto"/>
          <w:sz w:val="40"/>
          <w:szCs w:val="40"/>
        </w:rPr>
      </w:pPr>
    </w:p>
    <w:p w14:paraId="06A947C9" w14:textId="77777777" w:rsidR="008C532E" w:rsidRPr="00060053" w:rsidRDefault="008C532E" w:rsidP="009D034C">
      <w:pPr>
        <w:pStyle w:val="Textoindependiente"/>
        <w:jc w:val="center"/>
        <w:rPr>
          <w:rFonts w:asciiTheme="majorHAnsi" w:hAnsiTheme="majorHAnsi"/>
          <w:color w:val="auto"/>
          <w:sz w:val="40"/>
          <w:szCs w:val="40"/>
        </w:rPr>
      </w:pPr>
    </w:p>
    <w:p w14:paraId="06A947CA" w14:textId="77777777" w:rsidR="00255DE7" w:rsidRPr="00060053" w:rsidRDefault="00255DE7" w:rsidP="009D034C">
      <w:pPr>
        <w:pStyle w:val="Textoindependiente"/>
        <w:jc w:val="center"/>
        <w:rPr>
          <w:rFonts w:asciiTheme="majorHAnsi" w:hAnsiTheme="majorHAnsi"/>
          <w:color w:val="auto"/>
          <w:sz w:val="40"/>
          <w:szCs w:val="40"/>
        </w:rPr>
      </w:pPr>
    </w:p>
    <w:p w14:paraId="06A947CB" w14:textId="77777777" w:rsidR="00255DE7" w:rsidRPr="00060053" w:rsidRDefault="00255DE7" w:rsidP="009D034C">
      <w:pPr>
        <w:pStyle w:val="Textoindependiente"/>
        <w:jc w:val="center"/>
        <w:rPr>
          <w:rFonts w:asciiTheme="majorHAnsi" w:hAnsiTheme="majorHAnsi"/>
          <w:color w:val="auto"/>
          <w:sz w:val="40"/>
          <w:szCs w:val="40"/>
        </w:rPr>
      </w:pPr>
    </w:p>
    <w:p w14:paraId="06A947CC" w14:textId="77777777" w:rsidR="00255DE7" w:rsidRPr="00060053" w:rsidRDefault="00255DE7" w:rsidP="009D034C">
      <w:pPr>
        <w:pStyle w:val="Textoindependiente"/>
        <w:jc w:val="center"/>
        <w:rPr>
          <w:rFonts w:asciiTheme="majorHAnsi" w:hAnsiTheme="majorHAnsi"/>
          <w:color w:val="auto"/>
          <w:sz w:val="40"/>
          <w:szCs w:val="40"/>
        </w:rPr>
      </w:pPr>
    </w:p>
    <w:p w14:paraId="06A947CD" w14:textId="473D756A" w:rsidR="008C532E" w:rsidRPr="00060053" w:rsidRDefault="00C008F0" w:rsidP="008C532E">
      <w:pPr>
        <w:jc w:val="center"/>
        <w:rPr>
          <w:rFonts w:asciiTheme="majorHAnsi" w:hAnsiTheme="majorHAnsi"/>
          <w:sz w:val="72"/>
          <w:szCs w:val="72"/>
          <w14:shadow w14:blurRad="50800" w14:dist="38100" w14:dir="0" w14:sx="100000" w14:sy="100000" w14:kx="0" w14:ky="0" w14:algn="l">
            <w14:srgbClr w14:val="000000">
              <w14:alpha w14:val="60000"/>
            </w14:srgbClr>
          </w14:shadow>
        </w:rPr>
      </w:pPr>
      <w:r w:rsidRPr="00060053">
        <w:rPr>
          <w:rFonts w:asciiTheme="majorHAnsi" w:hAnsiTheme="majorHAnsi"/>
          <w:sz w:val="72"/>
          <w:szCs w:val="72"/>
          <w14:shadow w14:blurRad="50800" w14:dist="38100" w14:dir="0" w14:sx="100000" w14:sy="100000" w14:kx="0" w14:ky="0" w14:algn="l">
            <w14:srgbClr w14:val="000000">
              <w14:alpha w14:val="60000"/>
            </w14:srgbClr>
          </w14:shadow>
        </w:rPr>
        <w:t>20</w:t>
      </w:r>
      <w:r w:rsidR="00D277D9">
        <w:rPr>
          <w:rFonts w:asciiTheme="majorHAnsi" w:hAnsiTheme="majorHAnsi"/>
          <w:sz w:val="72"/>
          <w:szCs w:val="72"/>
          <w14:shadow w14:blurRad="50800" w14:dist="38100" w14:dir="0" w14:sx="100000" w14:sy="100000" w14:kx="0" w14:ky="0" w14:algn="l">
            <w14:srgbClr w14:val="000000">
              <w14:alpha w14:val="60000"/>
            </w14:srgbClr>
          </w14:shadow>
        </w:rPr>
        <w:t>16</w:t>
      </w:r>
    </w:p>
    <w:p w14:paraId="06A947CE" w14:textId="77777777" w:rsidR="00C008F0" w:rsidRPr="00060053" w:rsidRDefault="00C008F0" w:rsidP="008C532E">
      <w:pPr>
        <w:jc w:val="center"/>
        <w:rPr>
          <w:rFonts w:asciiTheme="majorHAnsi" w:hAnsiTheme="majorHAnsi"/>
          <w:sz w:val="40"/>
          <w:szCs w:val="40"/>
        </w:rPr>
      </w:pPr>
    </w:p>
    <w:p w14:paraId="06A947CF" w14:textId="77777777" w:rsidR="009D034C" w:rsidRPr="00060053" w:rsidRDefault="009D034C" w:rsidP="009D034C">
      <w:pPr>
        <w:pStyle w:val="Textoindependiente"/>
        <w:rPr>
          <w:rFonts w:asciiTheme="majorHAnsi" w:hAnsiTheme="majorHAnsi"/>
          <w:color w:val="auto"/>
        </w:rPr>
      </w:pPr>
    </w:p>
    <w:p w14:paraId="06A947D2" w14:textId="77777777" w:rsidR="009D034C" w:rsidRDefault="009D034C" w:rsidP="009D034C">
      <w:pPr>
        <w:pStyle w:val="Puesto"/>
        <w:ind w:right="55"/>
        <w:jc w:val="both"/>
        <w:rPr>
          <w:rFonts w:asciiTheme="majorHAnsi" w:hAnsiTheme="majorHAnsi"/>
        </w:rPr>
      </w:pPr>
    </w:p>
    <w:p w14:paraId="06A947D3" w14:textId="77777777" w:rsidR="00341735" w:rsidRPr="00060053" w:rsidRDefault="00341735" w:rsidP="009D034C">
      <w:pPr>
        <w:pStyle w:val="Puesto"/>
        <w:ind w:right="55"/>
        <w:jc w:val="both"/>
        <w:rPr>
          <w:rFonts w:asciiTheme="majorHAnsi" w:hAnsiTheme="majorHAnsi"/>
        </w:rPr>
        <w:sectPr w:rsidR="00341735" w:rsidRPr="00060053" w:rsidSect="004E39A1">
          <w:headerReference w:type="default" r:id="rId12"/>
          <w:footerReference w:type="even" r:id="rId13"/>
          <w:footerReference w:type="default" r:id="rId14"/>
          <w:headerReference w:type="first" r:id="rId15"/>
          <w:footerReference w:type="first" r:id="rId16"/>
          <w:pgSz w:w="12242" w:h="15842" w:code="2"/>
          <w:pgMar w:top="1418" w:right="1701" w:bottom="1418" w:left="1701" w:header="709" w:footer="709" w:gutter="0"/>
          <w:pgNumType w:fmt="lowerRoman" w:start="1"/>
          <w:cols w:space="708"/>
          <w:titlePg/>
          <w:docGrid w:linePitch="360"/>
        </w:sectPr>
      </w:pPr>
    </w:p>
    <w:sdt>
      <w:sdtPr>
        <w:rPr>
          <w:rFonts w:ascii="Times New Roman" w:eastAsia="Times New Roman" w:hAnsi="Times New Roman" w:cs="Times New Roman"/>
          <w:b w:val="0"/>
          <w:bCs w:val="0"/>
          <w:color w:val="auto"/>
          <w:sz w:val="24"/>
          <w:szCs w:val="24"/>
        </w:rPr>
        <w:id w:val="1601680450"/>
        <w:docPartObj>
          <w:docPartGallery w:val="Table of Contents"/>
          <w:docPartUnique/>
        </w:docPartObj>
      </w:sdtPr>
      <w:sdtEndPr>
        <w:rPr>
          <w:rFonts w:asciiTheme="minorHAnsi" w:hAnsiTheme="minorHAnsi" w:cstheme="minorHAnsi"/>
          <w:sz w:val="20"/>
          <w:szCs w:val="20"/>
        </w:rPr>
      </w:sdtEndPr>
      <w:sdtContent>
        <w:p w14:paraId="06A947D4" w14:textId="77777777" w:rsidR="00CF5F35" w:rsidRDefault="00CF5F35" w:rsidP="008C5FF4">
          <w:pPr>
            <w:pStyle w:val="TtulodeTDC"/>
            <w:spacing w:before="0"/>
          </w:pPr>
          <w:r>
            <w:t>Tabla de contenido</w:t>
          </w:r>
        </w:p>
        <w:bookmarkStart w:id="0" w:name="_GoBack"/>
        <w:p w14:paraId="063BEAA0" w14:textId="77777777" w:rsidR="00863BF9" w:rsidRPr="00863BF9" w:rsidRDefault="00CF5F35">
          <w:pPr>
            <w:pStyle w:val="TDC1"/>
            <w:rPr>
              <w:rFonts w:asciiTheme="minorHAnsi" w:hAnsiTheme="minorHAnsi" w:cstheme="minorBidi"/>
              <w:b w:val="0"/>
              <w:bCs w:val="0"/>
              <w:smallCaps w:val="0"/>
            </w:rPr>
          </w:pPr>
          <w:r w:rsidRPr="00863BF9">
            <w:rPr>
              <w:rFonts w:cstheme="minorHAnsi"/>
              <w:b w:val="0"/>
            </w:rPr>
            <w:fldChar w:fldCharType="begin"/>
          </w:r>
          <w:r w:rsidRPr="00863BF9">
            <w:rPr>
              <w:rFonts w:cstheme="minorHAnsi"/>
              <w:b w:val="0"/>
            </w:rPr>
            <w:instrText xml:space="preserve"> TOC \o "1-3" \h \z \u </w:instrText>
          </w:r>
          <w:r w:rsidRPr="00863BF9">
            <w:rPr>
              <w:rFonts w:cstheme="minorHAnsi"/>
              <w:b w:val="0"/>
            </w:rPr>
            <w:fldChar w:fldCharType="separate"/>
          </w:r>
          <w:hyperlink w:anchor="_Toc442253201" w:history="1">
            <w:r w:rsidR="00863BF9" w:rsidRPr="00863BF9">
              <w:rPr>
                <w:rStyle w:val="Hipervnculo"/>
                <w:b w:val="0"/>
              </w:rPr>
              <w:t>1.</w:t>
            </w:r>
            <w:r w:rsidR="00863BF9" w:rsidRPr="00863BF9">
              <w:rPr>
                <w:rFonts w:asciiTheme="minorHAnsi" w:hAnsiTheme="minorHAnsi" w:cstheme="minorBidi"/>
                <w:b w:val="0"/>
                <w:bCs w:val="0"/>
                <w:smallCaps w:val="0"/>
              </w:rPr>
              <w:tab/>
            </w:r>
            <w:r w:rsidR="00863BF9" w:rsidRPr="00863BF9">
              <w:rPr>
                <w:rStyle w:val="Hipervnculo"/>
                <w:b w:val="0"/>
              </w:rPr>
              <w:t>Plan Operativo Institucional 2016</w:t>
            </w:r>
            <w:r w:rsidR="00863BF9" w:rsidRPr="00863BF9">
              <w:rPr>
                <w:b w:val="0"/>
                <w:webHidden/>
              </w:rPr>
              <w:tab/>
            </w:r>
            <w:r w:rsidR="00863BF9" w:rsidRPr="00863BF9">
              <w:rPr>
                <w:b w:val="0"/>
                <w:webHidden/>
              </w:rPr>
              <w:fldChar w:fldCharType="begin"/>
            </w:r>
            <w:r w:rsidR="00863BF9" w:rsidRPr="00863BF9">
              <w:rPr>
                <w:b w:val="0"/>
                <w:webHidden/>
              </w:rPr>
              <w:instrText xml:space="preserve"> PAGEREF _Toc442253201 \h </w:instrText>
            </w:r>
            <w:r w:rsidR="00863BF9" w:rsidRPr="00863BF9">
              <w:rPr>
                <w:b w:val="0"/>
                <w:webHidden/>
              </w:rPr>
            </w:r>
            <w:r w:rsidR="00863BF9" w:rsidRPr="00863BF9">
              <w:rPr>
                <w:b w:val="0"/>
                <w:webHidden/>
              </w:rPr>
              <w:fldChar w:fldCharType="separate"/>
            </w:r>
            <w:r w:rsidR="00863BF9" w:rsidRPr="00863BF9">
              <w:rPr>
                <w:b w:val="0"/>
                <w:webHidden/>
              </w:rPr>
              <w:t>5</w:t>
            </w:r>
            <w:r w:rsidR="00863BF9" w:rsidRPr="00863BF9">
              <w:rPr>
                <w:b w:val="0"/>
                <w:webHidden/>
              </w:rPr>
              <w:fldChar w:fldCharType="end"/>
            </w:r>
          </w:hyperlink>
        </w:p>
        <w:p w14:paraId="43A4B765" w14:textId="77777777" w:rsidR="00863BF9" w:rsidRPr="00863BF9" w:rsidRDefault="00863BF9">
          <w:pPr>
            <w:pStyle w:val="TDC1"/>
            <w:rPr>
              <w:rFonts w:asciiTheme="minorHAnsi" w:hAnsiTheme="minorHAnsi" w:cstheme="minorBidi"/>
              <w:b w:val="0"/>
              <w:bCs w:val="0"/>
              <w:smallCaps w:val="0"/>
            </w:rPr>
          </w:pPr>
          <w:hyperlink w:anchor="_Toc442253202" w:history="1">
            <w:r w:rsidRPr="00863BF9">
              <w:rPr>
                <w:rStyle w:val="Hipervnculo"/>
                <w:b w:val="0"/>
              </w:rPr>
              <w:t>1.1.</w:t>
            </w:r>
            <w:r w:rsidRPr="00863BF9">
              <w:rPr>
                <w:rFonts w:asciiTheme="minorHAnsi" w:hAnsiTheme="minorHAnsi" w:cstheme="minorBidi"/>
                <w:b w:val="0"/>
                <w:bCs w:val="0"/>
                <w:smallCaps w:val="0"/>
              </w:rPr>
              <w:tab/>
            </w:r>
            <w:r w:rsidRPr="00863BF9">
              <w:rPr>
                <w:rStyle w:val="Hipervnculo"/>
                <w:b w:val="0"/>
              </w:rPr>
              <w:t>Presentación:</w:t>
            </w:r>
            <w:r w:rsidRPr="00863BF9">
              <w:rPr>
                <w:b w:val="0"/>
                <w:webHidden/>
              </w:rPr>
              <w:tab/>
            </w:r>
            <w:r w:rsidRPr="00863BF9">
              <w:rPr>
                <w:b w:val="0"/>
                <w:webHidden/>
              </w:rPr>
              <w:fldChar w:fldCharType="begin"/>
            </w:r>
            <w:r w:rsidRPr="00863BF9">
              <w:rPr>
                <w:b w:val="0"/>
                <w:webHidden/>
              </w:rPr>
              <w:instrText xml:space="preserve"> PAGEREF _Toc442253202 \h </w:instrText>
            </w:r>
            <w:r w:rsidRPr="00863BF9">
              <w:rPr>
                <w:b w:val="0"/>
                <w:webHidden/>
              </w:rPr>
            </w:r>
            <w:r w:rsidRPr="00863BF9">
              <w:rPr>
                <w:b w:val="0"/>
                <w:webHidden/>
              </w:rPr>
              <w:fldChar w:fldCharType="separate"/>
            </w:r>
            <w:r w:rsidRPr="00863BF9">
              <w:rPr>
                <w:b w:val="0"/>
                <w:webHidden/>
              </w:rPr>
              <w:t>5</w:t>
            </w:r>
            <w:r w:rsidRPr="00863BF9">
              <w:rPr>
                <w:b w:val="0"/>
                <w:webHidden/>
              </w:rPr>
              <w:fldChar w:fldCharType="end"/>
            </w:r>
          </w:hyperlink>
        </w:p>
        <w:p w14:paraId="211C6B2B" w14:textId="77777777" w:rsidR="00863BF9" w:rsidRPr="00863BF9" w:rsidRDefault="00863BF9">
          <w:pPr>
            <w:pStyle w:val="TDC1"/>
            <w:rPr>
              <w:rFonts w:asciiTheme="minorHAnsi" w:hAnsiTheme="minorHAnsi" w:cstheme="minorBidi"/>
              <w:b w:val="0"/>
              <w:bCs w:val="0"/>
              <w:smallCaps w:val="0"/>
            </w:rPr>
          </w:pPr>
          <w:hyperlink w:anchor="_Toc442253203" w:history="1">
            <w:r w:rsidRPr="00863BF9">
              <w:rPr>
                <w:rStyle w:val="Hipervnculo"/>
                <w:b w:val="0"/>
              </w:rPr>
              <w:t>1.2.</w:t>
            </w:r>
            <w:r w:rsidRPr="00863BF9">
              <w:rPr>
                <w:rFonts w:asciiTheme="minorHAnsi" w:hAnsiTheme="minorHAnsi" w:cstheme="minorBidi"/>
                <w:b w:val="0"/>
                <w:bCs w:val="0"/>
                <w:smallCaps w:val="0"/>
              </w:rPr>
              <w:tab/>
            </w:r>
            <w:r w:rsidRPr="00863BF9">
              <w:rPr>
                <w:rStyle w:val="Hipervnculo"/>
                <w:b w:val="0"/>
              </w:rPr>
              <w:t>Antecedentes de la Institución</w:t>
            </w:r>
            <w:r w:rsidRPr="00863BF9">
              <w:rPr>
                <w:b w:val="0"/>
                <w:webHidden/>
              </w:rPr>
              <w:tab/>
            </w:r>
            <w:r w:rsidRPr="00863BF9">
              <w:rPr>
                <w:b w:val="0"/>
                <w:webHidden/>
              </w:rPr>
              <w:fldChar w:fldCharType="begin"/>
            </w:r>
            <w:r w:rsidRPr="00863BF9">
              <w:rPr>
                <w:b w:val="0"/>
                <w:webHidden/>
              </w:rPr>
              <w:instrText xml:space="preserve"> PAGEREF _Toc442253203 \h </w:instrText>
            </w:r>
            <w:r w:rsidRPr="00863BF9">
              <w:rPr>
                <w:b w:val="0"/>
                <w:webHidden/>
              </w:rPr>
            </w:r>
            <w:r w:rsidRPr="00863BF9">
              <w:rPr>
                <w:b w:val="0"/>
                <w:webHidden/>
              </w:rPr>
              <w:fldChar w:fldCharType="separate"/>
            </w:r>
            <w:r w:rsidRPr="00863BF9">
              <w:rPr>
                <w:b w:val="0"/>
                <w:webHidden/>
              </w:rPr>
              <w:t>5</w:t>
            </w:r>
            <w:r w:rsidRPr="00863BF9">
              <w:rPr>
                <w:b w:val="0"/>
                <w:webHidden/>
              </w:rPr>
              <w:fldChar w:fldCharType="end"/>
            </w:r>
          </w:hyperlink>
        </w:p>
        <w:p w14:paraId="5A48236A" w14:textId="77777777" w:rsidR="00863BF9" w:rsidRPr="00863BF9" w:rsidRDefault="00863BF9">
          <w:pPr>
            <w:pStyle w:val="TDC2"/>
            <w:rPr>
              <w:rFonts w:asciiTheme="minorHAnsi" w:eastAsiaTheme="minorEastAsia" w:hAnsiTheme="minorHAnsi" w:cstheme="minorBidi"/>
              <w:bCs w:val="0"/>
              <w:szCs w:val="22"/>
              <w:lang w:val="es-ES"/>
            </w:rPr>
          </w:pPr>
          <w:hyperlink w:anchor="_Toc442253204" w:history="1">
            <w:r w:rsidRPr="00863BF9">
              <w:rPr>
                <w:rStyle w:val="Hipervnculo"/>
              </w:rPr>
              <w:t>1.2.1</w:t>
            </w:r>
            <w:r w:rsidRPr="00863BF9">
              <w:rPr>
                <w:rFonts w:asciiTheme="minorHAnsi" w:eastAsiaTheme="minorEastAsia" w:hAnsiTheme="minorHAnsi" w:cstheme="minorBidi"/>
                <w:bCs w:val="0"/>
                <w:szCs w:val="22"/>
                <w:lang w:val="es-ES"/>
              </w:rPr>
              <w:tab/>
            </w:r>
            <w:r w:rsidRPr="00863BF9">
              <w:rPr>
                <w:rStyle w:val="Hipervnculo"/>
              </w:rPr>
              <w:t>Marco General Institucional</w:t>
            </w:r>
            <w:r w:rsidRPr="00863BF9">
              <w:rPr>
                <w:webHidden/>
              </w:rPr>
              <w:tab/>
            </w:r>
            <w:r w:rsidRPr="00863BF9">
              <w:rPr>
                <w:webHidden/>
              </w:rPr>
              <w:fldChar w:fldCharType="begin"/>
            </w:r>
            <w:r w:rsidRPr="00863BF9">
              <w:rPr>
                <w:webHidden/>
              </w:rPr>
              <w:instrText xml:space="preserve"> PAGEREF _Toc442253204 \h </w:instrText>
            </w:r>
            <w:r w:rsidRPr="00863BF9">
              <w:rPr>
                <w:webHidden/>
              </w:rPr>
            </w:r>
            <w:r w:rsidRPr="00863BF9">
              <w:rPr>
                <w:webHidden/>
              </w:rPr>
              <w:fldChar w:fldCharType="separate"/>
            </w:r>
            <w:r w:rsidRPr="00863BF9">
              <w:rPr>
                <w:webHidden/>
              </w:rPr>
              <w:t>5</w:t>
            </w:r>
            <w:r w:rsidRPr="00863BF9">
              <w:rPr>
                <w:webHidden/>
              </w:rPr>
              <w:fldChar w:fldCharType="end"/>
            </w:r>
          </w:hyperlink>
        </w:p>
        <w:p w14:paraId="1C838EB3" w14:textId="77777777" w:rsidR="00863BF9" w:rsidRPr="00863BF9" w:rsidRDefault="00863BF9">
          <w:pPr>
            <w:pStyle w:val="TDC2"/>
            <w:rPr>
              <w:rFonts w:asciiTheme="minorHAnsi" w:eastAsiaTheme="minorEastAsia" w:hAnsiTheme="minorHAnsi" w:cstheme="minorBidi"/>
              <w:bCs w:val="0"/>
              <w:szCs w:val="22"/>
              <w:lang w:val="es-ES"/>
            </w:rPr>
          </w:pPr>
          <w:hyperlink w:anchor="_Toc442253205" w:history="1">
            <w:r w:rsidRPr="00863BF9">
              <w:rPr>
                <w:rStyle w:val="Hipervnculo"/>
              </w:rPr>
              <w:t>1.2.2.</w:t>
            </w:r>
            <w:r w:rsidRPr="00863BF9">
              <w:rPr>
                <w:rFonts w:asciiTheme="minorHAnsi" w:eastAsiaTheme="minorEastAsia" w:hAnsiTheme="minorHAnsi" w:cstheme="minorBidi"/>
                <w:bCs w:val="0"/>
                <w:szCs w:val="22"/>
                <w:lang w:val="es-ES"/>
              </w:rPr>
              <w:tab/>
            </w:r>
            <w:r w:rsidRPr="00863BF9">
              <w:rPr>
                <w:rStyle w:val="Hipervnculo"/>
              </w:rPr>
              <w:t>Panorama Institucional</w:t>
            </w:r>
            <w:r w:rsidRPr="00863BF9">
              <w:rPr>
                <w:webHidden/>
              </w:rPr>
              <w:tab/>
            </w:r>
            <w:r w:rsidRPr="00863BF9">
              <w:rPr>
                <w:webHidden/>
              </w:rPr>
              <w:fldChar w:fldCharType="begin"/>
            </w:r>
            <w:r w:rsidRPr="00863BF9">
              <w:rPr>
                <w:webHidden/>
              </w:rPr>
              <w:instrText xml:space="preserve"> PAGEREF _Toc442253205 \h </w:instrText>
            </w:r>
            <w:r w:rsidRPr="00863BF9">
              <w:rPr>
                <w:webHidden/>
              </w:rPr>
            </w:r>
            <w:r w:rsidRPr="00863BF9">
              <w:rPr>
                <w:webHidden/>
              </w:rPr>
              <w:fldChar w:fldCharType="separate"/>
            </w:r>
            <w:r w:rsidRPr="00863BF9">
              <w:rPr>
                <w:webHidden/>
              </w:rPr>
              <w:t>6</w:t>
            </w:r>
            <w:r w:rsidRPr="00863BF9">
              <w:rPr>
                <w:webHidden/>
              </w:rPr>
              <w:fldChar w:fldCharType="end"/>
            </w:r>
          </w:hyperlink>
        </w:p>
        <w:p w14:paraId="7E061FCC" w14:textId="77777777" w:rsidR="00863BF9" w:rsidRPr="00863BF9" w:rsidRDefault="00863BF9">
          <w:pPr>
            <w:pStyle w:val="TDC3"/>
            <w:rPr>
              <w:noProof/>
            </w:rPr>
          </w:pPr>
          <w:hyperlink w:anchor="_Toc442253206" w:history="1">
            <w:r w:rsidRPr="00863BF9">
              <w:rPr>
                <w:rStyle w:val="Hipervnculo"/>
                <w:rFonts w:asciiTheme="majorHAnsi" w:hAnsiTheme="majorHAnsi"/>
                <w:noProof/>
              </w:rPr>
              <w:t>1.2.3.</w:t>
            </w:r>
            <w:r w:rsidRPr="00863BF9">
              <w:rPr>
                <w:noProof/>
              </w:rPr>
              <w:tab/>
            </w:r>
            <w:r w:rsidRPr="00863BF9">
              <w:rPr>
                <w:rStyle w:val="Hipervnculo"/>
                <w:rFonts w:asciiTheme="majorHAnsi" w:hAnsiTheme="majorHAnsi"/>
                <w:noProof/>
              </w:rPr>
              <w:t>Diagnóstico Institucional</w:t>
            </w:r>
            <w:r w:rsidRPr="00863BF9">
              <w:rPr>
                <w:noProof/>
                <w:webHidden/>
              </w:rPr>
              <w:tab/>
            </w:r>
            <w:r w:rsidRPr="00863BF9">
              <w:rPr>
                <w:noProof/>
                <w:webHidden/>
              </w:rPr>
              <w:fldChar w:fldCharType="begin"/>
            </w:r>
            <w:r w:rsidRPr="00863BF9">
              <w:rPr>
                <w:noProof/>
                <w:webHidden/>
              </w:rPr>
              <w:instrText xml:space="preserve"> PAGEREF _Toc442253206 \h </w:instrText>
            </w:r>
            <w:r w:rsidRPr="00863BF9">
              <w:rPr>
                <w:noProof/>
                <w:webHidden/>
              </w:rPr>
            </w:r>
            <w:r w:rsidRPr="00863BF9">
              <w:rPr>
                <w:noProof/>
                <w:webHidden/>
              </w:rPr>
              <w:fldChar w:fldCharType="separate"/>
            </w:r>
            <w:r w:rsidRPr="00863BF9">
              <w:rPr>
                <w:noProof/>
                <w:webHidden/>
              </w:rPr>
              <w:t>12</w:t>
            </w:r>
            <w:r w:rsidRPr="00863BF9">
              <w:rPr>
                <w:noProof/>
                <w:webHidden/>
              </w:rPr>
              <w:fldChar w:fldCharType="end"/>
            </w:r>
          </w:hyperlink>
        </w:p>
        <w:p w14:paraId="4BFECCD8" w14:textId="77777777" w:rsidR="00863BF9" w:rsidRPr="00863BF9" w:rsidRDefault="00863BF9">
          <w:pPr>
            <w:pStyle w:val="TDC3"/>
            <w:rPr>
              <w:noProof/>
            </w:rPr>
          </w:pPr>
          <w:hyperlink w:anchor="_Toc442253207" w:history="1">
            <w:r w:rsidRPr="00863BF9">
              <w:rPr>
                <w:rStyle w:val="Hipervnculo"/>
                <w:rFonts w:asciiTheme="majorHAnsi" w:hAnsiTheme="majorHAnsi"/>
                <w:noProof/>
              </w:rPr>
              <w:t>1.2.4.</w:t>
            </w:r>
            <w:r w:rsidRPr="00863BF9">
              <w:rPr>
                <w:noProof/>
              </w:rPr>
              <w:tab/>
            </w:r>
            <w:r w:rsidRPr="00863BF9">
              <w:rPr>
                <w:rStyle w:val="Hipervnculo"/>
                <w:rFonts w:asciiTheme="majorHAnsi" w:hAnsiTheme="majorHAnsi"/>
                <w:noProof/>
              </w:rPr>
              <w:t>Marco Filosófico Institucional</w:t>
            </w:r>
            <w:r w:rsidRPr="00863BF9">
              <w:rPr>
                <w:noProof/>
                <w:webHidden/>
              </w:rPr>
              <w:tab/>
            </w:r>
            <w:r w:rsidRPr="00863BF9">
              <w:rPr>
                <w:noProof/>
                <w:webHidden/>
              </w:rPr>
              <w:fldChar w:fldCharType="begin"/>
            </w:r>
            <w:r w:rsidRPr="00863BF9">
              <w:rPr>
                <w:noProof/>
                <w:webHidden/>
              </w:rPr>
              <w:instrText xml:space="preserve"> PAGEREF _Toc442253207 \h </w:instrText>
            </w:r>
            <w:r w:rsidRPr="00863BF9">
              <w:rPr>
                <w:noProof/>
                <w:webHidden/>
              </w:rPr>
            </w:r>
            <w:r w:rsidRPr="00863BF9">
              <w:rPr>
                <w:noProof/>
                <w:webHidden/>
              </w:rPr>
              <w:fldChar w:fldCharType="separate"/>
            </w:r>
            <w:r w:rsidRPr="00863BF9">
              <w:rPr>
                <w:noProof/>
                <w:webHidden/>
              </w:rPr>
              <w:t>25</w:t>
            </w:r>
            <w:r w:rsidRPr="00863BF9">
              <w:rPr>
                <w:noProof/>
                <w:webHidden/>
              </w:rPr>
              <w:fldChar w:fldCharType="end"/>
            </w:r>
          </w:hyperlink>
        </w:p>
        <w:p w14:paraId="09055E80" w14:textId="77777777" w:rsidR="00863BF9" w:rsidRPr="00863BF9" w:rsidRDefault="00863BF9">
          <w:pPr>
            <w:pStyle w:val="TDC2"/>
            <w:rPr>
              <w:rFonts w:asciiTheme="minorHAnsi" w:eastAsiaTheme="minorEastAsia" w:hAnsiTheme="minorHAnsi" w:cstheme="minorBidi"/>
              <w:bCs w:val="0"/>
              <w:szCs w:val="22"/>
              <w:lang w:val="es-ES"/>
            </w:rPr>
          </w:pPr>
          <w:hyperlink w:anchor="_Toc442253208" w:history="1">
            <w:r w:rsidRPr="00863BF9">
              <w:rPr>
                <w:rStyle w:val="Hipervnculo"/>
              </w:rPr>
              <w:t xml:space="preserve">1.3 </w:t>
            </w:r>
            <w:r w:rsidRPr="00863BF9">
              <w:rPr>
                <w:rFonts w:asciiTheme="minorHAnsi" w:eastAsiaTheme="minorEastAsia" w:hAnsiTheme="minorHAnsi" w:cstheme="minorBidi"/>
                <w:bCs w:val="0"/>
                <w:szCs w:val="22"/>
                <w:lang w:val="es-ES"/>
              </w:rPr>
              <w:tab/>
            </w:r>
            <w:r w:rsidRPr="00863BF9">
              <w:rPr>
                <w:rStyle w:val="Hipervnculo"/>
              </w:rPr>
              <w:t>Matriz de Articulación de Plan Presupuesto (MAPP).</w:t>
            </w:r>
            <w:r w:rsidRPr="00863BF9">
              <w:rPr>
                <w:webHidden/>
              </w:rPr>
              <w:tab/>
            </w:r>
            <w:r w:rsidRPr="00863BF9">
              <w:rPr>
                <w:webHidden/>
              </w:rPr>
              <w:fldChar w:fldCharType="begin"/>
            </w:r>
            <w:r w:rsidRPr="00863BF9">
              <w:rPr>
                <w:webHidden/>
              </w:rPr>
              <w:instrText xml:space="preserve"> PAGEREF _Toc442253208 \h </w:instrText>
            </w:r>
            <w:r w:rsidRPr="00863BF9">
              <w:rPr>
                <w:webHidden/>
              </w:rPr>
            </w:r>
            <w:r w:rsidRPr="00863BF9">
              <w:rPr>
                <w:webHidden/>
              </w:rPr>
              <w:fldChar w:fldCharType="separate"/>
            </w:r>
            <w:r w:rsidRPr="00863BF9">
              <w:rPr>
                <w:webHidden/>
              </w:rPr>
              <w:t>28</w:t>
            </w:r>
            <w:r w:rsidRPr="00863BF9">
              <w:rPr>
                <w:webHidden/>
              </w:rPr>
              <w:fldChar w:fldCharType="end"/>
            </w:r>
          </w:hyperlink>
        </w:p>
        <w:p w14:paraId="2E071AC9" w14:textId="77777777" w:rsidR="00863BF9" w:rsidRPr="00863BF9" w:rsidRDefault="00863BF9">
          <w:pPr>
            <w:pStyle w:val="TDC1"/>
            <w:rPr>
              <w:rFonts w:asciiTheme="minorHAnsi" w:hAnsiTheme="minorHAnsi" w:cstheme="minorBidi"/>
              <w:b w:val="0"/>
              <w:bCs w:val="0"/>
              <w:smallCaps w:val="0"/>
            </w:rPr>
          </w:pPr>
          <w:hyperlink w:anchor="_Toc442253209" w:history="1">
            <w:r w:rsidRPr="00863BF9">
              <w:rPr>
                <w:rStyle w:val="Hipervnculo"/>
                <w:b w:val="0"/>
              </w:rPr>
              <w:t xml:space="preserve">2. </w:t>
            </w:r>
            <w:r w:rsidRPr="00863BF9">
              <w:rPr>
                <w:rFonts w:asciiTheme="minorHAnsi" w:hAnsiTheme="minorHAnsi" w:cstheme="minorBidi"/>
                <w:b w:val="0"/>
                <w:bCs w:val="0"/>
                <w:smallCaps w:val="0"/>
              </w:rPr>
              <w:tab/>
            </w:r>
            <w:r w:rsidRPr="00863BF9">
              <w:rPr>
                <w:rStyle w:val="Hipervnculo"/>
                <w:b w:val="0"/>
              </w:rPr>
              <w:t>Plan Presupuesto</w:t>
            </w:r>
            <w:r w:rsidRPr="00863BF9">
              <w:rPr>
                <w:b w:val="0"/>
                <w:webHidden/>
              </w:rPr>
              <w:tab/>
            </w:r>
            <w:r w:rsidRPr="00863BF9">
              <w:rPr>
                <w:b w:val="0"/>
                <w:webHidden/>
              </w:rPr>
              <w:fldChar w:fldCharType="begin"/>
            </w:r>
            <w:r w:rsidRPr="00863BF9">
              <w:rPr>
                <w:b w:val="0"/>
                <w:webHidden/>
              </w:rPr>
              <w:instrText xml:space="preserve"> PAGEREF _Toc442253209 \h </w:instrText>
            </w:r>
            <w:r w:rsidRPr="00863BF9">
              <w:rPr>
                <w:b w:val="0"/>
                <w:webHidden/>
              </w:rPr>
            </w:r>
            <w:r w:rsidRPr="00863BF9">
              <w:rPr>
                <w:b w:val="0"/>
                <w:webHidden/>
              </w:rPr>
              <w:fldChar w:fldCharType="separate"/>
            </w:r>
            <w:r w:rsidRPr="00863BF9">
              <w:rPr>
                <w:b w:val="0"/>
                <w:webHidden/>
              </w:rPr>
              <w:t>29</w:t>
            </w:r>
            <w:r w:rsidRPr="00863BF9">
              <w:rPr>
                <w:b w:val="0"/>
                <w:webHidden/>
              </w:rPr>
              <w:fldChar w:fldCharType="end"/>
            </w:r>
          </w:hyperlink>
        </w:p>
        <w:p w14:paraId="619B5308" w14:textId="77777777" w:rsidR="00863BF9" w:rsidRPr="00863BF9" w:rsidRDefault="00863BF9">
          <w:pPr>
            <w:pStyle w:val="TDC2"/>
            <w:rPr>
              <w:rFonts w:asciiTheme="minorHAnsi" w:eastAsiaTheme="minorEastAsia" w:hAnsiTheme="minorHAnsi" w:cstheme="minorBidi"/>
              <w:bCs w:val="0"/>
              <w:szCs w:val="22"/>
              <w:lang w:val="es-ES"/>
            </w:rPr>
          </w:pPr>
          <w:hyperlink w:anchor="_Toc442253210" w:history="1">
            <w:r w:rsidRPr="00863BF9">
              <w:rPr>
                <w:rStyle w:val="Hipervnculo"/>
              </w:rPr>
              <w:t xml:space="preserve">2.1 </w:t>
            </w:r>
            <w:r w:rsidRPr="00863BF9">
              <w:rPr>
                <w:rFonts w:asciiTheme="minorHAnsi" w:eastAsiaTheme="minorEastAsia" w:hAnsiTheme="minorHAnsi" w:cstheme="minorBidi"/>
                <w:bCs w:val="0"/>
                <w:szCs w:val="22"/>
                <w:lang w:val="es-ES"/>
              </w:rPr>
              <w:tab/>
            </w:r>
            <w:r w:rsidRPr="00863BF9">
              <w:rPr>
                <w:rStyle w:val="Hipervnculo"/>
              </w:rPr>
              <w:t>Presentación</w:t>
            </w:r>
            <w:r w:rsidRPr="00863BF9">
              <w:rPr>
                <w:webHidden/>
              </w:rPr>
              <w:tab/>
            </w:r>
            <w:r w:rsidRPr="00863BF9">
              <w:rPr>
                <w:webHidden/>
              </w:rPr>
              <w:fldChar w:fldCharType="begin"/>
            </w:r>
            <w:r w:rsidRPr="00863BF9">
              <w:rPr>
                <w:webHidden/>
              </w:rPr>
              <w:instrText xml:space="preserve"> PAGEREF _Toc442253210 \h </w:instrText>
            </w:r>
            <w:r w:rsidRPr="00863BF9">
              <w:rPr>
                <w:webHidden/>
              </w:rPr>
            </w:r>
            <w:r w:rsidRPr="00863BF9">
              <w:rPr>
                <w:webHidden/>
              </w:rPr>
              <w:fldChar w:fldCharType="separate"/>
            </w:r>
            <w:r w:rsidRPr="00863BF9">
              <w:rPr>
                <w:webHidden/>
              </w:rPr>
              <w:t>29</w:t>
            </w:r>
            <w:r w:rsidRPr="00863BF9">
              <w:rPr>
                <w:webHidden/>
              </w:rPr>
              <w:fldChar w:fldCharType="end"/>
            </w:r>
          </w:hyperlink>
        </w:p>
        <w:p w14:paraId="1ECD34B9" w14:textId="77777777" w:rsidR="00863BF9" w:rsidRPr="00863BF9" w:rsidRDefault="00863BF9">
          <w:pPr>
            <w:pStyle w:val="TDC2"/>
            <w:rPr>
              <w:rFonts w:asciiTheme="minorHAnsi" w:eastAsiaTheme="minorEastAsia" w:hAnsiTheme="minorHAnsi" w:cstheme="minorBidi"/>
              <w:bCs w:val="0"/>
              <w:szCs w:val="22"/>
              <w:lang w:val="es-ES"/>
            </w:rPr>
          </w:pPr>
          <w:hyperlink w:anchor="_Toc442253211" w:history="1">
            <w:r w:rsidRPr="00863BF9">
              <w:rPr>
                <w:rStyle w:val="Hipervnculo"/>
              </w:rPr>
              <w:t>2.2</w:t>
            </w:r>
            <w:r w:rsidRPr="00863BF9">
              <w:rPr>
                <w:rFonts w:asciiTheme="minorHAnsi" w:eastAsiaTheme="minorEastAsia" w:hAnsiTheme="minorHAnsi" w:cstheme="minorBidi"/>
                <w:bCs w:val="0"/>
                <w:szCs w:val="22"/>
                <w:lang w:val="es-ES"/>
              </w:rPr>
              <w:tab/>
            </w:r>
            <w:r w:rsidRPr="00863BF9">
              <w:rPr>
                <w:rStyle w:val="Hipervnculo"/>
              </w:rPr>
              <w:t>Directrices para la Formulación del POI -Presupuesto</w:t>
            </w:r>
            <w:r w:rsidRPr="00863BF9">
              <w:rPr>
                <w:webHidden/>
              </w:rPr>
              <w:tab/>
            </w:r>
            <w:r w:rsidRPr="00863BF9">
              <w:rPr>
                <w:webHidden/>
              </w:rPr>
              <w:fldChar w:fldCharType="begin"/>
            </w:r>
            <w:r w:rsidRPr="00863BF9">
              <w:rPr>
                <w:webHidden/>
              </w:rPr>
              <w:instrText xml:space="preserve"> PAGEREF _Toc442253211 \h </w:instrText>
            </w:r>
            <w:r w:rsidRPr="00863BF9">
              <w:rPr>
                <w:webHidden/>
              </w:rPr>
            </w:r>
            <w:r w:rsidRPr="00863BF9">
              <w:rPr>
                <w:webHidden/>
              </w:rPr>
              <w:fldChar w:fldCharType="separate"/>
            </w:r>
            <w:r w:rsidRPr="00863BF9">
              <w:rPr>
                <w:webHidden/>
              </w:rPr>
              <w:t>29</w:t>
            </w:r>
            <w:r w:rsidRPr="00863BF9">
              <w:rPr>
                <w:webHidden/>
              </w:rPr>
              <w:fldChar w:fldCharType="end"/>
            </w:r>
          </w:hyperlink>
        </w:p>
        <w:p w14:paraId="416C5661" w14:textId="77777777" w:rsidR="00863BF9" w:rsidRPr="00863BF9" w:rsidRDefault="00863BF9">
          <w:pPr>
            <w:pStyle w:val="TDC2"/>
            <w:rPr>
              <w:rFonts w:asciiTheme="minorHAnsi" w:eastAsiaTheme="minorEastAsia" w:hAnsiTheme="minorHAnsi" w:cstheme="minorBidi"/>
              <w:bCs w:val="0"/>
              <w:szCs w:val="22"/>
              <w:lang w:val="es-ES"/>
            </w:rPr>
          </w:pPr>
          <w:hyperlink w:anchor="_Toc442253212" w:history="1">
            <w:r w:rsidRPr="00863BF9">
              <w:rPr>
                <w:rStyle w:val="Hipervnculo"/>
              </w:rPr>
              <w:t>2.3</w:t>
            </w:r>
            <w:r w:rsidRPr="00863BF9">
              <w:rPr>
                <w:rFonts w:asciiTheme="minorHAnsi" w:eastAsiaTheme="minorEastAsia" w:hAnsiTheme="minorHAnsi" w:cstheme="minorBidi"/>
                <w:bCs w:val="0"/>
                <w:szCs w:val="22"/>
                <w:lang w:val="es-ES"/>
              </w:rPr>
              <w:tab/>
            </w:r>
            <w:r w:rsidRPr="00863BF9">
              <w:rPr>
                <w:rStyle w:val="Hipervnculo"/>
              </w:rPr>
              <w:t>Plan de Trabajo</w:t>
            </w:r>
            <w:r w:rsidRPr="00863BF9">
              <w:rPr>
                <w:webHidden/>
              </w:rPr>
              <w:tab/>
            </w:r>
            <w:r w:rsidRPr="00863BF9">
              <w:rPr>
                <w:webHidden/>
              </w:rPr>
              <w:fldChar w:fldCharType="begin"/>
            </w:r>
            <w:r w:rsidRPr="00863BF9">
              <w:rPr>
                <w:webHidden/>
              </w:rPr>
              <w:instrText xml:space="preserve"> PAGEREF _Toc442253212 \h </w:instrText>
            </w:r>
            <w:r w:rsidRPr="00863BF9">
              <w:rPr>
                <w:webHidden/>
              </w:rPr>
            </w:r>
            <w:r w:rsidRPr="00863BF9">
              <w:rPr>
                <w:webHidden/>
              </w:rPr>
              <w:fldChar w:fldCharType="separate"/>
            </w:r>
            <w:r w:rsidRPr="00863BF9">
              <w:rPr>
                <w:webHidden/>
              </w:rPr>
              <w:t>29</w:t>
            </w:r>
            <w:r w:rsidRPr="00863BF9">
              <w:rPr>
                <w:webHidden/>
              </w:rPr>
              <w:fldChar w:fldCharType="end"/>
            </w:r>
          </w:hyperlink>
        </w:p>
        <w:p w14:paraId="743A916A" w14:textId="77777777" w:rsidR="00863BF9" w:rsidRPr="00863BF9" w:rsidRDefault="00863BF9">
          <w:pPr>
            <w:pStyle w:val="TDC3"/>
            <w:rPr>
              <w:noProof/>
            </w:rPr>
          </w:pPr>
          <w:hyperlink w:anchor="_Toc442253213" w:history="1">
            <w:r w:rsidRPr="00863BF9">
              <w:rPr>
                <w:rStyle w:val="Hipervnculo"/>
                <w:rFonts w:asciiTheme="majorHAnsi" w:hAnsiTheme="majorHAnsi"/>
                <w:noProof/>
                <w:lang w:val="es-ES_tradnl"/>
              </w:rPr>
              <w:t>2.3.1.</w:t>
            </w:r>
            <w:r w:rsidRPr="00863BF9">
              <w:rPr>
                <w:noProof/>
              </w:rPr>
              <w:tab/>
            </w:r>
            <w:r w:rsidRPr="00863BF9">
              <w:rPr>
                <w:rStyle w:val="Hipervnculo"/>
                <w:rFonts w:asciiTheme="majorHAnsi" w:hAnsiTheme="majorHAnsi"/>
                <w:noProof/>
                <w:lang w:val="es-ES_tradnl"/>
              </w:rPr>
              <w:t>Objetivos y Metas de las Instancias  / Planificación Agregada.</w:t>
            </w:r>
            <w:r w:rsidRPr="00863BF9">
              <w:rPr>
                <w:noProof/>
                <w:webHidden/>
              </w:rPr>
              <w:tab/>
            </w:r>
            <w:r w:rsidRPr="00863BF9">
              <w:rPr>
                <w:noProof/>
                <w:webHidden/>
              </w:rPr>
              <w:fldChar w:fldCharType="begin"/>
            </w:r>
            <w:r w:rsidRPr="00863BF9">
              <w:rPr>
                <w:noProof/>
                <w:webHidden/>
              </w:rPr>
              <w:instrText xml:space="preserve"> PAGEREF _Toc442253213 \h </w:instrText>
            </w:r>
            <w:r w:rsidRPr="00863BF9">
              <w:rPr>
                <w:noProof/>
                <w:webHidden/>
              </w:rPr>
            </w:r>
            <w:r w:rsidRPr="00863BF9">
              <w:rPr>
                <w:noProof/>
                <w:webHidden/>
              </w:rPr>
              <w:fldChar w:fldCharType="separate"/>
            </w:r>
            <w:r w:rsidRPr="00863BF9">
              <w:rPr>
                <w:noProof/>
                <w:webHidden/>
              </w:rPr>
              <w:t>29</w:t>
            </w:r>
            <w:r w:rsidRPr="00863BF9">
              <w:rPr>
                <w:noProof/>
                <w:webHidden/>
              </w:rPr>
              <w:fldChar w:fldCharType="end"/>
            </w:r>
          </w:hyperlink>
        </w:p>
        <w:p w14:paraId="05E988F8" w14:textId="77777777" w:rsidR="00863BF9" w:rsidRPr="00863BF9" w:rsidRDefault="00863BF9">
          <w:pPr>
            <w:pStyle w:val="TDC3"/>
            <w:rPr>
              <w:noProof/>
            </w:rPr>
          </w:pPr>
          <w:hyperlink w:anchor="_Toc442253214" w:history="1">
            <w:r w:rsidRPr="00863BF9">
              <w:rPr>
                <w:rStyle w:val="Hipervnculo"/>
                <w:rFonts w:asciiTheme="majorHAnsi" w:hAnsiTheme="majorHAnsi"/>
                <w:noProof/>
                <w:lang w:val="es-ES_tradnl"/>
              </w:rPr>
              <w:t>2.3.2.</w:t>
            </w:r>
            <w:r w:rsidRPr="00863BF9">
              <w:rPr>
                <w:noProof/>
              </w:rPr>
              <w:tab/>
            </w:r>
            <w:r w:rsidRPr="00863BF9">
              <w:rPr>
                <w:rStyle w:val="Hipervnculo"/>
                <w:rFonts w:asciiTheme="majorHAnsi" w:hAnsiTheme="majorHAnsi"/>
                <w:noProof/>
                <w:lang w:val="es-ES_tradnl"/>
              </w:rPr>
              <w:t>Resumen de Metas Institucionales.</w:t>
            </w:r>
            <w:r w:rsidRPr="00863BF9">
              <w:rPr>
                <w:noProof/>
                <w:webHidden/>
              </w:rPr>
              <w:tab/>
            </w:r>
            <w:r w:rsidRPr="00863BF9">
              <w:rPr>
                <w:noProof/>
                <w:webHidden/>
              </w:rPr>
              <w:fldChar w:fldCharType="begin"/>
            </w:r>
            <w:r w:rsidRPr="00863BF9">
              <w:rPr>
                <w:noProof/>
                <w:webHidden/>
              </w:rPr>
              <w:instrText xml:space="preserve"> PAGEREF _Toc442253214 \h </w:instrText>
            </w:r>
            <w:r w:rsidRPr="00863BF9">
              <w:rPr>
                <w:noProof/>
                <w:webHidden/>
              </w:rPr>
            </w:r>
            <w:r w:rsidRPr="00863BF9">
              <w:rPr>
                <w:noProof/>
                <w:webHidden/>
              </w:rPr>
              <w:fldChar w:fldCharType="separate"/>
            </w:r>
            <w:r w:rsidRPr="00863BF9">
              <w:rPr>
                <w:noProof/>
                <w:webHidden/>
              </w:rPr>
              <w:t>30</w:t>
            </w:r>
            <w:r w:rsidRPr="00863BF9">
              <w:rPr>
                <w:noProof/>
                <w:webHidden/>
              </w:rPr>
              <w:fldChar w:fldCharType="end"/>
            </w:r>
          </w:hyperlink>
        </w:p>
        <w:p w14:paraId="6B385680" w14:textId="77777777" w:rsidR="00863BF9" w:rsidRPr="00863BF9" w:rsidRDefault="00863BF9">
          <w:pPr>
            <w:pStyle w:val="TDC3"/>
            <w:rPr>
              <w:noProof/>
            </w:rPr>
          </w:pPr>
          <w:hyperlink w:anchor="_Toc442253215" w:history="1">
            <w:r w:rsidRPr="00863BF9">
              <w:rPr>
                <w:rStyle w:val="Hipervnculo"/>
                <w:rFonts w:asciiTheme="majorHAnsi" w:hAnsiTheme="majorHAnsi"/>
                <w:noProof/>
                <w:lang w:val="es-ES_tradnl"/>
              </w:rPr>
              <w:t>2.3.3</w:t>
            </w:r>
            <w:r w:rsidRPr="00863BF9">
              <w:rPr>
                <w:noProof/>
              </w:rPr>
              <w:tab/>
            </w:r>
            <w:r w:rsidRPr="00863BF9">
              <w:rPr>
                <w:rStyle w:val="Hipervnculo"/>
                <w:rFonts w:asciiTheme="majorHAnsi" w:hAnsiTheme="majorHAnsi"/>
                <w:noProof/>
                <w:lang w:val="es-ES_tradnl"/>
              </w:rPr>
              <w:t>Indicadores de Gestión</w:t>
            </w:r>
            <w:r w:rsidRPr="00863BF9">
              <w:rPr>
                <w:noProof/>
                <w:webHidden/>
              </w:rPr>
              <w:tab/>
            </w:r>
            <w:r w:rsidRPr="00863BF9">
              <w:rPr>
                <w:noProof/>
                <w:webHidden/>
              </w:rPr>
              <w:fldChar w:fldCharType="begin"/>
            </w:r>
            <w:r w:rsidRPr="00863BF9">
              <w:rPr>
                <w:noProof/>
                <w:webHidden/>
              </w:rPr>
              <w:instrText xml:space="preserve"> PAGEREF _Toc442253215 \h </w:instrText>
            </w:r>
            <w:r w:rsidRPr="00863BF9">
              <w:rPr>
                <w:noProof/>
                <w:webHidden/>
              </w:rPr>
            </w:r>
            <w:r w:rsidRPr="00863BF9">
              <w:rPr>
                <w:noProof/>
                <w:webHidden/>
              </w:rPr>
              <w:fldChar w:fldCharType="separate"/>
            </w:r>
            <w:r w:rsidRPr="00863BF9">
              <w:rPr>
                <w:noProof/>
                <w:webHidden/>
              </w:rPr>
              <w:t>30</w:t>
            </w:r>
            <w:r w:rsidRPr="00863BF9">
              <w:rPr>
                <w:noProof/>
                <w:webHidden/>
              </w:rPr>
              <w:fldChar w:fldCharType="end"/>
            </w:r>
          </w:hyperlink>
        </w:p>
        <w:p w14:paraId="6B5B667B" w14:textId="77777777" w:rsidR="00863BF9" w:rsidRPr="00863BF9" w:rsidRDefault="00863BF9">
          <w:pPr>
            <w:pStyle w:val="TDC2"/>
            <w:rPr>
              <w:rFonts w:asciiTheme="minorHAnsi" w:eastAsiaTheme="minorEastAsia" w:hAnsiTheme="minorHAnsi" w:cstheme="minorBidi"/>
              <w:bCs w:val="0"/>
              <w:szCs w:val="22"/>
              <w:lang w:val="es-ES"/>
            </w:rPr>
          </w:pPr>
          <w:hyperlink w:anchor="_Toc442253216" w:history="1">
            <w:r w:rsidRPr="00863BF9">
              <w:rPr>
                <w:rStyle w:val="Hipervnculo"/>
              </w:rPr>
              <w:t>2.4</w:t>
            </w:r>
            <w:r w:rsidRPr="00863BF9">
              <w:rPr>
                <w:rFonts w:asciiTheme="minorHAnsi" w:eastAsiaTheme="minorEastAsia" w:hAnsiTheme="minorHAnsi" w:cstheme="minorBidi"/>
                <w:bCs w:val="0"/>
                <w:szCs w:val="22"/>
                <w:lang w:val="es-ES"/>
              </w:rPr>
              <w:tab/>
            </w:r>
            <w:r w:rsidRPr="00863BF9">
              <w:rPr>
                <w:rStyle w:val="Hipervnculo"/>
              </w:rPr>
              <w:t>Presupuesto Expresión Financiera del Plan Operativo Institucional</w:t>
            </w:r>
            <w:r w:rsidRPr="00863BF9">
              <w:rPr>
                <w:webHidden/>
              </w:rPr>
              <w:tab/>
            </w:r>
            <w:r w:rsidRPr="00863BF9">
              <w:rPr>
                <w:webHidden/>
              </w:rPr>
              <w:fldChar w:fldCharType="begin"/>
            </w:r>
            <w:r w:rsidRPr="00863BF9">
              <w:rPr>
                <w:webHidden/>
              </w:rPr>
              <w:instrText xml:space="preserve"> PAGEREF _Toc442253216 \h </w:instrText>
            </w:r>
            <w:r w:rsidRPr="00863BF9">
              <w:rPr>
                <w:webHidden/>
              </w:rPr>
            </w:r>
            <w:r w:rsidRPr="00863BF9">
              <w:rPr>
                <w:webHidden/>
              </w:rPr>
              <w:fldChar w:fldCharType="separate"/>
            </w:r>
            <w:r w:rsidRPr="00863BF9">
              <w:rPr>
                <w:webHidden/>
              </w:rPr>
              <w:t>36</w:t>
            </w:r>
            <w:r w:rsidRPr="00863BF9">
              <w:rPr>
                <w:webHidden/>
              </w:rPr>
              <w:fldChar w:fldCharType="end"/>
            </w:r>
          </w:hyperlink>
        </w:p>
        <w:p w14:paraId="2C7771CC" w14:textId="77777777" w:rsidR="00863BF9" w:rsidRPr="00863BF9" w:rsidRDefault="00863BF9">
          <w:pPr>
            <w:pStyle w:val="TDC2"/>
            <w:rPr>
              <w:rFonts w:asciiTheme="minorHAnsi" w:eastAsiaTheme="minorEastAsia" w:hAnsiTheme="minorHAnsi" w:cstheme="minorBidi"/>
              <w:bCs w:val="0"/>
              <w:szCs w:val="22"/>
              <w:lang w:val="es-ES"/>
            </w:rPr>
          </w:pPr>
          <w:hyperlink w:anchor="_Toc442253217" w:history="1">
            <w:r w:rsidRPr="00863BF9">
              <w:rPr>
                <w:rStyle w:val="Hipervnculo"/>
              </w:rPr>
              <w:t>2.5</w:t>
            </w:r>
            <w:r w:rsidRPr="00863BF9">
              <w:rPr>
                <w:rFonts w:asciiTheme="minorHAnsi" w:eastAsiaTheme="minorEastAsia" w:hAnsiTheme="minorHAnsi" w:cstheme="minorBidi"/>
                <w:bCs w:val="0"/>
                <w:szCs w:val="22"/>
                <w:lang w:val="es-ES"/>
              </w:rPr>
              <w:tab/>
            </w:r>
            <w:r w:rsidRPr="00863BF9">
              <w:rPr>
                <w:rStyle w:val="Hipervnculo"/>
              </w:rPr>
              <w:t>Plan de Inversiones y Justificación de Partidas.</w:t>
            </w:r>
            <w:r w:rsidRPr="00863BF9">
              <w:rPr>
                <w:webHidden/>
              </w:rPr>
              <w:tab/>
            </w:r>
            <w:r w:rsidRPr="00863BF9">
              <w:rPr>
                <w:webHidden/>
              </w:rPr>
              <w:fldChar w:fldCharType="begin"/>
            </w:r>
            <w:r w:rsidRPr="00863BF9">
              <w:rPr>
                <w:webHidden/>
              </w:rPr>
              <w:instrText xml:space="preserve"> PAGEREF _Toc442253217 \h </w:instrText>
            </w:r>
            <w:r w:rsidRPr="00863BF9">
              <w:rPr>
                <w:webHidden/>
              </w:rPr>
            </w:r>
            <w:r w:rsidRPr="00863BF9">
              <w:rPr>
                <w:webHidden/>
              </w:rPr>
              <w:fldChar w:fldCharType="separate"/>
            </w:r>
            <w:r w:rsidRPr="00863BF9">
              <w:rPr>
                <w:webHidden/>
              </w:rPr>
              <w:t>37</w:t>
            </w:r>
            <w:r w:rsidRPr="00863BF9">
              <w:rPr>
                <w:webHidden/>
              </w:rPr>
              <w:fldChar w:fldCharType="end"/>
            </w:r>
          </w:hyperlink>
        </w:p>
        <w:p w14:paraId="7D557559" w14:textId="77777777" w:rsidR="00863BF9" w:rsidRPr="00863BF9" w:rsidRDefault="00863BF9">
          <w:pPr>
            <w:pStyle w:val="TDC2"/>
            <w:rPr>
              <w:rFonts w:asciiTheme="minorHAnsi" w:eastAsiaTheme="minorEastAsia" w:hAnsiTheme="minorHAnsi" w:cstheme="minorBidi"/>
              <w:bCs w:val="0"/>
              <w:szCs w:val="22"/>
              <w:lang w:val="es-ES"/>
            </w:rPr>
          </w:pPr>
          <w:hyperlink w:anchor="_Toc442253218" w:history="1">
            <w:r w:rsidRPr="00863BF9">
              <w:rPr>
                <w:rStyle w:val="Hipervnculo"/>
              </w:rPr>
              <w:t>2.6</w:t>
            </w:r>
            <w:r w:rsidRPr="00863BF9">
              <w:rPr>
                <w:rFonts w:asciiTheme="minorHAnsi" w:eastAsiaTheme="minorEastAsia" w:hAnsiTheme="minorHAnsi" w:cstheme="minorBidi"/>
                <w:bCs w:val="0"/>
                <w:szCs w:val="22"/>
                <w:lang w:val="es-ES"/>
              </w:rPr>
              <w:tab/>
            </w:r>
            <w:r w:rsidRPr="00863BF9">
              <w:rPr>
                <w:rStyle w:val="Hipervnculo"/>
              </w:rPr>
              <w:t>Plan de Capacitación Institucional.</w:t>
            </w:r>
            <w:r w:rsidRPr="00863BF9">
              <w:rPr>
                <w:webHidden/>
              </w:rPr>
              <w:tab/>
            </w:r>
            <w:r w:rsidRPr="00863BF9">
              <w:rPr>
                <w:webHidden/>
              </w:rPr>
              <w:fldChar w:fldCharType="begin"/>
            </w:r>
            <w:r w:rsidRPr="00863BF9">
              <w:rPr>
                <w:webHidden/>
              </w:rPr>
              <w:instrText xml:space="preserve"> PAGEREF _Toc442253218 \h </w:instrText>
            </w:r>
            <w:r w:rsidRPr="00863BF9">
              <w:rPr>
                <w:webHidden/>
              </w:rPr>
            </w:r>
            <w:r w:rsidRPr="00863BF9">
              <w:rPr>
                <w:webHidden/>
              </w:rPr>
              <w:fldChar w:fldCharType="separate"/>
            </w:r>
            <w:r w:rsidRPr="00863BF9">
              <w:rPr>
                <w:webHidden/>
              </w:rPr>
              <w:t>38</w:t>
            </w:r>
            <w:r w:rsidRPr="00863BF9">
              <w:rPr>
                <w:webHidden/>
              </w:rPr>
              <w:fldChar w:fldCharType="end"/>
            </w:r>
          </w:hyperlink>
        </w:p>
        <w:p w14:paraId="5283DA28" w14:textId="77777777" w:rsidR="00863BF9" w:rsidRPr="00863BF9" w:rsidRDefault="00863BF9">
          <w:pPr>
            <w:pStyle w:val="TDC2"/>
            <w:rPr>
              <w:rFonts w:asciiTheme="minorHAnsi" w:eastAsiaTheme="minorEastAsia" w:hAnsiTheme="minorHAnsi" w:cstheme="minorBidi"/>
              <w:bCs w:val="0"/>
              <w:szCs w:val="22"/>
              <w:lang w:val="es-ES"/>
            </w:rPr>
          </w:pPr>
          <w:hyperlink w:anchor="_Toc442253219" w:history="1">
            <w:r w:rsidRPr="00863BF9">
              <w:rPr>
                <w:rStyle w:val="Hipervnculo"/>
              </w:rPr>
              <w:t>2.7</w:t>
            </w:r>
            <w:r w:rsidRPr="00863BF9">
              <w:rPr>
                <w:rFonts w:asciiTheme="minorHAnsi" w:eastAsiaTheme="minorEastAsia" w:hAnsiTheme="minorHAnsi" w:cstheme="minorBidi"/>
                <w:bCs w:val="0"/>
                <w:szCs w:val="22"/>
                <w:lang w:val="es-ES"/>
              </w:rPr>
              <w:tab/>
            </w:r>
            <w:r w:rsidRPr="00863BF9">
              <w:rPr>
                <w:rStyle w:val="Hipervnculo"/>
              </w:rPr>
              <w:t>Plan Estratégico Informático con junto con la BCCR.</w:t>
            </w:r>
            <w:r w:rsidRPr="00863BF9">
              <w:rPr>
                <w:webHidden/>
              </w:rPr>
              <w:tab/>
            </w:r>
            <w:r w:rsidRPr="00863BF9">
              <w:rPr>
                <w:webHidden/>
              </w:rPr>
              <w:fldChar w:fldCharType="begin"/>
            </w:r>
            <w:r w:rsidRPr="00863BF9">
              <w:rPr>
                <w:webHidden/>
              </w:rPr>
              <w:instrText xml:space="preserve"> PAGEREF _Toc442253219 \h </w:instrText>
            </w:r>
            <w:r w:rsidRPr="00863BF9">
              <w:rPr>
                <w:webHidden/>
              </w:rPr>
            </w:r>
            <w:r w:rsidRPr="00863BF9">
              <w:rPr>
                <w:webHidden/>
              </w:rPr>
              <w:fldChar w:fldCharType="separate"/>
            </w:r>
            <w:r w:rsidRPr="00863BF9">
              <w:rPr>
                <w:webHidden/>
              </w:rPr>
              <w:t>38</w:t>
            </w:r>
            <w:r w:rsidRPr="00863BF9">
              <w:rPr>
                <w:webHidden/>
              </w:rPr>
              <w:fldChar w:fldCharType="end"/>
            </w:r>
          </w:hyperlink>
        </w:p>
        <w:p w14:paraId="27551011" w14:textId="77777777" w:rsidR="00863BF9" w:rsidRPr="00863BF9" w:rsidRDefault="00863BF9">
          <w:pPr>
            <w:pStyle w:val="TDC2"/>
            <w:rPr>
              <w:rFonts w:asciiTheme="minorHAnsi" w:eastAsiaTheme="minorEastAsia" w:hAnsiTheme="minorHAnsi" w:cstheme="minorBidi"/>
              <w:bCs w:val="0"/>
              <w:szCs w:val="22"/>
              <w:lang w:val="es-ES"/>
            </w:rPr>
          </w:pPr>
          <w:hyperlink w:anchor="_Toc442253220" w:history="1">
            <w:r w:rsidRPr="00863BF9">
              <w:rPr>
                <w:rStyle w:val="Hipervnculo"/>
              </w:rPr>
              <w:t>2.8</w:t>
            </w:r>
            <w:r w:rsidRPr="00863BF9">
              <w:rPr>
                <w:rFonts w:asciiTheme="minorHAnsi" w:eastAsiaTheme="minorEastAsia" w:hAnsiTheme="minorHAnsi" w:cstheme="minorBidi"/>
                <w:bCs w:val="0"/>
                <w:szCs w:val="22"/>
                <w:lang w:val="es-ES"/>
              </w:rPr>
              <w:tab/>
            </w:r>
            <w:r w:rsidRPr="00863BF9">
              <w:rPr>
                <w:rStyle w:val="Hipervnculo"/>
              </w:rPr>
              <w:t>Estructura de Puestos</w:t>
            </w:r>
            <w:r w:rsidRPr="00863BF9">
              <w:rPr>
                <w:webHidden/>
              </w:rPr>
              <w:tab/>
            </w:r>
            <w:r w:rsidRPr="00863BF9">
              <w:rPr>
                <w:webHidden/>
              </w:rPr>
              <w:fldChar w:fldCharType="begin"/>
            </w:r>
            <w:r w:rsidRPr="00863BF9">
              <w:rPr>
                <w:webHidden/>
              </w:rPr>
              <w:instrText xml:space="preserve"> PAGEREF _Toc442253220 \h </w:instrText>
            </w:r>
            <w:r w:rsidRPr="00863BF9">
              <w:rPr>
                <w:webHidden/>
              </w:rPr>
            </w:r>
            <w:r w:rsidRPr="00863BF9">
              <w:rPr>
                <w:webHidden/>
              </w:rPr>
              <w:fldChar w:fldCharType="separate"/>
            </w:r>
            <w:r w:rsidRPr="00863BF9">
              <w:rPr>
                <w:webHidden/>
              </w:rPr>
              <w:t>38</w:t>
            </w:r>
            <w:r w:rsidRPr="00863BF9">
              <w:rPr>
                <w:webHidden/>
              </w:rPr>
              <w:fldChar w:fldCharType="end"/>
            </w:r>
          </w:hyperlink>
        </w:p>
        <w:p w14:paraId="0556265C" w14:textId="77777777" w:rsidR="00863BF9" w:rsidRPr="00863BF9" w:rsidRDefault="00863BF9">
          <w:pPr>
            <w:pStyle w:val="TDC2"/>
            <w:rPr>
              <w:rFonts w:asciiTheme="minorHAnsi" w:eastAsiaTheme="minorEastAsia" w:hAnsiTheme="minorHAnsi" w:cstheme="minorBidi"/>
              <w:bCs w:val="0"/>
              <w:szCs w:val="22"/>
              <w:lang w:val="es-ES"/>
            </w:rPr>
          </w:pPr>
          <w:hyperlink w:anchor="_Toc442253221" w:history="1">
            <w:r w:rsidRPr="00863BF9">
              <w:rPr>
                <w:rStyle w:val="Hipervnculo"/>
              </w:rPr>
              <w:t>2.9</w:t>
            </w:r>
            <w:r w:rsidRPr="00863BF9">
              <w:rPr>
                <w:rFonts w:asciiTheme="minorHAnsi" w:eastAsiaTheme="minorEastAsia" w:hAnsiTheme="minorHAnsi" w:cstheme="minorBidi"/>
                <w:bCs w:val="0"/>
                <w:szCs w:val="22"/>
                <w:lang w:val="es-ES"/>
              </w:rPr>
              <w:tab/>
            </w:r>
            <w:r w:rsidRPr="00863BF9">
              <w:rPr>
                <w:rStyle w:val="Hipervnculo"/>
              </w:rPr>
              <w:t>Justificación pago de cuotas de afiliación a organismos internacionales.</w:t>
            </w:r>
            <w:r w:rsidRPr="00863BF9">
              <w:rPr>
                <w:webHidden/>
              </w:rPr>
              <w:tab/>
            </w:r>
            <w:r w:rsidRPr="00863BF9">
              <w:rPr>
                <w:webHidden/>
              </w:rPr>
              <w:fldChar w:fldCharType="begin"/>
            </w:r>
            <w:r w:rsidRPr="00863BF9">
              <w:rPr>
                <w:webHidden/>
              </w:rPr>
              <w:instrText xml:space="preserve"> PAGEREF _Toc442253221 \h </w:instrText>
            </w:r>
            <w:r w:rsidRPr="00863BF9">
              <w:rPr>
                <w:webHidden/>
              </w:rPr>
            </w:r>
            <w:r w:rsidRPr="00863BF9">
              <w:rPr>
                <w:webHidden/>
              </w:rPr>
              <w:fldChar w:fldCharType="separate"/>
            </w:r>
            <w:r w:rsidRPr="00863BF9">
              <w:rPr>
                <w:webHidden/>
              </w:rPr>
              <w:t>41</w:t>
            </w:r>
            <w:r w:rsidRPr="00863BF9">
              <w:rPr>
                <w:webHidden/>
              </w:rPr>
              <w:fldChar w:fldCharType="end"/>
            </w:r>
          </w:hyperlink>
        </w:p>
        <w:p w14:paraId="550A4427" w14:textId="77777777" w:rsidR="00863BF9" w:rsidRPr="00863BF9" w:rsidRDefault="00863BF9">
          <w:pPr>
            <w:pStyle w:val="TDC1"/>
            <w:rPr>
              <w:rFonts w:asciiTheme="minorHAnsi" w:hAnsiTheme="minorHAnsi" w:cstheme="minorBidi"/>
              <w:b w:val="0"/>
              <w:bCs w:val="0"/>
              <w:smallCaps w:val="0"/>
            </w:rPr>
          </w:pPr>
          <w:hyperlink w:anchor="_Toc442253222" w:history="1">
            <w:r w:rsidRPr="00863BF9">
              <w:rPr>
                <w:rStyle w:val="Hipervnculo"/>
                <w:b w:val="0"/>
              </w:rPr>
              <w:t xml:space="preserve">3. </w:t>
            </w:r>
            <w:r w:rsidRPr="00863BF9">
              <w:rPr>
                <w:rFonts w:asciiTheme="minorHAnsi" w:hAnsiTheme="minorHAnsi" w:cstheme="minorBidi"/>
                <w:b w:val="0"/>
                <w:bCs w:val="0"/>
                <w:smallCaps w:val="0"/>
              </w:rPr>
              <w:tab/>
            </w:r>
            <w:r w:rsidRPr="00863BF9">
              <w:rPr>
                <w:rStyle w:val="Hipervnculo"/>
                <w:b w:val="0"/>
              </w:rPr>
              <w:t>Planes Operativos Institucionales</w:t>
            </w:r>
            <w:r w:rsidRPr="00863BF9">
              <w:rPr>
                <w:b w:val="0"/>
                <w:webHidden/>
              </w:rPr>
              <w:tab/>
            </w:r>
            <w:r w:rsidRPr="00863BF9">
              <w:rPr>
                <w:b w:val="0"/>
                <w:webHidden/>
              </w:rPr>
              <w:fldChar w:fldCharType="begin"/>
            </w:r>
            <w:r w:rsidRPr="00863BF9">
              <w:rPr>
                <w:b w:val="0"/>
                <w:webHidden/>
              </w:rPr>
              <w:instrText xml:space="preserve"> PAGEREF _Toc442253222 \h </w:instrText>
            </w:r>
            <w:r w:rsidRPr="00863BF9">
              <w:rPr>
                <w:b w:val="0"/>
                <w:webHidden/>
              </w:rPr>
            </w:r>
            <w:r w:rsidRPr="00863BF9">
              <w:rPr>
                <w:b w:val="0"/>
                <w:webHidden/>
              </w:rPr>
              <w:fldChar w:fldCharType="separate"/>
            </w:r>
            <w:r w:rsidRPr="00863BF9">
              <w:rPr>
                <w:b w:val="0"/>
                <w:webHidden/>
              </w:rPr>
              <w:t>45</w:t>
            </w:r>
            <w:r w:rsidRPr="00863BF9">
              <w:rPr>
                <w:b w:val="0"/>
                <w:webHidden/>
              </w:rPr>
              <w:fldChar w:fldCharType="end"/>
            </w:r>
          </w:hyperlink>
        </w:p>
        <w:p w14:paraId="05E576DF" w14:textId="77777777" w:rsidR="00863BF9" w:rsidRPr="00863BF9" w:rsidRDefault="00863BF9">
          <w:pPr>
            <w:pStyle w:val="TDC1"/>
            <w:rPr>
              <w:rFonts w:asciiTheme="minorHAnsi" w:hAnsiTheme="minorHAnsi" w:cstheme="minorBidi"/>
              <w:b w:val="0"/>
              <w:bCs w:val="0"/>
              <w:smallCaps w:val="0"/>
            </w:rPr>
          </w:pPr>
          <w:hyperlink w:anchor="_Toc442253223" w:history="1">
            <w:r w:rsidRPr="00863BF9">
              <w:rPr>
                <w:rStyle w:val="Hipervnculo"/>
                <w:b w:val="0"/>
              </w:rPr>
              <w:t xml:space="preserve">4. </w:t>
            </w:r>
            <w:r w:rsidRPr="00863BF9">
              <w:rPr>
                <w:rFonts w:asciiTheme="minorHAnsi" w:hAnsiTheme="minorHAnsi" w:cstheme="minorBidi"/>
                <w:b w:val="0"/>
                <w:bCs w:val="0"/>
                <w:smallCaps w:val="0"/>
              </w:rPr>
              <w:tab/>
            </w:r>
            <w:r w:rsidRPr="00863BF9">
              <w:rPr>
                <w:rStyle w:val="Hipervnculo"/>
                <w:b w:val="0"/>
              </w:rPr>
              <w:t>Plan Estratégico Informático</w:t>
            </w:r>
            <w:r w:rsidRPr="00863BF9">
              <w:rPr>
                <w:b w:val="0"/>
                <w:webHidden/>
              </w:rPr>
              <w:tab/>
            </w:r>
            <w:r w:rsidRPr="00863BF9">
              <w:rPr>
                <w:b w:val="0"/>
                <w:webHidden/>
              </w:rPr>
              <w:fldChar w:fldCharType="begin"/>
            </w:r>
            <w:r w:rsidRPr="00863BF9">
              <w:rPr>
                <w:b w:val="0"/>
                <w:webHidden/>
              </w:rPr>
              <w:instrText xml:space="preserve"> PAGEREF _Toc442253223 \h </w:instrText>
            </w:r>
            <w:r w:rsidRPr="00863BF9">
              <w:rPr>
                <w:b w:val="0"/>
                <w:webHidden/>
              </w:rPr>
            </w:r>
            <w:r w:rsidRPr="00863BF9">
              <w:rPr>
                <w:b w:val="0"/>
                <w:webHidden/>
              </w:rPr>
              <w:fldChar w:fldCharType="separate"/>
            </w:r>
            <w:r w:rsidRPr="00863BF9">
              <w:rPr>
                <w:b w:val="0"/>
                <w:webHidden/>
              </w:rPr>
              <w:t>56</w:t>
            </w:r>
            <w:r w:rsidRPr="00863BF9">
              <w:rPr>
                <w:b w:val="0"/>
                <w:webHidden/>
              </w:rPr>
              <w:fldChar w:fldCharType="end"/>
            </w:r>
          </w:hyperlink>
        </w:p>
        <w:p w14:paraId="4FFD8656" w14:textId="77777777" w:rsidR="00863BF9" w:rsidRPr="00863BF9" w:rsidRDefault="00863BF9">
          <w:pPr>
            <w:pStyle w:val="TDC1"/>
            <w:rPr>
              <w:rFonts w:asciiTheme="minorHAnsi" w:hAnsiTheme="minorHAnsi" w:cstheme="minorBidi"/>
              <w:b w:val="0"/>
              <w:bCs w:val="0"/>
              <w:smallCaps w:val="0"/>
            </w:rPr>
          </w:pPr>
          <w:hyperlink w:anchor="_Toc442253265" w:history="1">
            <w:r w:rsidRPr="00863BF9">
              <w:rPr>
                <w:rStyle w:val="Hipervnculo"/>
                <w:b w:val="0"/>
              </w:rPr>
              <w:t xml:space="preserve">5. </w:t>
            </w:r>
            <w:r w:rsidRPr="00863BF9">
              <w:rPr>
                <w:rFonts w:asciiTheme="minorHAnsi" w:hAnsiTheme="minorHAnsi" w:cstheme="minorBidi"/>
                <w:b w:val="0"/>
                <w:bCs w:val="0"/>
                <w:smallCaps w:val="0"/>
              </w:rPr>
              <w:tab/>
            </w:r>
            <w:r w:rsidRPr="00863BF9">
              <w:rPr>
                <w:rStyle w:val="Hipervnculo"/>
                <w:b w:val="0"/>
              </w:rPr>
              <w:t>Plan de capacitación Institucional</w:t>
            </w:r>
            <w:r w:rsidRPr="00863BF9">
              <w:rPr>
                <w:b w:val="0"/>
                <w:webHidden/>
              </w:rPr>
              <w:tab/>
            </w:r>
            <w:r w:rsidRPr="00863BF9">
              <w:rPr>
                <w:b w:val="0"/>
                <w:webHidden/>
              </w:rPr>
              <w:fldChar w:fldCharType="begin"/>
            </w:r>
            <w:r w:rsidRPr="00863BF9">
              <w:rPr>
                <w:b w:val="0"/>
                <w:webHidden/>
              </w:rPr>
              <w:instrText xml:space="preserve"> PAGEREF _Toc442253265 \h </w:instrText>
            </w:r>
            <w:r w:rsidRPr="00863BF9">
              <w:rPr>
                <w:b w:val="0"/>
                <w:webHidden/>
              </w:rPr>
            </w:r>
            <w:r w:rsidRPr="00863BF9">
              <w:rPr>
                <w:b w:val="0"/>
                <w:webHidden/>
              </w:rPr>
              <w:fldChar w:fldCharType="separate"/>
            </w:r>
            <w:r w:rsidRPr="00863BF9">
              <w:rPr>
                <w:b w:val="0"/>
                <w:webHidden/>
              </w:rPr>
              <w:t>102</w:t>
            </w:r>
            <w:r w:rsidRPr="00863BF9">
              <w:rPr>
                <w:b w:val="0"/>
                <w:webHidden/>
              </w:rPr>
              <w:fldChar w:fldCharType="end"/>
            </w:r>
          </w:hyperlink>
        </w:p>
        <w:p w14:paraId="6EEDF7B3" w14:textId="77777777" w:rsidR="00863BF9" w:rsidRPr="00863BF9" w:rsidRDefault="00863BF9">
          <w:pPr>
            <w:pStyle w:val="TDC1"/>
            <w:rPr>
              <w:rFonts w:asciiTheme="minorHAnsi" w:hAnsiTheme="minorHAnsi" w:cstheme="minorBidi"/>
              <w:b w:val="0"/>
              <w:bCs w:val="0"/>
              <w:smallCaps w:val="0"/>
            </w:rPr>
          </w:pPr>
          <w:hyperlink w:anchor="_Toc442253271" w:history="1">
            <w:r w:rsidRPr="00863BF9">
              <w:rPr>
                <w:rStyle w:val="Hipervnculo"/>
                <w:b w:val="0"/>
              </w:rPr>
              <w:t xml:space="preserve">6. </w:t>
            </w:r>
            <w:r w:rsidRPr="00863BF9">
              <w:rPr>
                <w:rFonts w:asciiTheme="minorHAnsi" w:hAnsiTheme="minorHAnsi" w:cstheme="minorBidi"/>
                <w:b w:val="0"/>
                <w:bCs w:val="0"/>
                <w:smallCaps w:val="0"/>
              </w:rPr>
              <w:tab/>
            </w:r>
            <w:r w:rsidRPr="00863BF9">
              <w:rPr>
                <w:rStyle w:val="Hipervnculo"/>
                <w:b w:val="0"/>
              </w:rPr>
              <w:t>Certificación de estar al día en el pago de las cuotas CCSS</w:t>
            </w:r>
            <w:r w:rsidRPr="00863BF9">
              <w:rPr>
                <w:b w:val="0"/>
                <w:webHidden/>
              </w:rPr>
              <w:tab/>
            </w:r>
            <w:r w:rsidRPr="00863BF9">
              <w:rPr>
                <w:b w:val="0"/>
                <w:webHidden/>
              </w:rPr>
              <w:fldChar w:fldCharType="begin"/>
            </w:r>
            <w:r w:rsidRPr="00863BF9">
              <w:rPr>
                <w:b w:val="0"/>
                <w:webHidden/>
              </w:rPr>
              <w:instrText xml:space="preserve"> PAGEREF _Toc442253271 \h </w:instrText>
            </w:r>
            <w:r w:rsidRPr="00863BF9">
              <w:rPr>
                <w:b w:val="0"/>
                <w:webHidden/>
              </w:rPr>
            </w:r>
            <w:r w:rsidRPr="00863BF9">
              <w:rPr>
                <w:b w:val="0"/>
                <w:webHidden/>
              </w:rPr>
              <w:fldChar w:fldCharType="separate"/>
            </w:r>
            <w:r w:rsidRPr="00863BF9">
              <w:rPr>
                <w:b w:val="0"/>
                <w:webHidden/>
              </w:rPr>
              <w:t>112</w:t>
            </w:r>
            <w:r w:rsidRPr="00863BF9">
              <w:rPr>
                <w:b w:val="0"/>
                <w:webHidden/>
              </w:rPr>
              <w:fldChar w:fldCharType="end"/>
            </w:r>
          </w:hyperlink>
        </w:p>
        <w:p w14:paraId="3A44937A" w14:textId="77777777" w:rsidR="00863BF9" w:rsidRPr="00863BF9" w:rsidRDefault="00863BF9">
          <w:pPr>
            <w:pStyle w:val="TDC1"/>
            <w:rPr>
              <w:rFonts w:asciiTheme="minorHAnsi" w:hAnsiTheme="minorHAnsi" w:cstheme="minorBidi"/>
              <w:b w:val="0"/>
              <w:bCs w:val="0"/>
              <w:smallCaps w:val="0"/>
            </w:rPr>
          </w:pPr>
          <w:hyperlink w:anchor="_Toc442253272" w:history="1">
            <w:r w:rsidRPr="00863BF9">
              <w:rPr>
                <w:rStyle w:val="Hipervnculo"/>
                <w:b w:val="0"/>
              </w:rPr>
              <w:t xml:space="preserve">7. </w:t>
            </w:r>
            <w:r w:rsidRPr="00863BF9">
              <w:rPr>
                <w:rFonts w:asciiTheme="minorHAnsi" w:hAnsiTheme="minorHAnsi" w:cstheme="minorBidi"/>
                <w:b w:val="0"/>
                <w:bCs w:val="0"/>
                <w:smallCaps w:val="0"/>
              </w:rPr>
              <w:tab/>
            </w:r>
            <w:r w:rsidRPr="00863BF9">
              <w:rPr>
                <w:rStyle w:val="Hipervnculo"/>
                <w:b w:val="0"/>
              </w:rPr>
              <w:t>Directrices para la Formulación del POI – Presupuesto 2016</w:t>
            </w:r>
            <w:r w:rsidRPr="00863BF9">
              <w:rPr>
                <w:b w:val="0"/>
                <w:webHidden/>
              </w:rPr>
              <w:tab/>
            </w:r>
            <w:r w:rsidRPr="00863BF9">
              <w:rPr>
                <w:b w:val="0"/>
                <w:webHidden/>
              </w:rPr>
              <w:fldChar w:fldCharType="begin"/>
            </w:r>
            <w:r w:rsidRPr="00863BF9">
              <w:rPr>
                <w:b w:val="0"/>
                <w:webHidden/>
              </w:rPr>
              <w:instrText xml:space="preserve"> PAGEREF _Toc442253272 \h </w:instrText>
            </w:r>
            <w:r w:rsidRPr="00863BF9">
              <w:rPr>
                <w:b w:val="0"/>
                <w:webHidden/>
              </w:rPr>
            </w:r>
            <w:r w:rsidRPr="00863BF9">
              <w:rPr>
                <w:b w:val="0"/>
                <w:webHidden/>
              </w:rPr>
              <w:fldChar w:fldCharType="separate"/>
            </w:r>
            <w:r w:rsidRPr="00863BF9">
              <w:rPr>
                <w:b w:val="0"/>
                <w:webHidden/>
              </w:rPr>
              <w:t>113</w:t>
            </w:r>
            <w:r w:rsidRPr="00863BF9">
              <w:rPr>
                <w:b w:val="0"/>
                <w:webHidden/>
              </w:rPr>
              <w:fldChar w:fldCharType="end"/>
            </w:r>
          </w:hyperlink>
        </w:p>
        <w:p w14:paraId="73DA7620" w14:textId="77777777" w:rsidR="00863BF9" w:rsidRPr="00863BF9" w:rsidRDefault="00863BF9">
          <w:pPr>
            <w:pStyle w:val="TDC1"/>
            <w:rPr>
              <w:rFonts w:asciiTheme="minorHAnsi" w:hAnsiTheme="minorHAnsi" w:cstheme="minorBidi"/>
              <w:b w:val="0"/>
              <w:bCs w:val="0"/>
              <w:smallCaps w:val="0"/>
            </w:rPr>
          </w:pPr>
          <w:hyperlink w:anchor="_Toc442253273" w:history="1">
            <w:r w:rsidRPr="00863BF9">
              <w:rPr>
                <w:rStyle w:val="Hipervnculo"/>
                <w:b w:val="0"/>
              </w:rPr>
              <w:t xml:space="preserve">8. </w:t>
            </w:r>
            <w:r w:rsidRPr="00863BF9">
              <w:rPr>
                <w:rFonts w:asciiTheme="minorHAnsi" w:hAnsiTheme="minorHAnsi" w:cstheme="minorBidi"/>
                <w:b w:val="0"/>
                <w:bCs w:val="0"/>
                <w:smallCaps w:val="0"/>
              </w:rPr>
              <w:tab/>
            </w:r>
            <w:r w:rsidRPr="00863BF9">
              <w:rPr>
                <w:rStyle w:val="Hipervnculo"/>
                <w:b w:val="0"/>
              </w:rPr>
              <w:t>Certificación CGR</w:t>
            </w:r>
            <w:r w:rsidRPr="00863BF9">
              <w:rPr>
                <w:b w:val="0"/>
                <w:webHidden/>
              </w:rPr>
              <w:tab/>
            </w:r>
            <w:r w:rsidRPr="00863BF9">
              <w:rPr>
                <w:b w:val="0"/>
                <w:webHidden/>
              </w:rPr>
              <w:fldChar w:fldCharType="begin"/>
            </w:r>
            <w:r w:rsidRPr="00863BF9">
              <w:rPr>
                <w:b w:val="0"/>
                <w:webHidden/>
              </w:rPr>
              <w:instrText xml:space="preserve"> PAGEREF _Toc442253273 \h </w:instrText>
            </w:r>
            <w:r w:rsidRPr="00863BF9">
              <w:rPr>
                <w:b w:val="0"/>
                <w:webHidden/>
              </w:rPr>
            </w:r>
            <w:r w:rsidRPr="00863BF9">
              <w:rPr>
                <w:b w:val="0"/>
                <w:webHidden/>
              </w:rPr>
              <w:fldChar w:fldCharType="separate"/>
            </w:r>
            <w:r w:rsidRPr="00863BF9">
              <w:rPr>
                <w:b w:val="0"/>
                <w:webHidden/>
              </w:rPr>
              <w:t>119</w:t>
            </w:r>
            <w:r w:rsidRPr="00863BF9">
              <w:rPr>
                <w:b w:val="0"/>
                <w:webHidden/>
              </w:rPr>
              <w:fldChar w:fldCharType="end"/>
            </w:r>
          </w:hyperlink>
        </w:p>
        <w:p w14:paraId="1EF29C6B" w14:textId="77777777" w:rsidR="00863BF9" w:rsidRPr="00863BF9" w:rsidRDefault="00863BF9">
          <w:pPr>
            <w:pStyle w:val="TDC1"/>
            <w:rPr>
              <w:rFonts w:asciiTheme="minorHAnsi" w:hAnsiTheme="minorHAnsi" w:cstheme="minorBidi"/>
              <w:b w:val="0"/>
              <w:bCs w:val="0"/>
              <w:smallCaps w:val="0"/>
            </w:rPr>
          </w:pPr>
          <w:hyperlink w:anchor="_Toc442253274" w:history="1">
            <w:r w:rsidRPr="00863BF9">
              <w:rPr>
                <w:rStyle w:val="Hipervnculo"/>
                <w:b w:val="0"/>
              </w:rPr>
              <w:t xml:space="preserve">9. </w:t>
            </w:r>
            <w:r w:rsidRPr="00863BF9">
              <w:rPr>
                <w:rFonts w:asciiTheme="minorHAnsi" w:hAnsiTheme="minorHAnsi" w:cstheme="minorBidi"/>
                <w:b w:val="0"/>
                <w:bCs w:val="0"/>
                <w:smallCaps w:val="0"/>
              </w:rPr>
              <w:tab/>
            </w:r>
            <w:r w:rsidRPr="00863BF9">
              <w:rPr>
                <w:rStyle w:val="Hipervnculo"/>
                <w:b w:val="0"/>
              </w:rPr>
              <w:t>Certificación de requisitos de Presupuesto 2016</w:t>
            </w:r>
            <w:r w:rsidRPr="00863BF9">
              <w:rPr>
                <w:b w:val="0"/>
                <w:webHidden/>
              </w:rPr>
              <w:tab/>
            </w:r>
            <w:r w:rsidRPr="00863BF9">
              <w:rPr>
                <w:b w:val="0"/>
                <w:webHidden/>
              </w:rPr>
              <w:fldChar w:fldCharType="begin"/>
            </w:r>
            <w:r w:rsidRPr="00863BF9">
              <w:rPr>
                <w:b w:val="0"/>
                <w:webHidden/>
              </w:rPr>
              <w:instrText xml:space="preserve"> PAGEREF _Toc442253274 \h </w:instrText>
            </w:r>
            <w:r w:rsidRPr="00863BF9">
              <w:rPr>
                <w:b w:val="0"/>
                <w:webHidden/>
              </w:rPr>
            </w:r>
            <w:r w:rsidRPr="00863BF9">
              <w:rPr>
                <w:b w:val="0"/>
                <w:webHidden/>
              </w:rPr>
              <w:fldChar w:fldCharType="separate"/>
            </w:r>
            <w:r w:rsidRPr="00863BF9">
              <w:rPr>
                <w:b w:val="0"/>
                <w:webHidden/>
              </w:rPr>
              <w:t>120</w:t>
            </w:r>
            <w:r w:rsidRPr="00863BF9">
              <w:rPr>
                <w:b w:val="0"/>
                <w:webHidden/>
              </w:rPr>
              <w:fldChar w:fldCharType="end"/>
            </w:r>
          </w:hyperlink>
        </w:p>
        <w:p w14:paraId="5C6772D6" w14:textId="77777777" w:rsidR="00863BF9" w:rsidRPr="00863BF9" w:rsidRDefault="00863BF9">
          <w:pPr>
            <w:pStyle w:val="TDC1"/>
            <w:rPr>
              <w:rFonts w:asciiTheme="minorHAnsi" w:hAnsiTheme="minorHAnsi" w:cstheme="minorBidi"/>
              <w:b w:val="0"/>
              <w:bCs w:val="0"/>
              <w:smallCaps w:val="0"/>
            </w:rPr>
          </w:pPr>
          <w:hyperlink w:anchor="_Toc442253275" w:history="1">
            <w:r w:rsidRPr="00863BF9">
              <w:rPr>
                <w:rStyle w:val="Hipervnculo"/>
                <w:b w:val="0"/>
              </w:rPr>
              <w:t xml:space="preserve">10. </w:t>
            </w:r>
            <w:r w:rsidRPr="00863BF9">
              <w:rPr>
                <w:rFonts w:asciiTheme="minorHAnsi" w:hAnsiTheme="minorHAnsi" w:cstheme="minorBidi"/>
                <w:b w:val="0"/>
                <w:bCs w:val="0"/>
                <w:smallCaps w:val="0"/>
              </w:rPr>
              <w:tab/>
            </w:r>
            <w:r w:rsidRPr="00863BF9">
              <w:rPr>
                <w:rStyle w:val="Hipervnculo"/>
                <w:b w:val="0"/>
              </w:rPr>
              <w:t>Informe Técnico del Proceso de Formulación de Salarios 2016 de BCCR y ODM</w:t>
            </w:r>
            <w:r w:rsidRPr="00863BF9">
              <w:rPr>
                <w:b w:val="0"/>
                <w:webHidden/>
              </w:rPr>
              <w:tab/>
            </w:r>
            <w:r w:rsidRPr="00863BF9">
              <w:rPr>
                <w:b w:val="0"/>
                <w:webHidden/>
              </w:rPr>
              <w:fldChar w:fldCharType="begin"/>
            </w:r>
            <w:r w:rsidRPr="00863BF9">
              <w:rPr>
                <w:b w:val="0"/>
                <w:webHidden/>
              </w:rPr>
              <w:instrText xml:space="preserve"> PAGEREF _Toc442253275 \h </w:instrText>
            </w:r>
            <w:r w:rsidRPr="00863BF9">
              <w:rPr>
                <w:b w:val="0"/>
                <w:webHidden/>
              </w:rPr>
            </w:r>
            <w:r w:rsidRPr="00863BF9">
              <w:rPr>
                <w:b w:val="0"/>
                <w:webHidden/>
              </w:rPr>
              <w:fldChar w:fldCharType="separate"/>
            </w:r>
            <w:r w:rsidRPr="00863BF9">
              <w:rPr>
                <w:b w:val="0"/>
                <w:webHidden/>
              </w:rPr>
              <w:t>124</w:t>
            </w:r>
            <w:r w:rsidRPr="00863BF9">
              <w:rPr>
                <w:b w:val="0"/>
                <w:webHidden/>
              </w:rPr>
              <w:fldChar w:fldCharType="end"/>
            </w:r>
          </w:hyperlink>
        </w:p>
        <w:p w14:paraId="07AD5DE7" w14:textId="77777777" w:rsidR="00863BF9" w:rsidRPr="00863BF9" w:rsidRDefault="00863BF9">
          <w:pPr>
            <w:pStyle w:val="TDC1"/>
            <w:rPr>
              <w:rFonts w:asciiTheme="minorHAnsi" w:hAnsiTheme="minorHAnsi" w:cstheme="minorBidi"/>
              <w:b w:val="0"/>
              <w:bCs w:val="0"/>
              <w:smallCaps w:val="0"/>
            </w:rPr>
          </w:pPr>
          <w:hyperlink w:anchor="_Toc442253276" w:history="1">
            <w:r w:rsidRPr="00863BF9">
              <w:rPr>
                <w:rStyle w:val="Hipervnculo"/>
                <w:b w:val="0"/>
              </w:rPr>
              <w:t xml:space="preserve">11. </w:t>
            </w:r>
            <w:r w:rsidRPr="00863BF9">
              <w:rPr>
                <w:rFonts w:asciiTheme="minorHAnsi" w:hAnsiTheme="minorHAnsi" w:cstheme="minorBidi"/>
                <w:b w:val="0"/>
                <w:bCs w:val="0"/>
                <w:smallCaps w:val="0"/>
              </w:rPr>
              <w:tab/>
            </w:r>
            <w:r w:rsidRPr="00863BF9">
              <w:rPr>
                <w:rStyle w:val="Hipervnculo"/>
                <w:b w:val="0"/>
              </w:rPr>
              <w:t>Notas de Aprobación</w:t>
            </w:r>
            <w:r w:rsidRPr="00863BF9">
              <w:rPr>
                <w:b w:val="0"/>
                <w:webHidden/>
              </w:rPr>
              <w:tab/>
            </w:r>
            <w:r w:rsidRPr="00863BF9">
              <w:rPr>
                <w:b w:val="0"/>
                <w:webHidden/>
              </w:rPr>
              <w:fldChar w:fldCharType="begin"/>
            </w:r>
            <w:r w:rsidRPr="00863BF9">
              <w:rPr>
                <w:b w:val="0"/>
                <w:webHidden/>
              </w:rPr>
              <w:instrText xml:space="preserve"> PAGEREF _Toc442253276 \h </w:instrText>
            </w:r>
            <w:r w:rsidRPr="00863BF9">
              <w:rPr>
                <w:b w:val="0"/>
                <w:webHidden/>
              </w:rPr>
            </w:r>
            <w:r w:rsidRPr="00863BF9">
              <w:rPr>
                <w:b w:val="0"/>
                <w:webHidden/>
              </w:rPr>
              <w:fldChar w:fldCharType="separate"/>
            </w:r>
            <w:r w:rsidRPr="00863BF9">
              <w:rPr>
                <w:b w:val="0"/>
                <w:webHidden/>
              </w:rPr>
              <w:t>134</w:t>
            </w:r>
            <w:r w:rsidRPr="00863BF9">
              <w:rPr>
                <w:b w:val="0"/>
                <w:webHidden/>
              </w:rPr>
              <w:fldChar w:fldCharType="end"/>
            </w:r>
          </w:hyperlink>
        </w:p>
        <w:p w14:paraId="54136660" w14:textId="43708EA4" w:rsidR="008C5FF4" w:rsidRPr="00863BF9" w:rsidRDefault="00CF5F35" w:rsidP="00BC1E3B">
          <w:pPr>
            <w:tabs>
              <w:tab w:val="left" w:pos="567"/>
            </w:tabs>
            <w:rPr>
              <w:rFonts w:asciiTheme="minorHAnsi" w:hAnsiTheme="minorHAnsi" w:cstheme="minorHAnsi"/>
              <w:sz w:val="20"/>
              <w:szCs w:val="20"/>
            </w:rPr>
          </w:pPr>
          <w:r w:rsidRPr="00863BF9">
            <w:rPr>
              <w:rFonts w:asciiTheme="majorHAnsi" w:hAnsiTheme="majorHAnsi" w:cstheme="minorHAnsi"/>
              <w:bCs/>
              <w:sz w:val="22"/>
              <w:szCs w:val="22"/>
            </w:rPr>
            <w:fldChar w:fldCharType="end"/>
          </w:r>
        </w:p>
      </w:sdtContent>
    </w:sdt>
    <w:bookmarkEnd w:id="0"/>
    <w:p w14:paraId="06A947FA" w14:textId="33941C6E" w:rsidR="00E26F24" w:rsidRPr="008C5FF4" w:rsidRDefault="009D034C" w:rsidP="009D034C">
      <w:pPr>
        <w:rPr>
          <w:rFonts w:asciiTheme="minorHAnsi" w:hAnsiTheme="minorHAnsi" w:cstheme="minorHAnsi"/>
          <w:sz w:val="20"/>
          <w:szCs w:val="20"/>
        </w:rPr>
      </w:pPr>
      <w:r w:rsidRPr="00060053">
        <w:rPr>
          <w:rFonts w:asciiTheme="majorHAnsi" w:hAnsiTheme="majorHAnsi"/>
          <w:b/>
          <w:sz w:val="22"/>
          <w:szCs w:val="22"/>
        </w:rPr>
        <w:br w:type="page"/>
      </w:r>
    </w:p>
    <w:p w14:paraId="06A947FB" w14:textId="74EE11E0" w:rsidR="009D034C" w:rsidRPr="00060053" w:rsidRDefault="00A37007" w:rsidP="00F32100">
      <w:pPr>
        <w:pStyle w:val="Ttulo1"/>
        <w:rPr>
          <w:rFonts w:asciiTheme="majorHAnsi" w:hAnsiTheme="majorHAnsi"/>
          <w:b w:val="0"/>
          <w:smallCaps/>
        </w:rPr>
      </w:pPr>
      <w:bookmarkStart w:id="1" w:name="_Toc442253201"/>
      <w:r w:rsidRPr="00060053">
        <w:rPr>
          <w:rFonts w:asciiTheme="majorHAnsi" w:hAnsiTheme="majorHAnsi"/>
          <w:smallCaps/>
        </w:rPr>
        <w:lastRenderedPageBreak/>
        <w:t>1.</w:t>
      </w:r>
      <w:r w:rsidRPr="00060053">
        <w:rPr>
          <w:rFonts w:asciiTheme="majorHAnsi" w:hAnsiTheme="majorHAnsi"/>
          <w:smallCaps/>
        </w:rPr>
        <w:tab/>
        <w:t>Plan Operativo</w:t>
      </w:r>
      <w:r w:rsidR="00C0086A" w:rsidRPr="00060053">
        <w:rPr>
          <w:rFonts w:asciiTheme="majorHAnsi" w:hAnsiTheme="majorHAnsi"/>
          <w:smallCaps/>
        </w:rPr>
        <w:t xml:space="preserve"> Institucional</w:t>
      </w:r>
      <w:r w:rsidRPr="00060053">
        <w:rPr>
          <w:rFonts w:asciiTheme="majorHAnsi" w:hAnsiTheme="majorHAnsi"/>
          <w:smallCaps/>
        </w:rPr>
        <w:t xml:space="preserve"> 20</w:t>
      </w:r>
      <w:r w:rsidR="002740BE" w:rsidRPr="00060053">
        <w:rPr>
          <w:rFonts w:asciiTheme="majorHAnsi" w:hAnsiTheme="majorHAnsi"/>
          <w:smallCaps/>
        </w:rPr>
        <w:t>1</w:t>
      </w:r>
      <w:r w:rsidR="00D277D9">
        <w:rPr>
          <w:rFonts w:asciiTheme="majorHAnsi" w:hAnsiTheme="majorHAnsi"/>
          <w:smallCaps/>
        </w:rPr>
        <w:t>6</w:t>
      </w:r>
      <w:bookmarkEnd w:id="1"/>
    </w:p>
    <w:p w14:paraId="06A947FC" w14:textId="77777777" w:rsidR="00C71F1E" w:rsidRDefault="009612CE" w:rsidP="00547B19">
      <w:pPr>
        <w:pStyle w:val="Ttulo1"/>
        <w:numPr>
          <w:ilvl w:val="1"/>
          <w:numId w:val="12"/>
        </w:numPr>
        <w:rPr>
          <w:rFonts w:asciiTheme="majorHAnsi" w:hAnsiTheme="majorHAnsi"/>
          <w:sz w:val="22"/>
          <w:szCs w:val="22"/>
        </w:rPr>
      </w:pPr>
      <w:bookmarkStart w:id="2" w:name="_Toc442253202"/>
      <w:r w:rsidRPr="00F72E43">
        <w:rPr>
          <w:rFonts w:asciiTheme="majorHAnsi" w:hAnsiTheme="majorHAnsi"/>
          <w:sz w:val="22"/>
          <w:szCs w:val="22"/>
        </w:rPr>
        <w:t>Presentación:</w:t>
      </w:r>
      <w:bookmarkEnd w:id="2"/>
    </w:p>
    <w:p w14:paraId="0B68DBF6" w14:textId="77777777" w:rsidR="009212EF" w:rsidRPr="009212EF" w:rsidRDefault="009212EF" w:rsidP="009212EF"/>
    <w:p w14:paraId="06A947FD" w14:textId="214E20C4" w:rsidR="008E29AF" w:rsidRPr="00060053" w:rsidRDefault="008E29AF" w:rsidP="008E29AF">
      <w:pPr>
        <w:jc w:val="both"/>
        <w:rPr>
          <w:rFonts w:asciiTheme="majorHAnsi" w:hAnsiTheme="majorHAnsi" w:cs="Tahoma"/>
          <w:sz w:val="22"/>
          <w:szCs w:val="22"/>
          <w:lang w:val="es-CR"/>
        </w:rPr>
      </w:pPr>
      <w:r w:rsidRPr="00060053">
        <w:rPr>
          <w:rFonts w:asciiTheme="majorHAnsi" w:hAnsiTheme="majorHAnsi" w:cs="Tahoma"/>
          <w:sz w:val="22"/>
          <w:szCs w:val="22"/>
          <w:lang w:val="es-CR"/>
        </w:rPr>
        <w:t xml:space="preserve">Este documento tiene como objeto presentar el </w:t>
      </w:r>
      <w:r w:rsidR="00C0086A" w:rsidRPr="00060053">
        <w:rPr>
          <w:rFonts w:asciiTheme="majorHAnsi" w:hAnsiTheme="majorHAnsi" w:cs="Tahoma"/>
          <w:sz w:val="22"/>
          <w:szCs w:val="22"/>
          <w:lang w:val="es-CR"/>
        </w:rPr>
        <w:t xml:space="preserve">Plan Operativo Institucional </w:t>
      </w:r>
      <w:r w:rsidR="009D034C" w:rsidRPr="00060053">
        <w:rPr>
          <w:rFonts w:asciiTheme="majorHAnsi" w:hAnsiTheme="majorHAnsi" w:cs="Tahoma"/>
          <w:sz w:val="22"/>
          <w:szCs w:val="22"/>
          <w:lang w:val="es-CR"/>
        </w:rPr>
        <w:t>y el P</w:t>
      </w:r>
      <w:r w:rsidRPr="00060053">
        <w:rPr>
          <w:rFonts w:asciiTheme="majorHAnsi" w:hAnsiTheme="majorHAnsi" w:cs="Tahoma"/>
          <w:sz w:val="22"/>
          <w:szCs w:val="22"/>
          <w:lang w:val="es-CR"/>
        </w:rPr>
        <w:t>resupuesto</w:t>
      </w:r>
      <w:r w:rsidR="009D034C" w:rsidRPr="00060053">
        <w:rPr>
          <w:rFonts w:asciiTheme="majorHAnsi" w:hAnsiTheme="majorHAnsi" w:cs="Tahoma"/>
          <w:sz w:val="22"/>
          <w:szCs w:val="22"/>
          <w:lang w:val="es-CR"/>
        </w:rPr>
        <w:t xml:space="preserve"> de Ingresos y Gastos</w:t>
      </w:r>
      <w:r w:rsidRPr="00060053">
        <w:rPr>
          <w:rFonts w:asciiTheme="majorHAnsi" w:hAnsiTheme="majorHAnsi" w:cs="Tahoma"/>
          <w:sz w:val="22"/>
          <w:szCs w:val="22"/>
          <w:lang w:val="es-CR"/>
        </w:rPr>
        <w:t xml:space="preserve"> de la </w:t>
      </w:r>
      <w:r w:rsidR="00ED71E1" w:rsidRPr="00060053">
        <w:rPr>
          <w:rFonts w:asciiTheme="majorHAnsi" w:hAnsiTheme="majorHAnsi" w:cs="Tahoma"/>
          <w:sz w:val="22"/>
          <w:szCs w:val="22"/>
          <w:lang w:val="es-CR"/>
        </w:rPr>
        <w:t>Superintendencia de Pensiones</w:t>
      </w:r>
      <w:r w:rsidR="000572E7" w:rsidRPr="00060053">
        <w:rPr>
          <w:rFonts w:asciiTheme="majorHAnsi" w:hAnsiTheme="majorHAnsi" w:cs="Tahoma"/>
          <w:sz w:val="22"/>
          <w:szCs w:val="22"/>
          <w:lang w:val="es-CR"/>
        </w:rPr>
        <w:t xml:space="preserve"> </w:t>
      </w:r>
      <w:r w:rsidR="00A37007" w:rsidRPr="00060053">
        <w:rPr>
          <w:rFonts w:asciiTheme="majorHAnsi" w:hAnsiTheme="majorHAnsi" w:cs="Tahoma"/>
          <w:b/>
          <w:sz w:val="22"/>
          <w:szCs w:val="22"/>
          <w:lang w:val="es-CR"/>
        </w:rPr>
        <w:t>–</w:t>
      </w:r>
      <w:r w:rsidR="00D277D9">
        <w:rPr>
          <w:rFonts w:asciiTheme="majorHAnsi" w:hAnsiTheme="majorHAnsi" w:cs="Tahoma"/>
          <w:sz w:val="22"/>
          <w:szCs w:val="22"/>
          <w:lang w:val="es-CR"/>
        </w:rPr>
        <w:t>SUPEN</w:t>
      </w:r>
      <w:r w:rsidR="00A37007" w:rsidRPr="00060053">
        <w:rPr>
          <w:rFonts w:asciiTheme="majorHAnsi" w:hAnsiTheme="majorHAnsi" w:cs="Tahoma"/>
          <w:b/>
          <w:sz w:val="22"/>
          <w:szCs w:val="22"/>
          <w:lang w:val="es-CR"/>
        </w:rPr>
        <w:t>-</w:t>
      </w:r>
      <w:r w:rsidR="00A37007" w:rsidRPr="00060053">
        <w:rPr>
          <w:rFonts w:asciiTheme="majorHAnsi" w:hAnsiTheme="majorHAnsi" w:cs="Tahoma"/>
          <w:sz w:val="22"/>
          <w:szCs w:val="22"/>
          <w:lang w:val="es-CR"/>
        </w:rPr>
        <w:t>,</w:t>
      </w:r>
      <w:r w:rsidR="000572E7" w:rsidRPr="00060053">
        <w:rPr>
          <w:rFonts w:asciiTheme="majorHAnsi" w:hAnsiTheme="majorHAnsi" w:cs="Tahoma"/>
          <w:sz w:val="22"/>
          <w:szCs w:val="22"/>
          <w:lang w:val="es-CR"/>
        </w:rPr>
        <w:t xml:space="preserve"> </w:t>
      </w:r>
      <w:r w:rsidRPr="00060053">
        <w:rPr>
          <w:rFonts w:asciiTheme="majorHAnsi" w:hAnsiTheme="majorHAnsi" w:cs="Tahoma"/>
          <w:sz w:val="22"/>
          <w:szCs w:val="22"/>
          <w:lang w:val="es-CR"/>
        </w:rPr>
        <w:t>para el ejercicio económico correspondiente al 20</w:t>
      </w:r>
      <w:r w:rsidR="002740BE" w:rsidRPr="00060053">
        <w:rPr>
          <w:rFonts w:asciiTheme="majorHAnsi" w:hAnsiTheme="majorHAnsi" w:cs="Tahoma"/>
          <w:sz w:val="22"/>
          <w:szCs w:val="22"/>
          <w:lang w:val="es-CR"/>
        </w:rPr>
        <w:t>1</w:t>
      </w:r>
      <w:r w:rsidR="00B604B9">
        <w:rPr>
          <w:rFonts w:asciiTheme="majorHAnsi" w:hAnsiTheme="majorHAnsi" w:cs="Tahoma"/>
          <w:sz w:val="22"/>
          <w:szCs w:val="22"/>
          <w:lang w:val="es-CR"/>
        </w:rPr>
        <w:t>6</w:t>
      </w:r>
      <w:r w:rsidR="00CA36C9">
        <w:rPr>
          <w:rFonts w:asciiTheme="majorHAnsi" w:hAnsiTheme="majorHAnsi" w:cs="Tahoma"/>
          <w:sz w:val="22"/>
          <w:szCs w:val="22"/>
          <w:lang w:val="es-CR"/>
        </w:rPr>
        <w:t>. S</w:t>
      </w:r>
      <w:r w:rsidR="00A37007" w:rsidRPr="00060053">
        <w:rPr>
          <w:rFonts w:asciiTheme="majorHAnsi" w:hAnsiTheme="majorHAnsi" w:cs="Tahoma"/>
          <w:sz w:val="22"/>
          <w:szCs w:val="22"/>
          <w:lang w:val="es-CR"/>
        </w:rPr>
        <w:t xml:space="preserve">e </w:t>
      </w:r>
      <w:r w:rsidRPr="00060053">
        <w:rPr>
          <w:rFonts w:asciiTheme="majorHAnsi" w:hAnsiTheme="majorHAnsi" w:cs="Tahoma"/>
          <w:sz w:val="22"/>
          <w:szCs w:val="22"/>
          <w:lang w:val="es-CR"/>
        </w:rPr>
        <w:t>realizó</w:t>
      </w:r>
      <w:r w:rsidR="009D034C" w:rsidRPr="00060053">
        <w:rPr>
          <w:rFonts w:asciiTheme="majorHAnsi" w:hAnsiTheme="majorHAnsi" w:cs="Tahoma"/>
          <w:sz w:val="22"/>
          <w:szCs w:val="22"/>
          <w:lang w:val="es-CR"/>
        </w:rPr>
        <w:t xml:space="preserve"> considerando </w:t>
      </w:r>
      <w:r w:rsidR="00B66028" w:rsidRPr="00060053">
        <w:rPr>
          <w:rFonts w:asciiTheme="majorHAnsi" w:hAnsiTheme="majorHAnsi" w:cs="Tahoma"/>
          <w:sz w:val="22"/>
          <w:szCs w:val="22"/>
          <w:lang w:val="es-CR"/>
        </w:rPr>
        <w:t xml:space="preserve">necesidades de la institución, </w:t>
      </w:r>
      <w:r w:rsidR="004250DC">
        <w:rPr>
          <w:rFonts w:asciiTheme="majorHAnsi" w:hAnsiTheme="majorHAnsi" w:cs="Tahoma"/>
          <w:sz w:val="22"/>
          <w:szCs w:val="22"/>
          <w:lang w:val="es-CR"/>
        </w:rPr>
        <w:t xml:space="preserve">las obligaciones que </w:t>
      </w:r>
      <w:r w:rsidR="00CA36C9">
        <w:rPr>
          <w:rFonts w:asciiTheme="majorHAnsi" w:hAnsiTheme="majorHAnsi" w:cs="Tahoma"/>
          <w:sz w:val="22"/>
          <w:szCs w:val="22"/>
          <w:lang w:val="es-CR"/>
        </w:rPr>
        <w:t xml:space="preserve">se </w:t>
      </w:r>
      <w:r w:rsidR="004250DC">
        <w:rPr>
          <w:rFonts w:asciiTheme="majorHAnsi" w:hAnsiTheme="majorHAnsi" w:cs="Tahoma"/>
          <w:sz w:val="22"/>
          <w:szCs w:val="22"/>
          <w:lang w:val="es-CR"/>
        </w:rPr>
        <w:t>establece</w:t>
      </w:r>
      <w:r w:rsidR="00CA36C9">
        <w:rPr>
          <w:rFonts w:asciiTheme="majorHAnsi" w:hAnsiTheme="majorHAnsi" w:cs="Tahoma"/>
          <w:sz w:val="22"/>
          <w:szCs w:val="22"/>
          <w:lang w:val="es-CR"/>
        </w:rPr>
        <w:t>n la l</w:t>
      </w:r>
      <w:r w:rsidR="004250DC">
        <w:rPr>
          <w:rFonts w:asciiTheme="majorHAnsi" w:hAnsiTheme="majorHAnsi" w:cs="Tahoma"/>
          <w:sz w:val="22"/>
          <w:szCs w:val="22"/>
          <w:lang w:val="es-CR"/>
        </w:rPr>
        <w:t xml:space="preserve">eyes 7523 y 7983, </w:t>
      </w:r>
      <w:r w:rsidR="009D034C" w:rsidRPr="00060053">
        <w:rPr>
          <w:rFonts w:asciiTheme="majorHAnsi" w:hAnsiTheme="majorHAnsi" w:cs="Tahoma"/>
          <w:sz w:val="22"/>
          <w:szCs w:val="22"/>
          <w:lang w:val="es-CR"/>
        </w:rPr>
        <w:t>las directrices que para tal efecto emitió la Junta Directiva del Banco Central de Costa Rica</w:t>
      </w:r>
      <w:r w:rsidR="004733E4" w:rsidRPr="00060053">
        <w:rPr>
          <w:rFonts w:asciiTheme="majorHAnsi" w:hAnsiTheme="majorHAnsi" w:cs="Tahoma"/>
          <w:sz w:val="22"/>
          <w:szCs w:val="22"/>
          <w:lang w:val="es-CR"/>
        </w:rPr>
        <w:t xml:space="preserve"> y el Consejo Nacional de Supervisión del Sistema Financiero</w:t>
      </w:r>
      <w:r w:rsidRPr="00060053">
        <w:rPr>
          <w:rFonts w:asciiTheme="majorHAnsi" w:hAnsiTheme="majorHAnsi" w:cs="Tahoma"/>
          <w:sz w:val="22"/>
          <w:szCs w:val="22"/>
          <w:lang w:val="es-CR"/>
        </w:rPr>
        <w:t>.</w:t>
      </w:r>
    </w:p>
    <w:p w14:paraId="06A947FE" w14:textId="77C5D7C8" w:rsidR="009612CE" w:rsidRPr="00F72E43" w:rsidRDefault="009612CE" w:rsidP="00547B19">
      <w:pPr>
        <w:pStyle w:val="Ttulo1"/>
        <w:numPr>
          <w:ilvl w:val="1"/>
          <w:numId w:val="12"/>
        </w:numPr>
        <w:rPr>
          <w:rFonts w:asciiTheme="majorHAnsi" w:hAnsiTheme="majorHAnsi"/>
          <w:sz w:val="22"/>
          <w:szCs w:val="22"/>
        </w:rPr>
      </w:pPr>
      <w:bookmarkStart w:id="3" w:name="_Toc442253203"/>
      <w:r w:rsidRPr="00F72E43">
        <w:rPr>
          <w:rFonts w:asciiTheme="majorHAnsi" w:hAnsiTheme="majorHAnsi"/>
          <w:sz w:val="22"/>
          <w:szCs w:val="22"/>
        </w:rPr>
        <w:t>Antecedentes de la Institución</w:t>
      </w:r>
      <w:bookmarkEnd w:id="3"/>
    </w:p>
    <w:p w14:paraId="06A947FF" w14:textId="77777777" w:rsidR="000C058C" w:rsidRPr="00060053" w:rsidRDefault="000C058C" w:rsidP="000C058C">
      <w:pPr>
        <w:rPr>
          <w:rFonts w:asciiTheme="majorHAnsi" w:hAnsiTheme="majorHAnsi"/>
          <w:b/>
          <w:sz w:val="22"/>
          <w:szCs w:val="22"/>
        </w:rPr>
      </w:pPr>
    </w:p>
    <w:p w14:paraId="06A94800" w14:textId="4D4BCAE1" w:rsidR="008E29AF" w:rsidRPr="00F72E43" w:rsidRDefault="00F72E43" w:rsidP="00F72E43">
      <w:pPr>
        <w:pStyle w:val="Ttulo2"/>
        <w:ind w:left="360"/>
        <w:rPr>
          <w:rFonts w:asciiTheme="majorHAnsi" w:hAnsiTheme="majorHAnsi"/>
          <w:sz w:val="22"/>
          <w:szCs w:val="22"/>
        </w:rPr>
      </w:pPr>
      <w:bookmarkStart w:id="4" w:name="_Toc442253204"/>
      <w:r w:rsidRPr="00F72E43">
        <w:rPr>
          <w:rFonts w:asciiTheme="majorHAnsi" w:hAnsiTheme="majorHAnsi"/>
          <w:sz w:val="22"/>
          <w:szCs w:val="22"/>
        </w:rPr>
        <w:t>1.2.1</w:t>
      </w:r>
      <w:r w:rsidRPr="00F72E43">
        <w:rPr>
          <w:rFonts w:asciiTheme="majorHAnsi" w:hAnsiTheme="majorHAnsi"/>
          <w:sz w:val="22"/>
          <w:szCs w:val="22"/>
        </w:rPr>
        <w:tab/>
      </w:r>
      <w:r w:rsidR="008E29AF" w:rsidRPr="00F72E43">
        <w:rPr>
          <w:rFonts w:asciiTheme="majorHAnsi" w:hAnsiTheme="majorHAnsi"/>
          <w:sz w:val="22"/>
          <w:szCs w:val="22"/>
        </w:rPr>
        <w:t>Marco General Institucional</w:t>
      </w:r>
      <w:bookmarkEnd w:id="4"/>
    </w:p>
    <w:p w14:paraId="06A94801" w14:textId="1E9CAD33" w:rsidR="000E79AF" w:rsidRPr="00060053" w:rsidRDefault="000E79AF" w:rsidP="000E79AF">
      <w:pPr>
        <w:ind w:left="540"/>
        <w:jc w:val="both"/>
        <w:rPr>
          <w:rFonts w:asciiTheme="majorHAnsi" w:hAnsiTheme="majorHAnsi"/>
          <w:iCs/>
          <w:sz w:val="22"/>
          <w:szCs w:val="22"/>
          <w:lang w:val="es-ES_tradnl"/>
        </w:rPr>
      </w:pPr>
      <w:r w:rsidRPr="00060053">
        <w:rPr>
          <w:rFonts w:asciiTheme="majorHAnsi" w:hAnsiTheme="majorHAnsi"/>
          <w:sz w:val="22"/>
          <w:szCs w:val="22"/>
        </w:rPr>
        <w:t xml:space="preserve">La </w:t>
      </w:r>
      <w:r w:rsidR="00D277D9">
        <w:rPr>
          <w:rFonts w:asciiTheme="majorHAnsi" w:hAnsiTheme="majorHAnsi"/>
          <w:sz w:val="22"/>
          <w:szCs w:val="22"/>
        </w:rPr>
        <w:t>SUPEN</w:t>
      </w:r>
      <w:r w:rsidR="00BF7BA4" w:rsidRPr="00060053">
        <w:rPr>
          <w:rFonts w:asciiTheme="majorHAnsi" w:hAnsiTheme="majorHAnsi"/>
          <w:sz w:val="22"/>
          <w:szCs w:val="22"/>
        </w:rPr>
        <w:t xml:space="preserve"> </w:t>
      </w:r>
      <w:r w:rsidRPr="00060053">
        <w:rPr>
          <w:rFonts w:asciiTheme="majorHAnsi" w:hAnsiTheme="majorHAnsi" w:cs="Tahoma"/>
          <w:sz w:val="22"/>
          <w:szCs w:val="22"/>
          <w:lang w:val="es-CR"/>
        </w:rPr>
        <w:t xml:space="preserve">es un órgano de máxima desconcentración adscrito al Banco Central de Costa Rica. Funciona bajo la dirección del Consejo Nacional de Supervisión del Sistema Financiero (CONASSIF). </w:t>
      </w:r>
      <w:r w:rsidRPr="00060053">
        <w:rPr>
          <w:rFonts w:asciiTheme="majorHAnsi" w:hAnsiTheme="majorHAnsi"/>
          <w:sz w:val="22"/>
          <w:szCs w:val="22"/>
        </w:rPr>
        <w:t xml:space="preserve">Conforme con la </w:t>
      </w:r>
      <w:r w:rsidRPr="00060053">
        <w:rPr>
          <w:rFonts w:asciiTheme="majorHAnsi" w:hAnsiTheme="majorHAnsi"/>
          <w:iCs/>
          <w:sz w:val="22"/>
          <w:szCs w:val="22"/>
          <w:lang w:val="es-ES_tradnl"/>
        </w:rPr>
        <w:t>estrategia corporativa y de calidad, definió el negocio, en</w:t>
      </w:r>
      <w:r w:rsidR="00B46808">
        <w:rPr>
          <w:rFonts w:asciiTheme="majorHAnsi" w:hAnsiTheme="majorHAnsi"/>
          <w:iCs/>
          <w:sz w:val="22"/>
          <w:szCs w:val="22"/>
          <w:lang w:val="es-ES_tradnl"/>
        </w:rPr>
        <w:t xml:space="preserve"> términos de: actividad básica </w:t>
      </w:r>
      <w:r w:rsidRPr="00060053">
        <w:rPr>
          <w:rFonts w:asciiTheme="majorHAnsi" w:hAnsiTheme="majorHAnsi"/>
          <w:iCs/>
          <w:sz w:val="22"/>
          <w:szCs w:val="22"/>
          <w:lang w:val="es-ES_tradnl"/>
        </w:rPr>
        <w:t>y clientes.</w:t>
      </w:r>
    </w:p>
    <w:p w14:paraId="06A94802" w14:textId="77777777" w:rsidR="000E79AF" w:rsidRPr="00060053" w:rsidRDefault="000E79AF" w:rsidP="000E79AF">
      <w:pPr>
        <w:widowControl w:val="0"/>
        <w:ind w:left="567"/>
        <w:rPr>
          <w:rFonts w:asciiTheme="majorHAnsi" w:hAnsiTheme="majorHAnsi"/>
          <w:iCs/>
          <w:sz w:val="22"/>
          <w:szCs w:val="22"/>
          <w:lang w:val="es-ES_tradnl"/>
        </w:rPr>
      </w:pPr>
    </w:p>
    <w:p w14:paraId="06A94803" w14:textId="77777777" w:rsidR="000E79AF" w:rsidRDefault="000E79AF" w:rsidP="000E79AF">
      <w:pPr>
        <w:widowControl w:val="0"/>
        <w:ind w:left="567"/>
        <w:rPr>
          <w:rFonts w:asciiTheme="majorHAnsi" w:hAnsiTheme="majorHAnsi"/>
          <w:b/>
          <w:bCs/>
          <w:sz w:val="22"/>
          <w:szCs w:val="22"/>
          <w:lang w:val="es-ES_tradnl"/>
        </w:rPr>
      </w:pPr>
      <w:r w:rsidRPr="00060053">
        <w:rPr>
          <w:rFonts w:asciiTheme="majorHAnsi" w:hAnsiTheme="majorHAnsi"/>
          <w:b/>
          <w:bCs/>
          <w:sz w:val="22"/>
          <w:szCs w:val="22"/>
          <w:lang w:val="es-ES_tradnl"/>
        </w:rPr>
        <w:t>Actividad Básica</w:t>
      </w:r>
    </w:p>
    <w:p w14:paraId="7BF3F895" w14:textId="77777777" w:rsidR="001A6E05" w:rsidRPr="00060053" w:rsidRDefault="001A6E05" w:rsidP="000E79AF">
      <w:pPr>
        <w:widowControl w:val="0"/>
        <w:ind w:left="567"/>
        <w:rPr>
          <w:rFonts w:asciiTheme="majorHAnsi" w:hAnsiTheme="majorHAnsi"/>
          <w:b/>
          <w:bCs/>
          <w:sz w:val="22"/>
          <w:szCs w:val="22"/>
          <w:lang w:val="es-ES_tradnl"/>
        </w:rPr>
      </w:pPr>
    </w:p>
    <w:p w14:paraId="06A94804" w14:textId="3F2C5A4D" w:rsidR="00905F1C" w:rsidRPr="00060053" w:rsidRDefault="00905F1C" w:rsidP="00905F1C">
      <w:pPr>
        <w:ind w:left="540"/>
        <w:jc w:val="both"/>
        <w:rPr>
          <w:rFonts w:asciiTheme="majorHAnsi" w:hAnsiTheme="majorHAnsi" w:cs="Arial"/>
          <w:sz w:val="22"/>
          <w:szCs w:val="22"/>
        </w:rPr>
      </w:pPr>
      <w:r w:rsidRPr="00060053">
        <w:rPr>
          <w:rFonts w:asciiTheme="majorHAnsi" w:hAnsiTheme="majorHAnsi" w:cs="Arial"/>
          <w:sz w:val="22"/>
          <w:szCs w:val="22"/>
        </w:rPr>
        <w:t xml:space="preserve">La </w:t>
      </w:r>
      <w:r w:rsidR="00D277D9">
        <w:rPr>
          <w:rFonts w:asciiTheme="majorHAnsi" w:hAnsiTheme="majorHAnsi" w:cs="Arial"/>
          <w:sz w:val="22"/>
          <w:szCs w:val="22"/>
        </w:rPr>
        <w:t>SUPEN</w:t>
      </w:r>
      <w:r w:rsidRPr="00060053">
        <w:rPr>
          <w:rFonts w:asciiTheme="majorHAnsi" w:hAnsiTheme="majorHAnsi" w:cs="Arial"/>
          <w:sz w:val="22"/>
          <w:szCs w:val="22"/>
        </w:rPr>
        <w:t xml:space="preserve"> es la institución encargada de supervisar el Sistema Nacional de Pensiones, específicamente tiene la función social de vigilar el desempeño</w:t>
      </w:r>
      <w:r w:rsidR="00415A07">
        <w:rPr>
          <w:rFonts w:asciiTheme="majorHAnsi" w:hAnsiTheme="majorHAnsi" w:cs="Arial"/>
          <w:sz w:val="22"/>
          <w:szCs w:val="22"/>
        </w:rPr>
        <w:t xml:space="preserve"> del sistema</w:t>
      </w:r>
      <w:r w:rsidRPr="00060053">
        <w:rPr>
          <w:rFonts w:asciiTheme="majorHAnsi" w:hAnsiTheme="majorHAnsi" w:cs="Arial"/>
          <w:sz w:val="22"/>
          <w:szCs w:val="22"/>
        </w:rPr>
        <w:t xml:space="preserve">, con el propósito de resguardar los intereses de los afiliados, </w:t>
      </w:r>
      <w:r w:rsidR="00050849" w:rsidRPr="00060053">
        <w:rPr>
          <w:rFonts w:asciiTheme="majorHAnsi" w:hAnsiTheme="majorHAnsi" w:cs="Arial"/>
          <w:sz w:val="22"/>
          <w:szCs w:val="22"/>
        </w:rPr>
        <w:t xml:space="preserve">que </w:t>
      </w:r>
      <w:r w:rsidRPr="00060053">
        <w:rPr>
          <w:rFonts w:asciiTheme="majorHAnsi" w:hAnsiTheme="majorHAnsi" w:cs="Arial"/>
          <w:sz w:val="22"/>
          <w:szCs w:val="22"/>
        </w:rPr>
        <w:t xml:space="preserve">dan en administración </w:t>
      </w:r>
      <w:r w:rsidR="00050849" w:rsidRPr="00060053">
        <w:rPr>
          <w:rFonts w:asciiTheme="majorHAnsi" w:hAnsiTheme="majorHAnsi" w:cs="Arial"/>
          <w:sz w:val="22"/>
          <w:szCs w:val="22"/>
        </w:rPr>
        <w:t>los</w:t>
      </w:r>
      <w:r w:rsidRPr="00060053">
        <w:rPr>
          <w:rFonts w:asciiTheme="majorHAnsi" w:hAnsiTheme="majorHAnsi" w:cs="Arial"/>
          <w:sz w:val="22"/>
          <w:szCs w:val="22"/>
        </w:rPr>
        <w:t xml:space="preserve"> recursos a los gestores de pensiones que en él participan. </w:t>
      </w:r>
    </w:p>
    <w:p w14:paraId="06A94805" w14:textId="77777777" w:rsidR="009B142B" w:rsidRPr="00060053" w:rsidRDefault="009B142B" w:rsidP="00905F1C">
      <w:pPr>
        <w:ind w:left="540"/>
        <w:jc w:val="both"/>
        <w:rPr>
          <w:rFonts w:asciiTheme="majorHAnsi" w:hAnsiTheme="majorHAnsi" w:cs="Arial"/>
          <w:sz w:val="22"/>
          <w:szCs w:val="22"/>
        </w:rPr>
      </w:pPr>
    </w:p>
    <w:p w14:paraId="06A94806" w14:textId="6FA1DB27" w:rsidR="009B142B" w:rsidRPr="00060053" w:rsidRDefault="009B142B" w:rsidP="009B142B">
      <w:pPr>
        <w:ind w:left="540"/>
        <w:jc w:val="both"/>
        <w:rPr>
          <w:rFonts w:asciiTheme="majorHAnsi" w:hAnsiTheme="majorHAnsi" w:cs="Arial"/>
          <w:sz w:val="22"/>
          <w:szCs w:val="22"/>
        </w:rPr>
      </w:pPr>
      <w:r w:rsidRPr="00060053">
        <w:rPr>
          <w:rFonts w:asciiTheme="majorHAnsi" w:hAnsiTheme="majorHAnsi" w:cs="Arial"/>
          <w:sz w:val="22"/>
          <w:szCs w:val="22"/>
        </w:rPr>
        <w:t xml:space="preserve">Es de esa manera </w:t>
      </w:r>
      <w:r w:rsidR="0084550B">
        <w:rPr>
          <w:rFonts w:asciiTheme="majorHAnsi" w:hAnsiTheme="majorHAnsi" w:cs="Arial"/>
          <w:sz w:val="22"/>
          <w:szCs w:val="22"/>
        </w:rPr>
        <w:t xml:space="preserve">que </w:t>
      </w:r>
      <w:r w:rsidR="00415A07">
        <w:rPr>
          <w:rFonts w:asciiTheme="majorHAnsi" w:hAnsiTheme="majorHAnsi" w:cs="Arial"/>
          <w:sz w:val="22"/>
          <w:szCs w:val="22"/>
        </w:rPr>
        <w:t>para cumplir con es</w:t>
      </w:r>
      <w:r w:rsidRPr="00060053">
        <w:rPr>
          <w:rFonts w:asciiTheme="majorHAnsi" w:hAnsiTheme="majorHAnsi" w:cs="Arial"/>
          <w:sz w:val="22"/>
          <w:szCs w:val="22"/>
        </w:rPr>
        <w:t xml:space="preserve">a tarea, la </w:t>
      </w:r>
      <w:r w:rsidR="00D277D9">
        <w:rPr>
          <w:rFonts w:asciiTheme="majorHAnsi" w:hAnsiTheme="majorHAnsi" w:cs="Arial"/>
          <w:sz w:val="22"/>
          <w:szCs w:val="22"/>
        </w:rPr>
        <w:t>SUPEN</w:t>
      </w:r>
      <w:r w:rsidRPr="00060053">
        <w:rPr>
          <w:rFonts w:asciiTheme="majorHAnsi" w:hAnsiTheme="majorHAnsi" w:cs="Arial"/>
          <w:sz w:val="22"/>
          <w:szCs w:val="22"/>
        </w:rPr>
        <w:t xml:space="preserve"> estableció </w:t>
      </w:r>
      <w:r w:rsidR="008D71BC">
        <w:rPr>
          <w:rFonts w:asciiTheme="majorHAnsi" w:hAnsiTheme="majorHAnsi" w:cs="Arial"/>
          <w:sz w:val="22"/>
          <w:szCs w:val="22"/>
        </w:rPr>
        <w:t>tres</w:t>
      </w:r>
      <w:r w:rsidRPr="00060053">
        <w:rPr>
          <w:rFonts w:asciiTheme="majorHAnsi" w:hAnsiTheme="majorHAnsi" w:cs="Arial"/>
          <w:sz w:val="22"/>
          <w:szCs w:val="22"/>
        </w:rPr>
        <w:t xml:space="preserve"> diferentes ejes en los cuales concentra su accionar:</w:t>
      </w:r>
    </w:p>
    <w:p w14:paraId="06A94807" w14:textId="77777777" w:rsidR="009B142B" w:rsidRPr="00060053" w:rsidRDefault="009B142B" w:rsidP="009B142B">
      <w:pPr>
        <w:ind w:left="540"/>
        <w:jc w:val="both"/>
        <w:rPr>
          <w:rFonts w:asciiTheme="majorHAnsi" w:hAnsiTheme="majorHAnsi" w:cs="Arial"/>
          <w:sz w:val="22"/>
          <w:szCs w:val="22"/>
        </w:rPr>
      </w:pPr>
    </w:p>
    <w:p w14:paraId="06A94808" w14:textId="00F94D22" w:rsidR="009B142B" w:rsidRPr="008D71BC" w:rsidRDefault="009B142B" w:rsidP="009B142B">
      <w:pPr>
        <w:tabs>
          <w:tab w:val="left" w:pos="851"/>
        </w:tabs>
        <w:ind w:left="1985" w:hanging="1445"/>
        <w:jc w:val="both"/>
        <w:rPr>
          <w:rFonts w:asciiTheme="majorHAnsi" w:hAnsiTheme="majorHAnsi" w:cs="Arial"/>
          <w:sz w:val="22"/>
          <w:szCs w:val="22"/>
        </w:rPr>
      </w:pPr>
      <w:r w:rsidRPr="008D71BC">
        <w:rPr>
          <w:rFonts w:asciiTheme="majorHAnsi" w:hAnsiTheme="majorHAnsi" w:cs="Arial"/>
          <w:sz w:val="22"/>
          <w:szCs w:val="22"/>
        </w:rPr>
        <w:t>•</w:t>
      </w:r>
      <w:r w:rsidRPr="008D71BC">
        <w:rPr>
          <w:rFonts w:asciiTheme="majorHAnsi" w:hAnsiTheme="majorHAnsi" w:cs="Arial"/>
          <w:sz w:val="22"/>
          <w:szCs w:val="22"/>
        </w:rPr>
        <w:tab/>
      </w:r>
      <w:r w:rsidRPr="008D71BC">
        <w:rPr>
          <w:rFonts w:asciiTheme="majorHAnsi" w:hAnsiTheme="majorHAnsi" w:cs="Arial"/>
          <w:b/>
          <w:i/>
          <w:sz w:val="22"/>
          <w:szCs w:val="22"/>
        </w:rPr>
        <w:t>Modelo de Supervisión</w:t>
      </w:r>
      <w:r w:rsidRPr="008D71BC">
        <w:rPr>
          <w:rFonts w:asciiTheme="majorHAnsi" w:hAnsiTheme="majorHAnsi" w:cs="Arial"/>
          <w:sz w:val="22"/>
          <w:szCs w:val="22"/>
        </w:rPr>
        <w:t xml:space="preserve">: Es necesario que el enfoque de la supervisión se </w:t>
      </w:r>
      <w:r w:rsidR="008D71BC">
        <w:rPr>
          <w:rFonts w:asciiTheme="majorHAnsi" w:hAnsiTheme="majorHAnsi" w:cs="Arial"/>
          <w:sz w:val="22"/>
          <w:szCs w:val="22"/>
        </w:rPr>
        <w:t>oriente</w:t>
      </w:r>
      <w:r w:rsidRPr="008D71BC">
        <w:rPr>
          <w:rFonts w:asciiTheme="majorHAnsi" w:hAnsiTheme="majorHAnsi" w:cs="Arial"/>
          <w:sz w:val="22"/>
          <w:szCs w:val="22"/>
        </w:rPr>
        <w:t xml:space="preserve"> a identificar los principales riesgos a los cuales se enfrentan las instituciones supervisadas y los fondos administrados, a</w:t>
      </w:r>
      <w:r w:rsidR="00CA36C9">
        <w:rPr>
          <w:rFonts w:asciiTheme="majorHAnsi" w:hAnsiTheme="majorHAnsi" w:cs="Arial"/>
          <w:sz w:val="22"/>
          <w:szCs w:val="22"/>
        </w:rPr>
        <w:t>segurando que estos riesgos esté</w:t>
      </w:r>
      <w:r w:rsidRPr="008D71BC">
        <w:rPr>
          <w:rFonts w:asciiTheme="majorHAnsi" w:hAnsiTheme="majorHAnsi" w:cs="Arial"/>
          <w:sz w:val="22"/>
          <w:szCs w:val="22"/>
        </w:rPr>
        <w:t>n adecuadamente medidos, gestionad</w:t>
      </w:r>
      <w:r w:rsidR="00CA36C9">
        <w:rPr>
          <w:rFonts w:asciiTheme="majorHAnsi" w:hAnsiTheme="majorHAnsi" w:cs="Arial"/>
          <w:sz w:val="22"/>
          <w:szCs w:val="22"/>
        </w:rPr>
        <w:t>os y evaluados. En ese sentido,</w:t>
      </w:r>
      <w:r w:rsidR="00415A07" w:rsidRPr="008D71BC">
        <w:rPr>
          <w:rFonts w:asciiTheme="majorHAnsi" w:hAnsiTheme="majorHAnsi" w:cs="Arial"/>
          <w:sz w:val="22"/>
          <w:szCs w:val="22"/>
        </w:rPr>
        <w:t xml:space="preserve"> se está en el proceso de implementar un nuevo modelo</w:t>
      </w:r>
      <w:r w:rsidRPr="008D71BC">
        <w:rPr>
          <w:rFonts w:asciiTheme="majorHAnsi" w:hAnsiTheme="majorHAnsi" w:cs="Arial"/>
          <w:sz w:val="22"/>
          <w:szCs w:val="22"/>
        </w:rPr>
        <w:t xml:space="preserve">. </w:t>
      </w:r>
    </w:p>
    <w:p w14:paraId="06A9480B" w14:textId="77777777" w:rsidR="009B142B" w:rsidRPr="00B604B9" w:rsidRDefault="009B142B" w:rsidP="008D71BC">
      <w:pPr>
        <w:tabs>
          <w:tab w:val="left" w:pos="851"/>
        </w:tabs>
        <w:jc w:val="both"/>
        <w:rPr>
          <w:rFonts w:asciiTheme="majorHAnsi" w:hAnsiTheme="majorHAnsi" w:cs="Arial"/>
          <w:sz w:val="22"/>
          <w:szCs w:val="22"/>
          <w:highlight w:val="yellow"/>
        </w:rPr>
      </w:pPr>
    </w:p>
    <w:p w14:paraId="06A9480C" w14:textId="6144F771" w:rsidR="009B142B" w:rsidRPr="00F23600" w:rsidRDefault="009B142B" w:rsidP="009B142B">
      <w:pPr>
        <w:tabs>
          <w:tab w:val="left" w:pos="851"/>
        </w:tabs>
        <w:ind w:left="1985" w:hanging="1445"/>
        <w:jc w:val="both"/>
        <w:rPr>
          <w:rFonts w:asciiTheme="majorHAnsi" w:hAnsiTheme="majorHAnsi" w:cs="Arial"/>
          <w:sz w:val="22"/>
          <w:szCs w:val="22"/>
        </w:rPr>
      </w:pPr>
      <w:r w:rsidRPr="00F23600">
        <w:rPr>
          <w:rFonts w:asciiTheme="majorHAnsi" w:hAnsiTheme="majorHAnsi" w:cs="Arial"/>
          <w:sz w:val="22"/>
          <w:szCs w:val="22"/>
        </w:rPr>
        <w:t>•</w:t>
      </w:r>
      <w:r w:rsidRPr="00F23600">
        <w:rPr>
          <w:rFonts w:asciiTheme="majorHAnsi" w:hAnsiTheme="majorHAnsi" w:cs="Arial"/>
          <w:sz w:val="22"/>
          <w:szCs w:val="22"/>
        </w:rPr>
        <w:tab/>
      </w:r>
      <w:r w:rsidRPr="00F23600">
        <w:rPr>
          <w:rFonts w:asciiTheme="majorHAnsi" w:hAnsiTheme="majorHAnsi" w:cs="Arial"/>
          <w:b/>
          <w:i/>
          <w:sz w:val="22"/>
          <w:szCs w:val="22"/>
        </w:rPr>
        <w:t>Tasa de Reemplazo y Desarrollo del Mercado de Pensiones</w:t>
      </w:r>
      <w:r w:rsidRPr="00F23600">
        <w:rPr>
          <w:rFonts w:asciiTheme="majorHAnsi" w:hAnsiTheme="majorHAnsi" w:cs="Arial"/>
          <w:sz w:val="22"/>
          <w:szCs w:val="22"/>
        </w:rPr>
        <w:t>: Los estudios realizados a nivel mundial son claros, y convergen en que los objetivos fundamentales de un sistema de pensiones debe</w:t>
      </w:r>
      <w:r w:rsidR="00A61459">
        <w:rPr>
          <w:rFonts w:asciiTheme="majorHAnsi" w:hAnsiTheme="majorHAnsi" w:cs="Arial"/>
          <w:sz w:val="22"/>
          <w:szCs w:val="22"/>
        </w:rPr>
        <w:t>n</w:t>
      </w:r>
      <w:r w:rsidRPr="00F23600">
        <w:rPr>
          <w:rFonts w:asciiTheme="majorHAnsi" w:hAnsiTheme="majorHAnsi" w:cs="Arial"/>
          <w:sz w:val="22"/>
          <w:szCs w:val="22"/>
        </w:rPr>
        <w:t xml:space="preserve"> necesariamente definir cuál tasa de reemplazo tiene como meta el sistema y a partir de esa tasa de remplazo diseñar las estrategias que logren cumplir en lograrlo.</w:t>
      </w:r>
    </w:p>
    <w:p w14:paraId="06A9480D" w14:textId="77777777" w:rsidR="009B142B" w:rsidRPr="00B604B9" w:rsidRDefault="009B142B" w:rsidP="009B142B">
      <w:pPr>
        <w:tabs>
          <w:tab w:val="left" w:pos="851"/>
        </w:tabs>
        <w:ind w:left="1985" w:hanging="1445"/>
        <w:jc w:val="both"/>
        <w:rPr>
          <w:rFonts w:asciiTheme="majorHAnsi" w:hAnsiTheme="majorHAnsi" w:cs="Arial"/>
          <w:sz w:val="22"/>
          <w:szCs w:val="22"/>
          <w:highlight w:val="yellow"/>
        </w:rPr>
      </w:pPr>
    </w:p>
    <w:p w14:paraId="06A9480E" w14:textId="2DD59CFE" w:rsidR="009B142B" w:rsidRPr="00060053" w:rsidRDefault="009B142B" w:rsidP="009B142B">
      <w:pPr>
        <w:tabs>
          <w:tab w:val="left" w:pos="851"/>
        </w:tabs>
        <w:ind w:left="1985" w:hanging="1445"/>
        <w:jc w:val="both"/>
        <w:rPr>
          <w:rFonts w:asciiTheme="majorHAnsi" w:hAnsiTheme="majorHAnsi" w:cs="Arial"/>
          <w:sz w:val="22"/>
          <w:szCs w:val="22"/>
        </w:rPr>
      </w:pPr>
      <w:r w:rsidRPr="00F23600">
        <w:rPr>
          <w:rFonts w:asciiTheme="majorHAnsi" w:hAnsiTheme="majorHAnsi" w:cs="Arial"/>
          <w:sz w:val="22"/>
          <w:szCs w:val="22"/>
        </w:rPr>
        <w:t>•</w:t>
      </w:r>
      <w:r w:rsidRPr="00F23600">
        <w:rPr>
          <w:rFonts w:asciiTheme="majorHAnsi" w:hAnsiTheme="majorHAnsi" w:cs="Arial"/>
          <w:sz w:val="22"/>
          <w:szCs w:val="22"/>
        </w:rPr>
        <w:tab/>
      </w:r>
      <w:r w:rsidRPr="00F23600">
        <w:rPr>
          <w:rFonts w:asciiTheme="majorHAnsi" w:hAnsiTheme="majorHAnsi" w:cs="Arial"/>
          <w:b/>
          <w:i/>
          <w:sz w:val="22"/>
          <w:szCs w:val="22"/>
        </w:rPr>
        <w:t>Gestión de los regímenes para fortalecer la atención al cliente</w:t>
      </w:r>
      <w:r w:rsidRPr="00F23600">
        <w:rPr>
          <w:rFonts w:asciiTheme="majorHAnsi" w:hAnsiTheme="majorHAnsi" w:cs="Arial"/>
          <w:sz w:val="22"/>
          <w:szCs w:val="22"/>
        </w:rPr>
        <w:t xml:space="preserve">: Los afiliados </w:t>
      </w:r>
      <w:r w:rsidR="00B63326" w:rsidRPr="00F23600">
        <w:rPr>
          <w:rFonts w:asciiTheme="majorHAnsi" w:hAnsiTheme="majorHAnsi" w:cs="Arial"/>
          <w:sz w:val="22"/>
          <w:szCs w:val="22"/>
        </w:rPr>
        <w:t>al</w:t>
      </w:r>
      <w:r w:rsidRPr="00F23600">
        <w:rPr>
          <w:rFonts w:asciiTheme="majorHAnsi" w:hAnsiTheme="majorHAnsi" w:cs="Arial"/>
          <w:sz w:val="22"/>
          <w:szCs w:val="22"/>
        </w:rPr>
        <w:t xml:space="preserve"> Sistema Nacional de Pensiones deben contar no solo con información suficiente, clara, concisa y oportuna sino también debe</w:t>
      </w:r>
      <w:r w:rsidR="00A61459">
        <w:rPr>
          <w:rFonts w:asciiTheme="majorHAnsi" w:hAnsiTheme="majorHAnsi" w:cs="Arial"/>
          <w:sz w:val="22"/>
          <w:szCs w:val="22"/>
        </w:rPr>
        <w:t>n</w:t>
      </w:r>
      <w:r w:rsidRPr="00F23600">
        <w:rPr>
          <w:rFonts w:asciiTheme="majorHAnsi" w:hAnsiTheme="majorHAnsi" w:cs="Arial"/>
          <w:sz w:val="22"/>
          <w:szCs w:val="22"/>
        </w:rPr>
        <w:t xml:space="preserve"> conocer sus derechos y obligaciones para asegurarse que los beneficios recibidos son los que le corresponden.</w:t>
      </w:r>
    </w:p>
    <w:p w14:paraId="5109968E" w14:textId="77777777" w:rsidR="003026C3" w:rsidRDefault="003026C3" w:rsidP="00F23600">
      <w:pPr>
        <w:jc w:val="both"/>
        <w:rPr>
          <w:rFonts w:asciiTheme="majorHAnsi" w:hAnsiTheme="majorHAnsi" w:cs="Arial"/>
          <w:sz w:val="22"/>
          <w:szCs w:val="22"/>
        </w:rPr>
      </w:pPr>
    </w:p>
    <w:p w14:paraId="50F5ED4E" w14:textId="77777777" w:rsidR="001A6E05" w:rsidRDefault="001A6E05" w:rsidP="00F23600">
      <w:pPr>
        <w:jc w:val="both"/>
        <w:rPr>
          <w:rFonts w:asciiTheme="majorHAnsi" w:hAnsiTheme="majorHAnsi" w:cs="Arial"/>
          <w:sz w:val="22"/>
          <w:szCs w:val="22"/>
        </w:rPr>
      </w:pPr>
    </w:p>
    <w:p w14:paraId="059D9AC9" w14:textId="77777777" w:rsidR="001A6E05" w:rsidRDefault="001A6E05" w:rsidP="00F23600">
      <w:pPr>
        <w:jc w:val="both"/>
        <w:rPr>
          <w:rFonts w:asciiTheme="majorHAnsi" w:hAnsiTheme="majorHAnsi" w:cs="Arial"/>
          <w:sz w:val="22"/>
          <w:szCs w:val="22"/>
        </w:rPr>
      </w:pPr>
    </w:p>
    <w:p w14:paraId="0A47D582" w14:textId="77777777" w:rsidR="001A6E05" w:rsidRDefault="001A6E05" w:rsidP="00F23600">
      <w:pPr>
        <w:jc w:val="both"/>
        <w:rPr>
          <w:rFonts w:asciiTheme="majorHAnsi" w:hAnsiTheme="majorHAnsi" w:cs="Arial"/>
          <w:sz w:val="22"/>
          <w:szCs w:val="22"/>
        </w:rPr>
      </w:pPr>
    </w:p>
    <w:p w14:paraId="06A94810" w14:textId="5D90BEDA" w:rsidR="000E79AF" w:rsidRDefault="000E79AF" w:rsidP="000E79AF">
      <w:pPr>
        <w:widowControl w:val="0"/>
        <w:ind w:left="567"/>
        <w:rPr>
          <w:rFonts w:asciiTheme="majorHAnsi" w:hAnsiTheme="majorHAnsi"/>
          <w:b/>
          <w:bCs/>
          <w:sz w:val="22"/>
          <w:szCs w:val="22"/>
          <w:lang w:val="es-ES_tradnl"/>
        </w:rPr>
      </w:pPr>
      <w:r w:rsidRPr="00060053">
        <w:rPr>
          <w:rFonts w:asciiTheme="majorHAnsi" w:hAnsiTheme="majorHAnsi"/>
          <w:b/>
          <w:bCs/>
          <w:sz w:val="22"/>
          <w:szCs w:val="22"/>
          <w:lang w:val="es-ES_tradnl"/>
        </w:rPr>
        <w:t>Clientes</w:t>
      </w:r>
    </w:p>
    <w:p w14:paraId="14F68917" w14:textId="77777777" w:rsidR="001A6E05" w:rsidRPr="00060053" w:rsidRDefault="001A6E05" w:rsidP="000E79AF">
      <w:pPr>
        <w:widowControl w:val="0"/>
        <w:ind w:left="567"/>
        <w:rPr>
          <w:rFonts w:asciiTheme="majorHAnsi" w:hAnsiTheme="majorHAnsi"/>
          <w:b/>
          <w:bCs/>
          <w:sz w:val="22"/>
          <w:szCs w:val="22"/>
          <w:lang w:val="es-ES_tradnl"/>
        </w:rPr>
      </w:pPr>
    </w:p>
    <w:p w14:paraId="06A94811" w14:textId="77777777" w:rsidR="000E79AF" w:rsidRPr="00060053" w:rsidRDefault="000E79AF" w:rsidP="00DA5C23">
      <w:pPr>
        <w:widowControl w:val="0"/>
        <w:numPr>
          <w:ilvl w:val="0"/>
          <w:numId w:val="1"/>
        </w:numPr>
        <w:tabs>
          <w:tab w:val="clear" w:pos="1134"/>
          <w:tab w:val="num" w:pos="2127"/>
        </w:tabs>
        <w:ind w:left="2127" w:hanging="1560"/>
        <w:jc w:val="both"/>
        <w:rPr>
          <w:rFonts w:asciiTheme="majorHAnsi" w:hAnsiTheme="majorHAnsi"/>
          <w:sz w:val="22"/>
          <w:szCs w:val="22"/>
          <w:lang w:val="es-ES_tradnl"/>
        </w:rPr>
      </w:pPr>
      <w:r w:rsidRPr="00060053">
        <w:rPr>
          <w:rFonts w:asciiTheme="majorHAnsi" w:hAnsiTheme="majorHAnsi"/>
          <w:sz w:val="22"/>
          <w:szCs w:val="22"/>
          <w:lang w:val="es-ES_tradnl"/>
        </w:rPr>
        <w:t>Afiliados</w:t>
      </w:r>
    </w:p>
    <w:p w14:paraId="06A94812" w14:textId="77777777" w:rsidR="000E79AF" w:rsidRPr="00060053" w:rsidRDefault="000E79AF" w:rsidP="00DA5C23">
      <w:pPr>
        <w:widowControl w:val="0"/>
        <w:numPr>
          <w:ilvl w:val="0"/>
          <w:numId w:val="1"/>
        </w:numPr>
        <w:tabs>
          <w:tab w:val="clear" w:pos="1134"/>
          <w:tab w:val="num" w:pos="2127"/>
        </w:tabs>
        <w:ind w:left="2127" w:hanging="1560"/>
        <w:jc w:val="both"/>
        <w:rPr>
          <w:rFonts w:asciiTheme="majorHAnsi" w:hAnsiTheme="majorHAnsi"/>
          <w:sz w:val="22"/>
          <w:szCs w:val="22"/>
          <w:lang w:val="es-ES_tradnl"/>
        </w:rPr>
      </w:pPr>
      <w:r w:rsidRPr="00060053">
        <w:rPr>
          <w:rFonts w:asciiTheme="majorHAnsi" w:hAnsiTheme="majorHAnsi"/>
          <w:sz w:val="22"/>
          <w:szCs w:val="22"/>
          <w:lang w:val="es-ES_tradnl"/>
        </w:rPr>
        <w:t>Beneficiarios</w:t>
      </w:r>
    </w:p>
    <w:p w14:paraId="06A94813" w14:textId="77777777" w:rsidR="000E79AF" w:rsidRPr="00060053" w:rsidRDefault="000E79AF" w:rsidP="00DA5C23">
      <w:pPr>
        <w:widowControl w:val="0"/>
        <w:numPr>
          <w:ilvl w:val="0"/>
          <w:numId w:val="1"/>
        </w:numPr>
        <w:tabs>
          <w:tab w:val="clear" w:pos="1134"/>
          <w:tab w:val="num" w:pos="2127"/>
        </w:tabs>
        <w:ind w:left="2127" w:hanging="1560"/>
        <w:jc w:val="both"/>
        <w:rPr>
          <w:rFonts w:asciiTheme="majorHAnsi" w:hAnsiTheme="majorHAnsi"/>
          <w:sz w:val="22"/>
          <w:szCs w:val="22"/>
          <w:lang w:val="es-ES_tradnl"/>
        </w:rPr>
      </w:pPr>
      <w:r w:rsidRPr="00060053">
        <w:rPr>
          <w:rFonts w:asciiTheme="majorHAnsi" w:hAnsiTheme="majorHAnsi"/>
          <w:sz w:val="22"/>
          <w:szCs w:val="22"/>
          <w:lang w:val="es-ES_tradnl"/>
        </w:rPr>
        <w:t xml:space="preserve">Pensionados </w:t>
      </w:r>
    </w:p>
    <w:p w14:paraId="06A94814" w14:textId="77777777" w:rsidR="001F7F1F" w:rsidRPr="00060053" w:rsidRDefault="001F7F1F" w:rsidP="008E29AF">
      <w:pPr>
        <w:ind w:left="360"/>
        <w:rPr>
          <w:rFonts w:asciiTheme="majorHAnsi" w:hAnsiTheme="majorHAnsi"/>
          <w:sz w:val="22"/>
          <w:szCs w:val="22"/>
        </w:rPr>
      </w:pPr>
    </w:p>
    <w:p w14:paraId="06A94815" w14:textId="00D69075" w:rsidR="008E29AF" w:rsidRPr="00F72E43" w:rsidRDefault="00F72E43" w:rsidP="00F72E43">
      <w:pPr>
        <w:pStyle w:val="Ttulo2"/>
        <w:ind w:left="360"/>
        <w:rPr>
          <w:rFonts w:asciiTheme="majorHAnsi" w:hAnsiTheme="majorHAnsi"/>
          <w:sz w:val="22"/>
          <w:szCs w:val="22"/>
        </w:rPr>
      </w:pPr>
      <w:bookmarkStart w:id="5" w:name="_Toc442253205"/>
      <w:r>
        <w:rPr>
          <w:rFonts w:asciiTheme="majorHAnsi" w:hAnsiTheme="majorHAnsi"/>
          <w:sz w:val="22"/>
          <w:szCs w:val="22"/>
        </w:rPr>
        <w:t>1.2.2.</w:t>
      </w:r>
      <w:r>
        <w:rPr>
          <w:rFonts w:asciiTheme="majorHAnsi" w:hAnsiTheme="majorHAnsi"/>
          <w:sz w:val="22"/>
          <w:szCs w:val="22"/>
        </w:rPr>
        <w:tab/>
      </w:r>
      <w:r w:rsidR="008E29AF" w:rsidRPr="00F72E43">
        <w:rPr>
          <w:rFonts w:asciiTheme="majorHAnsi" w:hAnsiTheme="majorHAnsi"/>
          <w:sz w:val="22"/>
          <w:szCs w:val="22"/>
        </w:rPr>
        <w:t>Panorama Institucional</w:t>
      </w:r>
      <w:bookmarkEnd w:id="5"/>
    </w:p>
    <w:p w14:paraId="06A94816" w14:textId="77777777" w:rsidR="0030723E" w:rsidRPr="00060053" w:rsidRDefault="0030723E" w:rsidP="0030723E">
      <w:pPr>
        <w:ind w:left="360"/>
        <w:rPr>
          <w:rFonts w:asciiTheme="majorHAnsi" w:hAnsiTheme="majorHAnsi"/>
          <w:b/>
          <w:sz w:val="22"/>
          <w:szCs w:val="22"/>
        </w:rPr>
      </w:pPr>
    </w:p>
    <w:p w14:paraId="45F74FEF" w14:textId="77777777" w:rsidR="000A6BBA" w:rsidRPr="005F2CD8" w:rsidRDefault="000A6BBA" w:rsidP="000A6BBA">
      <w:pPr>
        <w:ind w:left="1134"/>
        <w:rPr>
          <w:rFonts w:ascii="Cambria" w:hAnsi="Cambria"/>
          <w:b/>
          <w:bCs/>
          <w:sz w:val="22"/>
          <w:szCs w:val="22"/>
        </w:rPr>
      </w:pPr>
      <w:r w:rsidRPr="005F2CD8">
        <w:rPr>
          <w:rFonts w:ascii="Cambria" w:hAnsi="Cambria"/>
          <w:b/>
          <w:bCs/>
          <w:sz w:val="22"/>
          <w:szCs w:val="22"/>
        </w:rPr>
        <w:t>Marco Jurídico Institucional</w:t>
      </w:r>
    </w:p>
    <w:p w14:paraId="3BC25BA4" w14:textId="77777777" w:rsidR="000A6BBA" w:rsidRPr="005F2CD8" w:rsidRDefault="000A6BBA" w:rsidP="000A6BBA">
      <w:pPr>
        <w:pStyle w:val="Textoindependiente"/>
        <w:ind w:left="360"/>
        <w:jc w:val="both"/>
        <w:rPr>
          <w:rFonts w:ascii="Cambria" w:hAnsi="Cambria"/>
          <w:color w:val="auto"/>
          <w:sz w:val="22"/>
          <w:szCs w:val="22"/>
          <w:lang w:val="es-ES_tradnl"/>
        </w:rPr>
      </w:pPr>
    </w:p>
    <w:p w14:paraId="2A4277EC" w14:textId="77777777" w:rsidR="000A6BBA" w:rsidRPr="005F2CD8" w:rsidRDefault="000A6BBA" w:rsidP="000A6BBA">
      <w:pPr>
        <w:pStyle w:val="Textoindependiente"/>
        <w:spacing w:line="240" w:lineRule="auto"/>
        <w:ind w:firstLine="360"/>
        <w:jc w:val="both"/>
        <w:rPr>
          <w:rFonts w:ascii="Cambria" w:hAnsi="Cambria"/>
          <w:color w:val="auto"/>
          <w:sz w:val="22"/>
          <w:szCs w:val="22"/>
          <w:lang w:val="es-ES_tradnl"/>
        </w:rPr>
      </w:pPr>
      <w:r w:rsidRPr="005F2CD8">
        <w:rPr>
          <w:rFonts w:ascii="Cambria" w:hAnsi="Cambria"/>
          <w:color w:val="auto"/>
          <w:sz w:val="22"/>
          <w:szCs w:val="22"/>
          <w:lang w:val="es-ES_tradnl"/>
        </w:rPr>
        <w:t>El marco jurídico que rige la Institución se establece en las siguientes leyes:</w:t>
      </w:r>
    </w:p>
    <w:p w14:paraId="52FF6E4D" w14:textId="77777777" w:rsidR="000A6BBA" w:rsidRPr="005F2CD8" w:rsidRDefault="000A6BBA" w:rsidP="000A6BBA">
      <w:pPr>
        <w:pStyle w:val="Textoindependiente"/>
        <w:spacing w:line="240" w:lineRule="auto"/>
        <w:jc w:val="both"/>
        <w:rPr>
          <w:rFonts w:ascii="Cambria" w:hAnsi="Cambria"/>
          <w:color w:val="auto"/>
          <w:sz w:val="22"/>
          <w:szCs w:val="22"/>
          <w:lang w:val="es-ES_tradnl"/>
        </w:rPr>
      </w:pPr>
    </w:p>
    <w:p w14:paraId="2C376A73" w14:textId="77777777" w:rsidR="000A6BBA" w:rsidRPr="005F2CD8" w:rsidRDefault="000A6BBA" w:rsidP="00C914CA">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Ley 7523, Ley del Régimen Privado de Pensiones Complementarias y sus reformas.</w:t>
      </w:r>
    </w:p>
    <w:p w14:paraId="64FB7586" w14:textId="77777777" w:rsidR="000A6BBA" w:rsidRPr="005F2CD8" w:rsidRDefault="000A6BBA" w:rsidP="00C914CA">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Ley 7983, Ley de Protección al Trabajador.</w:t>
      </w:r>
    </w:p>
    <w:p w14:paraId="1B6E2FAA" w14:textId="77777777" w:rsidR="00BD2C6A" w:rsidRPr="00BD2C6A" w:rsidRDefault="000A6BBA" w:rsidP="00BD2C6A">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mbria" w:hAnsi="Cambria"/>
          <w:color w:val="auto"/>
          <w:sz w:val="22"/>
          <w:szCs w:val="22"/>
          <w:lang w:val="es-ES_tradnl"/>
        </w:rPr>
      </w:pPr>
      <w:r w:rsidRPr="00BD2C6A">
        <w:rPr>
          <w:rFonts w:ascii="Cambria" w:hAnsi="Cambria"/>
          <w:color w:val="auto"/>
          <w:sz w:val="22"/>
          <w:szCs w:val="22"/>
          <w:lang w:val="es-ES_tradnl"/>
        </w:rPr>
        <w:t>Ley 7732, Ley Reguladora del Mercado de Valores.</w:t>
      </w:r>
      <w:r w:rsidR="00BD2C6A" w:rsidRPr="00BD2C6A">
        <w:rPr>
          <w:rFonts w:ascii="Cambria" w:hAnsi="Cambria"/>
          <w:color w:val="auto"/>
          <w:sz w:val="22"/>
          <w:szCs w:val="22"/>
          <w:lang w:val="es-ES_tradnl"/>
        </w:rPr>
        <w:t xml:space="preserve"> </w:t>
      </w:r>
    </w:p>
    <w:p w14:paraId="776A9260" w14:textId="6D2752D0" w:rsidR="00BD2C6A" w:rsidRPr="00BD2C6A" w:rsidRDefault="00BD2C6A" w:rsidP="00BD2C6A">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mbria" w:hAnsi="Cambria"/>
          <w:color w:val="auto"/>
          <w:sz w:val="22"/>
          <w:szCs w:val="22"/>
          <w:lang w:val="es-ES_tradnl"/>
        </w:rPr>
      </w:pPr>
      <w:r w:rsidRPr="00BD2C6A">
        <w:rPr>
          <w:rFonts w:ascii="Cambria" w:hAnsi="Cambria"/>
          <w:color w:val="auto"/>
          <w:sz w:val="22"/>
          <w:szCs w:val="22"/>
          <w:lang w:val="es-ES_tradnl"/>
        </w:rPr>
        <w:t xml:space="preserve">Ley 8343, Ley de Contingencia Fiscal. </w:t>
      </w:r>
    </w:p>
    <w:p w14:paraId="140A09AE" w14:textId="77777777" w:rsidR="000A6BBA" w:rsidRPr="005F2CD8" w:rsidRDefault="000A6BBA" w:rsidP="00BD2C6A">
      <w:pPr>
        <w:pStyle w:val="Textoindependiente"/>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jc w:val="both"/>
        <w:textAlignment w:val="auto"/>
        <w:rPr>
          <w:rFonts w:ascii="Cambria" w:hAnsi="Cambria"/>
          <w:color w:val="auto"/>
          <w:sz w:val="22"/>
          <w:szCs w:val="22"/>
          <w:lang w:val="es-ES_tradnl"/>
        </w:rPr>
      </w:pPr>
    </w:p>
    <w:p w14:paraId="169CDFCD" w14:textId="68C0C95A" w:rsidR="000A6BBA" w:rsidRPr="005F2CD8" w:rsidRDefault="000A6BBA" w:rsidP="000A6BBA">
      <w:pPr>
        <w:pStyle w:val="Textoindependiente"/>
        <w:spacing w:line="240" w:lineRule="auto"/>
        <w:jc w:val="both"/>
        <w:rPr>
          <w:rFonts w:ascii="Cambria" w:hAnsi="Cambria"/>
          <w:color w:val="auto"/>
          <w:sz w:val="22"/>
          <w:szCs w:val="22"/>
          <w:lang w:val="es-ES_tradnl"/>
        </w:rPr>
      </w:pPr>
      <w:r w:rsidRPr="005F2CD8">
        <w:rPr>
          <w:rFonts w:ascii="Cambria" w:hAnsi="Cambria"/>
          <w:color w:val="auto"/>
          <w:sz w:val="22"/>
          <w:szCs w:val="22"/>
          <w:lang w:val="es-ES_tradnl"/>
        </w:rPr>
        <w:t>La Ley del Régimen Privado de Pensiones Comp</w:t>
      </w:r>
      <w:r w:rsidR="00676859">
        <w:rPr>
          <w:rFonts w:ascii="Cambria" w:hAnsi="Cambria"/>
          <w:color w:val="auto"/>
          <w:sz w:val="22"/>
          <w:szCs w:val="22"/>
          <w:lang w:val="es-ES_tradnl"/>
        </w:rPr>
        <w:t>lementarias y sus reformas, N°</w:t>
      </w:r>
      <w:r w:rsidRPr="005F2CD8">
        <w:rPr>
          <w:rFonts w:ascii="Cambria" w:hAnsi="Cambria"/>
          <w:color w:val="auto"/>
          <w:sz w:val="22"/>
          <w:szCs w:val="22"/>
          <w:lang w:val="es-ES_tradnl"/>
        </w:rPr>
        <w:t xml:space="preserve">7523 publicada en el Diario </w:t>
      </w:r>
      <w:r w:rsidRPr="009212EF">
        <w:rPr>
          <w:rFonts w:ascii="Cambria" w:hAnsi="Cambria"/>
          <w:color w:val="auto"/>
          <w:sz w:val="22"/>
          <w:szCs w:val="22"/>
          <w:lang w:val="es-ES_tradnl"/>
        </w:rPr>
        <w:t xml:space="preserve">Oficial </w:t>
      </w:r>
      <w:r w:rsidR="009212EF">
        <w:rPr>
          <w:rFonts w:ascii="Cambria" w:hAnsi="Cambria"/>
          <w:color w:val="auto"/>
          <w:sz w:val="22"/>
          <w:szCs w:val="22"/>
          <w:lang w:val="es-ES_tradnl"/>
        </w:rPr>
        <w:t>La Gaceta</w:t>
      </w:r>
      <w:r w:rsidRPr="009212EF">
        <w:rPr>
          <w:rFonts w:ascii="Cambria" w:hAnsi="Cambria"/>
          <w:color w:val="auto"/>
          <w:sz w:val="22"/>
          <w:szCs w:val="22"/>
          <w:lang w:val="es-ES_tradnl"/>
        </w:rPr>
        <w:t xml:space="preserve"> </w:t>
      </w:r>
      <w:r w:rsidR="009212EF">
        <w:rPr>
          <w:rFonts w:ascii="Cambria" w:hAnsi="Cambria"/>
          <w:color w:val="auto"/>
          <w:sz w:val="22"/>
          <w:szCs w:val="22"/>
          <w:lang w:val="es-ES_tradnl"/>
        </w:rPr>
        <w:t>N°</w:t>
      </w:r>
      <w:r w:rsidRPr="009212EF">
        <w:rPr>
          <w:rFonts w:ascii="Cambria" w:hAnsi="Cambria"/>
          <w:color w:val="auto"/>
          <w:sz w:val="22"/>
          <w:szCs w:val="22"/>
          <w:lang w:val="es-ES_tradnl"/>
        </w:rPr>
        <w:t>156 del 18</w:t>
      </w:r>
      <w:r w:rsidRPr="005F2CD8">
        <w:rPr>
          <w:rFonts w:ascii="Cambria" w:hAnsi="Cambria"/>
          <w:color w:val="auto"/>
          <w:sz w:val="22"/>
          <w:szCs w:val="22"/>
          <w:lang w:val="es-ES_tradnl"/>
        </w:rPr>
        <w:t xml:space="preserve"> de agosto de 1995, autorizó la creación de los sistemas o planes privados de pensiones complementarias y de ahorro individual, destinados a brindar a los beneficiarios protección complementaria ante los riesgos de la vejez y muerte. Dicha ley creó la </w:t>
      </w:r>
      <w:r w:rsidRPr="005F2CD8">
        <w:rPr>
          <w:rFonts w:ascii="Cambria" w:hAnsi="Cambria"/>
          <w:b/>
          <w:bCs/>
          <w:smallCaps/>
          <w:color w:val="auto"/>
          <w:sz w:val="22"/>
          <w:szCs w:val="22"/>
          <w:lang w:val="es-ES_tradnl"/>
        </w:rPr>
        <w:t>Superintendencia de Pensiones</w:t>
      </w:r>
      <w:r w:rsidRPr="005F2CD8">
        <w:rPr>
          <w:rFonts w:ascii="Cambria" w:hAnsi="Cambria"/>
          <w:color w:val="auto"/>
          <w:sz w:val="22"/>
          <w:szCs w:val="22"/>
          <w:lang w:val="es-ES_tradnl"/>
        </w:rPr>
        <w:t xml:space="preserve">, la cual empezó a funcionar a partir de agosto de 1996. Durante los primeros cuatro años de existencia, el objetivo principal de la entidad fue la regulación y fiscalización del régimen de capitalización individual y las entidades administradoras de estos fondos, denominadas </w:t>
      </w:r>
      <w:r w:rsidR="00676859">
        <w:rPr>
          <w:rFonts w:ascii="Cambria" w:hAnsi="Cambria"/>
          <w:color w:val="auto"/>
          <w:sz w:val="22"/>
          <w:szCs w:val="22"/>
          <w:lang w:val="es-ES_tradnl"/>
        </w:rPr>
        <w:t>Operadoras de Pensiones C</w:t>
      </w:r>
      <w:r w:rsidRPr="005F2CD8">
        <w:rPr>
          <w:rFonts w:ascii="Cambria" w:hAnsi="Cambria"/>
          <w:color w:val="auto"/>
          <w:sz w:val="22"/>
          <w:szCs w:val="22"/>
          <w:lang w:val="es-ES_tradnl"/>
        </w:rPr>
        <w:t>omplementarias (OPC).</w:t>
      </w:r>
    </w:p>
    <w:p w14:paraId="1B426FDA" w14:textId="77777777" w:rsidR="000A6BBA" w:rsidRPr="005F2CD8" w:rsidRDefault="000A6BBA" w:rsidP="000A6BBA">
      <w:pPr>
        <w:pStyle w:val="Textoindependiente"/>
        <w:spacing w:line="240" w:lineRule="auto"/>
        <w:jc w:val="both"/>
        <w:rPr>
          <w:rFonts w:ascii="Cambria" w:hAnsi="Cambria"/>
          <w:color w:val="auto"/>
          <w:sz w:val="22"/>
          <w:szCs w:val="22"/>
          <w:lang w:val="es-ES_tradnl"/>
        </w:rPr>
      </w:pPr>
    </w:p>
    <w:p w14:paraId="5EC9B065" w14:textId="19E0987F" w:rsidR="000A6BBA" w:rsidRPr="005F2CD8" w:rsidRDefault="000A6BBA" w:rsidP="000A6BBA">
      <w:pPr>
        <w:pStyle w:val="Textoindependiente"/>
        <w:spacing w:line="240" w:lineRule="auto"/>
        <w:jc w:val="both"/>
        <w:rPr>
          <w:rFonts w:ascii="Cambria" w:hAnsi="Cambria"/>
          <w:color w:val="auto"/>
          <w:sz w:val="22"/>
          <w:szCs w:val="22"/>
          <w:lang w:val="es-ES_tradnl"/>
        </w:rPr>
      </w:pPr>
      <w:r w:rsidRPr="005F2CD8">
        <w:rPr>
          <w:rFonts w:ascii="Cambria" w:hAnsi="Cambria"/>
          <w:color w:val="auto"/>
          <w:sz w:val="22"/>
          <w:szCs w:val="22"/>
          <w:lang w:val="es-ES_tradnl"/>
        </w:rPr>
        <w:t>A partir de la aprobación de la Ley d</w:t>
      </w:r>
      <w:r w:rsidR="00676859">
        <w:rPr>
          <w:rFonts w:ascii="Cambria" w:hAnsi="Cambria"/>
          <w:color w:val="auto"/>
          <w:sz w:val="22"/>
          <w:szCs w:val="22"/>
          <w:lang w:val="es-ES_tradnl"/>
        </w:rPr>
        <w:t>e Protección al Trabajador,  N</w:t>
      </w:r>
      <w:r w:rsidR="009371AC">
        <w:rPr>
          <w:rFonts w:ascii="Cambria" w:hAnsi="Cambria"/>
          <w:color w:val="auto"/>
          <w:sz w:val="22"/>
          <w:szCs w:val="22"/>
          <w:lang w:val="es-ES_tradnl"/>
        </w:rPr>
        <w:t>°</w:t>
      </w:r>
      <w:r w:rsidRPr="005F2CD8">
        <w:rPr>
          <w:rFonts w:ascii="Cambria" w:hAnsi="Cambria"/>
          <w:color w:val="auto"/>
          <w:sz w:val="22"/>
          <w:szCs w:val="22"/>
          <w:lang w:val="es-ES_tradnl"/>
        </w:rPr>
        <w:t xml:space="preserve"> 7983, publicada en el Alcance</w:t>
      </w:r>
      <w:r w:rsidR="009212EF">
        <w:rPr>
          <w:rFonts w:ascii="Cambria" w:hAnsi="Cambria"/>
          <w:color w:val="auto"/>
          <w:sz w:val="22"/>
          <w:szCs w:val="22"/>
          <w:lang w:val="es-ES_tradnl"/>
        </w:rPr>
        <w:t xml:space="preserve"> N°</w:t>
      </w:r>
      <w:r w:rsidRPr="005F2CD8">
        <w:rPr>
          <w:rFonts w:ascii="Cambria" w:hAnsi="Cambria"/>
          <w:color w:val="auto"/>
          <w:sz w:val="22"/>
          <w:szCs w:val="22"/>
          <w:lang w:val="es-ES_tradnl"/>
        </w:rPr>
        <w:t xml:space="preserve">11 </w:t>
      </w:r>
      <w:r w:rsidRPr="009212EF">
        <w:rPr>
          <w:rFonts w:ascii="Cambria" w:hAnsi="Cambria"/>
          <w:color w:val="auto"/>
          <w:sz w:val="22"/>
          <w:szCs w:val="22"/>
          <w:lang w:val="es-ES_tradnl"/>
        </w:rPr>
        <w:t xml:space="preserve">a La Gaceta </w:t>
      </w:r>
      <w:r w:rsidR="009212EF">
        <w:rPr>
          <w:rFonts w:ascii="Cambria" w:hAnsi="Cambria"/>
          <w:color w:val="auto"/>
          <w:sz w:val="22"/>
          <w:szCs w:val="22"/>
          <w:lang w:val="es-ES_tradnl"/>
        </w:rPr>
        <w:t>N°</w:t>
      </w:r>
      <w:r w:rsidRPr="009212EF">
        <w:rPr>
          <w:rFonts w:ascii="Cambria" w:hAnsi="Cambria"/>
          <w:color w:val="auto"/>
          <w:sz w:val="22"/>
          <w:szCs w:val="22"/>
          <w:lang w:val="es-ES_tradnl"/>
        </w:rPr>
        <w:t>35, del</w:t>
      </w:r>
      <w:r w:rsidRPr="005F2CD8">
        <w:rPr>
          <w:rFonts w:ascii="Cambria" w:hAnsi="Cambria"/>
          <w:color w:val="auto"/>
          <w:sz w:val="22"/>
          <w:szCs w:val="22"/>
          <w:lang w:val="es-ES_tradnl"/>
        </w:rPr>
        <w:t xml:space="preserve"> 18 de febrero de 2000, el ámbito de acción de la Superintendencia varió considerablemente. Quedaron bajo la supervisión de la </w:t>
      </w:r>
      <w:r w:rsidRPr="005F2CD8">
        <w:rPr>
          <w:rFonts w:ascii="Cambria" w:hAnsi="Cambria"/>
          <w:caps/>
          <w:color w:val="auto"/>
          <w:sz w:val="22"/>
          <w:szCs w:val="22"/>
          <w:lang w:val="es-ES_tradnl"/>
        </w:rPr>
        <w:t>SUPEN</w:t>
      </w:r>
      <w:r w:rsidRPr="005F2CD8">
        <w:rPr>
          <w:rFonts w:ascii="Cambria" w:hAnsi="Cambria"/>
          <w:b/>
          <w:bCs/>
          <w:caps/>
          <w:color w:val="auto"/>
          <w:sz w:val="22"/>
          <w:szCs w:val="22"/>
          <w:lang w:val="es-ES_tradnl"/>
        </w:rPr>
        <w:t xml:space="preserve"> </w:t>
      </w:r>
      <w:r w:rsidRPr="005F2CD8">
        <w:rPr>
          <w:rFonts w:ascii="Cambria" w:hAnsi="Cambria"/>
          <w:color w:val="auto"/>
          <w:sz w:val="22"/>
          <w:szCs w:val="22"/>
          <w:lang w:val="es-ES_tradnl"/>
        </w:rPr>
        <w:t>los regímenes básicos de pensiones, tanto el Régimen de Invalidez, Vejez y Muerte de la Caja Costarricense de Seguro Social (CCSS) como los otros regímenes especiales sustitutos de éste, los otros fondos complementarios de pensiones creados por leyes especiales o convenciones colectivas y el Régimen No Contributivo de la Caja Costarricense de Seguro Social (CCSS).</w:t>
      </w:r>
    </w:p>
    <w:p w14:paraId="7A81075A" w14:textId="77777777" w:rsidR="000A6BBA" w:rsidRPr="005F2CD8" w:rsidRDefault="000A6BBA" w:rsidP="000A6BBA">
      <w:pPr>
        <w:pStyle w:val="Textoindependiente"/>
        <w:spacing w:line="240" w:lineRule="auto"/>
        <w:jc w:val="both"/>
        <w:rPr>
          <w:rFonts w:ascii="Cambria" w:hAnsi="Cambria"/>
          <w:color w:val="auto"/>
          <w:sz w:val="22"/>
          <w:szCs w:val="22"/>
          <w:lang w:val="es-ES_tradnl"/>
        </w:rPr>
      </w:pPr>
    </w:p>
    <w:p w14:paraId="430400C8" w14:textId="618B85DC" w:rsidR="000A6BBA" w:rsidRPr="005F2CD8" w:rsidRDefault="000A6BBA" w:rsidP="000A6BBA">
      <w:pPr>
        <w:pStyle w:val="Textoindependiente"/>
        <w:spacing w:line="240" w:lineRule="auto"/>
        <w:jc w:val="both"/>
        <w:rPr>
          <w:rFonts w:ascii="Cambria" w:hAnsi="Cambria"/>
          <w:color w:val="auto"/>
          <w:sz w:val="22"/>
          <w:szCs w:val="22"/>
          <w:lang w:val="es-ES_tradnl"/>
        </w:rPr>
      </w:pPr>
      <w:r w:rsidRPr="005F2CD8">
        <w:rPr>
          <w:rFonts w:ascii="Cambria" w:hAnsi="Cambria"/>
          <w:color w:val="auto"/>
          <w:sz w:val="22"/>
          <w:szCs w:val="22"/>
          <w:lang w:val="es-ES_tradnl"/>
        </w:rPr>
        <w:t xml:space="preserve">A la </w:t>
      </w:r>
      <w:r w:rsidRPr="005F2CD8">
        <w:rPr>
          <w:rFonts w:ascii="Cambria" w:hAnsi="Cambria"/>
          <w:caps/>
          <w:color w:val="auto"/>
          <w:sz w:val="22"/>
          <w:szCs w:val="22"/>
          <w:lang w:val="es-ES_tradnl"/>
        </w:rPr>
        <w:t>SUPEN</w:t>
      </w:r>
      <w:r w:rsidRPr="005F2CD8">
        <w:rPr>
          <w:rFonts w:ascii="Cambria" w:hAnsi="Cambria"/>
          <w:b/>
          <w:bCs/>
          <w:caps/>
          <w:color w:val="auto"/>
          <w:sz w:val="22"/>
          <w:szCs w:val="22"/>
          <w:lang w:val="es-ES_tradnl"/>
        </w:rPr>
        <w:t xml:space="preserve"> </w:t>
      </w:r>
      <w:r w:rsidRPr="005F2CD8">
        <w:rPr>
          <w:rFonts w:ascii="Cambria" w:hAnsi="Cambria"/>
          <w:color w:val="auto"/>
          <w:sz w:val="22"/>
          <w:szCs w:val="22"/>
          <w:lang w:val="es-ES_tradnl"/>
        </w:rPr>
        <w:t>le fue encargada la regulación y supervisión de los regímenes que creó la Ley de Protección al Trabajador, a saber el Régimen Obligatorio de Pensiones Complementarias conocido como el ROPC y los Fondos de Capitalización Laboral FCL, ambos basados en sistemas de capitalización individual. Además, la ley le asignó la obligación de velar por el otorgamiento de los beneficios a los afiliados al sistema de pensiones por parte de las entidades autorizadas, aspecto que no estaba contemplado en la legislación anterior.</w:t>
      </w:r>
    </w:p>
    <w:p w14:paraId="0B9EC084" w14:textId="77777777" w:rsidR="000A6BBA" w:rsidRPr="005F2CD8" w:rsidRDefault="000A6BBA" w:rsidP="000A6BBA">
      <w:pPr>
        <w:pStyle w:val="Textoindependiente"/>
        <w:spacing w:line="240" w:lineRule="auto"/>
        <w:jc w:val="both"/>
        <w:rPr>
          <w:rFonts w:ascii="Cambria" w:hAnsi="Cambria"/>
          <w:color w:val="auto"/>
          <w:sz w:val="22"/>
          <w:szCs w:val="22"/>
          <w:lang w:val="es-ES_tradnl"/>
        </w:rPr>
      </w:pPr>
    </w:p>
    <w:p w14:paraId="4E83B217" w14:textId="34BE3BE6" w:rsidR="00BD2C6A" w:rsidRDefault="00BD2C6A" w:rsidP="000A6BBA">
      <w:pPr>
        <w:pStyle w:val="Textoindependiente"/>
        <w:spacing w:line="240" w:lineRule="auto"/>
        <w:jc w:val="both"/>
        <w:rPr>
          <w:rFonts w:ascii="Cambria" w:hAnsi="Cambria"/>
          <w:color w:val="auto"/>
          <w:sz w:val="22"/>
          <w:szCs w:val="22"/>
          <w:lang w:val="es-ES_tradnl"/>
        </w:rPr>
      </w:pPr>
      <w:r w:rsidRPr="00BD2C6A">
        <w:rPr>
          <w:rFonts w:ascii="Cambria" w:hAnsi="Cambria"/>
          <w:color w:val="auto"/>
          <w:sz w:val="22"/>
          <w:szCs w:val="22"/>
          <w:lang w:val="es-ES_tradnl"/>
        </w:rPr>
        <w:t>La Ley Reguladora del Mercado de Valores, Ley N°7732 reformada por la Ley de Protección al Trabajador establece las potestades del Consejo Nacional de Supervisión del Sistema Financiero como órgano de dirección de la Superintendencia de Pensiones, particularmente la de aprobar las normas que resguarden la solidez financiera de los regímenes de pensiones del Poder Judicial y cualquier otro creado por ley o convención colectiva.</w:t>
      </w:r>
    </w:p>
    <w:p w14:paraId="2D5402A2" w14:textId="77777777" w:rsidR="00BD2C6A" w:rsidRDefault="00BD2C6A" w:rsidP="000A6BBA">
      <w:pPr>
        <w:pStyle w:val="Textoindependiente"/>
        <w:spacing w:line="240" w:lineRule="auto"/>
        <w:jc w:val="both"/>
        <w:rPr>
          <w:rFonts w:ascii="Cambria" w:hAnsi="Cambria"/>
          <w:color w:val="auto"/>
          <w:sz w:val="22"/>
          <w:szCs w:val="22"/>
          <w:lang w:val="es-ES_tradnl"/>
        </w:rPr>
      </w:pPr>
    </w:p>
    <w:p w14:paraId="644C42D8" w14:textId="55A96FD5" w:rsidR="000A6BBA" w:rsidRPr="005F2CD8" w:rsidRDefault="000A6BBA" w:rsidP="000A6BBA">
      <w:pPr>
        <w:pStyle w:val="Textoindependiente"/>
        <w:spacing w:line="240" w:lineRule="auto"/>
        <w:jc w:val="both"/>
        <w:rPr>
          <w:rFonts w:ascii="Cambria" w:hAnsi="Cambria"/>
          <w:color w:val="auto"/>
          <w:sz w:val="22"/>
          <w:szCs w:val="22"/>
          <w:lang w:val="es-ES_tradnl"/>
        </w:rPr>
      </w:pPr>
      <w:r w:rsidRPr="005F2CD8">
        <w:rPr>
          <w:rFonts w:ascii="Cambria" w:hAnsi="Cambria"/>
          <w:color w:val="auto"/>
          <w:sz w:val="22"/>
          <w:szCs w:val="22"/>
          <w:lang w:val="es-ES_tradnl"/>
        </w:rPr>
        <w:lastRenderedPageBreak/>
        <w:t>La Ley de Contingencia Fis</w:t>
      </w:r>
      <w:r w:rsidR="00676859">
        <w:rPr>
          <w:rFonts w:ascii="Cambria" w:hAnsi="Cambria"/>
          <w:color w:val="auto"/>
          <w:sz w:val="22"/>
          <w:szCs w:val="22"/>
          <w:lang w:val="es-ES_tradnl"/>
        </w:rPr>
        <w:t>cal, Ley N</w:t>
      </w:r>
      <w:r w:rsidRPr="005F2CD8">
        <w:rPr>
          <w:rFonts w:ascii="Cambria" w:hAnsi="Cambria"/>
          <w:color w:val="auto"/>
          <w:sz w:val="22"/>
          <w:szCs w:val="22"/>
          <w:lang w:val="es-ES_tradnl"/>
        </w:rPr>
        <w:t xml:space="preserve">°8343, publicada en el Diario Oficial </w:t>
      </w:r>
      <w:r w:rsidRPr="005F2CD8">
        <w:rPr>
          <w:rFonts w:ascii="Cambria" w:hAnsi="Cambria"/>
          <w:i/>
          <w:color w:val="auto"/>
          <w:sz w:val="22"/>
          <w:szCs w:val="22"/>
          <w:lang w:val="es-ES_tradnl"/>
        </w:rPr>
        <w:t>“La Gaceta”</w:t>
      </w:r>
      <w:r w:rsidRPr="005F2CD8">
        <w:rPr>
          <w:rFonts w:ascii="Cambria" w:hAnsi="Cambria"/>
          <w:color w:val="auto"/>
          <w:sz w:val="22"/>
          <w:szCs w:val="22"/>
          <w:lang w:val="es-ES_tradnl"/>
        </w:rPr>
        <w:t xml:space="preserve"> 250, del 27 de diciembre de 2002, modificó la Ley </w:t>
      </w:r>
      <w:r w:rsidR="00676859">
        <w:rPr>
          <w:rFonts w:ascii="Cambria" w:hAnsi="Cambria"/>
          <w:color w:val="auto"/>
          <w:sz w:val="22"/>
          <w:szCs w:val="22"/>
          <w:lang w:val="es-ES_tradnl"/>
        </w:rPr>
        <w:t>N°</w:t>
      </w:r>
      <w:r w:rsidRPr="005F2CD8">
        <w:rPr>
          <w:rFonts w:ascii="Cambria" w:hAnsi="Cambria"/>
          <w:color w:val="auto"/>
          <w:sz w:val="22"/>
          <w:szCs w:val="22"/>
          <w:lang w:val="es-ES_tradnl"/>
        </w:rPr>
        <w:t xml:space="preserve">7523, para encargar a la </w:t>
      </w:r>
      <w:r w:rsidRPr="005F2CD8">
        <w:rPr>
          <w:rFonts w:ascii="Cambria" w:hAnsi="Cambria"/>
          <w:caps/>
          <w:color w:val="auto"/>
          <w:sz w:val="22"/>
          <w:szCs w:val="22"/>
          <w:lang w:val="es-ES_tradnl"/>
        </w:rPr>
        <w:t>SUPEN</w:t>
      </w:r>
      <w:r w:rsidRPr="005F2CD8">
        <w:rPr>
          <w:rFonts w:ascii="Cambria" w:hAnsi="Cambria"/>
          <w:b/>
          <w:bCs/>
          <w:caps/>
          <w:color w:val="auto"/>
          <w:sz w:val="22"/>
          <w:szCs w:val="22"/>
          <w:lang w:val="es-ES_tradnl"/>
        </w:rPr>
        <w:t xml:space="preserve"> </w:t>
      </w:r>
      <w:r w:rsidRPr="005F2CD8">
        <w:rPr>
          <w:rFonts w:ascii="Cambria" w:hAnsi="Cambria"/>
          <w:color w:val="auto"/>
          <w:sz w:val="22"/>
          <w:szCs w:val="22"/>
          <w:lang w:val="es-ES_tradnl"/>
        </w:rPr>
        <w:t>la fiscalización y supervisión de la labor realizada por la Dirección Nacional de Pensiones del Ministerio de Trabajo y Seguridad Social, en el otorgamiento</w:t>
      </w:r>
      <w:r w:rsidR="00676859">
        <w:rPr>
          <w:rFonts w:ascii="Cambria" w:hAnsi="Cambria"/>
          <w:color w:val="auto"/>
          <w:sz w:val="22"/>
          <w:szCs w:val="22"/>
          <w:lang w:val="es-ES_tradnl"/>
        </w:rPr>
        <w:t xml:space="preserve"> de las pensiones con cargo al Presupuesto N</w:t>
      </w:r>
      <w:r w:rsidRPr="005F2CD8">
        <w:rPr>
          <w:rFonts w:ascii="Cambria" w:hAnsi="Cambria"/>
          <w:color w:val="auto"/>
          <w:sz w:val="22"/>
          <w:szCs w:val="22"/>
          <w:lang w:val="es-ES_tradnl"/>
        </w:rPr>
        <w:t xml:space="preserve">acional, en relación con la legalidad y oportunidad de las resoluciones y en lo relativo a las modificaciones y revalorizaciones de las pensiones que son competencia de la mencionada Dirección. </w:t>
      </w:r>
    </w:p>
    <w:p w14:paraId="5CAD4FD4" w14:textId="77777777" w:rsidR="000A6BBA" w:rsidRPr="005F2CD8" w:rsidRDefault="000A6BBA" w:rsidP="000A6BBA">
      <w:pPr>
        <w:pStyle w:val="Textoindependiente"/>
        <w:spacing w:line="240" w:lineRule="auto"/>
        <w:jc w:val="both"/>
        <w:rPr>
          <w:rFonts w:ascii="Cambria" w:hAnsi="Cambria"/>
          <w:color w:val="auto"/>
          <w:sz w:val="22"/>
          <w:szCs w:val="22"/>
          <w:lang w:val="es-ES_tradnl"/>
        </w:rPr>
      </w:pPr>
    </w:p>
    <w:p w14:paraId="2518A482" w14:textId="77777777" w:rsidR="009371AC" w:rsidRPr="005F2CD8" w:rsidRDefault="009371AC" w:rsidP="000A6BBA">
      <w:pPr>
        <w:pStyle w:val="Textoindependiente"/>
        <w:spacing w:line="240" w:lineRule="auto"/>
        <w:jc w:val="both"/>
        <w:rPr>
          <w:rFonts w:ascii="Cambria" w:hAnsi="Cambria"/>
          <w:color w:val="auto"/>
          <w:sz w:val="22"/>
          <w:szCs w:val="22"/>
          <w:lang w:val="es-ES_tradnl"/>
        </w:rPr>
      </w:pPr>
    </w:p>
    <w:p w14:paraId="336D5F1C" w14:textId="77777777" w:rsidR="000A6BBA" w:rsidRPr="005F2CD8" w:rsidRDefault="000A6BBA" w:rsidP="000A6BBA">
      <w:pPr>
        <w:rPr>
          <w:rFonts w:ascii="Cambria" w:hAnsi="Cambria"/>
          <w:b/>
          <w:bCs/>
          <w:smallCaps/>
          <w:sz w:val="22"/>
          <w:szCs w:val="22"/>
        </w:rPr>
      </w:pPr>
      <w:r w:rsidRPr="005F2CD8">
        <w:rPr>
          <w:rFonts w:ascii="Cambria" w:hAnsi="Cambria"/>
          <w:b/>
          <w:bCs/>
          <w:smallCaps/>
          <w:sz w:val="22"/>
          <w:szCs w:val="22"/>
        </w:rPr>
        <w:t>Leyes de los Regímenes de Pensiones Complementarias</w:t>
      </w:r>
    </w:p>
    <w:p w14:paraId="05E68174" w14:textId="77777777" w:rsidR="000A6BBA" w:rsidRPr="005F2CD8" w:rsidRDefault="000A6BBA" w:rsidP="000A6BBA">
      <w:pPr>
        <w:autoSpaceDE w:val="0"/>
        <w:autoSpaceDN w:val="0"/>
        <w:ind w:left="567"/>
        <w:jc w:val="both"/>
        <w:rPr>
          <w:rFonts w:ascii="Cambria" w:hAnsi="Cambria"/>
          <w:sz w:val="22"/>
          <w:szCs w:val="22"/>
        </w:rPr>
      </w:pPr>
    </w:p>
    <w:p w14:paraId="7700EF2B" w14:textId="37BBF8DE"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Ley del Régimen Privado de Pensiones Complementarias y sus reforma</w:t>
      </w:r>
      <w:r w:rsidR="00676859">
        <w:rPr>
          <w:rFonts w:ascii="Cambria" w:hAnsi="Cambria"/>
          <w:color w:val="auto"/>
          <w:sz w:val="22"/>
          <w:szCs w:val="22"/>
          <w:lang w:val="es-ES_tradnl"/>
        </w:rPr>
        <w:t>s, N</w:t>
      </w:r>
      <w:r w:rsidR="009371AC">
        <w:rPr>
          <w:rFonts w:ascii="Cambria" w:hAnsi="Cambria"/>
          <w:color w:val="auto"/>
          <w:sz w:val="22"/>
          <w:szCs w:val="22"/>
          <w:lang w:val="es-ES_tradnl"/>
        </w:rPr>
        <w:t xml:space="preserve">° </w:t>
      </w:r>
      <w:r w:rsidRPr="005F2CD8">
        <w:rPr>
          <w:rFonts w:ascii="Cambria" w:hAnsi="Cambria"/>
          <w:color w:val="auto"/>
          <w:sz w:val="22"/>
          <w:szCs w:val="22"/>
          <w:lang w:val="es-ES_tradnl"/>
        </w:rPr>
        <w:t>7523.</w:t>
      </w:r>
    </w:p>
    <w:p w14:paraId="79E42F04" w14:textId="63B76E71"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 xml:space="preserve">Ley </w:t>
      </w:r>
      <w:r w:rsidR="00676859">
        <w:rPr>
          <w:rFonts w:ascii="Cambria" w:hAnsi="Cambria"/>
          <w:color w:val="auto"/>
          <w:sz w:val="22"/>
          <w:szCs w:val="22"/>
          <w:lang w:val="es-ES_tradnl"/>
        </w:rPr>
        <w:t>de Protección al Trabajador, N</w:t>
      </w:r>
      <w:r w:rsidR="009371AC">
        <w:rPr>
          <w:rFonts w:ascii="Cambria" w:hAnsi="Cambria"/>
          <w:color w:val="auto"/>
          <w:sz w:val="22"/>
          <w:szCs w:val="22"/>
          <w:lang w:val="es-ES_tradnl"/>
        </w:rPr>
        <w:t xml:space="preserve">° </w:t>
      </w:r>
      <w:r w:rsidRPr="005F2CD8">
        <w:rPr>
          <w:rFonts w:ascii="Cambria" w:hAnsi="Cambria"/>
          <w:color w:val="auto"/>
          <w:sz w:val="22"/>
          <w:szCs w:val="22"/>
          <w:lang w:val="es-ES_tradnl"/>
        </w:rPr>
        <w:t>7983.</w:t>
      </w:r>
    </w:p>
    <w:p w14:paraId="41ECA9F5" w14:textId="77777777" w:rsidR="000A6BBA" w:rsidRDefault="000A6BBA" w:rsidP="000A6BBA">
      <w:pPr>
        <w:autoSpaceDE w:val="0"/>
        <w:autoSpaceDN w:val="0"/>
        <w:ind w:left="567"/>
        <w:jc w:val="both"/>
        <w:rPr>
          <w:rFonts w:ascii="Cambria" w:hAnsi="Cambria"/>
          <w:sz w:val="22"/>
          <w:szCs w:val="22"/>
        </w:rPr>
      </w:pPr>
    </w:p>
    <w:p w14:paraId="72EC1708" w14:textId="77777777" w:rsidR="009371AC" w:rsidRPr="005F2CD8" w:rsidRDefault="009371AC" w:rsidP="000A6BBA">
      <w:pPr>
        <w:autoSpaceDE w:val="0"/>
        <w:autoSpaceDN w:val="0"/>
        <w:ind w:left="567"/>
        <w:jc w:val="both"/>
        <w:rPr>
          <w:rFonts w:ascii="Cambria" w:hAnsi="Cambria"/>
          <w:sz w:val="22"/>
          <w:szCs w:val="22"/>
        </w:rPr>
      </w:pPr>
    </w:p>
    <w:p w14:paraId="2F40FF6F" w14:textId="77777777" w:rsidR="000A6BBA" w:rsidRPr="005F2CD8" w:rsidRDefault="000A6BBA" w:rsidP="000A6BBA">
      <w:pPr>
        <w:rPr>
          <w:rFonts w:ascii="Cambria" w:hAnsi="Cambria"/>
          <w:b/>
          <w:bCs/>
          <w:smallCaps/>
          <w:sz w:val="22"/>
          <w:szCs w:val="22"/>
        </w:rPr>
      </w:pPr>
      <w:r w:rsidRPr="005F2CD8">
        <w:rPr>
          <w:rFonts w:ascii="Cambria" w:hAnsi="Cambria"/>
          <w:b/>
          <w:bCs/>
          <w:smallCaps/>
          <w:sz w:val="22"/>
          <w:szCs w:val="22"/>
        </w:rPr>
        <w:t>Leyes de los Regímenes Básicos y Fondos Creados por Ley Especial</w:t>
      </w:r>
    </w:p>
    <w:p w14:paraId="6B942096" w14:textId="77777777" w:rsidR="000A6BBA" w:rsidRPr="005F2CD8" w:rsidRDefault="000A6BBA" w:rsidP="000A6BBA">
      <w:pPr>
        <w:autoSpaceDE w:val="0"/>
        <w:autoSpaceDN w:val="0"/>
        <w:ind w:left="567"/>
        <w:jc w:val="both"/>
        <w:rPr>
          <w:rFonts w:ascii="Cambria" w:hAnsi="Cambria"/>
          <w:sz w:val="22"/>
          <w:szCs w:val="22"/>
        </w:rPr>
      </w:pPr>
    </w:p>
    <w:p w14:paraId="2CB2FD79" w14:textId="1379298F" w:rsidR="000A6BBA" w:rsidRPr="00675AB9" w:rsidRDefault="00676859"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675AB9">
        <w:rPr>
          <w:rFonts w:ascii="Cambria" w:hAnsi="Cambria"/>
          <w:color w:val="auto"/>
          <w:sz w:val="22"/>
          <w:szCs w:val="22"/>
          <w:lang w:val="es-ES_tradnl"/>
        </w:rPr>
        <w:t xml:space="preserve">Ley Orgánica del Sistema Bancario Nacional, </w:t>
      </w:r>
      <w:r w:rsidR="00BF3FFA" w:rsidRPr="00675AB9">
        <w:rPr>
          <w:rFonts w:ascii="Cambria" w:hAnsi="Cambria"/>
          <w:color w:val="auto"/>
          <w:sz w:val="22"/>
          <w:szCs w:val="22"/>
          <w:lang w:val="es-ES_tradnl"/>
        </w:rPr>
        <w:t xml:space="preserve">N°1655, </w:t>
      </w:r>
      <w:r w:rsidRPr="00675AB9">
        <w:rPr>
          <w:rFonts w:ascii="Cambria" w:hAnsi="Cambria"/>
          <w:color w:val="auto"/>
          <w:sz w:val="22"/>
          <w:szCs w:val="22"/>
          <w:lang w:val="es-ES_tradnl"/>
        </w:rPr>
        <w:t>Artículo 55</w:t>
      </w:r>
      <w:r w:rsidR="000A6BBA" w:rsidRPr="00675AB9">
        <w:rPr>
          <w:rFonts w:ascii="Cambria" w:hAnsi="Cambria"/>
          <w:color w:val="auto"/>
          <w:sz w:val="22"/>
          <w:szCs w:val="22"/>
          <w:lang w:val="es-ES_tradnl"/>
        </w:rPr>
        <w:t>.</w:t>
      </w:r>
    </w:p>
    <w:p w14:paraId="69B2E2D8" w14:textId="3D199F22" w:rsidR="000A6BBA" w:rsidRPr="005F2CD8" w:rsidRDefault="00676859"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Pr>
          <w:rFonts w:ascii="Cambria" w:hAnsi="Cambria"/>
          <w:color w:val="auto"/>
          <w:sz w:val="22"/>
          <w:szCs w:val="22"/>
          <w:lang w:val="es-ES_tradnl"/>
        </w:rPr>
        <w:t>Código Notarial, N°</w:t>
      </w:r>
      <w:r w:rsidR="000A6BBA" w:rsidRPr="005F2CD8">
        <w:rPr>
          <w:rFonts w:ascii="Cambria" w:hAnsi="Cambria"/>
          <w:color w:val="auto"/>
          <w:sz w:val="22"/>
          <w:szCs w:val="22"/>
          <w:lang w:val="es-ES_tradnl"/>
        </w:rPr>
        <w:t>7764.</w:t>
      </w:r>
    </w:p>
    <w:p w14:paraId="0EB57B26" w14:textId="4778C9A4" w:rsidR="000A6BBA" w:rsidRPr="005F2CD8" w:rsidRDefault="00676859"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Pr>
          <w:rFonts w:ascii="Cambria" w:hAnsi="Cambria"/>
          <w:color w:val="auto"/>
          <w:sz w:val="22"/>
          <w:szCs w:val="22"/>
          <w:lang w:val="es-ES_tradnl"/>
        </w:rPr>
        <w:t>Ley de Creación de la CCSS, N</w:t>
      </w:r>
      <w:r w:rsidR="009371AC">
        <w:rPr>
          <w:rFonts w:ascii="Cambria" w:hAnsi="Cambria"/>
          <w:color w:val="auto"/>
          <w:sz w:val="22"/>
          <w:szCs w:val="22"/>
          <w:lang w:val="es-ES_tradnl"/>
        </w:rPr>
        <w:t xml:space="preserve">° </w:t>
      </w:r>
      <w:r w:rsidR="000A6BBA" w:rsidRPr="005F2CD8">
        <w:rPr>
          <w:rFonts w:ascii="Cambria" w:hAnsi="Cambria"/>
          <w:color w:val="auto"/>
          <w:sz w:val="22"/>
          <w:szCs w:val="22"/>
          <w:lang w:val="es-ES_tradnl"/>
        </w:rPr>
        <w:t>17.</w:t>
      </w:r>
    </w:p>
    <w:p w14:paraId="63420BE3" w14:textId="1EFA6AFE"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Ley de Crea</w:t>
      </w:r>
      <w:r w:rsidR="00676859">
        <w:rPr>
          <w:rFonts w:ascii="Cambria" w:hAnsi="Cambria"/>
          <w:color w:val="auto"/>
          <w:sz w:val="22"/>
          <w:szCs w:val="22"/>
          <w:lang w:val="es-ES_tradnl"/>
        </w:rPr>
        <w:t>ción del Fondo del ICE, N°</w:t>
      </w:r>
      <w:r w:rsidRPr="005F2CD8">
        <w:rPr>
          <w:rFonts w:ascii="Cambria" w:hAnsi="Cambria"/>
          <w:color w:val="auto"/>
          <w:sz w:val="22"/>
          <w:szCs w:val="22"/>
          <w:lang w:val="es-ES_tradnl"/>
        </w:rPr>
        <w:t>3625.</w:t>
      </w:r>
    </w:p>
    <w:p w14:paraId="77CEEE4F" w14:textId="50D2CCBF"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Ley de Desarrollo Social</w:t>
      </w:r>
      <w:r w:rsidR="00676859">
        <w:rPr>
          <w:rFonts w:ascii="Cambria" w:hAnsi="Cambria"/>
          <w:color w:val="auto"/>
          <w:sz w:val="22"/>
          <w:szCs w:val="22"/>
          <w:lang w:val="es-ES_tradnl"/>
        </w:rPr>
        <w:t xml:space="preserve"> y Asignaciones Familiares,  N°</w:t>
      </w:r>
      <w:r w:rsidRPr="005F2CD8">
        <w:rPr>
          <w:rFonts w:ascii="Cambria" w:hAnsi="Cambria"/>
          <w:color w:val="auto"/>
          <w:sz w:val="22"/>
          <w:szCs w:val="22"/>
          <w:lang w:val="es-ES_tradnl"/>
        </w:rPr>
        <w:t>5662.</w:t>
      </w:r>
    </w:p>
    <w:p w14:paraId="58994DA6" w14:textId="07E6E9F0" w:rsidR="000A6BBA" w:rsidRPr="00BD2C6A"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BD2C6A">
        <w:rPr>
          <w:rFonts w:ascii="Cambria" w:hAnsi="Cambria"/>
          <w:color w:val="auto"/>
          <w:sz w:val="22"/>
          <w:szCs w:val="22"/>
          <w:lang w:val="es-ES_tradnl"/>
        </w:rPr>
        <w:t>Ley de Jubilación Miembros Perm</w:t>
      </w:r>
      <w:r w:rsidR="00676859" w:rsidRPr="00BD2C6A">
        <w:rPr>
          <w:rFonts w:ascii="Cambria" w:hAnsi="Cambria"/>
          <w:color w:val="auto"/>
          <w:sz w:val="22"/>
          <w:szCs w:val="22"/>
          <w:lang w:val="es-ES_tradnl"/>
        </w:rPr>
        <w:t>anentes Cuerpo Bomberos INS, N</w:t>
      </w:r>
      <w:r w:rsidR="009371AC" w:rsidRPr="00BD2C6A">
        <w:rPr>
          <w:rFonts w:ascii="Cambria" w:hAnsi="Cambria"/>
          <w:color w:val="auto"/>
          <w:sz w:val="22"/>
          <w:szCs w:val="22"/>
          <w:lang w:val="es-ES_tradnl"/>
        </w:rPr>
        <w:t>°</w:t>
      </w:r>
      <w:r w:rsidRPr="00BD2C6A">
        <w:rPr>
          <w:rFonts w:ascii="Cambria" w:hAnsi="Cambria"/>
          <w:color w:val="auto"/>
          <w:sz w:val="22"/>
          <w:szCs w:val="22"/>
          <w:lang w:val="es-ES_tradnl"/>
        </w:rPr>
        <w:t>6170.</w:t>
      </w:r>
    </w:p>
    <w:p w14:paraId="0C44CA60" w14:textId="6B3AA3BD"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Ley de Pensiones y Jubilacio</w:t>
      </w:r>
      <w:r w:rsidR="00676859">
        <w:rPr>
          <w:rFonts w:ascii="Cambria" w:hAnsi="Cambria"/>
          <w:color w:val="auto"/>
          <w:sz w:val="22"/>
          <w:szCs w:val="22"/>
          <w:lang w:val="es-ES_tradnl"/>
        </w:rPr>
        <w:t>nes del Magisterio Nacional, N°</w:t>
      </w:r>
      <w:r w:rsidRPr="005F2CD8">
        <w:rPr>
          <w:rFonts w:ascii="Cambria" w:hAnsi="Cambria"/>
          <w:color w:val="auto"/>
          <w:sz w:val="22"/>
          <w:szCs w:val="22"/>
          <w:lang w:val="es-ES_tradnl"/>
        </w:rPr>
        <w:t>2248.</w:t>
      </w:r>
    </w:p>
    <w:p w14:paraId="46147C06" w14:textId="33AC75CF"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Ley Orgánica del I</w:t>
      </w:r>
      <w:r w:rsidR="00676859">
        <w:rPr>
          <w:rFonts w:ascii="Cambria" w:hAnsi="Cambria"/>
          <w:color w:val="auto"/>
          <w:sz w:val="22"/>
          <w:szCs w:val="22"/>
          <w:lang w:val="es-ES_tradnl"/>
        </w:rPr>
        <w:t xml:space="preserve">nstituto </w:t>
      </w:r>
      <w:r w:rsidRPr="005F2CD8">
        <w:rPr>
          <w:rFonts w:ascii="Cambria" w:hAnsi="Cambria"/>
          <w:color w:val="auto"/>
          <w:sz w:val="22"/>
          <w:szCs w:val="22"/>
          <w:lang w:val="es-ES_tradnl"/>
        </w:rPr>
        <w:t>C</w:t>
      </w:r>
      <w:r w:rsidR="00676859">
        <w:rPr>
          <w:rFonts w:ascii="Cambria" w:hAnsi="Cambria"/>
          <w:color w:val="auto"/>
          <w:sz w:val="22"/>
          <w:szCs w:val="22"/>
          <w:lang w:val="es-ES_tradnl"/>
        </w:rPr>
        <w:t xml:space="preserve">ostarricense de </w:t>
      </w:r>
      <w:r w:rsidRPr="005F2CD8">
        <w:rPr>
          <w:rFonts w:ascii="Cambria" w:hAnsi="Cambria"/>
          <w:color w:val="auto"/>
          <w:sz w:val="22"/>
          <w:szCs w:val="22"/>
          <w:lang w:val="es-ES_tradnl"/>
        </w:rPr>
        <w:t>T</w:t>
      </w:r>
      <w:r w:rsidR="00676859">
        <w:rPr>
          <w:rFonts w:ascii="Cambria" w:hAnsi="Cambria"/>
          <w:color w:val="auto"/>
          <w:sz w:val="22"/>
          <w:szCs w:val="22"/>
          <w:lang w:val="es-ES_tradnl"/>
        </w:rPr>
        <w:t>urismo</w:t>
      </w:r>
      <w:r w:rsidRPr="005F2CD8">
        <w:rPr>
          <w:rFonts w:ascii="Cambria" w:hAnsi="Cambria"/>
          <w:color w:val="auto"/>
          <w:sz w:val="22"/>
          <w:szCs w:val="22"/>
          <w:lang w:val="es-ES_tradnl"/>
        </w:rPr>
        <w:t xml:space="preserve">, </w:t>
      </w:r>
      <w:r w:rsidR="00676859">
        <w:rPr>
          <w:rFonts w:ascii="Cambria" w:hAnsi="Cambria"/>
          <w:color w:val="auto"/>
          <w:sz w:val="22"/>
          <w:szCs w:val="22"/>
          <w:lang w:val="es-ES_tradnl"/>
        </w:rPr>
        <w:t>N°</w:t>
      </w:r>
      <w:r w:rsidRPr="005F2CD8">
        <w:rPr>
          <w:rFonts w:ascii="Cambria" w:hAnsi="Cambria"/>
          <w:color w:val="auto"/>
          <w:sz w:val="22"/>
          <w:szCs w:val="22"/>
          <w:lang w:val="es-ES_tradnl"/>
        </w:rPr>
        <w:t>1917.</w:t>
      </w:r>
    </w:p>
    <w:p w14:paraId="1AE6C008" w14:textId="102F76A2" w:rsidR="000A6BBA" w:rsidRPr="005F2CD8" w:rsidRDefault="009371AC"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Pr>
          <w:rFonts w:ascii="Cambria" w:hAnsi="Cambria"/>
          <w:color w:val="auto"/>
          <w:sz w:val="22"/>
          <w:szCs w:val="22"/>
          <w:lang w:val="es-ES_tradnl"/>
        </w:rPr>
        <w:t>Ley Orgánica del I</w:t>
      </w:r>
      <w:r w:rsidR="00676859">
        <w:rPr>
          <w:rFonts w:ascii="Cambria" w:hAnsi="Cambria"/>
          <w:color w:val="auto"/>
          <w:sz w:val="22"/>
          <w:szCs w:val="22"/>
          <w:lang w:val="es-ES_tradnl"/>
        </w:rPr>
        <w:t xml:space="preserve">nstituto </w:t>
      </w:r>
      <w:r>
        <w:rPr>
          <w:rFonts w:ascii="Cambria" w:hAnsi="Cambria"/>
          <w:color w:val="auto"/>
          <w:sz w:val="22"/>
          <w:szCs w:val="22"/>
          <w:lang w:val="es-ES_tradnl"/>
        </w:rPr>
        <w:t>N</w:t>
      </w:r>
      <w:r w:rsidR="00676859">
        <w:rPr>
          <w:rFonts w:ascii="Cambria" w:hAnsi="Cambria"/>
          <w:color w:val="auto"/>
          <w:sz w:val="22"/>
          <w:szCs w:val="22"/>
          <w:lang w:val="es-ES_tradnl"/>
        </w:rPr>
        <w:t xml:space="preserve">acional de </w:t>
      </w:r>
      <w:r>
        <w:rPr>
          <w:rFonts w:ascii="Cambria" w:hAnsi="Cambria"/>
          <w:color w:val="auto"/>
          <w:sz w:val="22"/>
          <w:szCs w:val="22"/>
          <w:lang w:val="es-ES_tradnl"/>
        </w:rPr>
        <w:t>V</w:t>
      </w:r>
      <w:r w:rsidR="00676859">
        <w:rPr>
          <w:rFonts w:ascii="Cambria" w:hAnsi="Cambria"/>
          <w:color w:val="auto"/>
          <w:sz w:val="22"/>
          <w:szCs w:val="22"/>
          <w:lang w:val="es-ES_tradnl"/>
        </w:rPr>
        <w:t xml:space="preserve">ivienda y </w:t>
      </w:r>
      <w:r>
        <w:rPr>
          <w:rFonts w:ascii="Cambria" w:hAnsi="Cambria"/>
          <w:color w:val="auto"/>
          <w:sz w:val="22"/>
          <w:szCs w:val="22"/>
          <w:lang w:val="es-ES_tradnl"/>
        </w:rPr>
        <w:t>U</w:t>
      </w:r>
      <w:r w:rsidR="00676859">
        <w:rPr>
          <w:rFonts w:ascii="Cambria" w:hAnsi="Cambria"/>
          <w:color w:val="auto"/>
          <w:sz w:val="22"/>
          <w:szCs w:val="22"/>
          <w:lang w:val="es-ES_tradnl"/>
        </w:rPr>
        <w:t>rbanismo, N</w:t>
      </w:r>
      <w:r>
        <w:rPr>
          <w:rFonts w:ascii="Cambria" w:hAnsi="Cambria"/>
          <w:color w:val="auto"/>
          <w:sz w:val="22"/>
          <w:szCs w:val="22"/>
          <w:lang w:val="es-ES_tradnl"/>
        </w:rPr>
        <w:t>°</w:t>
      </w:r>
      <w:r w:rsidR="000A6BBA" w:rsidRPr="005F2CD8">
        <w:rPr>
          <w:rFonts w:ascii="Cambria" w:hAnsi="Cambria"/>
          <w:color w:val="auto"/>
          <w:sz w:val="22"/>
          <w:szCs w:val="22"/>
          <w:lang w:val="es-ES_tradnl"/>
        </w:rPr>
        <w:t>1788.</w:t>
      </w:r>
    </w:p>
    <w:p w14:paraId="2161C22F" w14:textId="6A0C0B2F"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 xml:space="preserve">Ley </w:t>
      </w:r>
      <w:r w:rsidR="00676859">
        <w:rPr>
          <w:rFonts w:ascii="Cambria" w:hAnsi="Cambria"/>
          <w:color w:val="auto"/>
          <w:sz w:val="22"/>
          <w:szCs w:val="22"/>
          <w:lang w:val="es-ES_tradnl"/>
        </w:rPr>
        <w:t>Orgánica del Poder Judicial, N</w:t>
      </w:r>
      <w:r w:rsidR="009371AC">
        <w:rPr>
          <w:rFonts w:ascii="Cambria" w:hAnsi="Cambria"/>
          <w:color w:val="auto"/>
          <w:sz w:val="22"/>
          <w:szCs w:val="22"/>
          <w:lang w:val="es-ES_tradnl"/>
        </w:rPr>
        <w:t>°</w:t>
      </w:r>
      <w:r w:rsidRPr="005F2CD8">
        <w:rPr>
          <w:rFonts w:ascii="Cambria" w:hAnsi="Cambria"/>
          <w:color w:val="auto"/>
          <w:sz w:val="22"/>
          <w:szCs w:val="22"/>
          <w:lang w:val="es-ES_tradnl"/>
        </w:rPr>
        <w:t>7333.</w:t>
      </w:r>
    </w:p>
    <w:p w14:paraId="3E633F4B" w14:textId="474D3AB3"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Ley de Creación del Régimen General de Pensiones con ca</w:t>
      </w:r>
      <w:r w:rsidR="00676859">
        <w:rPr>
          <w:rFonts w:ascii="Cambria" w:hAnsi="Cambria"/>
          <w:color w:val="auto"/>
          <w:sz w:val="22"/>
          <w:szCs w:val="22"/>
          <w:lang w:val="es-ES_tradnl"/>
        </w:rPr>
        <w:t>rgo al Presupuesto Nacional, N</w:t>
      </w:r>
      <w:r w:rsidR="009371AC">
        <w:rPr>
          <w:rFonts w:ascii="Cambria" w:hAnsi="Cambria"/>
          <w:color w:val="auto"/>
          <w:sz w:val="22"/>
          <w:szCs w:val="22"/>
          <w:lang w:val="es-ES_tradnl"/>
        </w:rPr>
        <w:t xml:space="preserve">° </w:t>
      </w:r>
      <w:r w:rsidRPr="005F2CD8">
        <w:rPr>
          <w:rFonts w:ascii="Cambria" w:hAnsi="Cambria"/>
          <w:color w:val="auto"/>
          <w:sz w:val="22"/>
          <w:szCs w:val="22"/>
          <w:lang w:val="es-ES_tradnl"/>
        </w:rPr>
        <w:t>7302.</w:t>
      </w:r>
    </w:p>
    <w:p w14:paraId="007FFF42" w14:textId="7B3633EE"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Reforma Integral del Sistema de Pensiones y Jubilaciones del Magisterio,  Ley N</w:t>
      </w:r>
      <w:r w:rsidR="009371AC">
        <w:rPr>
          <w:rFonts w:ascii="Cambria" w:hAnsi="Cambria"/>
          <w:color w:val="auto"/>
          <w:sz w:val="22"/>
          <w:szCs w:val="22"/>
          <w:lang w:val="es-ES_tradnl"/>
        </w:rPr>
        <w:t>°</w:t>
      </w:r>
      <w:r w:rsidRPr="005F2CD8">
        <w:rPr>
          <w:rFonts w:ascii="Cambria" w:hAnsi="Cambria"/>
          <w:color w:val="auto"/>
          <w:sz w:val="22"/>
          <w:szCs w:val="22"/>
          <w:lang w:val="es-ES_tradnl"/>
        </w:rPr>
        <w:t xml:space="preserve"> 7531.</w:t>
      </w:r>
    </w:p>
    <w:p w14:paraId="497046BE" w14:textId="4866A554" w:rsidR="000A6BBA" w:rsidRPr="005F2CD8" w:rsidRDefault="00676859"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Pr>
          <w:rFonts w:ascii="Cambria" w:hAnsi="Cambria"/>
          <w:color w:val="auto"/>
          <w:sz w:val="22"/>
          <w:szCs w:val="22"/>
          <w:lang w:val="es-ES_tradnl"/>
        </w:rPr>
        <w:t>Ley General de Pensiones, N</w:t>
      </w:r>
      <w:r w:rsidR="000A6BBA" w:rsidRPr="005F2CD8">
        <w:rPr>
          <w:rFonts w:ascii="Cambria" w:hAnsi="Cambria"/>
          <w:color w:val="auto"/>
          <w:sz w:val="22"/>
          <w:szCs w:val="22"/>
          <w:lang w:val="es-ES_tradnl"/>
        </w:rPr>
        <w:t>°14</w:t>
      </w:r>
      <w:r w:rsidR="009371AC">
        <w:rPr>
          <w:rFonts w:ascii="Cambria" w:hAnsi="Cambria"/>
          <w:color w:val="auto"/>
          <w:sz w:val="22"/>
          <w:szCs w:val="22"/>
          <w:lang w:val="es-ES_tradnl"/>
        </w:rPr>
        <w:t>.</w:t>
      </w:r>
    </w:p>
    <w:p w14:paraId="5FC1F77C" w14:textId="77777777" w:rsidR="000A6BBA" w:rsidRDefault="000A6BBA" w:rsidP="000A6BBA">
      <w:pPr>
        <w:pStyle w:val="Prrafodelista"/>
        <w:autoSpaceDE w:val="0"/>
        <w:autoSpaceDN w:val="0"/>
        <w:ind w:left="1287"/>
        <w:rPr>
          <w:rFonts w:ascii="Cambria" w:hAnsi="Cambria"/>
          <w:sz w:val="22"/>
        </w:rPr>
      </w:pPr>
    </w:p>
    <w:p w14:paraId="26284010" w14:textId="77777777" w:rsidR="009371AC" w:rsidRPr="005F2CD8" w:rsidRDefault="009371AC" w:rsidP="000A6BBA">
      <w:pPr>
        <w:pStyle w:val="Prrafodelista"/>
        <w:autoSpaceDE w:val="0"/>
        <w:autoSpaceDN w:val="0"/>
        <w:ind w:left="1287"/>
        <w:rPr>
          <w:rFonts w:ascii="Cambria" w:hAnsi="Cambria"/>
          <w:sz w:val="22"/>
        </w:rPr>
      </w:pPr>
    </w:p>
    <w:p w14:paraId="2F402D7C" w14:textId="77777777" w:rsidR="000A6BBA" w:rsidRPr="005F2CD8" w:rsidRDefault="000A6BBA" w:rsidP="000A6BBA">
      <w:pPr>
        <w:rPr>
          <w:rFonts w:ascii="Cambria" w:hAnsi="Cambria"/>
          <w:b/>
          <w:bCs/>
          <w:smallCaps/>
          <w:sz w:val="22"/>
          <w:szCs w:val="22"/>
        </w:rPr>
      </w:pPr>
      <w:r w:rsidRPr="005F2CD8">
        <w:rPr>
          <w:rFonts w:ascii="Cambria" w:hAnsi="Cambria"/>
          <w:b/>
          <w:bCs/>
          <w:smallCaps/>
          <w:sz w:val="22"/>
          <w:szCs w:val="22"/>
        </w:rPr>
        <w:t xml:space="preserve">Otras Leyes </w:t>
      </w:r>
    </w:p>
    <w:p w14:paraId="4C1DB4EE" w14:textId="77777777" w:rsidR="000A6BBA" w:rsidRPr="005F2CD8" w:rsidRDefault="000A6BBA" w:rsidP="000A6BBA">
      <w:pPr>
        <w:rPr>
          <w:rFonts w:ascii="Cambria" w:hAnsi="Cambria"/>
          <w:sz w:val="22"/>
          <w:szCs w:val="22"/>
        </w:rPr>
      </w:pPr>
    </w:p>
    <w:p w14:paraId="2AB2E1DC" w14:textId="2E210D5C"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Ley sobre Estupefacientes, Sustancias Psicotrópicas, Drogas de Uso No Autorizado, Legitimación de Ca</w:t>
      </w:r>
      <w:r w:rsidR="00B33957">
        <w:rPr>
          <w:rFonts w:ascii="Cambria" w:hAnsi="Cambria"/>
          <w:color w:val="auto"/>
          <w:sz w:val="22"/>
          <w:szCs w:val="22"/>
          <w:lang w:val="es-ES_tradnl"/>
        </w:rPr>
        <w:t>pitales y Actividades Conexas, N°</w:t>
      </w:r>
      <w:r w:rsidRPr="005F2CD8">
        <w:rPr>
          <w:rFonts w:ascii="Cambria" w:hAnsi="Cambria"/>
          <w:color w:val="auto"/>
          <w:sz w:val="22"/>
          <w:szCs w:val="22"/>
          <w:lang w:val="es-ES_tradnl"/>
        </w:rPr>
        <w:t>8204.</w:t>
      </w:r>
    </w:p>
    <w:p w14:paraId="2B8F6EC5" w14:textId="2B65A566"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 xml:space="preserve">Ley Reguladora del Mercado de Seguros, </w:t>
      </w:r>
      <w:r w:rsidR="00B33957">
        <w:rPr>
          <w:rFonts w:ascii="Cambria" w:hAnsi="Cambria"/>
          <w:color w:val="auto"/>
          <w:sz w:val="22"/>
          <w:szCs w:val="22"/>
          <w:lang w:val="es-ES_tradnl"/>
        </w:rPr>
        <w:t>N°</w:t>
      </w:r>
      <w:r w:rsidRPr="005F2CD8">
        <w:rPr>
          <w:rFonts w:ascii="Cambria" w:hAnsi="Cambria"/>
          <w:color w:val="auto"/>
          <w:sz w:val="22"/>
          <w:szCs w:val="22"/>
          <w:lang w:val="es-ES_tradnl"/>
        </w:rPr>
        <w:t>8653</w:t>
      </w:r>
      <w:r w:rsidR="009371AC">
        <w:rPr>
          <w:rFonts w:ascii="Cambria" w:hAnsi="Cambria"/>
          <w:color w:val="auto"/>
          <w:sz w:val="22"/>
          <w:szCs w:val="22"/>
          <w:lang w:val="es-ES_tradnl"/>
        </w:rPr>
        <w:t>.</w:t>
      </w:r>
    </w:p>
    <w:p w14:paraId="389937BC" w14:textId="77777777" w:rsidR="000A6BBA" w:rsidRPr="00B33957" w:rsidRDefault="000A6BBA" w:rsidP="000A6BBA">
      <w:pPr>
        <w:autoSpaceDE w:val="0"/>
        <w:autoSpaceDN w:val="0"/>
        <w:ind w:left="567"/>
        <w:jc w:val="both"/>
        <w:rPr>
          <w:rFonts w:ascii="Cambria" w:hAnsi="Cambria"/>
          <w:sz w:val="22"/>
          <w:szCs w:val="22"/>
          <w:lang w:val="es-ES_tradnl"/>
        </w:rPr>
      </w:pPr>
    </w:p>
    <w:p w14:paraId="3946E2F6" w14:textId="77777777" w:rsidR="009371AC" w:rsidRPr="005F2CD8" w:rsidRDefault="009371AC" w:rsidP="000A6BBA">
      <w:pPr>
        <w:autoSpaceDE w:val="0"/>
        <w:autoSpaceDN w:val="0"/>
        <w:ind w:left="567"/>
        <w:jc w:val="both"/>
        <w:rPr>
          <w:rFonts w:ascii="Cambria" w:hAnsi="Cambria"/>
          <w:sz w:val="22"/>
          <w:szCs w:val="22"/>
        </w:rPr>
      </w:pPr>
    </w:p>
    <w:p w14:paraId="68FBFBAA" w14:textId="77777777" w:rsidR="000A6BBA" w:rsidRPr="005F2CD8" w:rsidRDefault="000A6BBA" w:rsidP="000A6BBA">
      <w:pPr>
        <w:rPr>
          <w:rFonts w:ascii="Cambria" w:hAnsi="Cambria"/>
          <w:b/>
          <w:bCs/>
          <w:smallCaps/>
          <w:sz w:val="22"/>
          <w:szCs w:val="22"/>
        </w:rPr>
      </w:pPr>
      <w:r w:rsidRPr="005F2CD8">
        <w:rPr>
          <w:rFonts w:ascii="Cambria" w:hAnsi="Cambria"/>
          <w:b/>
          <w:bCs/>
          <w:smallCaps/>
          <w:sz w:val="22"/>
          <w:szCs w:val="22"/>
        </w:rPr>
        <w:t>Reglamentos</w:t>
      </w:r>
    </w:p>
    <w:p w14:paraId="25F296D4" w14:textId="77777777" w:rsidR="000A6BBA" w:rsidRPr="005F2CD8" w:rsidRDefault="000A6BBA" w:rsidP="000A6BBA">
      <w:pPr>
        <w:rPr>
          <w:rFonts w:ascii="Cambria" w:hAnsi="Cambria"/>
          <w:b/>
          <w:bCs/>
          <w:smallCaps/>
          <w:sz w:val="22"/>
          <w:szCs w:val="22"/>
        </w:rPr>
      </w:pPr>
    </w:p>
    <w:p w14:paraId="66911655" w14:textId="5D8641F7" w:rsidR="000A6BBA" w:rsidRPr="005F2CD8" w:rsidRDefault="000A6BBA" w:rsidP="00547B19">
      <w:pPr>
        <w:numPr>
          <w:ilvl w:val="0"/>
          <w:numId w:val="22"/>
        </w:numPr>
        <w:jc w:val="both"/>
        <w:rPr>
          <w:rFonts w:ascii="Cambria" w:hAnsi="Cambria"/>
          <w:sz w:val="22"/>
          <w:szCs w:val="22"/>
          <w:lang w:val="es-ES_tradnl"/>
        </w:rPr>
      </w:pPr>
      <w:r w:rsidRPr="005F2CD8">
        <w:rPr>
          <w:rFonts w:ascii="Cambria" w:hAnsi="Cambria"/>
          <w:sz w:val="22"/>
          <w:szCs w:val="22"/>
          <w:lang w:val="es-ES_tradnl"/>
        </w:rPr>
        <w:t>Reglamento para calificar la situación financiera de los fondos administrados</w:t>
      </w:r>
      <w:r w:rsidR="009371AC">
        <w:rPr>
          <w:rFonts w:ascii="Cambria" w:hAnsi="Cambria"/>
          <w:sz w:val="22"/>
          <w:szCs w:val="22"/>
          <w:lang w:val="es-ES_tradnl"/>
        </w:rPr>
        <w:t>.</w:t>
      </w:r>
    </w:p>
    <w:p w14:paraId="6712BA7B" w14:textId="18E24C79" w:rsidR="000A6BBA" w:rsidRPr="005F2CD8" w:rsidRDefault="000A6BBA" w:rsidP="00547B19">
      <w:pPr>
        <w:numPr>
          <w:ilvl w:val="0"/>
          <w:numId w:val="22"/>
        </w:numPr>
        <w:jc w:val="both"/>
        <w:rPr>
          <w:rFonts w:ascii="Cambria" w:hAnsi="Cambria"/>
          <w:sz w:val="22"/>
          <w:szCs w:val="22"/>
          <w:lang w:val="es-ES_tradnl"/>
        </w:rPr>
      </w:pPr>
      <w:r w:rsidRPr="005F2CD8">
        <w:rPr>
          <w:rFonts w:ascii="Cambria" w:hAnsi="Cambria"/>
          <w:sz w:val="22"/>
          <w:szCs w:val="22"/>
          <w:lang w:val="es-ES_tradnl"/>
        </w:rPr>
        <w:t>Reglamento de beneficios del régimen de capitalización individual</w:t>
      </w:r>
      <w:r w:rsidR="009371AC">
        <w:rPr>
          <w:rFonts w:ascii="Cambria" w:hAnsi="Cambria"/>
          <w:sz w:val="22"/>
          <w:szCs w:val="22"/>
          <w:lang w:val="es-ES_tradnl"/>
        </w:rPr>
        <w:t>.</w:t>
      </w:r>
    </w:p>
    <w:p w14:paraId="5488E756" w14:textId="4096E611" w:rsidR="000A6BBA" w:rsidRPr="005F2CD8" w:rsidRDefault="000A6BBA" w:rsidP="00547B19">
      <w:pPr>
        <w:numPr>
          <w:ilvl w:val="0"/>
          <w:numId w:val="22"/>
        </w:numPr>
        <w:jc w:val="both"/>
        <w:rPr>
          <w:rFonts w:ascii="Cambria" w:hAnsi="Cambria"/>
          <w:sz w:val="22"/>
          <w:szCs w:val="22"/>
          <w:lang w:val="es-ES_tradnl"/>
        </w:rPr>
      </w:pPr>
      <w:r w:rsidRPr="005F2CD8">
        <w:rPr>
          <w:rFonts w:ascii="Cambria" w:hAnsi="Cambria"/>
          <w:sz w:val="22"/>
          <w:szCs w:val="22"/>
          <w:lang w:val="es-ES_tradnl"/>
        </w:rPr>
        <w:t>Reglamento de Inversiones de las Entidades Reguladas</w:t>
      </w:r>
      <w:r w:rsidR="009371AC">
        <w:rPr>
          <w:rFonts w:ascii="Cambria" w:hAnsi="Cambria"/>
          <w:sz w:val="22"/>
          <w:szCs w:val="22"/>
          <w:lang w:val="es-ES_tradnl"/>
        </w:rPr>
        <w:t>.</w:t>
      </w:r>
    </w:p>
    <w:p w14:paraId="231FA23D" w14:textId="77777777" w:rsidR="000A6BBA" w:rsidRPr="005F2CD8" w:rsidRDefault="000A6BBA" w:rsidP="00547B19">
      <w:pPr>
        <w:numPr>
          <w:ilvl w:val="0"/>
          <w:numId w:val="22"/>
        </w:numPr>
        <w:jc w:val="both"/>
        <w:rPr>
          <w:rFonts w:ascii="Cambria" w:hAnsi="Cambria"/>
          <w:sz w:val="22"/>
          <w:szCs w:val="22"/>
          <w:lang w:val="es-ES_tradnl"/>
        </w:rPr>
      </w:pPr>
      <w:r w:rsidRPr="005F2CD8">
        <w:rPr>
          <w:rFonts w:ascii="Cambria" w:hAnsi="Cambria"/>
          <w:sz w:val="22"/>
          <w:szCs w:val="22"/>
          <w:lang w:val="es-ES_tradnl"/>
        </w:rPr>
        <w:t>Reglamento de tablas de mortalidad</w:t>
      </w:r>
    </w:p>
    <w:p w14:paraId="0F9FC964" w14:textId="7587091A" w:rsidR="000A6BBA" w:rsidRPr="005F2CD8" w:rsidRDefault="000A6BBA" w:rsidP="00547B19">
      <w:pPr>
        <w:numPr>
          <w:ilvl w:val="0"/>
          <w:numId w:val="22"/>
        </w:numPr>
        <w:jc w:val="both"/>
        <w:rPr>
          <w:rFonts w:ascii="Cambria" w:hAnsi="Cambria"/>
          <w:sz w:val="22"/>
          <w:szCs w:val="22"/>
          <w:lang w:val="es-ES_tradnl"/>
        </w:rPr>
      </w:pPr>
      <w:r w:rsidRPr="005F2CD8">
        <w:rPr>
          <w:rFonts w:ascii="Cambria" w:hAnsi="Cambria"/>
          <w:sz w:val="22"/>
          <w:szCs w:val="22"/>
          <w:lang w:val="es-ES_tradnl"/>
        </w:rPr>
        <w:t>Reglamento de regímenes de pensiones creados por leyes especiales y regímenes sustitutos al IVM</w:t>
      </w:r>
      <w:r w:rsidR="009371AC">
        <w:rPr>
          <w:rFonts w:ascii="Cambria" w:hAnsi="Cambria"/>
          <w:sz w:val="22"/>
          <w:szCs w:val="22"/>
          <w:lang w:val="es-ES_tradnl"/>
        </w:rPr>
        <w:t>.</w:t>
      </w:r>
    </w:p>
    <w:p w14:paraId="7FFDC2E3" w14:textId="3EDE595A" w:rsidR="000A6BBA" w:rsidRPr="005F2CD8" w:rsidRDefault="000A6BBA" w:rsidP="00547B19">
      <w:pPr>
        <w:numPr>
          <w:ilvl w:val="0"/>
          <w:numId w:val="22"/>
        </w:numPr>
        <w:jc w:val="both"/>
        <w:rPr>
          <w:rFonts w:ascii="Cambria" w:hAnsi="Cambria"/>
          <w:sz w:val="22"/>
          <w:szCs w:val="22"/>
          <w:lang w:val="es-ES_tradnl"/>
        </w:rPr>
      </w:pPr>
      <w:r w:rsidRPr="005F2CD8">
        <w:rPr>
          <w:rFonts w:ascii="Cambria" w:hAnsi="Cambria"/>
          <w:sz w:val="22"/>
          <w:szCs w:val="22"/>
          <w:lang w:val="es-ES_tradnl"/>
        </w:rPr>
        <w:lastRenderedPageBreak/>
        <w:t>Reglamento de apertura y funcionamiento de las entidades autorizadas y el funcionamiento de los fondos de pensiones, capitalización laboral y ahorro voluntario</w:t>
      </w:r>
      <w:r w:rsidR="009371AC">
        <w:rPr>
          <w:rFonts w:ascii="Cambria" w:hAnsi="Cambria"/>
          <w:sz w:val="22"/>
          <w:szCs w:val="22"/>
          <w:lang w:val="es-ES_tradnl"/>
        </w:rPr>
        <w:t xml:space="preserve"> </w:t>
      </w:r>
      <w:r w:rsidRPr="005F2CD8">
        <w:rPr>
          <w:rFonts w:ascii="Cambria" w:hAnsi="Cambria"/>
          <w:sz w:val="22"/>
          <w:szCs w:val="22"/>
          <w:lang w:val="es-ES_tradnl"/>
        </w:rPr>
        <w:t xml:space="preserve">previsto en la </w:t>
      </w:r>
      <w:r w:rsidR="009371AC">
        <w:rPr>
          <w:rFonts w:ascii="Cambria" w:hAnsi="Cambria"/>
          <w:sz w:val="22"/>
          <w:szCs w:val="22"/>
          <w:lang w:val="es-ES_tradnl"/>
        </w:rPr>
        <w:t>Ley de Protección al Trabajador.</w:t>
      </w:r>
    </w:p>
    <w:p w14:paraId="452A7C32" w14:textId="493F19A7" w:rsidR="000A6BBA" w:rsidRPr="005F2CD8" w:rsidRDefault="000A6BBA" w:rsidP="00547B19">
      <w:pPr>
        <w:numPr>
          <w:ilvl w:val="0"/>
          <w:numId w:val="23"/>
        </w:numPr>
        <w:jc w:val="both"/>
        <w:rPr>
          <w:rFonts w:ascii="Cambria" w:hAnsi="Cambria"/>
          <w:sz w:val="22"/>
          <w:szCs w:val="22"/>
          <w:lang w:val="es-ES_tradnl"/>
        </w:rPr>
      </w:pPr>
      <w:r w:rsidRPr="005F2CD8">
        <w:rPr>
          <w:rFonts w:ascii="Cambria" w:hAnsi="Cambria"/>
          <w:sz w:val="22"/>
          <w:szCs w:val="22"/>
          <w:lang w:val="es-ES_tradnl"/>
        </w:rPr>
        <w:t>Reglamento actuarial para regímenes de pensiones de leyes especiales y públicos sustitutos</w:t>
      </w:r>
      <w:r w:rsidR="009371AC">
        <w:rPr>
          <w:rFonts w:ascii="Cambria" w:hAnsi="Cambria"/>
          <w:sz w:val="22"/>
          <w:szCs w:val="22"/>
          <w:lang w:val="es-ES_tradnl"/>
        </w:rPr>
        <w:t>.</w:t>
      </w:r>
      <w:r w:rsidRPr="005F2CD8">
        <w:rPr>
          <w:rFonts w:ascii="Cambria" w:hAnsi="Cambria"/>
          <w:sz w:val="22"/>
          <w:szCs w:val="22"/>
          <w:lang w:val="es-ES_tradnl"/>
        </w:rPr>
        <w:t xml:space="preserve"> </w:t>
      </w:r>
    </w:p>
    <w:p w14:paraId="09EB5C37" w14:textId="77777777" w:rsidR="000A6BBA" w:rsidRDefault="000A6BBA" w:rsidP="000A6BBA">
      <w:pPr>
        <w:rPr>
          <w:rFonts w:ascii="Cambria" w:hAnsi="Cambria"/>
          <w:sz w:val="22"/>
          <w:szCs w:val="22"/>
          <w:lang w:val="es-ES_tradnl"/>
        </w:rPr>
      </w:pPr>
    </w:p>
    <w:p w14:paraId="10274FB3" w14:textId="77777777" w:rsidR="009371AC" w:rsidRPr="005F2CD8" w:rsidRDefault="009371AC" w:rsidP="000A6BBA">
      <w:pPr>
        <w:rPr>
          <w:rFonts w:ascii="Cambria" w:hAnsi="Cambria"/>
          <w:sz w:val="22"/>
          <w:szCs w:val="22"/>
          <w:lang w:val="es-ES_tradnl"/>
        </w:rPr>
      </w:pPr>
    </w:p>
    <w:p w14:paraId="253D597D" w14:textId="77777777" w:rsidR="000A6BBA" w:rsidRPr="005F2CD8" w:rsidRDefault="000A6BBA" w:rsidP="000A6BBA">
      <w:pPr>
        <w:jc w:val="both"/>
        <w:rPr>
          <w:rFonts w:ascii="Cambria" w:hAnsi="Cambria"/>
          <w:b/>
          <w:sz w:val="22"/>
          <w:szCs w:val="22"/>
          <w:lang w:val="es-ES_tradnl"/>
        </w:rPr>
      </w:pPr>
      <w:r w:rsidRPr="005F2CD8">
        <w:rPr>
          <w:rFonts w:ascii="Cambria" w:hAnsi="Cambria"/>
          <w:b/>
          <w:sz w:val="22"/>
          <w:szCs w:val="22"/>
          <w:lang w:val="es-ES_tradnl"/>
        </w:rPr>
        <w:t>OTROS REGLAMENTOS RELACIONADOS CON LOS REGÍMENES DE PENSIONES COMPLEMENTARIOS</w:t>
      </w:r>
    </w:p>
    <w:p w14:paraId="3D9ECA08" w14:textId="77777777" w:rsidR="000A6BBA" w:rsidRPr="005F2CD8" w:rsidRDefault="000A6BBA" w:rsidP="000A6BBA">
      <w:pPr>
        <w:rPr>
          <w:rFonts w:ascii="Cambria" w:hAnsi="Cambria"/>
          <w:b/>
          <w:sz w:val="22"/>
          <w:szCs w:val="22"/>
          <w:lang w:val="es-ES_tradnl"/>
        </w:rPr>
      </w:pPr>
    </w:p>
    <w:p w14:paraId="0FB96289" w14:textId="0D48A6A8" w:rsidR="000A6BBA" w:rsidRPr="005F2CD8" w:rsidRDefault="000A6BBA" w:rsidP="00547B19">
      <w:pPr>
        <w:numPr>
          <w:ilvl w:val="0"/>
          <w:numId w:val="24"/>
        </w:numPr>
        <w:jc w:val="both"/>
        <w:rPr>
          <w:rFonts w:ascii="Cambria" w:hAnsi="Cambria"/>
          <w:sz w:val="22"/>
          <w:szCs w:val="22"/>
          <w:lang w:val="es-ES_tradnl"/>
        </w:rPr>
      </w:pPr>
      <w:r w:rsidRPr="005F2CD8">
        <w:rPr>
          <w:rFonts w:ascii="Cambria" w:hAnsi="Cambria"/>
          <w:sz w:val="22"/>
          <w:szCs w:val="22"/>
          <w:lang w:val="es-ES_tradnl"/>
        </w:rPr>
        <w:t>Reglamento relativo a la información financiera de ent</w:t>
      </w:r>
      <w:r w:rsidR="00DC6B58">
        <w:rPr>
          <w:rFonts w:ascii="Cambria" w:hAnsi="Cambria"/>
          <w:sz w:val="22"/>
          <w:szCs w:val="22"/>
          <w:lang w:val="es-ES_tradnl"/>
        </w:rPr>
        <w:t>idades, grupos y conglomerados f</w:t>
      </w:r>
      <w:r w:rsidRPr="005F2CD8">
        <w:rPr>
          <w:rFonts w:ascii="Cambria" w:hAnsi="Cambria"/>
          <w:sz w:val="22"/>
          <w:szCs w:val="22"/>
          <w:lang w:val="es-ES_tradnl"/>
        </w:rPr>
        <w:t>inancieros</w:t>
      </w:r>
    </w:p>
    <w:p w14:paraId="5605DC23" w14:textId="77777777" w:rsidR="000A6BBA" w:rsidRPr="005F2CD8" w:rsidRDefault="000A6BBA" w:rsidP="00547B19">
      <w:pPr>
        <w:numPr>
          <w:ilvl w:val="0"/>
          <w:numId w:val="24"/>
        </w:numPr>
        <w:jc w:val="both"/>
        <w:rPr>
          <w:rFonts w:ascii="Cambria" w:hAnsi="Cambria"/>
          <w:sz w:val="22"/>
          <w:szCs w:val="22"/>
          <w:lang w:val="es-ES_tradnl"/>
        </w:rPr>
      </w:pPr>
      <w:r w:rsidRPr="005F2CD8">
        <w:rPr>
          <w:rFonts w:ascii="Cambria" w:hAnsi="Cambria"/>
          <w:sz w:val="22"/>
          <w:szCs w:val="22"/>
          <w:lang w:val="es-ES_tradnl"/>
        </w:rPr>
        <w:t>Reglamento para regular la participación de los sujetos fiscalizados en el financiamiento del presupuesto de las Superintendencias</w:t>
      </w:r>
    </w:p>
    <w:p w14:paraId="39DB17A9" w14:textId="77777777" w:rsidR="000A6BBA" w:rsidRPr="005F2CD8" w:rsidRDefault="000A6BBA" w:rsidP="00547B19">
      <w:pPr>
        <w:numPr>
          <w:ilvl w:val="0"/>
          <w:numId w:val="24"/>
        </w:numPr>
        <w:jc w:val="both"/>
        <w:rPr>
          <w:rFonts w:ascii="Cambria" w:hAnsi="Cambria"/>
          <w:sz w:val="22"/>
          <w:szCs w:val="22"/>
          <w:lang w:val="es-ES_tradnl"/>
        </w:rPr>
      </w:pPr>
      <w:r w:rsidRPr="005F2CD8">
        <w:rPr>
          <w:rFonts w:ascii="Cambria" w:hAnsi="Cambria"/>
          <w:sz w:val="22"/>
          <w:szCs w:val="22"/>
          <w:lang w:val="es-ES_tradnl"/>
        </w:rPr>
        <w:t>Reglamento de Gobierno Corporativo</w:t>
      </w:r>
    </w:p>
    <w:p w14:paraId="25278C48" w14:textId="77777777" w:rsidR="000A6BBA" w:rsidRPr="005F2CD8" w:rsidRDefault="000A6BBA" w:rsidP="00547B19">
      <w:pPr>
        <w:numPr>
          <w:ilvl w:val="0"/>
          <w:numId w:val="24"/>
        </w:numPr>
        <w:jc w:val="both"/>
        <w:rPr>
          <w:rFonts w:ascii="Cambria" w:hAnsi="Cambria"/>
          <w:sz w:val="22"/>
          <w:szCs w:val="22"/>
          <w:lang w:val="es-ES_tradnl"/>
        </w:rPr>
      </w:pPr>
      <w:r w:rsidRPr="005F2CD8">
        <w:rPr>
          <w:rFonts w:ascii="Cambria" w:hAnsi="Cambria"/>
          <w:sz w:val="22"/>
          <w:szCs w:val="22"/>
          <w:lang w:val="es-ES_tradnl"/>
        </w:rPr>
        <w:t>Reglamento de auditores externos aplicable a fiscalizados por SUGEF-SUGEVAL-SUPEN-SUGESE</w:t>
      </w:r>
    </w:p>
    <w:p w14:paraId="793D707B" w14:textId="372E32B4" w:rsidR="000A6BBA" w:rsidRPr="005F2CD8" w:rsidRDefault="000A6BBA" w:rsidP="00547B19">
      <w:pPr>
        <w:numPr>
          <w:ilvl w:val="0"/>
          <w:numId w:val="24"/>
        </w:numPr>
        <w:jc w:val="both"/>
        <w:rPr>
          <w:rFonts w:ascii="Cambria" w:hAnsi="Cambria"/>
          <w:sz w:val="22"/>
          <w:szCs w:val="22"/>
          <w:lang w:val="es-ES_tradnl"/>
        </w:rPr>
      </w:pPr>
      <w:r w:rsidRPr="005F2CD8">
        <w:rPr>
          <w:rFonts w:ascii="Cambria" w:hAnsi="Cambria"/>
          <w:sz w:val="22"/>
          <w:szCs w:val="22"/>
          <w:lang w:val="es-ES_tradnl"/>
        </w:rPr>
        <w:t xml:space="preserve">Normativa para el cumplimiento de la Ley </w:t>
      </w:r>
      <w:r w:rsidR="00DC6B58">
        <w:rPr>
          <w:rFonts w:ascii="Cambria" w:hAnsi="Cambria"/>
          <w:sz w:val="22"/>
          <w:szCs w:val="22"/>
          <w:lang w:val="es-ES_tradnl"/>
        </w:rPr>
        <w:t>N°</w:t>
      </w:r>
      <w:r w:rsidRPr="005F2CD8">
        <w:rPr>
          <w:rFonts w:ascii="Cambria" w:hAnsi="Cambria"/>
          <w:sz w:val="22"/>
          <w:szCs w:val="22"/>
          <w:lang w:val="es-ES_tradnl"/>
        </w:rPr>
        <w:t>8204</w:t>
      </w:r>
    </w:p>
    <w:p w14:paraId="45112614" w14:textId="77777777" w:rsidR="000A6BBA" w:rsidRPr="005F2CD8" w:rsidRDefault="000A6BBA" w:rsidP="00547B19">
      <w:pPr>
        <w:numPr>
          <w:ilvl w:val="0"/>
          <w:numId w:val="24"/>
        </w:numPr>
        <w:jc w:val="both"/>
        <w:rPr>
          <w:rFonts w:ascii="Cambria" w:hAnsi="Cambria"/>
          <w:sz w:val="22"/>
          <w:szCs w:val="22"/>
          <w:lang w:val="es-ES_tradnl"/>
        </w:rPr>
      </w:pPr>
      <w:r w:rsidRPr="005F2CD8">
        <w:rPr>
          <w:rFonts w:ascii="Cambria" w:hAnsi="Cambria"/>
          <w:sz w:val="22"/>
          <w:szCs w:val="22"/>
          <w:lang w:val="es-ES_tradnl"/>
        </w:rPr>
        <w:t>Normativa contable aplicable a los entes supervisados por SUGEF, SUGEVAL, SUPEN SUGESE</w:t>
      </w:r>
    </w:p>
    <w:p w14:paraId="3DEEAFCC" w14:textId="77777777" w:rsidR="000A6BBA" w:rsidRPr="005F2CD8" w:rsidRDefault="000A6BBA" w:rsidP="000A6BBA">
      <w:pPr>
        <w:rPr>
          <w:rFonts w:ascii="Cambria" w:hAnsi="Cambria"/>
          <w:b/>
          <w:bCs/>
          <w:smallCaps/>
          <w:sz w:val="22"/>
          <w:szCs w:val="22"/>
        </w:rPr>
      </w:pPr>
    </w:p>
    <w:p w14:paraId="08DAF97B" w14:textId="77777777" w:rsidR="000A6BBA" w:rsidRPr="005F2CD8" w:rsidRDefault="000A6BBA" w:rsidP="000A6BBA">
      <w:pPr>
        <w:rPr>
          <w:rFonts w:ascii="Cambria" w:hAnsi="Cambria"/>
          <w:b/>
          <w:bCs/>
          <w:smallCaps/>
          <w:sz w:val="22"/>
          <w:szCs w:val="22"/>
        </w:rPr>
      </w:pPr>
      <w:r w:rsidRPr="005F2CD8">
        <w:rPr>
          <w:rFonts w:ascii="Cambria" w:hAnsi="Cambria"/>
          <w:b/>
          <w:bCs/>
          <w:smallCaps/>
          <w:sz w:val="22"/>
          <w:szCs w:val="22"/>
        </w:rPr>
        <w:t>Reglamentos Regímenes Básicos y Fondos Creados por Ley Especial</w:t>
      </w:r>
    </w:p>
    <w:p w14:paraId="53A1AB64" w14:textId="77777777" w:rsidR="000A6BBA" w:rsidRPr="005F2CD8" w:rsidRDefault="000A6BBA" w:rsidP="000A6BBA">
      <w:pPr>
        <w:autoSpaceDE w:val="0"/>
        <w:autoSpaceDN w:val="0"/>
        <w:ind w:left="567"/>
        <w:jc w:val="both"/>
        <w:rPr>
          <w:rFonts w:ascii="Cambria" w:hAnsi="Cambria"/>
          <w:sz w:val="22"/>
          <w:szCs w:val="22"/>
        </w:rPr>
      </w:pPr>
    </w:p>
    <w:p w14:paraId="7C38EEA5" w14:textId="77777777"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Normas para el establecimiento y operación del Fondo de Garantías y Ahorro de los Empleados Permanentes del Instituto Costarricense de Electricidad.</w:t>
      </w:r>
    </w:p>
    <w:p w14:paraId="2F282F8C" w14:textId="01A4381A"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a la Ley del Sistema de Pensiones y Jubilacion</w:t>
      </w:r>
      <w:r w:rsidR="00DC6B58">
        <w:rPr>
          <w:rFonts w:ascii="Cambria" w:hAnsi="Cambria"/>
          <w:color w:val="auto"/>
          <w:sz w:val="22"/>
          <w:szCs w:val="22"/>
          <w:lang w:val="es-ES_tradnl"/>
        </w:rPr>
        <w:t>es del Magisterio Nacional, N°</w:t>
      </w:r>
      <w:r w:rsidRPr="005F2CD8">
        <w:rPr>
          <w:rFonts w:ascii="Cambria" w:hAnsi="Cambria"/>
          <w:color w:val="auto"/>
          <w:sz w:val="22"/>
          <w:szCs w:val="22"/>
          <w:lang w:val="es-ES_tradnl"/>
        </w:rPr>
        <w:t>7531.</w:t>
      </w:r>
    </w:p>
    <w:p w14:paraId="33B4CE39" w14:textId="77777777"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al Régimen de Pensión Complementaria de los Empleados del Banco Crédito Agrícola de Cartago y Normas para la operación.</w:t>
      </w:r>
    </w:p>
    <w:p w14:paraId="3A583BAC" w14:textId="77777777"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del Fondo de Garantías y Jubilaciones de los Empleados del Banco de Costa Rica.</w:t>
      </w:r>
    </w:p>
    <w:p w14:paraId="65F5FC97" w14:textId="77777777"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del Fondo de Garantías y Jubilaciones de los Empleados del Banco Nacional de Costa Rica.</w:t>
      </w:r>
    </w:p>
    <w:p w14:paraId="28E81528" w14:textId="77777777"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del Fondo de Garantías y Jubilaciones del Personal del Instituto Costarricense de Turismo.</w:t>
      </w:r>
    </w:p>
    <w:p w14:paraId="6A807360" w14:textId="77777777"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del Fondo de Pensiones y Jubilaciones para los Miembros del Benemérito Cuerpo de Bomberos de Costa Rica.</w:t>
      </w:r>
    </w:p>
    <w:p w14:paraId="5CD70D87" w14:textId="77777777"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del Fondo de Retiro de los Empleados de la Caja Costarricense del Seguro Social (FRE)</w:t>
      </w:r>
    </w:p>
    <w:p w14:paraId="412EE436" w14:textId="77777777"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del Seguro de Invalidez, Vejez y Muerte de la Caja Costarricense del Seguro Social.</w:t>
      </w:r>
    </w:p>
    <w:p w14:paraId="3EF5C23C" w14:textId="229D52EB"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General del Régimen de Capitalización estableci</w:t>
      </w:r>
      <w:r w:rsidR="00DC6B58">
        <w:rPr>
          <w:rFonts w:ascii="Cambria" w:hAnsi="Cambria"/>
          <w:color w:val="auto"/>
          <w:sz w:val="22"/>
          <w:szCs w:val="22"/>
          <w:lang w:val="es-ES_tradnl"/>
        </w:rPr>
        <w:t>do en el Título II de la Ley N</w:t>
      </w:r>
      <w:r w:rsidR="009371AC">
        <w:rPr>
          <w:rFonts w:ascii="Cambria" w:hAnsi="Cambria"/>
          <w:color w:val="auto"/>
          <w:sz w:val="22"/>
          <w:szCs w:val="22"/>
          <w:lang w:val="es-ES_tradnl"/>
        </w:rPr>
        <w:t>°</w:t>
      </w:r>
      <w:r w:rsidRPr="005F2CD8">
        <w:rPr>
          <w:rFonts w:ascii="Cambria" w:hAnsi="Cambria"/>
          <w:color w:val="auto"/>
          <w:sz w:val="22"/>
          <w:szCs w:val="22"/>
          <w:lang w:val="es-ES_tradnl"/>
        </w:rPr>
        <w:t xml:space="preserve"> 7531.</w:t>
      </w:r>
    </w:p>
    <w:p w14:paraId="752950BC" w14:textId="77777777"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Régimen de Pensión Complementaria de los Empleados del Instituto Costarricense de Electricidad.</w:t>
      </w:r>
    </w:p>
    <w:p w14:paraId="4D0B2D70" w14:textId="1561BF67"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para la regulación del Retiro Anticipado</w:t>
      </w:r>
      <w:r w:rsidR="00DC6B58">
        <w:rPr>
          <w:rFonts w:ascii="Cambria" w:hAnsi="Cambria"/>
          <w:color w:val="auto"/>
          <w:sz w:val="22"/>
          <w:szCs w:val="22"/>
          <w:lang w:val="es-ES_tradnl"/>
        </w:rPr>
        <w:t xml:space="preserve"> del RIVM, N</w:t>
      </w:r>
      <w:r w:rsidRPr="005F2CD8">
        <w:rPr>
          <w:rFonts w:ascii="Cambria" w:hAnsi="Cambria"/>
          <w:color w:val="auto"/>
          <w:sz w:val="22"/>
          <w:szCs w:val="22"/>
          <w:lang w:val="es-ES_tradnl"/>
        </w:rPr>
        <w:t>°7699.</w:t>
      </w:r>
    </w:p>
    <w:p w14:paraId="40DB0651" w14:textId="1732687C"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del programa del Régim</w:t>
      </w:r>
      <w:r w:rsidR="00DC6B58">
        <w:rPr>
          <w:rFonts w:ascii="Cambria" w:hAnsi="Cambria"/>
          <w:color w:val="auto"/>
          <w:sz w:val="22"/>
          <w:szCs w:val="22"/>
          <w:lang w:val="es-ES_tradnl"/>
        </w:rPr>
        <w:t>en No Contributivo de Pensiones.</w:t>
      </w:r>
    </w:p>
    <w:p w14:paraId="2D8E2918" w14:textId="77777777"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lastRenderedPageBreak/>
        <w:t>Reglamento General del Régimen de Capitalización Colectiva del Sistema de Pensiones y Jubilaciones del Magisterio Nacional.</w:t>
      </w:r>
    </w:p>
    <w:p w14:paraId="06A9486A" w14:textId="04FD3934" w:rsidR="000334EE" w:rsidRPr="00323385" w:rsidRDefault="00DC6B58" w:rsidP="00323385">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056"/>
        </w:tabs>
        <w:adjustRightInd/>
        <w:spacing w:line="240" w:lineRule="auto"/>
        <w:ind w:left="1135"/>
        <w:jc w:val="both"/>
        <w:textAlignment w:val="auto"/>
        <w:rPr>
          <w:rFonts w:ascii="Cambria" w:hAnsi="Cambria"/>
          <w:color w:val="auto"/>
          <w:sz w:val="22"/>
          <w:szCs w:val="22"/>
          <w:lang w:val="es-ES_tradnl"/>
        </w:rPr>
      </w:pPr>
      <w:r>
        <w:rPr>
          <w:rFonts w:ascii="Cambria" w:hAnsi="Cambria"/>
          <w:color w:val="auto"/>
          <w:sz w:val="22"/>
          <w:szCs w:val="22"/>
          <w:lang w:val="es-ES_tradnl"/>
        </w:rPr>
        <w:t>Reglamento a la Ley N</w:t>
      </w:r>
      <w:r w:rsidR="009371AC">
        <w:rPr>
          <w:rFonts w:ascii="Cambria" w:hAnsi="Cambria"/>
          <w:color w:val="auto"/>
          <w:sz w:val="22"/>
          <w:szCs w:val="22"/>
          <w:lang w:val="es-ES_tradnl"/>
        </w:rPr>
        <w:t xml:space="preserve">° </w:t>
      </w:r>
      <w:r w:rsidR="000A6BBA" w:rsidRPr="005F2CD8">
        <w:rPr>
          <w:rFonts w:ascii="Cambria" w:hAnsi="Cambria"/>
          <w:color w:val="auto"/>
          <w:sz w:val="22"/>
          <w:szCs w:val="22"/>
          <w:lang w:val="es-ES_tradnl"/>
        </w:rPr>
        <w:t>7302, Ley de creación del Régimen General de Pensiones</w:t>
      </w:r>
      <w:r w:rsidR="00323385">
        <w:rPr>
          <w:rFonts w:ascii="Cambria" w:hAnsi="Cambria"/>
          <w:color w:val="auto"/>
          <w:sz w:val="22"/>
          <w:szCs w:val="22"/>
          <w:lang w:val="es-ES_tradnl"/>
        </w:rPr>
        <w:t xml:space="preserve"> con cargo </w:t>
      </w:r>
      <w:r>
        <w:rPr>
          <w:rFonts w:ascii="Cambria" w:hAnsi="Cambria"/>
          <w:color w:val="auto"/>
          <w:sz w:val="22"/>
          <w:szCs w:val="22"/>
          <w:lang w:val="es-ES_tradnl"/>
        </w:rPr>
        <w:t xml:space="preserve">al </w:t>
      </w:r>
      <w:r w:rsidR="00323385">
        <w:rPr>
          <w:rFonts w:ascii="Cambria" w:hAnsi="Cambria"/>
          <w:color w:val="auto"/>
          <w:sz w:val="22"/>
          <w:szCs w:val="22"/>
          <w:lang w:val="es-ES_tradnl"/>
        </w:rPr>
        <w:t>Presupuesto Nacional</w:t>
      </w:r>
      <w:r w:rsidR="000334EE" w:rsidRPr="00323385">
        <w:rPr>
          <w:rFonts w:asciiTheme="majorHAnsi" w:hAnsiTheme="majorHAnsi" w:cs="Arial"/>
          <w:color w:val="auto"/>
          <w:sz w:val="22"/>
          <w:szCs w:val="22"/>
          <w:lang w:val="es-ES_tradnl"/>
        </w:rPr>
        <w:t>.</w:t>
      </w:r>
    </w:p>
    <w:p w14:paraId="62A5ABAB" w14:textId="77777777" w:rsidR="004F01DC" w:rsidRDefault="004F01DC" w:rsidP="00F82B1C">
      <w:pPr>
        <w:rPr>
          <w:rFonts w:asciiTheme="majorHAnsi" w:hAnsiTheme="majorHAnsi"/>
          <w:b/>
          <w:sz w:val="22"/>
          <w:szCs w:val="22"/>
          <w:lang w:val="es-CR"/>
        </w:rPr>
      </w:pPr>
    </w:p>
    <w:p w14:paraId="06A9486C" w14:textId="266AD0C1" w:rsidR="0030723E" w:rsidRPr="00060053" w:rsidRDefault="00DC6B58" w:rsidP="00F82B1C">
      <w:pPr>
        <w:rPr>
          <w:rFonts w:asciiTheme="majorHAnsi" w:hAnsiTheme="majorHAnsi"/>
          <w:b/>
          <w:sz w:val="22"/>
          <w:szCs w:val="22"/>
          <w:lang w:val="es-CR"/>
        </w:rPr>
      </w:pPr>
      <w:r>
        <w:rPr>
          <w:rFonts w:asciiTheme="majorHAnsi" w:hAnsiTheme="majorHAnsi"/>
          <w:b/>
          <w:sz w:val="22"/>
          <w:szCs w:val="22"/>
          <w:lang w:val="es-CR"/>
        </w:rPr>
        <w:t>Estructura Organizacional</w:t>
      </w:r>
    </w:p>
    <w:p w14:paraId="06A9486D" w14:textId="77777777" w:rsidR="008B03DB" w:rsidRPr="00060053" w:rsidRDefault="008B03DB" w:rsidP="002248DE">
      <w:pPr>
        <w:jc w:val="both"/>
        <w:rPr>
          <w:rFonts w:asciiTheme="majorHAnsi" w:hAnsiTheme="majorHAnsi"/>
          <w:b/>
          <w:sz w:val="22"/>
          <w:szCs w:val="22"/>
          <w:lang w:val="es-CR"/>
        </w:rPr>
      </w:pPr>
    </w:p>
    <w:p w14:paraId="06A9486E" w14:textId="08DB6665" w:rsidR="008B03DB" w:rsidRPr="00060053" w:rsidRDefault="008B03DB" w:rsidP="002248DE">
      <w:pPr>
        <w:widowControl w:val="0"/>
        <w:autoSpaceDE w:val="0"/>
        <w:autoSpaceDN w:val="0"/>
        <w:adjustRightInd w:val="0"/>
        <w:jc w:val="both"/>
        <w:rPr>
          <w:rFonts w:asciiTheme="majorHAnsi" w:hAnsiTheme="majorHAnsi" w:cs="Arial"/>
          <w:bCs/>
          <w:sz w:val="22"/>
          <w:szCs w:val="22"/>
        </w:rPr>
      </w:pPr>
      <w:r w:rsidRPr="00060053">
        <w:rPr>
          <w:rFonts w:asciiTheme="majorHAnsi" w:hAnsiTheme="majorHAnsi" w:cs="Arial"/>
          <w:bCs/>
          <w:sz w:val="22"/>
          <w:szCs w:val="22"/>
        </w:rPr>
        <w:t xml:space="preserve">La estructura organizacional de la </w:t>
      </w:r>
      <w:r w:rsidR="00D277D9">
        <w:rPr>
          <w:rFonts w:asciiTheme="majorHAnsi" w:hAnsiTheme="majorHAnsi" w:cs="Arial"/>
          <w:bCs/>
          <w:sz w:val="22"/>
          <w:szCs w:val="22"/>
        </w:rPr>
        <w:t>SUPEN</w:t>
      </w:r>
      <w:r w:rsidRPr="00060053">
        <w:rPr>
          <w:rFonts w:asciiTheme="majorHAnsi" w:hAnsiTheme="majorHAnsi" w:cs="Arial"/>
          <w:bCs/>
          <w:sz w:val="22"/>
          <w:szCs w:val="22"/>
        </w:rPr>
        <w:t xml:space="preserve"> está conformada por las siguientes unidades organizacionales.</w:t>
      </w:r>
    </w:p>
    <w:p w14:paraId="06A9486F" w14:textId="77777777" w:rsidR="008B03DB" w:rsidRPr="00060053" w:rsidRDefault="008B03DB" w:rsidP="002248DE">
      <w:pPr>
        <w:widowControl w:val="0"/>
        <w:autoSpaceDE w:val="0"/>
        <w:autoSpaceDN w:val="0"/>
        <w:adjustRightInd w:val="0"/>
        <w:ind w:left="567"/>
        <w:jc w:val="both"/>
        <w:rPr>
          <w:rFonts w:asciiTheme="majorHAnsi" w:hAnsiTheme="majorHAnsi" w:cs="Arial"/>
          <w:sz w:val="22"/>
          <w:szCs w:val="22"/>
        </w:rPr>
      </w:pPr>
    </w:p>
    <w:p w14:paraId="06A94870" w14:textId="77777777" w:rsidR="008B03DB" w:rsidRPr="00060053" w:rsidRDefault="008B03DB" w:rsidP="00DA5C23">
      <w:pPr>
        <w:widowControl w:val="0"/>
        <w:numPr>
          <w:ilvl w:val="0"/>
          <w:numId w:val="4"/>
        </w:numPr>
        <w:jc w:val="both"/>
        <w:rPr>
          <w:rFonts w:asciiTheme="majorHAnsi" w:hAnsiTheme="majorHAnsi" w:cs="Arial"/>
          <w:b/>
          <w:bCs/>
          <w:smallCaps/>
          <w:sz w:val="22"/>
          <w:szCs w:val="22"/>
        </w:rPr>
      </w:pPr>
      <w:r w:rsidRPr="00060053">
        <w:rPr>
          <w:rFonts w:asciiTheme="majorHAnsi" w:hAnsiTheme="majorHAnsi" w:cs="Arial"/>
          <w:b/>
          <w:bCs/>
          <w:smallCaps/>
          <w:sz w:val="22"/>
          <w:szCs w:val="22"/>
        </w:rPr>
        <w:t>Nivel Superior</w:t>
      </w:r>
    </w:p>
    <w:p w14:paraId="16363612" w14:textId="77777777" w:rsidR="003700A0" w:rsidRPr="003700A0" w:rsidRDefault="008B03DB" w:rsidP="00DA5C23">
      <w:pPr>
        <w:widowControl w:val="0"/>
        <w:numPr>
          <w:ilvl w:val="1"/>
          <w:numId w:val="3"/>
        </w:numPr>
        <w:jc w:val="both"/>
        <w:rPr>
          <w:rFonts w:asciiTheme="majorHAnsi" w:hAnsiTheme="majorHAnsi" w:cs="Arial"/>
          <w:color w:val="1F497D" w:themeColor="text2"/>
          <w:sz w:val="22"/>
          <w:szCs w:val="22"/>
        </w:rPr>
      </w:pPr>
      <w:r w:rsidRPr="00060053">
        <w:rPr>
          <w:rFonts w:asciiTheme="majorHAnsi" w:hAnsiTheme="majorHAnsi" w:cs="Arial"/>
          <w:sz w:val="22"/>
          <w:szCs w:val="22"/>
        </w:rPr>
        <w:t>Despacho de</w:t>
      </w:r>
      <w:r w:rsidR="002A5CCD" w:rsidRPr="00060053">
        <w:rPr>
          <w:rFonts w:asciiTheme="majorHAnsi" w:hAnsiTheme="majorHAnsi" w:cs="Arial"/>
          <w:sz w:val="22"/>
          <w:szCs w:val="22"/>
        </w:rPr>
        <w:t>l</w:t>
      </w:r>
      <w:r w:rsidRPr="00060053">
        <w:rPr>
          <w:rFonts w:asciiTheme="majorHAnsi" w:hAnsiTheme="majorHAnsi" w:cs="Arial"/>
          <w:sz w:val="22"/>
          <w:szCs w:val="22"/>
        </w:rPr>
        <w:t xml:space="preserve"> Superintenden</w:t>
      </w:r>
      <w:r w:rsidR="002A5CCD" w:rsidRPr="00060053">
        <w:rPr>
          <w:rFonts w:asciiTheme="majorHAnsi" w:hAnsiTheme="majorHAnsi" w:cs="Arial"/>
          <w:sz w:val="22"/>
          <w:szCs w:val="22"/>
        </w:rPr>
        <w:t>te</w:t>
      </w:r>
      <w:r w:rsidRPr="00060053">
        <w:rPr>
          <w:rFonts w:asciiTheme="majorHAnsi" w:hAnsiTheme="majorHAnsi" w:cs="Arial"/>
          <w:sz w:val="22"/>
          <w:szCs w:val="22"/>
        </w:rPr>
        <w:t>.</w:t>
      </w:r>
      <w:r w:rsidR="00DC6B58">
        <w:rPr>
          <w:rFonts w:asciiTheme="majorHAnsi" w:hAnsiTheme="majorHAnsi" w:cs="Arial"/>
          <w:sz w:val="22"/>
          <w:szCs w:val="22"/>
        </w:rPr>
        <w:t xml:space="preserve"> </w:t>
      </w:r>
    </w:p>
    <w:p w14:paraId="06A94871" w14:textId="520E280A" w:rsidR="008B03DB" w:rsidRPr="00675AB9" w:rsidRDefault="003700A0" w:rsidP="00DA5C23">
      <w:pPr>
        <w:widowControl w:val="0"/>
        <w:numPr>
          <w:ilvl w:val="1"/>
          <w:numId w:val="3"/>
        </w:numPr>
        <w:jc w:val="both"/>
        <w:rPr>
          <w:rFonts w:asciiTheme="majorHAnsi" w:hAnsiTheme="majorHAnsi" w:cs="Arial"/>
          <w:sz w:val="22"/>
          <w:szCs w:val="22"/>
        </w:rPr>
      </w:pPr>
      <w:r w:rsidRPr="00675AB9">
        <w:rPr>
          <w:rFonts w:asciiTheme="majorHAnsi" w:hAnsiTheme="majorHAnsi" w:cs="Arial"/>
          <w:sz w:val="22"/>
          <w:szCs w:val="22"/>
        </w:rPr>
        <w:t>Despacho del Intendente.</w:t>
      </w:r>
    </w:p>
    <w:p w14:paraId="06A94872" w14:textId="77777777" w:rsidR="008B03DB" w:rsidRPr="00060053" w:rsidRDefault="008B03DB" w:rsidP="002248DE">
      <w:pPr>
        <w:widowControl w:val="0"/>
        <w:ind w:left="1134"/>
        <w:jc w:val="both"/>
        <w:rPr>
          <w:rFonts w:asciiTheme="majorHAnsi" w:hAnsiTheme="majorHAnsi" w:cs="Arial"/>
          <w:sz w:val="22"/>
          <w:szCs w:val="22"/>
        </w:rPr>
      </w:pPr>
    </w:p>
    <w:p w14:paraId="06A94873" w14:textId="77777777" w:rsidR="008B03DB" w:rsidRPr="00060053" w:rsidRDefault="008B03DB" w:rsidP="00DA5C23">
      <w:pPr>
        <w:widowControl w:val="0"/>
        <w:numPr>
          <w:ilvl w:val="0"/>
          <w:numId w:val="4"/>
        </w:numPr>
        <w:tabs>
          <w:tab w:val="clear" w:pos="1134"/>
          <w:tab w:val="left" w:pos="1080"/>
        </w:tabs>
        <w:ind w:left="1080" w:hanging="513"/>
        <w:jc w:val="both"/>
        <w:rPr>
          <w:rFonts w:asciiTheme="majorHAnsi" w:hAnsiTheme="majorHAnsi" w:cs="Arial"/>
          <w:b/>
          <w:bCs/>
          <w:smallCaps/>
          <w:sz w:val="22"/>
          <w:szCs w:val="22"/>
        </w:rPr>
      </w:pPr>
      <w:r w:rsidRPr="00060053">
        <w:rPr>
          <w:rFonts w:asciiTheme="majorHAnsi" w:hAnsiTheme="majorHAnsi" w:cs="Arial"/>
          <w:b/>
          <w:bCs/>
          <w:smallCaps/>
          <w:sz w:val="22"/>
          <w:szCs w:val="22"/>
        </w:rPr>
        <w:t>División</w:t>
      </w:r>
    </w:p>
    <w:p w14:paraId="06A94874" w14:textId="77777777" w:rsidR="008B03DB" w:rsidRPr="00060053" w:rsidRDefault="008B03DB" w:rsidP="007D2E79">
      <w:pPr>
        <w:widowControl w:val="0"/>
        <w:numPr>
          <w:ilvl w:val="0"/>
          <w:numId w:val="7"/>
        </w:numPr>
        <w:jc w:val="both"/>
        <w:rPr>
          <w:rFonts w:asciiTheme="majorHAnsi" w:hAnsiTheme="majorHAnsi" w:cs="Arial"/>
          <w:sz w:val="22"/>
          <w:szCs w:val="22"/>
        </w:rPr>
      </w:pPr>
      <w:r w:rsidRPr="00060053">
        <w:rPr>
          <w:rFonts w:asciiTheme="majorHAnsi" w:hAnsiTheme="majorHAnsi" w:cs="Arial"/>
          <w:sz w:val="22"/>
          <w:szCs w:val="22"/>
        </w:rPr>
        <w:t>Planificación y Normativa.</w:t>
      </w:r>
    </w:p>
    <w:p w14:paraId="06A94875" w14:textId="77777777" w:rsidR="008B03DB" w:rsidRPr="00060053" w:rsidRDefault="008B03DB" w:rsidP="007D2E79">
      <w:pPr>
        <w:widowControl w:val="0"/>
        <w:numPr>
          <w:ilvl w:val="0"/>
          <w:numId w:val="7"/>
        </w:numPr>
        <w:jc w:val="both"/>
        <w:rPr>
          <w:rFonts w:asciiTheme="majorHAnsi" w:hAnsiTheme="majorHAnsi" w:cs="Arial"/>
          <w:sz w:val="22"/>
          <w:szCs w:val="22"/>
        </w:rPr>
      </w:pPr>
      <w:r w:rsidRPr="00060053">
        <w:rPr>
          <w:rFonts w:asciiTheme="majorHAnsi" w:hAnsiTheme="majorHAnsi" w:cs="Arial"/>
          <w:sz w:val="22"/>
          <w:szCs w:val="22"/>
        </w:rPr>
        <w:t>Supervisión Regímenes de Capitalización Individual.</w:t>
      </w:r>
    </w:p>
    <w:p w14:paraId="06A94876" w14:textId="77777777" w:rsidR="008B03DB" w:rsidRPr="00060053" w:rsidRDefault="008B03DB" w:rsidP="007D2E79">
      <w:pPr>
        <w:widowControl w:val="0"/>
        <w:numPr>
          <w:ilvl w:val="0"/>
          <w:numId w:val="7"/>
        </w:numPr>
        <w:jc w:val="both"/>
        <w:rPr>
          <w:rFonts w:asciiTheme="majorHAnsi" w:hAnsiTheme="majorHAnsi" w:cs="Arial"/>
          <w:sz w:val="22"/>
          <w:szCs w:val="22"/>
        </w:rPr>
      </w:pPr>
      <w:r w:rsidRPr="00060053">
        <w:rPr>
          <w:rFonts w:asciiTheme="majorHAnsi" w:hAnsiTheme="majorHAnsi" w:cs="Arial"/>
          <w:sz w:val="22"/>
          <w:szCs w:val="22"/>
        </w:rPr>
        <w:t>Supervisión Regímenes Colectivos.</w:t>
      </w:r>
    </w:p>
    <w:p w14:paraId="06A94877" w14:textId="77777777" w:rsidR="00EC583B" w:rsidRPr="00060053" w:rsidRDefault="0021651E" w:rsidP="007D2E79">
      <w:pPr>
        <w:widowControl w:val="0"/>
        <w:numPr>
          <w:ilvl w:val="0"/>
          <w:numId w:val="7"/>
        </w:numPr>
        <w:jc w:val="both"/>
        <w:rPr>
          <w:rFonts w:asciiTheme="majorHAnsi" w:hAnsiTheme="majorHAnsi" w:cs="Arial"/>
          <w:sz w:val="22"/>
          <w:szCs w:val="22"/>
        </w:rPr>
      </w:pPr>
      <w:r w:rsidRPr="00060053">
        <w:rPr>
          <w:rFonts w:asciiTheme="majorHAnsi" w:hAnsiTheme="majorHAnsi" w:cs="Arial"/>
          <w:sz w:val="22"/>
          <w:szCs w:val="22"/>
        </w:rPr>
        <w:t>Jurídica</w:t>
      </w:r>
      <w:r w:rsidR="003F1D42">
        <w:rPr>
          <w:rFonts w:asciiTheme="majorHAnsi" w:hAnsiTheme="majorHAnsi" w:cs="Arial"/>
          <w:sz w:val="22"/>
          <w:szCs w:val="22"/>
        </w:rPr>
        <w:t>.</w:t>
      </w:r>
    </w:p>
    <w:p w14:paraId="06A94878" w14:textId="77777777" w:rsidR="008B03DB" w:rsidRPr="00060053" w:rsidRDefault="008B03DB" w:rsidP="002248DE">
      <w:pPr>
        <w:widowControl w:val="0"/>
        <w:ind w:left="1134"/>
        <w:jc w:val="both"/>
        <w:rPr>
          <w:rFonts w:asciiTheme="majorHAnsi" w:hAnsiTheme="majorHAnsi" w:cs="Arial"/>
          <w:sz w:val="22"/>
          <w:szCs w:val="22"/>
        </w:rPr>
      </w:pPr>
    </w:p>
    <w:p w14:paraId="06A9487C" w14:textId="77777777" w:rsidR="00431225" w:rsidRPr="00060053" w:rsidRDefault="00431225" w:rsidP="00DA5C23">
      <w:pPr>
        <w:widowControl w:val="0"/>
        <w:numPr>
          <w:ilvl w:val="0"/>
          <w:numId w:val="4"/>
        </w:numPr>
        <w:jc w:val="both"/>
        <w:rPr>
          <w:rFonts w:asciiTheme="majorHAnsi" w:hAnsiTheme="majorHAnsi" w:cs="Arial"/>
          <w:b/>
          <w:bCs/>
          <w:smallCaps/>
          <w:sz w:val="22"/>
          <w:szCs w:val="22"/>
        </w:rPr>
      </w:pPr>
      <w:r w:rsidRPr="00060053">
        <w:rPr>
          <w:rFonts w:asciiTheme="majorHAnsi" w:hAnsiTheme="majorHAnsi" w:cs="Arial"/>
          <w:b/>
          <w:bCs/>
          <w:smallCaps/>
          <w:sz w:val="22"/>
          <w:szCs w:val="22"/>
        </w:rPr>
        <w:t>Área</w:t>
      </w:r>
    </w:p>
    <w:p w14:paraId="06A9487D" w14:textId="77777777" w:rsidR="008B03DB" w:rsidRPr="00060053" w:rsidRDefault="005A6458" w:rsidP="00C914CA">
      <w:pPr>
        <w:widowControl w:val="0"/>
        <w:numPr>
          <w:ilvl w:val="0"/>
          <w:numId w:val="8"/>
        </w:numPr>
        <w:jc w:val="both"/>
        <w:rPr>
          <w:rFonts w:asciiTheme="majorHAnsi" w:hAnsiTheme="majorHAnsi" w:cs="Arial"/>
          <w:sz w:val="22"/>
          <w:szCs w:val="22"/>
        </w:rPr>
      </w:pPr>
      <w:r w:rsidRPr="00060053">
        <w:rPr>
          <w:rFonts w:asciiTheme="majorHAnsi" w:hAnsiTheme="majorHAnsi" w:cs="Arial"/>
          <w:sz w:val="22"/>
          <w:szCs w:val="22"/>
        </w:rPr>
        <w:t>Comunicación y Servicios</w:t>
      </w:r>
      <w:r w:rsidR="008B03DB" w:rsidRPr="00060053">
        <w:rPr>
          <w:rFonts w:asciiTheme="majorHAnsi" w:hAnsiTheme="majorHAnsi" w:cs="Arial"/>
          <w:sz w:val="22"/>
          <w:szCs w:val="22"/>
        </w:rPr>
        <w:t>.</w:t>
      </w:r>
    </w:p>
    <w:p w14:paraId="06A9487F" w14:textId="77777777" w:rsidR="003F1D42" w:rsidRDefault="003F1D42" w:rsidP="002248DE">
      <w:pPr>
        <w:rPr>
          <w:rFonts w:asciiTheme="majorHAnsi" w:hAnsiTheme="majorHAnsi"/>
          <w:b/>
          <w:sz w:val="22"/>
          <w:szCs w:val="22"/>
          <w:lang w:val="es-CR"/>
        </w:rPr>
      </w:pPr>
    </w:p>
    <w:p w14:paraId="06A94880" w14:textId="1F4938C5" w:rsidR="0030723E" w:rsidRPr="00295B19" w:rsidRDefault="0030723E" w:rsidP="002248DE">
      <w:pPr>
        <w:rPr>
          <w:rFonts w:asciiTheme="majorHAnsi" w:hAnsiTheme="majorHAnsi"/>
          <w:b/>
          <w:szCs w:val="22"/>
          <w:lang w:val="es-CR"/>
        </w:rPr>
      </w:pPr>
      <w:r w:rsidRPr="00295B19">
        <w:rPr>
          <w:rFonts w:asciiTheme="majorHAnsi" w:hAnsiTheme="majorHAnsi"/>
          <w:b/>
          <w:szCs w:val="22"/>
          <w:lang w:val="es-CR"/>
        </w:rPr>
        <w:t>Funciones</w:t>
      </w:r>
      <w:r w:rsidR="00E26F24" w:rsidRPr="00295B19">
        <w:rPr>
          <w:rFonts w:asciiTheme="majorHAnsi" w:hAnsiTheme="majorHAnsi"/>
          <w:b/>
          <w:szCs w:val="22"/>
          <w:lang w:val="es-CR"/>
        </w:rPr>
        <w:t xml:space="preserve"> de las unidades organizacionales</w:t>
      </w:r>
      <w:r w:rsidR="003B1C05" w:rsidRPr="00295B19">
        <w:rPr>
          <w:rFonts w:asciiTheme="majorHAnsi" w:hAnsiTheme="majorHAnsi"/>
          <w:b/>
          <w:szCs w:val="22"/>
          <w:lang w:val="es-CR"/>
        </w:rPr>
        <w:t xml:space="preserve"> de la </w:t>
      </w:r>
      <w:r w:rsidR="00D277D9" w:rsidRPr="00295B19">
        <w:rPr>
          <w:rFonts w:asciiTheme="majorHAnsi" w:hAnsiTheme="majorHAnsi"/>
          <w:b/>
          <w:szCs w:val="22"/>
          <w:lang w:val="es-CR"/>
        </w:rPr>
        <w:t>SUPEN</w:t>
      </w:r>
    </w:p>
    <w:p w14:paraId="06A94881" w14:textId="77777777" w:rsidR="002248DE" w:rsidRPr="00060053" w:rsidRDefault="002248DE" w:rsidP="002248DE">
      <w:pPr>
        <w:rPr>
          <w:rFonts w:asciiTheme="majorHAnsi" w:hAnsiTheme="majorHAnsi"/>
          <w:b/>
          <w:sz w:val="22"/>
          <w:szCs w:val="22"/>
          <w:lang w:val="es-CR"/>
        </w:rPr>
      </w:pPr>
    </w:p>
    <w:p w14:paraId="06A94882" w14:textId="63DC2FA7" w:rsidR="004033F4" w:rsidRDefault="0030723E" w:rsidP="00E9521C">
      <w:pPr>
        <w:widowControl w:val="0"/>
        <w:jc w:val="both"/>
        <w:rPr>
          <w:rFonts w:asciiTheme="majorHAnsi" w:hAnsiTheme="majorHAnsi"/>
          <w:sz w:val="22"/>
          <w:szCs w:val="22"/>
          <w:lang w:val="es-CR"/>
        </w:rPr>
      </w:pPr>
      <w:r w:rsidRPr="00060053">
        <w:rPr>
          <w:rFonts w:asciiTheme="majorHAnsi" w:hAnsiTheme="majorHAnsi"/>
          <w:b/>
          <w:sz w:val="22"/>
          <w:szCs w:val="22"/>
          <w:lang w:val="es-CR"/>
        </w:rPr>
        <w:t>Despacho del Superintendente</w:t>
      </w:r>
      <w:r w:rsidR="00E9521C" w:rsidRPr="00060053">
        <w:rPr>
          <w:rFonts w:asciiTheme="majorHAnsi" w:hAnsiTheme="majorHAnsi"/>
          <w:b/>
          <w:sz w:val="22"/>
          <w:szCs w:val="22"/>
          <w:lang w:val="es-CR"/>
        </w:rPr>
        <w:t xml:space="preserve"> e Intendente</w:t>
      </w:r>
    </w:p>
    <w:p w14:paraId="111CF755" w14:textId="77777777" w:rsidR="00DC6B58" w:rsidRDefault="00DC6B58" w:rsidP="00E9521C">
      <w:pPr>
        <w:widowControl w:val="0"/>
        <w:jc w:val="both"/>
        <w:rPr>
          <w:rFonts w:asciiTheme="majorHAnsi" w:hAnsiTheme="majorHAnsi"/>
          <w:sz w:val="22"/>
          <w:szCs w:val="22"/>
          <w:lang w:val="es-CR"/>
        </w:rPr>
      </w:pPr>
    </w:p>
    <w:p w14:paraId="06A94884" w14:textId="74F06A77" w:rsidR="008450E8" w:rsidRPr="00060053" w:rsidRDefault="008450E8" w:rsidP="008450E8">
      <w:pPr>
        <w:widowControl w:val="0"/>
        <w:ind w:left="567"/>
        <w:jc w:val="both"/>
        <w:rPr>
          <w:rFonts w:asciiTheme="majorHAnsi" w:hAnsiTheme="majorHAnsi" w:cs="Arial"/>
          <w:sz w:val="22"/>
          <w:szCs w:val="22"/>
        </w:rPr>
      </w:pPr>
      <w:r w:rsidRPr="00060053">
        <w:rPr>
          <w:rFonts w:asciiTheme="majorHAnsi" w:hAnsiTheme="majorHAnsi" w:cs="Arial"/>
          <w:sz w:val="22"/>
          <w:szCs w:val="22"/>
        </w:rPr>
        <w:t>Tiene a cargo planificar, dirigir y coordinar todas aquellas actividades relacionadas con la organización, funcionamiento y coordinación de las dependencias de la Institución, con apoyo de las leyes, reglamentos y resoluciones del Consejo Nacional de Supervisión del Sistema Financiero (CONASSIF).</w:t>
      </w:r>
    </w:p>
    <w:p w14:paraId="06A94885" w14:textId="77777777" w:rsidR="008450E8" w:rsidRPr="00060053" w:rsidRDefault="008450E8" w:rsidP="008450E8">
      <w:pPr>
        <w:widowControl w:val="0"/>
        <w:ind w:left="567"/>
        <w:jc w:val="both"/>
        <w:rPr>
          <w:rFonts w:asciiTheme="majorHAnsi" w:hAnsiTheme="majorHAnsi" w:cs="Arial"/>
          <w:sz w:val="22"/>
          <w:szCs w:val="22"/>
        </w:rPr>
      </w:pPr>
    </w:p>
    <w:p w14:paraId="06A94886" w14:textId="17101B19" w:rsidR="008450E8" w:rsidRPr="00060053" w:rsidRDefault="003026C3" w:rsidP="008450E8">
      <w:pPr>
        <w:widowControl w:val="0"/>
        <w:ind w:left="567"/>
        <w:jc w:val="both"/>
        <w:rPr>
          <w:rFonts w:asciiTheme="majorHAnsi" w:hAnsiTheme="majorHAnsi" w:cs="Arial"/>
          <w:sz w:val="22"/>
          <w:szCs w:val="22"/>
        </w:rPr>
      </w:pPr>
      <w:r>
        <w:rPr>
          <w:rFonts w:asciiTheme="majorHAnsi" w:hAnsiTheme="majorHAnsi" w:cs="Arial"/>
          <w:sz w:val="22"/>
          <w:szCs w:val="22"/>
        </w:rPr>
        <w:t>De igual forma gestiona</w:t>
      </w:r>
      <w:r w:rsidR="008450E8" w:rsidRPr="00060053">
        <w:rPr>
          <w:rFonts w:asciiTheme="majorHAnsi" w:hAnsiTheme="majorHAnsi" w:cs="Arial"/>
          <w:sz w:val="22"/>
          <w:szCs w:val="22"/>
        </w:rPr>
        <w:t xml:space="preserve"> el cumplimiento</w:t>
      </w:r>
      <w:r w:rsidR="000D761A">
        <w:rPr>
          <w:rFonts w:asciiTheme="majorHAnsi" w:hAnsiTheme="majorHAnsi" w:cs="Arial"/>
          <w:sz w:val="22"/>
          <w:szCs w:val="22"/>
        </w:rPr>
        <w:t xml:space="preserve"> de los objetivos estratégicos y de calidad</w:t>
      </w:r>
      <w:r w:rsidR="008450E8" w:rsidRPr="00060053">
        <w:rPr>
          <w:rFonts w:asciiTheme="majorHAnsi" w:hAnsiTheme="majorHAnsi" w:cs="Arial"/>
          <w:sz w:val="22"/>
          <w:szCs w:val="22"/>
        </w:rPr>
        <w:t xml:space="preserve"> de la </w:t>
      </w:r>
      <w:r w:rsidR="00D277D9">
        <w:rPr>
          <w:rFonts w:asciiTheme="majorHAnsi" w:hAnsiTheme="majorHAnsi" w:cs="Arial"/>
          <w:sz w:val="22"/>
          <w:szCs w:val="22"/>
        </w:rPr>
        <w:t>SUPEN</w:t>
      </w:r>
      <w:r w:rsidR="008450E8" w:rsidRPr="00060053">
        <w:rPr>
          <w:rFonts w:asciiTheme="majorHAnsi" w:hAnsiTheme="majorHAnsi" w:cs="Arial"/>
          <w:sz w:val="22"/>
          <w:szCs w:val="22"/>
        </w:rPr>
        <w:t xml:space="preserve"> y los objetivos tácticos de cada dependencia.</w:t>
      </w:r>
    </w:p>
    <w:p w14:paraId="06A94887" w14:textId="77777777" w:rsidR="008450E8" w:rsidRPr="00060053" w:rsidRDefault="008450E8" w:rsidP="008450E8">
      <w:pPr>
        <w:widowControl w:val="0"/>
        <w:ind w:left="567"/>
        <w:jc w:val="both"/>
        <w:rPr>
          <w:rFonts w:asciiTheme="majorHAnsi" w:hAnsiTheme="majorHAnsi" w:cs="Arial"/>
          <w:sz w:val="22"/>
          <w:szCs w:val="22"/>
        </w:rPr>
      </w:pPr>
    </w:p>
    <w:p w14:paraId="06A94888" w14:textId="6AD740AC" w:rsidR="004033F4" w:rsidRDefault="0030723E" w:rsidP="002248DE">
      <w:pPr>
        <w:rPr>
          <w:rFonts w:asciiTheme="majorHAnsi" w:hAnsiTheme="majorHAnsi"/>
          <w:sz w:val="22"/>
          <w:szCs w:val="22"/>
          <w:lang w:val="es-CR"/>
        </w:rPr>
      </w:pPr>
      <w:r w:rsidRPr="00060053">
        <w:rPr>
          <w:rFonts w:asciiTheme="majorHAnsi" w:hAnsiTheme="majorHAnsi"/>
          <w:b/>
          <w:sz w:val="22"/>
          <w:szCs w:val="22"/>
          <w:lang w:val="es-CR"/>
        </w:rPr>
        <w:t xml:space="preserve">División de </w:t>
      </w:r>
      <w:r w:rsidR="00B9786D" w:rsidRPr="00060053">
        <w:rPr>
          <w:rFonts w:asciiTheme="majorHAnsi" w:hAnsiTheme="majorHAnsi"/>
          <w:b/>
          <w:sz w:val="22"/>
          <w:szCs w:val="22"/>
          <w:lang w:val="es-CR"/>
        </w:rPr>
        <w:t>Regímenes de Capitalizaci</w:t>
      </w:r>
      <w:r w:rsidR="008B03DB" w:rsidRPr="00060053">
        <w:rPr>
          <w:rFonts w:asciiTheme="majorHAnsi" w:hAnsiTheme="majorHAnsi"/>
          <w:b/>
          <w:sz w:val="22"/>
          <w:szCs w:val="22"/>
          <w:lang w:val="es-CR"/>
        </w:rPr>
        <w:t>ón Individu</w:t>
      </w:r>
      <w:r w:rsidR="00B9786D" w:rsidRPr="00060053">
        <w:rPr>
          <w:rFonts w:asciiTheme="majorHAnsi" w:hAnsiTheme="majorHAnsi"/>
          <w:b/>
          <w:sz w:val="22"/>
          <w:szCs w:val="22"/>
          <w:lang w:val="es-CR"/>
        </w:rPr>
        <w:t>al</w:t>
      </w:r>
    </w:p>
    <w:p w14:paraId="5ED8E80A" w14:textId="77777777" w:rsidR="00DC6B58" w:rsidRDefault="00DC6B58" w:rsidP="002248DE">
      <w:pPr>
        <w:rPr>
          <w:rFonts w:asciiTheme="majorHAnsi" w:hAnsiTheme="majorHAnsi"/>
          <w:sz w:val="22"/>
          <w:szCs w:val="22"/>
          <w:lang w:val="es-CR"/>
        </w:rPr>
      </w:pPr>
    </w:p>
    <w:p w14:paraId="06A9488A" w14:textId="04E8C50C" w:rsidR="00B9786D" w:rsidRPr="00060053" w:rsidRDefault="002B488E" w:rsidP="000D6AF2">
      <w:pPr>
        <w:ind w:left="567"/>
        <w:jc w:val="both"/>
        <w:rPr>
          <w:rFonts w:asciiTheme="majorHAnsi" w:hAnsiTheme="majorHAnsi" w:cs="Arial"/>
          <w:sz w:val="22"/>
          <w:szCs w:val="22"/>
        </w:rPr>
      </w:pPr>
      <w:r w:rsidRPr="00060053">
        <w:rPr>
          <w:rFonts w:asciiTheme="majorHAnsi" w:hAnsiTheme="majorHAnsi" w:cs="Arial"/>
          <w:sz w:val="22"/>
          <w:szCs w:val="22"/>
        </w:rPr>
        <w:t xml:space="preserve">Tiene a cargo planificar, dirigir, coordinar, ejecutar y controlar las acciones de supervisión tanto </w:t>
      </w:r>
      <w:r w:rsidRPr="00761F9B">
        <w:rPr>
          <w:rFonts w:asciiTheme="majorHAnsi" w:hAnsiTheme="majorHAnsi" w:cs="Arial"/>
          <w:i/>
          <w:sz w:val="22"/>
          <w:szCs w:val="22"/>
        </w:rPr>
        <w:t>in situ</w:t>
      </w:r>
      <w:r w:rsidRPr="00060053">
        <w:rPr>
          <w:rFonts w:asciiTheme="majorHAnsi" w:hAnsiTheme="majorHAnsi" w:cs="Arial"/>
          <w:sz w:val="22"/>
          <w:szCs w:val="22"/>
        </w:rPr>
        <w:t xml:space="preserve"> como </w:t>
      </w:r>
      <w:r w:rsidRPr="00761F9B">
        <w:rPr>
          <w:rFonts w:asciiTheme="majorHAnsi" w:hAnsiTheme="majorHAnsi" w:cs="Arial"/>
          <w:i/>
          <w:sz w:val="22"/>
          <w:szCs w:val="22"/>
        </w:rPr>
        <w:t>extra situ</w:t>
      </w:r>
      <w:r w:rsidRPr="00060053">
        <w:rPr>
          <w:rFonts w:asciiTheme="majorHAnsi" w:hAnsiTheme="majorHAnsi" w:cs="Arial"/>
          <w:sz w:val="22"/>
          <w:szCs w:val="22"/>
        </w:rPr>
        <w:t xml:space="preserve"> tendientes a fiscalizar, supervisar el funcionamiento de las principales áreas, operaciones y riesgos de los fondos de pensiones y de las entidades que los administran, procurando la mejora continua de los procesos y procedimientos, dentro de un sistema de gestión de la calidad</w:t>
      </w:r>
      <w:r w:rsidR="00DC3627" w:rsidRPr="00060053">
        <w:rPr>
          <w:rFonts w:asciiTheme="majorHAnsi" w:hAnsiTheme="majorHAnsi" w:cs="Arial"/>
          <w:sz w:val="22"/>
          <w:szCs w:val="22"/>
        </w:rPr>
        <w:t>.</w:t>
      </w:r>
    </w:p>
    <w:p w14:paraId="06A9488B" w14:textId="77777777" w:rsidR="00DC3627" w:rsidRPr="00060053" w:rsidRDefault="00DC3627" w:rsidP="002248DE">
      <w:pPr>
        <w:jc w:val="both"/>
        <w:rPr>
          <w:rFonts w:asciiTheme="majorHAnsi" w:hAnsiTheme="majorHAnsi" w:cs="Arial"/>
          <w:sz w:val="22"/>
          <w:szCs w:val="22"/>
        </w:rPr>
      </w:pPr>
    </w:p>
    <w:p w14:paraId="06A9488C" w14:textId="424AB4A7" w:rsidR="004033F4" w:rsidRDefault="0030723E" w:rsidP="002248DE">
      <w:pPr>
        <w:jc w:val="both"/>
        <w:rPr>
          <w:rFonts w:asciiTheme="majorHAnsi" w:hAnsiTheme="majorHAnsi"/>
          <w:b/>
          <w:sz w:val="22"/>
          <w:szCs w:val="22"/>
          <w:lang w:val="es-CR"/>
        </w:rPr>
      </w:pPr>
      <w:r w:rsidRPr="00060053">
        <w:rPr>
          <w:rFonts w:asciiTheme="majorHAnsi" w:hAnsiTheme="majorHAnsi"/>
          <w:b/>
          <w:sz w:val="22"/>
          <w:szCs w:val="22"/>
          <w:lang w:val="es-CR"/>
        </w:rPr>
        <w:t xml:space="preserve">División de Regímenes </w:t>
      </w:r>
      <w:r w:rsidR="008B03DB" w:rsidRPr="00060053">
        <w:rPr>
          <w:rFonts w:asciiTheme="majorHAnsi" w:hAnsiTheme="majorHAnsi"/>
          <w:b/>
          <w:sz w:val="22"/>
          <w:szCs w:val="22"/>
          <w:lang w:val="es-CR"/>
        </w:rPr>
        <w:t>Colectivos</w:t>
      </w:r>
    </w:p>
    <w:p w14:paraId="47014F85" w14:textId="77777777" w:rsidR="00DC6B58" w:rsidRDefault="00DC6B58" w:rsidP="002248DE">
      <w:pPr>
        <w:jc w:val="both"/>
        <w:rPr>
          <w:rFonts w:asciiTheme="majorHAnsi" w:hAnsiTheme="majorHAnsi"/>
          <w:b/>
          <w:sz w:val="22"/>
          <w:szCs w:val="22"/>
          <w:lang w:val="es-CR"/>
        </w:rPr>
      </w:pPr>
    </w:p>
    <w:p w14:paraId="06A9488E" w14:textId="6FBB3884" w:rsidR="00DC3627" w:rsidRPr="00060053" w:rsidRDefault="002B488E" w:rsidP="000D6AF2">
      <w:pPr>
        <w:widowControl w:val="0"/>
        <w:ind w:left="567"/>
        <w:jc w:val="both"/>
        <w:rPr>
          <w:rFonts w:asciiTheme="majorHAnsi" w:hAnsiTheme="majorHAnsi" w:cs="Arial"/>
          <w:sz w:val="22"/>
          <w:szCs w:val="22"/>
        </w:rPr>
      </w:pPr>
      <w:r w:rsidRPr="00060053">
        <w:rPr>
          <w:rFonts w:asciiTheme="majorHAnsi" w:hAnsiTheme="majorHAnsi" w:cs="Arial"/>
          <w:sz w:val="22"/>
          <w:szCs w:val="22"/>
        </w:rPr>
        <w:t xml:space="preserve">Tiene a su cargo planificar, dirigir, coordinar, ejecutar y controlar las acciones de supervisión tanto </w:t>
      </w:r>
      <w:r w:rsidRPr="00761F9B">
        <w:rPr>
          <w:rFonts w:asciiTheme="majorHAnsi" w:hAnsiTheme="majorHAnsi" w:cs="Arial"/>
          <w:i/>
          <w:sz w:val="22"/>
          <w:szCs w:val="22"/>
        </w:rPr>
        <w:t>in situ</w:t>
      </w:r>
      <w:r w:rsidRPr="00060053">
        <w:rPr>
          <w:rFonts w:asciiTheme="majorHAnsi" w:hAnsiTheme="majorHAnsi" w:cs="Arial"/>
          <w:sz w:val="22"/>
          <w:szCs w:val="22"/>
        </w:rPr>
        <w:t xml:space="preserve"> como </w:t>
      </w:r>
      <w:r w:rsidRPr="00761F9B">
        <w:rPr>
          <w:rFonts w:asciiTheme="majorHAnsi" w:hAnsiTheme="majorHAnsi" w:cs="Arial"/>
          <w:i/>
          <w:sz w:val="22"/>
          <w:szCs w:val="22"/>
        </w:rPr>
        <w:t>extra situ</w:t>
      </w:r>
      <w:r w:rsidRPr="00060053">
        <w:rPr>
          <w:rFonts w:asciiTheme="majorHAnsi" w:hAnsiTheme="majorHAnsi" w:cs="Arial"/>
          <w:sz w:val="22"/>
          <w:szCs w:val="22"/>
        </w:rPr>
        <w:t xml:space="preserve"> tendientes a fiscalizar, supervisar el funcionamiento de las principales áreas, operaciones y riesgos de los Regímenes Colectivos conformados por los </w:t>
      </w:r>
      <w:r w:rsidRPr="00060053">
        <w:rPr>
          <w:rFonts w:asciiTheme="majorHAnsi" w:hAnsiTheme="majorHAnsi" w:cs="Arial"/>
          <w:sz w:val="22"/>
          <w:szCs w:val="22"/>
        </w:rPr>
        <w:lastRenderedPageBreak/>
        <w:t>Regímenes Básicos y los Fondos Complementarios Especiales</w:t>
      </w:r>
      <w:r w:rsidR="00DC3627" w:rsidRPr="00060053">
        <w:rPr>
          <w:rFonts w:asciiTheme="majorHAnsi" w:hAnsiTheme="majorHAnsi" w:cs="Arial"/>
          <w:sz w:val="22"/>
          <w:szCs w:val="22"/>
        </w:rPr>
        <w:t>.</w:t>
      </w:r>
    </w:p>
    <w:p w14:paraId="06A9488F" w14:textId="77777777" w:rsidR="004236CC" w:rsidRPr="00060053" w:rsidRDefault="004236CC" w:rsidP="002248DE">
      <w:pPr>
        <w:widowControl w:val="0"/>
        <w:jc w:val="both"/>
        <w:rPr>
          <w:rFonts w:asciiTheme="majorHAnsi" w:hAnsiTheme="majorHAnsi" w:cs="Arial"/>
          <w:sz w:val="22"/>
          <w:szCs w:val="22"/>
        </w:rPr>
      </w:pPr>
    </w:p>
    <w:p w14:paraId="06A94890" w14:textId="18548DE4" w:rsidR="004033F4" w:rsidRDefault="00B9786D" w:rsidP="002248DE">
      <w:pPr>
        <w:jc w:val="both"/>
        <w:rPr>
          <w:rFonts w:asciiTheme="majorHAnsi" w:hAnsiTheme="majorHAnsi"/>
          <w:b/>
          <w:sz w:val="22"/>
          <w:szCs w:val="22"/>
          <w:lang w:val="es-CR"/>
        </w:rPr>
      </w:pPr>
      <w:r w:rsidRPr="00060053">
        <w:rPr>
          <w:rFonts w:asciiTheme="majorHAnsi" w:hAnsiTheme="majorHAnsi"/>
          <w:b/>
          <w:sz w:val="22"/>
          <w:szCs w:val="22"/>
          <w:lang w:val="es-CR"/>
        </w:rPr>
        <w:t>División de Planificación y Normativa</w:t>
      </w:r>
    </w:p>
    <w:p w14:paraId="7ED41EDE" w14:textId="77777777" w:rsidR="00DC6B58" w:rsidRDefault="00DC6B58" w:rsidP="002248DE">
      <w:pPr>
        <w:jc w:val="both"/>
        <w:rPr>
          <w:rFonts w:asciiTheme="majorHAnsi" w:hAnsiTheme="majorHAnsi"/>
          <w:b/>
          <w:sz w:val="22"/>
          <w:szCs w:val="22"/>
          <w:lang w:val="es-CR"/>
        </w:rPr>
      </w:pPr>
    </w:p>
    <w:p w14:paraId="06A94892" w14:textId="3FA20874" w:rsidR="00DC3627" w:rsidRPr="00060053" w:rsidRDefault="008450E8" w:rsidP="000D6AF2">
      <w:pPr>
        <w:ind w:left="567"/>
        <w:jc w:val="both"/>
        <w:rPr>
          <w:rFonts w:asciiTheme="majorHAnsi" w:hAnsiTheme="majorHAnsi" w:cs="Arial"/>
          <w:sz w:val="22"/>
          <w:szCs w:val="22"/>
        </w:rPr>
      </w:pPr>
      <w:r w:rsidRPr="00060053">
        <w:rPr>
          <w:rFonts w:asciiTheme="majorHAnsi" w:hAnsiTheme="majorHAnsi" w:cs="Arial"/>
          <w:sz w:val="22"/>
          <w:szCs w:val="22"/>
        </w:rPr>
        <w:t>Tiene a cargo planificar, dirigir, coordinar, ejecutar y controlar las actividades relacionadas con la modernización permanente del Modelo de Supervisión del Sistema Nacional de Pensiones.  Asimismo, determinar y dictar las normas y disposiciones legales que regulan la organización, funcionamiento y operación del Sistema Nacional de Pensiones, así como emitir los acuerdos de las autorizaciones que se soliciten para la operación y funcionamiento por parte de los participantes del Sistema Nacional de Pensiones</w:t>
      </w:r>
      <w:r w:rsidR="00DC3627" w:rsidRPr="00060053">
        <w:rPr>
          <w:rFonts w:asciiTheme="majorHAnsi" w:hAnsiTheme="majorHAnsi" w:cs="Arial"/>
          <w:sz w:val="22"/>
          <w:szCs w:val="22"/>
        </w:rPr>
        <w:t>.</w:t>
      </w:r>
    </w:p>
    <w:p w14:paraId="06A94893" w14:textId="77777777" w:rsidR="0030723E" w:rsidRPr="00060053" w:rsidRDefault="0030723E" w:rsidP="002248DE">
      <w:pPr>
        <w:ind w:left="709"/>
        <w:jc w:val="both"/>
        <w:rPr>
          <w:rFonts w:asciiTheme="majorHAnsi" w:hAnsiTheme="majorHAnsi"/>
          <w:sz w:val="22"/>
          <w:szCs w:val="22"/>
        </w:rPr>
      </w:pPr>
    </w:p>
    <w:p w14:paraId="06A94894" w14:textId="2CEF247A" w:rsidR="00EC583B" w:rsidRDefault="00DC6B58" w:rsidP="00EC583B">
      <w:pPr>
        <w:widowControl w:val="0"/>
        <w:jc w:val="both"/>
        <w:rPr>
          <w:rFonts w:asciiTheme="majorHAnsi" w:hAnsiTheme="majorHAnsi"/>
          <w:b/>
          <w:sz w:val="22"/>
          <w:szCs w:val="22"/>
          <w:lang w:val="es-CR"/>
        </w:rPr>
      </w:pPr>
      <w:r>
        <w:rPr>
          <w:rFonts w:asciiTheme="majorHAnsi" w:hAnsiTheme="majorHAnsi"/>
          <w:b/>
          <w:sz w:val="22"/>
          <w:szCs w:val="22"/>
          <w:lang w:val="es-CR"/>
        </w:rPr>
        <w:t>División Jurídica</w:t>
      </w:r>
    </w:p>
    <w:p w14:paraId="6A893625" w14:textId="77777777" w:rsidR="00DC6B58" w:rsidRDefault="00DC6B58" w:rsidP="00EC583B">
      <w:pPr>
        <w:widowControl w:val="0"/>
        <w:jc w:val="both"/>
        <w:rPr>
          <w:rFonts w:asciiTheme="majorHAnsi" w:hAnsiTheme="majorHAnsi"/>
          <w:b/>
          <w:sz w:val="22"/>
          <w:szCs w:val="22"/>
          <w:lang w:val="es-CR"/>
        </w:rPr>
      </w:pPr>
    </w:p>
    <w:p w14:paraId="06A94896" w14:textId="34A71D63" w:rsidR="00EC583B" w:rsidRPr="00060053" w:rsidRDefault="008450E8" w:rsidP="000D6AF2">
      <w:pPr>
        <w:widowControl w:val="0"/>
        <w:ind w:left="567"/>
        <w:jc w:val="both"/>
        <w:rPr>
          <w:rFonts w:asciiTheme="majorHAnsi" w:hAnsiTheme="majorHAnsi" w:cs="Arial"/>
          <w:sz w:val="22"/>
          <w:szCs w:val="22"/>
        </w:rPr>
      </w:pPr>
      <w:r w:rsidRPr="00060053">
        <w:rPr>
          <w:rFonts w:asciiTheme="majorHAnsi" w:hAnsiTheme="majorHAnsi" w:cs="Arial"/>
          <w:sz w:val="22"/>
          <w:szCs w:val="22"/>
          <w:lang w:val="es-CR"/>
        </w:rPr>
        <w:t xml:space="preserve">Asesorar a la institución en materia jurídica de forma oportuna, con el </w:t>
      </w:r>
      <w:r w:rsidR="00761F9B">
        <w:rPr>
          <w:rFonts w:asciiTheme="majorHAnsi" w:hAnsiTheme="majorHAnsi" w:cs="Arial"/>
          <w:sz w:val="22"/>
          <w:szCs w:val="22"/>
          <w:lang w:val="es-CR"/>
        </w:rPr>
        <w:t>propósito</w:t>
      </w:r>
      <w:r w:rsidRPr="00060053">
        <w:rPr>
          <w:rFonts w:asciiTheme="majorHAnsi" w:hAnsiTheme="majorHAnsi" w:cs="Arial"/>
          <w:sz w:val="22"/>
          <w:szCs w:val="22"/>
          <w:lang w:val="es-CR"/>
        </w:rPr>
        <w:t xml:space="preserve"> de coadyuvar en el proceso de toma de decisiones y garantizar que ejecuta sus funciones con estricto apego al ordenamiento jurídico</w:t>
      </w:r>
      <w:r w:rsidR="002A5CCD" w:rsidRPr="00060053">
        <w:rPr>
          <w:rFonts w:asciiTheme="majorHAnsi" w:hAnsiTheme="majorHAnsi" w:cs="Arial"/>
          <w:sz w:val="22"/>
          <w:szCs w:val="22"/>
        </w:rPr>
        <w:t>.</w:t>
      </w:r>
    </w:p>
    <w:p w14:paraId="06A94897" w14:textId="77777777" w:rsidR="00EC583B" w:rsidRPr="00060053" w:rsidRDefault="00EC583B" w:rsidP="000D6AF2">
      <w:pPr>
        <w:ind w:left="567"/>
        <w:jc w:val="both"/>
        <w:rPr>
          <w:rFonts w:asciiTheme="majorHAnsi" w:hAnsiTheme="majorHAnsi"/>
          <w:sz w:val="22"/>
          <w:szCs w:val="22"/>
        </w:rPr>
      </w:pPr>
    </w:p>
    <w:p w14:paraId="06A94898" w14:textId="6D571989" w:rsidR="00750847" w:rsidRDefault="00750847" w:rsidP="002248DE">
      <w:pPr>
        <w:jc w:val="both"/>
        <w:rPr>
          <w:rFonts w:asciiTheme="majorHAnsi" w:hAnsiTheme="majorHAnsi"/>
          <w:b/>
          <w:sz w:val="22"/>
          <w:szCs w:val="22"/>
          <w:lang w:val="es-CR"/>
        </w:rPr>
      </w:pPr>
      <w:r w:rsidRPr="00B63F01">
        <w:rPr>
          <w:rFonts w:asciiTheme="majorHAnsi" w:hAnsiTheme="majorHAnsi"/>
          <w:b/>
          <w:sz w:val="22"/>
          <w:szCs w:val="22"/>
          <w:lang w:val="es-CR"/>
        </w:rPr>
        <w:t>Tecnologías de Información</w:t>
      </w:r>
    </w:p>
    <w:p w14:paraId="417B85F8" w14:textId="77777777" w:rsidR="00DC6B58" w:rsidRPr="00B63F01" w:rsidRDefault="00DC6B58" w:rsidP="002248DE">
      <w:pPr>
        <w:jc w:val="both"/>
        <w:rPr>
          <w:rFonts w:asciiTheme="majorHAnsi" w:hAnsiTheme="majorHAnsi"/>
          <w:b/>
          <w:sz w:val="22"/>
          <w:szCs w:val="22"/>
          <w:lang w:val="es-CR"/>
        </w:rPr>
      </w:pPr>
    </w:p>
    <w:p w14:paraId="06A9489A" w14:textId="3ACF55D5" w:rsidR="002B488E" w:rsidRPr="00B63F01" w:rsidRDefault="00B63F01" w:rsidP="002B488E">
      <w:pPr>
        <w:ind w:left="567"/>
        <w:jc w:val="both"/>
        <w:rPr>
          <w:rFonts w:asciiTheme="majorHAnsi" w:hAnsiTheme="majorHAnsi" w:cs="Arial"/>
          <w:sz w:val="22"/>
          <w:szCs w:val="22"/>
        </w:rPr>
      </w:pPr>
      <w:r>
        <w:rPr>
          <w:rFonts w:asciiTheme="majorHAnsi" w:hAnsiTheme="majorHAnsi" w:cs="Arial"/>
          <w:sz w:val="22"/>
          <w:szCs w:val="22"/>
        </w:rPr>
        <w:t xml:space="preserve">Este </w:t>
      </w:r>
      <w:r w:rsidR="002A68A2">
        <w:rPr>
          <w:rFonts w:asciiTheme="majorHAnsi" w:hAnsiTheme="majorHAnsi" w:cs="Arial"/>
          <w:sz w:val="22"/>
          <w:szCs w:val="22"/>
        </w:rPr>
        <w:t xml:space="preserve">servicio es suministrado por el área encargada del Banco Central </w:t>
      </w:r>
      <w:r w:rsidR="00DC6B58">
        <w:rPr>
          <w:rFonts w:asciiTheme="majorHAnsi" w:hAnsiTheme="majorHAnsi" w:cs="Arial"/>
          <w:sz w:val="22"/>
          <w:szCs w:val="22"/>
        </w:rPr>
        <w:t xml:space="preserve">de Costa Rica </w:t>
      </w:r>
      <w:r w:rsidR="002A68A2">
        <w:rPr>
          <w:rFonts w:asciiTheme="majorHAnsi" w:hAnsiTheme="majorHAnsi" w:cs="Arial"/>
          <w:sz w:val="22"/>
          <w:szCs w:val="22"/>
        </w:rPr>
        <w:t>mediante acuerdos de nivel de servicios</w:t>
      </w:r>
      <w:r w:rsidR="000201FD">
        <w:rPr>
          <w:rFonts w:asciiTheme="majorHAnsi" w:hAnsiTheme="majorHAnsi" w:cs="Arial"/>
          <w:sz w:val="22"/>
          <w:szCs w:val="22"/>
        </w:rPr>
        <w:t xml:space="preserve"> internos</w:t>
      </w:r>
      <w:r w:rsidR="002A68A2">
        <w:rPr>
          <w:rFonts w:asciiTheme="majorHAnsi" w:hAnsiTheme="majorHAnsi" w:cs="Arial"/>
          <w:sz w:val="22"/>
          <w:szCs w:val="22"/>
        </w:rPr>
        <w:t>. Es responsable de</w:t>
      </w:r>
      <w:r w:rsidR="002B488E" w:rsidRPr="00B63F01">
        <w:rPr>
          <w:rFonts w:asciiTheme="majorHAnsi" w:hAnsiTheme="majorHAnsi" w:cs="Arial"/>
          <w:sz w:val="22"/>
          <w:szCs w:val="22"/>
        </w:rPr>
        <w:t xml:space="preserve"> planificar, coordinar, ejecutar, controlar y supervisar todos los aspectos de tecnología informática que requiere la Superintendencia de Pensiones.</w:t>
      </w:r>
    </w:p>
    <w:p w14:paraId="06A9489B" w14:textId="77777777" w:rsidR="002B488E" w:rsidRPr="00B63F01" w:rsidRDefault="002B488E" w:rsidP="002B488E">
      <w:pPr>
        <w:ind w:left="567"/>
        <w:jc w:val="both"/>
        <w:rPr>
          <w:rFonts w:asciiTheme="majorHAnsi" w:hAnsiTheme="majorHAnsi" w:cs="Arial"/>
          <w:sz w:val="22"/>
          <w:szCs w:val="22"/>
        </w:rPr>
      </w:pPr>
    </w:p>
    <w:p w14:paraId="06A9489C" w14:textId="06AFD036" w:rsidR="00DC3627" w:rsidRPr="00060053" w:rsidRDefault="002B488E" w:rsidP="002B488E">
      <w:pPr>
        <w:ind w:left="567"/>
        <w:jc w:val="both"/>
        <w:rPr>
          <w:rFonts w:asciiTheme="majorHAnsi" w:hAnsiTheme="majorHAnsi" w:cs="Arial"/>
          <w:sz w:val="22"/>
          <w:szCs w:val="22"/>
        </w:rPr>
      </w:pPr>
      <w:r w:rsidRPr="00B63F01">
        <w:rPr>
          <w:rFonts w:asciiTheme="majorHAnsi" w:hAnsiTheme="majorHAnsi" w:cs="Arial"/>
          <w:sz w:val="22"/>
          <w:szCs w:val="22"/>
        </w:rPr>
        <w:t xml:space="preserve">Apoyar los procesos de la </w:t>
      </w:r>
      <w:r w:rsidR="00D277D9" w:rsidRPr="00B63F01">
        <w:rPr>
          <w:rFonts w:asciiTheme="majorHAnsi" w:hAnsiTheme="majorHAnsi" w:cs="Arial"/>
          <w:sz w:val="22"/>
          <w:szCs w:val="22"/>
        </w:rPr>
        <w:t>SUPEN</w:t>
      </w:r>
      <w:r w:rsidRPr="00B63F01">
        <w:rPr>
          <w:rFonts w:asciiTheme="majorHAnsi" w:hAnsiTheme="majorHAnsi" w:cs="Arial"/>
          <w:sz w:val="22"/>
          <w:szCs w:val="22"/>
        </w:rPr>
        <w:t>, mediante la administración de la infraestructura tecnológica, la cual soporta sus recursos de información.</w:t>
      </w:r>
    </w:p>
    <w:p w14:paraId="06A9489D" w14:textId="77777777" w:rsidR="00DC3627" w:rsidRPr="00060053" w:rsidRDefault="00DC3627" w:rsidP="002248DE">
      <w:pPr>
        <w:jc w:val="both"/>
        <w:rPr>
          <w:rFonts w:asciiTheme="majorHAnsi" w:hAnsiTheme="majorHAnsi"/>
          <w:sz w:val="22"/>
          <w:szCs w:val="22"/>
        </w:rPr>
      </w:pPr>
    </w:p>
    <w:p w14:paraId="06A9489E" w14:textId="54DE650F" w:rsidR="00750847" w:rsidRDefault="0028737A" w:rsidP="00E9521C">
      <w:pPr>
        <w:tabs>
          <w:tab w:val="left" w:pos="0"/>
          <w:tab w:val="left" w:pos="540"/>
        </w:tabs>
        <w:jc w:val="both"/>
        <w:rPr>
          <w:rFonts w:asciiTheme="majorHAnsi" w:hAnsiTheme="majorHAnsi"/>
          <w:b/>
          <w:sz w:val="22"/>
          <w:szCs w:val="22"/>
          <w:lang w:val="es-CR"/>
        </w:rPr>
      </w:pPr>
      <w:r w:rsidRPr="00060053">
        <w:rPr>
          <w:rFonts w:asciiTheme="majorHAnsi" w:hAnsiTheme="majorHAnsi"/>
          <w:b/>
          <w:sz w:val="22"/>
          <w:szCs w:val="22"/>
          <w:lang w:val="es-CR"/>
        </w:rPr>
        <w:t xml:space="preserve">Área </w:t>
      </w:r>
      <w:r w:rsidR="008B03DB" w:rsidRPr="00060053">
        <w:rPr>
          <w:rFonts w:asciiTheme="majorHAnsi" w:hAnsiTheme="majorHAnsi"/>
          <w:b/>
          <w:sz w:val="22"/>
          <w:szCs w:val="22"/>
          <w:lang w:val="es-CR"/>
        </w:rPr>
        <w:t>Comunicación y Servicios</w:t>
      </w:r>
    </w:p>
    <w:p w14:paraId="72D7D646" w14:textId="77777777" w:rsidR="00DA6BAF" w:rsidRDefault="00DA6BAF" w:rsidP="00E9521C">
      <w:pPr>
        <w:tabs>
          <w:tab w:val="left" w:pos="0"/>
          <w:tab w:val="left" w:pos="540"/>
        </w:tabs>
        <w:jc w:val="both"/>
        <w:rPr>
          <w:rFonts w:asciiTheme="majorHAnsi" w:hAnsiTheme="majorHAnsi"/>
          <w:b/>
          <w:sz w:val="22"/>
          <w:szCs w:val="22"/>
          <w:lang w:val="es-CR"/>
        </w:rPr>
      </w:pPr>
    </w:p>
    <w:p w14:paraId="06A948A0" w14:textId="77777777" w:rsidR="002B488E" w:rsidRPr="00060053" w:rsidRDefault="002B488E" w:rsidP="002B488E">
      <w:pPr>
        <w:tabs>
          <w:tab w:val="left" w:pos="0"/>
        </w:tabs>
        <w:ind w:left="567"/>
        <w:jc w:val="both"/>
        <w:rPr>
          <w:rFonts w:asciiTheme="majorHAnsi" w:hAnsiTheme="majorHAnsi" w:cs="Arial"/>
          <w:sz w:val="22"/>
          <w:szCs w:val="22"/>
        </w:rPr>
      </w:pPr>
      <w:r w:rsidRPr="00060053">
        <w:rPr>
          <w:rFonts w:asciiTheme="majorHAnsi" w:hAnsiTheme="majorHAnsi" w:cs="Arial"/>
          <w:sz w:val="22"/>
          <w:szCs w:val="22"/>
        </w:rPr>
        <w:t>Facilitar y apoyar el desarrollo de la Institución en su conjunto, proveyendo en cantidad, calidad y oportunidad necesaria los servicios de apoyo para su desarrollo, basado en un proceso de modernización permanente y mejoramiento continuo, que facilite la adecuación a los cambios del entorno y cumplimiento de las metas de manera eficaz y responsable.</w:t>
      </w:r>
    </w:p>
    <w:p w14:paraId="06A948A1" w14:textId="77777777" w:rsidR="002B488E" w:rsidRPr="00060053" w:rsidRDefault="002B488E" w:rsidP="002B488E">
      <w:pPr>
        <w:tabs>
          <w:tab w:val="left" w:pos="0"/>
        </w:tabs>
        <w:ind w:left="567"/>
        <w:jc w:val="both"/>
        <w:rPr>
          <w:rFonts w:asciiTheme="majorHAnsi" w:hAnsiTheme="majorHAnsi" w:cs="Arial"/>
          <w:sz w:val="22"/>
          <w:szCs w:val="22"/>
        </w:rPr>
      </w:pPr>
    </w:p>
    <w:p w14:paraId="06A948A2" w14:textId="427D4EDC" w:rsidR="002B488E" w:rsidRPr="00060053" w:rsidRDefault="002B488E" w:rsidP="002B488E">
      <w:pPr>
        <w:tabs>
          <w:tab w:val="left" w:pos="0"/>
        </w:tabs>
        <w:ind w:left="567"/>
        <w:jc w:val="both"/>
        <w:rPr>
          <w:rFonts w:asciiTheme="majorHAnsi" w:hAnsiTheme="majorHAnsi" w:cs="Arial"/>
          <w:sz w:val="22"/>
          <w:szCs w:val="22"/>
        </w:rPr>
      </w:pPr>
      <w:r w:rsidRPr="00060053">
        <w:rPr>
          <w:rFonts w:asciiTheme="majorHAnsi" w:hAnsiTheme="majorHAnsi" w:cs="Arial"/>
          <w:sz w:val="22"/>
          <w:szCs w:val="22"/>
        </w:rPr>
        <w:t>Planificar, dirigir, coordinar y evaluar las estrate</w:t>
      </w:r>
      <w:r w:rsidR="0011674C">
        <w:rPr>
          <w:rFonts w:asciiTheme="majorHAnsi" w:hAnsiTheme="majorHAnsi" w:cs="Arial"/>
          <w:sz w:val="22"/>
          <w:szCs w:val="22"/>
        </w:rPr>
        <w:t>gias de comunicación encaminada</w:t>
      </w:r>
      <w:r w:rsidRPr="00060053">
        <w:rPr>
          <w:rFonts w:asciiTheme="majorHAnsi" w:hAnsiTheme="majorHAnsi" w:cs="Arial"/>
          <w:sz w:val="22"/>
          <w:szCs w:val="22"/>
        </w:rPr>
        <w:t xml:space="preserve"> a crear una cultura previsional y a la proyección y entendimiento de las funciones de la </w:t>
      </w:r>
      <w:r w:rsidR="00D277D9">
        <w:rPr>
          <w:rFonts w:asciiTheme="majorHAnsi" w:hAnsiTheme="majorHAnsi" w:cs="Arial"/>
          <w:sz w:val="22"/>
          <w:szCs w:val="22"/>
        </w:rPr>
        <w:t>SUPEN</w:t>
      </w:r>
      <w:r w:rsidRPr="00060053">
        <w:rPr>
          <w:rFonts w:asciiTheme="majorHAnsi" w:hAnsiTheme="majorHAnsi" w:cs="Arial"/>
          <w:sz w:val="22"/>
          <w:szCs w:val="22"/>
        </w:rPr>
        <w:t>.</w:t>
      </w:r>
    </w:p>
    <w:p w14:paraId="06A948A3" w14:textId="77777777" w:rsidR="002B488E" w:rsidRPr="00060053" w:rsidRDefault="002B488E" w:rsidP="002B488E">
      <w:pPr>
        <w:tabs>
          <w:tab w:val="left" w:pos="0"/>
        </w:tabs>
        <w:ind w:left="567"/>
        <w:jc w:val="both"/>
        <w:rPr>
          <w:rFonts w:asciiTheme="majorHAnsi" w:hAnsiTheme="majorHAnsi" w:cs="Arial"/>
          <w:sz w:val="22"/>
          <w:szCs w:val="22"/>
        </w:rPr>
      </w:pPr>
    </w:p>
    <w:p w14:paraId="06A948A4" w14:textId="670F89D9" w:rsidR="001B06A5" w:rsidRDefault="002B488E" w:rsidP="002B488E">
      <w:pPr>
        <w:tabs>
          <w:tab w:val="left" w:pos="0"/>
        </w:tabs>
        <w:ind w:left="567"/>
        <w:jc w:val="both"/>
        <w:rPr>
          <w:rFonts w:asciiTheme="majorHAnsi" w:hAnsiTheme="majorHAnsi" w:cs="Arial"/>
          <w:sz w:val="22"/>
          <w:szCs w:val="22"/>
          <w:lang w:val="es-CR"/>
        </w:rPr>
      </w:pPr>
      <w:r w:rsidRPr="00060053">
        <w:rPr>
          <w:rFonts w:asciiTheme="majorHAnsi" w:hAnsiTheme="majorHAnsi" w:cs="Arial"/>
          <w:sz w:val="22"/>
          <w:szCs w:val="22"/>
        </w:rPr>
        <w:t>Asimismo, tiene a cargo la formulación de planes y presupuestos institucionales, así como su ejecución, seguimiento y evaluación. Además, la consolidación de estadísticas y la elaboración de publicaciones periódicas que informen a los afiliados y público en general sobre el comportamiento y evolución de las variables más relevantes del Sistema Nacional de Pensiones</w:t>
      </w:r>
      <w:r w:rsidR="00DC3627" w:rsidRPr="00060053">
        <w:rPr>
          <w:rFonts w:asciiTheme="majorHAnsi" w:hAnsiTheme="majorHAnsi" w:cs="Arial"/>
          <w:sz w:val="22"/>
          <w:szCs w:val="22"/>
          <w:lang w:val="es-CR"/>
        </w:rPr>
        <w:t>.</w:t>
      </w:r>
    </w:p>
    <w:p w14:paraId="28FC38CB" w14:textId="77777777" w:rsidR="00FE601E" w:rsidRDefault="00FE601E" w:rsidP="002B488E">
      <w:pPr>
        <w:tabs>
          <w:tab w:val="left" w:pos="0"/>
        </w:tabs>
        <w:ind w:left="567"/>
        <w:jc w:val="both"/>
        <w:rPr>
          <w:rFonts w:asciiTheme="majorHAnsi" w:hAnsiTheme="majorHAnsi" w:cs="Arial"/>
          <w:sz w:val="22"/>
          <w:szCs w:val="22"/>
          <w:lang w:val="es-CR"/>
        </w:rPr>
      </w:pPr>
    </w:p>
    <w:p w14:paraId="06A948A5" w14:textId="77777777" w:rsidR="003F1D42" w:rsidRDefault="003F1D42">
      <w:pPr>
        <w:rPr>
          <w:rFonts w:asciiTheme="majorHAnsi" w:hAnsiTheme="majorHAnsi" w:cs="Arial"/>
          <w:sz w:val="22"/>
          <w:szCs w:val="22"/>
          <w:lang w:val="es-CR"/>
        </w:rPr>
      </w:pPr>
      <w:r>
        <w:rPr>
          <w:rFonts w:asciiTheme="majorHAnsi" w:hAnsiTheme="majorHAnsi" w:cs="Arial"/>
          <w:sz w:val="22"/>
          <w:szCs w:val="22"/>
          <w:lang w:val="es-CR"/>
        </w:rPr>
        <w:br w:type="page"/>
      </w:r>
    </w:p>
    <w:p w14:paraId="06A948A6" w14:textId="77777777" w:rsidR="00750847" w:rsidRPr="00060053" w:rsidRDefault="00F82B1C" w:rsidP="00F82B1C">
      <w:pPr>
        <w:rPr>
          <w:rFonts w:asciiTheme="majorHAnsi" w:hAnsiTheme="majorHAnsi"/>
          <w:b/>
          <w:sz w:val="22"/>
          <w:szCs w:val="22"/>
          <w:lang w:val="es-CR"/>
        </w:rPr>
      </w:pPr>
      <w:r w:rsidRPr="00060053">
        <w:rPr>
          <w:rFonts w:asciiTheme="majorHAnsi" w:hAnsiTheme="majorHAnsi"/>
          <w:b/>
          <w:sz w:val="22"/>
          <w:szCs w:val="22"/>
          <w:lang w:val="es-CR"/>
        </w:rPr>
        <w:lastRenderedPageBreak/>
        <w:t>Organigrama</w:t>
      </w:r>
    </w:p>
    <w:p w14:paraId="06A948A7" w14:textId="77777777" w:rsidR="000765F5" w:rsidRPr="00060053" w:rsidRDefault="000765F5" w:rsidP="002248DE">
      <w:pPr>
        <w:ind w:left="360"/>
        <w:rPr>
          <w:rFonts w:asciiTheme="majorHAnsi" w:hAnsiTheme="majorHAnsi"/>
          <w:sz w:val="22"/>
          <w:szCs w:val="22"/>
          <w:lang w:val="es-CR"/>
        </w:rPr>
      </w:pPr>
    </w:p>
    <w:p w14:paraId="06A948A8" w14:textId="77777777" w:rsidR="000765F5" w:rsidRPr="00060053" w:rsidRDefault="009C6970" w:rsidP="000765F5">
      <w:pPr>
        <w:rPr>
          <w:rFonts w:asciiTheme="majorHAnsi" w:hAnsiTheme="majorHAnsi"/>
          <w:sz w:val="22"/>
          <w:szCs w:val="22"/>
          <w:lang w:val="es-CR"/>
        </w:rPr>
      </w:pPr>
      <w:r w:rsidRPr="00060053">
        <w:rPr>
          <w:rFonts w:asciiTheme="majorHAnsi" w:hAnsiTheme="majorHAnsi"/>
          <w:sz w:val="22"/>
          <w:szCs w:val="22"/>
          <w:lang w:val="es-CR"/>
        </w:rPr>
        <w:t xml:space="preserve">La </w:t>
      </w:r>
      <w:r w:rsidR="008B5E05">
        <w:rPr>
          <w:rFonts w:asciiTheme="majorHAnsi" w:hAnsiTheme="majorHAnsi"/>
          <w:sz w:val="22"/>
          <w:szCs w:val="22"/>
          <w:lang w:val="es-CR"/>
        </w:rPr>
        <w:t xml:space="preserve">siguiente </w:t>
      </w:r>
      <w:r w:rsidRPr="00060053">
        <w:rPr>
          <w:rFonts w:asciiTheme="majorHAnsi" w:hAnsiTheme="majorHAnsi"/>
          <w:sz w:val="22"/>
          <w:szCs w:val="22"/>
          <w:lang w:val="es-CR"/>
        </w:rPr>
        <w:t xml:space="preserve">figura muestra </w:t>
      </w:r>
      <w:r w:rsidR="008B5E05">
        <w:rPr>
          <w:rFonts w:asciiTheme="majorHAnsi" w:hAnsiTheme="majorHAnsi"/>
          <w:sz w:val="22"/>
          <w:szCs w:val="22"/>
          <w:lang w:val="es-CR"/>
        </w:rPr>
        <w:t xml:space="preserve">cómo está </w:t>
      </w:r>
      <w:r w:rsidR="005C3F6A">
        <w:rPr>
          <w:rFonts w:asciiTheme="majorHAnsi" w:hAnsiTheme="majorHAnsi"/>
          <w:sz w:val="22"/>
          <w:szCs w:val="22"/>
          <w:lang w:val="es-CR"/>
        </w:rPr>
        <w:t>conformada la organización</w:t>
      </w:r>
      <w:r w:rsidRPr="00060053">
        <w:rPr>
          <w:rFonts w:asciiTheme="majorHAnsi" w:hAnsiTheme="majorHAnsi"/>
          <w:sz w:val="22"/>
          <w:szCs w:val="22"/>
          <w:lang w:val="es-CR"/>
        </w:rPr>
        <w:t>.</w:t>
      </w:r>
    </w:p>
    <w:p w14:paraId="06A948A9" w14:textId="77777777" w:rsidR="009C6970" w:rsidRPr="00060053" w:rsidRDefault="009C6970" w:rsidP="000765F5">
      <w:pPr>
        <w:rPr>
          <w:rFonts w:asciiTheme="majorHAnsi" w:hAnsiTheme="majorHAnsi"/>
          <w:sz w:val="22"/>
          <w:szCs w:val="22"/>
          <w:lang w:val="es-CR"/>
        </w:rPr>
      </w:pPr>
    </w:p>
    <w:p w14:paraId="06A948AA" w14:textId="77777777" w:rsidR="00884A53" w:rsidRPr="00060053" w:rsidRDefault="009C6970" w:rsidP="009C6970">
      <w:pPr>
        <w:widowControl w:val="0"/>
        <w:autoSpaceDE w:val="0"/>
        <w:autoSpaceDN w:val="0"/>
        <w:adjustRightInd w:val="0"/>
        <w:jc w:val="center"/>
        <w:rPr>
          <w:rFonts w:asciiTheme="majorHAnsi" w:hAnsiTheme="majorHAnsi" w:cs="Arial"/>
          <w:b/>
          <w:smallCaps/>
          <w:sz w:val="22"/>
          <w:szCs w:val="22"/>
        </w:rPr>
      </w:pPr>
      <w:r w:rsidRPr="00060053">
        <w:rPr>
          <w:rFonts w:asciiTheme="majorHAnsi" w:hAnsiTheme="majorHAnsi" w:cs="Arial"/>
          <w:b/>
          <w:smallCaps/>
          <w:sz w:val="22"/>
          <w:szCs w:val="22"/>
        </w:rPr>
        <w:t>Figura 1</w:t>
      </w:r>
    </w:p>
    <w:p w14:paraId="06A948AB" w14:textId="77777777" w:rsidR="00ED71E1" w:rsidRPr="00060053" w:rsidRDefault="00ED71E1" w:rsidP="009C6970">
      <w:pPr>
        <w:widowControl w:val="0"/>
        <w:autoSpaceDE w:val="0"/>
        <w:autoSpaceDN w:val="0"/>
        <w:adjustRightInd w:val="0"/>
        <w:jc w:val="center"/>
        <w:rPr>
          <w:rFonts w:asciiTheme="majorHAnsi" w:hAnsiTheme="majorHAnsi" w:cs="Arial"/>
          <w:b/>
          <w:smallCaps/>
          <w:sz w:val="22"/>
          <w:szCs w:val="22"/>
        </w:rPr>
      </w:pPr>
      <w:r w:rsidRPr="00060053">
        <w:rPr>
          <w:rFonts w:asciiTheme="majorHAnsi" w:hAnsiTheme="majorHAnsi" w:cs="Arial"/>
          <w:b/>
          <w:smallCaps/>
          <w:sz w:val="22"/>
          <w:szCs w:val="22"/>
        </w:rPr>
        <w:t>Organigrama Superintendencia de Pensiones</w:t>
      </w:r>
    </w:p>
    <w:p w14:paraId="06A948AC" w14:textId="53DD7FE4" w:rsidR="00ED71E1" w:rsidRPr="00060053" w:rsidRDefault="00EE052B" w:rsidP="009C6970">
      <w:pPr>
        <w:widowControl w:val="0"/>
        <w:autoSpaceDE w:val="0"/>
        <w:autoSpaceDN w:val="0"/>
        <w:adjustRightInd w:val="0"/>
        <w:jc w:val="center"/>
        <w:rPr>
          <w:rFonts w:asciiTheme="majorHAnsi" w:hAnsiTheme="majorHAnsi" w:cs="Arial"/>
          <w:b/>
          <w:smallCaps/>
          <w:sz w:val="22"/>
          <w:szCs w:val="22"/>
        </w:rPr>
      </w:pPr>
      <w:r w:rsidRPr="00060053">
        <w:rPr>
          <w:rFonts w:asciiTheme="majorHAnsi" w:hAnsiTheme="majorHAnsi" w:cs="Arial"/>
          <w:b/>
          <w:smallCaps/>
          <w:sz w:val="22"/>
          <w:szCs w:val="22"/>
        </w:rPr>
        <w:t>20</w:t>
      </w:r>
      <w:r w:rsidR="00B46808">
        <w:rPr>
          <w:rFonts w:asciiTheme="majorHAnsi" w:hAnsiTheme="majorHAnsi" w:cs="Arial"/>
          <w:b/>
          <w:smallCaps/>
          <w:sz w:val="22"/>
          <w:szCs w:val="22"/>
        </w:rPr>
        <w:t>1</w:t>
      </w:r>
      <w:r w:rsidR="00253CC5">
        <w:rPr>
          <w:rFonts w:asciiTheme="majorHAnsi" w:hAnsiTheme="majorHAnsi" w:cs="Arial"/>
          <w:b/>
          <w:smallCaps/>
          <w:sz w:val="22"/>
          <w:szCs w:val="22"/>
        </w:rPr>
        <w:t>6</w:t>
      </w:r>
    </w:p>
    <w:p w14:paraId="06A948AD" w14:textId="1041EFC2" w:rsidR="006170A1" w:rsidRPr="00060053" w:rsidRDefault="00B63F01" w:rsidP="009C6970">
      <w:pPr>
        <w:widowControl w:val="0"/>
        <w:autoSpaceDE w:val="0"/>
        <w:autoSpaceDN w:val="0"/>
        <w:adjustRightInd w:val="0"/>
        <w:jc w:val="center"/>
        <w:rPr>
          <w:rFonts w:asciiTheme="majorHAnsi" w:hAnsiTheme="majorHAnsi" w:cs="Arial"/>
          <w:b/>
          <w:smallCaps/>
          <w:sz w:val="22"/>
          <w:szCs w:val="22"/>
        </w:rPr>
      </w:pPr>
      <w:r w:rsidRPr="00B63F01">
        <w:rPr>
          <w:noProof/>
        </w:rPr>
        <w:drawing>
          <wp:inline distT="0" distB="0" distL="0" distR="0" wp14:anchorId="7545C324" wp14:editId="0941ECAD">
            <wp:extent cx="4730423" cy="5343896"/>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44743" cy="5360073"/>
                    </a:xfrm>
                    <a:prstGeom prst="rect">
                      <a:avLst/>
                    </a:prstGeom>
                    <a:noFill/>
                    <a:ln>
                      <a:noFill/>
                    </a:ln>
                  </pic:spPr>
                </pic:pic>
              </a:graphicData>
            </a:graphic>
          </wp:inline>
        </w:drawing>
      </w:r>
    </w:p>
    <w:p w14:paraId="06A948AF" w14:textId="77777777" w:rsidR="003B1C05" w:rsidRDefault="003B1C05" w:rsidP="004033F4">
      <w:pPr>
        <w:widowControl w:val="0"/>
        <w:autoSpaceDE w:val="0"/>
        <w:autoSpaceDN w:val="0"/>
        <w:adjustRightInd w:val="0"/>
        <w:jc w:val="both"/>
        <w:rPr>
          <w:rFonts w:asciiTheme="majorHAnsi" w:hAnsiTheme="majorHAnsi" w:cs="Arial"/>
          <w:sz w:val="22"/>
          <w:szCs w:val="22"/>
        </w:rPr>
      </w:pPr>
    </w:p>
    <w:p w14:paraId="06A948B0" w14:textId="7A6E6A9E" w:rsidR="004033F4" w:rsidRPr="00675AB9" w:rsidRDefault="007E6755" w:rsidP="004033F4">
      <w:pPr>
        <w:widowControl w:val="0"/>
        <w:autoSpaceDE w:val="0"/>
        <w:autoSpaceDN w:val="0"/>
        <w:adjustRightInd w:val="0"/>
        <w:jc w:val="both"/>
        <w:rPr>
          <w:rFonts w:asciiTheme="majorHAnsi" w:hAnsiTheme="majorHAnsi" w:cs="Arial"/>
          <w:sz w:val="22"/>
          <w:szCs w:val="22"/>
        </w:rPr>
      </w:pPr>
      <w:r>
        <w:rPr>
          <w:rFonts w:asciiTheme="majorHAnsi" w:hAnsiTheme="majorHAnsi" w:cs="Arial"/>
          <w:sz w:val="22"/>
          <w:szCs w:val="22"/>
        </w:rPr>
        <w:t>La estructura organizacional de la SUPEN se fundament</w:t>
      </w:r>
      <w:r w:rsidR="000B3817">
        <w:rPr>
          <w:rFonts w:asciiTheme="majorHAnsi" w:hAnsiTheme="majorHAnsi" w:cs="Arial"/>
          <w:sz w:val="22"/>
          <w:szCs w:val="22"/>
        </w:rPr>
        <w:t>a bajo un modelo</w:t>
      </w:r>
      <w:r w:rsidR="00F36E42">
        <w:rPr>
          <w:rFonts w:asciiTheme="majorHAnsi" w:hAnsiTheme="majorHAnsi" w:cs="Arial"/>
          <w:sz w:val="22"/>
          <w:szCs w:val="22"/>
        </w:rPr>
        <w:t xml:space="preserve"> de procesos</w:t>
      </w:r>
      <w:r w:rsidR="004033F4" w:rsidRPr="00060053">
        <w:rPr>
          <w:rFonts w:asciiTheme="majorHAnsi" w:hAnsiTheme="majorHAnsi" w:cs="Arial"/>
          <w:sz w:val="22"/>
          <w:szCs w:val="22"/>
        </w:rPr>
        <w:t xml:space="preserve">.  En </w:t>
      </w:r>
      <w:r w:rsidR="00A07F37" w:rsidRPr="00060053">
        <w:rPr>
          <w:rFonts w:asciiTheme="majorHAnsi" w:hAnsiTheme="majorHAnsi" w:cs="Arial"/>
          <w:sz w:val="22"/>
          <w:szCs w:val="22"/>
        </w:rPr>
        <w:t>este</w:t>
      </w:r>
      <w:r w:rsidR="004033F4" w:rsidRPr="00060053">
        <w:rPr>
          <w:rFonts w:asciiTheme="majorHAnsi" w:hAnsiTheme="majorHAnsi" w:cs="Arial"/>
          <w:sz w:val="22"/>
          <w:szCs w:val="22"/>
        </w:rPr>
        <w:t xml:space="preserve"> modelo se definen los procesos sustantivos y de apoyo sobre los que se orientarán todas las actividades de la organización, con el </w:t>
      </w:r>
      <w:r w:rsidR="00222F64" w:rsidRPr="00060053">
        <w:rPr>
          <w:rFonts w:asciiTheme="majorHAnsi" w:hAnsiTheme="majorHAnsi" w:cs="Arial"/>
          <w:sz w:val="22"/>
          <w:szCs w:val="22"/>
        </w:rPr>
        <w:t>objeto</w:t>
      </w:r>
      <w:r w:rsidR="004033F4" w:rsidRPr="00060053">
        <w:rPr>
          <w:rFonts w:asciiTheme="majorHAnsi" w:hAnsiTheme="majorHAnsi" w:cs="Arial"/>
          <w:sz w:val="22"/>
          <w:szCs w:val="22"/>
        </w:rPr>
        <w:t xml:space="preserve"> de facilitar el</w:t>
      </w:r>
      <w:r w:rsidR="0083556A" w:rsidRPr="00060053">
        <w:rPr>
          <w:rFonts w:asciiTheme="majorHAnsi" w:hAnsiTheme="majorHAnsi" w:cs="Arial"/>
          <w:sz w:val="22"/>
          <w:szCs w:val="22"/>
        </w:rPr>
        <w:t xml:space="preserve"> </w:t>
      </w:r>
      <w:r w:rsidR="004033F4" w:rsidRPr="00060053">
        <w:rPr>
          <w:rFonts w:asciiTheme="majorHAnsi" w:hAnsiTheme="majorHAnsi" w:cs="Arial"/>
          <w:sz w:val="22"/>
          <w:szCs w:val="22"/>
        </w:rPr>
        <w:t>logro de la misión, visión y cumplir las atribuciones que le otorga la legislación vigente</w:t>
      </w:r>
      <w:r w:rsidR="004033F4" w:rsidRPr="009C0766">
        <w:rPr>
          <w:rFonts w:asciiTheme="majorHAnsi" w:hAnsiTheme="majorHAnsi" w:cs="Arial"/>
          <w:color w:val="1F497D" w:themeColor="text2"/>
          <w:sz w:val="22"/>
          <w:szCs w:val="22"/>
        </w:rPr>
        <w:t>.</w:t>
      </w:r>
      <w:r w:rsidRPr="009C0766">
        <w:rPr>
          <w:rFonts w:asciiTheme="majorHAnsi" w:hAnsiTheme="majorHAnsi" w:cs="Arial"/>
          <w:color w:val="1F497D" w:themeColor="text2"/>
          <w:sz w:val="22"/>
          <w:szCs w:val="22"/>
        </w:rPr>
        <w:t xml:space="preserve"> </w:t>
      </w:r>
      <w:r w:rsidRPr="00675AB9">
        <w:rPr>
          <w:rFonts w:asciiTheme="majorHAnsi" w:hAnsiTheme="majorHAnsi" w:cs="Arial"/>
          <w:sz w:val="22"/>
          <w:szCs w:val="22"/>
        </w:rPr>
        <w:t>En el caso de Tecnologías de Informa</w:t>
      </w:r>
      <w:r w:rsidR="009C0766" w:rsidRPr="00675AB9">
        <w:rPr>
          <w:rFonts w:asciiTheme="majorHAnsi" w:hAnsiTheme="majorHAnsi" w:cs="Arial"/>
          <w:sz w:val="22"/>
          <w:szCs w:val="22"/>
        </w:rPr>
        <w:t>ción los servicios son de apoyo</w:t>
      </w:r>
      <w:r w:rsidRPr="00675AB9">
        <w:rPr>
          <w:rFonts w:asciiTheme="majorHAnsi" w:hAnsiTheme="majorHAnsi" w:cs="Arial"/>
          <w:sz w:val="22"/>
          <w:szCs w:val="22"/>
        </w:rPr>
        <w:t xml:space="preserve"> y proporcionados directamente por el área encargada del Banco Central</w:t>
      </w:r>
      <w:r w:rsidR="00F36E42" w:rsidRPr="00675AB9">
        <w:rPr>
          <w:rFonts w:asciiTheme="majorHAnsi" w:hAnsiTheme="majorHAnsi" w:cs="Arial"/>
          <w:sz w:val="22"/>
          <w:szCs w:val="22"/>
        </w:rPr>
        <w:t xml:space="preserve"> de Costa Rica</w:t>
      </w:r>
      <w:r w:rsidRPr="00675AB9">
        <w:rPr>
          <w:rFonts w:asciiTheme="majorHAnsi" w:hAnsiTheme="majorHAnsi" w:cs="Arial"/>
          <w:sz w:val="22"/>
          <w:szCs w:val="22"/>
        </w:rPr>
        <w:t>.</w:t>
      </w:r>
    </w:p>
    <w:p w14:paraId="56D7ACD0" w14:textId="77777777" w:rsidR="007E6755" w:rsidRPr="009C0766" w:rsidRDefault="007E6755">
      <w:pPr>
        <w:rPr>
          <w:rFonts w:asciiTheme="majorHAnsi" w:hAnsiTheme="majorHAnsi" w:cs="Arial"/>
          <w:color w:val="1F497D" w:themeColor="text2"/>
          <w:sz w:val="22"/>
          <w:szCs w:val="22"/>
        </w:rPr>
      </w:pPr>
      <w:r w:rsidRPr="009C0766">
        <w:rPr>
          <w:rFonts w:asciiTheme="majorHAnsi" w:hAnsiTheme="majorHAnsi" w:cs="Arial"/>
          <w:color w:val="1F497D" w:themeColor="text2"/>
          <w:sz w:val="22"/>
          <w:szCs w:val="22"/>
        </w:rPr>
        <w:br w:type="page"/>
      </w:r>
    </w:p>
    <w:p w14:paraId="06A948B2" w14:textId="77777777" w:rsidR="004033F4" w:rsidRPr="00060053" w:rsidRDefault="004033F4" w:rsidP="00ED71E1">
      <w:pPr>
        <w:widowControl w:val="0"/>
        <w:autoSpaceDE w:val="0"/>
        <w:autoSpaceDN w:val="0"/>
        <w:adjustRightInd w:val="0"/>
        <w:ind w:left="180" w:right="-700"/>
        <w:jc w:val="center"/>
        <w:rPr>
          <w:rFonts w:asciiTheme="majorHAnsi" w:hAnsiTheme="majorHAnsi" w:cs="Arial"/>
          <w:b/>
          <w:smallCaps/>
          <w:sz w:val="22"/>
          <w:szCs w:val="22"/>
        </w:rPr>
      </w:pPr>
      <w:r w:rsidRPr="00060053">
        <w:rPr>
          <w:rFonts w:asciiTheme="majorHAnsi" w:hAnsiTheme="majorHAnsi" w:cs="Arial"/>
          <w:b/>
          <w:smallCaps/>
          <w:sz w:val="22"/>
          <w:szCs w:val="22"/>
        </w:rPr>
        <w:lastRenderedPageBreak/>
        <w:t xml:space="preserve">Figura </w:t>
      </w:r>
      <w:r w:rsidR="006170A1" w:rsidRPr="00060053">
        <w:rPr>
          <w:rFonts w:asciiTheme="majorHAnsi" w:hAnsiTheme="majorHAnsi" w:cs="Arial"/>
          <w:b/>
          <w:smallCaps/>
          <w:sz w:val="22"/>
          <w:szCs w:val="22"/>
        </w:rPr>
        <w:t>2</w:t>
      </w:r>
    </w:p>
    <w:p w14:paraId="06A948B4" w14:textId="77777777" w:rsidR="004033F4" w:rsidRPr="00060053" w:rsidRDefault="004033F4" w:rsidP="00ED71E1">
      <w:pPr>
        <w:widowControl w:val="0"/>
        <w:autoSpaceDE w:val="0"/>
        <w:autoSpaceDN w:val="0"/>
        <w:adjustRightInd w:val="0"/>
        <w:ind w:left="180" w:right="-700"/>
        <w:jc w:val="center"/>
        <w:rPr>
          <w:rFonts w:asciiTheme="majorHAnsi" w:hAnsiTheme="majorHAnsi" w:cs="Arial"/>
          <w:b/>
          <w:caps/>
        </w:rPr>
      </w:pPr>
      <w:r w:rsidRPr="00060053">
        <w:rPr>
          <w:rFonts w:asciiTheme="majorHAnsi" w:hAnsiTheme="majorHAnsi" w:cs="Arial"/>
          <w:b/>
          <w:caps/>
        </w:rPr>
        <w:t>modelo de procesos</w:t>
      </w:r>
    </w:p>
    <w:p w14:paraId="06A948B5" w14:textId="77777777" w:rsidR="00501112" w:rsidRPr="00060053" w:rsidRDefault="001A3DAB" w:rsidP="00ED71E1">
      <w:pPr>
        <w:ind w:left="180" w:right="-700"/>
        <w:jc w:val="center"/>
        <w:rPr>
          <w:rFonts w:asciiTheme="majorHAnsi" w:hAnsiTheme="majorHAnsi"/>
          <w:b/>
        </w:rPr>
      </w:pPr>
      <w:r w:rsidRPr="00060053">
        <w:rPr>
          <w:rFonts w:asciiTheme="majorHAnsi" w:hAnsiTheme="majorHAnsi"/>
          <w:b/>
        </w:rPr>
        <w:t>SISTEMA DE GESTIÓN DE LA CALIDAD</w:t>
      </w:r>
    </w:p>
    <w:p w14:paraId="06A948B6" w14:textId="4C1D29DC" w:rsidR="00ED71E1" w:rsidRPr="00060053" w:rsidRDefault="00ED71E1" w:rsidP="00ED71E1">
      <w:pPr>
        <w:ind w:left="180" w:right="-700"/>
        <w:jc w:val="center"/>
        <w:rPr>
          <w:rFonts w:asciiTheme="majorHAnsi" w:hAnsiTheme="majorHAnsi"/>
          <w:b/>
        </w:rPr>
      </w:pPr>
      <w:r w:rsidRPr="00060053">
        <w:rPr>
          <w:rFonts w:asciiTheme="majorHAnsi" w:hAnsiTheme="majorHAnsi"/>
          <w:b/>
        </w:rPr>
        <w:t>20</w:t>
      </w:r>
      <w:r w:rsidR="00B46808">
        <w:rPr>
          <w:rFonts w:asciiTheme="majorHAnsi" w:hAnsiTheme="majorHAnsi"/>
          <w:b/>
        </w:rPr>
        <w:t>1</w:t>
      </w:r>
      <w:r w:rsidR="00AB3DF2">
        <w:rPr>
          <w:rFonts w:asciiTheme="majorHAnsi" w:hAnsiTheme="majorHAnsi"/>
          <w:b/>
        </w:rPr>
        <w:t>6</w:t>
      </w:r>
    </w:p>
    <w:p w14:paraId="06A948B8" w14:textId="0529AF89" w:rsidR="00FD08A0" w:rsidRPr="00060053" w:rsidRDefault="00BE68E6" w:rsidP="00ED71E1">
      <w:pPr>
        <w:ind w:left="180" w:right="-700"/>
        <w:jc w:val="center"/>
        <w:rPr>
          <w:rFonts w:asciiTheme="majorHAnsi" w:hAnsiTheme="majorHAnsi"/>
          <w:b/>
          <w:sz w:val="22"/>
          <w:szCs w:val="22"/>
        </w:rPr>
      </w:pPr>
      <w:r>
        <w:object w:dxaOrig="14340" w:dyaOrig="13035" w14:anchorId="3BEE57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5.5pt;height:323.5pt" o:ole="">
            <v:imagedata r:id="rId18" o:title=""/>
          </v:shape>
          <o:OLEObject Type="Embed" ProgID="Visio.Drawing.15" ShapeID="_x0000_i1025" DrawAspect="Content" ObjectID="_1515995130" r:id="rId19"/>
        </w:object>
      </w:r>
    </w:p>
    <w:p w14:paraId="06A948BC" w14:textId="7E3AD51D" w:rsidR="008E29AF" w:rsidRPr="004A04B8" w:rsidRDefault="00F72E43" w:rsidP="00F72E43">
      <w:pPr>
        <w:pStyle w:val="Ttulo3"/>
        <w:rPr>
          <w:rFonts w:asciiTheme="majorHAnsi" w:hAnsiTheme="majorHAnsi"/>
          <w:sz w:val="24"/>
          <w:szCs w:val="24"/>
        </w:rPr>
      </w:pPr>
      <w:bookmarkStart w:id="6" w:name="_Toc442253206"/>
      <w:r w:rsidRPr="004A04B8">
        <w:rPr>
          <w:rFonts w:asciiTheme="majorHAnsi" w:hAnsiTheme="majorHAnsi"/>
          <w:sz w:val="24"/>
          <w:szCs w:val="24"/>
        </w:rPr>
        <w:t>1.2.3.</w:t>
      </w:r>
      <w:r w:rsidRPr="004A04B8">
        <w:rPr>
          <w:rFonts w:asciiTheme="majorHAnsi" w:hAnsiTheme="majorHAnsi"/>
          <w:sz w:val="24"/>
          <w:szCs w:val="24"/>
        </w:rPr>
        <w:tab/>
      </w:r>
      <w:r w:rsidR="008E29AF" w:rsidRPr="004A04B8">
        <w:rPr>
          <w:rFonts w:asciiTheme="majorHAnsi" w:hAnsiTheme="majorHAnsi"/>
          <w:sz w:val="24"/>
          <w:szCs w:val="24"/>
        </w:rPr>
        <w:t>Diagnóstico Institucional</w:t>
      </w:r>
      <w:bookmarkEnd w:id="6"/>
    </w:p>
    <w:p w14:paraId="06A948BD" w14:textId="77777777" w:rsidR="00080F2E" w:rsidRPr="00060053" w:rsidRDefault="00080F2E" w:rsidP="00426B8C">
      <w:pPr>
        <w:rPr>
          <w:rFonts w:asciiTheme="majorHAnsi" w:hAnsiTheme="majorHAnsi"/>
          <w:b/>
          <w:sz w:val="22"/>
          <w:szCs w:val="22"/>
        </w:rPr>
      </w:pPr>
    </w:p>
    <w:p w14:paraId="06A948BE" w14:textId="2AC6DE1D" w:rsidR="00911AEE" w:rsidRPr="00060053" w:rsidRDefault="00B01CDE" w:rsidP="00060053">
      <w:pPr>
        <w:jc w:val="both"/>
        <w:rPr>
          <w:rFonts w:asciiTheme="majorHAnsi" w:hAnsiTheme="majorHAnsi"/>
          <w:sz w:val="22"/>
          <w:szCs w:val="22"/>
        </w:rPr>
      </w:pPr>
      <w:r w:rsidRPr="00060053">
        <w:rPr>
          <w:rFonts w:asciiTheme="majorHAnsi" w:hAnsiTheme="majorHAnsi"/>
          <w:sz w:val="22"/>
          <w:szCs w:val="22"/>
        </w:rPr>
        <w:t>Las</w:t>
      </w:r>
      <w:r w:rsidR="003966D9" w:rsidRPr="00060053">
        <w:rPr>
          <w:rFonts w:asciiTheme="majorHAnsi" w:hAnsiTheme="majorHAnsi"/>
          <w:sz w:val="22"/>
          <w:szCs w:val="22"/>
        </w:rPr>
        <w:t xml:space="preserve"> </w:t>
      </w:r>
      <w:r w:rsidRPr="00060053">
        <w:rPr>
          <w:rFonts w:asciiTheme="majorHAnsi" w:hAnsiTheme="majorHAnsi"/>
          <w:sz w:val="22"/>
          <w:szCs w:val="22"/>
        </w:rPr>
        <w:t>obligaciones</w:t>
      </w:r>
      <w:r w:rsidR="00911AEE" w:rsidRPr="00060053">
        <w:rPr>
          <w:rFonts w:asciiTheme="majorHAnsi" w:hAnsiTheme="majorHAnsi"/>
          <w:sz w:val="22"/>
          <w:szCs w:val="22"/>
        </w:rPr>
        <w:t xml:space="preserve"> de la </w:t>
      </w:r>
      <w:r w:rsidR="00D277D9">
        <w:rPr>
          <w:rFonts w:asciiTheme="majorHAnsi" w:hAnsiTheme="majorHAnsi"/>
          <w:sz w:val="22"/>
          <w:szCs w:val="22"/>
        </w:rPr>
        <w:t>SUPEN</w:t>
      </w:r>
      <w:r w:rsidR="00911AEE" w:rsidRPr="00060053">
        <w:rPr>
          <w:rFonts w:asciiTheme="majorHAnsi" w:hAnsiTheme="majorHAnsi"/>
          <w:sz w:val="22"/>
          <w:szCs w:val="22"/>
        </w:rPr>
        <w:t xml:space="preserve"> puede</w:t>
      </w:r>
      <w:r w:rsidR="00C5137B" w:rsidRPr="00060053">
        <w:rPr>
          <w:rFonts w:asciiTheme="majorHAnsi" w:hAnsiTheme="majorHAnsi"/>
          <w:sz w:val="22"/>
          <w:szCs w:val="22"/>
        </w:rPr>
        <w:t>n verse afectadas</w:t>
      </w:r>
      <w:r w:rsidR="00911AEE" w:rsidRPr="00060053">
        <w:rPr>
          <w:rFonts w:asciiTheme="majorHAnsi" w:hAnsiTheme="majorHAnsi"/>
          <w:sz w:val="22"/>
          <w:szCs w:val="22"/>
        </w:rPr>
        <w:t xml:space="preserve"> por situaciones de índole económico, social, político o tecnológico. A efecto de poder considerar la posible influencia que pudiera</w:t>
      </w:r>
      <w:r w:rsidR="009C0766">
        <w:rPr>
          <w:rFonts w:asciiTheme="majorHAnsi" w:hAnsiTheme="majorHAnsi"/>
          <w:sz w:val="22"/>
          <w:szCs w:val="22"/>
        </w:rPr>
        <w:t>n</w:t>
      </w:r>
      <w:r w:rsidR="00911AEE" w:rsidRPr="00060053">
        <w:rPr>
          <w:rFonts w:asciiTheme="majorHAnsi" w:hAnsiTheme="majorHAnsi"/>
          <w:sz w:val="22"/>
          <w:szCs w:val="22"/>
        </w:rPr>
        <w:t xml:space="preserve"> tener estas situaciones en los proyectos de mediano plazo de la institución, a continuación se presenta un resumen de los diagnósticos para cada uno de los entornos</w:t>
      </w:r>
      <w:r w:rsidR="009936AC" w:rsidRPr="00060053">
        <w:rPr>
          <w:rFonts w:asciiTheme="majorHAnsi" w:hAnsiTheme="majorHAnsi"/>
          <w:sz w:val="22"/>
          <w:szCs w:val="22"/>
        </w:rPr>
        <w:t xml:space="preserve"> relevantes para la Institución.</w:t>
      </w:r>
    </w:p>
    <w:p w14:paraId="06A948BF" w14:textId="77777777" w:rsidR="00E227A0" w:rsidRPr="00060053" w:rsidRDefault="00E227A0" w:rsidP="008E638C">
      <w:pPr>
        <w:pStyle w:val="Textoindependiente"/>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jc w:val="both"/>
        <w:rPr>
          <w:rFonts w:asciiTheme="majorHAnsi" w:hAnsiTheme="majorHAnsi"/>
          <w:color w:val="auto"/>
          <w:sz w:val="22"/>
          <w:szCs w:val="22"/>
        </w:rPr>
      </w:pPr>
    </w:p>
    <w:p w14:paraId="06A948C0" w14:textId="77777777" w:rsidR="002343C4" w:rsidRDefault="002343C4" w:rsidP="00E227A0">
      <w:pPr>
        <w:rPr>
          <w:rFonts w:asciiTheme="majorHAnsi" w:hAnsiTheme="majorHAnsi"/>
          <w:b/>
        </w:rPr>
      </w:pPr>
      <w:bookmarkStart w:id="7" w:name="_Toc267660839"/>
      <w:r w:rsidRPr="000326B9">
        <w:rPr>
          <w:rFonts w:asciiTheme="majorHAnsi" w:hAnsiTheme="majorHAnsi"/>
          <w:b/>
        </w:rPr>
        <w:t>Evolución reciente de la economía</w:t>
      </w:r>
      <w:bookmarkEnd w:id="7"/>
    </w:p>
    <w:p w14:paraId="320EB3BF" w14:textId="77777777" w:rsidR="009C0766" w:rsidRPr="000326B9" w:rsidRDefault="009C0766" w:rsidP="00E227A0">
      <w:pPr>
        <w:rPr>
          <w:rFonts w:asciiTheme="majorHAnsi" w:hAnsiTheme="majorHAnsi"/>
          <w:b/>
        </w:rPr>
      </w:pPr>
    </w:p>
    <w:p w14:paraId="430E671C" w14:textId="1F53E1E4" w:rsidR="001F6193" w:rsidRDefault="001F6193" w:rsidP="001F6193">
      <w:pPr>
        <w:jc w:val="both"/>
        <w:rPr>
          <w:rFonts w:asciiTheme="majorHAnsi" w:hAnsiTheme="majorHAnsi"/>
          <w:sz w:val="22"/>
          <w:szCs w:val="22"/>
        </w:rPr>
      </w:pPr>
      <w:r w:rsidRPr="000326B9">
        <w:rPr>
          <w:rFonts w:asciiTheme="majorHAnsi" w:hAnsiTheme="majorHAnsi"/>
          <w:sz w:val="22"/>
          <w:szCs w:val="22"/>
        </w:rPr>
        <w:t>La economía mundial creció a un ritmo moderado y heterogéneo durante el primer semestre del 2015. La inflación permaneció en niveles bajos, ante la holgura en la capacidad productiva y la reducción en los precios de las materias primas, lo que permitió políticas monetarias más flexibles, aunque diferenciadas por países y regiones.</w:t>
      </w:r>
    </w:p>
    <w:p w14:paraId="6B824294" w14:textId="77777777" w:rsidR="001F6193" w:rsidRPr="001F6193" w:rsidRDefault="001F6193" w:rsidP="001F6193">
      <w:pPr>
        <w:jc w:val="both"/>
        <w:rPr>
          <w:rFonts w:asciiTheme="majorHAnsi" w:hAnsiTheme="majorHAnsi"/>
          <w:sz w:val="22"/>
          <w:szCs w:val="22"/>
        </w:rPr>
      </w:pPr>
    </w:p>
    <w:p w14:paraId="37F28852" w14:textId="4D745488" w:rsidR="009A4E67" w:rsidRDefault="001F6193" w:rsidP="001F6193">
      <w:pPr>
        <w:jc w:val="both"/>
        <w:rPr>
          <w:rFonts w:asciiTheme="majorHAnsi" w:hAnsiTheme="majorHAnsi"/>
          <w:sz w:val="22"/>
          <w:szCs w:val="22"/>
        </w:rPr>
      </w:pPr>
      <w:r w:rsidRPr="001F6193">
        <w:rPr>
          <w:rFonts w:asciiTheme="majorHAnsi" w:hAnsiTheme="majorHAnsi"/>
          <w:sz w:val="22"/>
          <w:szCs w:val="22"/>
        </w:rPr>
        <w:t>En lo que respecta a los mercados financieros, su evolución estuv</w:t>
      </w:r>
      <w:r>
        <w:rPr>
          <w:rFonts w:asciiTheme="majorHAnsi" w:hAnsiTheme="majorHAnsi"/>
          <w:sz w:val="22"/>
          <w:szCs w:val="22"/>
        </w:rPr>
        <w:t xml:space="preserve">o influida, entre otros, por la </w:t>
      </w:r>
      <w:r w:rsidRPr="001F6193">
        <w:rPr>
          <w:rFonts w:asciiTheme="majorHAnsi" w:hAnsiTheme="majorHAnsi"/>
          <w:sz w:val="22"/>
          <w:szCs w:val="22"/>
        </w:rPr>
        <w:t>incertidumbre acerca del momento en que iniciaría el incremento en tasas de interés en Estados</w:t>
      </w:r>
      <w:r>
        <w:rPr>
          <w:rFonts w:asciiTheme="majorHAnsi" w:hAnsiTheme="majorHAnsi"/>
          <w:sz w:val="22"/>
          <w:szCs w:val="22"/>
        </w:rPr>
        <w:t xml:space="preserve"> </w:t>
      </w:r>
      <w:r w:rsidRPr="001F6193">
        <w:rPr>
          <w:rFonts w:asciiTheme="majorHAnsi" w:hAnsiTheme="majorHAnsi"/>
          <w:sz w:val="22"/>
          <w:szCs w:val="22"/>
        </w:rPr>
        <w:lastRenderedPageBreak/>
        <w:t>Unidos; el inicio del estímulo monetario por parte del Banco Central Europeo y, más</w:t>
      </w:r>
      <w:r>
        <w:rPr>
          <w:rFonts w:asciiTheme="majorHAnsi" w:hAnsiTheme="majorHAnsi"/>
          <w:sz w:val="22"/>
          <w:szCs w:val="22"/>
        </w:rPr>
        <w:t xml:space="preserve"> </w:t>
      </w:r>
      <w:r w:rsidRPr="001F6193">
        <w:rPr>
          <w:rFonts w:asciiTheme="majorHAnsi" w:hAnsiTheme="majorHAnsi"/>
          <w:sz w:val="22"/>
          <w:szCs w:val="22"/>
        </w:rPr>
        <w:t>recientemente por las negociaciones de Grecia con sus acreedores y la caída en los mercados</w:t>
      </w:r>
      <w:r>
        <w:rPr>
          <w:rFonts w:asciiTheme="majorHAnsi" w:hAnsiTheme="majorHAnsi"/>
          <w:sz w:val="22"/>
          <w:szCs w:val="22"/>
        </w:rPr>
        <w:t xml:space="preserve"> </w:t>
      </w:r>
      <w:r w:rsidRPr="001F6193">
        <w:rPr>
          <w:rFonts w:asciiTheme="majorHAnsi" w:hAnsiTheme="majorHAnsi"/>
          <w:sz w:val="22"/>
          <w:szCs w:val="22"/>
        </w:rPr>
        <w:t>accionarios asiáticos.</w:t>
      </w:r>
    </w:p>
    <w:p w14:paraId="3F9EE2EC" w14:textId="77777777" w:rsidR="001F6193" w:rsidRDefault="001F6193" w:rsidP="001F6193">
      <w:pPr>
        <w:jc w:val="both"/>
        <w:rPr>
          <w:rFonts w:asciiTheme="majorHAnsi" w:hAnsiTheme="majorHAnsi"/>
          <w:sz w:val="22"/>
          <w:szCs w:val="22"/>
        </w:rPr>
      </w:pPr>
    </w:p>
    <w:p w14:paraId="347486E4" w14:textId="44FCBEBE" w:rsidR="001F6193" w:rsidRDefault="001F6193" w:rsidP="001F6193">
      <w:pPr>
        <w:jc w:val="both"/>
        <w:rPr>
          <w:rFonts w:asciiTheme="majorHAnsi" w:hAnsiTheme="majorHAnsi"/>
          <w:sz w:val="22"/>
          <w:szCs w:val="22"/>
        </w:rPr>
      </w:pPr>
      <w:r w:rsidRPr="001F6193">
        <w:rPr>
          <w:rFonts w:asciiTheme="majorHAnsi" w:hAnsiTheme="majorHAnsi"/>
          <w:sz w:val="22"/>
          <w:szCs w:val="22"/>
        </w:rPr>
        <w:t>Los mercados cambiarios a su vez reflejaron la posición divergente entre la Reserva Federal de</w:t>
      </w:r>
      <w:r>
        <w:rPr>
          <w:rFonts w:asciiTheme="majorHAnsi" w:hAnsiTheme="majorHAnsi"/>
          <w:sz w:val="22"/>
          <w:szCs w:val="22"/>
        </w:rPr>
        <w:t xml:space="preserve"> </w:t>
      </w:r>
      <w:r w:rsidRPr="001F6193">
        <w:rPr>
          <w:rFonts w:asciiTheme="majorHAnsi" w:hAnsiTheme="majorHAnsi"/>
          <w:sz w:val="22"/>
          <w:szCs w:val="22"/>
        </w:rPr>
        <w:t>Estados Unidos y el Banco Central Europeo (que contribuyó a la depreciación del euro) y las</w:t>
      </w:r>
      <w:r>
        <w:rPr>
          <w:rFonts w:asciiTheme="majorHAnsi" w:hAnsiTheme="majorHAnsi"/>
          <w:sz w:val="22"/>
          <w:szCs w:val="22"/>
        </w:rPr>
        <w:t xml:space="preserve"> </w:t>
      </w:r>
      <w:r w:rsidRPr="001F6193">
        <w:rPr>
          <w:rFonts w:asciiTheme="majorHAnsi" w:hAnsiTheme="majorHAnsi"/>
          <w:sz w:val="22"/>
          <w:szCs w:val="22"/>
        </w:rPr>
        <w:t>monedas emergentes registraron movimientos diferenciados ante cambios en los precios de sus</w:t>
      </w:r>
      <w:r>
        <w:rPr>
          <w:rFonts w:asciiTheme="majorHAnsi" w:hAnsiTheme="majorHAnsi"/>
          <w:sz w:val="22"/>
          <w:szCs w:val="22"/>
        </w:rPr>
        <w:t xml:space="preserve"> </w:t>
      </w:r>
      <w:r w:rsidRPr="001F6193">
        <w:rPr>
          <w:rFonts w:asciiTheme="majorHAnsi" w:hAnsiTheme="majorHAnsi"/>
          <w:sz w:val="22"/>
          <w:szCs w:val="22"/>
        </w:rPr>
        <w:t>productos de exportación.</w:t>
      </w:r>
    </w:p>
    <w:p w14:paraId="2F2E5D82" w14:textId="77777777" w:rsidR="001F6193" w:rsidRDefault="001F6193">
      <w:pPr>
        <w:rPr>
          <w:rFonts w:asciiTheme="majorHAnsi" w:hAnsiTheme="majorHAnsi"/>
          <w:sz w:val="22"/>
          <w:szCs w:val="22"/>
        </w:rPr>
      </w:pPr>
    </w:p>
    <w:p w14:paraId="4C00B61B" w14:textId="6A62FF16" w:rsidR="001F6193" w:rsidRDefault="001F6193" w:rsidP="00D618AE">
      <w:pPr>
        <w:jc w:val="both"/>
        <w:rPr>
          <w:rFonts w:asciiTheme="majorHAnsi" w:hAnsiTheme="majorHAnsi"/>
          <w:sz w:val="22"/>
          <w:szCs w:val="22"/>
        </w:rPr>
      </w:pPr>
      <w:r w:rsidRPr="001F6193">
        <w:rPr>
          <w:rFonts w:asciiTheme="majorHAnsi" w:hAnsiTheme="majorHAnsi"/>
          <w:sz w:val="22"/>
          <w:szCs w:val="22"/>
        </w:rPr>
        <w:t>En Estados Unidos el crecimiento</w:t>
      </w:r>
      <w:r>
        <w:rPr>
          <w:rFonts w:asciiTheme="majorHAnsi" w:hAnsiTheme="majorHAnsi"/>
          <w:sz w:val="22"/>
          <w:szCs w:val="22"/>
        </w:rPr>
        <w:t xml:space="preserve"> </w:t>
      </w:r>
      <w:r w:rsidRPr="001F6193">
        <w:rPr>
          <w:rFonts w:asciiTheme="majorHAnsi" w:hAnsiTheme="majorHAnsi"/>
          <w:sz w:val="22"/>
          <w:szCs w:val="22"/>
        </w:rPr>
        <w:t>en el primer trimestre del 2015</w:t>
      </w:r>
      <w:r>
        <w:rPr>
          <w:rFonts w:asciiTheme="majorHAnsi" w:hAnsiTheme="majorHAnsi"/>
          <w:sz w:val="22"/>
          <w:szCs w:val="22"/>
        </w:rPr>
        <w:t xml:space="preserve"> </w:t>
      </w:r>
      <w:r w:rsidRPr="001F6193">
        <w:rPr>
          <w:rFonts w:asciiTheme="majorHAnsi" w:hAnsiTheme="majorHAnsi"/>
          <w:sz w:val="22"/>
          <w:szCs w:val="22"/>
        </w:rPr>
        <w:t>fue de 0,6% (variación trimestral</w:t>
      </w:r>
      <w:r>
        <w:rPr>
          <w:rFonts w:asciiTheme="majorHAnsi" w:hAnsiTheme="majorHAnsi"/>
          <w:sz w:val="22"/>
          <w:szCs w:val="22"/>
        </w:rPr>
        <w:t xml:space="preserve"> </w:t>
      </w:r>
      <w:r w:rsidRPr="001F6193">
        <w:rPr>
          <w:rFonts w:asciiTheme="majorHAnsi" w:hAnsiTheme="majorHAnsi"/>
          <w:sz w:val="22"/>
          <w:szCs w:val="22"/>
        </w:rPr>
        <w:t>anualizada), por debajo de lo</w:t>
      </w:r>
      <w:r>
        <w:rPr>
          <w:rFonts w:asciiTheme="majorHAnsi" w:hAnsiTheme="majorHAnsi"/>
          <w:sz w:val="22"/>
          <w:szCs w:val="22"/>
        </w:rPr>
        <w:t xml:space="preserve"> </w:t>
      </w:r>
      <w:r w:rsidRPr="001F6193">
        <w:rPr>
          <w:rFonts w:asciiTheme="majorHAnsi" w:hAnsiTheme="majorHAnsi"/>
          <w:sz w:val="22"/>
          <w:szCs w:val="22"/>
        </w:rPr>
        <w:t>observado en los tres trimestres</w:t>
      </w:r>
      <w:r>
        <w:rPr>
          <w:rFonts w:asciiTheme="majorHAnsi" w:hAnsiTheme="majorHAnsi"/>
          <w:sz w:val="22"/>
          <w:szCs w:val="22"/>
        </w:rPr>
        <w:t xml:space="preserve"> </w:t>
      </w:r>
      <w:r w:rsidRPr="001F6193">
        <w:rPr>
          <w:rFonts w:asciiTheme="majorHAnsi" w:hAnsiTheme="majorHAnsi"/>
          <w:sz w:val="22"/>
          <w:szCs w:val="22"/>
        </w:rPr>
        <w:t>previos. Este resultado</w:t>
      </w:r>
      <w:r>
        <w:rPr>
          <w:rFonts w:asciiTheme="majorHAnsi" w:hAnsiTheme="majorHAnsi"/>
          <w:sz w:val="22"/>
          <w:szCs w:val="22"/>
        </w:rPr>
        <w:t xml:space="preserve"> </w:t>
      </w:r>
      <w:r w:rsidRPr="001F6193">
        <w:rPr>
          <w:rFonts w:asciiTheme="majorHAnsi" w:hAnsiTheme="majorHAnsi"/>
          <w:sz w:val="22"/>
          <w:szCs w:val="22"/>
        </w:rPr>
        <w:t>principalmente estuvo afectado</w:t>
      </w:r>
      <w:r>
        <w:rPr>
          <w:rFonts w:asciiTheme="majorHAnsi" w:hAnsiTheme="majorHAnsi"/>
          <w:sz w:val="22"/>
          <w:szCs w:val="22"/>
        </w:rPr>
        <w:t xml:space="preserve"> </w:t>
      </w:r>
      <w:r w:rsidRPr="001F6193">
        <w:rPr>
          <w:rFonts w:asciiTheme="majorHAnsi" w:hAnsiTheme="majorHAnsi"/>
          <w:sz w:val="22"/>
          <w:szCs w:val="22"/>
        </w:rPr>
        <w:t>por la disminución en la inversión</w:t>
      </w:r>
      <w:r>
        <w:rPr>
          <w:rFonts w:asciiTheme="majorHAnsi" w:hAnsiTheme="majorHAnsi"/>
          <w:sz w:val="22"/>
          <w:szCs w:val="22"/>
        </w:rPr>
        <w:t xml:space="preserve"> </w:t>
      </w:r>
      <w:r w:rsidRPr="001F6193">
        <w:rPr>
          <w:rFonts w:asciiTheme="majorHAnsi" w:hAnsiTheme="majorHAnsi"/>
          <w:sz w:val="22"/>
          <w:szCs w:val="22"/>
        </w:rPr>
        <w:t>de la industria de energía y</w:t>
      </w:r>
      <w:r>
        <w:rPr>
          <w:rFonts w:asciiTheme="majorHAnsi" w:hAnsiTheme="majorHAnsi"/>
          <w:sz w:val="22"/>
          <w:szCs w:val="22"/>
        </w:rPr>
        <w:t xml:space="preserve"> </w:t>
      </w:r>
      <w:r w:rsidRPr="001F6193">
        <w:rPr>
          <w:rFonts w:asciiTheme="majorHAnsi" w:hAnsiTheme="majorHAnsi"/>
          <w:sz w:val="22"/>
          <w:szCs w:val="22"/>
        </w:rPr>
        <w:t>condiciones climáticas adversas</w:t>
      </w:r>
      <w:r w:rsidR="00D618AE">
        <w:rPr>
          <w:rFonts w:asciiTheme="majorHAnsi" w:hAnsiTheme="majorHAnsi"/>
          <w:sz w:val="22"/>
          <w:szCs w:val="22"/>
        </w:rPr>
        <w:t xml:space="preserve"> </w:t>
      </w:r>
      <w:r w:rsidRPr="001F6193">
        <w:rPr>
          <w:rFonts w:asciiTheme="majorHAnsi" w:hAnsiTheme="majorHAnsi"/>
          <w:sz w:val="22"/>
          <w:szCs w:val="22"/>
        </w:rPr>
        <w:t>en el noreste del país. Las</w:t>
      </w:r>
      <w:r w:rsidR="00D618AE">
        <w:rPr>
          <w:rFonts w:asciiTheme="majorHAnsi" w:hAnsiTheme="majorHAnsi"/>
          <w:sz w:val="22"/>
          <w:szCs w:val="22"/>
        </w:rPr>
        <w:t xml:space="preserve"> </w:t>
      </w:r>
      <w:r w:rsidRPr="001F6193">
        <w:rPr>
          <w:rFonts w:asciiTheme="majorHAnsi" w:hAnsiTheme="majorHAnsi"/>
          <w:sz w:val="22"/>
          <w:szCs w:val="22"/>
        </w:rPr>
        <w:t>autoridades de ese país prevén</w:t>
      </w:r>
      <w:r w:rsidR="00D618AE">
        <w:rPr>
          <w:rFonts w:asciiTheme="majorHAnsi" w:hAnsiTheme="majorHAnsi"/>
          <w:sz w:val="22"/>
          <w:szCs w:val="22"/>
        </w:rPr>
        <w:t xml:space="preserve"> </w:t>
      </w:r>
      <w:r w:rsidRPr="001F6193">
        <w:rPr>
          <w:rFonts w:asciiTheme="majorHAnsi" w:hAnsiTheme="majorHAnsi"/>
          <w:sz w:val="22"/>
          <w:szCs w:val="22"/>
        </w:rPr>
        <w:t>una recuperación en los</w:t>
      </w:r>
      <w:r w:rsidR="00D618AE">
        <w:rPr>
          <w:rFonts w:asciiTheme="majorHAnsi" w:hAnsiTheme="majorHAnsi"/>
          <w:sz w:val="22"/>
          <w:szCs w:val="22"/>
        </w:rPr>
        <w:t xml:space="preserve"> </w:t>
      </w:r>
      <w:r w:rsidRPr="001F6193">
        <w:rPr>
          <w:rFonts w:asciiTheme="majorHAnsi" w:hAnsiTheme="majorHAnsi"/>
          <w:sz w:val="22"/>
          <w:szCs w:val="22"/>
        </w:rPr>
        <w:t>siguientes trimestres, dada la</w:t>
      </w:r>
      <w:r w:rsidR="00D618AE">
        <w:rPr>
          <w:rFonts w:asciiTheme="majorHAnsi" w:hAnsiTheme="majorHAnsi"/>
          <w:sz w:val="22"/>
          <w:szCs w:val="22"/>
        </w:rPr>
        <w:t xml:space="preserve"> </w:t>
      </w:r>
      <w:r w:rsidRPr="001F6193">
        <w:rPr>
          <w:rFonts w:asciiTheme="majorHAnsi" w:hAnsiTheme="majorHAnsi"/>
          <w:sz w:val="22"/>
          <w:szCs w:val="22"/>
        </w:rPr>
        <w:t>evolución favorable de los</w:t>
      </w:r>
      <w:r w:rsidR="00D618AE">
        <w:rPr>
          <w:rFonts w:asciiTheme="majorHAnsi" w:hAnsiTheme="majorHAnsi"/>
          <w:sz w:val="22"/>
          <w:szCs w:val="22"/>
        </w:rPr>
        <w:t xml:space="preserve"> </w:t>
      </w:r>
      <w:r w:rsidRPr="001F6193">
        <w:rPr>
          <w:rFonts w:asciiTheme="majorHAnsi" w:hAnsiTheme="majorHAnsi"/>
          <w:sz w:val="22"/>
          <w:szCs w:val="22"/>
        </w:rPr>
        <w:t>determinantes del consumo y la</w:t>
      </w:r>
      <w:r w:rsidR="00D618AE">
        <w:rPr>
          <w:rFonts w:asciiTheme="majorHAnsi" w:hAnsiTheme="majorHAnsi"/>
          <w:sz w:val="22"/>
          <w:szCs w:val="22"/>
        </w:rPr>
        <w:t xml:space="preserve"> </w:t>
      </w:r>
      <w:r w:rsidRPr="001F6193">
        <w:rPr>
          <w:rFonts w:asciiTheme="majorHAnsi" w:hAnsiTheme="majorHAnsi"/>
          <w:sz w:val="22"/>
          <w:szCs w:val="22"/>
        </w:rPr>
        <w:t>inversión (menores precios de</w:t>
      </w:r>
      <w:r w:rsidR="00D618AE">
        <w:rPr>
          <w:rFonts w:asciiTheme="majorHAnsi" w:hAnsiTheme="majorHAnsi"/>
          <w:sz w:val="22"/>
          <w:szCs w:val="22"/>
        </w:rPr>
        <w:t xml:space="preserve"> </w:t>
      </w:r>
      <w:r w:rsidRPr="001F6193">
        <w:rPr>
          <w:rFonts w:asciiTheme="majorHAnsi" w:hAnsiTheme="majorHAnsi"/>
          <w:sz w:val="22"/>
          <w:szCs w:val="22"/>
        </w:rPr>
        <w:t>combustibles, fortalecimiento del</w:t>
      </w:r>
      <w:r w:rsidR="00D618AE">
        <w:rPr>
          <w:rFonts w:asciiTheme="majorHAnsi" w:hAnsiTheme="majorHAnsi"/>
          <w:sz w:val="22"/>
          <w:szCs w:val="22"/>
        </w:rPr>
        <w:t xml:space="preserve"> </w:t>
      </w:r>
      <w:r w:rsidRPr="001F6193">
        <w:rPr>
          <w:rFonts w:asciiTheme="majorHAnsi" w:hAnsiTheme="majorHAnsi"/>
          <w:sz w:val="22"/>
          <w:szCs w:val="22"/>
        </w:rPr>
        <w:t>mercado inmobiliario, condiciones</w:t>
      </w:r>
      <w:r w:rsidR="00D618AE">
        <w:rPr>
          <w:rFonts w:asciiTheme="majorHAnsi" w:hAnsiTheme="majorHAnsi"/>
          <w:sz w:val="22"/>
          <w:szCs w:val="22"/>
        </w:rPr>
        <w:t xml:space="preserve"> </w:t>
      </w:r>
      <w:r w:rsidRPr="001F6193">
        <w:rPr>
          <w:rFonts w:asciiTheme="majorHAnsi" w:hAnsiTheme="majorHAnsi"/>
          <w:sz w:val="22"/>
          <w:szCs w:val="22"/>
        </w:rPr>
        <w:t>financieras favorables y mejora del mercado laboral).</w:t>
      </w:r>
    </w:p>
    <w:p w14:paraId="6930AD5B" w14:textId="77777777" w:rsidR="00D618AE" w:rsidRPr="001F6193" w:rsidRDefault="00D618AE" w:rsidP="001F6193">
      <w:pPr>
        <w:rPr>
          <w:rFonts w:asciiTheme="majorHAnsi" w:hAnsiTheme="majorHAnsi"/>
          <w:sz w:val="22"/>
          <w:szCs w:val="22"/>
        </w:rPr>
      </w:pPr>
    </w:p>
    <w:p w14:paraId="4861B283" w14:textId="77777777" w:rsidR="00D618AE" w:rsidRDefault="001F6193" w:rsidP="00D618AE">
      <w:pPr>
        <w:jc w:val="both"/>
        <w:rPr>
          <w:rFonts w:asciiTheme="majorHAnsi" w:hAnsiTheme="majorHAnsi"/>
          <w:sz w:val="22"/>
          <w:szCs w:val="22"/>
        </w:rPr>
      </w:pPr>
      <w:r w:rsidRPr="001F6193">
        <w:rPr>
          <w:rFonts w:asciiTheme="majorHAnsi" w:hAnsiTheme="majorHAnsi"/>
          <w:sz w:val="22"/>
          <w:szCs w:val="22"/>
        </w:rPr>
        <w:t>Si bien la creación de empleo en la economía estadounidense moderó respecto a la segunda</w:t>
      </w:r>
      <w:r w:rsidR="00D618AE">
        <w:rPr>
          <w:rFonts w:asciiTheme="majorHAnsi" w:hAnsiTheme="majorHAnsi"/>
          <w:sz w:val="22"/>
          <w:szCs w:val="22"/>
        </w:rPr>
        <w:t xml:space="preserve"> </w:t>
      </w:r>
      <w:r w:rsidRPr="001F6193">
        <w:rPr>
          <w:rFonts w:asciiTheme="majorHAnsi" w:hAnsiTheme="majorHAnsi"/>
          <w:sz w:val="22"/>
          <w:szCs w:val="22"/>
        </w:rPr>
        <w:t>mitad del 2014, la tasa de desempleo bajó más rápido de lo previsto (de 6,1% en junio del 2014</w:t>
      </w:r>
      <w:r w:rsidR="00D618AE">
        <w:rPr>
          <w:rFonts w:asciiTheme="majorHAnsi" w:hAnsiTheme="majorHAnsi"/>
          <w:sz w:val="22"/>
          <w:szCs w:val="22"/>
        </w:rPr>
        <w:t xml:space="preserve"> </w:t>
      </w:r>
      <w:r w:rsidRPr="001F6193">
        <w:rPr>
          <w:rFonts w:asciiTheme="majorHAnsi" w:hAnsiTheme="majorHAnsi"/>
          <w:sz w:val="22"/>
          <w:szCs w:val="22"/>
        </w:rPr>
        <w:t>a 5,3% un año después). Pese a ello y a que la inflación se mantuvo por debajo del rango objetivo</w:t>
      </w:r>
      <w:r w:rsidR="00D618AE">
        <w:rPr>
          <w:rFonts w:asciiTheme="majorHAnsi" w:hAnsiTheme="majorHAnsi"/>
          <w:sz w:val="22"/>
          <w:szCs w:val="22"/>
        </w:rPr>
        <w:t xml:space="preserve"> </w:t>
      </w:r>
      <w:r w:rsidRPr="001F6193">
        <w:rPr>
          <w:rFonts w:asciiTheme="majorHAnsi" w:hAnsiTheme="majorHAnsi"/>
          <w:sz w:val="22"/>
          <w:szCs w:val="22"/>
        </w:rPr>
        <w:t>del Sistema de la Reserva Federal, la debilidad de la actividad económica fue reconocida por el</w:t>
      </w:r>
      <w:r w:rsidR="00D618AE">
        <w:rPr>
          <w:rFonts w:asciiTheme="majorHAnsi" w:hAnsiTheme="majorHAnsi"/>
          <w:sz w:val="22"/>
          <w:szCs w:val="22"/>
        </w:rPr>
        <w:t xml:space="preserve"> </w:t>
      </w:r>
      <w:r w:rsidRPr="001F6193">
        <w:rPr>
          <w:rFonts w:asciiTheme="majorHAnsi" w:hAnsiTheme="majorHAnsi"/>
          <w:sz w:val="22"/>
          <w:szCs w:val="22"/>
        </w:rPr>
        <w:t>Comité Federal de Mercado Abierto, que en su reunión del 16-17 de junio pasado mantuvo la tasa</w:t>
      </w:r>
      <w:r w:rsidR="00D618AE">
        <w:rPr>
          <w:rFonts w:asciiTheme="majorHAnsi" w:hAnsiTheme="majorHAnsi"/>
          <w:sz w:val="22"/>
          <w:szCs w:val="22"/>
        </w:rPr>
        <w:t xml:space="preserve"> </w:t>
      </w:r>
      <w:r w:rsidRPr="001F6193">
        <w:rPr>
          <w:rFonts w:asciiTheme="majorHAnsi" w:hAnsiTheme="majorHAnsi"/>
          <w:sz w:val="22"/>
          <w:szCs w:val="22"/>
        </w:rPr>
        <w:t xml:space="preserve">de interés de los fondos federales entre 0% y 0,25%. Janet </w:t>
      </w:r>
      <w:proofErr w:type="spellStart"/>
      <w:r w:rsidRPr="001F6193">
        <w:rPr>
          <w:rFonts w:asciiTheme="majorHAnsi" w:hAnsiTheme="majorHAnsi"/>
          <w:sz w:val="22"/>
          <w:szCs w:val="22"/>
        </w:rPr>
        <w:t>Yellen</w:t>
      </w:r>
      <w:proofErr w:type="spellEnd"/>
      <w:r w:rsidRPr="001F6193">
        <w:rPr>
          <w:rFonts w:asciiTheme="majorHAnsi" w:hAnsiTheme="majorHAnsi"/>
          <w:sz w:val="22"/>
          <w:szCs w:val="22"/>
        </w:rPr>
        <w:t xml:space="preserve"> en su comparecencia ante el</w:t>
      </w:r>
      <w:r w:rsidR="00D618AE">
        <w:rPr>
          <w:rFonts w:asciiTheme="majorHAnsi" w:hAnsiTheme="majorHAnsi"/>
          <w:sz w:val="22"/>
          <w:szCs w:val="22"/>
        </w:rPr>
        <w:t xml:space="preserve"> </w:t>
      </w:r>
      <w:r w:rsidRPr="001F6193">
        <w:rPr>
          <w:rFonts w:asciiTheme="majorHAnsi" w:hAnsiTheme="majorHAnsi"/>
          <w:sz w:val="22"/>
          <w:szCs w:val="22"/>
        </w:rPr>
        <w:t>Congreso de Estados Unidos señaló que si la economía evoluciona de acuerdo con lo previsto, las</w:t>
      </w:r>
      <w:r w:rsidR="00D618AE">
        <w:rPr>
          <w:rFonts w:asciiTheme="majorHAnsi" w:hAnsiTheme="majorHAnsi"/>
          <w:sz w:val="22"/>
          <w:szCs w:val="22"/>
        </w:rPr>
        <w:t xml:space="preserve"> </w:t>
      </w:r>
      <w:r w:rsidRPr="001F6193">
        <w:rPr>
          <w:rFonts w:asciiTheme="majorHAnsi" w:hAnsiTheme="majorHAnsi"/>
          <w:sz w:val="22"/>
          <w:szCs w:val="22"/>
        </w:rPr>
        <w:t>condiciones serán apropiadas para subir la tasa de referencia este año.</w:t>
      </w:r>
    </w:p>
    <w:p w14:paraId="1E65676D" w14:textId="77777777" w:rsidR="00D618AE" w:rsidRDefault="00D618AE" w:rsidP="00D618AE">
      <w:pPr>
        <w:jc w:val="both"/>
        <w:rPr>
          <w:rFonts w:asciiTheme="majorHAnsi" w:hAnsiTheme="majorHAnsi"/>
          <w:sz w:val="22"/>
          <w:szCs w:val="22"/>
        </w:rPr>
      </w:pPr>
    </w:p>
    <w:p w14:paraId="333D95B8" w14:textId="12AE8091" w:rsidR="00D618AE" w:rsidRDefault="00D618AE" w:rsidP="00D618AE">
      <w:pPr>
        <w:jc w:val="both"/>
        <w:rPr>
          <w:rFonts w:asciiTheme="majorHAnsi" w:hAnsiTheme="majorHAnsi"/>
          <w:sz w:val="22"/>
          <w:szCs w:val="22"/>
        </w:rPr>
      </w:pPr>
      <w:r w:rsidRPr="00D618AE">
        <w:rPr>
          <w:rFonts w:asciiTheme="majorHAnsi" w:hAnsiTheme="majorHAnsi"/>
          <w:sz w:val="22"/>
          <w:szCs w:val="22"/>
        </w:rPr>
        <w:t>Por el contrario, la producción de la zona del euro creció a una tasa anualizada de 1,6% en el</w:t>
      </w:r>
      <w:r>
        <w:rPr>
          <w:rFonts w:asciiTheme="majorHAnsi" w:hAnsiTheme="majorHAnsi"/>
          <w:sz w:val="22"/>
          <w:szCs w:val="22"/>
        </w:rPr>
        <w:t xml:space="preserve"> </w:t>
      </w:r>
      <w:r w:rsidRPr="00D618AE">
        <w:rPr>
          <w:rFonts w:asciiTheme="majorHAnsi" w:hAnsiTheme="majorHAnsi"/>
          <w:sz w:val="22"/>
          <w:szCs w:val="22"/>
        </w:rPr>
        <w:t>primer trimestre del 2015, similar a l</w:t>
      </w:r>
      <w:r w:rsidR="008E00F6">
        <w:rPr>
          <w:rFonts w:asciiTheme="majorHAnsi" w:hAnsiTheme="majorHAnsi"/>
          <w:sz w:val="22"/>
          <w:szCs w:val="22"/>
        </w:rPr>
        <w:t>o observado el trimestre previo</w:t>
      </w:r>
      <w:r w:rsidRPr="00D618AE">
        <w:rPr>
          <w:rFonts w:asciiTheme="majorHAnsi" w:hAnsiTheme="majorHAnsi"/>
          <w:sz w:val="22"/>
          <w:szCs w:val="22"/>
        </w:rPr>
        <w:t>. En estos resultados</w:t>
      </w:r>
      <w:r>
        <w:rPr>
          <w:rFonts w:asciiTheme="majorHAnsi" w:hAnsiTheme="majorHAnsi"/>
          <w:sz w:val="22"/>
          <w:szCs w:val="22"/>
        </w:rPr>
        <w:t xml:space="preserve"> </w:t>
      </w:r>
      <w:r w:rsidRPr="00D618AE">
        <w:rPr>
          <w:rFonts w:asciiTheme="majorHAnsi" w:hAnsiTheme="majorHAnsi"/>
          <w:sz w:val="22"/>
          <w:szCs w:val="22"/>
        </w:rPr>
        <w:t>influyeron, en buena medida, los bajos precios del petróleo, el menor esfuerzo fiscal y mejores</w:t>
      </w:r>
      <w:r>
        <w:rPr>
          <w:rFonts w:asciiTheme="majorHAnsi" w:hAnsiTheme="majorHAnsi"/>
          <w:sz w:val="22"/>
          <w:szCs w:val="22"/>
        </w:rPr>
        <w:t xml:space="preserve"> </w:t>
      </w:r>
      <w:r w:rsidRPr="00D618AE">
        <w:rPr>
          <w:rFonts w:asciiTheme="majorHAnsi" w:hAnsiTheme="majorHAnsi"/>
          <w:sz w:val="22"/>
          <w:szCs w:val="22"/>
        </w:rPr>
        <w:t>condiciones financieras, en términos de tasas de interés y acceso a crédito. Sin embargo, la</w:t>
      </w:r>
      <w:r>
        <w:rPr>
          <w:rFonts w:asciiTheme="majorHAnsi" w:hAnsiTheme="majorHAnsi"/>
          <w:sz w:val="22"/>
          <w:szCs w:val="22"/>
        </w:rPr>
        <w:t xml:space="preserve"> </w:t>
      </w:r>
      <w:r w:rsidRPr="00D618AE">
        <w:rPr>
          <w:rFonts w:asciiTheme="majorHAnsi" w:hAnsiTheme="majorHAnsi"/>
          <w:sz w:val="22"/>
          <w:szCs w:val="22"/>
        </w:rPr>
        <w:t>región es susceptible a riesgos asociados con la desaceleración de las economías emergentes</w:t>
      </w:r>
      <w:r>
        <w:rPr>
          <w:rFonts w:asciiTheme="majorHAnsi" w:hAnsiTheme="majorHAnsi"/>
          <w:sz w:val="22"/>
          <w:szCs w:val="22"/>
        </w:rPr>
        <w:t xml:space="preserve"> </w:t>
      </w:r>
      <w:r w:rsidRPr="00D618AE">
        <w:rPr>
          <w:rFonts w:asciiTheme="majorHAnsi" w:hAnsiTheme="majorHAnsi"/>
          <w:sz w:val="22"/>
          <w:szCs w:val="22"/>
        </w:rPr>
        <w:t>(por ejemplo China, e incluso Brasil con descenso), tensiones geopolíticas en Europa del Este</w:t>
      </w:r>
      <w:r>
        <w:rPr>
          <w:rFonts w:asciiTheme="majorHAnsi" w:hAnsiTheme="majorHAnsi"/>
          <w:sz w:val="22"/>
          <w:szCs w:val="22"/>
        </w:rPr>
        <w:t xml:space="preserve"> </w:t>
      </w:r>
      <w:r w:rsidRPr="00D618AE">
        <w:rPr>
          <w:rFonts w:asciiTheme="majorHAnsi" w:hAnsiTheme="majorHAnsi"/>
          <w:sz w:val="22"/>
          <w:szCs w:val="22"/>
        </w:rPr>
        <w:t>(Rusia-Ucrania) y las negociaciones de Grecia con sus acreedores internacionales para un tercer</w:t>
      </w:r>
      <w:r>
        <w:rPr>
          <w:rFonts w:asciiTheme="majorHAnsi" w:hAnsiTheme="majorHAnsi"/>
          <w:sz w:val="22"/>
          <w:szCs w:val="22"/>
        </w:rPr>
        <w:t xml:space="preserve"> </w:t>
      </w:r>
      <w:r w:rsidRPr="00D618AE">
        <w:rPr>
          <w:rFonts w:asciiTheme="majorHAnsi" w:hAnsiTheme="majorHAnsi"/>
          <w:sz w:val="22"/>
          <w:szCs w:val="22"/>
        </w:rPr>
        <w:t>plan de rescate de tres años por alrededor de €86 mil millones.</w:t>
      </w:r>
    </w:p>
    <w:p w14:paraId="4C344192" w14:textId="77777777" w:rsidR="00D618AE" w:rsidRDefault="00D618AE" w:rsidP="00D618AE">
      <w:pPr>
        <w:jc w:val="both"/>
        <w:rPr>
          <w:rFonts w:asciiTheme="majorHAnsi" w:hAnsiTheme="majorHAnsi"/>
          <w:sz w:val="22"/>
          <w:szCs w:val="22"/>
        </w:rPr>
      </w:pPr>
    </w:p>
    <w:p w14:paraId="476122C9" w14:textId="29769EBC" w:rsidR="00D618AE" w:rsidRDefault="00D618AE" w:rsidP="00D618AE">
      <w:pPr>
        <w:jc w:val="both"/>
        <w:rPr>
          <w:rFonts w:asciiTheme="majorHAnsi" w:hAnsiTheme="majorHAnsi"/>
          <w:sz w:val="22"/>
          <w:szCs w:val="22"/>
        </w:rPr>
      </w:pPr>
      <w:r w:rsidRPr="00D618AE">
        <w:rPr>
          <w:rFonts w:asciiTheme="majorHAnsi" w:hAnsiTheme="majorHAnsi"/>
          <w:sz w:val="22"/>
          <w:szCs w:val="22"/>
        </w:rPr>
        <w:t>Por su parte, en las economías emergentes, la producción perdió dinamismo, situación explicada</w:t>
      </w:r>
      <w:r>
        <w:rPr>
          <w:rFonts w:asciiTheme="majorHAnsi" w:hAnsiTheme="majorHAnsi"/>
          <w:sz w:val="22"/>
          <w:szCs w:val="22"/>
        </w:rPr>
        <w:t xml:space="preserve"> </w:t>
      </w:r>
      <w:r w:rsidRPr="00D618AE">
        <w:rPr>
          <w:rFonts w:asciiTheme="majorHAnsi" w:hAnsiTheme="majorHAnsi"/>
          <w:sz w:val="22"/>
          <w:szCs w:val="22"/>
        </w:rPr>
        <w:t>por el moderado crecimiento mundial y la reducción en los precios de las materias primas,</w:t>
      </w:r>
      <w:r>
        <w:rPr>
          <w:rFonts w:asciiTheme="majorHAnsi" w:hAnsiTheme="majorHAnsi"/>
          <w:sz w:val="22"/>
          <w:szCs w:val="22"/>
        </w:rPr>
        <w:t xml:space="preserve"> </w:t>
      </w:r>
      <w:r w:rsidRPr="00D618AE">
        <w:rPr>
          <w:rFonts w:asciiTheme="majorHAnsi" w:hAnsiTheme="majorHAnsi"/>
          <w:sz w:val="22"/>
          <w:szCs w:val="22"/>
        </w:rPr>
        <w:t>particularmente del petróleo. Además, en algunas de estas economías las monedas se</w:t>
      </w:r>
      <w:r>
        <w:rPr>
          <w:rFonts w:asciiTheme="majorHAnsi" w:hAnsiTheme="majorHAnsi"/>
          <w:sz w:val="22"/>
          <w:szCs w:val="22"/>
        </w:rPr>
        <w:t xml:space="preserve"> </w:t>
      </w:r>
      <w:r w:rsidRPr="00D618AE">
        <w:rPr>
          <w:rFonts w:asciiTheme="majorHAnsi" w:hAnsiTheme="majorHAnsi"/>
          <w:sz w:val="22"/>
          <w:szCs w:val="22"/>
        </w:rPr>
        <w:t>depreciaron por menores ingresos provenientes de la venta de productos básicos; esta situación</w:t>
      </w:r>
      <w:r>
        <w:rPr>
          <w:rFonts w:asciiTheme="majorHAnsi" w:hAnsiTheme="majorHAnsi"/>
          <w:sz w:val="22"/>
          <w:szCs w:val="22"/>
        </w:rPr>
        <w:t xml:space="preserve"> </w:t>
      </w:r>
      <w:r w:rsidRPr="00D618AE">
        <w:rPr>
          <w:rFonts w:asciiTheme="majorHAnsi" w:hAnsiTheme="majorHAnsi"/>
          <w:sz w:val="22"/>
          <w:szCs w:val="22"/>
        </w:rPr>
        <w:t>podría acentuarse ante el riesgo de una salida de capitales al iniciar el incremento en las tasas de</w:t>
      </w:r>
      <w:r>
        <w:rPr>
          <w:rFonts w:asciiTheme="majorHAnsi" w:hAnsiTheme="majorHAnsi"/>
          <w:sz w:val="22"/>
          <w:szCs w:val="22"/>
        </w:rPr>
        <w:t xml:space="preserve"> </w:t>
      </w:r>
      <w:r w:rsidRPr="00D618AE">
        <w:rPr>
          <w:rFonts w:asciiTheme="majorHAnsi" w:hAnsiTheme="majorHAnsi"/>
          <w:sz w:val="22"/>
          <w:szCs w:val="22"/>
        </w:rPr>
        <w:t>interés en Estados Unidos.</w:t>
      </w:r>
    </w:p>
    <w:p w14:paraId="46B44C71" w14:textId="77777777" w:rsidR="00D618AE" w:rsidRDefault="00D618AE" w:rsidP="00D618AE">
      <w:pPr>
        <w:jc w:val="both"/>
        <w:rPr>
          <w:rFonts w:asciiTheme="majorHAnsi" w:hAnsiTheme="majorHAnsi"/>
          <w:sz w:val="22"/>
          <w:szCs w:val="22"/>
        </w:rPr>
      </w:pPr>
    </w:p>
    <w:p w14:paraId="0DE56318" w14:textId="654BF093" w:rsidR="00D618AE" w:rsidRDefault="00D618AE" w:rsidP="00D618AE">
      <w:pPr>
        <w:jc w:val="both"/>
        <w:rPr>
          <w:rFonts w:asciiTheme="majorHAnsi" w:hAnsiTheme="majorHAnsi"/>
          <w:sz w:val="22"/>
          <w:szCs w:val="22"/>
        </w:rPr>
      </w:pPr>
      <w:r w:rsidRPr="00D618AE">
        <w:rPr>
          <w:rFonts w:asciiTheme="majorHAnsi" w:hAnsiTheme="majorHAnsi"/>
          <w:sz w:val="22"/>
          <w:szCs w:val="22"/>
        </w:rPr>
        <w:t>En cuanto a la inflación internacional,</w:t>
      </w:r>
      <w:r>
        <w:rPr>
          <w:rFonts w:asciiTheme="majorHAnsi" w:hAnsiTheme="majorHAnsi"/>
          <w:sz w:val="22"/>
          <w:szCs w:val="22"/>
        </w:rPr>
        <w:t xml:space="preserve"> </w:t>
      </w:r>
      <w:r w:rsidRPr="00D618AE">
        <w:rPr>
          <w:rFonts w:asciiTheme="majorHAnsi" w:hAnsiTheme="majorHAnsi"/>
          <w:sz w:val="22"/>
          <w:szCs w:val="22"/>
        </w:rPr>
        <w:t>ésta se mantuvo en niveles bajos en la</w:t>
      </w:r>
      <w:r>
        <w:rPr>
          <w:rFonts w:asciiTheme="majorHAnsi" w:hAnsiTheme="majorHAnsi"/>
          <w:sz w:val="22"/>
          <w:szCs w:val="22"/>
        </w:rPr>
        <w:t xml:space="preserve"> </w:t>
      </w:r>
      <w:r w:rsidRPr="00D618AE">
        <w:rPr>
          <w:rFonts w:asciiTheme="majorHAnsi" w:hAnsiTheme="majorHAnsi"/>
          <w:sz w:val="22"/>
          <w:szCs w:val="22"/>
        </w:rPr>
        <w:t>mayoría de naciones avanzadas (por</w:t>
      </w:r>
      <w:r>
        <w:rPr>
          <w:rFonts w:asciiTheme="majorHAnsi" w:hAnsiTheme="majorHAnsi"/>
          <w:sz w:val="22"/>
          <w:szCs w:val="22"/>
        </w:rPr>
        <w:t xml:space="preserve"> </w:t>
      </w:r>
      <w:r w:rsidRPr="00D618AE">
        <w:rPr>
          <w:rFonts w:asciiTheme="majorHAnsi" w:hAnsiTheme="majorHAnsi"/>
          <w:sz w:val="22"/>
          <w:szCs w:val="22"/>
        </w:rPr>
        <w:t>debajo de las metas establecidas por sus</w:t>
      </w:r>
      <w:r>
        <w:rPr>
          <w:rFonts w:asciiTheme="majorHAnsi" w:hAnsiTheme="majorHAnsi"/>
          <w:sz w:val="22"/>
          <w:szCs w:val="22"/>
        </w:rPr>
        <w:t xml:space="preserve"> </w:t>
      </w:r>
      <w:r w:rsidRPr="00D618AE">
        <w:rPr>
          <w:rFonts w:asciiTheme="majorHAnsi" w:hAnsiTheme="majorHAnsi"/>
          <w:sz w:val="22"/>
          <w:szCs w:val="22"/>
        </w:rPr>
        <w:t>bancos centrales) e incluso en la zona del</w:t>
      </w:r>
      <w:r>
        <w:rPr>
          <w:rFonts w:asciiTheme="majorHAnsi" w:hAnsiTheme="majorHAnsi"/>
          <w:sz w:val="22"/>
          <w:szCs w:val="22"/>
        </w:rPr>
        <w:t xml:space="preserve"> </w:t>
      </w:r>
      <w:r w:rsidRPr="00D618AE">
        <w:rPr>
          <w:rFonts w:asciiTheme="majorHAnsi" w:hAnsiTheme="majorHAnsi"/>
          <w:sz w:val="22"/>
          <w:szCs w:val="22"/>
        </w:rPr>
        <w:t>euro prevalece el riesgo de deflación, ya</w:t>
      </w:r>
      <w:r>
        <w:rPr>
          <w:rFonts w:asciiTheme="majorHAnsi" w:hAnsiTheme="majorHAnsi"/>
          <w:sz w:val="22"/>
          <w:szCs w:val="22"/>
        </w:rPr>
        <w:t xml:space="preserve"> </w:t>
      </w:r>
      <w:r w:rsidRPr="00D618AE">
        <w:rPr>
          <w:rFonts w:asciiTheme="majorHAnsi" w:hAnsiTheme="majorHAnsi"/>
          <w:sz w:val="22"/>
          <w:szCs w:val="22"/>
        </w:rPr>
        <w:t>que la inflación interanual disminuyó casi</w:t>
      </w:r>
      <w:r>
        <w:rPr>
          <w:rFonts w:asciiTheme="majorHAnsi" w:hAnsiTheme="majorHAnsi"/>
          <w:sz w:val="22"/>
          <w:szCs w:val="22"/>
        </w:rPr>
        <w:t xml:space="preserve"> </w:t>
      </w:r>
      <w:r w:rsidRPr="00D618AE">
        <w:rPr>
          <w:rFonts w:asciiTheme="majorHAnsi" w:hAnsiTheme="majorHAnsi"/>
          <w:sz w:val="22"/>
          <w:szCs w:val="22"/>
        </w:rPr>
        <w:t>ininterrumpidamente desde diciembre del</w:t>
      </w:r>
      <w:r>
        <w:rPr>
          <w:rFonts w:asciiTheme="majorHAnsi" w:hAnsiTheme="majorHAnsi"/>
          <w:sz w:val="22"/>
          <w:szCs w:val="22"/>
        </w:rPr>
        <w:t xml:space="preserve"> </w:t>
      </w:r>
      <w:r w:rsidRPr="00D618AE">
        <w:rPr>
          <w:rFonts w:asciiTheme="majorHAnsi" w:hAnsiTheme="majorHAnsi"/>
          <w:sz w:val="22"/>
          <w:szCs w:val="22"/>
        </w:rPr>
        <w:t>2011. En los países emergentes, la</w:t>
      </w:r>
      <w:r>
        <w:rPr>
          <w:rFonts w:asciiTheme="majorHAnsi" w:hAnsiTheme="majorHAnsi"/>
          <w:sz w:val="22"/>
          <w:szCs w:val="22"/>
        </w:rPr>
        <w:t xml:space="preserve"> </w:t>
      </w:r>
      <w:r w:rsidRPr="00D618AE">
        <w:rPr>
          <w:rFonts w:asciiTheme="majorHAnsi" w:hAnsiTheme="majorHAnsi"/>
          <w:sz w:val="22"/>
          <w:szCs w:val="22"/>
        </w:rPr>
        <w:t>inflación tuvo un comportamiento</w:t>
      </w:r>
      <w:r>
        <w:rPr>
          <w:rFonts w:asciiTheme="majorHAnsi" w:hAnsiTheme="majorHAnsi"/>
          <w:sz w:val="22"/>
          <w:szCs w:val="22"/>
        </w:rPr>
        <w:t xml:space="preserve"> </w:t>
      </w:r>
      <w:r w:rsidRPr="00D618AE">
        <w:rPr>
          <w:rFonts w:asciiTheme="majorHAnsi" w:hAnsiTheme="majorHAnsi"/>
          <w:sz w:val="22"/>
          <w:szCs w:val="22"/>
        </w:rPr>
        <w:t>diferenciado en función de factores como</w:t>
      </w:r>
      <w:r>
        <w:rPr>
          <w:rFonts w:asciiTheme="majorHAnsi" w:hAnsiTheme="majorHAnsi"/>
          <w:sz w:val="22"/>
          <w:szCs w:val="22"/>
        </w:rPr>
        <w:t xml:space="preserve"> </w:t>
      </w:r>
      <w:r w:rsidRPr="00D618AE">
        <w:rPr>
          <w:rFonts w:asciiTheme="majorHAnsi" w:hAnsiTheme="majorHAnsi"/>
          <w:sz w:val="22"/>
          <w:szCs w:val="22"/>
        </w:rPr>
        <w:t>el efecto neto de la caída en los precios</w:t>
      </w:r>
      <w:r>
        <w:rPr>
          <w:rFonts w:asciiTheme="majorHAnsi" w:hAnsiTheme="majorHAnsi"/>
          <w:sz w:val="22"/>
          <w:szCs w:val="22"/>
        </w:rPr>
        <w:t xml:space="preserve"> </w:t>
      </w:r>
      <w:r w:rsidRPr="00D618AE">
        <w:rPr>
          <w:rFonts w:asciiTheme="majorHAnsi" w:hAnsiTheme="majorHAnsi"/>
          <w:sz w:val="22"/>
          <w:szCs w:val="22"/>
        </w:rPr>
        <w:t>de las materias primas y la depreciación</w:t>
      </w:r>
      <w:r>
        <w:rPr>
          <w:rFonts w:asciiTheme="majorHAnsi" w:hAnsiTheme="majorHAnsi"/>
          <w:sz w:val="22"/>
          <w:szCs w:val="22"/>
        </w:rPr>
        <w:t xml:space="preserve"> </w:t>
      </w:r>
      <w:r w:rsidRPr="00D618AE">
        <w:rPr>
          <w:rFonts w:asciiTheme="majorHAnsi" w:hAnsiTheme="majorHAnsi"/>
          <w:sz w:val="22"/>
          <w:szCs w:val="22"/>
        </w:rPr>
        <w:t>de sus monedas.</w:t>
      </w:r>
    </w:p>
    <w:p w14:paraId="1F69E2E3" w14:textId="4EBDAA81" w:rsidR="001F6E50" w:rsidRDefault="001F6E50">
      <w:pPr>
        <w:rPr>
          <w:rFonts w:asciiTheme="majorHAnsi" w:hAnsiTheme="majorHAnsi"/>
          <w:sz w:val="22"/>
          <w:szCs w:val="22"/>
        </w:rPr>
      </w:pPr>
      <w:r>
        <w:rPr>
          <w:rFonts w:asciiTheme="majorHAnsi" w:hAnsiTheme="majorHAnsi"/>
          <w:sz w:val="22"/>
          <w:szCs w:val="22"/>
        </w:rPr>
        <w:br w:type="page"/>
      </w:r>
    </w:p>
    <w:p w14:paraId="49081700" w14:textId="66C6A07B" w:rsidR="009F2F9C" w:rsidRPr="009F2F9C" w:rsidRDefault="0013662A" w:rsidP="009F2F9C">
      <w:pPr>
        <w:jc w:val="center"/>
        <w:rPr>
          <w:rFonts w:asciiTheme="majorHAnsi" w:hAnsiTheme="majorHAnsi"/>
          <w:b/>
          <w:sz w:val="22"/>
          <w:szCs w:val="22"/>
        </w:rPr>
      </w:pPr>
      <w:r>
        <w:rPr>
          <w:rFonts w:asciiTheme="majorHAnsi" w:hAnsiTheme="majorHAnsi"/>
          <w:b/>
          <w:sz w:val="22"/>
          <w:szCs w:val="22"/>
        </w:rPr>
        <w:lastRenderedPageBreak/>
        <w:t xml:space="preserve">Grafico 1: </w:t>
      </w:r>
      <w:r w:rsidR="009F2F9C" w:rsidRPr="009F2F9C">
        <w:rPr>
          <w:rFonts w:asciiTheme="majorHAnsi" w:hAnsiTheme="majorHAnsi"/>
          <w:b/>
          <w:sz w:val="22"/>
          <w:szCs w:val="22"/>
        </w:rPr>
        <w:t>Inflación de Costa Rica y principales socios comerciales</w:t>
      </w:r>
    </w:p>
    <w:p w14:paraId="403CC33F" w14:textId="5D1E3FE5" w:rsidR="009F2F9C" w:rsidRPr="009F2F9C" w:rsidRDefault="00BA7ADB" w:rsidP="009F2F9C">
      <w:pPr>
        <w:jc w:val="center"/>
        <w:rPr>
          <w:rFonts w:asciiTheme="majorHAnsi" w:hAnsiTheme="majorHAnsi"/>
          <w:b/>
          <w:sz w:val="22"/>
          <w:szCs w:val="22"/>
        </w:rPr>
      </w:pPr>
      <w:r>
        <w:rPr>
          <w:rFonts w:asciiTheme="majorHAnsi" w:hAnsiTheme="majorHAnsi"/>
          <w:b/>
          <w:sz w:val="22"/>
          <w:szCs w:val="22"/>
        </w:rPr>
        <w:t>-Variación I</w:t>
      </w:r>
      <w:r w:rsidR="009F2F9C" w:rsidRPr="009F2F9C">
        <w:rPr>
          <w:rFonts w:asciiTheme="majorHAnsi" w:hAnsiTheme="majorHAnsi"/>
          <w:b/>
          <w:sz w:val="22"/>
          <w:szCs w:val="22"/>
        </w:rPr>
        <w:t>nteranual en porcentaje –</w:t>
      </w:r>
    </w:p>
    <w:p w14:paraId="58881571" w14:textId="2EBCD757" w:rsidR="009F2F9C" w:rsidRDefault="009F2F9C" w:rsidP="009F2F9C">
      <w:pPr>
        <w:jc w:val="center"/>
        <w:rPr>
          <w:rFonts w:asciiTheme="majorHAnsi" w:hAnsiTheme="majorHAnsi"/>
          <w:sz w:val="22"/>
          <w:szCs w:val="22"/>
        </w:rPr>
      </w:pPr>
      <w:r>
        <w:rPr>
          <w:noProof/>
        </w:rPr>
        <w:drawing>
          <wp:inline distT="0" distB="0" distL="0" distR="0" wp14:anchorId="517F5655" wp14:editId="716CF60C">
            <wp:extent cx="3840480" cy="2778802"/>
            <wp:effectExtent l="19050" t="19050" r="26670" b="2159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849023" cy="2784983"/>
                    </a:xfrm>
                    <a:prstGeom prst="rect">
                      <a:avLst/>
                    </a:prstGeom>
                    <a:ln>
                      <a:solidFill>
                        <a:schemeClr val="accent1"/>
                      </a:solidFill>
                    </a:ln>
                  </pic:spPr>
                </pic:pic>
              </a:graphicData>
            </a:graphic>
          </wp:inline>
        </w:drawing>
      </w:r>
    </w:p>
    <w:p w14:paraId="5C2C68C9" w14:textId="32A0F0F9" w:rsidR="009F2F9C" w:rsidRDefault="009F2F9C" w:rsidP="009F2F9C">
      <w:pPr>
        <w:tabs>
          <w:tab w:val="left" w:pos="1276"/>
        </w:tabs>
        <w:ind w:left="1418"/>
        <w:rPr>
          <w:rFonts w:asciiTheme="majorHAnsi" w:hAnsiTheme="majorHAnsi"/>
          <w:color w:val="000000"/>
          <w:sz w:val="16"/>
          <w:szCs w:val="16"/>
        </w:rPr>
      </w:pPr>
      <w:r w:rsidRPr="009F2F9C">
        <w:rPr>
          <w:rFonts w:asciiTheme="majorHAnsi" w:hAnsiTheme="majorHAnsi"/>
          <w:color w:val="000000"/>
          <w:sz w:val="16"/>
          <w:szCs w:val="16"/>
        </w:rPr>
        <w:t>Fuente: Banco Central de Costa Rica e Instituto Nacional de</w:t>
      </w:r>
      <w:r>
        <w:rPr>
          <w:rFonts w:asciiTheme="majorHAnsi" w:hAnsiTheme="majorHAnsi"/>
          <w:color w:val="000000"/>
          <w:sz w:val="16"/>
          <w:szCs w:val="16"/>
        </w:rPr>
        <w:t xml:space="preserve"> </w:t>
      </w:r>
      <w:r w:rsidRPr="009F2F9C">
        <w:rPr>
          <w:rFonts w:asciiTheme="majorHAnsi" w:hAnsiTheme="majorHAnsi"/>
          <w:color w:val="000000"/>
          <w:sz w:val="16"/>
          <w:szCs w:val="16"/>
        </w:rPr>
        <w:t>Estadística y Censos</w:t>
      </w:r>
    </w:p>
    <w:p w14:paraId="6349581F" w14:textId="77777777" w:rsidR="00BA7ADB" w:rsidRPr="009F2F9C" w:rsidRDefault="00BA7ADB" w:rsidP="009F2F9C">
      <w:pPr>
        <w:tabs>
          <w:tab w:val="left" w:pos="1276"/>
        </w:tabs>
        <w:ind w:left="1418"/>
        <w:rPr>
          <w:rFonts w:asciiTheme="majorHAnsi" w:hAnsiTheme="majorHAnsi"/>
          <w:sz w:val="22"/>
          <w:szCs w:val="22"/>
        </w:rPr>
      </w:pPr>
    </w:p>
    <w:p w14:paraId="5315B324" w14:textId="77777777" w:rsidR="00EA2A58" w:rsidRDefault="00EA2A58" w:rsidP="00761F9B">
      <w:pPr>
        <w:jc w:val="both"/>
        <w:rPr>
          <w:rFonts w:asciiTheme="majorHAnsi" w:hAnsiTheme="majorHAnsi"/>
          <w:sz w:val="22"/>
          <w:szCs w:val="22"/>
        </w:rPr>
      </w:pPr>
    </w:p>
    <w:p w14:paraId="06A948D2" w14:textId="77777777" w:rsidR="00060053" w:rsidRPr="004A04B8" w:rsidRDefault="00060053" w:rsidP="00E227A0">
      <w:pPr>
        <w:rPr>
          <w:rFonts w:asciiTheme="majorHAnsi" w:hAnsiTheme="majorHAnsi"/>
          <w:b/>
        </w:rPr>
      </w:pPr>
      <w:bookmarkStart w:id="8" w:name="_Toc294168413"/>
      <w:r w:rsidRPr="00D66302">
        <w:rPr>
          <w:b/>
        </w:rPr>
        <w:t>II  Sistema Nacional de Pensiones</w:t>
      </w:r>
      <w:bookmarkEnd w:id="8"/>
    </w:p>
    <w:p w14:paraId="055689A1" w14:textId="77777777" w:rsidR="009A4E67" w:rsidRDefault="009A4E67" w:rsidP="00A2354E">
      <w:pPr>
        <w:jc w:val="both"/>
        <w:rPr>
          <w:rFonts w:asciiTheme="majorHAnsi" w:hAnsiTheme="majorHAnsi"/>
          <w:sz w:val="22"/>
          <w:szCs w:val="22"/>
        </w:rPr>
      </w:pPr>
    </w:p>
    <w:p w14:paraId="2F71DCE1" w14:textId="77777777" w:rsidR="00036346" w:rsidRPr="00036346"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s="Courier New"/>
          <w:sz w:val="22"/>
          <w:szCs w:val="22"/>
        </w:rPr>
      </w:pPr>
      <w:r w:rsidRPr="00036346">
        <w:rPr>
          <w:rFonts w:asciiTheme="majorHAnsi" w:hAnsiTheme="majorHAnsi" w:cs="Courier New"/>
          <w:color w:val="000000"/>
          <w:sz w:val="22"/>
          <w:szCs w:val="22"/>
        </w:rPr>
        <w:t>Actualmente el Sistema Nacional de Pensiones, más el Fondo de Capitalización Laboral, administran el 31,91% del Producto Interno Bruto</w:t>
      </w:r>
      <w:r w:rsidRPr="00036346">
        <w:rPr>
          <w:rStyle w:val="Refdenotaalpie"/>
          <w:rFonts w:asciiTheme="majorHAnsi" w:hAnsiTheme="majorHAnsi" w:cs="Courier New"/>
          <w:sz w:val="22"/>
          <w:szCs w:val="22"/>
        </w:rPr>
        <w:footnoteReference w:id="1"/>
      </w:r>
      <w:r w:rsidRPr="00036346">
        <w:rPr>
          <w:rFonts w:asciiTheme="majorHAnsi" w:hAnsiTheme="majorHAnsi" w:cs="Courier New"/>
          <w:color w:val="000000"/>
          <w:sz w:val="22"/>
          <w:szCs w:val="22"/>
        </w:rPr>
        <w:t>, consolidando la tendencia desde el año 2009, según se puede apreciar en el siguiente gráfico.</w:t>
      </w:r>
    </w:p>
    <w:p w14:paraId="3E3380F3" w14:textId="77777777" w:rsidR="00036346" w:rsidRPr="00D735CA"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p>
    <w:p w14:paraId="58E6C29E" w14:textId="4B0FB7FE" w:rsidR="00036346" w:rsidRPr="00677AF5" w:rsidRDefault="0013662A" w:rsidP="0013662A">
      <w:pPr>
        <w:pStyle w:val="Descripcin"/>
        <w:spacing w:before="0" w:after="0"/>
        <w:jc w:val="center"/>
        <w:rPr>
          <w:sz w:val="22"/>
          <w:szCs w:val="22"/>
        </w:rPr>
      </w:pPr>
      <w:bookmarkStart w:id="9" w:name="_Toc426449343"/>
      <w:r w:rsidRPr="0013662A">
        <w:rPr>
          <w:sz w:val="22"/>
          <w:szCs w:val="22"/>
        </w:rPr>
        <w:t>Gráfico 2</w:t>
      </w:r>
      <w:r w:rsidR="00036346" w:rsidRPr="0013662A">
        <w:rPr>
          <w:sz w:val="22"/>
          <w:szCs w:val="22"/>
        </w:rPr>
        <w:t>: Sistema Nacional de Pensiones</w:t>
      </w:r>
      <w:bookmarkEnd w:id="9"/>
    </w:p>
    <w:p w14:paraId="27C50729" w14:textId="77777777" w:rsidR="00036346" w:rsidRPr="00677AF5" w:rsidRDefault="00036346" w:rsidP="0013662A">
      <w:pPr>
        <w:pStyle w:val="Descripcin"/>
        <w:spacing w:before="0" w:after="0"/>
        <w:jc w:val="center"/>
        <w:rPr>
          <w:sz w:val="22"/>
          <w:szCs w:val="22"/>
        </w:rPr>
      </w:pPr>
      <w:r w:rsidRPr="00677AF5">
        <w:rPr>
          <w:sz w:val="22"/>
          <w:szCs w:val="22"/>
        </w:rPr>
        <w:t>Activos Administrados</w:t>
      </w:r>
    </w:p>
    <w:p w14:paraId="4CB0689D" w14:textId="77777777" w:rsidR="00036346"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center"/>
        <w:rPr>
          <w:rFonts w:cs="Courier New"/>
        </w:rPr>
      </w:pPr>
      <w:r>
        <w:rPr>
          <w:noProof/>
        </w:rPr>
        <w:drawing>
          <wp:inline distT="0" distB="0" distL="0" distR="0" wp14:anchorId="656C52A6" wp14:editId="39C94ADB">
            <wp:extent cx="3818535" cy="2348179"/>
            <wp:effectExtent l="0" t="0" r="10795" b="1460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6AA3C22" w14:textId="77777777" w:rsidR="00036346" w:rsidRPr="00036346"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eastAsia="Arial Unicode MS" w:hAnsiTheme="majorHAnsi" w:cs="Arial Unicode MS"/>
          <w:color w:val="000000"/>
          <w:sz w:val="20"/>
          <w:szCs w:val="20"/>
        </w:rPr>
      </w:pPr>
      <w:r w:rsidRPr="00036346">
        <w:rPr>
          <w:rFonts w:asciiTheme="majorHAnsi" w:eastAsia="Arial Unicode MS" w:hAnsiTheme="majorHAnsi" w:cs="Arial Unicode MS"/>
          <w:color w:val="000000"/>
          <w:sz w:val="20"/>
          <w:szCs w:val="20"/>
        </w:rPr>
        <w:tab/>
        <w:t xml:space="preserve">     Fuente: Elaboración propia con datos suministrados por entidades.</w:t>
      </w:r>
    </w:p>
    <w:p w14:paraId="6BD1A9CF" w14:textId="77777777" w:rsidR="00036346" w:rsidRPr="00036346" w:rsidRDefault="00036346" w:rsidP="00036346">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eastAsia="Arial Unicode MS" w:hAnsiTheme="majorHAnsi" w:cs="Arial Unicode MS"/>
          <w:color w:val="000000"/>
          <w:sz w:val="20"/>
          <w:szCs w:val="20"/>
        </w:rPr>
      </w:pPr>
      <w:r w:rsidRPr="00036346">
        <w:rPr>
          <w:rFonts w:asciiTheme="majorHAnsi" w:eastAsia="Arial Unicode MS" w:hAnsiTheme="majorHAnsi" w:cs="Arial Unicode MS"/>
          <w:color w:val="000000"/>
          <w:sz w:val="20"/>
          <w:szCs w:val="20"/>
        </w:rPr>
        <w:tab/>
        <w:t xml:space="preserve">     * En Jun 2015 los datos del IMV y el Poder Judicial están al 31 de mayo 2015.</w:t>
      </w:r>
    </w:p>
    <w:p w14:paraId="62545809" w14:textId="77777777" w:rsidR="00036346" w:rsidRDefault="00036346" w:rsidP="00A2354E">
      <w:pPr>
        <w:jc w:val="both"/>
        <w:rPr>
          <w:rFonts w:asciiTheme="majorHAnsi" w:hAnsiTheme="majorHAnsi"/>
          <w:sz w:val="22"/>
          <w:szCs w:val="22"/>
        </w:rPr>
      </w:pPr>
    </w:p>
    <w:p w14:paraId="29BBD6D7" w14:textId="638AB8FA" w:rsidR="00036346" w:rsidRPr="00677AF5" w:rsidRDefault="0013662A" w:rsidP="0013662A">
      <w:pPr>
        <w:pStyle w:val="Descripcin"/>
        <w:spacing w:before="0" w:after="0"/>
        <w:jc w:val="center"/>
        <w:rPr>
          <w:sz w:val="22"/>
          <w:szCs w:val="22"/>
        </w:rPr>
      </w:pPr>
      <w:bookmarkStart w:id="10" w:name="_Toc426449344"/>
      <w:r w:rsidRPr="0013662A">
        <w:rPr>
          <w:sz w:val="22"/>
          <w:szCs w:val="22"/>
        </w:rPr>
        <w:t>Gráfico 3</w:t>
      </w:r>
      <w:r w:rsidR="00036346" w:rsidRPr="0013662A">
        <w:rPr>
          <w:sz w:val="22"/>
          <w:szCs w:val="22"/>
        </w:rPr>
        <w:t>: Activos Administrados por Entidad</w:t>
      </w:r>
      <w:bookmarkEnd w:id="10"/>
    </w:p>
    <w:p w14:paraId="262DB6C5" w14:textId="77777777" w:rsidR="00036346" w:rsidRPr="00677AF5" w:rsidRDefault="00036346" w:rsidP="0013662A">
      <w:pPr>
        <w:pStyle w:val="Descripcin"/>
        <w:spacing w:before="0" w:after="0"/>
        <w:jc w:val="center"/>
        <w:rPr>
          <w:sz w:val="22"/>
          <w:szCs w:val="22"/>
        </w:rPr>
      </w:pPr>
      <w:r>
        <w:rPr>
          <w:sz w:val="22"/>
          <w:szCs w:val="22"/>
        </w:rPr>
        <w:t>30 de junio del 2015</w:t>
      </w:r>
    </w:p>
    <w:p w14:paraId="42C9740A" w14:textId="77777777" w:rsidR="00036346"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center"/>
        <w:rPr>
          <w:rFonts w:cs="Courier New"/>
        </w:rPr>
      </w:pPr>
      <w:r>
        <w:rPr>
          <w:noProof/>
        </w:rPr>
        <w:drawing>
          <wp:inline distT="0" distB="0" distL="0" distR="0" wp14:anchorId="2E8AC549" wp14:editId="6795BB60">
            <wp:extent cx="3500526" cy="1946606"/>
            <wp:effectExtent l="0" t="0" r="5080" b="1587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575809E" w14:textId="1EA6C914" w:rsidR="00036346" w:rsidRPr="002D1659" w:rsidRDefault="00036346" w:rsidP="0013662A">
      <w:pPr>
        <w:ind w:left="993"/>
        <w:rPr>
          <w:rFonts w:asciiTheme="majorHAnsi" w:eastAsia="Arial Unicode MS" w:hAnsiTheme="majorHAnsi" w:cs="Arial Unicode MS"/>
          <w:color w:val="000000"/>
          <w:sz w:val="16"/>
          <w:szCs w:val="20"/>
        </w:rPr>
      </w:pPr>
      <w:r w:rsidRPr="002D1659">
        <w:rPr>
          <w:rFonts w:asciiTheme="majorHAnsi" w:eastAsia="Arial Unicode MS" w:hAnsiTheme="majorHAnsi" w:cs="Arial Unicode MS"/>
          <w:color w:val="000000"/>
          <w:sz w:val="16"/>
          <w:szCs w:val="20"/>
        </w:rPr>
        <w:t xml:space="preserve">       Fuente: Elaboración propia con da</w:t>
      </w:r>
      <w:r w:rsidR="00BA7ADB">
        <w:rPr>
          <w:rFonts w:asciiTheme="majorHAnsi" w:eastAsia="Arial Unicode MS" w:hAnsiTheme="majorHAnsi" w:cs="Arial Unicode MS"/>
          <w:color w:val="000000"/>
          <w:sz w:val="16"/>
          <w:szCs w:val="20"/>
        </w:rPr>
        <w:t>tos suministrados por entidades</w:t>
      </w:r>
    </w:p>
    <w:p w14:paraId="47D41732" w14:textId="730B89DF" w:rsidR="00036346" w:rsidRPr="002D1659" w:rsidRDefault="00036346" w:rsidP="0013662A">
      <w:pPr>
        <w:ind w:left="993"/>
        <w:rPr>
          <w:rFonts w:asciiTheme="majorHAnsi" w:eastAsia="Arial Unicode MS" w:hAnsiTheme="majorHAnsi" w:cs="Arial Unicode MS"/>
          <w:color w:val="000000"/>
          <w:sz w:val="16"/>
          <w:szCs w:val="20"/>
        </w:rPr>
      </w:pPr>
      <w:r w:rsidRPr="002D1659">
        <w:rPr>
          <w:rFonts w:asciiTheme="majorHAnsi" w:eastAsia="Arial Unicode MS" w:hAnsiTheme="majorHAnsi" w:cs="Arial Unicode MS"/>
          <w:color w:val="000000"/>
          <w:sz w:val="16"/>
          <w:szCs w:val="20"/>
        </w:rPr>
        <w:t xml:space="preserve">       * Los datos del IMV y el Poder Ju</w:t>
      </w:r>
      <w:r w:rsidR="00BA7ADB">
        <w:rPr>
          <w:rFonts w:asciiTheme="majorHAnsi" w:eastAsia="Arial Unicode MS" w:hAnsiTheme="majorHAnsi" w:cs="Arial Unicode MS"/>
          <w:color w:val="000000"/>
          <w:sz w:val="16"/>
          <w:szCs w:val="20"/>
        </w:rPr>
        <w:t>dicial están al 31 de mayo 2015</w:t>
      </w:r>
    </w:p>
    <w:p w14:paraId="1097A135" w14:textId="77777777" w:rsidR="00036346" w:rsidRDefault="00036346" w:rsidP="00A2354E">
      <w:pPr>
        <w:jc w:val="both"/>
        <w:rPr>
          <w:rFonts w:asciiTheme="majorHAnsi" w:hAnsiTheme="majorHAnsi"/>
          <w:sz w:val="22"/>
          <w:szCs w:val="22"/>
        </w:rPr>
      </w:pPr>
    </w:p>
    <w:p w14:paraId="359F9682" w14:textId="77777777" w:rsidR="0013662A" w:rsidRDefault="0013662A" w:rsidP="00A2354E">
      <w:pPr>
        <w:jc w:val="both"/>
        <w:rPr>
          <w:rFonts w:asciiTheme="majorHAnsi" w:hAnsiTheme="majorHAnsi"/>
          <w:sz w:val="22"/>
          <w:szCs w:val="22"/>
        </w:rPr>
      </w:pPr>
    </w:p>
    <w:p w14:paraId="43962D64" w14:textId="77777777" w:rsidR="00036346" w:rsidRPr="00677AF5" w:rsidRDefault="00036346" w:rsidP="00036346">
      <w:pPr>
        <w:pStyle w:val="Descripcin"/>
        <w:spacing w:before="0" w:after="0"/>
        <w:jc w:val="center"/>
        <w:rPr>
          <w:sz w:val="22"/>
          <w:szCs w:val="22"/>
        </w:rPr>
      </w:pPr>
      <w:bookmarkStart w:id="11" w:name="_Toc426449335"/>
      <w:r w:rsidRPr="0013662A">
        <w:rPr>
          <w:sz w:val="22"/>
          <w:szCs w:val="22"/>
        </w:rPr>
        <w:t xml:space="preserve">Cuadro </w:t>
      </w:r>
      <w:r w:rsidRPr="0013662A">
        <w:rPr>
          <w:sz w:val="22"/>
          <w:szCs w:val="22"/>
        </w:rPr>
        <w:fldChar w:fldCharType="begin"/>
      </w:r>
      <w:r w:rsidRPr="0013662A">
        <w:rPr>
          <w:sz w:val="22"/>
          <w:szCs w:val="22"/>
        </w:rPr>
        <w:instrText xml:space="preserve"> SEQ Cuadro \* ARABIC </w:instrText>
      </w:r>
      <w:r w:rsidRPr="0013662A">
        <w:rPr>
          <w:sz w:val="22"/>
          <w:szCs w:val="22"/>
        </w:rPr>
        <w:fldChar w:fldCharType="separate"/>
      </w:r>
      <w:r w:rsidR="00D81356">
        <w:rPr>
          <w:noProof/>
          <w:sz w:val="22"/>
          <w:szCs w:val="22"/>
        </w:rPr>
        <w:t>1</w:t>
      </w:r>
      <w:r w:rsidRPr="0013662A">
        <w:rPr>
          <w:sz w:val="22"/>
          <w:szCs w:val="22"/>
        </w:rPr>
        <w:fldChar w:fldCharType="end"/>
      </w:r>
      <w:r w:rsidRPr="0013662A">
        <w:rPr>
          <w:sz w:val="22"/>
          <w:szCs w:val="22"/>
        </w:rPr>
        <w:t>: Inversiones por Sector y Pilar</w:t>
      </w:r>
      <w:bookmarkEnd w:id="11"/>
    </w:p>
    <w:p w14:paraId="73581DDB" w14:textId="77777777" w:rsidR="00036346" w:rsidRPr="0013662A" w:rsidRDefault="00036346" w:rsidP="00036346">
      <w:pPr>
        <w:pStyle w:val="Descripcin"/>
        <w:spacing w:before="0" w:after="0"/>
        <w:jc w:val="center"/>
        <w:rPr>
          <w:i/>
          <w:sz w:val="22"/>
          <w:szCs w:val="22"/>
        </w:rPr>
      </w:pPr>
      <w:r w:rsidRPr="0013662A">
        <w:rPr>
          <w:i/>
          <w:sz w:val="22"/>
          <w:szCs w:val="22"/>
        </w:rPr>
        <w:t>Millones de Dólares</w:t>
      </w:r>
    </w:p>
    <w:p w14:paraId="167E542C" w14:textId="77777777" w:rsidR="00036346" w:rsidRPr="003B794C" w:rsidRDefault="00036346" w:rsidP="00036346">
      <w:pPr>
        <w:pStyle w:val="Descripcin"/>
        <w:spacing w:before="0" w:after="0"/>
        <w:jc w:val="center"/>
        <w:rPr>
          <w:sz w:val="22"/>
          <w:szCs w:val="22"/>
        </w:rPr>
      </w:pPr>
      <w:r w:rsidRPr="003B794C">
        <w:rPr>
          <w:sz w:val="22"/>
          <w:szCs w:val="22"/>
        </w:rPr>
        <w:t xml:space="preserve">30 </w:t>
      </w:r>
      <w:r>
        <w:rPr>
          <w:sz w:val="22"/>
          <w:szCs w:val="22"/>
        </w:rPr>
        <w:t xml:space="preserve">de </w:t>
      </w:r>
      <w:r w:rsidRPr="003B794C">
        <w:rPr>
          <w:sz w:val="22"/>
          <w:szCs w:val="22"/>
        </w:rPr>
        <w:t>Junio 2015</w:t>
      </w:r>
    </w:p>
    <w:tbl>
      <w:tblPr>
        <w:tblW w:w="7060" w:type="dxa"/>
        <w:jc w:val="center"/>
        <w:tblCellMar>
          <w:left w:w="70" w:type="dxa"/>
          <w:right w:w="70" w:type="dxa"/>
        </w:tblCellMar>
        <w:tblLook w:val="04A0" w:firstRow="1" w:lastRow="0" w:firstColumn="1" w:lastColumn="0" w:noHBand="0" w:noVBand="1"/>
      </w:tblPr>
      <w:tblGrid>
        <w:gridCol w:w="2391"/>
        <w:gridCol w:w="973"/>
        <w:gridCol w:w="973"/>
        <w:gridCol w:w="817"/>
        <w:gridCol w:w="817"/>
        <w:gridCol w:w="1089"/>
      </w:tblGrid>
      <w:tr w:rsidR="00036346" w:rsidRPr="003F04BA" w14:paraId="7A811B52" w14:textId="77777777" w:rsidTr="003D2E9C">
        <w:trPr>
          <w:trHeight w:val="158"/>
          <w:jc w:val="center"/>
        </w:trPr>
        <w:tc>
          <w:tcPr>
            <w:tcW w:w="2391" w:type="dxa"/>
            <w:tcBorders>
              <w:top w:val="single" w:sz="4" w:space="0" w:color="auto"/>
              <w:left w:val="nil"/>
              <w:bottom w:val="single" w:sz="4" w:space="0" w:color="auto"/>
              <w:right w:val="nil"/>
            </w:tcBorders>
            <w:shd w:val="clear" w:color="000000" w:fill="FFFFFF"/>
            <w:noWrap/>
            <w:vAlign w:val="center"/>
            <w:hideMark/>
          </w:tcPr>
          <w:p w14:paraId="076FC7F9" w14:textId="77777777" w:rsidR="00036346" w:rsidRPr="008E00F6" w:rsidRDefault="00036346" w:rsidP="003D2E9C">
            <w:pPr>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 xml:space="preserve">                                                </w:t>
            </w:r>
          </w:p>
        </w:tc>
        <w:tc>
          <w:tcPr>
            <w:tcW w:w="973" w:type="dxa"/>
            <w:tcBorders>
              <w:top w:val="single" w:sz="4" w:space="0" w:color="auto"/>
              <w:left w:val="nil"/>
              <w:bottom w:val="single" w:sz="4" w:space="0" w:color="auto"/>
              <w:right w:val="nil"/>
            </w:tcBorders>
            <w:shd w:val="clear" w:color="000000" w:fill="FFFFFF"/>
            <w:noWrap/>
            <w:vAlign w:val="bottom"/>
            <w:hideMark/>
          </w:tcPr>
          <w:p w14:paraId="66574078" w14:textId="77777777" w:rsidR="00036346" w:rsidRPr="008E00F6" w:rsidRDefault="00036346" w:rsidP="003D2E9C">
            <w:pPr>
              <w:jc w:val="right"/>
              <w:rPr>
                <w:rFonts w:asciiTheme="minorHAnsi" w:eastAsia="Arial Unicode MS" w:hAnsiTheme="minorHAnsi" w:cs="Arial Unicode MS"/>
                <w:b/>
                <w:bCs/>
                <w:color w:val="000000"/>
                <w:sz w:val="20"/>
                <w:szCs w:val="20"/>
              </w:rPr>
            </w:pPr>
            <w:r w:rsidRPr="008E00F6">
              <w:rPr>
                <w:rFonts w:asciiTheme="minorHAnsi" w:eastAsia="Arial Unicode MS" w:hAnsiTheme="minorHAnsi" w:cs="Arial Unicode MS"/>
                <w:b/>
                <w:bCs/>
                <w:color w:val="000000"/>
                <w:sz w:val="20"/>
                <w:szCs w:val="20"/>
              </w:rPr>
              <w:t>I Pilar</w:t>
            </w:r>
          </w:p>
        </w:tc>
        <w:tc>
          <w:tcPr>
            <w:tcW w:w="973" w:type="dxa"/>
            <w:tcBorders>
              <w:top w:val="single" w:sz="4" w:space="0" w:color="auto"/>
              <w:left w:val="nil"/>
              <w:bottom w:val="single" w:sz="4" w:space="0" w:color="auto"/>
              <w:right w:val="nil"/>
            </w:tcBorders>
            <w:shd w:val="clear" w:color="000000" w:fill="FFFFFF"/>
            <w:noWrap/>
            <w:vAlign w:val="bottom"/>
            <w:hideMark/>
          </w:tcPr>
          <w:p w14:paraId="3C513175" w14:textId="77777777" w:rsidR="00036346" w:rsidRPr="008E00F6" w:rsidRDefault="00036346" w:rsidP="003D2E9C">
            <w:pPr>
              <w:jc w:val="right"/>
              <w:rPr>
                <w:rFonts w:asciiTheme="minorHAnsi" w:eastAsia="Arial Unicode MS" w:hAnsiTheme="minorHAnsi" w:cs="Arial Unicode MS"/>
                <w:b/>
                <w:bCs/>
                <w:color w:val="000000"/>
                <w:sz w:val="20"/>
                <w:szCs w:val="20"/>
              </w:rPr>
            </w:pPr>
            <w:r w:rsidRPr="008E00F6">
              <w:rPr>
                <w:rFonts w:asciiTheme="minorHAnsi" w:eastAsia="Arial Unicode MS" w:hAnsiTheme="minorHAnsi" w:cs="Arial Unicode MS"/>
                <w:b/>
                <w:bCs/>
                <w:color w:val="000000"/>
                <w:sz w:val="20"/>
                <w:szCs w:val="20"/>
              </w:rPr>
              <w:t>II Pilar</w:t>
            </w:r>
          </w:p>
        </w:tc>
        <w:tc>
          <w:tcPr>
            <w:tcW w:w="817" w:type="dxa"/>
            <w:tcBorders>
              <w:top w:val="single" w:sz="4" w:space="0" w:color="auto"/>
              <w:left w:val="nil"/>
              <w:bottom w:val="single" w:sz="4" w:space="0" w:color="auto"/>
              <w:right w:val="nil"/>
            </w:tcBorders>
            <w:shd w:val="clear" w:color="000000" w:fill="FFFFFF"/>
            <w:noWrap/>
            <w:vAlign w:val="bottom"/>
            <w:hideMark/>
          </w:tcPr>
          <w:p w14:paraId="11E324A2" w14:textId="77777777" w:rsidR="00036346" w:rsidRPr="008E00F6" w:rsidRDefault="00036346" w:rsidP="003D2E9C">
            <w:pPr>
              <w:jc w:val="right"/>
              <w:rPr>
                <w:rFonts w:asciiTheme="minorHAnsi" w:eastAsia="Arial Unicode MS" w:hAnsiTheme="minorHAnsi" w:cs="Arial Unicode MS"/>
                <w:b/>
                <w:bCs/>
                <w:color w:val="000000"/>
                <w:sz w:val="20"/>
                <w:szCs w:val="20"/>
              </w:rPr>
            </w:pPr>
            <w:r w:rsidRPr="008E00F6">
              <w:rPr>
                <w:rFonts w:asciiTheme="minorHAnsi" w:eastAsia="Arial Unicode MS" w:hAnsiTheme="minorHAnsi" w:cs="Arial Unicode MS"/>
                <w:b/>
                <w:bCs/>
                <w:color w:val="000000"/>
                <w:sz w:val="20"/>
                <w:szCs w:val="20"/>
              </w:rPr>
              <w:t>III Pilar</w:t>
            </w:r>
          </w:p>
        </w:tc>
        <w:tc>
          <w:tcPr>
            <w:tcW w:w="817" w:type="dxa"/>
            <w:tcBorders>
              <w:top w:val="single" w:sz="4" w:space="0" w:color="auto"/>
              <w:left w:val="nil"/>
              <w:bottom w:val="single" w:sz="4" w:space="0" w:color="auto"/>
              <w:right w:val="nil"/>
            </w:tcBorders>
            <w:shd w:val="clear" w:color="000000" w:fill="FFFFFF"/>
            <w:noWrap/>
            <w:vAlign w:val="bottom"/>
            <w:hideMark/>
          </w:tcPr>
          <w:p w14:paraId="52010722" w14:textId="77777777" w:rsidR="00036346" w:rsidRPr="008E00F6" w:rsidRDefault="00036346" w:rsidP="003D2E9C">
            <w:pPr>
              <w:jc w:val="right"/>
              <w:rPr>
                <w:rFonts w:asciiTheme="minorHAnsi" w:eastAsia="Arial Unicode MS" w:hAnsiTheme="minorHAnsi" w:cs="Arial Unicode MS"/>
                <w:b/>
                <w:bCs/>
                <w:color w:val="000000"/>
                <w:sz w:val="20"/>
                <w:szCs w:val="20"/>
              </w:rPr>
            </w:pPr>
            <w:r w:rsidRPr="008E00F6">
              <w:rPr>
                <w:rFonts w:asciiTheme="minorHAnsi" w:eastAsia="Arial Unicode MS" w:hAnsiTheme="minorHAnsi" w:cs="Arial Unicode MS"/>
                <w:b/>
                <w:bCs/>
                <w:color w:val="000000"/>
                <w:sz w:val="20"/>
                <w:szCs w:val="20"/>
              </w:rPr>
              <w:t>FCL</w:t>
            </w:r>
          </w:p>
        </w:tc>
        <w:tc>
          <w:tcPr>
            <w:tcW w:w="1089" w:type="dxa"/>
            <w:tcBorders>
              <w:top w:val="single" w:sz="4" w:space="0" w:color="auto"/>
              <w:left w:val="nil"/>
              <w:bottom w:val="single" w:sz="4" w:space="0" w:color="auto"/>
              <w:right w:val="nil"/>
            </w:tcBorders>
            <w:shd w:val="clear" w:color="000000" w:fill="FFFFFF"/>
            <w:noWrap/>
            <w:vAlign w:val="bottom"/>
            <w:hideMark/>
          </w:tcPr>
          <w:p w14:paraId="0C7B8A9B" w14:textId="77777777" w:rsidR="00036346" w:rsidRPr="008E00F6" w:rsidRDefault="00036346" w:rsidP="003D2E9C">
            <w:pPr>
              <w:jc w:val="right"/>
              <w:rPr>
                <w:rFonts w:asciiTheme="minorHAnsi" w:eastAsia="Arial Unicode MS" w:hAnsiTheme="minorHAnsi" w:cs="Arial Unicode MS"/>
                <w:b/>
                <w:bCs/>
                <w:color w:val="000000"/>
                <w:sz w:val="20"/>
                <w:szCs w:val="20"/>
              </w:rPr>
            </w:pPr>
            <w:r w:rsidRPr="008E00F6">
              <w:rPr>
                <w:rFonts w:asciiTheme="minorHAnsi" w:eastAsia="Arial Unicode MS" w:hAnsiTheme="minorHAnsi" w:cs="Arial Unicode MS"/>
                <w:b/>
                <w:bCs/>
                <w:color w:val="000000"/>
                <w:sz w:val="20"/>
                <w:szCs w:val="20"/>
              </w:rPr>
              <w:t>Total</w:t>
            </w:r>
          </w:p>
        </w:tc>
      </w:tr>
      <w:tr w:rsidR="00036346" w:rsidRPr="003F04BA" w14:paraId="6599EFF1" w14:textId="77777777" w:rsidTr="003D2E9C">
        <w:trPr>
          <w:trHeight w:val="158"/>
          <w:jc w:val="center"/>
        </w:trPr>
        <w:tc>
          <w:tcPr>
            <w:tcW w:w="2391" w:type="dxa"/>
            <w:tcBorders>
              <w:top w:val="nil"/>
              <w:left w:val="nil"/>
              <w:bottom w:val="nil"/>
              <w:right w:val="nil"/>
            </w:tcBorders>
            <w:shd w:val="clear" w:color="000000" w:fill="FFFFFF"/>
            <w:noWrap/>
            <w:vAlign w:val="center"/>
            <w:hideMark/>
          </w:tcPr>
          <w:p w14:paraId="46020FC6" w14:textId="77777777" w:rsidR="00036346" w:rsidRPr="008E00F6" w:rsidRDefault="00036346" w:rsidP="003D2E9C">
            <w:pPr>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Extranjero</w:t>
            </w:r>
          </w:p>
        </w:tc>
        <w:tc>
          <w:tcPr>
            <w:tcW w:w="973" w:type="dxa"/>
            <w:tcBorders>
              <w:top w:val="nil"/>
              <w:left w:val="nil"/>
              <w:bottom w:val="nil"/>
              <w:right w:val="nil"/>
            </w:tcBorders>
            <w:shd w:val="clear" w:color="000000" w:fill="FFFFFF"/>
            <w:noWrap/>
            <w:vAlign w:val="bottom"/>
            <w:hideMark/>
          </w:tcPr>
          <w:p w14:paraId="582409DA"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w:t>
            </w:r>
          </w:p>
        </w:tc>
        <w:tc>
          <w:tcPr>
            <w:tcW w:w="973" w:type="dxa"/>
            <w:tcBorders>
              <w:top w:val="nil"/>
              <w:left w:val="nil"/>
              <w:bottom w:val="nil"/>
              <w:right w:val="nil"/>
            </w:tcBorders>
            <w:shd w:val="clear" w:color="000000" w:fill="FFFFFF"/>
            <w:noWrap/>
            <w:vAlign w:val="bottom"/>
            <w:hideMark/>
          </w:tcPr>
          <w:p w14:paraId="799AD1C0"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323,01</w:t>
            </w:r>
          </w:p>
        </w:tc>
        <w:tc>
          <w:tcPr>
            <w:tcW w:w="817" w:type="dxa"/>
            <w:tcBorders>
              <w:top w:val="nil"/>
              <w:left w:val="nil"/>
              <w:bottom w:val="nil"/>
              <w:right w:val="nil"/>
            </w:tcBorders>
            <w:shd w:val="clear" w:color="000000" w:fill="FFFFFF"/>
            <w:noWrap/>
            <w:vAlign w:val="bottom"/>
            <w:hideMark/>
          </w:tcPr>
          <w:p w14:paraId="436D9F9F"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4,62</w:t>
            </w:r>
          </w:p>
        </w:tc>
        <w:tc>
          <w:tcPr>
            <w:tcW w:w="817" w:type="dxa"/>
            <w:tcBorders>
              <w:top w:val="nil"/>
              <w:left w:val="nil"/>
              <w:bottom w:val="nil"/>
              <w:right w:val="nil"/>
            </w:tcBorders>
            <w:shd w:val="clear" w:color="000000" w:fill="FFFFFF"/>
            <w:noWrap/>
            <w:vAlign w:val="bottom"/>
            <w:hideMark/>
          </w:tcPr>
          <w:p w14:paraId="5F916DC0"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16,29</w:t>
            </w:r>
          </w:p>
        </w:tc>
        <w:tc>
          <w:tcPr>
            <w:tcW w:w="1089" w:type="dxa"/>
            <w:tcBorders>
              <w:top w:val="nil"/>
              <w:left w:val="nil"/>
              <w:bottom w:val="nil"/>
              <w:right w:val="nil"/>
            </w:tcBorders>
            <w:shd w:val="clear" w:color="000000" w:fill="FFFFFF"/>
            <w:noWrap/>
            <w:vAlign w:val="bottom"/>
            <w:hideMark/>
          </w:tcPr>
          <w:p w14:paraId="692C5A88"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343,92</w:t>
            </w:r>
          </w:p>
        </w:tc>
      </w:tr>
      <w:tr w:rsidR="00036346" w:rsidRPr="003F04BA" w14:paraId="747B65CD" w14:textId="77777777" w:rsidTr="003D2E9C">
        <w:trPr>
          <w:trHeight w:val="158"/>
          <w:jc w:val="center"/>
        </w:trPr>
        <w:tc>
          <w:tcPr>
            <w:tcW w:w="2391" w:type="dxa"/>
            <w:tcBorders>
              <w:top w:val="nil"/>
              <w:left w:val="nil"/>
              <w:bottom w:val="nil"/>
              <w:right w:val="nil"/>
            </w:tcBorders>
            <w:shd w:val="clear" w:color="000000" w:fill="FFFFFF"/>
            <w:noWrap/>
            <w:vAlign w:val="center"/>
            <w:hideMark/>
          </w:tcPr>
          <w:p w14:paraId="5D96D6E7" w14:textId="77777777" w:rsidR="00036346" w:rsidRPr="008E00F6" w:rsidRDefault="00036346" w:rsidP="003D2E9C">
            <w:pPr>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Públicas no Financieras</w:t>
            </w:r>
          </w:p>
        </w:tc>
        <w:tc>
          <w:tcPr>
            <w:tcW w:w="973" w:type="dxa"/>
            <w:tcBorders>
              <w:top w:val="nil"/>
              <w:left w:val="nil"/>
              <w:bottom w:val="nil"/>
              <w:right w:val="nil"/>
            </w:tcBorders>
            <w:shd w:val="clear" w:color="000000" w:fill="FFFFFF"/>
            <w:noWrap/>
            <w:vAlign w:val="bottom"/>
            <w:hideMark/>
          </w:tcPr>
          <w:p w14:paraId="7EBF3A66"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70,29</w:t>
            </w:r>
          </w:p>
        </w:tc>
        <w:tc>
          <w:tcPr>
            <w:tcW w:w="973" w:type="dxa"/>
            <w:tcBorders>
              <w:top w:val="nil"/>
              <w:left w:val="nil"/>
              <w:bottom w:val="nil"/>
              <w:right w:val="nil"/>
            </w:tcBorders>
            <w:shd w:val="clear" w:color="000000" w:fill="FFFFFF"/>
            <w:noWrap/>
            <w:vAlign w:val="bottom"/>
            <w:hideMark/>
          </w:tcPr>
          <w:p w14:paraId="09305D22"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374,98</w:t>
            </w:r>
          </w:p>
        </w:tc>
        <w:tc>
          <w:tcPr>
            <w:tcW w:w="817" w:type="dxa"/>
            <w:tcBorders>
              <w:top w:val="nil"/>
              <w:left w:val="nil"/>
              <w:bottom w:val="nil"/>
              <w:right w:val="nil"/>
            </w:tcBorders>
            <w:shd w:val="clear" w:color="000000" w:fill="FFFFFF"/>
            <w:noWrap/>
            <w:vAlign w:val="bottom"/>
            <w:hideMark/>
          </w:tcPr>
          <w:p w14:paraId="1F71A16B"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18,19</w:t>
            </w:r>
          </w:p>
        </w:tc>
        <w:tc>
          <w:tcPr>
            <w:tcW w:w="817" w:type="dxa"/>
            <w:tcBorders>
              <w:top w:val="nil"/>
              <w:left w:val="nil"/>
              <w:bottom w:val="nil"/>
              <w:right w:val="nil"/>
            </w:tcBorders>
            <w:shd w:val="clear" w:color="000000" w:fill="FFFFFF"/>
            <w:noWrap/>
            <w:vAlign w:val="bottom"/>
            <w:hideMark/>
          </w:tcPr>
          <w:p w14:paraId="654A44F5"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18,88</w:t>
            </w:r>
          </w:p>
        </w:tc>
        <w:tc>
          <w:tcPr>
            <w:tcW w:w="1089" w:type="dxa"/>
            <w:tcBorders>
              <w:top w:val="nil"/>
              <w:left w:val="nil"/>
              <w:bottom w:val="nil"/>
              <w:right w:val="nil"/>
            </w:tcBorders>
            <w:shd w:val="clear" w:color="000000" w:fill="FFFFFF"/>
            <w:noWrap/>
            <w:vAlign w:val="bottom"/>
            <w:hideMark/>
          </w:tcPr>
          <w:p w14:paraId="6D4468F5"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482,34</w:t>
            </w:r>
          </w:p>
        </w:tc>
      </w:tr>
      <w:tr w:rsidR="00036346" w:rsidRPr="003F04BA" w14:paraId="7E773DCD" w14:textId="77777777" w:rsidTr="003D2E9C">
        <w:trPr>
          <w:trHeight w:val="158"/>
          <w:jc w:val="center"/>
        </w:trPr>
        <w:tc>
          <w:tcPr>
            <w:tcW w:w="2391" w:type="dxa"/>
            <w:tcBorders>
              <w:top w:val="nil"/>
              <w:left w:val="nil"/>
              <w:bottom w:val="nil"/>
              <w:right w:val="nil"/>
            </w:tcBorders>
            <w:shd w:val="clear" w:color="000000" w:fill="FFFFFF"/>
            <w:noWrap/>
            <w:vAlign w:val="center"/>
            <w:hideMark/>
          </w:tcPr>
          <w:p w14:paraId="3CFD71C5" w14:textId="77777777" w:rsidR="00036346" w:rsidRPr="008E00F6" w:rsidRDefault="00036346" w:rsidP="003D2E9C">
            <w:pPr>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Públicas Financieras</w:t>
            </w:r>
          </w:p>
        </w:tc>
        <w:tc>
          <w:tcPr>
            <w:tcW w:w="973" w:type="dxa"/>
            <w:tcBorders>
              <w:top w:val="nil"/>
              <w:left w:val="nil"/>
              <w:bottom w:val="nil"/>
              <w:right w:val="nil"/>
            </w:tcBorders>
            <w:shd w:val="clear" w:color="000000" w:fill="FFFFFF"/>
            <w:noWrap/>
            <w:vAlign w:val="bottom"/>
            <w:hideMark/>
          </w:tcPr>
          <w:p w14:paraId="620255A0"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331,27</w:t>
            </w:r>
          </w:p>
        </w:tc>
        <w:tc>
          <w:tcPr>
            <w:tcW w:w="973" w:type="dxa"/>
            <w:tcBorders>
              <w:top w:val="nil"/>
              <w:left w:val="nil"/>
              <w:bottom w:val="nil"/>
              <w:right w:val="nil"/>
            </w:tcBorders>
            <w:shd w:val="clear" w:color="000000" w:fill="FFFFFF"/>
            <w:noWrap/>
            <w:vAlign w:val="bottom"/>
            <w:hideMark/>
          </w:tcPr>
          <w:p w14:paraId="0E9BCAC6"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775,29</w:t>
            </w:r>
          </w:p>
        </w:tc>
        <w:tc>
          <w:tcPr>
            <w:tcW w:w="817" w:type="dxa"/>
            <w:tcBorders>
              <w:top w:val="nil"/>
              <w:left w:val="nil"/>
              <w:bottom w:val="nil"/>
              <w:right w:val="nil"/>
            </w:tcBorders>
            <w:shd w:val="clear" w:color="000000" w:fill="FFFFFF"/>
            <w:noWrap/>
            <w:vAlign w:val="bottom"/>
            <w:hideMark/>
          </w:tcPr>
          <w:p w14:paraId="09BEB3C6"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44,80</w:t>
            </w:r>
          </w:p>
        </w:tc>
        <w:tc>
          <w:tcPr>
            <w:tcW w:w="817" w:type="dxa"/>
            <w:tcBorders>
              <w:top w:val="nil"/>
              <w:left w:val="nil"/>
              <w:bottom w:val="nil"/>
              <w:right w:val="nil"/>
            </w:tcBorders>
            <w:shd w:val="clear" w:color="000000" w:fill="FFFFFF"/>
            <w:noWrap/>
            <w:vAlign w:val="bottom"/>
            <w:hideMark/>
          </w:tcPr>
          <w:p w14:paraId="74035BFD"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164,48</w:t>
            </w:r>
          </w:p>
        </w:tc>
        <w:tc>
          <w:tcPr>
            <w:tcW w:w="1089" w:type="dxa"/>
            <w:tcBorders>
              <w:top w:val="nil"/>
              <w:left w:val="nil"/>
              <w:bottom w:val="nil"/>
              <w:right w:val="nil"/>
            </w:tcBorders>
            <w:shd w:val="clear" w:color="000000" w:fill="FFFFFF"/>
            <w:noWrap/>
            <w:vAlign w:val="bottom"/>
            <w:hideMark/>
          </w:tcPr>
          <w:p w14:paraId="3FECE76E"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1.315,84</w:t>
            </w:r>
          </w:p>
        </w:tc>
      </w:tr>
      <w:tr w:rsidR="00036346" w:rsidRPr="003F04BA" w14:paraId="06D7AC01" w14:textId="77777777" w:rsidTr="003D2E9C">
        <w:trPr>
          <w:trHeight w:val="158"/>
          <w:jc w:val="center"/>
        </w:trPr>
        <w:tc>
          <w:tcPr>
            <w:tcW w:w="2391" w:type="dxa"/>
            <w:tcBorders>
              <w:top w:val="nil"/>
              <w:left w:val="nil"/>
              <w:bottom w:val="nil"/>
              <w:right w:val="nil"/>
            </w:tcBorders>
            <w:shd w:val="clear" w:color="000000" w:fill="FFFFFF"/>
            <w:noWrap/>
            <w:vAlign w:val="center"/>
            <w:hideMark/>
          </w:tcPr>
          <w:p w14:paraId="3F8ACF51" w14:textId="77777777" w:rsidR="00036346" w:rsidRPr="008E00F6" w:rsidRDefault="00036346" w:rsidP="003D2E9C">
            <w:pPr>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Hacienda y BCCR</w:t>
            </w:r>
          </w:p>
        </w:tc>
        <w:tc>
          <w:tcPr>
            <w:tcW w:w="973" w:type="dxa"/>
            <w:tcBorders>
              <w:top w:val="nil"/>
              <w:left w:val="nil"/>
              <w:bottom w:val="nil"/>
              <w:right w:val="nil"/>
            </w:tcBorders>
            <w:shd w:val="clear" w:color="000000" w:fill="FFFFFF"/>
            <w:noWrap/>
            <w:vAlign w:val="bottom"/>
            <w:hideMark/>
          </w:tcPr>
          <w:p w14:paraId="4B403B5B"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5.819,62</w:t>
            </w:r>
          </w:p>
        </w:tc>
        <w:tc>
          <w:tcPr>
            <w:tcW w:w="973" w:type="dxa"/>
            <w:tcBorders>
              <w:top w:val="nil"/>
              <w:left w:val="nil"/>
              <w:bottom w:val="nil"/>
              <w:right w:val="nil"/>
            </w:tcBorders>
            <w:shd w:val="clear" w:color="000000" w:fill="FFFFFF"/>
            <w:noWrap/>
            <w:vAlign w:val="bottom"/>
            <w:hideMark/>
          </w:tcPr>
          <w:p w14:paraId="7A31DF3B"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4.877,72</w:t>
            </w:r>
          </w:p>
        </w:tc>
        <w:tc>
          <w:tcPr>
            <w:tcW w:w="817" w:type="dxa"/>
            <w:tcBorders>
              <w:top w:val="nil"/>
              <w:left w:val="nil"/>
              <w:bottom w:val="nil"/>
              <w:right w:val="nil"/>
            </w:tcBorders>
            <w:shd w:val="clear" w:color="000000" w:fill="FFFFFF"/>
            <w:noWrap/>
            <w:vAlign w:val="bottom"/>
            <w:hideMark/>
          </w:tcPr>
          <w:p w14:paraId="664DDE15"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234,68</w:t>
            </w:r>
          </w:p>
        </w:tc>
        <w:tc>
          <w:tcPr>
            <w:tcW w:w="817" w:type="dxa"/>
            <w:tcBorders>
              <w:top w:val="nil"/>
              <w:left w:val="nil"/>
              <w:bottom w:val="nil"/>
              <w:right w:val="nil"/>
            </w:tcBorders>
            <w:shd w:val="clear" w:color="000000" w:fill="FFFFFF"/>
            <w:noWrap/>
            <w:vAlign w:val="bottom"/>
            <w:hideMark/>
          </w:tcPr>
          <w:p w14:paraId="544DAB03"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488,04</w:t>
            </w:r>
          </w:p>
        </w:tc>
        <w:tc>
          <w:tcPr>
            <w:tcW w:w="1089" w:type="dxa"/>
            <w:tcBorders>
              <w:top w:val="nil"/>
              <w:left w:val="nil"/>
              <w:bottom w:val="nil"/>
              <w:right w:val="nil"/>
            </w:tcBorders>
            <w:shd w:val="clear" w:color="000000" w:fill="FFFFFF"/>
            <w:noWrap/>
            <w:vAlign w:val="bottom"/>
            <w:hideMark/>
          </w:tcPr>
          <w:p w14:paraId="42A674B2"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11.420,05</w:t>
            </w:r>
          </w:p>
        </w:tc>
      </w:tr>
      <w:tr w:rsidR="00036346" w:rsidRPr="003F04BA" w14:paraId="3DF87B73" w14:textId="77777777" w:rsidTr="003D2E9C">
        <w:trPr>
          <w:trHeight w:val="158"/>
          <w:jc w:val="center"/>
        </w:trPr>
        <w:tc>
          <w:tcPr>
            <w:tcW w:w="2391" w:type="dxa"/>
            <w:tcBorders>
              <w:top w:val="nil"/>
              <w:left w:val="nil"/>
              <w:bottom w:val="nil"/>
              <w:right w:val="nil"/>
            </w:tcBorders>
            <w:shd w:val="clear" w:color="000000" w:fill="FFFFFF"/>
            <w:noWrap/>
            <w:vAlign w:val="center"/>
            <w:hideMark/>
          </w:tcPr>
          <w:p w14:paraId="1AEE65F4" w14:textId="77777777" w:rsidR="00036346" w:rsidRPr="008E00F6" w:rsidRDefault="00036346" w:rsidP="003D2E9C">
            <w:pPr>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Privado</w:t>
            </w:r>
          </w:p>
        </w:tc>
        <w:tc>
          <w:tcPr>
            <w:tcW w:w="973" w:type="dxa"/>
            <w:tcBorders>
              <w:top w:val="nil"/>
              <w:left w:val="nil"/>
              <w:bottom w:val="nil"/>
              <w:right w:val="nil"/>
            </w:tcBorders>
            <w:shd w:val="clear" w:color="000000" w:fill="FFFFFF"/>
            <w:noWrap/>
            <w:vAlign w:val="bottom"/>
            <w:hideMark/>
          </w:tcPr>
          <w:p w14:paraId="46C9EEF9"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287,76</w:t>
            </w:r>
          </w:p>
        </w:tc>
        <w:tc>
          <w:tcPr>
            <w:tcW w:w="973" w:type="dxa"/>
            <w:tcBorders>
              <w:top w:val="nil"/>
              <w:left w:val="nil"/>
              <w:bottom w:val="nil"/>
              <w:right w:val="nil"/>
            </w:tcBorders>
            <w:shd w:val="clear" w:color="000000" w:fill="FFFFFF"/>
            <w:noWrap/>
            <w:vAlign w:val="bottom"/>
            <w:hideMark/>
          </w:tcPr>
          <w:p w14:paraId="4BE19C2D"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1.281,56</w:t>
            </w:r>
          </w:p>
        </w:tc>
        <w:tc>
          <w:tcPr>
            <w:tcW w:w="817" w:type="dxa"/>
            <w:tcBorders>
              <w:top w:val="nil"/>
              <w:left w:val="nil"/>
              <w:bottom w:val="nil"/>
              <w:right w:val="nil"/>
            </w:tcBorders>
            <w:shd w:val="clear" w:color="000000" w:fill="FFFFFF"/>
            <w:noWrap/>
            <w:vAlign w:val="bottom"/>
            <w:hideMark/>
          </w:tcPr>
          <w:p w14:paraId="29313C65"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106,01</w:t>
            </w:r>
          </w:p>
        </w:tc>
        <w:tc>
          <w:tcPr>
            <w:tcW w:w="817" w:type="dxa"/>
            <w:tcBorders>
              <w:top w:val="nil"/>
              <w:left w:val="nil"/>
              <w:bottom w:val="nil"/>
              <w:right w:val="nil"/>
            </w:tcBorders>
            <w:shd w:val="clear" w:color="000000" w:fill="FFFFFF"/>
            <w:noWrap/>
            <w:vAlign w:val="bottom"/>
            <w:hideMark/>
          </w:tcPr>
          <w:p w14:paraId="60E6C48F"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247,02</w:t>
            </w:r>
          </w:p>
        </w:tc>
        <w:tc>
          <w:tcPr>
            <w:tcW w:w="1089" w:type="dxa"/>
            <w:tcBorders>
              <w:top w:val="nil"/>
              <w:left w:val="nil"/>
              <w:bottom w:val="nil"/>
              <w:right w:val="nil"/>
            </w:tcBorders>
            <w:shd w:val="clear" w:color="000000" w:fill="FFFFFF"/>
            <w:noWrap/>
            <w:vAlign w:val="bottom"/>
            <w:hideMark/>
          </w:tcPr>
          <w:p w14:paraId="100F81F0" w14:textId="77777777" w:rsidR="00036346" w:rsidRPr="008E00F6" w:rsidRDefault="00036346" w:rsidP="003D2E9C">
            <w:pPr>
              <w:jc w:val="right"/>
              <w:rPr>
                <w:rFonts w:asciiTheme="minorHAnsi" w:eastAsia="Arial Unicode MS" w:hAnsiTheme="minorHAnsi" w:cs="Arial Unicode MS"/>
                <w:color w:val="000000"/>
                <w:sz w:val="20"/>
                <w:szCs w:val="20"/>
              </w:rPr>
            </w:pPr>
            <w:r w:rsidRPr="008E00F6">
              <w:rPr>
                <w:rFonts w:asciiTheme="minorHAnsi" w:eastAsia="Arial Unicode MS" w:hAnsiTheme="minorHAnsi" w:cs="Arial Unicode MS"/>
                <w:color w:val="000000"/>
                <w:sz w:val="20"/>
                <w:szCs w:val="20"/>
              </w:rPr>
              <w:t>1.922,36</w:t>
            </w:r>
          </w:p>
        </w:tc>
      </w:tr>
      <w:tr w:rsidR="00036346" w:rsidRPr="003F04BA" w14:paraId="5DD198E8" w14:textId="77777777" w:rsidTr="003D2E9C">
        <w:trPr>
          <w:trHeight w:val="158"/>
          <w:jc w:val="center"/>
        </w:trPr>
        <w:tc>
          <w:tcPr>
            <w:tcW w:w="2391" w:type="dxa"/>
            <w:tcBorders>
              <w:top w:val="nil"/>
              <w:left w:val="nil"/>
              <w:bottom w:val="single" w:sz="4" w:space="0" w:color="auto"/>
              <w:right w:val="nil"/>
            </w:tcBorders>
            <w:shd w:val="clear" w:color="000000" w:fill="FFFFFF"/>
            <w:noWrap/>
            <w:vAlign w:val="center"/>
            <w:hideMark/>
          </w:tcPr>
          <w:p w14:paraId="00A4CB84" w14:textId="77777777" w:rsidR="00036346" w:rsidRPr="008E00F6" w:rsidRDefault="00036346" w:rsidP="003D2E9C">
            <w:pPr>
              <w:rPr>
                <w:rFonts w:asciiTheme="minorHAnsi" w:eastAsia="Arial Unicode MS" w:hAnsiTheme="minorHAnsi" w:cs="Arial Unicode MS"/>
                <w:b/>
                <w:color w:val="000000"/>
                <w:sz w:val="20"/>
                <w:szCs w:val="20"/>
              </w:rPr>
            </w:pPr>
            <w:r w:rsidRPr="008E00F6">
              <w:rPr>
                <w:rFonts w:asciiTheme="minorHAnsi" w:eastAsia="Arial Unicode MS" w:hAnsiTheme="minorHAnsi" w:cs="Arial Unicode MS"/>
                <w:b/>
                <w:color w:val="000000"/>
                <w:sz w:val="20"/>
                <w:szCs w:val="20"/>
              </w:rPr>
              <w:t>Total</w:t>
            </w:r>
          </w:p>
        </w:tc>
        <w:tc>
          <w:tcPr>
            <w:tcW w:w="973" w:type="dxa"/>
            <w:tcBorders>
              <w:top w:val="nil"/>
              <w:left w:val="nil"/>
              <w:bottom w:val="single" w:sz="4" w:space="0" w:color="auto"/>
              <w:right w:val="nil"/>
            </w:tcBorders>
            <w:shd w:val="clear" w:color="000000" w:fill="FFFFFF"/>
            <w:noWrap/>
            <w:vAlign w:val="bottom"/>
            <w:hideMark/>
          </w:tcPr>
          <w:p w14:paraId="4D20272C" w14:textId="77777777" w:rsidR="00036346" w:rsidRPr="008E00F6" w:rsidRDefault="00036346" w:rsidP="003D2E9C">
            <w:pPr>
              <w:jc w:val="right"/>
              <w:rPr>
                <w:rFonts w:asciiTheme="minorHAnsi" w:eastAsia="Arial Unicode MS" w:hAnsiTheme="minorHAnsi" w:cs="Arial Unicode MS"/>
                <w:b/>
                <w:color w:val="000000"/>
                <w:sz w:val="20"/>
                <w:szCs w:val="20"/>
              </w:rPr>
            </w:pPr>
            <w:r w:rsidRPr="008E00F6">
              <w:rPr>
                <w:rFonts w:asciiTheme="minorHAnsi" w:eastAsia="Arial Unicode MS" w:hAnsiTheme="minorHAnsi" w:cs="Arial Unicode MS"/>
                <w:b/>
                <w:color w:val="000000"/>
                <w:sz w:val="20"/>
                <w:szCs w:val="20"/>
              </w:rPr>
              <w:t>6.508,94</w:t>
            </w:r>
          </w:p>
        </w:tc>
        <w:tc>
          <w:tcPr>
            <w:tcW w:w="973" w:type="dxa"/>
            <w:tcBorders>
              <w:top w:val="nil"/>
              <w:left w:val="nil"/>
              <w:bottom w:val="single" w:sz="4" w:space="0" w:color="auto"/>
              <w:right w:val="nil"/>
            </w:tcBorders>
            <w:shd w:val="clear" w:color="000000" w:fill="FFFFFF"/>
            <w:noWrap/>
            <w:vAlign w:val="bottom"/>
            <w:hideMark/>
          </w:tcPr>
          <w:p w14:paraId="658BA0DE" w14:textId="77777777" w:rsidR="00036346" w:rsidRPr="008E00F6" w:rsidRDefault="00036346" w:rsidP="003D2E9C">
            <w:pPr>
              <w:jc w:val="right"/>
              <w:rPr>
                <w:rFonts w:asciiTheme="minorHAnsi" w:eastAsia="Arial Unicode MS" w:hAnsiTheme="minorHAnsi" w:cs="Arial Unicode MS"/>
                <w:b/>
                <w:color w:val="000000"/>
                <w:sz w:val="20"/>
                <w:szCs w:val="20"/>
              </w:rPr>
            </w:pPr>
            <w:r w:rsidRPr="008E00F6">
              <w:rPr>
                <w:rFonts w:asciiTheme="minorHAnsi" w:eastAsia="Arial Unicode MS" w:hAnsiTheme="minorHAnsi" w:cs="Arial Unicode MS"/>
                <w:b/>
                <w:color w:val="000000"/>
                <w:sz w:val="20"/>
                <w:szCs w:val="20"/>
              </w:rPr>
              <w:t>7.632,56</w:t>
            </w:r>
          </w:p>
        </w:tc>
        <w:tc>
          <w:tcPr>
            <w:tcW w:w="817" w:type="dxa"/>
            <w:tcBorders>
              <w:top w:val="nil"/>
              <w:left w:val="nil"/>
              <w:bottom w:val="single" w:sz="4" w:space="0" w:color="auto"/>
              <w:right w:val="nil"/>
            </w:tcBorders>
            <w:shd w:val="clear" w:color="000000" w:fill="FFFFFF"/>
            <w:noWrap/>
            <w:vAlign w:val="bottom"/>
            <w:hideMark/>
          </w:tcPr>
          <w:p w14:paraId="38A760CE" w14:textId="77777777" w:rsidR="00036346" w:rsidRPr="008E00F6" w:rsidRDefault="00036346" w:rsidP="003D2E9C">
            <w:pPr>
              <w:jc w:val="right"/>
              <w:rPr>
                <w:rFonts w:asciiTheme="minorHAnsi" w:eastAsia="Arial Unicode MS" w:hAnsiTheme="minorHAnsi" w:cs="Arial Unicode MS"/>
                <w:b/>
                <w:color w:val="000000"/>
                <w:sz w:val="20"/>
                <w:szCs w:val="20"/>
              </w:rPr>
            </w:pPr>
            <w:r w:rsidRPr="008E00F6">
              <w:rPr>
                <w:rFonts w:asciiTheme="minorHAnsi" w:eastAsia="Arial Unicode MS" w:hAnsiTheme="minorHAnsi" w:cs="Arial Unicode MS"/>
                <w:b/>
                <w:color w:val="000000"/>
                <w:sz w:val="20"/>
                <w:szCs w:val="20"/>
              </w:rPr>
              <w:t>408,30</w:t>
            </w:r>
          </w:p>
        </w:tc>
        <w:tc>
          <w:tcPr>
            <w:tcW w:w="817" w:type="dxa"/>
            <w:tcBorders>
              <w:top w:val="nil"/>
              <w:left w:val="nil"/>
              <w:bottom w:val="single" w:sz="4" w:space="0" w:color="auto"/>
              <w:right w:val="nil"/>
            </w:tcBorders>
            <w:shd w:val="clear" w:color="000000" w:fill="FFFFFF"/>
            <w:noWrap/>
            <w:vAlign w:val="bottom"/>
            <w:hideMark/>
          </w:tcPr>
          <w:p w14:paraId="083997DB" w14:textId="77777777" w:rsidR="00036346" w:rsidRPr="008E00F6" w:rsidRDefault="00036346" w:rsidP="003D2E9C">
            <w:pPr>
              <w:jc w:val="right"/>
              <w:rPr>
                <w:rFonts w:asciiTheme="minorHAnsi" w:eastAsia="Arial Unicode MS" w:hAnsiTheme="minorHAnsi" w:cs="Arial Unicode MS"/>
                <w:b/>
                <w:color w:val="000000"/>
                <w:sz w:val="20"/>
                <w:szCs w:val="20"/>
              </w:rPr>
            </w:pPr>
            <w:r w:rsidRPr="008E00F6">
              <w:rPr>
                <w:rFonts w:asciiTheme="minorHAnsi" w:eastAsia="Arial Unicode MS" w:hAnsiTheme="minorHAnsi" w:cs="Arial Unicode MS"/>
                <w:b/>
                <w:color w:val="000000"/>
                <w:sz w:val="20"/>
                <w:szCs w:val="20"/>
              </w:rPr>
              <w:t>934,71</w:t>
            </w:r>
          </w:p>
        </w:tc>
        <w:tc>
          <w:tcPr>
            <w:tcW w:w="1089" w:type="dxa"/>
            <w:tcBorders>
              <w:top w:val="nil"/>
              <w:left w:val="nil"/>
              <w:bottom w:val="single" w:sz="4" w:space="0" w:color="auto"/>
              <w:right w:val="nil"/>
            </w:tcBorders>
            <w:shd w:val="clear" w:color="000000" w:fill="FFFFFF"/>
            <w:noWrap/>
            <w:vAlign w:val="bottom"/>
            <w:hideMark/>
          </w:tcPr>
          <w:p w14:paraId="248357F2" w14:textId="77777777" w:rsidR="00036346" w:rsidRPr="008E00F6" w:rsidRDefault="00036346" w:rsidP="003D2E9C">
            <w:pPr>
              <w:jc w:val="right"/>
              <w:rPr>
                <w:rFonts w:asciiTheme="minorHAnsi" w:eastAsia="Arial Unicode MS" w:hAnsiTheme="minorHAnsi" w:cs="Arial Unicode MS"/>
                <w:b/>
                <w:color w:val="000000"/>
                <w:sz w:val="20"/>
                <w:szCs w:val="20"/>
              </w:rPr>
            </w:pPr>
            <w:r w:rsidRPr="008E00F6">
              <w:rPr>
                <w:rFonts w:asciiTheme="minorHAnsi" w:eastAsia="Arial Unicode MS" w:hAnsiTheme="minorHAnsi" w:cs="Arial Unicode MS"/>
                <w:b/>
                <w:color w:val="000000"/>
                <w:sz w:val="20"/>
                <w:szCs w:val="20"/>
              </w:rPr>
              <w:t>15.484,51</w:t>
            </w:r>
          </w:p>
        </w:tc>
      </w:tr>
    </w:tbl>
    <w:p w14:paraId="4CE3ECC0" w14:textId="6C600BC3" w:rsidR="00036346" w:rsidRDefault="00036346" w:rsidP="00BA7ADB">
      <w:pPr>
        <w:ind w:left="708" w:firstLine="708"/>
        <w:rPr>
          <w:rFonts w:asciiTheme="majorHAnsi" w:eastAsia="Arial Unicode MS" w:hAnsiTheme="majorHAnsi" w:cs="Arial Unicode MS"/>
          <w:color w:val="000000"/>
          <w:sz w:val="16"/>
          <w:szCs w:val="16"/>
        </w:rPr>
      </w:pPr>
      <w:r w:rsidRPr="00BA7ADB">
        <w:rPr>
          <w:rFonts w:asciiTheme="majorHAnsi" w:eastAsia="Arial Unicode MS" w:hAnsiTheme="majorHAnsi" w:cs="Arial Unicode MS"/>
          <w:color w:val="000000"/>
          <w:sz w:val="16"/>
          <w:szCs w:val="16"/>
        </w:rPr>
        <w:t>Fuente: Elaboración propia con datos suministrados por entidades</w:t>
      </w:r>
    </w:p>
    <w:p w14:paraId="3CFE0943" w14:textId="77777777" w:rsidR="002D1659" w:rsidRPr="00BA7ADB" w:rsidRDefault="002D1659" w:rsidP="00A2354E">
      <w:pPr>
        <w:jc w:val="both"/>
        <w:rPr>
          <w:rFonts w:asciiTheme="majorHAnsi" w:hAnsiTheme="majorHAnsi"/>
          <w:sz w:val="16"/>
          <w:szCs w:val="16"/>
        </w:rPr>
      </w:pPr>
    </w:p>
    <w:p w14:paraId="79EB3301" w14:textId="77777777" w:rsidR="00C9018E" w:rsidRDefault="00C9018E" w:rsidP="0011091F">
      <w:pPr>
        <w:rPr>
          <w:rFonts w:asciiTheme="majorHAnsi" w:hAnsiTheme="majorHAnsi"/>
          <w:b/>
          <w:sz w:val="22"/>
          <w:szCs w:val="22"/>
        </w:rPr>
      </w:pPr>
      <w:bookmarkStart w:id="12" w:name="_Toc363657141"/>
      <w:r w:rsidRPr="0011091F">
        <w:rPr>
          <w:rFonts w:asciiTheme="majorHAnsi" w:hAnsiTheme="majorHAnsi"/>
          <w:b/>
          <w:sz w:val="22"/>
          <w:szCs w:val="22"/>
        </w:rPr>
        <w:t>Rentabilidades</w:t>
      </w:r>
      <w:bookmarkEnd w:id="12"/>
    </w:p>
    <w:p w14:paraId="2E9B6622" w14:textId="77777777" w:rsidR="00036346"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s="Courier New"/>
          <w:color w:val="000000"/>
          <w:sz w:val="22"/>
          <w:szCs w:val="22"/>
        </w:rPr>
      </w:pPr>
      <w:r w:rsidRPr="00036346">
        <w:rPr>
          <w:rFonts w:asciiTheme="majorHAnsi" w:hAnsiTheme="majorHAnsi" w:cs="Courier New"/>
          <w:color w:val="000000"/>
          <w:sz w:val="22"/>
          <w:szCs w:val="22"/>
        </w:rPr>
        <w:t xml:space="preserve">Las rentabilidades históricas reales, según se muestra en la </w:t>
      </w:r>
      <w:r w:rsidRPr="00036346">
        <w:rPr>
          <w:rFonts w:asciiTheme="majorHAnsi" w:hAnsiTheme="majorHAnsi" w:cs="Courier New"/>
          <w:sz w:val="22"/>
          <w:szCs w:val="22"/>
        </w:rPr>
        <w:t xml:space="preserve">Ilustración 3 </w:t>
      </w:r>
      <w:r w:rsidRPr="00036346">
        <w:rPr>
          <w:rFonts w:asciiTheme="majorHAnsi" w:hAnsiTheme="majorHAnsi" w:cs="Courier New"/>
          <w:color w:val="000000"/>
          <w:sz w:val="22"/>
          <w:szCs w:val="22"/>
        </w:rPr>
        <w:t xml:space="preserve">para los fondos en colones gestionados por operadoras, rondan entre 4,41% - 5,42%. A su vez, las rentabilidades históricas de los fondos en dólares, actualmente son superiores al 5,24%. </w:t>
      </w:r>
    </w:p>
    <w:p w14:paraId="74647358" w14:textId="77777777" w:rsidR="0013662A" w:rsidRDefault="0013662A"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s="Courier New"/>
          <w:color w:val="000000"/>
          <w:sz w:val="22"/>
          <w:szCs w:val="22"/>
        </w:rPr>
      </w:pPr>
    </w:p>
    <w:p w14:paraId="03247406" w14:textId="207EA57E" w:rsidR="00036346" w:rsidRPr="00677AF5" w:rsidRDefault="0013662A" w:rsidP="00036346">
      <w:pPr>
        <w:pStyle w:val="Descripcin"/>
        <w:spacing w:before="0" w:after="0"/>
        <w:jc w:val="center"/>
        <w:rPr>
          <w:sz w:val="22"/>
          <w:szCs w:val="22"/>
        </w:rPr>
      </w:pPr>
      <w:bookmarkStart w:id="13" w:name="_Toc426449345"/>
      <w:r>
        <w:rPr>
          <w:sz w:val="22"/>
          <w:szCs w:val="22"/>
        </w:rPr>
        <w:t>Gráfico</w:t>
      </w:r>
      <w:r w:rsidR="00036346" w:rsidRPr="00677AF5">
        <w:rPr>
          <w:sz w:val="22"/>
          <w:szCs w:val="22"/>
        </w:rPr>
        <w:t xml:space="preserve"> </w:t>
      </w:r>
      <w:r>
        <w:rPr>
          <w:sz w:val="22"/>
          <w:szCs w:val="22"/>
        </w:rPr>
        <w:t>4</w:t>
      </w:r>
      <w:r w:rsidR="00036346" w:rsidRPr="00677AF5">
        <w:rPr>
          <w:sz w:val="22"/>
          <w:szCs w:val="22"/>
        </w:rPr>
        <w:t>: Rentabilidades Históricas Reales</w:t>
      </w:r>
      <w:r w:rsidR="00036346">
        <w:rPr>
          <w:sz w:val="22"/>
          <w:szCs w:val="22"/>
        </w:rPr>
        <w:t xml:space="preserve"> Fondos Colones</w:t>
      </w:r>
      <w:bookmarkEnd w:id="13"/>
    </w:p>
    <w:p w14:paraId="2883CA52" w14:textId="77777777" w:rsidR="00036346" w:rsidRDefault="00036346" w:rsidP="00036346">
      <w:pPr>
        <w:pStyle w:val="Descripcin"/>
        <w:spacing w:before="0" w:after="0"/>
        <w:jc w:val="center"/>
        <w:rPr>
          <w:sz w:val="22"/>
          <w:szCs w:val="22"/>
        </w:rPr>
      </w:pPr>
      <w:r w:rsidRPr="00677AF5">
        <w:rPr>
          <w:sz w:val="22"/>
          <w:szCs w:val="22"/>
        </w:rPr>
        <w:t xml:space="preserve">Ene-2010 a </w:t>
      </w:r>
      <w:r>
        <w:rPr>
          <w:sz w:val="22"/>
          <w:szCs w:val="22"/>
        </w:rPr>
        <w:t>Jun-2015</w:t>
      </w:r>
    </w:p>
    <w:p w14:paraId="62F571D9" w14:textId="77777777" w:rsidR="00036346" w:rsidRDefault="00036346" w:rsidP="00036346">
      <w:pPr>
        <w:jc w:val="center"/>
      </w:pPr>
      <w:r>
        <w:rPr>
          <w:noProof/>
        </w:rPr>
        <w:drawing>
          <wp:inline distT="0" distB="0" distL="0" distR="0" wp14:anchorId="745ABBD0" wp14:editId="24DFE669">
            <wp:extent cx="4050463" cy="1570748"/>
            <wp:effectExtent l="0" t="0" r="7620" b="1079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D1D7C4D" w14:textId="385770E2" w:rsidR="00036346" w:rsidRPr="00BA7ADB" w:rsidRDefault="00036346" w:rsidP="0013662A">
      <w:pPr>
        <w:spacing w:after="60"/>
        <w:ind w:left="1276" w:hanging="1"/>
        <w:rPr>
          <w:rFonts w:asciiTheme="majorHAnsi" w:eastAsia="Arial Unicode MS" w:hAnsiTheme="majorHAnsi" w:cs="Arial Unicode MS"/>
          <w:sz w:val="16"/>
          <w:szCs w:val="16"/>
        </w:rPr>
      </w:pPr>
      <w:r w:rsidRPr="00036346">
        <w:rPr>
          <w:rFonts w:asciiTheme="majorHAnsi" w:eastAsia="Arial Unicode MS" w:hAnsiTheme="majorHAnsi" w:cs="Arial Unicode MS"/>
          <w:color w:val="000000"/>
          <w:sz w:val="20"/>
          <w:szCs w:val="20"/>
        </w:rPr>
        <w:t xml:space="preserve">      </w:t>
      </w:r>
      <w:r w:rsidRPr="00BA7ADB">
        <w:rPr>
          <w:rFonts w:asciiTheme="majorHAnsi" w:eastAsia="Arial Unicode MS" w:hAnsiTheme="majorHAnsi" w:cs="Arial Unicode MS"/>
          <w:color w:val="000000"/>
          <w:sz w:val="16"/>
          <w:szCs w:val="16"/>
        </w:rPr>
        <w:t>Fuente: Elaboración propia con datos suministrados por entidades</w:t>
      </w:r>
    </w:p>
    <w:p w14:paraId="6F369A71" w14:textId="77777777" w:rsidR="00036346" w:rsidRPr="00BA7ADB" w:rsidRDefault="00036346" w:rsidP="00036346">
      <w:pPr>
        <w:spacing w:after="60"/>
        <w:jc w:val="center"/>
        <w:rPr>
          <w:sz w:val="16"/>
          <w:szCs w:val="16"/>
        </w:rPr>
      </w:pPr>
    </w:p>
    <w:p w14:paraId="1CCFE6A7" w14:textId="77777777" w:rsidR="00036346" w:rsidRPr="00036346"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s="Courier New"/>
        </w:rPr>
      </w:pPr>
      <w:r w:rsidRPr="00036346">
        <w:rPr>
          <w:rFonts w:asciiTheme="majorHAnsi" w:hAnsiTheme="majorHAnsi" w:cs="Courier New"/>
        </w:rPr>
        <w:lastRenderedPageBreak/>
        <w:t xml:space="preserve">Según se puede apreciar en la ilustración anterior, las rentabilidades reales han venido en aumento desde mediados del año anterior, principalmente por disminuciones en las tasas de inflación. El fondo voluntario B colones presenta menor tamaño, en cuanto a fondos administrados, sin embargo, presenta rentabilidades reales más altas. </w:t>
      </w:r>
    </w:p>
    <w:p w14:paraId="6ED0430C" w14:textId="77777777" w:rsidR="00036346" w:rsidRPr="00454D9F"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p>
    <w:p w14:paraId="46A90DE8" w14:textId="4CD0C156" w:rsidR="00036346" w:rsidRPr="00036346" w:rsidRDefault="0013662A" w:rsidP="00036346">
      <w:pPr>
        <w:pStyle w:val="Descripcin"/>
        <w:spacing w:before="0" w:after="0"/>
        <w:jc w:val="center"/>
        <w:rPr>
          <w:rFonts w:asciiTheme="majorHAnsi" w:hAnsiTheme="majorHAnsi"/>
          <w:sz w:val="22"/>
          <w:szCs w:val="22"/>
        </w:rPr>
      </w:pPr>
      <w:bookmarkStart w:id="14" w:name="_Toc426449346"/>
      <w:r>
        <w:rPr>
          <w:rFonts w:asciiTheme="majorHAnsi" w:hAnsiTheme="majorHAnsi"/>
          <w:sz w:val="22"/>
          <w:szCs w:val="22"/>
        </w:rPr>
        <w:t>Gráfico</w:t>
      </w:r>
      <w:r w:rsidR="00036346" w:rsidRPr="00036346">
        <w:rPr>
          <w:rFonts w:asciiTheme="majorHAnsi" w:hAnsiTheme="majorHAnsi"/>
          <w:sz w:val="22"/>
          <w:szCs w:val="22"/>
        </w:rPr>
        <w:t xml:space="preserve"> </w:t>
      </w:r>
      <w:r>
        <w:rPr>
          <w:rFonts w:asciiTheme="majorHAnsi" w:hAnsiTheme="majorHAnsi"/>
          <w:sz w:val="22"/>
          <w:szCs w:val="22"/>
        </w:rPr>
        <w:t>5</w:t>
      </w:r>
      <w:r w:rsidR="00036346" w:rsidRPr="00036346">
        <w:rPr>
          <w:rFonts w:asciiTheme="majorHAnsi" w:hAnsiTheme="majorHAnsi"/>
          <w:sz w:val="22"/>
          <w:szCs w:val="22"/>
        </w:rPr>
        <w:t>: Rentabilidades Históricas Reales Fondos Dólares</w:t>
      </w:r>
      <w:bookmarkEnd w:id="14"/>
    </w:p>
    <w:p w14:paraId="5E876282" w14:textId="77777777" w:rsidR="00036346" w:rsidRPr="00036346" w:rsidRDefault="00036346" w:rsidP="00036346">
      <w:pPr>
        <w:pStyle w:val="Descripcin"/>
        <w:spacing w:before="0" w:after="0"/>
        <w:jc w:val="center"/>
        <w:rPr>
          <w:rFonts w:asciiTheme="majorHAnsi" w:hAnsiTheme="majorHAnsi"/>
          <w:sz w:val="22"/>
          <w:szCs w:val="22"/>
        </w:rPr>
      </w:pPr>
      <w:r w:rsidRPr="00036346">
        <w:rPr>
          <w:rFonts w:asciiTheme="majorHAnsi" w:hAnsiTheme="majorHAnsi"/>
          <w:sz w:val="22"/>
          <w:szCs w:val="22"/>
        </w:rPr>
        <w:t>Ene-2010 a Jun-2015</w:t>
      </w:r>
    </w:p>
    <w:p w14:paraId="0ADAFE48" w14:textId="77777777" w:rsidR="00036346" w:rsidRPr="00BE3EE2" w:rsidRDefault="00036346" w:rsidP="00036346">
      <w:pPr>
        <w:jc w:val="center"/>
      </w:pPr>
      <w:r>
        <w:rPr>
          <w:noProof/>
        </w:rPr>
        <w:drawing>
          <wp:inline distT="0" distB="0" distL="0" distR="0" wp14:anchorId="615FEB81" wp14:editId="453E548E">
            <wp:extent cx="3972154" cy="2362810"/>
            <wp:effectExtent l="0" t="0" r="9525"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E59B699" w14:textId="0818E89F" w:rsidR="00036346" w:rsidRDefault="00036346" w:rsidP="0013662A">
      <w:pPr>
        <w:tabs>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rPr>
          <w:rFonts w:asciiTheme="majorHAnsi" w:eastAsia="Arial Unicode MS" w:hAnsiTheme="majorHAnsi" w:cs="Arial Unicode MS"/>
          <w:color w:val="000000"/>
          <w:sz w:val="16"/>
          <w:szCs w:val="16"/>
        </w:rPr>
      </w:pPr>
      <w:r w:rsidRPr="00036346">
        <w:rPr>
          <w:rFonts w:asciiTheme="majorHAnsi" w:hAnsiTheme="majorHAnsi" w:cs="Courier New"/>
        </w:rPr>
        <w:tab/>
      </w:r>
      <w:r w:rsidRPr="00036346">
        <w:rPr>
          <w:rFonts w:asciiTheme="majorHAnsi" w:eastAsia="Arial Unicode MS" w:hAnsiTheme="majorHAnsi" w:cs="Arial Unicode MS"/>
          <w:color w:val="000000"/>
          <w:sz w:val="20"/>
          <w:szCs w:val="20"/>
        </w:rPr>
        <w:t xml:space="preserve">   </w:t>
      </w:r>
      <w:r w:rsidRPr="00BA7ADB">
        <w:rPr>
          <w:rFonts w:asciiTheme="majorHAnsi" w:eastAsia="Arial Unicode MS" w:hAnsiTheme="majorHAnsi" w:cs="Arial Unicode MS"/>
          <w:color w:val="000000"/>
          <w:sz w:val="16"/>
          <w:szCs w:val="16"/>
        </w:rPr>
        <w:t>Fuente: Elaboración propia con datos suministrados por entidades</w:t>
      </w:r>
    </w:p>
    <w:p w14:paraId="3EA0D3CF" w14:textId="77777777" w:rsidR="00BA7ADB" w:rsidRPr="00BA7ADB" w:rsidRDefault="00BA7ADB" w:rsidP="0013662A">
      <w:pPr>
        <w:tabs>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rPr>
          <w:rFonts w:asciiTheme="majorHAnsi" w:hAnsiTheme="majorHAnsi" w:cs="Courier New"/>
          <w:sz w:val="16"/>
          <w:szCs w:val="16"/>
        </w:rPr>
      </w:pPr>
    </w:p>
    <w:p w14:paraId="22BEC607" w14:textId="77777777" w:rsidR="00036346" w:rsidRPr="00BA7ADB"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sz w:val="16"/>
          <w:szCs w:val="16"/>
        </w:rPr>
      </w:pPr>
    </w:p>
    <w:p w14:paraId="0BBFC819" w14:textId="2AA7CD6C" w:rsidR="00036346" w:rsidRPr="00036346"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s="Courier New"/>
          <w:sz w:val="22"/>
          <w:szCs w:val="22"/>
        </w:rPr>
      </w:pPr>
      <w:r w:rsidRPr="00036346">
        <w:rPr>
          <w:rFonts w:asciiTheme="majorHAnsi" w:hAnsiTheme="majorHAnsi" w:cs="Courier New"/>
          <w:color w:val="000000"/>
          <w:sz w:val="22"/>
          <w:szCs w:val="22"/>
        </w:rPr>
        <w:t xml:space="preserve">Los fondos voluntarios, ver </w:t>
      </w:r>
      <w:r w:rsidR="00675AB9" w:rsidRPr="00675AB9">
        <w:rPr>
          <w:rFonts w:asciiTheme="majorHAnsi" w:hAnsiTheme="majorHAnsi" w:cs="Courier New"/>
          <w:color w:val="000000"/>
          <w:sz w:val="22"/>
          <w:szCs w:val="22"/>
        </w:rPr>
        <w:t>Cuadro 2</w:t>
      </w:r>
      <w:r w:rsidRPr="00675AB9">
        <w:rPr>
          <w:rFonts w:asciiTheme="majorHAnsi" w:hAnsiTheme="majorHAnsi" w:cs="Courier New"/>
          <w:color w:val="000000"/>
          <w:sz w:val="22"/>
          <w:szCs w:val="22"/>
        </w:rPr>
        <w:t>, vuelven</w:t>
      </w:r>
      <w:r w:rsidRPr="00036346">
        <w:rPr>
          <w:rFonts w:asciiTheme="majorHAnsi" w:hAnsiTheme="majorHAnsi" w:cs="Courier New"/>
          <w:color w:val="000000"/>
          <w:sz w:val="22"/>
          <w:szCs w:val="22"/>
        </w:rPr>
        <w:t xml:space="preserve"> a invertir en instrumentos extranjeros, tienen una mayor concentración de las inversiones en emisores del sector privado y además aprovechan inversiones de captadores pequeños, por ejemplo inversiones en sectores no </w:t>
      </w:r>
      <w:r w:rsidRPr="00036346">
        <w:rPr>
          <w:rFonts w:asciiTheme="majorHAnsi" w:hAnsiTheme="majorHAnsi" w:cs="Courier New"/>
          <w:sz w:val="22"/>
          <w:szCs w:val="22"/>
        </w:rPr>
        <w:t>financieros</w:t>
      </w:r>
      <w:r w:rsidRPr="00036346">
        <w:rPr>
          <w:rFonts w:asciiTheme="majorHAnsi" w:hAnsiTheme="majorHAnsi" w:cs="Courier New"/>
          <w:color w:val="000000"/>
          <w:sz w:val="22"/>
          <w:szCs w:val="22"/>
        </w:rPr>
        <w:t xml:space="preserve"> como el ICE, CNFL, CORBANA y la Municipalidad de San José. Esta composición de la cartera les ha generado mejores retornos.</w:t>
      </w:r>
    </w:p>
    <w:p w14:paraId="576C1A7B" w14:textId="77777777" w:rsidR="00036346" w:rsidRPr="00CB05A4"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p>
    <w:p w14:paraId="6940D1C0" w14:textId="77777777" w:rsidR="00036346"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14:paraId="76BB9042" w14:textId="77777777" w:rsidR="00036346" w:rsidRPr="00677AF5" w:rsidRDefault="00036346" w:rsidP="00036346">
      <w:pPr>
        <w:pStyle w:val="Descripcin"/>
        <w:spacing w:before="0" w:after="0"/>
        <w:jc w:val="center"/>
        <w:rPr>
          <w:sz w:val="22"/>
          <w:szCs w:val="22"/>
        </w:rPr>
      </w:pPr>
      <w:bookmarkStart w:id="15" w:name="_Toc426449336"/>
      <w:r w:rsidRPr="0013662A">
        <w:rPr>
          <w:sz w:val="22"/>
          <w:szCs w:val="22"/>
        </w:rPr>
        <w:t xml:space="preserve">Cuadro </w:t>
      </w:r>
      <w:r w:rsidRPr="0013662A">
        <w:rPr>
          <w:sz w:val="22"/>
          <w:szCs w:val="22"/>
        </w:rPr>
        <w:fldChar w:fldCharType="begin"/>
      </w:r>
      <w:r w:rsidRPr="0013662A">
        <w:rPr>
          <w:sz w:val="22"/>
          <w:szCs w:val="22"/>
        </w:rPr>
        <w:instrText xml:space="preserve"> SEQ Cuadro \* ARABIC </w:instrText>
      </w:r>
      <w:r w:rsidRPr="0013662A">
        <w:rPr>
          <w:sz w:val="22"/>
          <w:szCs w:val="22"/>
        </w:rPr>
        <w:fldChar w:fldCharType="separate"/>
      </w:r>
      <w:r w:rsidR="00D81356">
        <w:rPr>
          <w:noProof/>
          <w:sz w:val="22"/>
          <w:szCs w:val="22"/>
        </w:rPr>
        <w:t>2</w:t>
      </w:r>
      <w:r w:rsidRPr="0013662A">
        <w:rPr>
          <w:sz w:val="22"/>
          <w:szCs w:val="22"/>
        </w:rPr>
        <w:fldChar w:fldCharType="end"/>
      </w:r>
      <w:r w:rsidRPr="0013662A">
        <w:rPr>
          <w:sz w:val="22"/>
          <w:szCs w:val="22"/>
        </w:rPr>
        <w:t>: Portafolios por Sector. Cifras Porcentuales</w:t>
      </w:r>
      <w:bookmarkEnd w:id="15"/>
    </w:p>
    <w:p w14:paraId="149A2831" w14:textId="77777777" w:rsidR="00036346" w:rsidRPr="0037037B" w:rsidRDefault="00036346" w:rsidP="00036346">
      <w:pPr>
        <w:pStyle w:val="Descripcin"/>
        <w:spacing w:before="0" w:after="0"/>
        <w:jc w:val="center"/>
        <w:rPr>
          <w:color w:val="000000"/>
          <w:sz w:val="22"/>
          <w:szCs w:val="22"/>
          <w:lang w:eastAsia="es-ES"/>
        </w:rPr>
      </w:pPr>
      <w:r>
        <w:rPr>
          <w:sz w:val="22"/>
          <w:szCs w:val="22"/>
        </w:rPr>
        <w:t>30 de junio 2015</w:t>
      </w:r>
    </w:p>
    <w:tbl>
      <w:tblPr>
        <w:tblW w:w="5715" w:type="dxa"/>
        <w:jc w:val="center"/>
        <w:tblCellMar>
          <w:left w:w="70" w:type="dxa"/>
          <w:right w:w="70" w:type="dxa"/>
        </w:tblCellMar>
        <w:tblLook w:val="04A0" w:firstRow="1" w:lastRow="0" w:firstColumn="1" w:lastColumn="0" w:noHBand="0" w:noVBand="1"/>
      </w:tblPr>
      <w:tblGrid>
        <w:gridCol w:w="2059"/>
        <w:gridCol w:w="867"/>
        <w:gridCol w:w="867"/>
        <w:gridCol w:w="961"/>
        <w:gridCol w:w="961"/>
      </w:tblGrid>
      <w:tr w:rsidR="00036346" w:rsidRPr="003F04BA" w14:paraId="1F344B57" w14:textId="77777777" w:rsidTr="003D2E9C">
        <w:trPr>
          <w:trHeight w:val="149"/>
          <w:jc w:val="center"/>
        </w:trPr>
        <w:tc>
          <w:tcPr>
            <w:tcW w:w="2059" w:type="dxa"/>
            <w:tcBorders>
              <w:top w:val="single" w:sz="4" w:space="0" w:color="auto"/>
              <w:left w:val="nil"/>
              <w:bottom w:val="single" w:sz="4" w:space="0" w:color="auto"/>
              <w:right w:val="nil"/>
            </w:tcBorders>
            <w:shd w:val="clear" w:color="000000" w:fill="FFFFFF"/>
            <w:noWrap/>
            <w:vAlign w:val="bottom"/>
            <w:hideMark/>
          </w:tcPr>
          <w:p w14:paraId="7904AF26" w14:textId="77777777" w:rsidR="00036346" w:rsidRPr="003F04BA" w:rsidRDefault="00036346" w:rsidP="003D2E9C">
            <w:pPr>
              <w:rPr>
                <w:rFonts w:ascii="Arial Unicode MS" w:eastAsia="Arial Unicode MS" w:hAnsi="Arial Unicode MS" w:cs="Arial Unicode MS"/>
                <w:b/>
                <w:bCs/>
                <w:color w:val="000000"/>
                <w:sz w:val="20"/>
                <w:szCs w:val="20"/>
              </w:rPr>
            </w:pPr>
            <w:r w:rsidRPr="003F04BA">
              <w:rPr>
                <w:rFonts w:ascii="Arial Unicode MS" w:eastAsia="Arial Unicode MS" w:hAnsi="Arial Unicode MS" w:cs="Arial Unicode MS"/>
                <w:b/>
                <w:bCs/>
                <w:color w:val="000000"/>
                <w:sz w:val="20"/>
                <w:szCs w:val="20"/>
              </w:rPr>
              <w:t> </w:t>
            </w:r>
          </w:p>
        </w:tc>
        <w:tc>
          <w:tcPr>
            <w:tcW w:w="867" w:type="dxa"/>
            <w:tcBorders>
              <w:top w:val="single" w:sz="4" w:space="0" w:color="auto"/>
              <w:left w:val="nil"/>
              <w:bottom w:val="single" w:sz="4" w:space="0" w:color="auto"/>
              <w:right w:val="nil"/>
            </w:tcBorders>
            <w:shd w:val="clear" w:color="000000" w:fill="FFFFFF"/>
            <w:noWrap/>
            <w:vAlign w:val="bottom"/>
            <w:hideMark/>
          </w:tcPr>
          <w:p w14:paraId="43C02C5B" w14:textId="77777777" w:rsidR="00036346" w:rsidRPr="003F04BA" w:rsidRDefault="00036346" w:rsidP="003D2E9C">
            <w:pPr>
              <w:jc w:val="center"/>
              <w:rPr>
                <w:rFonts w:ascii="Arial Unicode MS" w:eastAsia="Arial Unicode MS" w:hAnsi="Arial Unicode MS" w:cs="Arial Unicode MS"/>
                <w:b/>
                <w:bCs/>
                <w:color w:val="000000"/>
                <w:sz w:val="20"/>
                <w:szCs w:val="20"/>
              </w:rPr>
            </w:pPr>
            <w:r w:rsidRPr="003F04BA">
              <w:rPr>
                <w:rFonts w:ascii="Arial Unicode MS" w:eastAsia="Arial Unicode MS" w:hAnsi="Arial Unicode MS" w:cs="Arial Unicode MS"/>
                <w:b/>
                <w:bCs/>
                <w:color w:val="000000"/>
                <w:sz w:val="20"/>
                <w:szCs w:val="20"/>
              </w:rPr>
              <w:t xml:space="preserve"> FCL   </w:t>
            </w:r>
          </w:p>
        </w:tc>
        <w:tc>
          <w:tcPr>
            <w:tcW w:w="867" w:type="dxa"/>
            <w:tcBorders>
              <w:top w:val="single" w:sz="4" w:space="0" w:color="auto"/>
              <w:left w:val="nil"/>
              <w:bottom w:val="single" w:sz="4" w:space="0" w:color="auto"/>
              <w:right w:val="nil"/>
            </w:tcBorders>
            <w:shd w:val="clear" w:color="000000" w:fill="FFFFFF"/>
            <w:noWrap/>
            <w:vAlign w:val="bottom"/>
            <w:hideMark/>
          </w:tcPr>
          <w:p w14:paraId="3E727A19" w14:textId="77777777" w:rsidR="00036346" w:rsidRPr="003F04BA" w:rsidRDefault="00036346" w:rsidP="003D2E9C">
            <w:pPr>
              <w:jc w:val="center"/>
              <w:rPr>
                <w:rFonts w:ascii="Arial Unicode MS" w:eastAsia="Arial Unicode MS" w:hAnsi="Arial Unicode MS" w:cs="Arial Unicode MS"/>
                <w:b/>
                <w:bCs/>
                <w:color w:val="000000"/>
                <w:sz w:val="20"/>
                <w:szCs w:val="20"/>
              </w:rPr>
            </w:pPr>
            <w:r w:rsidRPr="003F04BA">
              <w:rPr>
                <w:rFonts w:ascii="Arial Unicode MS" w:eastAsia="Arial Unicode MS" w:hAnsi="Arial Unicode MS" w:cs="Arial Unicode MS"/>
                <w:b/>
                <w:bCs/>
                <w:color w:val="000000"/>
                <w:sz w:val="20"/>
                <w:szCs w:val="20"/>
              </w:rPr>
              <w:t xml:space="preserve"> ROP   </w:t>
            </w:r>
          </w:p>
        </w:tc>
        <w:tc>
          <w:tcPr>
            <w:tcW w:w="961" w:type="dxa"/>
            <w:tcBorders>
              <w:top w:val="single" w:sz="4" w:space="0" w:color="auto"/>
              <w:left w:val="nil"/>
              <w:bottom w:val="single" w:sz="4" w:space="0" w:color="auto"/>
              <w:right w:val="nil"/>
            </w:tcBorders>
            <w:shd w:val="clear" w:color="000000" w:fill="FFFFFF"/>
            <w:noWrap/>
            <w:vAlign w:val="bottom"/>
            <w:hideMark/>
          </w:tcPr>
          <w:p w14:paraId="48C2DF28" w14:textId="77777777" w:rsidR="00036346" w:rsidRPr="003F04BA" w:rsidRDefault="00036346" w:rsidP="003D2E9C">
            <w:pPr>
              <w:jc w:val="center"/>
              <w:rPr>
                <w:rFonts w:ascii="Arial Unicode MS" w:eastAsia="Arial Unicode MS" w:hAnsi="Arial Unicode MS" w:cs="Arial Unicode MS"/>
                <w:b/>
                <w:bCs/>
                <w:color w:val="000000"/>
                <w:sz w:val="20"/>
                <w:szCs w:val="20"/>
              </w:rPr>
            </w:pPr>
            <w:r w:rsidRPr="003F04BA">
              <w:rPr>
                <w:rFonts w:ascii="Arial Unicode MS" w:eastAsia="Arial Unicode MS" w:hAnsi="Arial Unicode MS" w:cs="Arial Unicode MS"/>
                <w:b/>
                <w:bCs/>
                <w:color w:val="000000"/>
                <w:sz w:val="20"/>
                <w:szCs w:val="20"/>
              </w:rPr>
              <w:t xml:space="preserve"> </w:t>
            </w:r>
            <w:proofErr w:type="spellStart"/>
            <w:r w:rsidRPr="003F04BA">
              <w:rPr>
                <w:rFonts w:ascii="Arial Unicode MS" w:eastAsia="Arial Unicode MS" w:hAnsi="Arial Unicode MS" w:cs="Arial Unicode MS"/>
                <w:b/>
                <w:bCs/>
                <w:color w:val="000000"/>
                <w:sz w:val="20"/>
                <w:szCs w:val="20"/>
              </w:rPr>
              <w:t>Vol</w:t>
            </w:r>
            <w:proofErr w:type="spellEnd"/>
            <w:r w:rsidRPr="003F04BA">
              <w:rPr>
                <w:rFonts w:ascii="Arial Unicode MS" w:eastAsia="Arial Unicode MS" w:hAnsi="Arial Unicode MS" w:cs="Arial Unicode MS"/>
                <w:b/>
                <w:bCs/>
                <w:color w:val="000000"/>
                <w:sz w:val="20"/>
                <w:szCs w:val="20"/>
              </w:rPr>
              <w:t xml:space="preserve"> Col</w:t>
            </w:r>
          </w:p>
        </w:tc>
        <w:tc>
          <w:tcPr>
            <w:tcW w:w="961" w:type="dxa"/>
            <w:tcBorders>
              <w:top w:val="single" w:sz="4" w:space="0" w:color="auto"/>
              <w:left w:val="nil"/>
              <w:bottom w:val="single" w:sz="4" w:space="0" w:color="auto"/>
              <w:right w:val="nil"/>
            </w:tcBorders>
            <w:shd w:val="clear" w:color="000000" w:fill="FFFFFF"/>
            <w:noWrap/>
            <w:vAlign w:val="bottom"/>
            <w:hideMark/>
          </w:tcPr>
          <w:p w14:paraId="76F7E5B5" w14:textId="77777777" w:rsidR="00036346" w:rsidRPr="003F04BA" w:rsidRDefault="00036346" w:rsidP="003D2E9C">
            <w:pPr>
              <w:jc w:val="center"/>
              <w:rPr>
                <w:rFonts w:ascii="Arial Unicode MS" w:eastAsia="Arial Unicode MS" w:hAnsi="Arial Unicode MS" w:cs="Arial Unicode MS"/>
                <w:b/>
                <w:bCs/>
                <w:color w:val="000000"/>
                <w:sz w:val="20"/>
                <w:szCs w:val="20"/>
              </w:rPr>
            </w:pPr>
            <w:r w:rsidRPr="003F04BA">
              <w:rPr>
                <w:rFonts w:ascii="Arial Unicode MS" w:eastAsia="Arial Unicode MS" w:hAnsi="Arial Unicode MS" w:cs="Arial Unicode MS"/>
                <w:b/>
                <w:bCs/>
                <w:color w:val="000000"/>
                <w:sz w:val="20"/>
                <w:szCs w:val="20"/>
              </w:rPr>
              <w:t xml:space="preserve"> </w:t>
            </w:r>
            <w:proofErr w:type="spellStart"/>
            <w:r w:rsidRPr="003F04BA">
              <w:rPr>
                <w:rFonts w:ascii="Arial Unicode MS" w:eastAsia="Arial Unicode MS" w:hAnsi="Arial Unicode MS" w:cs="Arial Unicode MS"/>
                <w:b/>
                <w:bCs/>
                <w:color w:val="000000"/>
                <w:sz w:val="20"/>
                <w:szCs w:val="20"/>
              </w:rPr>
              <w:t>Vol</w:t>
            </w:r>
            <w:proofErr w:type="spellEnd"/>
            <w:r w:rsidRPr="003F04BA">
              <w:rPr>
                <w:rFonts w:ascii="Arial Unicode MS" w:eastAsia="Arial Unicode MS" w:hAnsi="Arial Unicode MS" w:cs="Arial Unicode MS"/>
                <w:b/>
                <w:bCs/>
                <w:color w:val="000000"/>
                <w:sz w:val="20"/>
                <w:szCs w:val="20"/>
              </w:rPr>
              <w:t xml:space="preserve"> </w:t>
            </w:r>
            <w:proofErr w:type="spellStart"/>
            <w:r w:rsidRPr="003F04BA">
              <w:rPr>
                <w:rFonts w:ascii="Arial Unicode MS" w:eastAsia="Arial Unicode MS" w:hAnsi="Arial Unicode MS" w:cs="Arial Unicode MS"/>
                <w:b/>
                <w:bCs/>
                <w:color w:val="000000"/>
                <w:sz w:val="20"/>
                <w:szCs w:val="20"/>
              </w:rPr>
              <w:t>Dol</w:t>
            </w:r>
            <w:proofErr w:type="spellEnd"/>
          </w:p>
        </w:tc>
      </w:tr>
      <w:tr w:rsidR="00036346" w:rsidRPr="003F04BA" w14:paraId="75EAB496" w14:textId="77777777" w:rsidTr="003D2E9C">
        <w:trPr>
          <w:trHeight w:val="149"/>
          <w:jc w:val="center"/>
        </w:trPr>
        <w:tc>
          <w:tcPr>
            <w:tcW w:w="2059" w:type="dxa"/>
            <w:tcBorders>
              <w:top w:val="nil"/>
              <w:left w:val="nil"/>
              <w:bottom w:val="nil"/>
              <w:right w:val="nil"/>
            </w:tcBorders>
            <w:shd w:val="clear" w:color="000000" w:fill="FFFFFF"/>
            <w:noWrap/>
            <w:vAlign w:val="center"/>
            <w:hideMark/>
          </w:tcPr>
          <w:p w14:paraId="343B0260" w14:textId="77777777" w:rsidR="00036346" w:rsidRPr="003F04BA" w:rsidRDefault="00036346" w:rsidP="003D2E9C">
            <w:pP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hint="eastAsia"/>
                <w:color w:val="000000"/>
                <w:sz w:val="20"/>
                <w:szCs w:val="20"/>
              </w:rPr>
              <w:t xml:space="preserve">Extranjero  </w:t>
            </w:r>
          </w:p>
        </w:tc>
        <w:tc>
          <w:tcPr>
            <w:tcW w:w="867" w:type="dxa"/>
            <w:tcBorders>
              <w:top w:val="nil"/>
              <w:left w:val="nil"/>
              <w:bottom w:val="nil"/>
              <w:right w:val="nil"/>
            </w:tcBorders>
            <w:shd w:val="clear" w:color="000000" w:fill="FFFFFF"/>
            <w:noWrap/>
            <w:vAlign w:val="bottom"/>
            <w:hideMark/>
          </w:tcPr>
          <w:p w14:paraId="56D6F870" w14:textId="77777777" w:rsidR="00036346" w:rsidRPr="003F04BA" w:rsidRDefault="00036346" w:rsidP="003D2E9C">
            <w:pPr>
              <w:jc w:val="cente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color w:val="000000"/>
                <w:sz w:val="20"/>
                <w:szCs w:val="20"/>
              </w:rPr>
              <w:t xml:space="preserve">     1,74 </w:t>
            </w:r>
          </w:p>
        </w:tc>
        <w:tc>
          <w:tcPr>
            <w:tcW w:w="867" w:type="dxa"/>
            <w:tcBorders>
              <w:top w:val="nil"/>
              <w:left w:val="nil"/>
              <w:bottom w:val="nil"/>
              <w:right w:val="nil"/>
            </w:tcBorders>
            <w:shd w:val="clear" w:color="000000" w:fill="FFFFFF"/>
            <w:noWrap/>
            <w:vAlign w:val="bottom"/>
            <w:hideMark/>
          </w:tcPr>
          <w:p w14:paraId="1005B92E" w14:textId="77777777" w:rsidR="00036346" w:rsidRPr="003F04BA" w:rsidRDefault="00036346" w:rsidP="003D2E9C">
            <w:pPr>
              <w:jc w:val="cente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color w:val="000000"/>
                <w:sz w:val="20"/>
                <w:szCs w:val="20"/>
              </w:rPr>
              <w:t xml:space="preserve">     5,13 </w:t>
            </w:r>
          </w:p>
        </w:tc>
        <w:tc>
          <w:tcPr>
            <w:tcW w:w="961" w:type="dxa"/>
            <w:tcBorders>
              <w:top w:val="nil"/>
              <w:left w:val="nil"/>
              <w:bottom w:val="nil"/>
              <w:right w:val="nil"/>
            </w:tcBorders>
            <w:shd w:val="clear" w:color="000000" w:fill="FFFFFF"/>
            <w:noWrap/>
            <w:vAlign w:val="bottom"/>
            <w:hideMark/>
          </w:tcPr>
          <w:p w14:paraId="469DE10B" w14:textId="77777777" w:rsidR="00036346" w:rsidRPr="003F04BA" w:rsidRDefault="00036346" w:rsidP="003D2E9C">
            <w:pPr>
              <w:jc w:val="cente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color w:val="000000"/>
                <w:sz w:val="20"/>
                <w:szCs w:val="20"/>
              </w:rPr>
              <w:t xml:space="preserve">       1,10 </w:t>
            </w:r>
          </w:p>
        </w:tc>
        <w:tc>
          <w:tcPr>
            <w:tcW w:w="961" w:type="dxa"/>
            <w:tcBorders>
              <w:top w:val="nil"/>
              <w:left w:val="nil"/>
              <w:bottom w:val="nil"/>
              <w:right w:val="nil"/>
            </w:tcBorders>
            <w:shd w:val="clear" w:color="000000" w:fill="FFFFFF"/>
            <w:noWrap/>
            <w:vAlign w:val="bottom"/>
            <w:hideMark/>
          </w:tcPr>
          <w:p w14:paraId="31CF39D7" w14:textId="77777777" w:rsidR="00036346" w:rsidRPr="003F04BA" w:rsidRDefault="00036346" w:rsidP="003D2E9C">
            <w:pPr>
              <w:jc w:val="cente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color w:val="000000"/>
                <w:sz w:val="20"/>
                <w:szCs w:val="20"/>
              </w:rPr>
              <w:t xml:space="preserve">       1,25 </w:t>
            </w:r>
          </w:p>
        </w:tc>
      </w:tr>
      <w:tr w:rsidR="00036346" w:rsidRPr="003F04BA" w14:paraId="60E4078E" w14:textId="77777777" w:rsidTr="003D2E9C">
        <w:trPr>
          <w:trHeight w:val="149"/>
          <w:jc w:val="center"/>
        </w:trPr>
        <w:tc>
          <w:tcPr>
            <w:tcW w:w="2059" w:type="dxa"/>
            <w:tcBorders>
              <w:top w:val="nil"/>
              <w:left w:val="nil"/>
              <w:bottom w:val="nil"/>
              <w:right w:val="nil"/>
            </w:tcBorders>
            <w:shd w:val="clear" w:color="000000" w:fill="FFFFFF"/>
            <w:noWrap/>
            <w:vAlign w:val="center"/>
            <w:hideMark/>
          </w:tcPr>
          <w:p w14:paraId="481EC345" w14:textId="77777777" w:rsidR="00036346" w:rsidRPr="003F04BA" w:rsidRDefault="00036346" w:rsidP="003D2E9C">
            <w:pP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hint="eastAsia"/>
                <w:color w:val="000000"/>
                <w:sz w:val="20"/>
                <w:szCs w:val="20"/>
              </w:rPr>
              <w:t xml:space="preserve">Pública no financiera   </w:t>
            </w:r>
          </w:p>
        </w:tc>
        <w:tc>
          <w:tcPr>
            <w:tcW w:w="867" w:type="dxa"/>
            <w:tcBorders>
              <w:top w:val="nil"/>
              <w:left w:val="nil"/>
              <w:bottom w:val="nil"/>
              <w:right w:val="nil"/>
            </w:tcBorders>
            <w:shd w:val="clear" w:color="000000" w:fill="FFFFFF"/>
            <w:noWrap/>
            <w:vAlign w:val="bottom"/>
            <w:hideMark/>
          </w:tcPr>
          <w:p w14:paraId="5F3613BE" w14:textId="77777777" w:rsidR="00036346" w:rsidRPr="003F04BA" w:rsidRDefault="00036346" w:rsidP="003D2E9C">
            <w:pPr>
              <w:jc w:val="cente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color w:val="000000"/>
                <w:sz w:val="20"/>
                <w:szCs w:val="20"/>
              </w:rPr>
              <w:t xml:space="preserve">     2,02 </w:t>
            </w:r>
          </w:p>
        </w:tc>
        <w:tc>
          <w:tcPr>
            <w:tcW w:w="867" w:type="dxa"/>
            <w:tcBorders>
              <w:top w:val="nil"/>
              <w:left w:val="nil"/>
              <w:bottom w:val="nil"/>
              <w:right w:val="nil"/>
            </w:tcBorders>
            <w:shd w:val="clear" w:color="000000" w:fill="FFFFFF"/>
            <w:noWrap/>
            <w:vAlign w:val="bottom"/>
            <w:hideMark/>
          </w:tcPr>
          <w:p w14:paraId="38A04C85" w14:textId="77777777" w:rsidR="00036346" w:rsidRPr="003F04BA" w:rsidRDefault="00036346" w:rsidP="003D2E9C">
            <w:pPr>
              <w:jc w:val="cente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color w:val="000000"/>
                <w:sz w:val="20"/>
                <w:szCs w:val="20"/>
              </w:rPr>
              <w:t xml:space="preserve">     4,05 </w:t>
            </w:r>
          </w:p>
        </w:tc>
        <w:tc>
          <w:tcPr>
            <w:tcW w:w="961" w:type="dxa"/>
            <w:tcBorders>
              <w:top w:val="nil"/>
              <w:left w:val="nil"/>
              <w:bottom w:val="nil"/>
              <w:right w:val="nil"/>
            </w:tcBorders>
            <w:shd w:val="clear" w:color="000000" w:fill="FFFFFF"/>
            <w:noWrap/>
            <w:vAlign w:val="bottom"/>
            <w:hideMark/>
          </w:tcPr>
          <w:p w14:paraId="78A464C0" w14:textId="77777777" w:rsidR="00036346" w:rsidRPr="003F04BA" w:rsidRDefault="00036346" w:rsidP="003D2E9C">
            <w:pPr>
              <w:jc w:val="cente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color w:val="000000"/>
                <w:sz w:val="20"/>
                <w:szCs w:val="20"/>
              </w:rPr>
              <w:t xml:space="preserve">       3,94 </w:t>
            </w:r>
          </w:p>
        </w:tc>
        <w:tc>
          <w:tcPr>
            <w:tcW w:w="961" w:type="dxa"/>
            <w:tcBorders>
              <w:top w:val="nil"/>
              <w:left w:val="nil"/>
              <w:bottom w:val="nil"/>
              <w:right w:val="nil"/>
            </w:tcBorders>
            <w:shd w:val="clear" w:color="000000" w:fill="FFFFFF"/>
            <w:noWrap/>
            <w:vAlign w:val="bottom"/>
            <w:hideMark/>
          </w:tcPr>
          <w:p w14:paraId="55BA232B" w14:textId="77777777" w:rsidR="00036346" w:rsidRPr="003F04BA" w:rsidRDefault="00036346" w:rsidP="003D2E9C">
            <w:pPr>
              <w:jc w:val="cente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color w:val="000000"/>
                <w:sz w:val="20"/>
                <w:szCs w:val="20"/>
              </w:rPr>
              <w:t xml:space="preserve">       6,51 </w:t>
            </w:r>
          </w:p>
        </w:tc>
      </w:tr>
      <w:tr w:rsidR="00036346" w:rsidRPr="003F04BA" w14:paraId="64E83045" w14:textId="77777777" w:rsidTr="003D2E9C">
        <w:trPr>
          <w:trHeight w:val="149"/>
          <w:jc w:val="center"/>
        </w:trPr>
        <w:tc>
          <w:tcPr>
            <w:tcW w:w="2059" w:type="dxa"/>
            <w:tcBorders>
              <w:top w:val="nil"/>
              <w:left w:val="nil"/>
              <w:bottom w:val="nil"/>
              <w:right w:val="nil"/>
            </w:tcBorders>
            <w:shd w:val="clear" w:color="000000" w:fill="FFFFFF"/>
            <w:noWrap/>
            <w:vAlign w:val="center"/>
            <w:hideMark/>
          </w:tcPr>
          <w:p w14:paraId="2702B1BF" w14:textId="77777777" w:rsidR="00036346" w:rsidRPr="003F04BA" w:rsidRDefault="00036346" w:rsidP="003D2E9C">
            <w:pP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hint="eastAsia"/>
                <w:color w:val="000000"/>
                <w:sz w:val="20"/>
                <w:szCs w:val="20"/>
              </w:rPr>
              <w:t xml:space="preserve">Pública financiera  </w:t>
            </w:r>
          </w:p>
        </w:tc>
        <w:tc>
          <w:tcPr>
            <w:tcW w:w="867" w:type="dxa"/>
            <w:tcBorders>
              <w:top w:val="nil"/>
              <w:left w:val="nil"/>
              <w:bottom w:val="nil"/>
              <w:right w:val="nil"/>
            </w:tcBorders>
            <w:shd w:val="clear" w:color="000000" w:fill="FFFFFF"/>
            <w:noWrap/>
            <w:vAlign w:val="bottom"/>
            <w:hideMark/>
          </w:tcPr>
          <w:p w14:paraId="2D69BA17" w14:textId="77777777" w:rsidR="00036346" w:rsidRPr="003F04BA" w:rsidRDefault="00036346" w:rsidP="003D2E9C">
            <w:pPr>
              <w:jc w:val="cente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color w:val="000000"/>
                <w:sz w:val="20"/>
                <w:szCs w:val="20"/>
              </w:rPr>
              <w:t xml:space="preserve">   17,60 </w:t>
            </w:r>
          </w:p>
        </w:tc>
        <w:tc>
          <w:tcPr>
            <w:tcW w:w="867" w:type="dxa"/>
            <w:tcBorders>
              <w:top w:val="nil"/>
              <w:left w:val="nil"/>
              <w:bottom w:val="nil"/>
              <w:right w:val="nil"/>
            </w:tcBorders>
            <w:shd w:val="clear" w:color="000000" w:fill="FFFFFF"/>
            <w:noWrap/>
            <w:vAlign w:val="bottom"/>
            <w:hideMark/>
          </w:tcPr>
          <w:p w14:paraId="4C14C5B1" w14:textId="77777777" w:rsidR="00036346" w:rsidRPr="003F04BA" w:rsidRDefault="00036346" w:rsidP="003D2E9C">
            <w:pPr>
              <w:jc w:val="cente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color w:val="000000"/>
                <w:sz w:val="20"/>
                <w:szCs w:val="20"/>
              </w:rPr>
              <w:t xml:space="preserve">     9,77 </w:t>
            </w:r>
          </w:p>
        </w:tc>
        <w:tc>
          <w:tcPr>
            <w:tcW w:w="961" w:type="dxa"/>
            <w:tcBorders>
              <w:top w:val="nil"/>
              <w:left w:val="nil"/>
              <w:bottom w:val="nil"/>
              <w:right w:val="nil"/>
            </w:tcBorders>
            <w:shd w:val="clear" w:color="000000" w:fill="FFFFFF"/>
            <w:noWrap/>
            <w:vAlign w:val="bottom"/>
            <w:hideMark/>
          </w:tcPr>
          <w:p w14:paraId="53F10020" w14:textId="77777777" w:rsidR="00036346" w:rsidRPr="003F04BA" w:rsidRDefault="00036346" w:rsidP="003D2E9C">
            <w:pPr>
              <w:jc w:val="cente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color w:val="000000"/>
                <w:sz w:val="20"/>
                <w:szCs w:val="20"/>
              </w:rPr>
              <w:t xml:space="preserve">    11,08 </w:t>
            </w:r>
          </w:p>
        </w:tc>
        <w:tc>
          <w:tcPr>
            <w:tcW w:w="961" w:type="dxa"/>
            <w:tcBorders>
              <w:top w:val="nil"/>
              <w:left w:val="nil"/>
              <w:bottom w:val="nil"/>
              <w:right w:val="nil"/>
            </w:tcBorders>
            <w:shd w:val="clear" w:color="000000" w:fill="FFFFFF"/>
            <w:noWrap/>
            <w:vAlign w:val="bottom"/>
            <w:hideMark/>
          </w:tcPr>
          <w:p w14:paraId="5F9EA9E2" w14:textId="77777777" w:rsidR="00036346" w:rsidRPr="003F04BA" w:rsidRDefault="00036346" w:rsidP="003D2E9C">
            <w:pPr>
              <w:jc w:val="cente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color w:val="000000"/>
                <w:sz w:val="20"/>
                <w:szCs w:val="20"/>
              </w:rPr>
              <w:t xml:space="preserve">     10,55 </w:t>
            </w:r>
          </w:p>
        </w:tc>
      </w:tr>
      <w:tr w:rsidR="00036346" w:rsidRPr="003F04BA" w14:paraId="3E2053A2" w14:textId="77777777" w:rsidTr="003D2E9C">
        <w:trPr>
          <w:trHeight w:val="149"/>
          <w:jc w:val="center"/>
        </w:trPr>
        <w:tc>
          <w:tcPr>
            <w:tcW w:w="2059" w:type="dxa"/>
            <w:tcBorders>
              <w:top w:val="nil"/>
              <w:left w:val="nil"/>
              <w:bottom w:val="nil"/>
              <w:right w:val="nil"/>
            </w:tcBorders>
            <w:shd w:val="clear" w:color="000000" w:fill="FFFFFF"/>
            <w:noWrap/>
            <w:vAlign w:val="center"/>
            <w:hideMark/>
          </w:tcPr>
          <w:p w14:paraId="3A90B9DB" w14:textId="77777777" w:rsidR="00036346" w:rsidRPr="003F04BA" w:rsidRDefault="00036346" w:rsidP="003D2E9C">
            <w:pP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hint="eastAsia"/>
                <w:color w:val="000000"/>
                <w:sz w:val="20"/>
                <w:szCs w:val="20"/>
              </w:rPr>
              <w:t xml:space="preserve">Gobierno y BCCR </w:t>
            </w:r>
          </w:p>
        </w:tc>
        <w:tc>
          <w:tcPr>
            <w:tcW w:w="867" w:type="dxa"/>
            <w:tcBorders>
              <w:top w:val="nil"/>
              <w:left w:val="nil"/>
              <w:bottom w:val="nil"/>
              <w:right w:val="nil"/>
            </w:tcBorders>
            <w:shd w:val="clear" w:color="000000" w:fill="FFFFFF"/>
            <w:noWrap/>
            <w:vAlign w:val="bottom"/>
            <w:hideMark/>
          </w:tcPr>
          <w:p w14:paraId="5D36EAE3" w14:textId="77777777" w:rsidR="00036346" w:rsidRPr="003F04BA" w:rsidRDefault="00036346" w:rsidP="003D2E9C">
            <w:pPr>
              <w:jc w:val="cente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color w:val="000000"/>
                <w:sz w:val="20"/>
                <w:szCs w:val="20"/>
              </w:rPr>
              <w:t xml:space="preserve">   52,21 </w:t>
            </w:r>
          </w:p>
        </w:tc>
        <w:tc>
          <w:tcPr>
            <w:tcW w:w="867" w:type="dxa"/>
            <w:tcBorders>
              <w:top w:val="nil"/>
              <w:left w:val="nil"/>
              <w:bottom w:val="nil"/>
              <w:right w:val="nil"/>
            </w:tcBorders>
            <w:shd w:val="clear" w:color="000000" w:fill="FFFFFF"/>
            <w:noWrap/>
            <w:vAlign w:val="bottom"/>
            <w:hideMark/>
          </w:tcPr>
          <w:p w14:paraId="1EDDE8A0" w14:textId="77777777" w:rsidR="00036346" w:rsidRPr="003F04BA" w:rsidRDefault="00036346" w:rsidP="003D2E9C">
            <w:pPr>
              <w:jc w:val="cente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color w:val="000000"/>
                <w:sz w:val="20"/>
                <w:szCs w:val="20"/>
              </w:rPr>
              <w:t xml:space="preserve">   64,69 </w:t>
            </w:r>
          </w:p>
        </w:tc>
        <w:tc>
          <w:tcPr>
            <w:tcW w:w="961" w:type="dxa"/>
            <w:tcBorders>
              <w:top w:val="nil"/>
              <w:left w:val="nil"/>
              <w:bottom w:val="nil"/>
              <w:right w:val="nil"/>
            </w:tcBorders>
            <w:shd w:val="clear" w:color="000000" w:fill="FFFFFF"/>
            <w:noWrap/>
            <w:vAlign w:val="bottom"/>
            <w:hideMark/>
          </w:tcPr>
          <w:p w14:paraId="4231F3A7" w14:textId="77777777" w:rsidR="00036346" w:rsidRPr="003F04BA" w:rsidRDefault="00036346" w:rsidP="003D2E9C">
            <w:pPr>
              <w:jc w:val="cente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color w:val="000000"/>
                <w:sz w:val="20"/>
                <w:szCs w:val="20"/>
              </w:rPr>
              <w:t xml:space="preserve">    62,00 </w:t>
            </w:r>
          </w:p>
        </w:tc>
        <w:tc>
          <w:tcPr>
            <w:tcW w:w="961" w:type="dxa"/>
            <w:tcBorders>
              <w:top w:val="nil"/>
              <w:left w:val="nil"/>
              <w:bottom w:val="nil"/>
              <w:right w:val="nil"/>
            </w:tcBorders>
            <w:shd w:val="clear" w:color="000000" w:fill="FFFFFF"/>
            <w:noWrap/>
            <w:vAlign w:val="bottom"/>
            <w:hideMark/>
          </w:tcPr>
          <w:p w14:paraId="115D29FC" w14:textId="77777777" w:rsidR="00036346" w:rsidRPr="003F04BA" w:rsidRDefault="00036346" w:rsidP="003D2E9C">
            <w:pPr>
              <w:jc w:val="cente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color w:val="000000"/>
                <w:sz w:val="20"/>
                <w:szCs w:val="20"/>
              </w:rPr>
              <w:t xml:space="preserve">     39,30 </w:t>
            </w:r>
          </w:p>
        </w:tc>
      </w:tr>
      <w:tr w:rsidR="00036346" w:rsidRPr="003F04BA" w14:paraId="491723BC" w14:textId="77777777" w:rsidTr="003D2E9C">
        <w:trPr>
          <w:trHeight w:val="149"/>
          <w:jc w:val="center"/>
        </w:trPr>
        <w:tc>
          <w:tcPr>
            <w:tcW w:w="2059" w:type="dxa"/>
            <w:tcBorders>
              <w:top w:val="nil"/>
              <w:left w:val="nil"/>
              <w:bottom w:val="single" w:sz="4" w:space="0" w:color="auto"/>
              <w:right w:val="nil"/>
            </w:tcBorders>
            <w:shd w:val="clear" w:color="000000" w:fill="FFFFFF"/>
            <w:noWrap/>
            <w:vAlign w:val="center"/>
            <w:hideMark/>
          </w:tcPr>
          <w:p w14:paraId="79353255" w14:textId="77777777" w:rsidR="00036346" w:rsidRPr="003F04BA" w:rsidRDefault="00036346" w:rsidP="003D2E9C">
            <w:pP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hint="eastAsia"/>
                <w:color w:val="000000"/>
                <w:sz w:val="20"/>
                <w:szCs w:val="20"/>
              </w:rPr>
              <w:t xml:space="preserve">Privado </w:t>
            </w:r>
          </w:p>
        </w:tc>
        <w:tc>
          <w:tcPr>
            <w:tcW w:w="867" w:type="dxa"/>
            <w:tcBorders>
              <w:top w:val="nil"/>
              <w:left w:val="nil"/>
              <w:bottom w:val="single" w:sz="4" w:space="0" w:color="auto"/>
              <w:right w:val="nil"/>
            </w:tcBorders>
            <w:shd w:val="clear" w:color="000000" w:fill="FFFFFF"/>
            <w:noWrap/>
            <w:vAlign w:val="bottom"/>
            <w:hideMark/>
          </w:tcPr>
          <w:p w14:paraId="08D8E7D6" w14:textId="77777777" w:rsidR="00036346" w:rsidRPr="003F04BA" w:rsidRDefault="00036346" w:rsidP="003D2E9C">
            <w:pPr>
              <w:jc w:val="cente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color w:val="000000"/>
                <w:sz w:val="20"/>
                <w:szCs w:val="20"/>
              </w:rPr>
              <w:t xml:space="preserve">   26,43 </w:t>
            </w:r>
          </w:p>
        </w:tc>
        <w:tc>
          <w:tcPr>
            <w:tcW w:w="867" w:type="dxa"/>
            <w:tcBorders>
              <w:top w:val="nil"/>
              <w:left w:val="nil"/>
              <w:bottom w:val="single" w:sz="4" w:space="0" w:color="auto"/>
              <w:right w:val="nil"/>
            </w:tcBorders>
            <w:shd w:val="clear" w:color="000000" w:fill="FFFFFF"/>
            <w:noWrap/>
            <w:vAlign w:val="bottom"/>
            <w:hideMark/>
          </w:tcPr>
          <w:p w14:paraId="0442A116" w14:textId="77777777" w:rsidR="00036346" w:rsidRPr="003F04BA" w:rsidRDefault="00036346" w:rsidP="003D2E9C">
            <w:pPr>
              <w:jc w:val="cente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color w:val="000000"/>
                <w:sz w:val="20"/>
                <w:szCs w:val="20"/>
              </w:rPr>
              <w:t xml:space="preserve">   16,36 </w:t>
            </w:r>
          </w:p>
        </w:tc>
        <w:tc>
          <w:tcPr>
            <w:tcW w:w="961" w:type="dxa"/>
            <w:tcBorders>
              <w:top w:val="nil"/>
              <w:left w:val="nil"/>
              <w:bottom w:val="single" w:sz="4" w:space="0" w:color="auto"/>
              <w:right w:val="nil"/>
            </w:tcBorders>
            <w:shd w:val="clear" w:color="000000" w:fill="FFFFFF"/>
            <w:noWrap/>
            <w:vAlign w:val="bottom"/>
            <w:hideMark/>
          </w:tcPr>
          <w:p w14:paraId="0B2A8025" w14:textId="77777777" w:rsidR="00036346" w:rsidRPr="003F04BA" w:rsidRDefault="00036346" w:rsidP="003D2E9C">
            <w:pPr>
              <w:jc w:val="cente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color w:val="000000"/>
                <w:sz w:val="20"/>
                <w:szCs w:val="20"/>
              </w:rPr>
              <w:t xml:space="preserve">    21,88 </w:t>
            </w:r>
          </w:p>
        </w:tc>
        <w:tc>
          <w:tcPr>
            <w:tcW w:w="961" w:type="dxa"/>
            <w:tcBorders>
              <w:top w:val="nil"/>
              <w:left w:val="nil"/>
              <w:bottom w:val="single" w:sz="4" w:space="0" w:color="auto"/>
              <w:right w:val="nil"/>
            </w:tcBorders>
            <w:shd w:val="clear" w:color="000000" w:fill="FFFFFF"/>
            <w:noWrap/>
            <w:vAlign w:val="bottom"/>
            <w:hideMark/>
          </w:tcPr>
          <w:p w14:paraId="7882B2ED" w14:textId="77777777" w:rsidR="00036346" w:rsidRPr="003F04BA" w:rsidRDefault="00036346" w:rsidP="003D2E9C">
            <w:pPr>
              <w:jc w:val="center"/>
              <w:rPr>
                <w:rFonts w:ascii="Arial Unicode MS" w:eastAsia="Arial Unicode MS" w:hAnsi="Arial Unicode MS" w:cs="Arial Unicode MS"/>
                <w:color w:val="000000"/>
                <w:sz w:val="20"/>
                <w:szCs w:val="20"/>
              </w:rPr>
            </w:pPr>
            <w:r w:rsidRPr="003F04BA">
              <w:rPr>
                <w:rFonts w:ascii="Arial Unicode MS" w:eastAsia="Arial Unicode MS" w:hAnsi="Arial Unicode MS" w:cs="Arial Unicode MS"/>
                <w:color w:val="000000"/>
                <w:sz w:val="20"/>
                <w:szCs w:val="20"/>
              </w:rPr>
              <w:t xml:space="preserve">     42,39 </w:t>
            </w:r>
          </w:p>
        </w:tc>
      </w:tr>
    </w:tbl>
    <w:p w14:paraId="17C2C408" w14:textId="635134B8" w:rsidR="00036346" w:rsidRPr="00BA7ADB"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Arial Unicode MS" w:hAnsiTheme="majorHAnsi" w:cs="Arial Unicode MS"/>
          <w:sz w:val="16"/>
          <w:szCs w:val="16"/>
        </w:rPr>
      </w:pPr>
      <w:r w:rsidRPr="00036346">
        <w:rPr>
          <w:rFonts w:asciiTheme="majorHAnsi" w:eastAsia="Arial Unicode MS" w:hAnsiTheme="majorHAnsi" w:cs="Arial Unicode MS"/>
          <w:color w:val="000000"/>
          <w:sz w:val="20"/>
          <w:szCs w:val="20"/>
        </w:rPr>
        <w:tab/>
      </w:r>
      <w:r w:rsidRPr="00BA7ADB">
        <w:rPr>
          <w:rFonts w:asciiTheme="majorHAnsi" w:eastAsia="Arial Unicode MS" w:hAnsiTheme="majorHAnsi" w:cs="Arial Unicode MS"/>
          <w:color w:val="000000"/>
          <w:sz w:val="16"/>
          <w:szCs w:val="16"/>
        </w:rPr>
        <w:t xml:space="preserve">             </w:t>
      </w:r>
      <w:r w:rsidR="00BA7ADB">
        <w:rPr>
          <w:rFonts w:asciiTheme="majorHAnsi" w:eastAsia="Arial Unicode MS" w:hAnsiTheme="majorHAnsi" w:cs="Arial Unicode MS"/>
          <w:color w:val="000000"/>
          <w:sz w:val="16"/>
          <w:szCs w:val="16"/>
        </w:rPr>
        <w:tab/>
      </w:r>
      <w:r w:rsidRPr="00BA7ADB">
        <w:rPr>
          <w:rFonts w:asciiTheme="majorHAnsi" w:eastAsia="Arial Unicode MS" w:hAnsiTheme="majorHAnsi" w:cs="Arial Unicode MS"/>
          <w:color w:val="000000"/>
          <w:sz w:val="16"/>
          <w:szCs w:val="16"/>
        </w:rPr>
        <w:t>Fuente: Elaboración propia con datos suministrados por entidades</w:t>
      </w:r>
    </w:p>
    <w:p w14:paraId="25E72D7E" w14:textId="77777777" w:rsidR="00036346"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sz w:val="16"/>
          <w:szCs w:val="16"/>
        </w:rPr>
      </w:pPr>
    </w:p>
    <w:p w14:paraId="3D605375" w14:textId="77777777" w:rsidR="00BA7ADB" w:rsidRPr="00BA7ADB" w:rsidRDefault="00BA7ADB"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sz w:val="16"/>
          <w:szCs w:val="16"/>
        </w:rPr>
      </w:pPr>
    </w:p>
    <w:p w14:paraId="30C8F24C" w14:textId="0C8E0108" w:rsidR="00036346" w:rsidRPr="00036346"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s="Courier New"/>
          <w:sz w:val="22"/>
          <w:szCs w:val="22"/>
        </w:rPr>
      </w:pPr>
      <w:r w:rsidRPr="00036346">
        <w:rPr>
          <w:rFonts w:asciiTheme="majorHAnsi" w:hAnsiTheme="majorHAnsi" w:cs="Courier New"/>
          <w:color w:val="000000"/>
          <w:sz w:val="22"/>
          <w:szCs w:val="22"/>
        </w:rPr>
        <w:t xml:space="preserve">A nivel de producto, concentrando los detalles particulares en el ROP y el FCL, en el </w:t>
      </w:r>
      <w:r w:rsidR="00675AB9" w:rsidRPr="00675AB9">
        <w:rPr>
          <w:rFonts w:asciiTheme="majorHAnsi" w:hAnsiTheme="majorHAnsi" w:cs="Courier New"/>
          <w:color w:val="000000"/>
          <w:sz w:val="22"/>
          <w:szCs w:val="22"/>
        </w:rPr>
        <w:t>Cuadro 3</w:t>
      </w:r>
      <w:r w:rsidRPr="00675AB9">
        <w:rPr>
          <w:rFonts w:asciiTheme="majorHAnsi" w:hAnsiTheme="majorHAnsi" w:cs="Courier New"/>
          <w:color w:val="000000"/>
          <w:sz w:val="22"/>
          <w:szCs w:val="22"/>
        </w:rPr>
        <w:t xml:space="preserve"> </w:t>
      </w:r>
      <w:r w:rsidRPr="00036346">
        <w:rPr>
          <w:rFonts w:asciiTheme="majorHAnsi" w:hAnsiTheme="majorHAnsi" w:cs="Courier New"/>
          <w:color w:val="000000"/>
          <w:sz w:val="22"/>
          <w:szCs w:val="22"/>
        </w:rPr>
        <w:t xml:space="preserve">se muestran las rentabilidades nominales y comisiones particulares ofrecidas por los gestores. </w:t>
      </w:r>
    </w:p>
    <w:p w14:paraId="280417F1" w14:textId="77777777" w:rsidR="00036346" w:rsidRPr="00036346"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s="Courier New"/>
          <w:sz w:val="22"/>
          <w:szCs w:val="22"/>
        </w:rPr>
      </w:pPr>
    </w:p>
    <w:p w14:paraId="40173338" w14:textId="77777777" w:rsidR="00036346" w:rsidRPr="00036346"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olor w:val="000000"/>
          <w:sz w:val="22"/>
          <w:szCs w:val="22"/>
        </w:rPr>
      </w:pPr>
      <w:r w:rsidRPr="00036346">
        <w:rPr>
          <w:rFonts w:asciiTheme="majorHAnsi" w:hAnsiTheme="majorHAnsi"/>
          <w:color w:val="000000"/>
          <w:sz w:val="22"/>
          <w:szCs w:val="22"/>
        </w:rPr>
        <w:lastRenderedPageBreak/>
        <w:t>En virtud de los plazos de las inversiones y las condiciones que imperan en los mercados financieros las rentabilidades anuales están por debajo de las históricas. A nivel histórico en promedio, tanto el ROP como el FCL rentan aproximadamente un 13% nominal.</w:t>
      </w:r>
    </w:p>
    <w:p w14:paraId="5514CDCC" w14:textId="77777777" w:rsidR="00036346" w:rsidRPr="006758EB"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b/>
          <w:bCs/>
          <w:color w:val="0000CC"/>
        </w:rPr>
      </w:pPr>
    </w:p>
    <w:p w14:paraId="1A27FEE0" w14:textId="77777777" w:rsidR="00036346" w:rsidRDefault="00036346" w:rsidP="00FF25E3">
      <w:pPr>
        <w:pStyle w:val="Descripcin"/>
        <w:spacing w:before="0" w:after="0"/>
        <w:jc w:val="center"/>
        <w:rPr>
          <w:sz w:val="22"/>
          <w:szCs w:val="22"/>
        </w:rPr>
      </w:pPr>
      <w:bookmarkStart w:id="16" w:name="_Toc426449337"/>
      <w:r w:rsidRPr="0013662A">
        <w:rPr>
          <w:sz w:val="22"/>
          <w:szCs w:val="22"/>
        </w:rPr>
        <w:t xml:space="preserve">Cuadro </w:t>
      </w:r>
      <w:r w:rsidRPr="0013662A">
        <w:rPr>
          <w:sz w:val="22"/>
          <w:szCs w:val="22"/>
        </w:rPr>
        <w:fldChar w:fldCharType="begin"/>
      </w:r>
      <w:r w:rsidRPr="0013662A">
        <w:rPr>
          <w:sz w:val="22"/>
          <w:szCs w:val="22"/>
        </w:rPr>
        <w:instrText xml:space="preserve"> SEQ Cuadro \* ARABIC </w:instrText>
      </w:r>
      <w:r w:rsidRPr="0013662A">
        <w:rPr>
          <w:sz w:val="22"/>
          <w:szCs w:val="22"/>
        </w:rPr>
        <w:fldChar w:fldCharType="separate"/>
      </w:r>
      <w:r w:rsidR="00D81356">
        <w:rPr>
          <w:noProof/>
          <w:sz w:val="22"/>
          <w:szCs w:val="22"/>
        </w:rPr>
        <w:t>3</w:t>
      </w:r>
      <w:r w:rsidRPr="0013662A">
        <w:rPr>
          <w:sz w:val="22"/>
          <w:szCs w:val="22"/>
        </w:rPr>
        <w:fldChar w:fldCharType="end"/>
      </w:r>
      <w:r w:rsidRPr="0013662A">
        <w:rPr>
          <w:sz w:val="22"/>
          <w:szCs w:val="22"/>
        </w:rPr>
        <w:t>: Rentabilidad y Comisiones. Fondos Obligatorios</w:t>
      </w:r>
      <w:bookmarkEnd w:id="16"/>
    </w:p>
    <w:p w14:paraId="0B69A335" w14:textId="77777777" w:rsidR="00036346" w:rsidRPr="00FF25E3" w:rsidRDefault="00036346" w:rsidP="00FF25E3">
      <w:pPr>
        <w:pStyle w:val="Descripcin"/>
        <w:spacing w:before="0" w:after="0"/>
        <w:jc w:val="center"/>
        <w:rPr>
          <w:rFonts w:asciiTheme="minorHAnsi" w:hAnsiTheme="minorHAnsi"/>
          <w:sz w:val="22"/>
          <w:szCs w:val="22"/>
        </w:rPr>
      </w:pPr>
      <w:r w:rsidRPr="00FF25E3">
        <w:rPr>
          <w:rFonts w:asciiTheme="minorHAnsi" w:hAnsiTheme="minorHAnsi"/>
          <w:sz w:val="22"/>
          <w:szCs w:val="22"/>
        </w:rPr>
        <w:t>30 de junio 2015</w:t>
      </w:r>
    </w:p>
    <w:tbl>
      <w:tblPr>
        <w:tblW w:w="7371" w:type="dxa"/>
        <w:tblInd w:w="993" w:type="dxa"/>
        <w:tblCellMar>
          <w:left w:w="70" w:type="dxa"/>
          <w:right w:w="70" w:type="dxa"/>
        </w:tblCellMar>
        <w:tblLook w:val="04A0" w:firstRow="1" w:lastRow="0" w:firstColumn="1" w:lastColumn="0" w:noHBand="0" w:noVBand="1"/>
      </w:tblPr>
      <w:tblGrid>
        <w:gridCol w:w="1647"/>
        <w:gridCol w:w="1046"/>
        <w:gridCol w:w="948"/>
        <w:gridCol w:w="919"/>
        <w:gridCol w:w="975"/>
        <w:gridCol w:w="1026"/>
        <w:gridCol w:w="884"/>
      </w:tblGrid>
      <w:tr w:rsidR="00036346" w:rsidRPr="00FF25E3" w14:paraId="0AD38B58" w14:textId="77777777" w:rsidTr="00AC50CB">
        <w:trPr>
          <w:trHeight w:val="168"/>
        </w:trPr>
        <w:tc>
          <w:tcPr>
            <w:tcW w:w="1647" w:type="dxa"/>
            <w:tcBorders>
              <w:top w:val="single" w:sz="4" w:space="0" w:color="auto"/>
              <w:left w:val="single" w:sz="4" w:space="0" w:color="auto"/>
              <w:bottom w:val="nil"/>
              <w:right w:val="nil"/>
            </w:tcBorders>
            <w:shd w:val="clear" w:color="auto" w:fill="DBE5F1" w:themeFill="accent1" w:themeFillTint="33"/>
            <w:noWrap/>
            <w:vAlign w:val="center"/>
            <w:hideMark/>
          </w:tcPr>
          <w:p w14:paraId="6EA6D4D5" w14:textId="501312A6" w:rsidR="00036346" w:rsidRPr="00FF25E3" w:rsidRDefault="00036346" w:rsidP="003D2E9C">
            <w:pPr>
              <w:rPr>
                <w:rFonts w:asciiTheme="minorHAnsi" w:eastAsia="Arial Unicode MS" w:hAnsiTheme="minorHAnsi" w:cs="Arial Unicode MS"/>
                <w:b/>
                <w:bCs/>
                <w:color w:val="000000"/>
                <w:sz w:val="20"/>
                <w:szCs w:val="20"/>
              </w:rPr>
            </w:pPr>
          </w:p>
        </w:tc>
        <w:tc>
          <w:tcPr>
            <w:tcW w:w="2913"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113FF282" w14:textId="77777777" w:rsidR="00036346" w:rsidRPr="00FF25E3" w:rsidRDefault="00036346" w:rsidP="003D2E9C">
            <w:pPr>
              <w:jc w:val="center"/>
              <w:rPr>
                <w:rFonts w:asciiTheme="minorHAnsi" w:eastAsia="Arial Unicode MS" w:hAnsiTheme="minorHAnsi" w:cs="Arial Unicode MS"/>
                <w:b/>
                <w:bCs/>
                <w:color w:val="000000"/>
                <w:sz w:val="20"/>
                <w:szCs w:val="20"/>
              </w:rPr>
            </w:pPr>
            <w:r w:rsidRPr="00FF25E3">
              <w:rPr>
                <w:rFonts w:asciiTheme="minorHAnsi" w:eastAsia="Arial Unicode MS" w:hAnsiTheme="minorHAnsi" w:cs="Arial Unicode MS"/>
                <w:b/>
                <w:bCs/>
                <w:color w:val="000000"/>
                <w:sz w:val="20"/>
                <w:szCs w:val="20"/>
              </w:rPr>
              <w:t>ROP</w:t>
            </w:r>
          </w:p>
        </w:tc>
        <w:tc>
          <w:tcPr>
            <w:tcW w:w="2811" w:type="dxa"/>
            <w:gridSpan w:val="3"/>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5D4713E8" w14:textId="77777777" w:rsidR="00036346" w:rsidRPr="00FF25E3" w:rsidRDefault="00036346" w:rsidP="003D2E9C">
            <w:pPr>
              <w:jc w:val="center"/>
              <w:rPr>
                <w:rFonts w:asciiTheme="minorHAnsi" w:eastAsia="Arial Unicode MS" w:hAnsiTheme="minorHAnsi" w:cs="Arial Unicode MS"/>
                <w:b/>
                <w:bCs/>
                <w:color w:val="000000"/>
                <w:sz w:val="20"/>
                <w:szCs w:val="20"/>
              </w:rPr>
            </w:pPr>
            <w:r w:rsidRPr="00FF25E3">
              <w:rPr>
                <w:rFonts w:asciiTheme="minorHAnsi" w:eastAsia="Arial Unicode MS" w:hAnsiTheme="minorHAnsi" w:cs="Arial Unicode MS"/>
                <w:b/>
                <w:bCs/>
                <w:color w:val="000000"/>
                <w:sz w:val="20"/>
                <w:szCs w:val="20"/>
              </w:rPr>
              <w:t>FCL</w:t>
            </w:r>
          </w:p>
        </w:tc>
      </w:tr>
      <w:tr w:rsidR="00036346" w:rsidRPr="00FF25E3" w14:paraId="5B798517" w14:textId="77777777" w:rsidTr="00AC50CB">
        <w:trPr>
          <w:trHeight w:val="168"/>
        </w:trPr>
        <w:tc>
          <w:tcPr>
            <w:tcW w:w="1647" w:type="dxa"/>
            <w:tcBorders>
              <w:top w:val="nil"/>
              <w:left w:val="single" w:sz="4" w:space="0" w:color="auto"/>
              <w:bottom w:val="nil"/>
              <w:right w:val="nil"/>
            </w:tcBorders>
            <w:shd w:val="clear" w:color="auto" w:fill="DBE5F1" w:themeFill="accent1" w:themeFillTint="33"/>
            <w:noWrap/>
            <w:vAlign w:val="center"/>
            <w:hideMark/>
          </w:tcPr>
          <w:p w14:paraId="70955D32" w14:textId="36AA56CE" w:rsidR="00036346" w:rsidRPr="00FF25E3" w:rsidRDefault="00FF25E3" w:rsidP="00FF25E3">
            <w:pPr>
              <w:jc w:val="center"/>
              <w:rPr>
                <w:rFonts w:asciiTheme="minorHAnsi" w:eastAsia="Arial Unicode MS" w:hAnsiTheme="minorHAnsi" w:cs="Arial Unicode MS"/>
                <w:b/>
                <w:bCs/>
                <w:color w:val="000000"/>
                <w:sz w:val="20"/>
                <w:szCs w:val="20"/>
              </w:rPr>
            </w:pPr>
            <w:r>
              <w:rPr>
                <w:rFonts w:asciiTheme="minorHAnsi" w:eastAsia="Arial Unicode MS" w:hAnsiTheme="minorHAnsi" w:cs="Arial Unicode MS"/>
                <w:b/>
                <w:bCs/>
                <w:color w:val="000000"/>
                <w:sz w:val="20"/>
                <w:szCs w:val="20"/>
              </w:rPr>
              <w:t>OPC</w:t>
            </w:r>
          </w:p>
        </w:tc>
        <w:tc>
          <w:tcPr>
            <w:tcW w:w="1046" w:type="dxa"/>
            <w:tcBorders>
              <w:top w:val="single" w:sz="4" w:space="0" w:color="auto"/>
              <w:left w:val="single" w:sz="4" w:space="0" w:color="auto"/>
              <w:bottom w:val="nil"/>
              <w:right w:val="nil"/>
            </w:tcBorders>
            <w:shd w:val="clear" w:color="auto" w:fill="DBE5F1" w:themeFill="accent1" w:themeFillTint="33"/>
            <w:noWrap/>
            <w:vAlign w:val="bottom"/>
            <w:hideMark/>
          </w:tcPr>
          <w:p w14:paraId="2D254A24" w14:textId="77777777" w:rsidR="00036346" w:rsidRPr="00FF25E3" w:rsidRDefault="00036346" w:rsidP="003D2E9C">
            <w:pPr>
              <w:jc w:val="center"/>
              <w:rPr>
                <w:rFonts w:asciiTheme="minorHAnsi" w:eastAsia="Arial Unicode MS" w:hAnsiTheme="minorHAnsi" w:cs="Arial Unicode MS"/>
                <w:b/>
                <w:bCs/>
                <w:color w:val="000000"/>
                <w:sz w:val="20"/>
                <w:szCs w:val="20"/>
              </w:rPr>
            </w:pPr>
            <w:r w:rsidRPr="00FF25E3">
              <w:rPr>
                <w:rFonts w:asciiTheme="minorHAnsi" w:eastAsia="Arial Unicode MS" w:hAnsiTheme="minorHAnsi" w:cs="Arial Unicode MS"/>
                <w:b/>
                <w:bCs/>
                <w:color w:val="000000"/>
                <w:sz w:val="20"/>
                <w:szCs w:val="20"/>
              </w:rPr>
              <w:t>Comisión</w:t>
            </w:r>
          </w:p>
        </w:tc>
        <w:tc>
          <w:tcPr>
            <w:tcW w:w="1867" w:type="dxa"/>
            <w:gridSpan w:val="2"/>
            <w:tcBorders>
              <w:top w:val="single" w:sz="4" w:space="0" w:color="auto"/>
              <w:left w:val="nil"/>
              <w:bottom w:val="nil"/>
              <w:right w:val="single" w:sz="4" w:space="0" w:color="000000"/>
            </w:tcBorders>
            <w:shd w:val="clear" w:color="auto" w:fill="DBE5F1" w:themeFill="accent1" w:themeFillTint="33"/>
            <w:noWrap/>
            <w:vAlign w:val="bottom"/>
            <w:hideMark/>
          </w:tcPr>
          <w:p w14:paraId="0A9A0E0A" w14:textId="77777777" w:rsidR="00036346" w:rsidRPr="00FF25E3" w:rsidRDefault="00036346" w:rsidP="003D2E9C">
            <w:pPr>
              <w:jc w:val="center"/>
              <w:rPr>
                <w:rFonts w:asciiTheme="minorHAnsi" w:eastAsia="Arial Unicode MS" w:hAnsiTheme="minorHAnsi" w:cs="Arial Unicode MS"/>
                <w:b/>
                <w:bCs/>
                <w:color w:val="000000"/>
                <w:sz w:val="20"/>
                <w:szCs w:val="20"/>
              </w:rPr>
            </w:pPr>
            <w:r w:rsidRPr="00FF25E3">
              <w:rPr>
                <w:rFonts w:asciiTheme="minorHAnsi" w:eastAsia="Arial Unicode MS" w:hAnsiTheme="minorHAnsi" w:cs="Arial Unicode MS"/>
                <w:b/>
                <w:bCs/>
                <w:color w:val="000000"/>
                <w:sz w:val="20"/>
                <w:szCs w:val="20"/>
              </w:rPr>
              <w:t xml:space="preserve">  Rendimientos</w:t>
            </w:r>
          </w:p>
        </w:tc>
        <w:tc>
          <w:tcPr>
            <w:tcW w:w="975" w:type="dxa"/>
            <w:tcBorders>
              <w:top w:val="single" w:sz="4" w:space="0" w:color="auto"/>
              <w:left w:val="nil"/>
              <w:bottom w:val="nil"/>
              <w:right w:val="nil"/>
            </w:tcBorders>
            <w:shd w:val="clear" w:color="auto" w:fill="DBE5F1" w:themeFill="accent1" w:themeFillTint="33"/>
            <w:noWrap/>
            <w:vAlign w:val="bottom"/>
            <w:hideMark/>
          </w:tcPr>
          <w:p w14:paraId="531949A2" w14:textId="77777777" w:rsidR="00036346" w:rsidRPr="00FF25E3" w:rsidRDefault="00036346" w:rsidP="003D2E9C">
            <w:pPr>
              <w:jc w:val="center"/>
              <w:rPr>
                <w:rFonts w:asciiTheme="minorHAnsi" w:eastAsia="Arial Unicode MS" w:hAnsiTheme="minorHAnsi" w:cs="Arial Unicode MS"/>
                <w:b/>
                <w:bCs/>
                <w:color w:val="000000"/>
                <w:sz w:val="20"/>
                <w:szCs w:val="20"/>
              </w:rPr>
            </w:pPr>
            <w:r w:rsidRPr="00FF25E3">
              <w:rPr>
                <w:rFonts w:asciiTheme="minorHAnsi" w:eastAsia="Arial Unicode MS" w:hAnsiTheme="minorHAnsi" w:cs="Arial Unicode MS"/>
                <w:b/>
                <w:bCs/>
                <w:color w:val="000000"/>
                <w:sz w:val="20"/>
                <w:szCs w:val="20"/>
              </w:rPr>
              <w:t>Comisión</w:t>
            </w:r>
          </w:p>
        </w:tc>
        <w:tc>
          <w:tcPr>
            <w:tcW w:w="1836" w:type="dxa"/>
            <w:gridSpan w:val="2"/>
            <w:tcBorders>
              <w:top w:val="single" w:sz="4" w:space="0" w:color="auto"/>
              <w:left w:val="nil"/>
              <w:bottom w:val="nil"/>
              <w:right w:val="single" w:sz="4" w:space="0" w:color="auto"/>
            </w:tcBorders>
            <w:shd w:val="clear" w:color="auto" w:fill="DBE5F1" w:themeFill="accent1" w:themeFillTint="33"/>
            <w:noWrap/>
            <w:vAlign w:val="bottom"/>
            <w:hideMark/>
          </w:tcPr>
          <w:p w14:paraId="0C2AA7F1" w14:textId="77777777" w:rsidR="00036346" w:rsidRPr="00FF25E3" w:rsidRDefault="00036346" w:rsidP="003D2E9C">
            <w:pPr>
              <w:jc w:val="center"/>
              <w:rPr>
                <w:rFonts w:asciiTheme="minorHAnsi" w:eastAsia="Arial Unicode MS" w:hAnsiTheme="minorHAnsi" w:cs="Arial Unicode MS"/>
                <w:b/>
                <w:bCs/>
                <w:color w:val="000000"/>
                <w:sz w:val="20"/>
                <w:szCs w:val="20"/>
              </w:rPr>
            </w:pPr>
            <w:r w:rsidRPr="00FF25E3">
              <w:rPr>
                <w:rFonts w:asciiTheme="minorHAnsi" w:eastAsia="Arial Unicode MS" w:hAnsiTheme="minorHAnsi" w:cs="Arial Unicode MS"/>
                <w:b/>
                <w:bCs/>
                <w:color w:val="000000"/>
                <w:sz w:val="20"/>
                <w:szCs w:val="20"/>
              </w:rPr>
              <w:t xml:space="preserve">  Rendimientos</w:t>
            </w:r>
          </w:p>
        </w:tc>
      </w:tr>
      <w:tr w:rsidR="00036346" w:rsidRPr="00FF25E3" w14:paraId="5FB5B467" w14:textId="77777777" w:rsidTr="00AC50CB">
        <w:trPr>
          <w:trHeight w:val="168"/>
        </w:trPr>
        <w:tc>
          <w:tcPr>
            <w:tcW w:w="1647" w:type="dxa"/>
            <w:tcBorders>
              <w:top w:val="nil"/>
              <w:left w:val="single" w:sz="4" w:space="0" w:color="auto"/>
              <w:bottom w:val="single" w:sz="4" w:space="0" w:color="auto"/>
              <w:right w:val="nil"/>
            </w:tcBorders>
            <w:shd w:val="clear" w:color="auto" w:fill="DBE5F1" w:themeFill="accent1" w:themeFillTint="33"/>
            <w:noWrap/>
            <w:vAlign w:val="center"/>
            <w:hideMark/>
          </w:tcPr>
          <w:p w14:paraId="5FF3BA91" w14:textId="5D98FC81" w:rsidR="00036346" w:rsidRPr="00FF25E3" w:rsidRDefault="00FF25E3" w:rsidP="003D2E9C">
            <w:pPr>
              <w:rPr>
                <w:rFonts w:asciiTheme="minorHAnsi" w:eastAsia="Arial Unicode MS" w:hAnsiTheme="minorHAnsi" w:cs="Arial Unicode MS"/>
                <w:b/>
                <w:bCs/>
                <w:color w:val="000000"/>
                <w:sz w:val="20"/>
                <w:szCs w:val="20"/>
              </w:rPr>
            </w:pPr>
            <w:r>
              <w:rPr>
                <w:rFonts w:asciiTheme="minorHAnsi" w:eastAsia="Arial Unicode MS" w:hAnsiTheme="minorHAnsi" w:cs="Arial Unicode MS"/>
                <w:b/>
                <w:bCs/>
                <w:color w:val="000000"/>
                <w:sz w:val="20"/>
                <w:szCs w:val="20"/>
              </w:rPr>
              <w:t xml:space="preserve"> </w:t>
            </w:r>
          </w:p>
        </w:tc>
        <w:tc>
          <w:tcPr>
            <w:tcW w:w="1046" w:type="dxa"/>
            <w:tcBorders>
              <w:top w:val="nil"/>
              <w:left w:val="single" w:sz="4" w:space="0" w:color="auto"/>
              <w:bottom w:val="single" w:sz="4" w:space="0" w:color="auto"/>
              <w:right w:val="nil"/>
            </w:tcBorders>
            <w:shd w:val="clear" w:color="auto" w:fill="DBE5F1" w:themeFill="accent1" w:themeFillTint="33"/>
            <w:noWrap/>
            <w:vAlign w:val="bottom"/>
            <w:hideMark/>
          </w:tcPr>
          <w:p w14:paraId="24492624" w14:textId="77777777" w:rsidR="00036346" w:rsidRPr="00FF25E3" w:rsidRDefault="00036346" w:rsidP="003D2E9C">
            <w:pPr>
              <w:jc w:val="center"/>
              <w:rPr>
                <w:rFonts w:asciiTheme="minorHAnsi" w:eastAsia="Arial Unicode MS" w:hAnsiTheme="minorHAnsi" w:cs="Arial Unicode MS"/>
                <w:b/>
                <w:bCs/>
                <w:color w:val="000000"/>
                <w:sz w:val="20"/>
                <w:szCs w:val="20"/>
              </w:rPr>
            </w:pPr>
          </w:p>
        </w:tc>
        <w:tc>
          <w:tcPr>
            <w:tcW w:w="948" w:type="dxa"/>
            <w:tcBorders>
              <w:top w:val="nil"/>
              <w:left w:val="nil"/>
              <w:bottom w:val="single" w:sz="4" w:space="0" w:color="auto"/>
              <w:right w:val="nil"/>
            </w:tcBorders>
            <w:shd w:val="clear" w:color="auto" w:fill="DBE5F1" w:themeFill="accent1" w:themeFillTint="33"/>
            <w:noWrap/>
            <w:vAlign w:val="bottom"/>
            <w:hideMark/>
          </w:tcPr>
          <w:p w14:paraId="25490846" w14:textId="77777777" w:rsidR="00036346" w:rsidRPr="00FF25E3" w:rsidRDefault="00036346" w:rsidP="003D2E9C">
            <w:pPr>
              <w:jc w:val="center"/>
              <w:rPr>
                <w:rFonts w:asciiTheme="minorHAnsi" w:eastAsia="Arial Unicode MS" w:hAnsiTheme="minorHAnsi" w:cs="Arial Unicode MS"/>
                <w:b/>
                <w:bCs/>
                <w:color w:val="000000"/>
                <w:sz w:val="20"/>
                <w:szCs w:val="20"/>
              </w:rPr>
            </w:pPr>
            <w:r w:rsidRPr="00FF25E3">
              <w:rPr>
                <w:rFonts w:asciiTheme="minorHAnsi" w:eastAsia="Arial Unicode MS" w:hAnsiTheme="minorHAnsi" w:cs="Arial Unicode MS"/>
                <w:b/>
                <w:bCs/>
                <w:color w:val="000000"/>
                <w:sz w:val="20"/>
                <w:szCs w:val="20"/>
              </w:rPr>
              <w:t>Anual</w:t>
            </w:r>
          </w:p>
        </w:tc>
        <w:tc>
          <w:tcPr>
            <w:tcW w:w="919" w:type="dxa"/>
            <w:tcBorders>
              <w:top w:val="nil"/>
              <w:left w:val="nil"/>
              <w:bottom w:val="single" w:sz="4" w:space="0" w:color="auto"/>
              <w:right w:val="single" w:sz="4" w:space="0" w:color="auto"/>
            </w:tcBorders>
            <w:shd w:val="clear" w:color="auto" w:fill="DBE5F1" w:themeFill="accent1" w:themeFillTint="33"/>
            <w:noWrap/>
            <w:vAlign w:val="bottom"/>
            <w:hideMark/>
          </w:tcPr>
          <w:p w14:paraId="7DCF2D0F" w14:textId="77777777" w:rsidR="00036346" w:rsidRPr="00FF25E3" w:rsidRDefault="00036346" w:rsidP="003D2E9C">
            <w:pPr>
              <w:jc w:val="center"/>
              <w:rPr>
                <w:rFonts w:asciiTheme="minorHAnsi" w:eastAsia="Arial Unicode MS" w:hAnsiTheme="minorHAnsi" w:cs="Arial Unicode MS"/>
                <w:b/>
                <w:bCs/>
                <w:color w:val="000000"/>
                <w:sz w:val="20"/>
                <w:szCs w:val="20"/>
              </w:rPr>
            </w:pPr>
            <w:r w:rsidRPr="00FF25E3">
              <w:rPr>
                <w:rFonts w:asciiTheme="minorHAnsi" w:eastAsia="Arial Unicode MS" w:hAnsiTheme="minorHAnsi" w:cs="Arial Unicode MS"/>
                <w:b/>
                <w:bCs/>
                <w:color w:val="000000"/>
                <w:sz w:val="20"/>
                <w:szCs w:val="20"/>
              </w:rPr>
              <w:t>Histórico</w:t>
            </w:r>
          </w:p>
        </w:tc>
        <w:tc>
          <w:tcPr>
            <w:tcW w:w="975" w:type="dxa"/>
            <w:tcBorders>
              <w:top w:val="nil"/>
              <w:left w:val="nil"/>
              <w:bottom w:val="single" w:sz="4" w:space="0" w:color="auto"/>
              <w:right w:val="nil"/>
            </w:tcBorders>
            <w:shd w:val="clear" w:color="auto" w:fill="DBE5F1" w:themeFill="accent1" w:themeFillTint="33"/>
            <w:noWrap/>
            <w:vAlign w:val="bottom"/>
            <w:hideMark/>
          </w:tcPr>
          <w:p w14:paraId="10008B2B" w14:textId="77777777" w:rsidR="00036346" w:rsidRPr="00FF25E3" w:rsidRDefault="00036346" w:rsidP="003D2E9C">
            <w:pPr>
              <w:jc w:val="center"/>
              <w:rPr>
                <w:rFonts w:asciiTheme="minorHAnsi" w:eastAsia="Arial Unicode MS" w:hAnsiTheme="minorHAnsi" w:cs="Arial Unicode MS"/>
                <w:b/>
                <w:bCs/>
                <w:color w:val="000000"/>
                <w:sz w:val="20"/>
                <w:szCs w:val="20"/>
              </w:rPr>
            </w:pPr>
          </w:p>
        </w:tc>
        <w:tc>
          <w:tcPr>
            <w:tcW w:w="1026" w:type="dxa"/>
            <w:tcBorders>
              <w:top w:val="nil"/>
              <w:left w:val="nil"/>
              <w:bottom w:val="single" w:sz="4" w:space="0" w:color="auto"/>
              <w:right w:val="nil"/>
            </w:tcBorders>
            <w:shd w:val="clear" w:color="auto" w:fill="DBE5F1" w:themeFill="accent1" w:themeFillTint="33"/>
            <w:noWrap/>
            <w:vAlign w:val="bottom"/>
            <w:hideMark/>
          </w:tcPr>
          <w:p w14:paraId="7FE7A7B1" w14:textId="77777777" w:rsidR="00036346" w:rsidRPr="00FF25E3" w:rsidRDefault="00036346" w:rsidP="003D2E9C">
            <w:pPr>
              <w:jc w:val="center"/>
              <w:rPr>
                <w:rFonts w:asciiTheme="minorHAnsi" w:eastAsia="Arial Unicode MS" w:hAnsiTheme="minorHAnsi" w:cs="Arial Unicode MS"/>
                <w:b/>
                <w:bCs/>
                <w:color w:val="000000"/>
                <w:sz w:val="20"/>
                <w:szCs w:val="20"/>
              </w:rPr>
            </w:pPr>
            <w:r w:rsidRPr="00FF25E3">
              <w:rPr>
                <w:rFonts w:asciiTheme="minorHAnsi" w:eastAsia="Arial Unicode MS" w:hAnsiTheme="minorHAnsi" w:cs="Arial Unicode MS"/>
                <w:b/>
                <w:bCs/>
                <w:color w:val="000000"/>
                <w:sz w:val="20"/>
                <w:szCs w:val="20"/>
              </w:rPr>
              <w:t>Anual</w:t>
            </w:r>
          </w:p>
        </w:tc>
        <w:tc>
          <w:tcPr>
            <w:tcW w:w="810" w:type="dxa"/>
            <w:tcBorders>
              <w:top w:val="nil"/>
              <w:left w:val="nil"/>
              <w:bottom w:val="single" w:sz="4" w:space="0" w:color="auto"/>
              <w:right w:val="single" w:sz="4" w:space="0" w:color="auto"/>
            </w:tcBorders>
            <w:shd w:val="clear" w:color="auto" w:fill="DBE5F1" w:themeFill="accent1" w:themeFillTint="33"/>
            <w:noWrap/>
            <w:vAlign w:val="bottom"/>
            <w:hideMark/>
          </w:tcPr>
          <w:p w14:paraId="75191E8B" w14:textId="77777777" w:rsidR="00036346" w:rsidRPr="00FF25E3" w:rsidRDefault="00036346" w:rsidP="003D2E9C">
            <w:pPr>
              <w:jc w:val="center"/>
              <w:rPr>
                <w:rFonts w:asciiTheme="minorHAnsi" w:eastAsia="Arial Unicode MS" w:hAnsiTheme="minorHAnsi" w:cs="Arial Unicode MS"/>
                <w:b/>
                <w:bCs/>
                <w:color w:val="000000"/>
                <w:sz w:val="20"/>
                <w:szCs w:val="20"/>
              </w:rPr>
            </w:pPr>
            <w:r w:rsidRPr="00FF25E3">
              <w:rPr>
                <w:rFonts w:asciiTheme="minorHAnsi" w:eastAsia="Arial Unicode MS" w:hAnsiTheme="minorHAnsi" w:cs="Arial Unicode MS"/>
                <w:b/>
                <w:bCs/>
                <w:color w:val="000000"/>
                <w:sz w:val="20"/>
                <w:szCs w:val="20"/>
              </w:rPr>
              <w:t>Histórico</w:t>
            </w:r>
          </w:p>
        </w:tc>
      </w:tr>
      <w:tr w:rsidR="00036346" w:rsidRPr="00FF25E3" w14:paraId="56AB7CE7" w14:textId="77777777" w:rsidTr="003D2E9C">
        <w:trPr>
          <w:trHeight w:val="168"/>
        </w:trPr>
        <w:tc>
          <w:tcPr>
            <w:tcW w:w="1647" w:type="dxa"/>
            <w:tcBorders>
              <w:top w:val="nil"/>
              <w:left w:val="nil"/>
              <w:bottom w:val="nil"/>
              <w:right w:val="nil"/>
            </w:tcBorders>
            <w:shd w:val="clear" w:color="000000" w:fill="FFFFFF"/>
            <w:noWrap/>
            <w:vAlign w:val="center"/>
            <w:hideMark/>
          </w:tcPr>
          <w:p w14:paraId="58D6C1A3" w14:textId="7B8532EF" w:rsidR="00036346" w:rsidRPr="00FF25E3" w:rsidRDefault="00FF25E3" w:rsidP="00FF25E3">
            <w:pPr>
              <w:rPr>
                <w:rFonts w:asciiTheme="minorHAnsi" w:eastAsia="Arial Unicode MS" w:hAnsiTheme="minorHAnsi" w:cs="Arial Unicode MS"/>
                <w:color w:val="000000"/>
                <w:sz w:val="20"/>
                <w:szCs w:val="20"/>
              </w:rPr>
            </w:pPr>
            <w:r>
              <w:rPr>
                <w:rFonts w:asciiTheme="minorHAnsi" w:eastAsia="Arial Unicode MS" w:hAnsiTheme="minorHAnsi" w:cs="Arial Unicode MS"/>
                <w:color w:val="000000"/>
                <w:sz w:val="20"/>
                <w:szCs w:val="20"/>
              </w:rPr>
              <w:t xml:space="preserve">    BAC-SJ</w:t>
            </w:r>
          </w:p>
        </w:tc>
        <w:tc>
          <w:tcPr>
            <w:tcW w:w="1046" w:type="dxa"/>
            <w:tcBorders>
              <w:top w:val="nil"/>
              <w:left w:val="single" w:sz="4" w:space="0" w:color="auto"/>
              <w:bottom w:val="nil"/>
              <w:right w:val="nil"/>
            </w:tcBorders>
            <w:shd w:val="clear" w:color="000000" w:fill="FFFFFF"/>
            <w:noWrap/>
            <w:vAlign w:val="bottom"/>
            <w:hideMark/>
          </w:tcPr>
          <w:p w14:paraId="41CF6B79"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0,70</w:t>
            </w:r>
          </w:p>
        </w:tc>
        <w:tc>
          <w:tcPr>
            <w:tcW w:w="948" w:type="dxa"/>
            <w:tcBorders>
              <w:top w:val="nil"/>
              <w:left w:val="nil"/>
              <w:bottom w:val="nil"/>
              <w:right w:val="nil"/>
            </w:tcBorders>
            <w:shd w:val="clear" w:color="000000" w:fill="FFFFFF"/>
            <w:noWrap/>
            <w:vAlign w:val="bottom"/>
            <w:hideMark/>
          </w:tcPr>
          <w:p w14:paraId="4D5AD1F4"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9,86</w:t>
            </w:r>
          </w:p>
        </w:tc>
        <w:tc>
          <w:tcPr>
            <w:tcW w:w="919" w:type="dxa"/>
            <w:tcBorders>
              <w:top w:val="nil"/>
              <w:left w:val="nil"/>
              <w:bottom w:val="nil"/>
              <w:right w:val="single" w:sz="4" w:space="0" w:color="auto"/>
            </w:tcBorders>
            <w:shd w:val="clear" w:color="000000" w:fill="FFFFFF"/>
            <w:noWrap/>
            <w:vAlign w:val="bottom"/>
            <w:hideMark/>
          </w:tcPr>
          <w:p w14:paraId="3035650B"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12,77</w:t>
            </w:r>
          </w:p>
        </w:tc>
        <w:tc>
          <w:tcPr>
            <w:tcW w:w="975" w:type="dxa"/>
            <w:tcBorders>
              <w:top w:val="nil"/>
              <w:left w:val="nil"/>
              <w:bottom w:val="nil"/>
              <w:right w:val="nil"/>
            </w:tcBorders>
            <w:shd w:val="clear" w:color="000000" w:fill="FFFFFF"/>
            <w:noWrap/>
            <w:vAlign w:val="bottom"/>
            <w:hideMark/>
          </w:tcPr>
          <w:p w14:paraId="0B7223F3"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2,00</w:t>
            </w:r>
          </w:p>
        </w:tc>
        <w:tc>
          <w:tcPr>
            <w:tcW w:w="1026" w:type="dxa"/>
            <w:tcBorders>
              <w:top w:val="nil"/>
              <w:left w:val="nil"/>
              <w:bottom w:val="nil"/>
              <w:right w:val="nil"/>
            </w:tcBorders>
            <w:shd w:val="clear" w:color="000000" w:fill="FFFFFF"/>
            <w:noWrap/>
            <w:vAlign w:val="bottom"/>
            <w:hideMark/>
          </w:tcPr>
          <w:p w14:paraId="34D9E9A9"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9,85</w:t>
            </w:r>
          </w:p>
        </w:tc>
        <w:tc>
          <w:tcPr>
            <w:tcW w:w="810" w:type="dxa"/>
            <w:tcBorders>
              <w:top w:val="nil"/>
              <w:left w:val="nil"/>
              <w:bottom w:val="nil"/>
              <w:right w:val="nil"/>
            </w:tcBorders>
            <w:shd w:val="clear" w:color="000000" w:fill="FFFFFF"/>
            <w:noWrap/>
            <w:vAlign w:val="bottom"/>
            <w:hideMark/>
          </w:tcPr>
          <w:p w14:paraId="26E5BDB4"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13,10</w:t>
            </w:r>
          </w:p>
        </w:tc>
      </w:tr>
      <w:tr w:rsidR="00036346" w:rsidRPr="00FF25E3" w14:paraId="517CCF59" w14:textId="77777777" w:rsidTr="003D2E9C">
        <w:trPr>
          <w:trHeight w:val="168"/>
        </w:trPr>
        <w:tc>
          <w:tcPr>
            <w:tcW w:w="1647" w:type="dxa"/>
            <w:tcBorders>
              <w:top w:val="nil"/>
              <w:left w:val="nil"/>
              <w:bottom w:val="nil"/>
              <w:right w:val="nil"/>
            </w:tcBorders>
            <w:shd w:val="clear" w:color="000000" w:fill="FFFFFF"/>
            <w:noWrap/>
            <w:vAlign w:val="center"/>
            <w:hideMark/>
          </w:tcPr>
          <w:p w14:paraId="0BE393F2" w14:textId="1AEACAB2" w:rsidR="00036346" w:rsidRPr="00FF25E3" w:rsidRDefault="00FF25E3" w:rsidP="00FF25E3">
            <w:pPr>
              <w:rPr>
                <w:rFonts w:asciiTheme="minorHAnsi" w:eastAsia="Arial Unicode MS" w:hAnsiTheme="minorHAnsi" w:cs="Arial Unicode MS"/>
                <w:color w:val="000000"/>
                <w:sz w:val="20"/>
                <w:szCs w:val="20"/>
              </w:rPr>
            </w:pPr>
            <w:r>
              <w:rPr>
                <w:rFonts w:asciiTheme="minorHAnsi" w:eastAsia="Arial Unicode MS" w:hAnsiTheme="minorHAnsi" w:cs="Arial Unicode MS"/>
                <w:color w:val="000000"/>
                <w:sz w:val="20"/>
                <w:szCs w:val="20"/>
              </w:rPr>
              <w:t xml:space="preserve">    BCR Pensión</w:t>
            </w:r>
          </w:p>
        </w:tc>
        <w:tc>
          <w:tcPr>
            <w:tcW w:w="1046" w:type="dxa"/>
            <w:tcBorders>
              <w:top w:val="nil"/>
              <w:left w:val="single" w:sz="4" w:space="0" w:color="auto"/>
              <w:bottom w:val="nil"/>
              <w:right w:val="nil"/>
            </w:tcBorders>
            <w:shd w:val="clear" w:color="000000" w:fill="FFFFFF"/>
            <w:noWrap/>
            <w:vAlign w:val="bottom"/>
            <w:hideMark/>
          </w:tcPr>
          <w:p w14:paraId="34AF5F37"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0,70</w:t>
            </w:r>
          </w:p>
        </w:tc>
        <w:tc>
          <w:tcPr>
            <w:tcW w:w="948" w:type="dxa"/>
            <w:tcBorders>
              <w:top w:val="nil"/>
              <w:left w:val="nil"/>
              <w:bottom w:val="nil"/>
              <w:right w:val="nil"/>
            </w:tcBorders>
            <w:shd w:val="clear" w:color="000000" w:fill="FFFFFF"/>
            <w:noWrap/>
            <w:vAlign w:val="bottom"/>
            <w:hideMark/>
          </w:tcPr>
          <w:p w14:paraId="46E49294"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9,99</w:t>
            </w:r>
          </w:p>
        </w:tc>
        <w:tc>
          <w:tcPr>
            <w:tcW w:w="919" w:type="dxa"/>
            <w:tcBorders>
              <w:top w:val="nil"/>
              <w:left w:val="nil"/>
              <w:bottom w:val="nil"/>
              <w:right w:val="single" w:sz="4" w:space="0" w:color="auto"/>
            </w:tcBorders>
            <w:shd w:val="clear" w:color="000000" w:fill="FFFFFF"/>
            <w:noWrap/>
            <w:vAlign w:val="bottom"/>
            <w:hideMark/>
          </w:tcPr>
          <w:p w14:paraId="49D80A30"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12,93</w:t>
            </w:r>
          </w:p>
        </w:tc>
        <w:tc>
          <w:tcPr>
            <w:tcW w:w="975" w:type="dxa"/>
            <w:tcBorders>
              <w:top w:val="nil"/>
              <w:left w:val="nil"/>
              <w:bottom w:val="nil"/>
              <w:right w:val="nil"/>
            </w:tcBorders>
            <w:shd w:val="clear" w:color="000000" w:fill="FFFFFF"/>
            <w:noWrap/>
            <w:vAlign w:val="bottom"/>
            <w:hideMark/>
          </w:tcPr>
          <w:p w14:paraId="000BA5CA"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2,00</w:t>
            </w:r>
          </w:p>
        </w:tc>
        <w:tc>
          <w:tcPr>
            <w:tcW w:w="1026" w:type="dxa"/>
            <w:tcBorders>
              <w:top w:val="nil"/>
              <w:left w:val="nil"/>
              <w:bottom w:val="nil"/>
              <w:right w:val="nil"/>
            </w:tcBorders>
            <w:shd w:val="clear" w:color="000000" w:fill="FFFFFF"/>
            <w:noWrap/>
            <w:vAlign w:val="bottom"/>
            <w:hideMark/>
          </w:tcPr>
          <w:p w14:paraId="59E3DB65"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9,92</w:t>
            </w:r>
          </w:p>
        </w:tc>
        <w:tc>
          <w:tcPr>
            <w:tcW w:w="810" w:type="dxa"/>
            <w:tcBorders>
              <w:top w:val="nil"/>
              <w:left w:val="nil"/>
              <w:bottom w:val="nil"/>
              <w:right w:val="nil"/>
            </w:tcBorders>
            <w:shd w:val="clear" w:color="000000" w:fill="FFFFFF"/>
            <w:noWrap/>
            <w:vAlign w:val="bottom"/>
            <w:hideMark/>
          </w:tcPr>
          <w:p w14:paraId="1564A78F"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12,77</w:t>
            </w:r>
          </w:p>
        </w:tc>
      </w:tr>
      <w:tr w:rsidR="00036346" w:rsidRPr="00FF25E3" w14:paraId="750F4F16" w14:textId="77777777" w:rsidTr="003D2E9C">
        <w:trPr>
          <w:trHeight w:val="168"/>
        </w:trPr>
        <w:tc>
          <w:tcPr>
            <w:tcW w:w="1647" w:type="dxa"/>
            <w:tcBorders>
              <w:top w:val="nil"/>
              <w:left w:val="nil"/>
              <w:bottom w:val="nil"/>
              <w:right w:val="nil"/>
            </w:tcBorders>
            <w:shd w:val="clear" w:color="000000" w:fill="FFFFFF"/>
            <w:noWrap/>
            <w:vAlign w:val="center"/>
            <w:hideMark/>
          </w:tcPr>
          <w:p w14:paraId="3C2B5E3A" w14:textId="1265747B" w:rsidR="00036346" w:rsidRPr="00FF25E3" w:rsidRDefault="00FF25E3" w:rsidP="00FF25E3">
            <w:pPr>
              <w:rPr>
                <w:rFonts w:asciiTheme="minorHAnsi" w:eastAsia="Arial Unicode MS" w:hAnsiTheme="minorHAnsi" w:cs="Arial Unicode MS"/>
                <w:color w:val="000000"/>
                <w:sz w:val="20"/>
                <w:szCs w:val="20"/>
              </w:rPr>
            </w:pPr>
            <w:r>
              <w:rPr>
                <w:rFonts w:asciiTheme="minorHAnsi" w:eastAsia="Arial Unicode MS" w:hAnsiTheme="minorHAnsi" w:cs="Arial Unicode MS"/>
                <w:color w:val="000000"/>
                <w:sz w:val="20"/>
                <w:szCs w:val="20"/>
              </w:rPr>
              <w:t xml:space="preserve">    BN-Vital </w:t>
            </w:r>
          </w:p>
        </w:tc>
        <w:tc>
          <w:tcPr>
            <w:tcW w:w="1046" w:type="dxa"/>
            <w:tcBorders>
              <w:top w:val="nil"/>
              <w:left w:val="single" w:sz="4" w:space="0" w:color="auto"/>
              <w:bottom w:val="nil"/>
              <w:right w:val="nil"/>
            </w:tcBorders>
            <w:shd w:val="clear" w:color="000000" w:fill="FFFFFF"/>
            <w:noWrap/>
            <w:vAlign w:val="bottom"/>
            <w:hideMark/>
          </w:tcPr>
          <w:p w14:paraId="66CAA931"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0,70</w:t>
            </w:r>
          </w:p>
        </w:tc>
        <w:tc>
          <w:tcPr>
            <w:tcW w:w="948" w:type="dxa"/>
            <w:tcBorders>
              <w:top w:val="nil"/>
              <w:left w:val="nil"/>
              <w:bottom w:val="nil"/>
              <w:right w:val="nil"/>
            </w:tcBorders>
            <w:shd w:val="clear" w:color="000000" w:fill="FFFFFF"/>
            <w:noWrap/>
            <w:vAlign w:val="bottom"/>
            <w:hideMark/>
          </w:tcPr>
          <w:p w14:paraId="07C999A4"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9,49</w:t>
            </w:r>
          </w:p>
        </w:tc>
        <w:tc>
          <w:tcPr>
            <w:tcW w:w="919" w:type="dxa"/>
            <w:tcBorders>
              <w:top w:val="nil"/>
              <w:left w:val="nil"/>
              <w:bottom w:val="nil"/>
              <w:right w:val="single" w:sz="4" w:space="0" w:color="auto"/>
            </w:tcBorders>
            <w:shd w:val="clear" w:color="000000" w:fill="FFFFFF"/>
            <w:noWrap/>
            <w:vAlign w:val="bottom"/>
            <w:hideMark/>
          </w:tcPr>
          <w:p w14:paraId="5C17DE13"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12,84</w:t>
            </w:r>
          </w:p>
        </w:tc>
        <w:tc>
          <w:tcPr>
            <w:tcW w:w="975" w:type="dxa"/>
            <w:tcBorders>
              <w:top w:val="nil"/>
              <w:left w:val="nil"/>
              <w:bottom w:val="nil"/>
              <w:right w:val="nil"/>
            </w:tcBorders>
            <w:shd w:val="clear" w:color="000000" w:fill="FFFFFF"/>
            <w:noWrap/>
            <w:vAlign w:val="bottom"/>
            <w:hideMark/>
          </w:tcPr>
          <w:p w14:paraId="1AAF7345"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2,00</w:t>
            </w:r>
          </w:p>
        </w:tc>
        <w:tc>
          <w:tcPr>
            <w:tcW w:w="1026" w:type="dxa"/>
            <w:tcBorders>
              <w:top w:val="nil"/>
              <w:left w:val="nil"/>
              <w:bottom w:val="nil"/>
              <w:right w:val="nil"/>
            </w:tcBorders>
            <w:shd w:val="clear" w:color="000000" w:fill="FFFFFF"/>
            <w:noWrap/>
            <w:vAlign w:val="bottom"/>
            <w:hideMark/>
          </w:tcPr>
          <w:p w14:paraId="57E5D4EA"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9,29</w:t>
            </w:r>
          </w:p>
        </w:tc>
        <w:tc>
          <w:tcPr>
            <w:tcW w:w="810" w:type="dxa"/>
            <w:tcBorders>
              <w:top w:val="nil"/>
              <w:left w:val="nil"/>
              <w:bottom w:val="nil"/>
              <w:right w:val="nil"/>
            </w:tcBorders>
            <w:shd w:val="clear" w:color="000000" w:fill="FFFFFF"/>
            <w:noWrap/>
            <w:vAlign w:val="bottom"/>
            <w:hideMark/>
          </w:tcPr>
          <w:p w14:paraId="2725ED5A"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12,52</w:t>
            </w:r>
          </w:p>
        </w:tc>
      </w:tr>
      <w:tr w:rsidR="00036346" w:rsidRPr="00FF25E3" w14:paraId="39BCE37C" w14:textId="77777777" w:rsidTr="003D2E9C">
        <w:trPr>
          <w:trHeight w:val="168"/>
        </w:trPr>
        <w:tc>
          <w:tcPr>
            <w:tcW w:w="1647" w:type="dxa"/>
            <w:tcBorders>
              <w:top w:val="nil"/>
              <w:left w:val="nil"/>
              <w:bottom w:val="nil"/>
              <w:right w:val="nil"/>
            </w:tcBorders>
            <w:shd w:val="clear" w:color="000000" w:fill="FFFFFF"/>
            <w:noWrap/>
            <w:vAlign w:val="center"/>
            <w:hideMark/>
          </w:tcPr>
          <w:p w14:paraId="675A0470" w14:textId="405C9775" w:rsidR="00036346" w:rsidRPr="00FF25E3" w:rsidRDefault="00FF25E3" w:rsidP="00FF25E3">
            <w:pPr>
              <w:rPr>
                <w:rFonts w:asciiTheme="minorHAnsi" w:eastAsia="Arial Unicode MS" w:hAnsiTheme="minorHAnsi" w:cs="Arial Unicode MS"/>
                <w:color w:val="000000"/>
                <w:sz w:val="20"/>
                <w:szCs w:val="20"/>
              </w:rPr>
            </w:pPr>
            <w:r>
              <w:rPr>
                <w:rFonts w:asciiTheme="minorHAnsi" w:eastAsia="Arial Unicode MS" w:hAnsiTheme="minorHAnsi" w:cs="Arial Unicode MS"/>
                <w:color w:val="000000"/>
                <w:sz w:val="20"/>
                <w:szCs w:val="20"/>
              </w:rPr>
              <w:t xml:space="preserve">    CCSS OPC </w:t>
            </w:r>
          </w:p>
        </w:tc>
        <w:tc>
          <w:tcPr>
            <w:tcW w:w="1046" w:type="dxa"/>
            <w:tcBorders>
              <w:top w:val="nil"/>
              <w:left w:val="single" w:sz="4" w:space="0" w:color="auto"/>
              <w:bottom w:val="nil"/>
              <w:right w:val="nil"/>
            </w:tcBorders>
            <w:shd w:val="clear" w:color="000000" w:fill="FFFFFF"/>
            <w:noWrap/>
            <w:vAlign w:val="bottom"/>
            <w:hideMark/>
          </w:tcPr>
          <w:p w14:paraId="036929DD"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0,68</w:t>
            </w:r>
          </w:p>
        </w:tc>
        <w:tc>
          <w:tcPr>
            <w:tcW w:w="948" w:type="dxa"/>
            <w:tcBorders>
              <w:top w:val="nil"/>
              <w:left w:val="nil"/>
              <w:bottom w:val="nil"/>
              <w:right w:val="nil"/>
            </w:tcBorders>
            <w:shd w:val="clear" w:color="000000" w:fill="FFFFFF"/>
            <w:noWrap/>
            <w:vAlign w:val="bottom"/>
            <w:hideMark/>
          </w:tcPr>
          <w:p w14:paraId="7477A959"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10,52</w:t>
            </w:r>
          </w:p>
        </w:tc>
        <w:tc>
          <w:tcPr>
            <w:tcW w:w="919" w:type="dxa"/>
            <w:tcBorders>
              <w:top w:val="nil"/>
              <w:left w:val="nil"/>
              <w:bottom w:val="nil"/>
              <w:right w:val="single" w:sz="4" w:space="0" w:color="auto"/>
            </w:tcBorders>
            <w:shd w:val="clear" w:color="000000" w:fill="FFFFFF"/>
            <w:noWrap/>
            <w:vAlign w:val="bottom"/>
            <w:hideMark/>
          </w:tcPr>
          <w:p w14:paraId="2DA89FAA"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13,83</w:t>
            </w:r>
          </w:p>
        </w:tc>
        <w:tc>
          <w:tcPr>
            <w:tcW w:w="975" w:type="dxa"/>
            <w:tcBorders>
              <w:top w:val="nil"/>
              <w:left w:val="nil"/>
              <w:bottom w:val="nil"/>
              <w:right w:val="nil"/>
            </w:tcBorders>
            <w:shd w:val="clear" w:color="000000" w:fill="FFFFFF"/>
            <w:noWrap/>
            <w:vAlign w:val="bottom"/>
            <w:hideMark/>
          </w:tcPr>
          <w:p w14:paraId="3901F8A0"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2,14</w:t>
            </w:r>
          </w:p>
        </w:tc>
        <w:tc>
          <w:tcPr>
            <w:tcW w:w="1026" w:type="dxa"/>
            <w:tcBorders>
              <w:top w:val="nil"/>
              <w:left w:val="nil"/>
              <w:bottom w:val="nil"/>
              <w:right w:val="nil"/>
            </w:tcBorders>
            <w:shd w:val="clear" w:color="000000" w:fill="FFFFFF"/>
            <w:noWrap/>
            <w:vAlign w:val="bottom"/>
            <w:hideMark/>
          </w:tcPr>
          <w:p w14:paraId="1BABF0FD"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10,13</w:t>
            </w:r>
          </w:p>
        </w:tc>
        <w:tc>
          <w:tcPr>
            <w:tcW w:w="810" w:type="dxa"/>
            <w:tcBorders>
              <w:top w:val="nil"/>
              <w:left w:val="nil"/>
              <w:bottom w:val="nil"/>
              <w:right w:val="nil"/>
            </w:tcBorders>
            <w:shd w:val="clear" w:color="000000" w:fill="FFFFFF"/>
            <w:noWrap/>
            <w:vAlign w:val="bottom"/>
            <w:hideMark/>
          </w:tcPr>
          <w:p w14:paraId="2E48CBBD"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13,01</w:t>
            </w:r>
          </w:p>
        </w:tc>
      </w:tr>
      <w:tr w:rsidR="00036346" w:rsidRPr="00FF25E3" w14:paraId="553AD38E" w14:textId="77777777" w:rsidTr="003D2E9C">
        <w:trPr>
          <w:trHeight w:val="168"/>
        </w:trPr>
        <w:tc>
          <w:tcPr>
            <w:tcW w:w="1647" w:type="dxa"/>
            <w:tcBorders>
              <w:top w:val="nil"/>
              <w:left w:val="nil"/>
              <w:bottom w:val="nil"/>
              <w:right w:val="nil"/>
            </w:tcBorders>
            <w:shd w:val="clear" w:color="000000" w:fill="FFFFFF"/>
            <w:noWrap/>
            <w:vAlign w:val="center"/>
            <w:hideMark/>
          </w:tcPr>
          <w:p w14:paraId="1E6FCD03" w14:textId="3EC267D6" w:rsidR="00036346" w:rsidRPr="00FF25E3" w:rsidRDefault="00FF25E3" w:rsidP="003D2E9C">
            <w:pPr>
              <w:rPr>
                <w:rFonts w:asciiTheme="minorHAnsi" w:eastAsia="Arial Unicode MS" w:hAnsiTheme="minorHAnsi" w:cs="Arial Unicode MS"/>
                <w:color w:val="000000"/>
                <w:sz w:val="20"/>
                <w:szCs w:val="20"/>
              </w:rPr>
            </w:pPr>
            <w:r>
              <w:rPr>
                <w:rFonts w:asciiTheme="minorHAnsi" w:eastAsia="Arial Unicode MS" w:hAnsiTheme="minorHAnsi" w:cs="Arial Unicode MS"/>
                <w:color w:val="000000"/>
                <w:sz w:val="20"/>
                <w:szCs w:val="20"/>
              </w:rPr>
              <w:t xml:space="preserve">    Popular </w:t>
            </w:r>
          </w:p>
        </w:tc>
        <w:tc>
          <w:tcPr>
            <w:tcW w:w="1046" w:type="dxa"/>
            <w:tcBorders>
              <w:top w:val="nil"/>
              <w:left w:val="single" w:sz="4" w:space="0" w:color="auto"/>
              <w:bottom w:val="nil"/>
              <w:right w:val="nil"/>
            </w:tcBorders>
            <w:shd w:val="clear" w:color="000000" w:fill="FFFFFF"/>
            <w:noWrap/>
            <w:vAlign w:val="bottom"/>
            <w:hideMark/>
          </w:tcPr>
          <w:p w14:paraId="4218B213"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0,70</w:t>
            </w:r>
          </w:p>
        </w:tc>
        <w:tc>
          <w:tcPr>
            <w:tcW w:w="948" w:type="dxa"/>
            <w:tcBorders>
              <w:top w:val="nil"/>
              <w:left w:val="nil"/>
              <w:bottom w:val="nil"/>
              <w:right w:val="nil"/>
            </w:tcBorders>
            <w:shd w:val="clear" w:color="000000" w:fill="FFFFFF"/>
            <w:noWrap/>
            <w:vAlign w:val="bottom"/>
            <w:hideMark/>
          </w:tcPr>
          <w:p w14:paraId="48744F67"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8,79</w:t>
            </w:r>
          </w:p>
        </w:tc>
        <w:tc>
          <w:tcPr>
            <w:tcW w:w="919" w:type="dxa"/>
            <w:tcBorders>
              <w:top w:val="nil"/>
              <w:left w:val="nil"/>
              <w:bottom w:val="nil"/>
              <w:right w:val="single" w:sz="4" w:space="0" w:color="auto"/>
            </w:tcBorders>
            <w:shd w:val="clear" w:color="000000" w:fill="FFFFFF"/>
            <w:noWrap/>
            <w:vAlign w:val="bottom"/>
            <w:hideMark/>
          </w:tcPr>
          <w:p w14:paraId="31170DB7"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12,63</w:t>
            </w:r>
          </w:p>
        </w:tc>
        <w:tc>
          <w:tcPr>
            <w:tcW w:w="975" w:type="dxa"/>
            <w:tcBorders>
              <w:top w:val="nil"/>
              <w:left w:val="nil"/>
              <w:bottom w:val="nil"/>
              <w:right w:val="nil"/>
            </w:tcBorders>
            <w:shd w:val="clear" w:color="000000" w:fill="FFFFFF"/>
            <w:noWrap/>
            <w:vAlign w:val="bottom"/>
            <w:hideMark/>
          </w:tcPr>
          <w:p w14:paraId="5C760384"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2,00</w:t>
            </w:r>
          </w:p>
        </w:tc>
        <w:tc>
          <w:tcPr>
            <w:tcW w:w="1026" w:type="dxa"/>
            <w:tcBorders>
              <w:top w:val="nil"/>
              <w:left w:val="nil"/>
              <w:bottom w:val="nil"/>
              <w:right w:val="nil"/>
            </w:tcBorders>
            <w:shd w:val="clear" w:color="000000" w:fill="FFFFFF"/>
            <w:noWrap/>
            <w:vAlign w:val="bottom"/>
            <w:hideMark/>
          </w:tcPr>
          <w:p w14:paraId="3671B738"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8,20</w:t>
            </w:r>
          </w:p>
        </w:tc>
        <w:tc>
          <w:tcPr>
            <w:tcW w:w="810" w:type="dxa"/>
            <w:tcBorders>
              <w:top w:val="nil"/>
              <w:left w:val="nil"/>
              <w:bottom w:val="nil"/>
              <w:right w:val="nil"/>
            </w:tcBorders>
            <w:shd w:val="clear" w:color="000000" w:fill="FFFFFF"/>
            <w:noWrap/>
            <w:vAlign w:val="bottom"/>
            <w:hideMark/>
          </w:tcPr>
          <w:p w14:paraId="438EB822"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12,50</w:t>
            </w:r>
          </w:p>
        </w:tc>
      </w:tr>
      <w:tr w:rsidR="00036346" w:rsidRPr="00FF25E3" w14:paraId="42027A0B" w14:textId="77777777" w:rsidTr="003D2E9C">
        <w:trPr>
          <w:trHeight w:val="168"/>
        </w:trPr>
        <w:tc>
          <w:tcPr>
            <w:tcW w:w="1647" w:type="dxa"/>
            <w:tcBorders>
              <w:top w:val="nil"/>
              <w:left w:val="nil"/>
              <w:bottom w:val="nil"/>
              <w:right w:val="nil"/>
            </w:tcBorders>
            <w:shd w:val="clear" w:color="000000" w:fill="FFFFFF"/>
            <w:noWrap/>
            <w:vAlign w:val="center"/>
            <w:hideMark/>
          </w:tcPr>
          <w:p w14:paraId="4CD2DB4E" w14:textId="5ACFC271" w:rsidR="00036346" w:rsidRPr="00FF25E3" w:rsidRDefault="00FF25E3" w:rsidP="003D2E9C">
            <w:pPr>
              <w:rPr>
                <w:rFonts w:asciiTheme="minorHAnsi" w:eastAsia="Arial Unicode MS" w:hAnsiTheme="minorHAnsi" w:cs="Arial Unicode MS"/>
                <w:color w:val="000000"/>
                <w:sz w:val="20"/>
                <w:szCs w:val="20"/>
              </w:rPr>
            </w:pPr>
            <w:r>
              <w:rPr>
                <w:rFonts w:asciiTheme="minorHAnsi" w:eastAsia="Arial Unicode MS" w:hAnsiTheme="minorHAnsi" w:cs="Arial Unicode MS"/>
                <w:color w:val="000000"/>
                <w:sz w:val="20"/>
                <w:szCs w:val="20"/>
              </w:rPr>
              <w:t xml:space="preserve">    Vida Plena </w:t>
            </w:r>
          </w:p>
        </w:tc>
        <w:tc>
          <w:tcPr>
            <w:tcW w:w="1046" w:type="dxa"/>
            <w:tcBorders>
              <w:top w:val="nil"/>
              <w:left w:val="single" w:sz="4" w:space="0" w:color="auto"/>
              <w:bottom w:val="nil"/>
              <w:right w:val="nil"/>
            </w:tcBorders>
            <w:shd w:val="clear" w:color="000000" w:fill="FFFFFF"/>
            <w:noWrap/>
            <w:vAlign w:val="bottom"/>
            <w:hideMark/>
          </w:tcPr>
          <w:p w14:paraId="50342EAE"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0,70</w:t>
            </w:r>
          </w:p>
        </w:tc>
        <w:tc>
          <w:tcPr>
            <w:tcW w:w="948" w:type="dxa"/>
            <w:tcBorders>
              <w:top w:val="nil"/>
              <w:left w:val="nil"/>
              <w:bottom w:val="nil"/>
              <w:right w:val="nil"/>
            </w:tcBorders>
            <w:shd w:val="clear" w:color="000000" w:fill="FFFFFF"/>
            <w:noWrap/>
            <w:vAlign w:val="bottom"/>
            <w:hideMark/>
          </w:tcPr>
          <w:p w14:paraId="7CEF9FE6"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9,09</w:t>
            </w:r>
          </w:p>
        </w:tc>
        <w:tc>
          <w:tcPr>
            <w:tcW w:w="919" w:type="dxa"/>
            <w:tcBorders>
              <w:top w:val="nil"/>
              <w:left w:val="nil"/>
              <w:bottom w:val="nil"/>
              <w:right w:val="single" w:sz="4" w:space="0" w:color="auto"/>
            </w:tcBorders>
            <w:shd w:val="clear" w:color="000000" w:fill="FFFFFF"/>
            <w:noWrap/>
            <w:vAlign w:val="bottom"/>
            <w:hideMark/>
          </w:tcPr>
          <w:p w14:paraId="0FD640D4"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13,68</w:t>
            </w:r>
          </w:p>
        </w:tc>
        <w:tc>
          <w:tcPr>
            <w:tcW w:w="975" w:type="dxa"/>
            <w:tcBorders>
              <w:top w:val="nil"/>
              <w:left w:val="nil"/>
              <w:bottom w:val="nil"/>
              <w:right w:val="nil"/>
            </w:tcBorders>
            <w:shd w:val="clear" w:color="000000" w:fill="FFFFFF"/>
            <w:noWrap/>
            <w:vAlign w:val="bottom"/>
            <w:hideMark/>
          </w:tcPr>
          <w:p w14:paraId="2981CBAD"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2,00</w:t>
            </w:r>
          </w:p>
        </w:tc>
        <w:tc>
          <w:tcPr>
            <w:tcW w:w="1026" w:type="dxa"/>
            <w:tcBorders>
              <w:top w:val="nil"/>
              <w:left w:val="nil"/>
              <w:bottom w:val="nil"/>
              <w:right w:val="nil"/>
            </w:tcBorders>
            <w:shd w:val="clear" w:color="000000" w:fill="FFFFFF"/>
            <w:noWrap/>
            <w:vAlign w:val="bottom"/>
            <w:hideMark/>
          </w:tcPr>
          <w:p w14:paraId="736F6A56"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8,74</w:t>
            </w:r>
          </w:p>
        </w:tc>
        <w:tc>
          <w:tcPr>
            <w:tcW w:w="810" w:type="dxa"/>
            <w:tcBorders>
              <w:top w:val="nil"/>
              <w:left w:val="nil"/>
              <w:bottom w:val="nil"/>
              <w:right w:val="nil"/>
            </w:tcBorders>
            <w:shd w:val="clear" w:color="000000" w:fill="FFFFFF"/>
            <w:noWrap/>
            <w:vAlign w:val="bottom"/>
            <w:hideMark/>
          </w:tcPr>
          <w:p w14:paraId="144F51D1" w14:textId="77777777" w:rsidR="00036346" w:rsidRPr="00FF25E3" w:rsidRDefault="00036346" w:rsidP="003D2E9C">
            <w:pPr>
              <w:jc w:val="center"/>
              <w:rPr>
                <w:rFonts w:asciiTheme="minorHAnsi" w:eastAsia="Arial Unicode MS" w:hAnsiTheme="minorHAnsi" w:cs="Arial Unicode MS"/>
                <w:color w:val="000000"/>
                <w:sz w:val="20"/>
                <w:szCs w:val="20"/>
              </w:rPr>
            </w:pPr>
            <w:r w:rsidRPr="00FF25E3">
              <w:rPr>
                <w:rFonts w:asciiTheme="minorHAnsi" w:eastAsia="Arial Unicode MS" w:hAnsiTheme="minorHAnsi" w:cs="Arial Unicode MS"/>
                <w:color w:val="000000"/>
                <w:sz w:val="20"/>
                <w:szCs w:val="20"/>
              </w:rPr>
              <w:t>13,22</w:t>
            </w:r>
          </w:p>
        </w:tc>
      </w:tr>
      <w:tr w:rsidR="00036346" w:rsidRPr="00FF25E3" w14:paraId="44F2D1A2" w14:textId="77777777" w:rsidTr="003D2E9C">
        <w:trPr>
          <w:trHeight w:val="168"/>
        </w:trPr>
        <w:tc>
          <w:tcPr>
            <w:tcW w:w="1647" w:type="dxa"/>
            <w:tcBorders>
              <w:top w:val="nil"/>
              <w:left w:val="nil"/>
              <w:bottom w:val="single" w:sz="4" w:space="0" w:color="auto"/>
              <w:right w:val="nil"/>
            </w:tcBorders>
            <w:shd w:val="clear" w:color="000000" w:fill="FFFFFF"/>
            <w:noWrap/>
            <w:vAlign w:val="center"/>
            <w:hideMark/>
          </w:tcPr>
          <w:p w14:paraId="7410DDE5" w14:textId="27E70ABE" w:rsidR="00036346" w:rsidRPr="00FF25E3" w:rsidRDefault="00FF25E3" w:rsidP="003D2E9C">
            <w:pPr>
              <w:rPr>
                <w:rFonts w:asciiTheme="minorHAnsi" w:eastAsia="Arial Unicode MS" w:hAnsiTheme="minorHAnsi" w:cs="Arial Unicode MS"/>
                <w:b/>
                <w:color w:val="000000"/>
                <w:sz w:val="20"/>
                <w:szCs w:val="20"/>
              </w:rPr>
            </w:pPr>
            <w:r>
              <w:rPr>
                <w:rFonts w:asciiTheme="minorHAnsi" w:eastAsia="Arial Unicode MS" w:hAnsiTheme="minorHAnsi" w:cs="Arial Unicode MS"/>
                <w:b/>
                <w:color w:val="000000"/>
                <w:sz w:val="20"/>
                <w:szCs w:val="20"/>
              </w:rPr>
              <w:t xml:space="preserve">    Promedio </w:t>
            </w:r>
          </w:p>
        </w:tc>
        <w:tc>
          <w:tcPr>
            <w:tcW w:w="1046" w:type="dxa"/>
            <w:tcBorders>
              <w:top w:val="nil"/>
              <w:left w:val="single" w:sz="4" w:space="0" w:color="auto"/>
              <w:bottom w:val="single" w:sz="4" w:space="0" w:color="auto"/>
              <w:right w:val="nil"/>
            </w:tcBorders>
            <w:shd w:val="clear" w:color="000000" w:fill="FFFFFF"/>
            <w:noWrap/>
            <w:vAlign w:val="bottom"/>
            <w:hideMark/>
          </w:tcPr>
          <w:p w14:paraId="461D9B98" w14:textId="77777777" w:rsidR="00036346" w:rsidRPr="00FF25E3" w:rsidRDefault="00036346" w:rsidP="003D2E9C">
            <w:pPr>
              <w:jc w:val="center"/>
              <w:rPr>
                <w:rFonts w:asciiTheme="minorHAnsi" w:eastAsia="Arial Unicode MS" w:hAnsiTheme="minorHAnsi" w:cs="Arial Unicode MS"/>
                <w:b/>
                <w:color w:val="000000"/>
                <w:sz w:val="20"/>
                <w:szCs w:val="20"/>
              </w:rPr>
            </w:pPr>
            <w:r w:rsidRPr="00FF25E3">
              <w:rPr>
                <w:rFonts w:asciiTheme="minorHAnsi" w:eastAsia="Arial Unicode MS" w:hAnsiTheme="minorHAnsi" w:cs="Arial Unicode MS"/>
                <w:b/>
                <w:color w:val="000000"/>
                <w:sz w:val="20"/>
                <w:szCs w:val="20"/>
              </w:rPr>
              <w:t>0,70</w:t>
            </w:r>
          </w:p>
        </w:tc>
        <w:tc>
          <w:tcPr>
            <w:tcW w:w="948" w:type="dxa"/>
            <w:tcBorders>
              <w:top w:val="nil"/>
              <w:left w:val="nil"/>
              <w:bottom w:val="single" w:sz="4" w:space="0" w:color="auto"/>
              <w:right w:val="nil"/>
            </w:tcBorders>
            <w:shd w:val="clear" w:color="000000" w:fill="FFFFFF"/>
            <w:noWrap/>
            <w:vAlign w:val="bottom"/>
            <w:hideMark/>
          </w:tcPr>
          <w:p w14:paraId="78E6E45E" w14:textId="77777777" w:rsidR="00036346" w:rsidRPr="00FF25E3" w:rsidRDefault="00036346" w:rsidP="003D2E9C">
            <w:pPr>
              <w:jc w:val="center"/>
              <w:rPr>
                <w:rFonts w:asciiTheme="minorHAnsi" w:eastAsia="Arial Unicode MS" w:hAnsiTheme="minorHAnsi" w:cs="Arial Unicode MS"/>
                <w:b/>
                <w:color w:val="000000"/>
                <w:sz w:val="20"/>
                <w:szCs w:val="20"/>
              </w:rPr>
            </w:pPr>
            <w:r w:rsidRPr="00FF25E3">
              <w:rPr>
                <w:rFonts w:asciiTheme="minorHAnsi" w:eastAsia="Arial Unicode MS" w:hAnsiTheme="minorHAnsi" w:cs="Arial Unicode MS"/>
                <w:b/>
                <w:color w:val="000000"/>
                <w:sz w:val="20"/>
                <w:szCs w:val="20"/>
              </w:rPr>
              <w:t>9,33</w:t>
            </w:r>
          </w:p>
        </w:tc>
        <w:tc>
          <w:tcPr>
            <w:tcW w:w="919" w:type="dxa"/>
            <w:tcBorders>
              <w:top w:val="nil"/>
              <w:left w:val="nil"/>
              <w:bottom w:val="single" w:sz="4" w:space="0" w:color="auto"/>
              <w:right w:val="single" w:sz="4" w:space="0" w:color="auto"/>
            </w:tcBorders>
            <w:shd w:val="clear" w:color="000000" w:fill="FFFFFF"/>
            <w:noWrap/>
            <w:vAlign w:val="bottom"/>
            <w:hideMark/>
          </w:tcPr>
          <w:p w14:paraId="4CD3D54C" w14:textId="77777777" w:rsidR="00036346" w:rsidRPr="00FF25E3" w:rsidRDefault="00036346" w:rsidP="003D2E9C">
            <w:pPr>
              <w:jc w:val="center"/>
              <w:rPr>
                <w:rFonts w:asciiTheme="minorHAnsi" w:eastAsia="Arial Unicode MS" w:hAnsiTheme="minorHAnsi" w:cs="Arial Unicode MS"/>
                <w:b/>
                <w:color w:val="000000"/>
                <w:sz w:val="20"/>
                <w:szCs w:val="20"/>
              </w:rPr>
            </w:pPr>
            <w:r w:rsidRPr="00FF25E3">
              <w:rPr>
                <w:rFonts w:asciiTheme="minorHAnsi" w:eastAsia="Arial Unicode MS" w:hAnsiTheme="minorHAnsi" w:cs="Arial Unicode MS"/>
                <w:b/>
                <w:color w:val="000000"/>
                <w:sz w:val="20"/>
                <w:szCs w:val="20"/>
              </w:rPr>
              <w:t>12,91</w:t>
            </w:r>
          </w:p>
        </w:tc>
        <w:tc>
          <w:tcPr>
            <w:tcW w:w="975" w:type="dxa"/>
            <w:tcBorders>
              <w:top w:val="nil"/>
              <w:left w:val="nil"/>
              <w:bottom w:val="single" w:sz="4" w:space="0" w:color="auto"/>
              <w:right w:val="nil"/>
            </w:tcBorders>
            <w:shd w:val="clear" w:color="000000" w:fill="FFFFFF"/>
            <w:noWrap/>
            <w:vAlign w:val="bottom"/>
            <w:hideMark/>
          </w:tcPr>
          <w:p w14:paraId="75AA94DB" w14:textId="77777777" w:rsidR="00036346" w:rsidRPr="00FF25E3" w:rsidRDefault="00036346" w:rsidP="003D2E9C">
            <w:pPr>
              <w:jc w:val="center"/>
              <w:rPr>
                <w:rFonts w:asciiTheme="minorHAnsi" w:eastAsia="Arial Unicode MS" w:hAnsiTheme="minorHAnsi" w:cs="Arial Unicode MS"/>
                <w:b/>
                <w:color w:val="000000"/>
                <w:sz w:val="20"/>
                <w:szCs w:val="20"/>
              </w:rPr>
            </w:pPr>
            <w:r w:rsidRPr="00FF25E3">
              <w:rPr>
                <w:rFonts w:asciiTheme="minorHAnsi" w:eastAsia="Arial Unicode MS" w:hAnsiTheme="minorHAnsi" w:cs="Arial Unicode MS"/>
                <w:b/>
                <w:color w:val="000000"/>
                <w:sz w:val="20"/>
                <w:szCs w:val="20"/>
              </w:rPr>
              <w:t>2,02</w:t>
            </w:r>
          </w:p>
        </w:tc>
        <w:tc>
          <w:tcPr>
            <w:tcW w:w="1026" w:type="dxa"/>
            <w:tcBorders>
              <w:top w:val="nil"/>
              <w:left w:val="nil"/>
              <w:bottom w:val="single" w:sz="4" w:space="0" w:color="auto"/>
              <w:right w:val="nil"/>
            </w:tcBorders>
            <w:shd w:val="clear" w:color="000000" w:fill="FFFFFF"/>
            <w:noWrap/>
            <w:vAlign w:val="bottom"/>
            <w:hideMark/>
          </w:tcPr>
          <w:p w14:paraId="2C1D8401" w14:textId="77777777" w:rsidR="00036346" w:rsidRPr="00FF25E3" w:rsidRDefault="00036346" w:rsidP="003D2E9C">
            <w:pPr>
              <w:jc w:val="center"/>
              <w:rPr>
                <w:rFonts w:asciiTheme="minorHAnsi" w:eastAsia="Arial Unicode MS" w:hAnsiTheme="minorHAnsi" w:cs="Arial Unicode MS"/>
                <w:b/>
                <w:color w:val="000000"/>
                <w:sz w:val="20"/>
                <w:szCs w:val="20"/>
              </w:rPr>
            </w:pPr>
            <w:r w:rsidRPr="00FF25E3">
              <w:rPr>
                <w:rFonts w:asciiTheme="minorHAnsi" w:eastAsia="Arial Unicode MS" w:hAnsiTheme="minorHAnsi" w:cs="Arial Unicode MS"/>
                <w:b/>
                <w:color w:val="000000"/>
                <w:sz w:val="20"/>
                <w:szCs w:val="20"/>
              </w:rPr>
              <w:t>9,22</w:t>
            </w:r>
          </w:p>
        </w:tc>
        <w:tc>
          <w:tcPr>
            <w:tcW w:w="810" w:type="dxa"/>
            <w:tcBorders>
              <w:top w:val="nil"/>
              <w:left w:val="nil"/>
              <w:bottom w:val="single" w:sz="4" w:space="0" w:color="auto"/>
              <w:right w:val="nil"/>
            </w:tcBorders>
            <w:shd w:val="clear" w:color="000000" w:fill="FFFFFF"/>
            <w:noWrap/>
            <w:vAlign w:val="bottom"/>
            <w:hideMark/>
          </w:tcPr>
          <w:p w14:paraId="035DEA51" w14:textId="77777777" w:rsidR="00036346" w:rsidRPr="00FF25E3" w:rsidRDefault="00036346" w:rsidP="003D2E9C">
            <w:pPr>
              <w:jc w:val="center"/>
              <w:rPr>
                <w:rFonts w:asciiTheme="minorHAnsi" w:eastAsia="Arial Unicode MS" w:hAnsiTheme="minorHAnsi" w:cs="Arial Unicode MS"/>
                <w:b/>
                <w:color w:val="000000"/>
                <w:sz w:val="20"/>
                <w:szCs w:val="20"/>
              </w:rPr>
            </w:pPr>
            <w:r w:rsidRPr="00FF25E3">
              <w:rPr>
                <w:rFonts w:asciiTheme="minorHAnsi" w:eastAsia="Arial Unicode MS" w:hAnsiTheme="minorHAnsi" w:cs="Arial Unicode MS"/>
                <w:b/>
                <w:color w:val="000000"/>
                <w:sz w:val="20"/>
                <w:szCs w:val="20"/>
              </w:rPr>
              <w:t>12,78</w:t>
            </w:r>
          </w:p>
        </w:tc>
      </w:tr>
    </w:tbl>
    <w:p w14:paraId="32611423" w14:textId="77777777" w:rsidR="00036346" w:rsidRPr="00FF25E3"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Arial Unicode MS" w:hAnsiTheme="majorHAnsi" w:cs="Arial Unicode MS"/>
          <w:color w:val="000000"/>
          <w:sz w:val="18"/>
          <w:szCs w:val="20"/>
        </w:rPr>
      </w:pPr>
      <w:r w:rsidRPr="00FF25E3">
        <w:rPr>
          <w:rFonts w:asciiTheme="majorHAnsi" w:eastAsia="Arial Unicode MS" w:hAnsiTheme="majorHAnsi" w:cs="Arial Unicode MS"/>
          <w:color w:val="000000"/>
          <w:sz w:val="18"/>
          <w:szCs w:val="20"/>
        </w:rPr>
        <w:t xml:space="preserve">     </w:t>
      </w:r>
      <w:r w:rsidRPr="00FF25E3">
        <w:rPr>
          <w:rFonts w:asciiTheme="majorHAnsi" w:eastAsia="Arial Unicode MS" w:hAnsiTheme="majorHAnsi" w:cs="Arial Unicode MS"/>
          <w:color w:val="000000"/>
          <w:sz w:val="18"/>
          <w:szCs w:val="20"/>
        </w:rPr>
        <w:tab/>
        <w:t xml:space="preserve">   Fuente: Elaboración propia con datos suministrados por entidades</w:t>
      </w:r>
    </w:p>
    <w:p w14:paraId="514E45DA" w14:textId="765C1E84" w:rsidR="00036346" w:rsidRPr="00FF25E3" w:rsidRDefault="00BA7ADB"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Arial Unicode MS" w:hAnsiTheme="majorHAnsi" w:cs="Arial Unicode MS"/>
          <w:color w:val="000000"/>
          <w:sz w:val="18"/>
          <w:szCs w:val="20"/>
        </w:rPr>
      </w:pPr>
      <w:r>
        <w:rPr>
          <w:rFonts w:asciiTheme="majorHAnsi" w:eastAsia="Arial Unicode MS" w:hAnsiTheme="majorHAnsi" w:cs="Arial Unicode MS"/>
          <w:color w:val="000000"/>
          <w:sz w:val="18"/>
          <w:szCs w:val="20"/>
        </w:rPr>
        <w:t xml:space="preserve">   </w:t>
      </w:r>
      <w:r>
        <w:rPr>
          <w:rFonts w:asciiTheme="majorHAnsi" w:eastAsia="Arial Unicode MS" w:hAnsiTheme="majorHAnsi" w:cs="Arial Unicode MS"/>
          <w:color w:val="000000"/>
          <w:sz w:val="18"/>
          <w:szCs w:val="20"/>
        </w:rPr>
        <w:tab/>
        <w:t xml:space="preserve">   Nota: Comisión s</w:t>
      </w:r>
      <w:r w:rsidR="00036346" w:rsidRPr="00FF25E3">
        <w:rPr>
          <w:rFonts w:asciiTheme="majorHAnsi" w:eastAsia="Arial Unicode MS" w:hAnsiTheme="majorHAnsi" w:cs="Arial Unicode MS"/>
          <w:color w:val="000000"/>
          <w:sz w:val="18"/>
          <w:szCs w:val="20"/>
        </w:rPr>
        <w:t>obre Saldo y Rendimientos Nominales</w:t>
      </w:r>
    </w:p>
    <w:p w14:paraId="67E3E212" w14:textId="77777777" w:rsidR="005F0CDE" w:rsidRDefault="005F0CDE"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Unicode MS" w:eastAsia="Arial Unicode MS" w:hAnsi="Arial Unicode MS" w:cs="Arial Unicode MS"/>
          <w:color w:val="000000"/>
          <w:sz w:val="20"/>
          <w:szCs w:val="20"/>
        </w:rPr>
      </w:pPr>
    </w:p>
    <w:p w14:paraId="554AB97E" w14:textId="77777777" w:rsidR="00036346" w:rsidRPr="00036346"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s="Courier New"/>
          <w:sz w:val="22"/>
          <w:szCs w:val="22"/>
        </w:rPr>
      </w:pPr>
      <w:r w:rsidRPr="00036346">
        <w:rPr>
          <w:rFonts w:asciiTheme="majorHAnsi" w:hAnsiTheme="majorHAnsi" w:cs="Courier New"/>
          <w:color w:val="000000"/>
          <w:sz w:val="22"/>
          <w:szCs w:val="22"/>
        </w:rPr>
        <w:t>En cuanto a comisiones, al comparar ambos productos el peso administrativo que con lleva el producto FCL en las entidades, dadas sus facilidades de retiro (cese laboral, por quinquenio o por muerte), que hace que operativamente sea mucho más complejo de administrar, además de la necesidad de controlar los aportes por patrono y la gestión de un fondo que tiene un alto porcentaje a la vista. Todo lo anterior hace que se cobre en promedio al afiliado un 2,02% de su saldo anual versus un 0,70% del ROP.</w:t>
      </w:r>
    </w:p>
    <w:p w14:paraId="2EBB0CF0" w14:textId="77777777" w:rsidR="00036346" w:rsidRPr="00036346"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s="Courier New"/>
          <w:sz w:val="22"/>
          <w:szCs w:val="22"/>
        </w:rPr>
      </w:pPr>
    </w:p>
    <w:p w14:paraId="58EC17D2" w14:textId="77777777" w:rsidR="00036346" w:rsidRPr="00036346"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olor w:val="000000"/>
          <w:sz w:val="22"/>
          <w:szCs w:val="22"/>
        </w:rPr>
      </w:pPr>
      <w:r w:rsidRPr="00036346">
        <w:rPr>
          <w:rFonts w:asciiTheme="majorHAnsi" w:hAnsiTheme="majorHAnsi"/>
          <w:color w:val="000000"/>
          <w:sz w:val="22"/>
          <w:szCs w:val="22"/>
        </w:rPr>
        <w:t>El caso de la CCSS-OPC sobresale en el tema de comisiones, pues es la entidad que administra los fondos automáticos en el FCL, hecho que hace que su costo operativo del producto sea mayor, pero es a su vez la entidad que cobra la comisión más baja en el ROP.</w:t>
      </w:r>
    </w:p>
    <w:p w14:paraId="48D558DA" w14:textId="4E7FCE74" w:rsidR="00036346" w:rsidRPr="008F1B8E" w:rsidRDefault="00036346" w:rsidP="009C2963">
      <w:pPr>
        <w:jc w:val="both"/>
        <w:rPr>
          <w:rFonts w:asciiTheme="majorHAnsi" w:hAnsiTheme="majorHAnsi"/>
          <w:sz w:val="22"/>
          <w:szCs w:val="22"/>
        </w:rPr>
      </w:pPr>
    </w:p>
    <w:p w14:paraId="06A9490F" w14:textId="230C5023" w:rsidR="007343BE" w:rsidRDefault="007343BE" w:rsidP="00452C71">
      <w:pPr>
        <w:rPr>
          <w:rFonts w:asciiTheme="majorHAnsi" w:hAnsiTheme="majorHAnsi" w:cs="Arial"/>
          <w:b/>
          <w:bCs/>
          <w:sz w:val="22"/>
          <w:szCs w:val="22"/>
        </w:rPr>
      </w:pPr>
      <w:r w:rsidRPr="00CC5050">
        <w:rPr>
          <w:rFonts w:asciiTheme="majorHAnsi" w:hAnsiTheme="majorHAnsi" w:cs="Arial"/>
          <w:b/>
          <w:bCs/>
          <w:sz w:val="22"/>
          <w:szCs w:val="22"/>
        </w:rPr>
        <w:t xml:space="preserve">Análisis </w:t>
      </w:r>
      <w:r w:rsidR="00836014">
        <w:rPr>
          <w:rFonts w:asciiTheme="majorHAnsi" w:hAnsiTheme="majorHAnsi" w:cs="Arial"/>
          <w:b/>
          <w:bCs/>
          <w:sz w:val="22"/>
          <w:szCs w:val="22"/>
        </w:rPr>
        <w:t>del Entorno</w:t>
      </w:r>
    </w:p>
    <w:p w14:paraId="470BB739" w14:textId="77777777" w:rsidR="00BA7ADB" w:rsidRPr="00060053" w:rsidRDefault="00BA7ADB" w:rsidP="00452C71">
      <w:pPr>
        <w:rPr>
          <w:rFonts w:asciiTheme="majorHAnsi" w:hAnsiTheme="majorHAnsi" w:cs="Arial"/>
          <w:b/>
          <w:bCs/>
          <w:sz w:val="22"/>
          <w:szCs w:val="22"/>
        </w:rPr>
      </w:pPr>
    </w:p>
    <w:p w14:paraId="06A94911" w14:textId="3F0D2F8D" w:rsidR="007343BE" w:rsidRPr="00060053" w:rsidRDefault="007343BE" w:rsidP="00CC5050">
      <w:pPr>
        <w:jc w:val="both"/>
        <w:rPr>
          <w:rFonts w:asciiTheme="majorHAnsi" w:hAnsiTheme="majorHAnsi" w:cs="Arial"/>
          <w:sz w:val="22"/>
          <w:szCs w:val="22"/>
        </w:rPr>
      </w:pPr>
      <w:r w:rsidRPr="00060053">
        <w:rPr>
          <w:rFonts w:asciiTheme="majorHAnsi" w:hAnsiTheme="majorHAnsi" w:cs="Arial"/>
          <w:sz w:val="22"/>
          <w:szCs w:val="22"/>
        </w:rPr>
        <w:t xml:space="preserve">Las variables consideradas para la elaboración del presupuesto institucional que están fuera del control de la institución </w:t>
      </w:r>
      <w:r w:rsidR="00CC5050">
        <w:rPr>
          <w:rFonts w:asciiTheme="majorHAnsi" w:hAnsiTheme="majorHAnsi" w:cs="Arial"/>
          <w:sz w:val="22"/>
          <w:szCs w:val="22"/>
        </w:rPr>
        <w:t>son dos, a saber</w:t>
      </w:r>
      <w:r w:rsidRPr="00060053">
        <w:rPr>
          <w:rFonts w:asciiTheme="majorHAnsi" w:hAnsiTheme="majorHAnsi" w:cs="Arial"/>
          <w:sz w:val="22"/>
          <w:szCs w:val="22"/>
        </w:rPr>
        <w:t>:</w:t>
      </w:r>
    </w:p>
    <w:p w14:paraId="06A94912" w14:textId="3ECE9EA2" w:rsidR="007343BE" w:rsidRPr="00060053" w:rsidRDefault="007343BE" w:rsidP="00452C71">
      <w:pPr>
        <w:rPr>
          <w:rFonts w:asciiTheme="majorHAnsi" w:hAnsiTheme="majorHAnsi" w:cs="Arial"/>
          <w:sz w:val="22"/>
          <w:szCs w:val="22"/>
        </w:rPr>
      </w:pPr>
    </w:p>
    <w:p w14:paraId="06A94913" w14:textId="14B3DF0E" w:rsidR="007343BE" w:rsidRPr="00C75828" w:rsidRDefault="00BA7ADB" w:rsidP="00547B19">
      <w:pPr>
        <w:pStyle w:val="Prrafodelista"/>
        <w:numPr>
          <w:ilvl w:val="0"/>
          <w:numId w:val="13"/>
        </w:numPr>
        <w:rPr>
          <w:rFonts w:asciiTheme="majorHAnsi" w:hAnsiTheme="majorHAnsi" w:cs="Arial"/>
          <w:sz w:val="22"/>
        </w:rPr>
      </w:pPr>
      <w:r>
        <w:rPr>
          <w:rFonts w:asciiTheme="majorHAnsi" w:hAnsiTheme="majorHAnsi" w:cs="Arial"/>
          <w:sz w:val="22"/>
        </w:rPr>
        <w:t>Tipo de cambio</w:t>
      </w:r>
    </w:p>
    <w:p w14:paraId="06A94914" w14:textId="0EF56102" w:rsidR="007343BE" w:rsidRDefault="00BA7ADB" w:rsidP="00547B19">
      <w:pPr>
        <w:pStyle w:val="Prrafodelista"/>
        <w:numPr>
          <w:ilvl w:val="0"/>
          <w:numId w:val="13"/>
        </w:numPr>
        <w:rPr>
          <w:rFonts w:asciiTheme="majorHAnsi" w:hAnsiTheme="majorHAnsi" w:cs="Arial"/>
          <w:sz w:val="22"/>
        </w:rPr>
      </w:pPr>
      <w:r>
        <w:rPr>
          <w:rFonts w:asciiTheme="majorHAnsi" w:hAnsiTheme="majorHAnsi" w:cs="Arial"/>
          <w:sz w:val="22"/>
        </w:rPr>
        <w:t>Inflación</w:t>
      </w:r>
    </w:p>
    <w:p w14:paraId="06A94915" w14:textId="13635E7B" w:rsidR="007343BE" w:rsidRPr="00060053" w:rsidRDefault="007343BE" w:rsidP="00452C71">
      <w:pPr>
        <w:rPr>
          <w:rFonts w:asciiTheme="majorHAnsi" w:hAnsiTheme="majorHAnsi" w:cs="Arial"/>
          <w:sz w:val="22"/>
          <w:szCs w:val="22"/>
        </w:rPr>
      </w:pPr>
    </w:p>
    <w:p w14:paraId="0C503A71" w14:textId="77777777" w:rsidR="0032357E" w:rsidRDefault="0032357E" w:rsidP="00CC5050">
      <w:pPr>
        <w:jc w:val="both"/>
        <w:rPr>
          <w:rFonts w:asciiTheme="majorHAnsi" w:hAnsiTheme="majorHAnsi" w:cs="Arial"/>
          <w:sz w:val="22"/>
          <w:szCs w:val="22"/>
        </w:rPr>
      </w:pPr>
      <w:r w:rsidRPr="00060053">
        <w:rPr>
          <w:rFonts w:asciiTheme="majorHAnsi" w:hAnsiTheme="majorHAnsi" w:cs="Arial"/>
          <w:sz w:val="22"/>
          <w:szCs w:val="22"/>
        </w:rPr>
        <w:t>En relación con la estimación de gastos e inversión se consideraron las necesidades institucionales, y las directrices que para tal efecto dictó la Junta Directiva del Banco Central de Costa Rica y el CONASSIF.</w:t>
      </w:r>
    </w:p>
    <w:p w14:paraId="076A0917" w14:textId="77777777" w:rsidR="0032357E" w:rsidRDefault="0032357E" w:rsidP="00CC5050">
      <w:pPr>
        <w:jc w:val="both"/>
        <w:rPr>
          <w:rFonts w:asciiTheme="majorHAnsi" w:hAnsiTheme="majorHAnsi" w:cs="Arial"/>
          <w:sz w:val="22"/>
          <w:szCs w:val="22"/>
        </w:rPr>
      </w:pPr>
    </w:p>
    <w:p w14:paraId="06A94916" w14:textId="7CDEB8F2" w:rsidR="007343BE" w:rsidRPr="003606E7" w:rsidRDefault="00CC5050" w:rsidP="00CC5050">
      <w:pPr>
        <w:jc w:val="both"/>
        <w:rPr>
          <w:rFonts w:asciiTheme="majorHAnsi" w:hAnsiTheme="majorHAnsi" w:cs="Arial"/>
          <w:sz w:val="22"/>
          <w:szCs w:val="22"/>
        </w:rPr>
      </w:pPr>
      <w:r>
        <w:rPr>
          <w:rFonts w:asciiTheme="majorHAnsi" w:hAnsiTheme="majorHAnsi" w:cs="Arial"/>
          <w:sz w:val="22"/>
          <w:szCs w:val="22"/>
        </w:rPr>
        <w:t>Por lo tanto, p</w:t>
      </w:r>
      <w:r w:rsidR="007343BE" w:rsidRPr="003606E7">
        <w:rPr>
          <w:rFonts w:asciiTheme="majorHAnsi" w:hAnsiTheme="majorHAnsi" w:cs="Arial"/>
          <w:sz w:val="22"/>
          <w:szCs w:val="22"/>
        </w:rPr>
        <w:t xml:space="preserve">ara </w:t>
      </w:r>
      <w:r w:rsidR="00186E87" w:rsidRPr="003606E7">
        <w:rPr>
          <w:rFonts w:asciiTheme="majorHAnsi" w:hAnsiTheme="majorHAnsi" w:cs="Arial"/>
          <w:sz w:val="22"/>
          <w:szCs w:val="22"/>
        </w:rPr>
        <w:t>presupuestar los</w:t>
      </w:r>
      <w:r w:rsidR="007343BE" w:rsidRPr="003606E7">
        <w:rPr>
          <w:rFonts w:asciiTheme="majorHAnsi" w:hAnsiTheme="majorHAnsi" w:cs="Arial"/>
          <w:sz w:val="22"/>
          <w:szCs w:val="22"/>
        </w:rPr>
        <w:t xml:space="preserve"> colones de los requerimientos</w:t>
      </w:r>
      <w:r w:rsidR="00C75828">
        <w:rPr>
          <w:rFonts w:asciiTheme="majorHAnsi" w:hAnsiTheme="majorHAnsi" w:cs="Arial"/>
          <w:sz w:val="22"/>
          <w:szCs w:val="22"/>
        </w:rPr>
        <w:t xml:space="preserve"> y compromisos </w:t>
      </w:r>
      <w:r w:rsidR="007343BE" w:rsidRPr="003606E7">
        <w:rPr>
          <w:rFonts w:asciiTheme="majorHAnsi" w:hAnsiTheme="majorHAnsi" w:cs="Arial"/>
          <w:sz w:val="22"/>
          <w:szCs w:val="22"/>
        </w:rPr>
        <w:t xml:space="preserve">cuyos costos están dados en dólares, se está utilizando el tipo de cambio, proyectado </w:t>
      </w:r>
      <w:r w:rsidR="007343BE" w:rsidRPr="00E453F3">
        <w:rPr>
          <w:rFonts w:asciiTheme="majorHAnsi" w:hAnsiTheme="majorHAnsi" w:cs="Arial"/>
          <w:sz w:val="22"/>
          <w:szCs w:val="22"/>
        </w:rPr>
        <w:t xml:space="preserve">de </w:t>
      </w:r>
      <w:r w:rsidR="00E453F3" w:rsidRPr="00852412">
        <w:rPr>
          <w:rFonts w:asciiTheme="majorHAnsi" w:hAnsiTheme="majorHAnsi" w:cs="Arial"/>
          <w:sz w:val="22"/>
          <w:szCs w:val="22"/>
        </w:rPr>
        <w:t>5</w:t>
      </w:r>
      <w:r w:rsidR="00852412" w:rsidRPr="00852412">
        <w:rPr>
          <w:rFonts w:asciiTheme="majorHAnsi" w:hAnsiTheme="majorHAnsi" w:cs="Arial"/>
          <w:sz w:val="22"/>
          <w:szCs w:val="22"/>
        </w:rPr>
        <w:t>47</w:t>
      </w:r>
      <w:r w:rsidR="00927EEF" w:rsidRPr="00852412">
        <w:rPr>
          <w:rFonts w:asciiTheme="majorHAnsi" w:hAnsiTheme="majorHAnsi" w:cs="Arial"/>
          <w:sz w:val="22"/>
          <w:szCs w:val="22"/>
        </w:rPr>
        <w:t>.</w:t>
      </w:r>
      <w:r w:rsidR="00852412" w:rsidRPr="00852412">
        <w:rPr>
          <w:rFonts w:asciiTheme="majorHAnsi" w:hAnsiTheme="majorHAnsi" w:cs="Arial"/>
          <w:sz w:val="22"/>
          <w:szCs w:val="22"/>
        </w:rPr>
        <w:t>36</w:t>
      </w:r>
      <w:r w:rsidR="00927EEF">
        <w:rPr>
          <w:rFonts w:asciiTheme="majorHAnsi" w:hAnsiTheme="majorHAnsi" w:cs="Arial"/>
          <w:sz w:val="22"/>
          <w:szCs w:val="22"/>
        </w:rPr>
        <w:t>,</w:t>
      </w:r>
      <w:r w:rsidR="007343BE" w:rsidRPr="00E453F3">
        <w:rPr>
          <w:rFonts w:asciiTheme="majorHAnsi" w:hAnsiTheme="majorHAnsi" w:cs="Arial"/>
          <w:sz w:val="22"/>
          <w:szCs w:val="22"/>
        </w:rPr>
        <w:t xml:space="preserve"> colones</w:t>
      </w:r>
      <w:r w:rsidR="007343BE" w:rsidRPr="003606E7">
        <w:rPr>
          <w:rFonts w:asciiTheme="majorHAnsi" w:hAnsiTheme="majorHAnsi" w:cs="Arial"/>
          <w:sz w:val="22"/>
          <w:szCs w:val="22"/>
        </w:rPr>
        <w:t xml:space="preserve"> por dólar de los Estados Unidos de América.</w:t>
      </w:r>
    </w:p>
    <w:p w14:paraId="06A94917" w14:textId="40DF4AAC" w:rsidR="007343BE" w:rsidRPr="003606E7" w:rsidRDefault="007343BE" w:rsidP="00452C71">
      <w:pPr>
        <w:rPr>
          <w:rFonts w:asciiTheme="majorHAnsi" w:hAnsiTheme="majorHAnsi" w:cs="Arial"/>
          <w:sz w:val="22"/>
          <w:szCs w:val="22"/>
        </w:rPr>
      </w:pPr>
    </w:p>
    <w:p w14:paraId="568A104A" w14:textId="75B264D8" w:rsidR="00755FCD" w:rsidRDefault="00755FCD" w:rsidP="00426B8C">
      <w:pPr>
        <w:jc w:val="both"/>
        <w:rPr>
          <w:rFonts w:asciiTheme="majorHAnsi" w:hAnsiTheme="majorHAnsi" w:cs="Arial"/>
          <w:sz w:val="22"/>
          <w:szCs w:val="22"/>
        </w:rPr>
      </w:pPr>
      <w:r w:rsidRPr="003606E7">
        <w:rPr>
          <w:rFonts w:asciiTheme="majorHAnsi" w:hAnsiTheme="majorHAnsi" w:cs="Arial"/>
          <w:sz w:val="22"/>
          <w:szCs w:val="22"/>
        </w:rPr>
        <w:lastRenderedPageBreak/>
        <w:t xml:space="preserve">Con respecto a la inflación anual </w:t>
      </w:r>
      <w:r>
        <w:rPr>
          <w:rFonts w:asciiTheme="majorHAnsi" w:hAnsiTheme="majorHAnsi" w:cs="Arial"/>
          <w:sz w:val="22"/>
          <w:szCs w:val="22"/>
        </w:rPr>
        <w:t>e</w:t>
      </w:r>
      <w:r w:rsidRPr="009656BF">
        <w:rPr>
          <w:rFonts w:asciiTheme="majorHAnsi" w:hAnsiTheme="majorHAnsi" w:cs="Arial"/>
          <w:sz w:val="22"/>
          <w:szCs w:val="22"/>
        </w:rPr>
        <w:t>l Banco Central de Costa Rica mantiene la meta inflacionaria en 4% ± 1 punto porcentual (p.p.), tal como fue</w:t>
      </w:r>
      <w:r>
        <w:rPr>
          <w:rFonts w:asciiTheme="majorHAnsi" w:hAnsiTheme="majorHAnsi" w:cs="Arial"/>
          <w:sz w:val="22"/>
          <w:szCs w:val="22"/>
        </w:rPr>
        <w:t xml:space="preserve"> </w:t>
      </w:r>
      <w:r w:rsidRPr="009656BF">
        <w:rPr>
          <w:rFonts w:asciiTheme="majorHAnsi" w:hAnsiTheme="majorHAnsi" w:cs="Arial"/>
          <w:sz w:val="22"/>
          <w:szCs w:val="22"/>
        </w:rPr>
        <w:t>establecido por la Junta Directiva el pasado mes de enero.</w:t>
      </w:r>
    </w:p>
    <w:p w14:paraId="0A761586" w14:textId="78A15846" w:rsidR="009656BF" w:rsidRPr="009656BF" w:rsidRDefault="009656BF" w:rsidP="00426B8C">
      <w:pPr>
        <w:jc w:val="both"/>
        <w:rPr>
          <w:rFonts w:asciiTheme="majorHAnsi" w:hAnsiTheme="majorHAnsi" w:cs="Arial"/>
          <w:sz w:val="22"/>
          <w:szCs w:val="22"/>
        </w:rPr>
      </w:pPr>
    </w:p>
    <w:p w14:paraId="286B798B" w14:textId="1D41217E" w:rsidR="00486F3C" w:rsidRDefault="00486F3C" w:rsidP="00486F3C">
      <w:pPr>
        <w:jc w:val="both"/>
        <w:rPr>
          <w:rFonts w:asciiTheme="majorHAnsi" w:hAnsiTheme="majorHAnsi" w:cs="Arial"/>
          <w:sz w:val="22"/>
          <w:szCs w:val="22"/>
        </w:rPr>
      </w:pPr>
      <w:r w:rsidRPr="00486F3C">
        <w:rPr>
          <w:rFonts w:asciiTheme="majorHAnsi" w:hAnsiTheme="majorHAnsi" w:cs="Arial"/>
          <w:sz w:val="22"/>
          <w:szCs w:val="22"/>
        </w:rPr>
        <w:t>En el segundo semestre del 2014 la inflación se ubicó por encima del límite superior del rango</w:t>
      </w:r>
      <w:r w:rsidR="00755FCD">
        <w:rPr>
          <w:rFonts w:asciiTheme="majorHAnsi" w:hAnsiTheme="majorHAnsi" w:cs="Arial"/>
          <w:sz w:val="22"/>
          <w:szCs w:val="22"/>
        </w:rPr>
        <w:t xml:space="preserve"> </w:t>
      </w:r>
      <w:r w:rsidRPr="00486F3C">
        <w:rPr>
          <w:rFonts w:asciiTheme="majorHAnsi" w:hAnsiTheme="majorHAnsi" w:cs="Arial"/>
          <w:sz w:val="22"/>
          <w:szCs w:val="22"/>
        </w:rPr>
        <w:t>meta (4% ± 1 p.p.), por lo que el Banco Central tanto en julio del 2014 como en enero pasado</w:t>
      </w:r>
      <w:r w:rsidR="00755FCD">
        <w:rPr>
          <w:rFonts w:asciiTheme="majorHAnsi" w:hAnsiTheme="majorHAnsi" w:cs="Arial"/>
          <w:sz w:val="22"/>
          <w:szCs w:val="22"/>
        </w:rPr>
        <w:t xml:space="preserve"> </w:t>
      </w:r>
      <w:r w:rsidRPr="00486F3C">
        <w:rPr>
          <w:rFonts w:asciiTheme="majorHAnsi" w:hAnsiTheme="majorHAnsi" w:cs="Arial"/>
          <w:sz w:val="22"/>
          <w:szCs w:val="22"/>
        </w:rPr>
        <w:t>señaló que existía una alta probabilidad de que ésta retornara al rango meta en el 2015; este</w:t>
      </w:r>
      <w:r w:rsidR="00755FCD">
        <w:rPr>
          <w:rFonts w:asciiTheme="majorHAnsi" w:hAnsiTheme="majorHAnsi" w:cs="Arial"/>
          <w:sz w:val="22"/>
          <w:szCs w:val="22"/>
        </w:rPr>
        <w:t xml:space="preserve"> </w:t>
      </w:r>
      <w:r w:rsidRPr="00486F3C">
        <w:rPr>
          <w:rFonts w:asciiTheme="majorHAnsi" w:hAnsiTheme="majorHAnsi" w:cs="Arial"/>
          <w:sz w:val="22"/>
          <w:szCs w:val="22"/>
        </w:rPr>
        <w:t>proceso ocurrió antes y con mayor intensidad de lo previsto.</w:t>
      </w:r>
    </w:p>
    <w:p w14:paraId="7CA1616D" w14:textId="77777777" w:rsidR="00755FCD" w:rsidRPr="00486F3C" w:rsidRDefault="00755FCD" w:rsidP="00486F3C">
      <w:pPr>
        <w:jc w:val="both"/>
        <w:rPr>
          <w:rFonts w:asciiTheme="majorHAnsi" w:hAnsiTheme="majorHAnsi" w:cs="Arial"/>
          <w:sz w:val="22"/>
          <w:szCs w:val="22"/>
        </w:rPr>
      </w:pPr>
    </w:p>
    <w:p w14:paraId="1B538F4F" w14:textId="228B25A1" w:rsidR="00486F3C" w:rsidRDefault="00486F3C" w:rsidP="00486F3C">
      <w:pPr>
        <w:jc w:val="both"/>
        <w:rPr>
          <w:rFonts w:asciiTheme="majorHAnsi" w:hAnsiTheme="majorHAnsi" w:cs="Arial"/>
          <w:sz w:val="22"/>
          <w:szCs w:val="22"/>
        </w:rPr>
      </w:pPr>
      <w:r w:rsidRPr="00486F3C">
        <w:rPr>
          <w:rFonts w:asciiTheme="majorHAnsi" w:hAnsiTheme="majorHAnsi" w:cs="Arial"/>
          <w:sz w:val="22"/>
          <w:szCs w:val="22"/>
        </w:rPr>
        <w:t>La inflación general, medida con la variación interanual del Índice de precios al consumidor,</w:t>
      </w:r>
      <w:r w:rsidR="00755FCD">
        <w:rPr>
          <w:rFonts w:asciiTheme="majorHAnsi" w:hAnsiTheme="majorHAnsi" w:cs="Arial"/>
          <w:sz w:val="22"/>
          <w:szCs w:val="22"/>
        </w:rPr>
        <w:t xml:space="preserve"> </w:t>
      </w:r>
      <w:r w:rsidRPr="00486F3C">
        <w:rPr>
          <w:rFonts w:asciiTheme="majorHAnsi" w:hAnsiTheme="majorHAnsi" w:cs="Arial"/>
          <w:sz w:val="22"/>
          <w:szCs w:val="22"/>
        </w:rPr>
        <w:t>efectivamente retornó durante el primer trimestre a ese rango, pero a partir de abril se ubicó por</w:t>
      </w:r>
      <w:r w:rsidR="00755FCD">
        <w:rPr>
          <w:rFonts w:asciiTheme="majorHAnsi" w:hAnsiTheme="majorHAnsi" w:cs="Arial"/>
          <w:sz w:val="22"/>
          <w:szCs w:val="22"/>
        </w:rPr>
        <w:t xml:space="preserve"> </w:t>
      </w:r>
      <w:r w:rsidRPr="00486F3C">
        <w:rPr>
          <w:rFonts w:asciiTheme="majorHAnsi" w:hAnsiTheme="majorHAnsi" w:cs="Arial"/>
          <w:sz w:val="22"/>
          <w:szCs w:val="22"/>
        </w:rPr>
        <w:t>debajo de su límite inferior (1,0% en junio). Por</w:t>
      </w:r>
      <w:r w:rsidR="00755FCD">
        <w:rPr>
          <w:rFonts w:asciiTheme="majorHAnsi" w:hAnsiTheme="majorHAnsi" w:cs="Arial"/>
          <w:sz w:val="22"/>
          <w:szCs w:val="22"/>
        </w:rPr>
        <w:t xml:space="preserve"> </w:t>
      </w:r>
      <w:r w:rsidRPr="00486F3C">
        <w:rPr>
          <w:rFonts w:asciiTheme="majorHAnsi" w:hAnsiTheme="majorHAnsi" w:cs="Arial"/>
          <w:sz w:val="22"/>
          <w:szCs w:val="22"/>
        </w:rPr>
        <w:t>otra parte, la inflación subyacente luego de</w:t>
      </w:r>
      <w:r w:rsidR="00755FCD">
        <w:rPr>
          <w:rFonts w:asciiTheme="majorHAnsi" w:hAnsiTheme="majorHAnsi" w:cs="Arial"/>
          <w:sz w:val="22"/>
          <w:szCs w:val="22"/>
        </w:rPr>
        <w:t xml:space="preserve"> </w:t>
      </w:r>
      <w:r w:rsidRPr="00486F3C">
        <w:rPr>
          <w:rFonts w:asciiTheme="majorHAnsi" w:hAnsiTheme="majorHAnsi" w:cs="Arial"/>
          <w:sz w:val="22"/>
          <w:szCs w:val="22"/>
        </w:rPr>
        <w:t>permanecer dentro del rango objetivo en el</w:t>
      </w:r>
      <w:r w:rsidR="00755FCD">
        <w:rPr>
          <w:rFonts w:asciiTheme="majorHAnsi" w:hAnsiTheme="majorHAnsi" w:cs="Arial"/>
          <w:sz w:val="22"/>
          <w:szCs w:val="22"/>
        </w:rPr>
        <w:t xml:space="preserve"> </w:t>
      </w:r>
      <w:r w:rsidRPr="00486F3C">
        <w:rPr>
          <w:rFonts w:asciiTheme="majorHAnsi" w:hAnsiTheme="majorHAnsi" w:cs="Arial"/>
          <w:sz w:val="22"/>
          <w:szCs w:val="22"/>
        </w:rPr>
        <w:t>2014 y en los primeros cuatro meses del año</w:t>
      </w:r>
      <w:r w:rsidR="00755FCD">
        <w:rPr>
          <w:rFonts w:asciiTheme="majorHAnsi" w:hAnsiTheme="majorHAnsi" w:cs="Arial"/>
          <w:sz w:val="22"/>
          <w:szCs w:val="22"/>
        </w:rPr>
        <w:t xml:space="preserve"> </w:t>
      </w:r>
      <w:r w:rsidRPr="00486F3C">
        <w:rPr>
          <w:rFonts w:asciiTheme="majorHAnsi" w:hAnsiTheme="majorHAnsi" w:cs="Arial"/>
          <w:sz w:val="22"/>
          <w:szCs w:val="22"/>
        </w:rPr>
        <w:t>en curso, se desvió también a la baja y registró</w:t>
      </w:r>
      <w:r w:rsidR="00755FCD">
        <w:rPr>
          <w:rFonts w:asciiTheme="majorHAnsi" w:hAnsiTheme="majorHAnsi" w:cs="Arial"/>
          <w:sz w:val="22"/>
          <w:szCs w:val="22"/>
        </w:rPr>
        <w:t xml:space="preserve"> </w:t>
      </w:r>
      <w:r w:rsidRPr="00486F3C">
        <w:rPr>
          <w:rFonts w:asciiTheme="majorHAnsi" w:hAnsiTheme="majorHAnsi" w:cs="Arial"/>
          <w:sz w:val="22"/>
          <w:szCs w:val="22"/>
        </w:rPr>
        <w:t>en junio una variación interanual de 2,7%.</w:t>
      </w:r>
    </w:p>
    <w:p w14:paraId="1B16C579" w14:textId="77777777" w:rsidR="00755FCD" w:rsidRPr="00486F3C" w:rsidRDefault="00755FCD" w:rsidP="00486F3C">
      <w:pPr>
        <w:jc w:val="both"/>
        <w:rPr>
          <w:rFonts w:asciiTheme="majorHAnsi" w:hAnsiTheme="majorHAnsi" w:cs="Arial"/>
          <w:sz w:val="22"/>
          <w:szCs w:val="22"/>
        </w:rPr>
      </w:pPr>
    </w:p>
    <w:p w14:paraId="10D41239" w14:textId="678AAA82" w:rsidR="00486F3C" w:rsidRDefault="00486F3C" w:rsidP="00486F3C">
      <w:pPr>
        <w:jc w:val="both"/>
        <w:rPr>
          <w:rFonts w:asciiTheme="majorHAnsi" w:hAnsiTheme="majorHAnsi" w:cs="Arial"/>
          <w:sz w:val="22"/>
          <w:szCs w:val="22"/>
        </w:rPr>
      </w:pPr>
      <w:r w:rsidRPr="00486F3C">
        <w:rPr>
          <w:rFonts w:asciiTheme="majorHAnsi" w:hAnsiTheme="majorHAnsi" w:cs="Arial"/>
          <w:sz w:val="22"/>
          <w:szCs w:val="22"/>
        </w:rPr>
        <w:t>Factores externos a la política monetaria</w:t>
      </w:r>
      <w:r w:rsidR="00755FCD">
        <w:rPr>
          <w:rFonts w:asciiTheme="majorHAnsi" w:hAnsiTheme="majorHAnsi" w:cs="Arial"/>
          <w:sz w:val="22"/>
          <w:szCs w:val="22"/>
        </w:rPr>
        <w:t xml:space="preserve"> </w:t>
      </w:r>
      <w:r w:rsidRPr="00486F3C">
        <w:rPr>
          <w:rFonts w:asciiTheme="majorHAnsi" w:hAnsiTheme="majorHAnsi" w:cs="Arial"/>
          <w:sz w:val="22"/>
          <w:szCs w:val="22"/>
        </w:rPr>
        <w:t>explicaron, en buena medida, la desaceleración</w:t>
      </w:r>
      <w:r w:rsidR="00755FCD">
        <w:rPr>
          <w:rFonts w:asciiTheme="majorHAnsi" w:hAnsiTheme="majorHAnsi" w:cs="Arial"/>
          <w:sz w:val="22"/>
          <w:szCs w:val="22"/>
        </w:rPr>
        <w:t xml:space="preserve"> </w:t>
      </w:r>
      <w:r w:rsidRPr="00486F3C">
        <w:rPr>
          <w:rFonts w:asciiTheme="majorHAnsi" w:hAnsiTheme="majorHAnsi" w:cs="Arial"/>
          <w:sz w:val="22"/>
          <w:szCs w:val="22"/>
        </w:rPr>
        <w:t>de la inflación desde diciembre del 2014 y sus</w:t>
      </w:r>
      <w:r w:rsidR="00755FCD">
        <w:rPr>
          <w:rFonts w:asciiTheme="majorHAnsi" w:hAnsiTheme="majorHAnsi" w:cs="Arial"/>
          <w:sz w:val="22"/>
          <w:szCs w:val="22"/>
        </w:rPr>
        <w:t xml:space="preserve"> </w:t>
      </w:r>
      <w:r w:rsidRPr="00486F3C">
        <w:rPr>
          <w:rFonts w:asciiTheme="majorHAnsi" w:hAnsiTheme="majorHAnsi" w:cs="Arial"/>
          <w:sz w:val="22"/>
          <w:szCs w:val="22"/>
        </w:rPr>
        <w:t>desvíos recientes. Además, pese a que la</w:t>
      </w:r>
      <w:r w:rsidR="00755FCD">
        <w:rPr>
          <w:rFonts w:asciiTheme="majorHAnsi" w:hAnsiTheme="majorHAnsi" w:cs="Arial"/>
          <w:sz w:val="22"/>
          <w:szCs w:val="22"/>
        </w:rPr>
        <w:t xml:space="preserve"> </w:t>
      </w:r>
      <w:r w:rsidRPr="00486F3C">
        <w:rPr>
          <w:rFonts w:asciiTheme="majorHAnsi" w:hAnsiTheme="majorHAnsi" w:cs="Arial"/>
          <w:sz w:val="22"/>
          <w:szCs w:val="22"/>
        </w:rPr>
        <w:t>naturaleza de estos eventos es transitoria, su</w:t>
      </w:r>
      <w:r w:rsidR="00755FCD">
        <w:rPr>
          <w:rFonts w:asciiTheme="majorHAnsi" w:hAnsiTheme="majorHAnsi" w:cs="Arial"/>
          <w:sz w:val="22"/>
          <w:szCs w:val="22"/>
        </w:rPr>
        <w:t xml:space="preserve"> </w:t>
      </w:r>
      <w:r w:rsidRPr="00486F3C">
        <w:rPr>
          <w:rFonts w:asciiTheme="majorHAnsi" w:hAnsiTheme="majorHAnsi" w:cs="Arial"/>
          <w:sz w:val="22"/>
          <w:szCs w:val="22"/>
        </w:rPr>
        <w:t>efecto estará aún presente en la mayor parte</w:t>
      </w:r>
      <w:r w:rsidR="00755FCD">
        <w:rPr>
          <w:rFonts w:asciiTheme="majorHAnsi" w:hAnsiTheme="majorHAnsi" w:cs="Arial"/>
          <w:sz w:val="22"/>
          <w:szCs w:val="22"/>
        </w:rPr>
        <w:t xml:space="preserve"> </w:t>
      </w:r>
      <w:r w:rsidRPr="00486F3C">
        <w:rPr>
          <w:rFonts w:asciiTheme="majorHAnsi" w:hAnsiTheme="majorHAnsi" w:cs="Arial"/>
          <w:sz w:val="22"/>
          <w:szCs w:val="22"/>
        </w:rPr>
        <w:t>del segundo semestre del 2015.</w:t>
      </w:r>
    </w:p>
    <w:p w14:paraId="6A76B856" w14:textId="77777777" w:rsidR="00755FCD" w:rsidRPr="00486F3C" w:rsidRDefault="00755FCD" w:rsidP="00486F3C">
      <w:pPr>
        <w:jc w:val="both"/>
        <w:rPr>
          <w:rFonts w:asciiTheme="majorHAnsi" w:hAnsiTheme="majorHAnsi" w:cs="Arial"/>
          <w:sz w:val="22"/>
          <w:szCs w:val="22"/>
        </w:rPr>
      </w:pPr>
    </w:p>
    <w:p w14:paraId="6C338C82" w14:textId="14B9721E" w:rsidR="00852412" w:rsidRDefault="00486F3C" w:rsidP="00486F3C">
      <w:pPr>
        <w:jc w:val="both"/>
        <w:rPr>
          <w:rFonts w:asciiTheme="majorHAnsi" w:hAnsiTheme="majorHAnsi" w:cs="Arial"/>
          <w:sz w:val="22"/>
          <w:szCs w:val="22"/>
        </w:rPr>
      </w:pPr>
      <w:r w:rsidRPr="00486F3C">
        <w:rPr>
          <w:rFonts w:asciiTheme="majorHAnsi" w:hAnsiTheme="majorHAnsi" w:cs="Arial"/>
          <w:sz w:val="22"/>
          <w:szCs w:val="22"/>
        </w:rPr>
        <w:t>De estos factores destacaron: i) la menor</w:t>
      </w:r>
      <w:r w:rsidR="00755FCD">
        <w:rPr>
          <w:rFonts w:asciiTheme="majorHAnsi" w:hAnsiTheme="majorHAnsi" w:cs="Arial"/>
          <w:sz w:val="22"/>
          <w:szCs w:val="22"/>
        </w:rPr>
        <w:t xml:space="preserve"> </w:t>
      </w:r>
      <w:r w:rsidRPr="00486F3C">
        <w:rPr>
          <w:rFonts w:asciiTheme="majorHAnsi" w:hAnsiTheme="majorHAnsi" w:cs="Arial"/>
          <w:sz w:val="22"/>
          <w:szCs w:val="22"/>
        </w:rPr>
        <w:t>presión inflacionaria de origen importado, por</w:t>
      </w:r>
      <w:r w:rsidR="00755FCD">
        <w:rPr>
          <w:rFonts w:asciiTheme="majorHAnsi" w:hAnsiTheme="majorHAnsi" w:cs="Arial"/>
          <w:sz w:val="22"/>
          <w:szCs w:val="22"/>
        </w:rPr>
        <w:t xml:space="preserve"> </w:t>
      </w:r>
      <w:r w:rsidRPr="00486F3C">
        <w:rPr>
          <w:rFonts w:asciiTheme="majorHAnsi" w:hAnsiTheme="majorHAnsi" w:cs="Arial"/>
          <w:sz w:val="22"/>
          <w:szCs w:val="22"/>
        </w:rPr>
        <w:t>los bajos precios de materias primas; en</w:t>
      </w:r>
      <w:r w:rsidR="00755FCD">
        <w:rPr>
          <w:rFonts w:asciiTheme="majorHAnsi" w:hAnsiTheme="majorHAnsi" w:cs="Arial"/>
          <w:sz w:val="22"/>
          <w:szCs w:val="22"/>
        </w:rPr>
        <w:t xml:space="preserve"> </w:t>
      </w:r>
      <w:r w:rsidRPr="00486F3C">
        <w:rPr>
          <w:rFonts w:asciiTheme="majorHAnsi" w:hAnsiTheme="majorHAnsi" w:cs="Arial"/>
          <w:sz w:val="22"/>
          <w:szCs w:val="22"/>
        </w:rPr>
        <w:t>especial petróleo y sus derivados; ii) la</w:t>
      </w:r>
      <w:r w:rsidR="00755FCD">
        <w:rPr>
          <w:rFonts w:asciiTheme="majorHAnsi" w:hAnsiTheme="majorHAnsi" w:cs="Arial"/>
          <w:sz w:val="22"/>
          <w:szCs w:val="22"/>
        </w:rPr>
        <w:t xml:space="preserve"> </w:t>
      </w:r>
      <w:r w:rsidRPr="00486F3C">
        <w:rPr>
          <w:rFonts w:asciiTheme="majorHAnsi" w:hAnsiTheme="majorHAnsi" w:cs="Arial"/>
          <w:sz w:val="22"/>
          <w:szCs w:val="22"/>
        </w:rPr>
        <w:t>reducción en algunas tarifas de servicios</w:t>
      </w:r>
      <w:r w:rsidR="00755FCD">
        <w:rPr>
          <w:rFonts w:asciiTheme="majorHAnsi" w:hAnsiTheme="majorHAnsi" w:cs="Arial"/>
          <w:sz w:val="22"/>
          <w:szCs w:val="22"/>
        </w:rPr>
        <w:t xml:space="preserve"> </w:t>
      </w:r>
      <w:r w:rsidRPr="00486F3C">
        <w:rPr>
          <w:rFonts w:asciiTheme="majorHAnsi" w:hAnsiTheme="majorHAnsi" w:cs="Arial"/>
          <w:sz w:val="22"/>
          <w:szCs w:val="22"/>
        </w:rPr>
        <w:t>públicos, destacando electricidad y; iii)</w:t>
      </w:r>
      <w:r w:rsidR="00755FCD">
        <w:rPr>
          <w:rFonts w:asciiTheme="majorHAnsi" w:hAnsiTheme="majorHAnsi" w:cs="Arial"/>
          <w:sz w:val="22"/>
          <w:szCs w:val="22"/>
        </w:rPr>
        <w:t xml:space="preserve"> </w:t>
      </w:r>
      <w:r w:rsidRPr="00486F3C">
        <w:rPr>
          <w:rFonts w:asciiTheme="majorHAnsi" w:hAnsiTheme="majorHAnsi" w:cs="Arial"/>
          <w:sz w:val="22"/>
          <w:szCs w:val="22"/>
        </w:rPr>
        <w:t>incremento en la oferta de algunos productos agrícolas, con la consecuente reducción en su</w:t>
      </w:r>
      <w:r w:rsidR="00755FCD">
        <w:rPr>
          <w:rFonts w:asciiTheme="majorHAnsi" w:hAnsiTheme="majorHAnsi" w:cs="Arial"/>
          <w:sz w:val="22"/>
          <w:szCs w:val="22"/>
        </w:rPr>
        <w:t xml:space="preserve"> </w:t>
      </w:r>
      <w:r w:rsidRPr="00486F3C">
        <w:rPr>
          <w:rFonts w:asciiTheme="majorHAnsi" w:hAnsiTheme="majorHAnsi" w:cs="Arial"/>
          <w:sz w:val="22"/>
          <w:szCs w:val="22"/>
        </w:rPr>
        <w:t>precio.</w:t>
      </w:r>
    </w:p>
    <w:p w14:paraId="7FF733A7" w14:textId="77777777" w:rsidR="009656BF" w:rsidRPr="009656BF" w:rsidRDefault="009656BF" w:rsidP="009656BF">
      <w:pPr>
        <w:jc w:val="both"/>
        <w:rPr>
          <w:rFonts w:asciiTheme="majorHAnsi" w:hAnsiTheme="majorHAnsi" w:cs="Arial"/>
          <w:sz w:val="22"/>
          <w:szCs w:val="22"/>
        </w:rPr>
      </w:pPr>
    </w:p>
    <w:p w14:paraId="4B7273D9" w14:textId="77777777" w:rsidR="00354BDB" w:rsidRPr="009656BF" w:rsidRDefault="00354BDB" w:rsidP="009656BF">
      <w:pPr>
        <w:jc w:val="both"/>
        <w:rPr>
          <w:rFonts w:asciiTheme="majorHAnsi" w:hAnsiTheme="majorHAnsi" w:cs="Arial"/>
          <w:sz w:val="22"/>
          <w:szCs w:val="22"/>
        </w:rPr>
      </w:pPr>
    </w:p>
    <w:p w14:paraId="06A9491C" w14:textId="7B4257CF" w:rsidR="00C67008" w:rsidRDefault="00C67008" w:rsidP="00145B06">
      <w:pPr>
        <w:rPr>
          <w:rFonts w:asciiTheme="majorHAnsi" w:hAnsiTheme="majorHAnsi"/>
          <w:b/>
          <w:sz w:val="22"/>
          <w:szCs w:val="22"/>
        </w:rPr>
      </w:pPr>
      <w:r w:rsidRPr="00EE0A1A">
        <w:rPr>
          <w:rFonts w:asciiTheme="majorHAnsi" w:hAnsiTheme="majorHAnsi"/>
          <w:b/>
          <w:sz w:val="22"/>
          <w:szCs w:val="22"/>
        </w:rPr>
        <w:t>Análisis del Entorno</w:t>
      </w:r>
      <w:r w:rsidR="0004523B" w:rsidRPr="00EE0A1A">
        <w:rPr>
          <w:rFonts w:asciiTheme="majorHAnsi" w:hAnsiTheme="majorHAnsi"/>
          <w:b/>
          <w:sz w:val="22"/>
          <w:szCs w:val="22"/>
        </w:rPr>
        <w:t xml:space="preserve"> FOD</w:t>
      </w:r>
      <w:r w:rsidRPr="00EE0A1A">
        <w:rPr>
          <w:rFonts w:asciiTheme="majorHAnsi" w:hAnsiTheme="majorHAnsi"/>
          <w:b/>
          <w:sz w:val="22"/>
          <w:szCs w:val="22"/>
        </w:rPr>
        <w:t>A</w:t>
      </w:r>
      <w:r w:rsidR="00106F09">
        <w:rPr>
          <w:rFonts w:asciiTheme="majorHAnsi" w:hAnsiTheme="majorHAnsi"/>
          <w:b/>
          <w:sz w:val="22"/>
          <w:szCs w:val="22"/>
        </w:rPr>
        <w:t xml:space="preserve"> durante el año 2014</w:t>
      </w:r>
    </w:p>
    <w:p w14:paraId="325829A4" w14:textId="77777777" w:rsidR="00106F09" w:rsidRPr="00EE0A1A" w:rsidRDefault="00106F09" w:rsidP="00145B06">
      <w:pPr>
        <w:rPr>
          <w:rFonts w:asciiTheme="majorHAnsi" w:hAnsiTheme="majorHAnsi"/>
          <w:b/>
          <w:sz w:val="22"/>
          <w:szCs w:val="22"/>
        </w:rPr>
      </w:pPr>
    </w:p>
    <w:p w14:paraId="06A9491E" w14:textId="1EDACE5E" w:rsidR="00B44062" w:rsidRDefault="00D62734" w:rsidP="00B44062">
      <w:pPr>
        <w:widowControl w:val="0"/>
        <w:jc w:val="both"/>
        <w:rPr>
          <w:rFonts w:asciiTheme="majorHAnsi" w:hAnsiTheme="majorHAnsi"/>
          <w:iCs/>
          <w:sz w:val="22"/>
          <w:szCs w:val="22"/>
          <w:lang w:val="es-ES_tradnl"/>
        </w:rPr>
      </w:pPr>
      <w:r w:rsidRPr="00106F09">
        <w:rPr>
          <w:rFonts w:asciiTheme="majorHAnsi" w:hAnsiTheme="majorHAnsi"/>
          <w:iCs/>
          <w:sz w:val="22"/>
          <w:szCs w:val="22"/>
          <w:lang w:val="es-ES_tradnl"/>
        </w:rPr>
        <w:t>En</w:t>
      </w:r>
      <w:r w:rsidR="00106F09">
        <w:rPr>
          <w:rFonts w:asciiTheme="majorHAnsi" w:hAnsiTheme="majorHAnsi"/>
          <w:iCs/>
          <w:sz w:val="22"/>
          <w:szCs w:val="22"/>
          <w:lang w:val="es-ES_tradnl"/>
        </w:rPr>
        <w:t xml:space="preserve"> el año 2014 </w:t>
      </w:r>
      <w:r w:rsidRPr="00106F09">
        <w:rPr>
          <w:rFonts w:asciiTheme="majorHAnsi" w:hAnsiTheme="majorHAnsi"/>
          <w:iCs/>
          <w:sz w:val="22"/>
          <w:szCs w:val="22"/>
          <w:lang w:val="es-ES_tradnl"/>
        </w:rPr>
        <w:t>l</w:t>
      </w:r>
      <w:r w:rsidR="005D07E0" w:rsidRPr="00106F09">
        <w:rPr>
          <w:rFonts w:asciiTheme="majorHAnsi" w:hAnsiTheme="majorHAnsi"/>
          <w:iCs/>
          <w:sz w:val="22"/>
          <w:szCs w:val="22"/>
          <w:lang w:val="es-ES_tradnl"/>
        </w:rPr>
        <w:t>a</w:t>
      </w:r>
      <w:r w:rsidR="005D07E0" w:rsidRPr="00EE0A1A">
        <w:rPr>
          <w:rFonts w:asciiTheme="majorHAnsi" w:hAnsiTheme="majorHAnsi"/>
          <w:iCs/>
          <w:sz w:val="22"/>
          <w:szCs w:val="22"/>
          <w:lang w:val="es-ES_tradnl"/>
        </w:rPr>
        <w:t xml:space="preserve"> Superintendencia </w:t>
      </w:r>
      <w:r w:rsidR="00106F09">
        <w:rPr>
          <w:rFonts w:asciiTheme="majorHAnsi" w:hAnsiTheme="majorHAnsi"/>
          <w:iCs/>
          <w:sz w:val="22"/>
          <w:szCs w:val="22"/>
          <w:lang w:val="es-ES_tradnl"/>
        </w:rPr>
        <w:t>realizó un</w:t>
      </w:r>
      <w:r w:rsidR="005D07E0" w:rsidRPr="00EE0A1A">
        <w:rPr>
          <w:rFonts w:asciiTheme="majorHAnsi" w:hAnsiTheme="majorHAnsi"/>
          <w:iCs/>
          <w:sz w:val="22"/>
          <w:szCs w:val="22"/>
          <w:lang w:val="es-ES_tradnl"/>
        </w:rPr>
        <w:t xml:space="preserve"> ejercicio del análisis de los distintos hechos que tienen impacto en el quehacer, tanto aquellos que son internos como externos, con el </w:t>
      </w:r>
      <w:r w:rsidR="00E1422B" w:rsidRPr="00EE0A1A">
        <w:rPr>
          <w:rFonts w:asciiTheme="majorHAnsi" w:hAnsiTheme="majorHAnsi"/>
          <w:iCs/>
          <w:sz w:val="22"/>
          <w:szCs w:val="22"/>
          <w:lang w:val="es-ES_tradnl"/>
        </w:rPr>
        <w:t>objeto</w:t>
      </w:r>
      <w:r w:rsidR="005D07E0" w:rsidRPr="00EE0A1A">
        <w:rPr>
          <w:rFonts w:asciiTheme="majorHAnsi" w:hAnsiTheme="majorHAnsi"/>
          <w:iCs/>
          <w:sz w:val="22"/>
          <w:szCs w:val="22"/>
          <w:lang w:val="es-ES_tradnl"/>
        </w:rPr>
        <w:t xml:space="preserve"> de tomar en cuenta dentro del “Plan Estratégico” actividades que permitan aprovechar las oportunidades y fortalezas para atacar las debilidades y aquellas amenazas que sean controlables</w:t>
      </w:r>
      <w:r w:rsidR="00B44062" w:rsidRPr="00EE0A1A">
        <w:rPr>
          <w:rFonts w:asciiTheme="majorHAnsi" w:hAnsiTheme="majorHAnsi"/>
          <w:iCs/>
          <w:sz w:val="22"/>
          <w:szCs w:val="22"/>
          <w:lang w:val="es-ES_tradnl"/>
        </w:rPr>
        <w:t>.</w:t>
      </w:r>
    </w:p>
    <w:p w14:paraId="6F7B3D29" w14:textId="4273727E" w:rsidR="00EE0A1A" w:rsidRPr="00545D1D" w:rsidRDefault="00EE0A1A" w:rsidP="00EE0A1A">
      <w:pPr>
        <w:pStyle w:val="Descripcin"/>
        <w:jc w:val="center"/>
        <w:rPr>
          <w:rFonts w:asciiTheme="majorHAnsi" w:hAnsiTheme="majorHAnsi"/>
        </w:rPr>
      </w:pPr>
      <w:r w:rsidRPr="00545D1D">
        <w:rPr>
          <w:rFonts w:asciiTheme="majorHAnsi" w:hAnsiTheme="majorHAnsi"/>
        </w:rPr>
        <w:t>Análisis FODA</w:t>
      </w:r>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8"/>
        <w:gridCol w:w="4308"/>
      </w:tblGrid>
      <w:tr w:rsidR="00EE0A1A" w:rsidRPr="00545D1D" w14:paraId="2ABAE1E8" w14:textId="77777777" w:rsidTr="000C5C07">
        <w:trPr>
          <w:tblHeader/>
          <w:jc w:val="center"/>
        </w:trPr>
        <w:tc>
          <w:tcPr>
            <w:tcW w:w="4308" w:type="dxa"/>
            <w:shd w:val="clear" w:color="auto" w:fill="B8CCE4"/>
          </w:tcPr>
          <w:p w14:paraId="65E651D7" w14:textId="77777777" w:rsidR="00EE0A1A" w:rsidRPr="00545D1D" w:rsidRDefault="00EE0A1A" w:rsidP="00EE0A1A">
            <w:pPr>
              <w:spacing w:before="240" w:after="240"/>
              <w:jc w:val="center"/>
              <w:rPr>
                <w:rFonts w:asciiTheme="majorHAnsi" w:hAnsiTheme="majorHAnsi"/>
                <w:b/>
                <w:sz w:val="20"/>
                <w:szCs w:val="20"/>
              </w:rPr>
            </w:pPr>
            <w:r w:rsidRPr="00545D1D">
              <w:rPr>
                <w:rFonts w:asciiTheme="majorHAnsi" w:hAnsiTheme="majorHAnsi"/>
                <w:b/>
                <w:sz w:val="20"/>
                <w:szCs w:val="20"/>
              </w:rPr>
              <w:t>Fortalezas</w:t>
            </w:r>
          </w:p>
        </w:tc>
        <w:tc>
          <w:tcPr>
            <w:tcW w:w="4308" w:type="dxa"/>
            <w:shd w:val="clear" w:color="auto" w:fill="B8CCE4"/>
          </w:tcPr>
          <w:p w14:paraId="4FDEA05D" w14:textId="77777777" w:rsidR="00EE0A1A" w:rsidRPr="00545D1D" w:rsidRDefault="00EE0A1A" w:rsidP="00EE0A1A">
            <w:pPr>
              <w:spacing w:before="240" w:after="240"/>
              <w:jc w:val="center"/>
              <w:rPr>
                <w:rFonts w:asciiTheme="majorHAnsi" w:hAnsiTheme="majorHAnsi"/>
                <w:b/>
                <w:sz w:val="20"/>
                <w:szCs w:val="20"/>
              </w:rPr>
            </w:pPr>
            <w:r w:rsidRPr="00545D1D">
              <w:rPr>
                <w:rFonts w:asciiTheme="majorHAnsi" w:hAnsiTheme="majorHAnsi"/>
                <w:b/>
                <w:sz w:val="20"/>
                <w:szCs w:val="20"/>
              </w:rPr>
              <w:t>Debilidades</w:t>
            </w:r>
          </w:p>
        </w:tc>
      </w:tr>
      <w:tr w:rsidR="00EE0A1A" w:rsidRPr="00545D1D" w14:paraId="5603439B" w14:textId="77777777" w:rsidTr="000C5C07">
        <w:trPr>
          <w:jc w:val="center"/>
        </w:trPr>
        <w:tc>
          <w:tcPr>
            <w:tcW w:w="4308" w:type="dxa"/>
            <w:tcBorders>
              <w:bottom w:val="single" w:sz="4" w:space="0" w:color="auto"/>
            </w:tcBorders>
          </w:tcPr>
          <w:p w14:paraId="55CA7250" w14:textId="77777777" w:rsidR="00EE0A1A" w:rsidRPr="00545D1D" w:rsidRDefault="00EE0A1A" w:rsidP="00EE0A1A">
            <w:pPr>
              <w:jc w:val="both"/>
              <w:rPr>
                <w:rFonts w:asciiTheme="majorHAnsi" w:hAnsiTheme="majorHAnsi"/>
                <w:sz w:val="20"/>
                <w:szCs w:val="20"/>
              </w:rPr>
            </w:pPr>
          </w:p>
          <w:p w14:paraId="5E795E1E" w14:textId="77777777" w:rsidR="00EE0A1A" w:rsidRPr="00545D1D" w:rsidRDefault="00EE0A1A" w:rsidP="00547B19">
            <w:pPr>
              <w:numPr>
                <w:ilvl w:val="0"/>
                <w:numId w:val="56"/>
              </w:numPr>
              <w:jc w:val="both"/>
              <w:rPr>
                <w:rFonts w:asciiTheme="majorHAnsi" w:hAnsiTheme="majorHAnsi"/>
                <w:sz w:val="20"/>
                <w:szCs w:val="20"/>
              </w:rPr>
            </w:pPr>
            <w:r w:rsidRPr="00545D1D">
              <w:rPr>
                <w:rFonts w:asciiTheme="majorHAnsi" w:hAnsiTheme="majorHAnsi"/>
                <w:sz w:val="20"/>
                <w:szCs w:val="20"/>
              </w:rPr>
              <w:t>Cultura en la aplicación de un modelo de supervisión basado en riesgos.</w:t>
            </w:r>
          </w:p>
          <w:p w14:paraId="711C80C2" w14:textId="77777777" w:rsidR="00EE0A1A" w:rsidRPr="00545D1D" w:rsidRDefault="00EE0A1A" w:rsidP="00547B19">
            <w:pPr>
              <w:numPr>
                <w:ilvl w:val="0"/>
                <w:numId w:val="56"/>
              </w:numPr>
              <w:jc w:val="both"/>
              <w:rPr>
                <w:rFonts w:asciiTheme="majorHAnsi" w:hAnsiTheme="majorHAnsi"/>
                <w:sz w:val="20"/>
                <w:szCs w:val="20"/>
              </w:rPr>
            </w:pPr>
            <w:r w:rsidRPr="00545D1D">
              <w:rPr>
                <w:rFonts w:asciiTheme="majorHAnsi" w:hAnsiTheme="majorHAnsi"/>
                <w:sz w:val="20"/>
                <w:szCs w:val="20"/>
              </w:rPr>
              <w:t>Normativa basada en estándares internacionales.</w:t>
            </w:r>
          </w:p>
          <w:p w14:paraId="6D8486D6" w14:textId="77777777" w:rsidR="00EE0A1A" w:rsidRPr="00545D1D" w:rsidRDefault="00EE0A1A" w:rsidP="00547B19">
            <w:pPr>
              <w:numPr>
                <w:ilvl w:val="0"/>
                <w:numId w:val="56"/>
              </w:numPr>
              <w:jc w:val="both"/>
              <w:rPr>
                <w:rFonts w:asciiTheme="majorHAnsi" w:hAnsiTheme="majorHAnsi"/>
                <w:sz w:val="20"/>
                <w:szCs w:val="20"/>
              </w:rPr>
            </w:pPr>
            <w:r w:rsidRPr="00545D1D">
              <w:rPr>
                <w:rFonts w:asciiTheme="majorHAnsi" w:hAnsiTheme="majorHAnsi"/>
                <w:sz w:val="20"/>
                <w:szCs w:val="20"/>
              </w:rPr>
              <w:t>Sistema Gestión de Calidad  y certificación ISO 9001-2008.</w:t>
            </w:r>
          </w:p>
          <w:p w14:paraId="1035C365" w14:textId="3B8D780C" w:rsidR="00EE0A1A" w:rsidRPr="00545D1D" w:rsidRDefault="00EE0A1A" w:rsidP="00547B19">
            <w:pPr>
              <w:numPr>
                <w:ilvl w:val="0"/>
                <w:numId w:val="56"/>
              </w:numPr>
              <w:jc w:val="both"/>
              <w:rPr>
                <w:rFonts w:asciiTheme="majorHAnsi" w:hAnsiTheme="majorHAnsi"/>
                <w:sz w:val="20"/>
                <w:szCs w:val="20"/>
              </w:rPr>
            </w:pPr>
            <w:r w:rsidRPr="00545D1D">
              <w:rPr>
                <w:rFonts w:asciiTheme="majorHAnsi" w:hAnsiTheme="majorHAnsi"/>
                <w:sz w:val="20"/>
                <w:szCs w:val="20"/>
              </w:rPr>
              <w:t>Personal calificado, competente y con disposición para el aprendizaje.</w:t>
            </w:r>
          </w:p>
          <w:p w14:paraId="7995B2B5" w14:textId="77777777" w:rsidR="00EE0A1A" w:rsidRPr="00545D1D" w:rsidRDefault="00EE0A1A" w:rsidP="00547B19">
            <w:pPr>
              <w:numPr>
                <w:ilvl w:val="0"/>
                <w:numId w:val="56"/>
              </w:numPr>
              <w:jc w:val="both"/>
              <w:rPr>
                <w:rFonts w:asciiTheme="majorHAnsi" w:hAnsiTheme="majorHAnsi"/>
                <w:sz w:val="20"/>
                <w:szCs w:val="20"/>
              </w:rPr>
            </w:pPr>
            <w:r w:rsidRPr="00545D1D">
              <w:rPr>
                <w:rFonts w:asciiTheme="majorHAnsi" w:hAnsiTheme="majorHAnsi"/>
                <w:sz w:val="20"/>
                <w:szCs w:val="20"/>
              </w:rPr>
              <w:t>Ambiente laboral, salarios competitivos e infraestructura adecuada.</w:t>
            </w:r>
          </w:p>
          <w:p w14:paraId="7EF5D2B8" w14:textId="77777777" w:rsidR="00EE0A1A" w:rsidRPr="00545D1D" w:rsidRDefault="00EE0A1A" w:rsidP="00547B19">
            <w:pPr>
              <w:numPr>
                <w:ilvl w:val="0"/>
                <w:numId w:val="56"/>
              </w:numPr>
              <w:jc w:val="both"/>
              <w:rPr>
                <w:rFonts w:asciiTheme="majorHAnsi" w:hAnsiTheme="majorHAnsi"/>
                <w:sz w:val="20"/>
                <w:szCs w:val="20"/>
              </w:rPr>
            </w:pPr>
            <w:r w:rsidRPr="00545D1D">
              <w:rPr>
                <w:rFonts w:asciiTheme="majorHAnsi" w:hAnsiTheme="majorHAnsi"/>
                <w:sz w:val="20"/>
                <w:szCs w:val="20"/>
              </w:rPr>
              <w:lastRenderedPageBreak/>
              <w:t>Herramientas de supervisión con alto contenido tecnológico.</w:t>
            </w:r>
          </w:p>
          <w:p w14:paraId="37A1DE8C" w14:textId="77777777" w:rsidR="00EE0A1A" w:rsidRPr="00545D1D" w:rsidRDefault="00EE0A1A" w:rsidP="00547B19">
            <w:pPr>
              <w:numPr>
                <w:ilvl w:val="0"/>
                <w:numId w:val="56"/>
              </w:numPr>
              <w:jc w:val="both"/>
              <w:rPr>
                <w:rFonts w:asciiTheme="majorHAnsi" w:hAnsiTheme="majorHAnsi"/>
                <w:sz w:val="20"/>
                <w:szCs w:val="20"/>
              </w:rPr>
            </w:pPr>
            <w:r w:rsidRPr="00545D1D">
              <w:rPr>
                <w:rFonts w:asciiTheme="majorHAnsi" w:hAnsiTheme="majorHAnsi"/>
                <w:sz w:val="20"/>
                <w:szCs w:val="20"/>
              </w:rPr>
              <w:t>Infraestructura y actitud para colaborar con la  educación en temas previsionales.</w:t>
            </w:r>
          </w:p>
          <w:p w14:paraId="57E36485" w14:textId="77777777" w:rsidR="00EE0A1A" w:rsidRPr="00545D1D" w:rsidRDefault="00EE0A1A" w:rsidP="00547B19">
            <w:pPr>
              <w:numPr>
                <w:ilvl w:val="0"/>
                <w:numId w:val="56"/>
              </w:numPr>
              <w:jc w:val="both"/>
              <w:rPr>
                <w:rFonts w:asciiTheme="majorHAnsi" w:hAnsiTheme="majorHAnsi"/>
                <w:sz w:val="20"/>
                <w:szCs w:val="20"/>
              </w:rPr>
            </w:pPr>
            <w:r w:rsidRPr="00545D1D">
              <w:rPr>
                <w:rFonts w:asciiTheme="majorHAnsi" w:hAnsiTheme="majorHAnsi"/>
                <w:sz w:val="20"/>
                <w:szCs w:val="20"/>
              </w:rPr>
              <w:t>Cultura organizacional para promover las alianzas estratégicas.</w:t>
            </w:r>
          </w:p>
          <w:p w14:paraId="49941CFB" w14:textId="77777777" w:rsidR="00EE0A1A" w:rsidRPr="00545D1D" w:rsidRDefault="00EE0A1A" w:rsidP="00547B19">
            <w:pPr>
              <w:numPr>
                <w:ilvl w:val="0"/>
                <w:numId w:val="56"/>
              </w:numPr>
              <w:jc w:val="both"/>
              <w:rPr>
                <w:rFonts w:asciiTheme="majorHAnsi" w:hAnsiTheme="majorHAnsi"/>
                <w:sz w:val="20"/>
                <w:szCs w:val="20"/>
              </w:rPr>
            </w:pPr>
            <w:r w:rsidRPr="00545D1D">
              <w:rPr>
                <w:rFonts w:asciiTheme="majorHAnsi" w:hAnsiTheme="majorHAnsi"/>
                <w:sz w:val="20"/>
                <w:szCs w:val="20"/>
              </w:rPr>
              <w:t>Funcionamiento de la organización con reconocimiento internacional.</w:t>
            </w:r>
          </w:p>
        </w:tc>
        <w:tc>
          <w:tcPr>
            <w:tcW w:w="4308" w:type="dxa"/>
            <w:tcBorders>
              <w:bottom w:val="single" w:sz="4" w:space="0" w:color="auto"/>
            </w:tcBorders>
          </w:tcPr>
          <w:p w14:paraId="52289AC8" w14:textId="3D433163" w:rsidR="00EE0A1A" w:rsidRPr="00545D1D" w:rsidRDefault="00EE0A1A" w:rsidP="00EE0A1A">
            <w:pPr>
              <w:ind w:left="360"/>
              <w:jc w:val="both"/>
              <w:rPr>
                <w:rFonts w:asciiTheme="majorHAnsi" w:hAnsiTheme="majorHAnsi"/>
                <w:sz w:val="20"/>
                <w:szCs w:val="20"/>
              </w:rPr>
            </w:pPr>
          </w:p>
          <w:p w14:paraId="7AC6BD13" w14:textId="3CE54421" w:rsidR="00EE0A1A" w:rsidRPr="00545D1D" w:rsidRDefault="00EE0A1A" w:rsidP="00935F97">
            <w:pPr>
              <w:numPr>
                <w:ilvl w:val="0"/>
                <w:numId w:val="57"/>
              </w:numPr>
              <w:jc w:val="both"/>
              <w:rPr>
                <w:rFonts w:asciiTheme="majorHAnsi" w:hAnsiTheme="majorHAnsi"/>
                <w:sz w:val="20"/>
                <w:szCs w:val="20"/>
              </w:rPr>
            </w:pPr>
            <w:r w:rsidRPr="00545D1D">
              <w:rPr>
                <w:rFonts w:asciiTheme="majorHAnsi" w:hAnsiTheme="majorHAnsi"/>
                <w:sz w:val="20"/>
                <w:szCs w:val="20"/>
              </w:rPr>
              <w:t xml:space="preserve">Plan de Normativa desarticulado y disperso. </w:t>
            </w:r>
          </w:p>
          <w:p w14:paraId="35507A9D" w14:textId="77777777" w:rsidR="00EE0A1A" w:rsidRPr="00545D1D" w:rsidRDefault="00EE0A1A" w:rsidP="00935F97">
            <w:pPr>
              <w:numPr>
                <w:ilvl w:val="0"/>
                <w:numId w:val="57"/>
              </w:numPr>
              <w:jc w:val="both"/>
              <w:rPr>
                <w:rFonts w:asciiTheme="majorHAnsi" w:hAnsiTheme="majorHAnsi"/>
                <w:sz w:val="20"/>
                <w:szCs w:val="20"/>
              </w:rPr>
            </w:pPr>
            <w:r w:rsidRPr="00545D1D">
              <w:rPr>
                <w:rFonts w:asciiTheme="majorHAnsi" w:hAnsiTheme="majorHAnsi"/>
                <w:sz w:val="20"/>
                <w:szCs w:val="20"/>
              </w:rPr>
              <w:t>Definición y ejecución deficiente en el Plan institucional de comunicaciones.</w:t>
            </w:r>
          </w:p>
          <w:p w14:paraId="6B7CA47C" w14:textId="77777777" w:rsidR="00EE0A1A" w:rsidRPr="00545D1D" w:rsidRDefault="00EE0A1A" w:rsidP="00935F97">
            <w:pPr>
              <w:numPr>
                <w:ilvl w:val="0"/>
                <w:numId w:val="57"/>
              </w:numPr>
              <w:jc w:val="both"/>
              <w:rPr>
                <w:rFonts w:asciiTheme="majorHAnsi" w:hAnsiTheme="majorHAnsi"/>
                <w:sz w:val="20"/>
                <w:szCs w:val="20"/>
              </w:rPr>
            </w:pPr>
            <w:r w:rsidRPr="00545D1D">
              <w:rPr>
                <w:rFonts w:asciiTheme="majorHAnsi" w:hAnsiTheme="majorHAnsi"/>
                <w:sz w:val="20"/>
                <w:szCs w:val="20"/>
              </w:rPr>
              <w:t>Falta de un plan institucional de desarrollo y actualización del recurso humano.</w:t>
            </w:r>
          </w:p>
          <w:p w14:paraId="6B1CF3E4" w14:textId="59D104E4" w:rsidR="00EE0A1A" w:rsidRPr="00545D1D" w:rsidRDefault="008A3F99" w:rsidP="00935F97">
            <w:pPr>
              <w:numPr>
                <w:ilvl w:val="0"/>
                <w:numId w:val="57"/>
              </w:numPr>
              <w:jc w:val="both"/>
              <w:rPr>
                <w:rFonts w:asciiTheme="majorHAnsi" w:hAnsiTheme="majorHAnsi"/>
                <w:sz w:val="20"/>
                <w:szCs w:val="20"/>
              </w:rPr>
            </w:pPr>
            <w:r>
              <w:rPr>
                <w:rFonts w:asciiTheme="majorHAnsi" w:hAnsiTheme="majorHAnsi"/>
                <w:sz w:val="20"/>
                <w:szCs w:val="20"/>
              </w:rPr>
              <w:t xml:space="preserve">Necesidad de fomentar los conocimientos en </w:t>
            </w:r>
            <w:r w:rsidR="00EE0A1A" w:rsidRPr="00545D1D">
              <w:rPr>
                <w:rFonts w:asciiTheme="majorHAnsi" w:hAnsiTheme="majorHAnsi"/>
                <w:sz w:val="20"/>
                <w:szCs w:val="20"/>
              </w:rPr>
              <w:t>administración de proyectos.</w:t>
            </w:r>
          </w:p>
          <w:p w14:paraId="50C552C9" w14:textId="6CD3DC14" w:rsidR="00EE0A1A" w:rsidRPr="00545D1D" w:rsidRDefault="008A3F99" w:rsidP="00935F97">
            <w:pPr>
              <w:numPr>
                <w:ilvl w:val="0"/>
                <w:numId w:val="57"/>
              </w:numPr>
              <w:jc w:val="both"/>
              <w:rPr>
                <w:rFonts w:asciiTheme="majorHAnsi" w:hAnsiTheme="majorHAnsi"/>
                <w:sz w:val="20"/>
                <w:szCs w:val="20"/>
              </w:rPr>
            </w:pPr>
            <w:r>
              <w:rPr>
                <w:rFonts w:asciiTheme="majorHAnsi" w:hAnsiTheme="majorHAnsi"/>
                <w:sz w:val="20"/>
                <w:szCs w:val="20"/>
              </w:rPr>
              <w:t>Necesidad de incentivar el</w:t>
            </w:r>
            <w:r w:rsidR="00EE0A1A" w:rsidRPr="00545D1D">
              <w:rPr>
                <w:rFonts w:asciiTheme="majorHAnsi" w:hAnsiTheme="majorHAnsi"/>
                <w:sz w:val="20"/>
                <w:szCs w:val="20"/>
              </w:rPr>
              <w:t xml:space="preserve"> trabajo en equipo.</w:t>
            </w:r>
          </w:p>
          <w:p w14:paraId="3D05C4A8" w14:textId="0844C5E8" w:rsidR="00EE0A1A" w:rsidRPr="00545D1D" w:rsidRDefault="008A3F99" w:rsidP="00935F97">
            <w:pPr>
              <w:numPr>
                <w:ilvl w:val="0"/>
                <w:numId w:val="57"/>
              </w:numPr>
              <w:jc w:val="both"/>
              <w:rPr>
                <w:rFonts w:asciiTheme="majorHAnsi" w:hAnsiTheme="majorHAnsi"/>
                <w:sz w:val="20"/>
                <w:szCs w:val="20"/>
              </w:rPr>
            </w:pPr>
            <w:r>
              <w:rPr>
                <w:rFonts w:asciiTheme="majorHAnsi" w:hAnsiTheme="majorHAnsi"/>
                <w:sz w:val="20"/>
                <w:szCs w:val="20"/>
              </w:rPr>
              <w:t>C</w:t>
            </w:r>
            <w:r w:rsidR="00EE0A1A" w:rsidRPr="00545D1D">
              <w:rPr>
                <w:rFonts w:asciiTheme="majorHAnsi" w:hAnsiTheme="majorHAnsi"/>
                <w:sz w:val="20"/>
                <w:szCs w:val="20"/>
              </w:rPr>
              <w:t xml:space="preserve">oordinación entre </w:t>
            </w:r>
            <w:r>
              <w:rPr>
                <w:rFonts w:asciiTheme="majorHAnsi" w:hAnsiTheme="majorHAnsi"/>
                <w:sz w:val="20"/>
                <w:szCs w:val="20"/>
              </w:rPr>
              <w:t>direcciones internas.</w:t>
            </w:r>
          </w:p>
          <w:p w14:paraId="04F4E4FD" w14:textId="7745A4C0" w:rsidR="00EE0A1A" w:rsidRPr="00545D1D" w:rsidRDefault="00EE0A1A" w:rsidP="00935F97">
            <w:pPr>
              <w:ind w:left="360"/>
              <w:jc w:val="both"/>
              <w:rPr>
                <w:rFonts w:asciiTheme="majorHAnsi" w:hAnsiTheme="majorHAnsi"/>
                <w:sz w:val="20"/>
                <w:szCs w:val="20"/>
              </w:rPr>
            </w:pPr>
          </w:p>
          <w:p w14:paraId="2DE9306F" w14:textId="7AC2C028" w:rsidR="00EE0A1A" w:rsidRPr="00545D1D" w:rsidRDefault="00EE0A1A" w:rsidP="00935F97">
            <w:pPr>
              <w:numPr>
                <w:ilvl w:val="0"/>
                <w:numId w:val="57"/>
              </w:numPr>
              <w:jc w:val="both"/>
              <w:rPr>
                <w:rFonts w:asciiTheme="majorHAnsi" w:hAnsiTheme="majorHAnsi"/>
                <w:sz w:val="20"/>
                <w:szCs w:val="20"/>
              </w:rPr>
            </w:pPr>
            <w:r w:rsidRPr="00545D1D">
              <w:rPr>
                <w:rFonts w:asciiTheme="majorHAnsi" w:hAnsiTheme="majorHAnsi"/>
                <w:sz w:val="20"/>
                <w:szCs w:val="20"/>
              </w:rPr>
              <w:lastRenderedPageBreak/>
              <w:t>Falta de mecanismos para depurar  la información almacenada en SUPEN</w:t>
            </w:r>
            <w:r w:rsidR="00545D1D" w:rsidRPr="00545D1D">
              <w:rPr>
                <w:rFonts w:asciiTheme="majorHAnsi" w:hAnsiTheme="majorHAnsi"/>
                <w:sz w:val="20"/>
                <w:szCs w:val="20"/>
              </w:rPr>
              <w:t>.</w:t>
            </w:r>
          </w:p>
          <w:p w14:paraId="2FEC7A84" w14:textId="77777777" w:rsidR="00935F97" w:rsidRPr="00545D1D" w:rsidRDefault="00935F97" w:rsidP="00935F97">
            <w:pPr>
              <w:numPr>
                <w:ilvl w:val="0"/>
                <w:numId w:val="57"/>
              </w:numPr>
              <w:jc w:val="both"/>
              <w:rPr>
                <w:rFonts w:asciiTheme="majorHAnsi" w:hAnsiTheme="majorHAnsi"/>
                <w:sz w:val="20"/>
                <w:szCs w:val="20"/>
              </w:rPr>
            </w:pPr>
            <w:r w:rsidRPr="00545D1D">
              <w:rPr>
                <w:rFonts w:asciiTheme="majorHAnsi" w:hAnsiTheme="majorHAnsi"/>
                <w:sz w:val="20"/>
                <w:szCs w:val="20"/>
              </w:rPr>
              <w:t>Escaso análisis de la información que recopila la entidad.</w:t>
            </w:r>
          </w:p>
          <w:p w14:paraId="7C585B54" w14:textId="77777777" w:rsidR="00935F97" w:rsidRPr="00545D1D" w:rsidRDefault="00935F97" w:rsidP="00935F97">
            <w:pPr>
              <w:numPr>
                <w:ilvl w:val="0"/>
                <w:numId w:val="57"/>
              </w:numPr>
              <w:jc w:val="both"/>
              <w:rPr>
                <w:rFonts w:asciiTheme="majorHAnsi" w:hAnsiTheme="majorHAnsi"/>
                <w:sz w:val="20"/>
                <w:szCs w:val="20"/>
              </w:rPr>
            </w:pPr>
            <w:r w:rsidRPr="00545D1D">
              <w:rPr>
                <w:rFonts w:asciiTheme="majorHAnsi" w:hAnsiTheme="majorHAnsi"/>
                <w:sz w:val="20"/>
                <w:szCs w:val="20"/>
              </w:rPr>
              <w:t>Ausencia de estrategias concretas para el tratamiento del afiliado como “cliente”.</w:t>
            </w:r>
          </w:p>
          <w:p w14:paraId="65F3D36F" w14:textId="77777777" w:rsidR="00EE0A1A" w:rsidRPr="00545D1D" w:rsidRDefault="00EE0A1A" w:rsidP="000C5C07">
            <w:pPr>
              <w:pStyle w:val="Prrafodelista"/>
              <w:keepNext/>
              <w:ind w:left="0"/>
              <w:rPr>
                <w:rFonts w:asciiTheme="majorHAnsi" w:hAnsiTheme="majorHAnsi"/>
                <w:sz w:val="20"/>
                <w:szCs w:val="20"/>
              </w:rPr>
            </w:pPr>
          </w:p>
        </w:tc>
      </w:tr>
    </w:tbl>
    <w:p w14:paraId="56457BEE" w14:textId="77777777" w:rsidR="00EE0A1A" w:rsidRPr="00545D1D" w:rsidRDefault="00EE0A1A" w:rsidP="00EE0A1A">
      <w:pPr>
        <w:rPr>
          <w:rFonts w:asciiTheme="majorHAnsi" w:hAnsiTheme="majorHAnsi"/>
        </w:rPr>
      </w:pPr>
    </w:p>
    <w:p w14:paraId="42B04582" w14:textId="61FC10B5" w:rsidR="00EE0A1A" w:rsidRPr="00545D1D" w:rsidRDefault="00EE0A1A" w:rsidP="00EE0A1A">
      <w:pPr>
        <w:rPr>
          <w:rFonts w:asciiTheme="majorHAnsi" w:hAnsiTheme="majorHAnsi"/>
        </w:rPr>
      </w:pPr>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8"/>
        <w:gridCol w:w="4308"/>
      </w:tblGrid>
      <w:tr w:rsidR="00EE0A1A" w:rsidRPr="00545D1D" w14:paraId="51998560" w14:textId="77777777" w:rsidTr="000C5C07">
        <w:trPr>
          <w:tblHeader/>
          <w:jc w:val="center"/>
        </w:trPr>
        <w:tc>
          <w:tcPr>
            <w:tcW w:w="4308" w:type="dxa"/>
            <w:shd w:val="clear" w:color="auto" w:fill="B8CCE4"/>
          </w:tcPr>
          <w:p w14:paraId="7F676337" w14:textId="77777777" w:rsidR="00EE0A1A" w:rsidRPr="00545D1D" w:rsidRDefault="00EE0A1A" w:rsidP="00EE0A1A">
            <w:pPr>
              <w:spacing w:before="240" w:after="240"/>
              <w:jc w:val="center"/>
              <w:rPr>
                <w:rFonts w:asciiTheme="majorHAnsi" w:hAnsiTheme="majorHAnsi"/>
                <w:b/>
                <w:sz w:val="20"/>
                <w:szCs w:val="20"/>
              </w:rPr>
            </w:pPr>
            <w:r w:rsidRPr="00545D1D">
              <w:rPr>
                <w:rFonts w:asciiTheme="majorHAnsi" w:hAnsiTheme="majorHAnsi"/>
                <w:b/>
                <w:sz w:val="20"/>
                <w:szCs w:val="20"/>
              </w:rPr>
              <w:t>Oportunidades</w:t>
            </w:r>
          </w:p>
        </w:tc>
        <w:tc>
          <w:tcPr>
            <w:tcW w:w="4308" w:type="dxa"/>
            <w:shd w:val="clear" w:color="auto" w:fill="B8CCE4"/>
          </w:tcPr>
          <w:p w14:paraId="3C5630C3" w14:textId="77777777" w:rsidR="00EE0A1A" w:rsidRPr="00545D1D" w:rsidRDefault="00EE0A1A" w:rsidP="00EE0A1A">
            <w:pPr>
              <w:spacing w:before="240" w:after="240"/>
              <w:jc w:val="center"/>
              <w:rPr>
                <w:rFonts w:asciiTheme="majorHAnsi" w:hAnsiTheme="majorHAnsi"/>
                <w:b/>
                <w:sz w:val="20"/>
                <w:szCs w:val="20"/>
              </w:rPr>
            </w:pPr>
            <w:r w:rsidRPr="00545D1D">
              <w:rPr>
                <w:rFonts w:asciiTheme="majorHAnsi" w:hAnsiTheme="majorHAnsi"/>
                <w:b/>
                <w:sz w:val="20"/>
                <w:szCs w:val="20"/>
              </w:rPr>
              <w:t>Amenazas</w:t>
            </w:r>
          </w:p>
        </w:tc>
      </w:tr>
      <w:tr w:rsidR="00EE0A1A" w:rsidRPr="00545D1D" w14:paraId="087F829E" w14:textId="77777777" w:rsidTr="000C5C07">
        <w:trPr>
          <w:jc w:val="center"/>
        </w:trPr>
        <w:tc>
          <w:tcPr>
            <w:tcW w:w="4308" w:type="dxa"/>
            <w:tcBorders>
              <w:bottom w:val="single" w:sz="4" w:space="0" w:color="auto"/>
            </w:tcBorders>
          </w:tcPr>
          <w:p w14:paraId="099E9A3B" w14:textId="77777777" w:rsidR="00EE0A1A" w:rsidRPr="00545D1D" w:rsidRDefault="00EE0A1A" w:rsidP="00547B19">
            <w:pPr>
              <w:numPr>
                <w:ilvl w:val="0"/>
                <w:numId w:val="58"/>
              </w:numPr>
              <w:jc w:val="both"/>
              <w:rPr>
                <w:rFonts w:asciiTheme="majorHAnsi" w:hAnsiTheme="majorHAnsi"/>
                <w:b/>
                <w:i/>
                <w:sz w:val="20"/>
                <w:szCs w:val="20"/>
              </w:rPr>
            </w:pPr>
            <w:r w:rsidRPr="00545D1D">
              <w:rPr>
                <w:rFonts w:asciiTheme="majorHAnsi" w:hAnsiTheme="majorHAnsi"/>
                <w:sz w:val="20"/>
                <w:szCs w:val="20"/>
              </w:rPr>
              <w:t>Desarrollo de alianzas con otras instituciones (nacionales e internacionales)</w:t>
            </w:r>
          </w:p>
          <w:p w14:paraId="248F818F" w14:textId="77777777" w:rsidR="00EE0A1A" w:rsidRPr="00545D1D" w:rsidRDefault="00EE0A1A" w:rsidP="00547B19">
            <w:pPr>
              <w:numPr>
                <w:ilvl w:val="0"/>
                <w:numId w:val="58"/>
              </w:numPr>
              <w:jc w:val="both"/>
              <w:rPr>
                <w:rFonts w:asciiTheme="majorHAnsi" w:hAnsiTheme="majorHAnsi"/>
                <w:sz w:val="20"/>
                <w:szCs w:val="20"/>
              </w:rPr>
            </w:pPr>
            <w:r w:rsidRPr="00545D1D">
              <w:rPr>
                <w:rFonts w:asciiTheme="majorHAnsi" w:hAnsiTheme="majorHAnsi"/>
                <w:sz w:val="20"/>
                <w:szCs w:val="20"/>
              </w:rPr>
              <w:t>Condiciones tecnológicas y aplicaciones que facilitan el cumplimiento de los objetivos estratégicos de la SUPEN.</w:t>
            </w:r>
          </w:p>
          <w:p w14:paraId="306A004D" w14:textId="77777777" w:rsidR="00EE0A1A" w:rsidRPr="00545D1D" w:rsidRDefault="00EE0A1A" w:rsidP="00547B19">
            <w:pPr>
              <w:numPr>
                <w:ilvl w:val="0"/>
                <w:numId w:val="58"/>
              </w:numPr>
              <w:jc w:val="both"/>
              <w:rPr>
                <w:rFonts w:asciiTheme="majorHAnsi" w:hAnsiTheme="majorHAnsi"/>
                <w:sz w:val="20"/>
                <w:szCs w:val="20"/>
              </w:rPr>
            </w:pPr>
            <w:r w:rsidRPr="00545D1D">
              <w:rPr>
                <w:rFonts w:asciiTheme="majorHAnsi" w:hAnsiTheme="majorHAnsi"/>
                <w:sz w:val="20"/>
                <w:szCs w:val="20"/>
              </w:rPr>
              <w:t>Reformas legales pendientes en pensiones.</w:t>
            </w:r>
          </w:p>
          <w:p w14:paraId="6D9A4A09" w14:textId="77777777" w:rsidR="00EE0A1A" w:rsidRPr="00545D1D" w:rsidRDefault="00EE0A1A" w:rsidP="00547B19">
            <w:pPr>
              <w:numPr>
                <w:ilvl w:val="0"/>
                <w:numId w:val="58"/>
              </w:numPr>
              <w:jc w:val="both"/>
              <w:rPr>
                <w:rFonts w:asciiTheme="majorHAnsi" w:hAnsiTheme="majorHAnsi"/>
                <w:sz w:val="20"/>
                <w:szCs w:val="20"/>
              </w:rPr>
            </w:pPr>
            <w:r w:rsidRPr="00545D1D">
              <w:rPr>
                <w:rFonts w:asciiTheme="majorHAnsi" w:hAnsiTheme="majorHAnsi"/>
                <w:sz w:val="20"/>
                <w:szCs w:val="20"/>
              </w:rPr>
              <w:t>Existencia de principios internacionales de supervisión.</w:t>
            </w:r>
          </w:p>
          <w:p w14:paraId="531720B9" w14:textId="77777777" w:rsidR="00EE0A1A" w:rsidRPr="00545D1D" w:rsidRDefault="00EE0A1A" w:rsidP="00547B19">
            <w:pPr>
              <w:numPr>
                <w:ilvl w:val="0"/>
                <w:numId w:val="58"/>
              </w:numPr>
              <w:jc w:val="both"/>
              <w:rPr>
                <w:rFonts w:asciiTheme="majorHAnsi" w:hAnsiTheme="majorHAnsi"/>
                <w:sz w:val="20"/>
                <w:szCs w:val="20"/>
              </w:rPr>
            </w:pPr>
            <w:r w:rsidRPr="00545D1D">
              <w:rPr>
                <w:rFonts w:asciiTheme="majorHAnsi" w:hAnsiTheme="majorHAnsi"/>
                <w:sz w:val="20"/>
                <w:szCs w:val="20"/>
              </w:rPr>
              <w:t>Disposición de la prensa para informar sobre el tema de pensiones.</w:t>
            </w:r>
          </w:p>
          <w:p w14:paraId="394F30F3" w14:textId="00D3C3AB" w:rsidR="00EE0A1A" w:rsidRPr="00545D1D" w:rsidRDefault="00EE0A1A" w:rsidP="00547B19">
            <w:pPr>
              <w:numPr>
                <w:ilvl w:val="0"/>
                <w:numId w:val="58"/>
              </w:numPr>
              <w:jc w:val="both"/>
              <w:rPr>
                <w:rFonts w:asciiTheme="majorHAnsi" w:hAnsiTheme="majorHAnsi"/>
                <w:sz w:val="20"/>
                <w:szCs w:val="20"/>
              </w:rPr>
            </w:pPr>
            <w:r w:rsidRPr="00545D1D">
              <w:rPr>
                <w:rFonts w:asciiTheme="majorHAnsi" w:hAnsiTheme="majorHAnsi"/>
                <w:sz w:val="20"/>
                <w:szCs w:val="20"/>
              </w:rPr>
              <w:t>Desarrollo de planes de beneficio en el ROP</w:t>
            </w:r>
            <w:r w:rsidR="00545D1D">
              <w:rPr>
                <w:rFonts w:asciiTheme="majorHAnsi" w:hAnsiTheme="majorHAnsi"/>
                <w:sz w:val="20"/>
                <w:szCs w:val="20"/>
              </w:rPr>
              <w:t>.</w:t>
            </w:r>
          </w:p>
          <w:p w14:paraId="2E15A8A7" w14:textId="570622F4" w:rsidR="00EE0A1A" w:rsidRPr="00545D1D" w:rsidRDefault="00EE0A1A" w:rsidP="00547B19">
            <w:pPr>
              <w:numPr>
                <w:ilvl w:val="0"/>
                <w:numId w:val="58"/>
              </w:numPr>
              <w:jc w:val="both"/>
              <w:rPr>
                <w:rFonts w:asciiTheme="majorHAnsi" w:hAnsiTheme="majorHAnsi"/>
                <w:sz w:val="20"/>
                <w:szCs w:val="20"/>
              </w:rPr>
            </w:pPr>
            <w:r w:rsidRPr="00545D1D">
              <w:rPr>
                <w:rFonts w:asciiTheme="majorHAnsi" w:hAnsiTheme="majorHAnsi"/>
                <w:sz w:val="20"/>
                <w:szCs w:val="20"/>
              </w:rPr>
              <w:t>Crecimiento en el número de pensionados, los cuales tienen cada vez una mayor conciencia de sus derechos.</w:t>
            </w:r>
          </w:p>
          <w:p w14:paraId="0FF3E85C" w14:textId="0DF0E857" w:rsidR="00EE0A1A" w:rsidRPr="00545D1D" w:rsidRDefault="00EE0A1A" w:rsidP="00547B19">
            <w:pPr>
              <w:numPr>
                <w:ilvl w:val="0"/>
                <w:numId w:val="58"/>
              </w:numPr>
              <w:jc w:val="both"/>
              <w:rPr>
                <w:rFonts w:asciiTheme="majorHAnsi" w:hAnsiTheme="majorHAnsi"/>
                <w:sz w:val="20"/>
                <w:szCs w:val="20"/>
              </w:rPr>
            </w:pPr>
            <w:r w:rsidRPr="00545D1D">
              <w:rPr>
                <w:rFonts w:asciiTheme="majorHAnsi" w:hAnsiTheme="majorHAnsi"/>
                <w:sz w:val="20"/>
                <w:szCs w:val="20"/>
              </w:rPr>
              <w:t>Mejoramiento de la condición económica de los pensionados que crea un mercado para otros productos previsionales.</w:t>
            </w:r>
          </w:p>
          <w:p w14:paraId="1B25D529" w14:textId="77777777" w:rsidR="00EE0A1A" w:rsidRPr="00545D1D" w:rsidRDefault="00EE0A1A" w:rsidP="000C5C07">
            <w:pPr>
              <w:jc w:val="both"/>
              <w:rPr>
                <w:rFonts w:asciiTheme="majorHAnsi" w:hAnsiTheme="majorHAnsi"/>
                <w:b/>
                <w:sz w:val="20"/>
                <w:szCs w:val="20"/>
              </w:rPr>
            </w:pPr>
          </w:p>
        </w:tc>
        <w:tc>
          <w:tcPr>
            <w:tcW w:w="4308" w:type="dxa"/>
            <w:tcBorders>
              <w:bottom w:val="single" w:sz="4" w:space="0" w:color="auto"/>
            </w:tcBorders>
          </w:tcPr>
          <w:p w14:paraId="3CFFC018" w14:textId="77777777" w:rsidR="00EE0A1A" w:rsidRPr="00545D1D" w:rsidRDefault="00EE0A1A" w:rsidP="00547B19">
            <w:pPr>
              <w:numPr>
                <w:ilvl w:val="0"/>
                <w:numId w:val="55"/>
              </w:numPr>
              <w:jc w:val="both"/>
              <w:rPr>
                <w:rFonts w:asciiTheme="majorHAnsi" w:hAnsiTheme="majorHAnsi"/>
                <w:sz w:val="20"/>
                <w:szCs w:val="20"/>
              </w:rPr>
            </w:pPr>
            <w:r w:rsidRPr="00545D1D">
              <w:rPr>
                <w:rFonts w:asciiTheme="majorHAnsi" w:hAnsiTheme="majorHAnsi"/>
                <w:sz w:val="20"/>
                <w:szCs w:val="20"/>
              </w:rPr>
              <w:t xml:space="preserve">Falta de competencia legal para regular los regímenes básicos más importantes del país (IVM, DNP), así como al SICERE. </w:t>
            </w:r>
          </w:p>
          <w:p w14:paraId="3A79278B" w14:textId="77777777" w:rsidR="00EE0A1A" w:rsidRPr="00545D1D" w:rsidRDefault="00EE0A1A" w:rsidP="00547B19">
            <w:pPr>
              <w:numPr>
                <w:ilvl w:val="0"/>
                <w:numId w:val="55"/>
              </w:numPr>
              <w:jc w:val="both"/>
              <w:rPr>
                <w:rFonts w:asciiTheme="majorHAnsi" w:hAnsiTheme="majorHAnsi"/>
                <w:sz w:val="20"/>
                <w:szCs w:val="20"/>
              </w:rPr>
            </w:pPr>
            <w:r w:rsidRPr="00545D1D">
              <w:rPr>
                <w:rFonts w:asciiTheme="majorHAnsi" w:hAnsiTheme="majorHAnsi"/>
                <w:sz w:val="20"/>
                <w:szCs w:val="20"/>
              </w:rPr>
              <w:t>Bajo nivel en cultura previsional de la sociedad.</w:t>
            </w:r>
          </w:p>
          <w:p w14:paraId="54EEDCA2" w14:textId="77777777" w:rsidR="00EE0A1A" w:rsidRPr="00545D1D" w:rsidRDefault="00EE0A1A" w:rsidP="00547B19">
            <w:pPr>
              <w:numPr>
                <w:ilvl w:val="0"/>
                <w:numId w:val="55"/>
              </w:numPr>
              <w:jc w:val="both"/>
              <w:rPr>
                <w:rFonts w:asciiTheme="majorHAnsi" w:hAnsiTheme="majorHAnsi"/>
                <w:sz w:val="20"/>
                <w:szCs w:val="20"/>
              </w:rPr>
            </w:pPr>
            <w:r w:rsidRPr="00545D1D">
              <w:rPr>
                <w:rFonts w:asciiTheme="majorHAnsi" w:hAnsiTheme="majorHAnsi"/>
                <w:sz w:val="20"/>
                <w:szCs w:val="20"/>
              </w:rPr>
              <w:t>Falta articulación del sector de seguridad social.</w:t>
            </w:r>
          </w:p>
          <w:p w14:paraId="6A930439" w14:textId="77777777" w:rsidR="00EE0A1A" w:rsidRPr="00545D1D" w:rsidRDefault="00EE0A1A" w:rsidP="00547B19">
            <w:pPr>
              <w:numPr>
                <w:ilvl w:val="0"/>
                <w:numId w:val="55"/>
              </w:numPr>
              <w:jc w:val="both"/>
              <w:rPr>
                <w:rFonts w:asciiTheme="majorHAnsi" w:hAnsiTheme="majorHAnsi"/>
                <w:sz w:val="20"/>
                <w:szCs w:val="20"/>
              </w:rPr>
            </w:pPr>
            <w:r w:rsidRPr="00545D1D">
              <w:rPr>
                <w:rFonts w:asciiTheme="majorHAnsi" w:hAnsiTheme="majorHAnsi"/>
                <w:sz w:val="20"/>
                <w:szCs w:val="20"/>
              </w:rPr>
              <w:t>Injerencia de los grupos y conglomerados financieros en los entes supervisados.</w:t>
            </w:r>
          </w:p>
          <w:p w14:paraId="2515E297" w14:textId="77777777" w:rsidR="00EE0A1A" w:rsidRPr="00545D1D" w:rsidRDefault="00EE0A1A" w:rsidP="00547B19">
            <w:pPr>
              <w:numPr>
                <w:ilvl w:val="0"/>
                <w:numId w:val="55"/>
              </w:numPr>
              <w:jc w:val="both"/>
              <w:rPr>
                <w:rFonts w:asciiTheme="majorHAnsi" w:hAnsiTheme="majorHAnsi"/>
                <w:sz w:val="20"/>
                <w:szCs w:val="20"/>
              </w:rPr>
            </w:pPr>
            <w:r w:rsidRPr="00545D1D">
              <w:rPr>
                <w:rFonts w:asciiTheme="majorHAnsi" w:hAnsiTheme="majorHAnsi"/>
                <w:sz w:val="20"/>
                <w:szCs w:val="20"/>
              </w:rPr>
              <w:t>Marco sancionatorio</w:t>
            </w:r>
            <w:r w:rsidRPr="00545D1D">
              <w:rPr>
                <w:rFonts w:asciiTheme="majorHAnsi" w:hAnsiTheme="majorHAnsi"/>
              </w:rPr>
              <w:t xml:space="preserve"> </w:t>
            </w:r>
            <w:r w:rsidRPr="00545D1D">
              <w:rPr>
                <w:rFonts w:asciiTheme="majorHAnsi" w:hAnsiTheme="majorHAnsi"/>
                <w:sz w:val="20"/>
                <w:szCs w:val="20"/>
              </w:rPr>
              <w:t>insuficiente.</w:t>
            </w:r>
          </w:p>
          <w:p w14:paraId="53A27333" w14:textId="77777777" w:rsidR="00EE0A1A" w:rsidRPr="00545D1D" w:rsidRDefault="00EE0A1A" w:rsidP="00547B19">
            <w:pPr>
              <w:numPr>
                <w:ilvl w:val="0"/>
                <w:numId w:val="55"/>
              </w:numPr>
              <w:jc w:val="both"/>
              <w:rPr>
                <w:rFonts w:asciiTheme="majorHAnsi" w:hAnsiTheme="majorHAnsi"/>
                <w:sz w:val="20"/>
                <w:szCs w:val="20"/>
              </w:rPr>
            </w:pPr>
            <w:r w:rsidRPr="00545D1D">
              <w:rPr>
                <w:rFonts w:asciiTheme="majorHAnsi" w:hAnsiTheme="majorHAnsi"/>
                <w:sz w:val="20"/>
                <w:szCs w:val="20"/>
              </w:rPr>
              <w:t>Injerencia política en reformas legales.</w:t>
            </w:r>
          </w:p>
          <w:p w14:paraId="1A2A5C26" w14:textId="77777777" w:rsidR="00EE0A1A" w:rsidRPr="00545D1D" w:rsidRDefault="00EE0A1A" w:rsidP="00547B19">
            <w:pPr>
              <w:numPr>
                <w:ilvl w:val="0"/>
                <w:numId w:val="55"/>
              </w:numPr>
              <w:jc w:val="both"/>
              <w:rPr>
                <w:rFonts w:asciiTheme="majorHAnsi" w:hAnsiTheme="majorHAnsi"/>
                <w:sz w:val="20"/>
                <w:szCs w:val="20"/>
              </w:rPr>
            </w:pPr>
            <w:r w:rsidRPr="00545D1D">
              <w:rPr>
                <w:rFonts w:asciiTheme="majorHAnsi" w:hAnsiTheme="majorHAnsi"/>
                <w:sz w:val="20"/>
                <w:szCs w:val="20"/>
              </w:rPr>
              <w:t>Bajo nivel de conocimiento técnico del sector supervisado.</w:t>
            </w:r>
          </w:p>
          <w:p w14:paraId="661DD181" w14:textId="77777777" w:rsidR="00EE0A1A" w:rsidRPr="00545D1D" w:rsidRDefault="00EE0A1A" w:rsidP="00547B19">
            <w:pPr>
              <w:numPr>
                <w:ilvl w:val="0"/>
                <w:numId w:val="55"/>
              </w:numPr>
              <w:jc w:val="both"/>
              <w:rPr>
                <w:rFonts w:asciiTheme="majorHAnsi" w:hAnsiTheme="majorHAnsi"/>
                <w:sz w:val="20"/>
                <w:szCs w:val="20"/>
              </w:rPr>
            </w:pPr>
            <w:r w:rsidRPr="00545D1D">
              <w:rPr>
                <w:rFonts w:asciiTheme="majorHAnsi" w:hAnsiTheme="majorHAnsi"/>
                <w:sz w:val="20"/>
                <w:szCs w:val="20"/>
              </w:rPr>
              <w:t>Crecimiento del sector informal de la fuerza de trabajo.</w:t>
            </w:r>
          </w:p>
          <w:p w14:paraId="20FB2871" w14:textId="77777777" w:rsidR="00EE0A1A" w:rsidRPr="00545D1D" w:rsidRDefault="00EE0A1A" w:rsidP="00547B19">
            <w:pPr>
              <w:numPr>
                <w:ilvl w:val="0"/>
                <w:numId w:val="55"/>
              </w:numPr>
              <w:jc w:val="both"/>
              <w:rPr>
                <w:rFonts w:asciiTheme="majorHAnsi" w:hAnsiTheme="majorHAnsi"/>
                <w:sz w:val="20"/>
                <w:szCs w:val="20"/>
              </w:rPr>
            </w:pPr>
            <w:r w:rsidRPr="00545D1D">
              <w:rPr>
                <w:rFonts w:asciiTheme="majorHAnsi" w:hAnsiTheme="majorHAnsi"/>
                <w:sz w:val="20"/>
                <w:szCs w:val="20"/>
              </w:rPr>
              <w:t>Carencia de instancias judiciales especializadas en temas de pensiones</w:t>
            </w:r>
          </w:p>
          <w:p w14:paraId="5E4B4413" w14:textId="77777777" w:rsidR="00EE0A1A" w:rsidRPr="00545D1D" w:rsidRDefault="00EE0A1A" w:rsidP="000C5C07">
            <w:pPr>
              <w:jc w:val="both"/>
              <w:rPr>
                <w:rFonts w:asciiTheme="majorHAnsi" w:hAnsiTheme="majorHAnsi"/>
                <w:b/>
                <w:sz w:val="20"/>
                <w:szCs w:val="20"/>
              </w:rPr>
            </w:pPr>
          </w:p>
        </w:tc>
      </w:tr>
    </w:tbl>
    <w:p w14:paraId="1EC2A897" w14:textId="77777777" w:rsidR="00EE0A1A" w:rsidRDefault="00EE0A1A" w:rsidP="00EE0A1A">
      <w:pPr>
        <w:pStyle w:val="Textoindependiente"/>
        <w:rPr>
          <w:b/>
        </w:rPr>
      </w:pPr>
    </w:p>
    <w:p w14:paraId="64B497EE" w14:textId="77777777" w:rsidR="00935F97" w:rsidRDefault="00935F97" w:rsidP="00EE0A1A">
      <w:pPr>
        <w:pStyle w:val="Textoindependiente"/>
        <w:rPr>
          <w:b/>
        </w:rPr>
      </w:pPr>
    </w:p>
    <w:p w14:paraId="7F356D62" w14:textId="77777777" w:rsidR="00935F97" w:rsidRDefault="00935F97" w:rsidP="00EE0A1A">
      <w:pPr>
        <w:pStyle w:val="Textoindependiente"/>
        <w:rPr>
          <w:b/>
        </w:rPr>
      </w:pPr>
    </w:p>
    <w:p w14:paraId="64F2748D" w14:textId="77777777" w:rsidR="00EE0A1A" w:rsidRPr="00EE0A1A" w:rsidRDefault="00EE0A1A" w:rsidP="00EE0A1A">
      <w:pPr>
        <w:pStyle w:val="Descripcin"/>
        <w:spacing w:before="0"/>
        <w:jc w:val="both"/>
        <w:rPr>
          <w:rFonts w:asciiTheme="majorHAnsi" w:hAnsiTheme="majorHAnsi"/>
          <w:b w:val="0"/>
          <w:bCs w:val="0"/>
          <w:sz w:val="22"/>
          <w:szCs w:val="22"/>
          <w:lang w:val="es-CR" w:eastAsia="es-ES"/>
        </w:rPr>
      </w:pPr>
    </w:p>
    <w:p w14:paraId="06A9494E" w14:textId="1E5C1893" w:rsidR="00AF43BF" w:rsidRDefault="00AF43BF" w:rsidP="00F338C4">
      <w:pPr>
        <w:rPr>
          <w:rFonts w:asciiTheme="majorHAnsi" w:hAnsiTheme="majorHAnsi"/>
          <w:b/>
          <w:sz w:val="22"/>
          <w:szCs w:val="22"/>
          <w:lang w:val="es-CR"/>
        </w:rPr>
      </w:pPr>
      <w:r w:rsidRPr="004141D5">
        <w:rPr>
          <w:rFonts w:asciiTheme="majorHAnsi" w:hAnsiTheme="majorHAnsi"/>
          <w:b/>
          <w:sz w:val="22"/>
          <w:szCs w:val="22"/>
          <w:lang w:val="es-CR"/>
        </w:rPr>
        <w:t xml:space="preserve">Análisis de Riesgo para la </w:t>
      </w:r>
      <w:r w:rsidR="00D277D9">
        <w:rPr>
          <w:rFonts w:asciiTheme="majorHAnsi" w:hAnsiTheme="majorHAnsi"/>
          <w:b/>
          <w:sz w:val="22"/>
          <w:szCs w:val="22"/>
          <w:lang w:val="es-CR"/>
        </w:rPr>
        <w:t>SUPEN</w:t>
      </w:r>
      <w:r w:rsidR="00935F97">
        <w:rPr>
          <w:rFonts w:asciiTheme="majorHAnsi" w:hAnsiTheme="majorHAnsi"/>
          <w:b/>
          <w:sz w:val="22"/>
          <w:szCs w:val="22"/>
          <w:lang w:val="es-CR"/>
        </w:rPr>
        <w:t xml:space="preserve"> –Resultados al mes de marzo del 2015-</w:t>
      </w:r>
    </w:p>
    <w:p w14:paraId="052A02ED" w14:textId="77777777" w:rsidR="00895277" w:rsidRDefault="00895277" w:rsidP="00F338C4">
      <w:pPr>
        <w:rPr>
          <w:rFonts w:asciiTheme="majorHAnsi" w:hAnsiTheme="majorHAnsi"/>
          <w:b/>
          <w:sz w:val="22"/>
          <w:szCs w:val="22"/>
          <w:lang w:val="es-CR"/>
        </w:rPr>
      </w:pPr>
    </w:p>
    <w:p w14:paraId="5C5EED6F" w14:textId="252BEC47" w:rsidR="00786ECA" w:rsidRDefault="00786ECA" w:rsidP="00357777">
      <w:pPr>
        <w:pStyle w:val="Descripcin"/>
        <w:spacing w:before="0"/>
        <w:jc w:val="both"/>
        <w:rPr>
          <w:rFonts w:asciiTheme="majorHAnsi" w:hAnsiTheme="majorHAnsi"/>
          <w:b w:val="0"/>
          <w:bCs w:val="0"/>
          <w:sz w:val="22"/>
          <w:szCs w:val="22"/>
          <w:lang w:val="es-CR" w:eastAsia="es-ES"/>
        </w:rPr>
      </w:pPr>
      <w:bookmarkStart w:id="17" w:name="_Toc64708415"/>
      <w:bookmarkStart w:id="18" w:name="_Toc64709428"/>
      <w:bookmarkStart w:id="19" w:name="_Toc75247794"/>
      <w:r w:rsidRPr="00786ECA">
        <w:rPr>
          <w:rFonts w:asciiTheme="majorHAnsi" w:hAnsiTheme="majorHAnsi"/>
          <w:b w:val="0"/>
          <w:bCs w:val="0"/>
          <w:sz w:val="22"/>
          <w:szCs w:val="22"/>
          <w:lang w:val="es-CR" w:eastAsia="es-ES"/>
        </w:rPr>
        <w:t xml:space="preserve">De acuerdo con las normas establecidas para la administración de riesgos, los resultados de la evaluación deben indicar aquellos riesgos denominados no aceptables y que corresponden a los que la institución les dará atención en forma prioritaria.  Se consideran riesgos no aceptables aquellos que tengan un impacto medio o alto y con una probabilidad media o alta.  En términos del mapa de riesgos serían aquellos cuyas valoraciones medias de impacto y probabilidad, los ubican en los tres cuadrantes superiores derechos, señalados con rojo en el </w:t>
      </w:r>
      <w:r w:rsidR="00675AB9">
        <w:rPr>
          <w:rFonts w:asciiTheme="majorHAnsi" w:hAnsiTheme="majorHAnsi"/>
          <w:b w:val="0"/>
          <w:bCs w:val="0"/>
          <w:sz w:val="22"/>
          <w:szCs w:val="22"/>
          <w:lang w:val="es-CR" w:eastAsia="es-ES"/>
        </w:rPr>
        <w:t>cuadro</w:t>
      </w:r>
      <w:r w:rsidRPr="00786ECA">
        <w:rPr>
          <w:rFonts w:asciiTheme="majorHAnsi" w:hAnsiTheme="majorHAnsi"/>
          <w:b w:val="0"/>
          <w:bCs w:val="0"/>
          <w:sz w:val="22"/>
          <w:szCs w:val="22"/>
          <w:lang w:val="es-CR" w:eastAsia="es-ES"/>
        </w:rPr>
        <w:t xml:space="preserve"> adjunto.</w:t>
      </w:r>
    </w:p>
    <w:p w14:paraId="1933E5F8" w14:textId="77777777" w:rsidR="00935F97" w:rsidRPr="00935F97" w:rsidRDefault="00935F97" w:rsidP="00935F97">
      <w:pPr>
        <w:rPr>
          <w:lang w:val="es-CR"/>
        </w:rPr>
      </w:pPr>
    </w:p>
    <w:p w14:paraId="0988213C" w14:textId="1D51890C" w:rsidR="005F0CDE" w:rsidRDefault="005F0CDE">
      <w:pPr>
        <w:rPr>
          <w:color w:val="1F497D" w:themeColor="text2"/>
          <w:lang w:val="es-CR"/>
        </w:rPr>
      </w:pPr>
    </w:p>
    <w:p w14:paraId="3540FCED" w14:textId="77777777" w:rsidR="00935F97" w:rsidRPr="00895277" w:rsidRDefault="00935F97">
      <w:pPr>
        <w:rPr>
          <w:color w:val="1F497D" w:themeColor="text2"/>
          <w:lang w:val="es-CR"/>
        </w:rPr>
      </w:pPr>
    </w:p>
    <w:p w14:paraId="365E8421" w14:textId="7ABD84F7" w:rsidR="000B3817" w:rsidRPr="00675AB9" w:rsidRDefault="0013662A" w:rsidP="000B3817">
      <w:pPr>
        <w:jc w:val="center"/>
        <w:rPr>
          <w:lang w:val="es-CR"/>
        </w:rPr>
      </w:pPr>
      <w:r w:rsidRPr="00675AB9">
        <w:rPr>
          <w:lang w:val="es-CR"/>
        </w:rPr>
        <w:lastRenderedPageBreak/>
        <w:t>Cuadro 4</w:t>
      </w:r>
    </w:p>
    <w:p w14:paraId="6F60091A" w14:textId="1BEA2BF8" w:rsidR="000B3817" w:rsidRDefault="000B3817" w:rsidP="000B3817">
      <w:pPr>
        <w:jc w:val="center"/>
        <w:rPr>
          <w:lang w:val="es-CR"/>
        </w:rPr>
      </w:pPr>
      <w:r>
        <w:rPr>
          <w:noProof/>
          <w:szCs w:val="22"/>
        </w:rPr>
        <w:drawing>
          <wp:inline distT="0" distB="0" distL="0" distR="0" wp14:anchorId="01A59A52" wp14:editId="491DEB5E">
            <wp:extent cx="3000375" cy="2028825"/>
            <wp:effectExtent l="0" t="0" r="9525" b="9525"/>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0375" cy="2028825"/>
                    </a:xfrm>
                    <a:prstGeom prst="rect">
                      <a:avLst/>
                    </a:prstGeom>
                    <a:noFill/>
                    <a:ln>
                      <a:noFill/>
                    </a:ln>
                  </pic:spPr>
                </pic:pic>
              </a:graphicData>
            </a:graphic>
          </wp:inline>
        </w:drawing>
      </w:r>
    </w:p>
    <w:p w14:paraId="4923EADF" w14:textId="77777777" w:rsidR="00354BDB" w:rsidRPr="000B3817" w:rsidRDefault="00354BDB" w:rsidP="000B3817">
      <w:pPr>
        <w:jc w:val="center"/>
        <w:rPr>
          <w:lang w:val="es-CR"/>
        </w:rPr>
      </w:pPr>
    </w:p>
    <w:p w14:paraId="6DF656D5" w14:textId="77777777" w:rsidR="00786ECA" w:rsidRPr="00786ECA" w:rsidRDefault="00786ECA" w:rsidP="00786ECA">
      <w:pPr>
        <w:jc w:val="both"/>
        <w:rPr>
          <w:rFonts w:asciiTheme="majorHAnsi" w:hAnsiTheme="majorHAnsi"/>
          <w:sz w:val="22"/>
          <w:lang w:val="es-CR"/>
        </w:rPr>
      </w:pPr>
      <w:r w:rsidRPr="00786ECA">
        <w:rPr>
          <w:rFonts w:asciiTheme="majorHAnsi" w:hAnsiTheme="majorHAnsi"/>
          <w:sz w:val="22"/>
          <w:lang w:val="es-CR"/>
        </w:rPr>
        <w:t>De acuerdo con lo anterior los riesgos serán clasificados de la siguiente forma:</w:t>
      </w:r>
    </w:p>
    <w:p w14:paraId="1E6E2709" w14:textId="77777777" w:rsidR="00786ECA" w:rsidRPr="00786ECA" w:rsidRDefault="00786ECA" w:rsidP="00786ECA">
      <w:pPr>
        <w:jc w:val="both"/>
        <w:rPr>
          <w:rFonts w:asciiTheme="majorHAnsi" w:hAnsiTheme="majorHAnsi"/>
          <w:sz w:val="22"/>
          <w:lang w:val="es-CR"/>
        </w:rPr>
      </w:pPr>
    </w:p>
    <w:p w14:paraId="02DC4F47" w14:textId="55A87943" w:rsidR="00786ECA" w:rsidRPr="00786ECA" w:rsidRDefault="00786ECA" w:rsidP="00547B19">
      <w:pPr>
        <w:numPr>
          <w:ilvl w:val="1"/>
          <w:numId w:val="21"/>
        </w:numPr>
        <w:tabs>
          <w:tab w:val="left" w:pos="2410"/>
        </w:tabs>
        <w:ind w:hanging="447"/>
        <w:jc w:val="both"/>
        <w:rPr>
          <w:rFonts w:asciiTheme="majorHAnsi" w:hAnsiTheme="majorHAnsi"/>
          <w:sz w:val="22"/>
          <w:lang w:val="es-CR"/>
        </w:rPr>
      </w:pPr>
      <w:r w:rsidRPr="00786ECA">
        <w:rPr>
          <w:rFonts w:asciiTheme="majorHAnsi" w:hAnsiTheme="majorHAnsi"/>
          <w:b/>
          <w:sz w:val="22"/>
          <w:lang w:val="es-CR"/>
        </w:rPr>
        <w:t>Crítico</w:t>
      </w:r>
      <w:r w:rsidR="00D35C71">
        <w:rPr>
          <w:rFonts w:asciiTheme="majorHAnsi" w:hAnsiTheme="majorHAnsi"/>
          <w:sz w:val="22"/>
          <w:lang w:val="es-CR"/>
        </w:rPr>
        <w:t>:</w:t>
      </w:r>
      <w:r w:rsidR="00D35C71">
        <w:rPr>
          <w:rFonts w:asciiTheme="majorHAnsi" w:hAnsiTheme="majorHAnsi"/>
          <w:sz w:val="22"/>
          <w:lang w:val="es-CR"/>
        </w:rPr>
        <w:tab/>
      </w:r>
      <w:r w:rsidRPr="00786ECA">
        <w:rPr>
          <w:rFonts w:asciiTheme="majorHAnsi" w:hAnsiTheme="majorHAnsi"/>
          <w:sz w:val="22"/>
          <w:lang w:val="es-CR"/>
        </w:rPr>
        <w:t>No aceptable, requiere administración de riesgos con prioridad.</w:t>
      </w:r>
    </w:p>
    <w:p w14:paraId="58DA0373" w14:textId="422EC781" w:rsidR="00786ECA" w:rsidRPr="00786ECA" w:rsidRDefault="00786ECA" w:rsidP="00547B19">
      <w:pPr>
        <w:numPr>
          <w:ilvl w:val="1"/>
          <w:numId w:val="21"/>
        </w:numPr>
        <w:tabs>
          <w:tab w:val="left" w:pos="2410"/>
        </w:tabs>
        <w:ind w:left="2410" w:hanging="1417"/>
        <w:jc w:val="both"/>
        <w:rPr>
          <w:rFonts w:asciiTheme="majorHAnsi" w:hAnsiTheme="majorHAnsi"/>
          <w:sz w:val="22"/>
          <w:lang w:val="es-CR"/>
        </w:rPr>
      </w:pPr>
      <w:r w:rsidRPr="00786ECA">
        <w:rPr>
          <w:rFonts w:asciiTheme="majorHAnsi" w:hAnsiTheme="majorHAnsi"/>
          <w:b/>
          <w:sz w:val="22"/>
          <w:lang w:val="es-CR"/>
        </w:rPr>
        <w:t>Medio</w:t>
      </w:r>
      <w:r w:rsidR="00D35C71">
        <w:rPr>
          <w:rFonts w:asciiTheme="majorHAnsi" w:hAnsiTheme="majorHAnsi"/>
          <w:sz w:val="22"/>
          <w:lang w:val="es-CR"/>
        </w:rPr>
        <w:t>:</w:t>
      </w:r>
      <w:r w:rsidR="00D35C71">
        <w:rPr>
          <w:rFonts w:asciiTheme="majorHAnsi" w:hAnsiTheme="majorHAnsi"/>
          <w:sz w:val="22"/>
          <w:lang w:val="es-CR"/>
        </w:rPr>
        <w:tab/>
      </w:r>
      <w:r w:rsidRPr="00786ECA">
        <w:rPr>
          <w:rFonts w:asciiTheme="majorHAnsi" w:hAnsiTheme="majorHAnsi"/>
          <w:sz w:val="22"/>
          <w:lang w:val="es-CR"/>
        </w:rPr>
        <w:t xml:space="preserve">Riesgo que debe ser vigilado y en caso de que se estime conveniente, se deben definir medidas para su administración. </w:t>
      </w:r>
    </w:p>
    <w:p w14:paraId="3EC33682" w14:textId="5DEEF653" w:rsidR="00786ECA" w:rsidRPr="00786ECA" w:rsidRDefault="00786ECA" w:rsidP="00547B19">
      <w:pPr>
        <w:numPr>
          <w:ilvl w:val="1"/>
          <w:numId w:val="21"/>
        </w:numPr>
        <w:tabs>
          <w:tab w:val="left" w:pos="2410"/>
        </w:tabs>
        <w:ind w:hanging="447"/>
        <w:jc w:val="both"/>
        <w:rPr>
          <w:rFonts w:asciiTheme="majorHAnsi" w:hAnsiTheme="majorHAnsi"/>
          <w:sz w:val="22"/>
          <w:lang w:val="es-CR"/>
        </w:rPr>
      </w:pPr>
      <w:r w:rsidRPr="00786ECA">
        <w:rPr>
          <w:rFonts w:asciiTheme="majorHAnsi" w:hAnsiTheme="majorHAnsi"/>
          <w:b/>
          <w:sz w:val="22"/>
          <w:lang w:val="es-CR"/>
        </w:rPr>
        <w:t>Normal</w:t>
      </w:r>
      <w:r w:rsidR="00D35C71">
        <w:rPr>
          <w:rFonts w:asciiTheme="majorHAnsi" w:hAnsiTheme="majorHAnsi"/>
          <w:sz w:val="22"/>
          <w:lang w:val="es-CR"/>
        </w:rPr>
        <w:t>:</w:t>
      </w:r>
      <w:r w:rsidR="00D35C71">
        <w:rPr>
          <w:rFonts w:asciiTheme="majorHAnsi" w:hAnsiTheme="majorHAnsi"/>
          <w:sz w:val="22"/>
          <w:lang w:val="es-CR"/>
        </w:rPr>
        <w:tab/>
      </w:r>
      <w:r w:rsidRPr="00786ECA">
        <w:rPr>
          <w:rFonts w:asciiTheme="majorHAnsi" w:hAnsiTheme="majorHAnsi"/>
          <w:sz w:val="22"/>
          <w:lang w:val="es-CR"/>
        </w:rPr>
        <w:t>Riesgo aceptable.</w:t>
      </w:r>
    </w:p>
    <w:p w14:paraId="1B092BFD" w14:textId="77777777" w:rsidR="00786ECA" w:rsidRPr="00786ECA" w:rsidRDefault="00786ECA" w:rsidP="005F0CDE">
      <w:pPr>
        <w:rPr>
          <w:rFonts w:asciiTheme="majorHAnsi" w:hAnsiTheme="majorHAnsi"/>
          <w:lang w:val="es-CR"/>
        </w:rPr>
      </w:pPr>
    </w:p>
    <w:p w14:paraId="74CEF14D" w14:textId="193861D6" w:rsidR="001B2227" w:rsidRDefault="001B2227" w:rsidP="005F0CDE">
      <w:pPr>
        <w:pStyle w:val="Descripcin"/>
        <w:spacing w:before="0" w:after="0"/>
        <w:jc w:val="both"/>
        <w:rPr>
          <w:rFonts w:asciiTheme="majorHAnsi" w:hAnsiTheme="majorHAnsi"/>
          <w:b w:val="0"/>
          <w:bCs w:val="0"/>
          <w:sz w:val="22"/>
          <w:szCs w:val="22"/>
          <w:lang w:val="es-CR" w:eastAsia="es-ES"/>
        </w:rPr>
      </w:pPr>
      <w:r w:rsidRPr="00131F24">
        <w:rPr>
          <w:rFonts w:asciiTheme="majorHAnsi" w:hAnsiTheme="majorHAnsi"/>
          <w:b w:val="0"/>
          <w:bCs w:val="0"/>
          <w:sz w:val="22"/>
          <w:szCs w:val="22"/>
          <w:lang w:val="es-CR" w:eastAsia="es-ES"/>
        </w:rPr>
        <w:t>La evaluación de riesgos permitió establecer el nivel de riesgo para las categorías específicas de riesgo: personas, procesos, tecnología de la información, legal, eventos externos y estratégicos, para cada uno de los procesos evaluados</w:t>
      </w:r>
      <w:r w:rsidR="00131F24" w:rsidRPr="00131F24">
        <w:rPr>
          <w:rFonts w:asciiTheme="majorHAnsi" w:hAnsiTheme="majorHAnsi"/>
          <w:b w:val="0"/>
          <w:bCs w:val="0"/>
          <w:sz w:val="22"/>
          <w:szCs w:val="22"/>
          <w:lang w:val="es-CR" w:eastAsia="es-ES"/>
        </w:rPr>
        <w:t xml:space="preserve"> durante el año 2014</w:t>
      </w:r>
      <w:r w:rsidRPr="00131F24">
        <w:rPr>
          <w:rFonts w:asciiTheme="majorHAnsi" w:hAnsiTheme="majorHAnsi"/>
          <w:b w:val="0"/>
          <w:bCs w:val="0"/>
          <w:sz w:val="22"/>
          <w:szCs w:val="22"/>
          <w:lang w:val="es-CR" w:eastAsia="es-ES"/>
        </w:rPr>
        <w:t>. Posteriormente, se analiza</w:t>
      </w:r>
      <w:r w:rsidR="00895277" w:rsidRPr="00131F24">
        <w:rPr>
          <w:rFonts w:asciiTheme="majorHAnsi" w:hAnsiTheme="majorHAnsi"/>
          <w:b w:val="0"/>
          <w:bCs w:val="0"/>
          <w:sz w:val="22"/>
          <w:szCs w:val="22"/>
          <w:lang w:val="es-CR" w:eastAsia="es-ES"/>
        </w:rPr>
        <w:t>n</w:t>
      </w:r>
      <w:r w:rsidRPr="00131F24">
        <w:rPr>
          <w:rFonts w:asciiTheme="majorHAnsi" w:hAnsiTheme="majorHAnsi"/>
          <w:b w:val="0"/>
          <w:bCs w:val="0"/>
          <w:sz w:val="22"/>
          <w:szCs w:val="22"/>
          <w:lang w:val="es-CR" w:eastAsia="es-ES"/>
        </w:rPr>
        <w:t xml:space="preserve"> los riesgos considerados no aceptables, según la norma establ</w:t>
      </w:r>
      <w:r w:rsidR="00822714" w:rsidRPr="00131F24">
        <w:rPr>
          <w:rFonts w:asciiTheme="majorHAnsi" w:hAnsiTheme="majorHAnsi"/>
          <w:b w:val="0"/>
          <w:bCs w:val="0"/>
          <w:sz w:val="22"/>
          <w:szCs w:val="22"/>
          <w:lang w:val="es-CR" w:eastAsia="es-ES"/>
        </w:rPr>
        <w:t>ecida para la SUPEN</w:t>
      </w:r>
      <w:r w:rsidR="000B3817" w:rsidRPr="00131F24">
        <w:rPr>
          <w:rFonts w:asciiTheme="majorHAnsi" w:hAnsiTheme="majorHAnsi"/>
          <w:b w:val="0"/>
          <w:bCs w:val="0"/>
          <w:sz w:val="22"/>
          <w:szCs w:val="22"/>
          <w:lang w:val="es-CR" w:eastAsia="es-ES"/>
        </w:rPr>
        <w:t>.</w:t>
      </w:r>
    </w:p>
    <w:p w14:paraId="14B8E9A4" w14:textId="77777777" w:rsidR="005F0CDE" w:rsidRPr="005F0CDE" w:rsidRDefault="005F0CDE" w:rsidP="005F0CDE">
      <w:pPr>
        <w:rPr>
          <w:lang w:val="es-CR"/>
        </w:rPr>
      </w:pPr>
    </w:p>
    <w:p w14:paraId="63387E3C" w14:textId="5C450499" w:rsidR="001B2227" w:rsidRDefault="001B2227" w:rsidP="005F0CDE">
      <w:pPr>
        <w:pStyle w:val="Descripcin"/>
        <w:spacing w:before="0" w:after="0"/>
        <w:jc w:val="both"/>
        <w:rPr>
          <w:rFonts w:asciiTheme="majorHAnsi" w:hAnsiTheme="majorHAnsi"/>
          <w:b w:val="0"/>
          <w:bCs w:val="0"/>
          <w:sz w:val="22"/>
          <w:szCs w:val="22"/>
          <w:lang w:val="es-CR" w:eastAsia="es-ES"/>
        </w:rPr>
      </w:pPr>
      <w:r w:rsidRPr="001B2227">
        <w:rPr>
          <w:rFonts w:asciiTheme="majorHAnsi" w:hAnsiTheme="majorHAnsi"/>
          <w:b w:val="0"/>
          <w:bCs w:val="0"/>
          <w:sz w:val="22"/>
          <w:szCs w:val="22"/>
          <w:lang w:val="es-CR" w:eastAsia="es-ES"/>
        </w:rPr>
        <w:t xml:space="preserve">Las prioridades de recuperación para casos de emergencias </w:t>
      </w:r>
      <w:r w:rsidR="00131F24">
        <w:rPr>
          <w:rFonts w:asciiTheme="majorHAnsi" w:hAnsiTheme="majorHAnsi"/>
          <w:b w:val="0"/>
          <w:bCs w:val="0"/>
          <w:sz w:val="22"/>
          <w:szCs w:val="22"/>
          <w:lang w:val="es-CR" w:eastAsia="es-ES"/>
        </w:rPr>
        <w:t>están</w:t>
      </w:r>
      <w:r w:rsidRPr="001B2227">
        <w:rPr>
          <w:rFonts w:asciiTheme="majorHAnsi" w:hAnsiTheme="majorHAnsi"/>
          <w:b w:val="0"/>
          <w:bCs w:val="0"/>
          <w:sz w:val="22"/>
          <w:szCs w:val="22"/>
          <w:lang w:val="es-CR" w:eastAsia="es-ES"/>
        </w:rPr>
        <w:t xml:space="preserve"> establecidas </w:t>
      </w:r>
      <w:r w:rsidR="00131F24">
        <w:rPr>
          <w:rFonts w:asciiTheme="majorHAnsi" w:hAnsiTheme="majorHAnsi"/>
          <w:b w:val="0"/>
          <w:bCs w:val="0"/>
          <w:sz w:val="22"/>
          <w:szCs w:val="22"/>
          <w:lang w:val="es-CR" w:eastAsia="es-ES"/>
        </w:rPr>
        <w:t>según acuerdo de</w:t>
      </w:r>
      <w:r w:rsidRPr="001B2227">
        <w:rPr>
          <w:rFonts w:asciiTheme="majorHAnsi" w:hAnsiTheme="majorHAnsi"/>
          <w:b w:val="0"/>
          <w:bCs w:val="0"/>
          <w:sz w:val="22"/>
          <w:szCs w:val="22"/>
          <w:lang w:val="es-CR" w:eastAsia="es-ES"/>
        </w:rPr>
        <w:t>l Comité Ejecutivo en el Plan de Contingencias vigente, que fue aprobado en sesión del 1 de noviembre de 2012.</w:t>
      </w:r>
    </w:p>
    <w:p w14:paraId="2E6B5DF2" w14:textId="77777777" w:rsidR="005F0CDE" w:rsidRPr="005F0CDE" w:rsidRDefault="005F0CDE" w:rsidP="005F0CDE">
      <w:pPr>
        <w:rPr>
          <w:lang w:val="es-CR"/>
        </w:rPr>
      </w:pPr>
    </w:p>
    <w:p w14:paraId="4EC3E35C" w14:textId="5BC6652E" w:rsidR="001B2227" w:rsidRDefault="001B2227" w:rsidP="005F0CDE">
      <w:pPr>
        <w:pStyle w:val="Descripcin"/>
        <w:spacing w:before="0" w:after="0"/>
        <w:jc w:val="both"/>
        <w:rPr>
          <w:rFonts w:asciiTheme="majorHAnsi" w:hAnsiTheme="majorHAnsi"/>
          <w:b w:val="0"/>
          <w:bCs w:val="0"/>
          <w:sz w:val="22"/>
          <w:szCs w:val="22"/>
          <w:lang w:val="es-CR" w:eastAsia="es-ES"/>
        </w:rPr>
      </w:pPr>
      <w:r w:rsidRPr="001B2227">
        <w:rPr>
          <w:rFonts w:asciiTheme="majorHAnsi" w:hAnsiTheme="majorHAnsi"/>
          <w:b w:val="0"/>
          <w:bCs w:val="0"/>
          <w:sz w:val="22"/>
          <w:szCs w:val="22"/>
          <w:lang w:val="es-CR" w:eastAsia="es-ES"/>
        </w:rPr>
        <w:t>En los apartados siguientes se detallan principalmente los riesgos no aceptables. En caso que las categorías de riesgos calificadas como normales tengan eventos de riesgo definidos con probabilid</w:t>
      </w:r>
      <w:r w:rsidR="00F90786">
        <w:rPr>
          <w:rFonts w:asciiTheme="majorHAnsi" w:hAnsiTheme="majorHAnsi"/>
          <w:b w:val="0"/>
          <w:bCs w:val="0"/>
          <w:sz w:val="22"/>
          <w:szCs w:val="22"/>
          <w:lang w:val="es-CR" w:eastAsia="es-ES"/>
        </w:rPr>
        <w:t>ad e impacto medio o alto, los e</w:t>
      </w:r>
      <w:r w:rsidRPr="001B2227">
        <w:rPr>
          <w:rFonts w:asciiTheme="majorHAnsi" w:hAnsiTheme="majorHAnsi"/>
          <w:b w:val="0"/>
          <w:bCs w:val="0"/>
          <w:sz w:val="22"/>
          <w:szCs w:val="22"/>
          <w:lang w:val="es-CR" w:eastAsia="es-ES"/>
        </w:rPr>
        <w:t>ncargados de cada proceso deben evaluarlos y considerar las medidas de mitigación pertinentes.</w:t>
      </w:r>
    </w:p>
    <w:p w14:paraId="2958CEBF" w14:textId="77777777" w:rsidR="005F0CDE" w:rsidRPr="005F0CDE" w:rsidRDefault="005F0CDE" w:rsidP="005F0CDE">
      <w:pPr>
        <w:rPr>
          <w:lang w:val="es-CR"/>
        </w:rPr>
      </w:pPr>
    </w:p>
    <w:p w14:paraId="2BC39C8E" w14:textId="6D1CCBC8" w:rsidR="000A0C08" w:rsidRDefault="001B2227" w:rsidP="005F0CDE">
      <w:pPr>
        <w:pStyle w:val="Descripcin"/>
        <w:spacing w:before="0" w:after="0"/>
        <w:jc w:val="both"/>
        <w:rPr>
          <w:rFonts w:asciiTheme="majorHAnsi" w:hAnsiTheme="majorHAnsi"/>
          <w:b w:val="0"/>
          <w:bCs w:val="0"/>
          <w:sz w:val="22"/>
          <w:szCs w:val="22"/>
          <w:lang w:val="es-CR" w:eastAsia="es-ES"/>
        </w:rPr>
      </w:pPr>
      <w:r w:rsidRPr="001B2227">
        <w:rPr>
          <w:rFonts w:asciiTheme="majorHAnsi" w:hAnsiTheme="majorHAnsi"/>
          <w:b w:val="0"/>
          <w:bCs w:val="0"/>
          <w:sz w:val="22"/>
          <w:szCs w:val="22"/>
          <w:lang w:val="es-CR" w:eastAsia="es-ES"/>
        </w:rPr>
        <w:t>Cabe mencionar, que a raíz del pase de servicios informáticos a la “nube” se re</w:t>
      </w:r>
      <w:r w:rsidR="00F90786">
        <w:rPr>
          <w:rFonts w:asciiTheme="majorHAnsi" w:hAnsiTheme="majorHAnsi"/>
          <w:b w:val="0"/>
          <w:bCs w:val="0"/>
          <w:sz w:val="22"/>
          <w:szCs w:val="22"/>
          <w:lang w:val="es-CR" w:eastAsia="es-ES"/>
        </w:rPr>
        <w:t>visó el documento “Acuerdos de S</w:t>
      </w:r>
      <w:r w:rsidRPr="001B2227">
        <w:rPr>
          <w:rFonts w:asciiTheme="majorHAnsi" w:hAnsiTheme="majorHAnsi"/>
          <w:b w:val="0"/>
          <w:bCs w:val="0"/>
          <w:sz w:val="22"/>
          <w:szCs w:val="22"/>
          <w:lang w:val="es-CR" w:eastAsia="es-ES"/>
        </w:rPr>
        <w:t>ervicio de TI” donde se define, en conjunto con todos los procesos, el inventario de los servicios informáticos, sus horarios, compromisos de TI y de los usu</w:t>
      </w:r>
      <w:r w:rsidR="00CB7068">
        <w:rPr>
          <w:rFonts w:asciiTheme="majorHAnsi" w:hAnsiTheme="majorHAnsi"/>
          <w:b w:val="0"/>
          <w:bCs w:val="0"/>
          <w:sz w:val="22"/>
          <w:szCs w:val="22"/>
          <w:lang w:val="es-CR" w:eastAsia="es-ES"/>
        </w:rPr>
        <w:t>arios y su nivel de criticidad.</w:t>
      </w:r>
    </w:p>
    <w:p w14:paraId="39DD8CEA" w14:textId="77777777" w:rsidR="0050655A" w:rsidRDefault="0050655A" w:rsidP="0050655A">
      <w:pPr>
        <w:rPr>
          <w:lang w:val="es-CR"/>
        </w:rPr>
      </w:pPr>
    </w:p>
    <w:p w14:paraId="0B0ACB3B" w14:textId="77777777" w:rsidR="0050655A" w:rsidRDefault="0050655A">
      <w:pPr>
        <w:rPr>
          <w:lang w:val="es-CR"/>
        </w:rPr>
      </w:pPr>
      <w:r>
        <w:rPr>
          <w:lang w:val="es-CR"/>
        </w:rPr>
        <w:br w:type="page"/>
      </w:r>
    </w:p>
    <w:p w14:paraId="06A94952" w14:textId="03B8AAE5" w:rsidR="00C823EE" w:rsidRDefault="004C6C27" w:rsidP="005F0CDE">
      <w:pPr>
        <w:pStyle w:val="Descripcin"/>
        <w:spacing w:before="0" w:after="0"/>
        <w:rPr>
          <w:rFonts w:ascii="Cambria" w:hAnsi="Cambria" w:cs="Arial"/>
          <w:smallCaps/>
          <w:sz w:val="22"/>
          <w:szCs w:val="22"/>
        </w:rPr>
      </w:pPr>
      <w:r>
        <w:rPr>
          <w:rFonts w:ascii="Cambria" w:hAnsi="Cambria" w:cs="Arial"/>
          <w:smallCaps/>
          <w:sz w:val="22"/>
          <w:szCs w:val="22"/>
        </w:rPr>
        <w:lastRenderedPageBreak/>
        <w:t>Resultado</w:t>
      </w:r>
      <w:r w:rsidR="00C823EE" w:rsidRPr="00060053">
        <w:rPr>
          <w:rFonts w:ascii="Cambria" w:hAnsi="Cambria" w:cs="Arial"/>
          <w:smallCaps/>
          <w:sz w:val="22"/>
          <w:szCs w:val="22"/>
        </w:rPr>
        <w:t>: Planificación y Normativa</w:t>
      </w:r>
    </w:p>
    <w:p w14:paraId="20C40711" w14:textId="77777777" w:rsidR="00906572" w:rsidRPr="00906572" w:rsidRDefault="00906572" w:rsidP="005F0CDE">
      <w:pPr>
        <w:rPr>
          <w:lang w:val="es-ES_tradnl" w:eastAsia="es-ES_tradnl"/>
        </w:rPr>
      </w:pPr>
    </w:p>
    <w:p w14:paraId="75718A76" w14:textId="452B8518" w:rsidR="001B2227" w:rsidRPr="001B2227" w:rsidRDefault="00AC50CB" w:rsidP="001B2227">
      <w:pPr>
        <w:pStyle w:val="Descripcin"/>
        <w:jc w:val="center"/>
        <w:rPr>
          <w:rFonts w:asciiTheme="majorHAnsi" w:hAnsiTheme="majorHAnsi" w:cs="Arial"/>
          <w:smallCaps/>
          <w:sz w:val="22"/>
          <w:szCs w:val="22"/>
        </w:rPr>
      </w:pPr>
      <w:r>
        <w:rPr>
          <w:rFonts w:asciiTheme="majorHAnsi" w:hAnsiTheme="majorHAnsi" w:cs="Arial"/>
          <w:smallCaps/>
          <w:sz w:val="22"/>
          <w:szCs w:val="22"/>
        </w:rPr>
        <w:t>Gráfico 6</w:t>
      </w:r>
      <w:r w:rsidR="001B2227" w:rsidRPr="001B2227">
        <w:rPr>
          <w:rFonts w:asciiTheme="majorHAnsi" w:hAnsiTheme="majorHAnsi" w:cs="Arial"/>
          <w:smallCaps/>
          <w:sz w:val="22"/>
          <w:szCs w:val="22"/>
        </w:rPr>
        <w:t xml:space="preserve">: Mapa de riesgos residuales </w:t>
      </w:r>
      <w:proofErr w:type="spellStart"/>
      <w:r w:rsidR="001B2227" w:rsidRPr="001B2227">
        <w:rPr>
          <w:rFonts w:asciiTheme="majorHAnsi" w:hAnsiTheme="majorHAnsi" w:cs="Arial"/>
          <w:smallCaps/>
          <w:sz w:val="22"/>
          <w:szCs w:val="22"/>
        </w:rPr>
        <w:t>PyN</w:t>
      </w:r>
      <w:proofErr w:type="spellEnd"/>
    </w:p>
    <w:p w14:paraId="1FD9D3EB" w14:textId="2B188797" w:rsidR="001B2227" w:rsidRPr="00F45DD9" w:rsidRDefault="000B3817" w:rsidP="001B2227">
      <w:pPr>
        <w:pStyle w:val="Textoindependiente"/>
        <w:jc w:val="center"/>
        <w:rPr>
          <w:szCs w:val="22"/>
          <w:lang w:val="es-ES_tradnl"/>
        </w:rPr>
      </w:pPr>
      <w:r w:rsidRPr="008F0DB4">
        <w:rPr>
          <w:noProof/>
          <w:lang w:val="es-ES"/>
        </w:rPr>
        <w:drawing>
          <wp:inline distT="0" distB="0" distL="0" distR="0" wp14:anchorId="67168385" wp14:editId="426BEE15">
            <wp:extent cx="2908652" cy="1868104"/>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31192" cy="1882580"/>
                    </a:xfrm>
                    <a:prstGeom prst="rect">
                      <a:avLst/>
                    </a:prstGeom>
                    <a:noFill/>
                    <a:ln>
                      <a:noFill/>
                    </a:ln>
                  </pic:spPr>
                </pic:pic>
              </a:graphicData>
            </a:graphic>
          </wp:inline>
        </w:drawing>
      </w:r>
    </w:p>
    <w:p w14:paraId="624FE2B9" w14:textId="77777777" w:rsidR="00354BDB" w:rsidRDefault="00354BDB" w:rsidP="00547B19">
      <w:pPr>
        <w:pStyle w:val="Descripcin"/>
        <w:spacing w:after="0"/>
        <w:rPr>
          <w:rFonts w:ascii="Cambria" w:hAnsi="Cambria" w:cs="Arial"/>
          <w:smallCaps/>
          <w:sz w:val="22"/>
          <w:szCs w:val="22"/>
        </w:rPr>
      </w:pPr>
    </w:p>
    <w:p w14:paraId="06A94956" w14:textId="4589404B" w:rsidR="00C823EE" w:rsidRDefault="004C6C27" w:rsidP="00547B19">
      <w:pPr>
        <w:pStyle w:val="Descripcin"/>
        <w:spacing w:before="0" w:after="0"/>
        <w:rPr>
          <w:rFonts w:ascii="Cambria" w:hAnsi="Cambria" w:cs="Arial"/>
          <w:smallCaps/>
          <w:sz w:val="22"/>
          <w:szCs w:val="22"/>
        </w:rPr>
      </w:pPr>
      <w:r>
        <w:rPr>
          <w:rFonts w:ascii="Cambria" w:hAnsi="Cambria" w:cs="Arial"/>
          <w:smallCaps/>
          <w:sz w:val="22"/>
          <w:szCs w:val="22"/>
        </w:rPr>
        <w:t>Resultado</w:t>
      </w:r>
      <w:r w:rsidR="00C823EE" w:rsidRPr="00060053">
        <w:rPr>
          <w:rFonts w:ascii="Cambria" w:hAnsi="Cambria" w:cs="Arial"/>
          <w:smallCaps/>
          <w:sz w:val="22"/>
          <w:szCs w:val="22"/>
        </w:rPr>
        <w:t>: Supervisión de Regímenes de Capitalización Individual</w:t>
      </w:r>
    </w:p>
    <w:p w14:paraId="2F2E29F2" w14:textId="77777777" w:rsidR="000B0DDD" w:rsidRPr="000B0DDD" w:rsidRDefault="000B0DDD" w:rsidP="000B0DDD">
      <w:pPr>
        <w:rPr>
          <w:lang w:val="es-ES_tradnl" w:eastAsia="es-ES_tradnl"/>
        </w:rPr>
      </w:pPr>
    </w:p>
    <w:p w14:paraId="494FB58C" w14:textId="25B2DDF8" w:rsidR="001B2227" w:rsidRPr="001B2227" w:rsidRDefault="001B2227" w:rsidP="00547B19">
      <w:pPr>
        <w:pStyle w:val="Descripcin"/>
        <w:spacing w:before="0"/>
        <w:jc w:val="center"/>
        <w:rPr>
          <w:rFonts w:asciiTheme="majorHAnsi" w:hAnsiTheme="majorHAnsi" w:cs="Arial"/>
          <w:smallCaps/>
          <w:sz w:val="22"/>
          <w:szCs w:val="22"/>
        </w:rPr>
      </w:pPr>
      <w:r w:rsidRPr="001B2227">
        <w:rPr>
          <w:rFonts w:asciiTheme="majorHAnsi" w:hAnsiTheme="majorHAnsi" w:cs="Arial"/>
          <w:smallCaps/>
          <w:sz w:val="22"/>
          <w:szCs w:val="22"/>
        </w:rPr>
        <w:t xml:space="preserve">Gráfico </w:t>
      </w:r>
      <w:r w:rsidR="00AC50CB">
        <w:rPr>
          <w:rFonts w:asciiTheme="majorHAnsi" w:hAnsiTheme="majorHAnsi" w:cs="Arial"/>
          <w:smallCaps/>
          <w:sz w:val="22"/>
          <w:szCs w:val="22"/>
        </w:rPr>
        <w:t>7</w:t>
      </w:r>
      <w:r w:rsidRPr="001B2227">
        <w:rPr>
          <w:rFonts w:asciiTheme="majorHAnsi" w:hAnsiTheme="majorHAnsi" w:cs="Arial"/>
          <w:smallCaps/>
          <w:sz w:val="22"/>
          <w:szCs w:val="22"/>
        </w:rPr>
        <w:t>: Mapa de riesgos residuales RCI</w:t>
      </w:r>
    </w:p>
    <w:p w14:paraId="6E5C4E7E" w14:textId="45A6B3F1" w:rsidR="001B2227" w:rsidRDefault="000B3817" w:rsidP="001B2227">
      <w:pPr>
        <w:pStyle w:val="Textoindependiente"/>
        <w:jc w:val="center"/>
        <w:rPr>
          <w:szCs w:val="22"/>
        </w:rPr>
      </w:pPr>
      <w:r w:rsidRPr="009A4112">
        <w:rPr>
          <w:noProof/>
          <w:lang w:val="es-ES"/>
        </w:rPr>
        <w:drawing>
          <wp:inline distT="0" distB="0" distL="0" distR="0" wp14:anchorId="27520F1A" wp14:editId="12DAF08A">
            <wp:extent cx="2879767" cy="1851933"/>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09229" cy="1870880"/>
                    </a:xfrm>
                    <a:prstGeom prst="rect">
                      <a:avLst/>
                    </a:prstGeom>
                    <a:noFill/>
                    <a:ln>
                      <a:noFill/>
                    </a:ln>
                  </pic:spPr>
                </pic:pic>
              </a:graphicData>
            </a:graphic>
          </wp:inline>
        </w:drawing>
      </w:r>
    </w:p>
    <w:p w14:paraId="4FDFB29C" w14:textId="77777777" w:rsidR="000B0DDD" w:rsidRPr="000B0DDD" w:rsidRDefault="000B0DDD" w:rsidP="000B0DDD">
      <w:pPr>
        <w:rPr>
          <w:lang w:val="es-ES_tradnl" w:eastAsia="es-ES_tradnl"/>
        </w:rPr>
      </w:pPr>
    </w:p>
    <w:p w14:paraId="06A9495A" w14:textId="36121813" w:rsidR="00C823EE" w:rsidRDefault="004C6C27" w:rsidP="00547B19">
      <w:pPr>
        <w:pStyle w:val="Descripcin"/>
        <w:spacing w:before="0" w:after="0"/>
        <w:rPr>
          <w:rFonts w:ascii="Cambria" w:hAnsi="Cambria" w:cs="Arial"/>
          <w:smallCaps/>
          <w:sz w:val="22"/>
          <w:szCs w:val="22"/>
        </w:rPr>
      </w:pPr>
      <w:r>
        <w:rPr>
          <w:rFonts w:ascii="Cambria" w:hAnsi="Cambria" w:cs="Arial"/>
          <w:smallCaps/>
          <w:sz w:val="22"/>
          <w:szCs w:val="22"/>
        </w:rPr>
        <w:t>Resultado</w:t>
      </w:r>
      <w:r w:rsidR="00C823EE" w:rsidRPr="00060053">
        <w:rPr>
          <w:rFonts w:ascii="Cambria" w:hAnsi="Cambria" w:cs="Arial"/>
          <w:smallCaps/>
          <w:sz w:val="22"/>
          <w:szCs w:val="22"/>
        </w:rPr>
        <w:t>: Supervisión de Regímenes de Capitalización Colectiva</w:t>
      </w:r>
    </w:p>
    <w:p w14:paraId="704E8897" w14:textId="77777777" w:rsidR="00906572" w:rsidRPr="00906572" w:rsidRDefault="00906572" w:rsidP="00547B19">
      <w:pPr>
        <w:rPr>
          <w:lang w:val="es-ES_tradnl" w:eastAsia="es-ES_tradnl"/>
        </w:rPr>
      </w:pPr>
    </w:p>
    <w:p w14:paraId="03D4097D" w14:textId="7E99C962" w:rsidR="00AB1348" w:rsidRPr="00AB1348" w:rsidRDefault="00AB1348" w:rsidP="00547B19">
      <w:pPr>
        <w:pStyle w:val="Descripcin"/>
        <w:spacing w:before="0"/>
        <w:jc w:val="center"/>
        <w:rPr>
          <w:rFonts w:asciiTheme="majorHAnsi" w:hAnsiTheme="majorHAnsi" w:cs="Arial"/>
          <w:smallCaps/>
          <w:sz w:val="22"/>
          <w:szCs w:val="22"/>
        </w:rPr>
      </w:pPr>
      <w:r w:rsidRPr="00AB1348">
        <w:rPr>
          <w:rFonts w:asciiTheme="majorHAnsi" w:hAnsiTheme="majorHAnsi" w:cs="Arial"/>
          <w:smallCaps/>
          <w:sz w:val="22"/>
          <w:szCs w:val="22"/>
        </w:rPr>
        <w:t>Gráfico</w:t>
      </w:r>
      <w:r w:rsidR="00AC50CB">
        <w:rPr>
          <w:rFonts w:asciiTheme="majorHAnsi" w:hAnsiTheme="majorHAnsi" w:cs="Arial"/>
          <w:smallCaps/>
          <w:sz w:val="22"/>
          <w:szCs w:val="22"/>
        </w:rPr>
        <w:t xml:space="preserve"> 8</w:t>
      </w:r>
      <w:r w:rsidRPr="00AB1348">
        <w:rPr>
          <w:rFonts w:asciiTheme="majorHAnsi" w:hAnsiTheme="majorHAnsi" w:cs="Arial"/>
          <w:smallCaps/>
          <w:sz w:val="22"/>
          <w:szCs w:val="22"/>
        </w:rPr>
        <w:t>: Mapa de riesgos residuales RC</w:t>
      </w:r>
    </w:p>
    <w:p w14:paraId="787CA0B3" w14:textId="53607DEB" w:rsidR="00AB1348" w:rsidRDefault="00155AAC" w:rsidP="00AB1348">
      <w:pPr>
        <w:jc w:val="center"/>
      </w:pPr>
      <w:r w:rsidRPr="008820D7">
        <w:rPr>
          <w:noProof/>
        </w:rPr>
        <w:drawing>
          <wp:inline distT="0" distB="0" distL="0" distR="0" wp14:anchorId="37CB8BF8" wp14:editId="6626E3A8">
            <wp:extent cx="2896851" cy="1862919"/>
            <wp:effectExtent l="0" t="0" r="0" b="4445"/>
            <wp:docPr id="80448" name="Imagen 80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56446" cy="1901244"/>
                    </a:xfrm>
                    <a:prstGeom prst="rect">
                      <a:avLst/>
                    </a:prstGeom>
                    <a:noFill/>
                    <a:ln>
                      <a:noFill/>
                    </a:ln>
                  </pic:spPr>
                </pic:pic>
              </a:graphicData>
            </a:graphic>
          </wp:inline>
        </w:drawing>
      </w:r>
    </w:p>
    <w:p w14:paraId="130F7592" w14:textId="77777777" w:rsidR="00FA5634" w:rsidRPr="00FE233A" w:rsidRDefault="00FA5634" w:rsidP="00AB1348">
      <w:pPr>
        <w:jc w:val="center"/>
      </w:pPr>
    </w:p>
    <w:p w14:paraId="06A9495E" w14:textId="053EABFA" w:rsidR="00C823EE" w:rsidRDefault="004C6C27" w:rsidP="00C823EE">
      <w:pPr>
        <w:pStyle w:val="Descripcin"/>
        <w:rPr>
          <w:rFonts w:ascii="Cambria" w:hAnsi="Cambria" w:cs="Arial"/>
          <w:smallCaps/>
          <w:sz w:val="22"/>
          <w:szCs w:val="22"/>
        </w:rPr>
      </w:pPr>
      <w:r>
        <w:rPr>
          <w:rFonts w:ascii="Cambria" w:hAnsi="Cambria" w:cs="Arial"/>
          <w:smallCaps/>
          <w:sz w:val="22"/>
          <w:szCs w:val="22"/>
        </w:rPr>
        <w:lastRenderedPageBreak/>
        <w:t>Resultado</w:t>
      </w:r>
      <w:r w:rsidR="00C823EE" w:rsidRPr="00060053">
        <w:rPr>
          <w:rFonts w:ascii="Cambria" w:hAnsi="Cambria" w:cs="Arial"/>
          <w:smallCaps/>
          <w:sz w:val="22"/>
          <w:szCs w:val="22"/>
        </w:rPr>
        <w:t xml:space="preserve">: Asesoría Jurídica </w:t>
      </w:r>
    </w:p>
    <w:p w14:paraId="2EFF4E92" w14:textId="34E6D751" w:rsidR="00AB1348" w:rsidRPr="00E16D0A" w:rsidRDefault="00AB1348" w:rsidP="00AB1348">
      <w:pPr>
        <w:jc w:val="center"/>
      </w:pPr>
    </w:p>
    <w:p w14:paraId="470208D0" w14:textId="23A4D723" w:rsidR="00AB1348" w:rsidRPr="00AB1348" w:rsidRDefault="00AB1348" w:rsidP="00AB1348">
      <w:pPr>
        <w:pStyle w:val="Descripcin"/>
        <w:jc w:val="center"/>
        <w:rPr>
          <w:rFonts w:asciiTheme="majorHAnsi" w:hAnsiTheme="majorHAnsi" w:cs="Arial"/>
          <w:smallCaps/>
          <w:sz w:val="22"/>
          <w:szCs w:val="22"/>
        </w:rPr>
      </w:pPr>
      <w:r w:rsidRPr="00AB1348">
        <w:rPr>
          <w:rFonts w:asciiTheme="majorHAnsi" w:hAnsiTheme="majorHAnsi" w:cs="Arial"/>
          <w:smallCaps/>
          <w:sz w:val="22"/>
          <w:szCs w:val="22"/>
        </w:rPr>
        <w:t xml:space="preserve">Gráfico </w:t>
      </w:r>
      <w:r w:rsidR="0013662A">
        <w:rPr>
          <w:rFonts w:asciiTheme="majorHAnsi" w:hAnsiTheme="majorHAnsi" w:cs="Arial"/>
          <w:smallCaps/>
          <w:sz w:val="22"/>
          <w:szCs w:val="22"/>
        </w:rPr>
        <w:t>13</w:t>
      </w:r>
      <w:r w:rsidRPr="00AB1348">
        <w:rPr>
          <w:rFonts w:asciiTheme="majorHAnsi" w:hAnsiTheme="majorHAnsi" w:cs="Arial"/>
          <w:smallCaps/>
          <w:sz w:val="22"/>
          <w:szCs w:val="22"/>
        </w:rPr>
        <w:t>: Mapa de riesgos residuales AJ</w:t>
      </w:r>
    </w:p>
    <w:p w14:paraId="68864129" w14:textId="22D04202" w:rsidR="003E3F0F" w:rsidRPr="00060053" w:rsidRDefault="00155AAC" w:rsidP="00C823EE">
      <w:pPr>
        <w:jc w:val="center"/>
        <w:rPr>
          <w:rFonts w:ascii="Cambria" w:hAnsi="Cambria"/>
        </w:rPr>
      </w:pPr>
      <w:r w:rsidRPr="0039089F">
        <w:rPr>
          <w:noProof/>
        </w:rPr>
        <w:drawing>
          <wp:inline distT="0" distB="0" distL="0" distR="0" wp14:anchorId="2A810A9D" wp14:editId="2187CDBD">
            <wp:extent cx="3176649" cy="2042853"/>
            <wp:effectExtent l="0" t="0" r="5080" b="0"/>
            <wp:docPr id="80450" name="Imagen 80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07197" cy="2062498"/>
                    </a:xfrm>
                    <a:prstGeom prst="rect">
                      <a:avLst/>
                    </a:prstGeom>
                    <a:noFill/>
                    <a:ln>
                      <a:noFill/>
                    </a:ln>
                  </pic:spPr>
                </pic:pic>
              </a:graphicData>
            </a:graphic>
          </wp:inline>
        </w:drawing>
      </w:r>
    </w:p>
    <w:p w14:paraId="32B7AA88" w14:textId="77777777" w:rsidR="005F0CDE" w:rsidRDefault="005F0CDE" w:rsidP="00527D80">
      <w:pPr>
        <w:pStyle w:val="Descripcin"/>
        <w:rPr>
          <w:rFonts w:ascii="Cambria" w:hAnsi="Cambria" w:cs="Arial"/>
          <w:smallCaps/>
          <w:sz w:val="22"/>
          <w:szCs w:val="22"/>
        </w:rPr>
      </w:pPr>
    </w:p>
    <w:p w14:paraId="06A94962" w14:textId="7025EA10" w:rsidR="00C823EE" w:rsidRDefault="004C6C27" w:rsidP="00527D80">
      <w:pPr>
        <w:pStyle w:val="Descripcin"/>
        <w:rPr>
          <w:rFonts w:ascii="Cambria" w:hAnsi="Cambria" w:cs="Arial"/>
          <w:smallCaps/>
          <w:sz w:val="22"/>
          <w:szCs w:val="22"/>
        </w:rPr>
      </w:pPr>
      <w:r>
        <w:rPr>
          <w:rFonts w:ascii="Cambria" w:hAnsi="Cambria" w:cs="Arial"/>
          <w:smallCaps/>
          <w:sz w:val="22"/>
          <w:szCs w:val="22"/>
        </w:rPr>
        <w:t>Resultado</w:t>
      </w:r>
      <w:r w:rsidR="00C823EE" w:rsidRPr="00060053">
        <w:rPr>
          <w:rFonts w:ascii="Cambria" w:hAnsi="Cambria" w:cs="Arial"/>
          <w:smallCaps/>
          <w:sz w:val="22"/>
          <w:szCs w:val="22"/>
        </w:rPr>
        <w:t>: Comunicación y Servicios</w:t>
      </w:r>
      <w:r w:rsidR="00F22B1B">
        <w:rPr>
          <w:rFonts w:ascii="Cambria" w:hAnsi="Cambria" w:cs="Arial"/>
          <w:smallCaps/>
          <w:sz w:val="22"/>
          <w:szCs w:val="22"/>
        </w:rPr>
        <w:t xml:space="preserve"> (gestión de Recursos)</w:t>
      </w:r>
    </w:p>
    <w:p w14:paraId="0A3B7A24" w14:textId="77777777" w:rsidR="000B0DDD" w:rsidRPr="000B0DDD" w:rsidRDefault="000B0DDD" w:rsidP="000B0DDD">
      <w:pPr>
        <w:rPr>
          <w:lang w:val="es-ES_tradnl" w:eastAsia="es-ES_tradnl"/>
        </w:rPr>
      </w:pPr>
    </w:p>
    <w:p w14:paraId="488CAA43" w14:textId="612AA555" w:rsidR="00AB1348" w:rsidRPr="00131F24" w:rsidRDefault="00AB1348" w:rsidP="00AB1348">
      <w:pPr>
        <w:pStyle w:val="Descripcin"/>
        <w:jc w:val="center"/>
        <w:rPr>
          <w:rFonts w:asciiTheme="majorHAnsi" w:hAnsiTheme="majorHAnsi" w:cs="Arial"/>
          <w:smallCaps/>
          <w:sz w:val="22"/>
          <w:szCs w:val="22"/>
        </w:rPr>
      </w:pPr>
      <w:r w:rsidRPr="00AB1348">
        <w:rPr>
          <w:rFonts w:asciiTheme="majorHAnsi" w:hAnsiTheme="majorHAnsi" w:cs="Arial"/>
          <w:smallCaps/>
          <w:sz w:val="22"/>
          <w:szCs w:val="22"/>
        </w:rPr>
        <w:t xml:space="preserve">Gráfico </w:t>
      </w:r>
      <w:r w:rsidR="0013662A">
        <w:rPr>
          <w:rFonts w:asciiTheme="majorHAnsi" w:hAnsiTheme="majorHAnsi" w:cs="Arial"/>
          <w:smallCaps/>
          <w:sz w:val="22"/>
          <w:szCs w:val="22"/>
        </w:rPr>
        <w:t>15</w:t>
      </w:r>
      <w:r w:rsidRPr="00AB1348">
        <w:rPr>
          <w:rFonts w:asciiTheme="majorHAnsi" w:hAnsiTheme="majorHAnsi" w:cs="Arial"/>
          <w:smallCaps/>
          <w:sz w:val="22"/>
          <w:szCs w:val="22"/>
        </w:rPr>
        <w:t>: M</w:t>
      </w:r>
      <w:r w:rsidR="00F90786">
        <w:rPr>
          <w:rFonts w:asciiTheme="majorHAnsi" w:hAnsiTheme="majorHAnsi" w:cs="Arial"/>
          <w:smallCaps/>
          <w:sz w:val="22"/>
          <w:szCs w:val="22"/>
        </w:rPr>
        <w:t xml:space="preserve">apa de riesgos </w:t>
      </w:r>
      <w:r w:rsidR="00F90786" w:rsidRPr="00131F24">
        <w:rPr>
          <w:rFonts w:asciiTheme="majorHAnsi" w:hAnsiTheme="majorHAnsi" w:cs="Arial"/>
          <w:smallCaps/>
          <w:sz w:val="22"/>
          <w:szCs w:val="22"/>
        </w:rPr>
        <w:t>residuales C y S</w:t>
      </w:r>
      <w:r w:rsidR="00131F24">
        <w:rPr>
          <w:rFonts w:asciiTheme="majorHAnsi" w:hAnsiTheme="majorHAnsi" w:cs="Arial"/>
          <w:smallCaps/>
          <w:sz w:val="22"/>
          <w:szCs w:val="22"/>
        </w:rPr>
        <w:t xml:space="preserve"> </w:t>
      </w:r>
    </w:p>
    <w:p w14:paraId="06A94964" w14:textId="0D990611" w:rsidR="00C823EE" w:rsidRPr="00060053" w:rsidRDefault="00F22B1B" w:rsidP="00C823EE">
      <w:pPr>
        <w:pStyle w:val="Textoindependiente"/>
        <w:jc w:val="center"/>
        <w:rPr>
          <w:rFonts w:ascii="Cambria" w:hAnsi="Cambria"/>
          <w:color w:val="auto"/>
          <w:lang w:val="es-ES_tradnl"/>
        </w:rPr>
      </w:pPr>
      <w:r w:rsidRPr="00311DB9">
        <w:rPr>
          <w:noProof/>
          <w:lang w:val="es-ES"/>
        </w:rPr>
        <w:drawing>
          <wp:inline distT="0" distB="0" distL="0" distR="0" wp14:anchorId="428A840E" wp14:editId="7B5B1CA3">
            <wp:extent cx="3176617" cy="2047245"/>
            <wp:effectExtent l="0" t="0" r="5080" b="0"/>
            <wp:docPr id="80452" name="Imagen 80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98363" cy="2061260"/>
                    </a:xfrm>
                    <a:prstGeom prst="rect">
                      <a:avLst/>
                    </a:prstGeom>
                    <a:noFill/>
                    <a:ln>
                      <a:noFill/>
                    </a:ln>
                  </pic:spPr>
                </pic:pic>
              </a:graphicData>
            </a:graphic>
          </wp:inline>
        </w:drawing>
      </w:r>
    </w:p>
    <w:p w14:paraId="2891F3D7" w14:textId="7477D5FA" w:rsidR="003E3B79" w:rsidRDefault="003E3B79">
      <w:pPr>
        <w:rPr>
          <w:rFonts w:ascii="Cambria" w:hAnsi="Cambria" w:cs="Arial"/>
          <w:b/>
          <w:bCs/>
          <w:smallCaps/>
          <w:sz w:val="22"/>
          <w:szCs w:val="22"/>
          <w:lang w:val="es-ES_tradnl" w:eastAsia="es-ES_tradnl"/>
        </w:rPr>
      </w:pPr>
      <w:r>
        <w:rPr>
          <w:rFonts w:ascii="Cambria" w:hAnsi="Cambria" w:cs="Arial"/>
          <w:smallCaps/>
          <w:sz w:val="22"/>
          <w:szCs w:val="22"/>
        </w:rPr>
        <w:br w:type="page"/>
      </w:r>
    </w:p>
    <w:p w14:paraId="06A94965" w14:textId="1D0AF764" w:rsidR="00C823EE" w:rsidRDefault="004C6C27" w:rsidP="00527D80">
      <w:pPr>
        <w:pStyle w:val="Descripcin"/>
        <w:rPr>
          <w:rFonts w:ascii="Cambria" w:hAnsi="Cambria" w:cs="Arial"/>
          <w:smallCaps/>
          <w:sz w:val="22"/>
          <w:szCs w:val="22"/>
        </w:rPr>
      </w:pPr>
      <w:r>
        <w:rPr>
          <w:rFonts w:ascii="Cambria" w:hAnsi="Cambria" w:cs="Arial"/>
          <w:smallCaps/>
          <w:sz w:val="22"/>
          <w:szCs w:val="22"/>
        </w:rPr>
        <w:lastRenderedPageBreak/>
        <w:t>Resultado</w:t>
      </w:r>
      <w:r w:rsidR="00C823EE" w:rsidRPr="00060053">
        <w:rPr>
          <w:rFonts w:ascii="Cambria" w:hAnsi="Cambria" w:cs="Arial"/>
          <w:smallCaps/>
          <w:sz w:val="22"/>
          <w:szCs w:val="22"/>
        </w:rPr>
        <w:t>: Tecnologías de la Información</w:t>
      </w:r>
      <w:r w:rsidR="00131F24">
        <w:rPr>
          <w:rFonts w:ascii="Cambria" w:hAnsi="Cambria" w:cs="Arial"/>
          <w:smallCaps/>
          <w:sz w:val="22"/>
          <w:szCs w:val="22"/>
        </w:rPr>
        <w:t xml:space="preserve"> </w:t>
      </w:r>
    </w:p>
    <w:p w14:paraId="402211D0" w14:textId="77777777" w:rsidR="00F22B1B" w:rsidRPr="00F22B1B" w:rsidRDefault="00F22B1B" w:rsidP="00F22B1B">
      <w:pPr>
        <w:rPr>
          <w:lang w:val="es-ES_tradnl" w:eastAsia="es-ES_tradnl"/>
        </w:rPr>
      </w:pPr>
    </w:p>
    <w:p w14:paraId="137A1CFF" w14:textId="1478E506" w:rsidR="00AB1348" w:rsidRPr="0059167C" w:rsidRDefault="0013662A" w:rsidP="00AB1348">
      <w:pPr>
        <w:pStyle w:val="Descripcin"/>
        <w:jc w:val="center"/>
        <w:rPr>
          <w:rFonts w:asciiTheme="majorHAnsi" w:hAnsiTheme="majorHAnsi" w:cs="Arial"/>
          <w:smallCaps/>
          <w:sz w:val="22"/>
          <w:szCs w:val="22"/>
        </w:rPr>
      </w:pPr>
      <w:r>
        <w:rPr>
          <w:rFonts w:asciiTheme="majorHAnsi" w:hAnsiTheme="majorHAnsi" w:cs="Arial"/>
          <w:smallCaps/>
          <w:sz w:val="22"/>
          <w:szCs w:val="22"/>
        </w:rPr>
        <w:t>Gráfico 17</w:t>
      </w:r>
      <w:r w:rsidR="00AB1348" w:rsidRPr="0059167C">
        <w:rPr>
          <w:rFonts w:asciiTheme="majorHAnsi" w:hAnsiTheme="majorHAnsi" w:cs="Arial"/>
          <w:smallCaps/>
          <w:sz w:val="22"/>
          <w:szCs w:val="22"/>
        </w:rPr>
        <w:t>: Mapa de riesgos residuales TI</w:t>
      </w:r>
    </w:p>
    <w:p w14:paraId="4EB71D01" w14:textId="0816ECED" w:rsidR="00AB1348" w:rsidRPr="005018F4" w:rsidRDefault="00F22B1B" w:rsidP="00AB1348">
      <w:pPr>
        <w:jc w:val="center"/>
      </w:pPr>
      <w:r w:rsidRPr="008102B8">
        <w:rPr>
          <w:noProof/>
        </w:rPr>
        <w:drawing>
          <wp:inline distT="0" distB="0" distL="0" distR="0" wp14:anchorId="728BE449" wp14:editId="625FC5E0">
            <wp:extent cx="3176650" cy="2047267"/>
            <wp:effectExtent l="0" t="0" r="5080"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87217" cy="2054077"/>
                    </a:xfrm>
                    <a:prstGeom prst="rect">
                      <a:avLst/>
                    </a:prstGeom>
                    <a:noFill/>
                    <a:ln>
                      <a:noFill/>
                    </a:ln>
                  </pic:spPr>
                </pic:pic>
              </a:graphicData>
            </a:graphic>
          </wp:inline>
        </w:drawing>
      </w:r>
    </w:p>
    <w:p w14:paraId="61E09C4F" w14:textId="77777777" w:rsidR="00AB1348" w:rsidRDefault="00AB1348" w:rsidP="00AB1348">
      <w:pPr>
        <w:pStyle w:val="Textoindependiente"/>
        <w:jc w:val="center"/>
        <w:rPr>
          <w:szCs w:val="22"/>
        </w:rPr>
      </w:pPr>
    </w:p>
    <w:p w14:paraId="06A94968" w14:textId="55C56FE5" w:rsidR="00C823EE" w:rsidRPr="00131F24" w:rsidRDefault="004C6C27" w:rsidP="00527D80">
      <w:pPr>
        <w:pStyle w:val="Descripcin"/>
        <w:rPr>
          <w:rFonts w:ascii="Cambria" w:hAnsi="Cambria" w:cs="Arial"/>
          <w:smallCaps/>
          <w:sz w:val="22"/>
          <w:szCs w:val="22"/>
        </w:rPr>
      </w:pPr>
      <w:r w:rsidRPr="00131F24">
        <w:rPr>
          <w:rFonts w:ascii="Cambria" w:hAnsi="Cambria" w:cs="Arial"/>
          <w:smallCaps/>
          <w:sz w:val="22"/>
          <w:szCs w:val="22"/>
        </w:rPr>
        <w:t>Resultado</w:t>
      </w:r>
      <w:r w:rsidR="00C823EE" w:rsidRPr="00131F24">
        <w:rPr>
          <w:rFonts w:ascii="Cambria" w:hAnsi="Cambria" w:cs="Arial"/>
          <w:smallCaps/>
          <w:sz w:val="22"/>
          <w:szCs w:val="22"/>
        </w:rPr>
        <w:t xml:space="preserve">: </w:t>
      </w:r>
      <w:r w:rsidR="008E66BE" w:rsidRPr="00131F24">
        <w:rPr>
          <w:rFonts w:ascii="Cambria" w:hAnsi="Cambria" w:cs="Arial"/>
          <w:smallCaps/>
          <w:sz w:val="22"/>
          <w:szCs w:val="22"/>
        </w:rPr>
        <w:t xml:space="preserve">Revisión por </w:t>
      </w:r>
      <w:r w:rsidR="00131F24" w:rsidRPr="00131F24">
        <w:rPr>
          <w:rFonts w:ascii="Cambria" w:hAnsi="Cambria" w:cs="Arial"/>
          <w:smallCaps/>
          <w:sz w:val="22"/>
          <w:szCs w:val="22"/>
        </w:rPr>
        <w:t xml:space="preserve">Despacho </w:t>
      </w:r>
    </w:p>
    <w:p w14:paraId="1A2BF429" w14:textId="77777777" w:rsidR="000B0DDD" w:rsidRPr="00D164F2" w:rsidRDefault="000B0DDD" w:rsidP="00AB1348">
      <w:pPr>
        <w:jc w:val="center"/>
      </w:pPr>
    </w:p>
    <w:p w14:paraId="73FB1EF5" w14:textId="68C8EEBE" w:rsidR="00AB1348" w:rsidRPr="0059167C" w:rsidRDefault="00AB1348" w:rsidP="00AB1348">
      <w:pPr>
        <w:pStyle w:val="Descripcin"/>
        <w:jc w:val="center"/>
        <w:rPr>
          <w:rFonts w:asciiTheme="majorHAnsi" w:hAnsiTheme="majorHAnsi" w:cs="Arial"/>
          <w:smallCaps/>
          <w:sz w:val="22"/>
          <w:szCs w:val="22"/>
        </w:rPr>
      </w:pPr>
      <w:r w:rsidRPr="0059167C">
        <w:rPr>
          <w:rFonts w:asciiTheme="majorHAnsi" w:hAnsiTheme="majorHAnsi" w:cs="Arial"/>
          <w:smallCaps/>
          <w:sz w:val="22"/>
          <w:szCs w:val="22"/>
        </w:rPr>
        <w:t>Gráfico</w:t>
      </w:r>
      <w:r w:rsidR="0013662A">
        <w:rPr>
          <w:rFonts w:asciiTheme="majorHAnsi" w:hAnsiTheme="majorHAnsi" w:cs="Arial"/>
          <w:smallCaps/>
          <w:sz w:val="22"/>
          <w:szCs w:val="22"/>
        </w:rPr>
        <w:t xml:space="preserve"> 19</w:t>
      </w:r>
      <w:r w:rsidR="00131F24">
        <w:rPr>
          <w:rFonts w:asciiTheme="majorHAnsi" w:hAnsiTheme="majorHAnsi" w:cs="Arial"/>
          <w:smallCaps/>
          <w:sz w:val="22"/>
          <w:szCs w:val="22"/>
        </w:rPr>
        <w:t>: Mapa de riesgos residuales DS</w:t>
      </w:r>
    </w:p>
    <w:p w14:paraId="03DFA2E8" w14:textId="1884D047" w:rsidR="00AB1348" w:rsidRPr="00D164F2" w:rsidRDefault="00F22B1B" w:rsidP="00AB1348">
      <w:pPr>
        <w:jc w:val="center"/>
      </w:pPr>
      <w:r w:rsidRPr="00997D11">
        <w:rPr>
          <w:noProof/>
        </w:rPr>
        <w:drawing>
          <wp:inline distT="0" distB="0" distL="0" distR="0" wp14:anchorId="3A37047E" wp14:editId="659C183B">
            <wp:extent cx="3141024" cy="2024307"/>
            <wp:effectExtent l="0" t="0" r="2540"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9089" cy="2029504"/>
                    </a:xfrm>
                    <a:prstGeom prst="rect">
                      <a:avLst/>
                    </a:prstGeom>
                    <a:noFill/>
                    <a:ln>
                      <a:noFill/>
                    </a:ln>
                  </pic:spPr>
                </pic:pic>
              </a:graphicData>
            </a:graphic>
          </wp:inline>
        </w:drawing>
      </w:r>
    </w:p>
    <w:p w14:paraId="3579422C" w14:textId="77777777" w:rsidR="00AB1348" w:rsidRDefault="00AB1348" w:rsidP="00AB1348">
      <w:pPr>
        <w:pStyle w:val="Textoindependiente"/>
        <w:jc w:val="center"/>
        <w:rPr>
          <w:szCs w:val="22"/>
        </w:rPr>
      </w:pPr>
    </w:p>
    <w:p w14:paraId="22746388" w14:textId="77777777" w:rsidR="00AB1348" w:rsidRDefault="00AB1348" w:rsidP="00EE226E">
      <w:pPr>
        <w:jc w:val="both"/>
        <w:rPr>
          <w:rFonts w:asciiTheme="majorHAnsi" w:hAnsiTheme="majorHAnsi"/>
          <w:b/>
          <w:sz w:val="22"/>
          <w:szCs w:val="22"/>
          <w:lang w:val="es-CR"/>
        </w:rPr>
      </w:pPr>
      <w:bookmarkStart w:id="20" w:name="_Toc253146238"/>
      <w:bookmarkStart w:id="21" w:name="_Toc286838108"/>
    </w:p>
    <w:bookmarkEnd w:id="20"/>
    <w:bookmarkEnd w:id="21"/>
    <w:p w14:paraId="65EABE74" w14:textId="24585E45" w:rsidR="004C6C27" w:rsidRPr="00D7210B" w:rsidRDefault="004C6C27" w:rsidP="004C6C27">
      <w:pPr>
        <w:pStyle w:val="Textoindependiente"/>
        <w:jc w:val="both"/>
        <w:rPr>
          <w:rFonts w:asciiTheme="majorHAnsi" w:hAnsiTheme="majorHAnsi"/>
          <w:b/>
          <w:sz w:val="22"/>
          <w:szCs w:val="22"/>
        </w:rPr>
      </w:pPr>
      <w:r w:rsidRPr="00D7210B">
        <w:rPr>
          <w:rFonts w:asciiTheme="majorHAnsi" w:hAnsiTheme="majorHAnsi"/>
          <w:b/>
          <w:sz w:val="22"/>
          <w:szCs w:val="22"/>
        </w:rPr>
        <w:t xml:space="preserve">Riesgos Detectados </w:t>
      </w:r>
    </w:p>
    <w:p w14:paraId="0A8F83F1" w14:textId="77777777" w:rsidR="00CE65D3" w:rsidRDefault="00CE65D3" w:rsidP="00112C6F">
      <w:pPr>
        <w:pStyle w:val="Textoindependiente"/>
        <w:jc w:val="both"/>
        <w:rPr>
          <w:rFonts w:asciiTheme="majorHAnsi" w:hAnsiTheme="majorHAnsi" w:cs="Arial"/>
          <w:sz w:val="22"/>
          <w:szCs w:val="22"/>
        </w:rPr>
      </w:pPr>
    </w:p>
    <w:p w14:paraId="06CB6B39" w14:textId="6317D6EA" w:rsidR="009450AF" w:rsidRPr="009450AF" w:rsidRDefault="009450AF" w:rsidP="009450AF">
      <w:pPr>
        <w:pStyle w:val="Textoindependiente"/>
        <w:jc w:val="both"/>
        <w:rPr>
          <w:rFonts w:asciiTheme="majorHAnsi" w:hAnsiTheme="majorHAnsi" w:cs="Arial"/>
          <w:sz w:val="22"/>
          <w:szCs w:val="22"/>
        </w:rPr>
      </w:pPr>
      <w:r w:rsidRPr="009450AF">
        <w:rPr>
          <w:rFonts w:asciiTheme="majorHAnsi" w:hAnsiTheme="majorHAnsi" w:cs="Arial"/>
          <w:sz w:val="22"/>
          <w:szCs w:val="22"/>
        </w:rPr>
        <w:t>Luego del ejercicio de valoración de riesgos, se determinó los riesgos “aceptables” y “no acept</w:t>
      </w:r>
      <w:r w:rsidR="00F90786">
        <w:rPr>
          <w:rFonts w:asciiTheme="majorHAnsi" w:hAnsiTheme="majorHAnsi" w:cs="Arial"/>
          <w:sz w:val="22"/>
          <w:szCs w:val="22"/>
        </w:rPr>
        <w:t>ables” para cada proceso en la S</w:t>
      </w:r>
      <w:r w:rsidRPr="009450AF">
        <w:rPr>
          <w:rFonts w:asciiTheme="majorHAnsi" w:hAnsiTheme="majorHAnsi" w:cs="Arial"/>
          <w:sz w:val="22"/>
          <w:szCs w:val="22"/>
        </w:rPr>
        <w:t>ección III “Resultados”; entr</w:t>
      </w:r>
      <w:r w:rsidR="00F90786">
        <w:rPr>
          <w:rFonts w:asciiTheme="majorHAnsi" w:hAnsiTheme="majorHAnsi" w:cs="Arial"/>
          <w:sz w:val="22"/>
          <w:szCs w:val="22"/>
        </w:rPr>
        <w:t>e todas las categorías se revisaron</w:t>
      </w:r>
      <w:r w:rsidRPr="009450AF">
        <w:rPr>
          <w:rFonts w:asciiTheme="majorHAnsi" w:hAnsiTheme="majorHAnsi" w:cs="Arial"/>
          <w:sz w:val="22"/>
          <w:szCs w:val="22"/>
        </w:rPr>
        <w:t xml:space="preserve"> cuáles eventos de riesgo habían sido catalogados con mayor probabilidad e impacto. </w:t>
      </w:r>
    </w:p>
    <w:p w14:paraId="44DD2679" w14:textId="77777777" w:rsidR="009450AF" w:rsidRPr="009450AF" w:rsidRDefault="009450AF" w:rsidP="009450AF">
      <w:pPr>
        <w:pStyle w:val="Textoindependiente"/>
        <w:jc w:val="both"/>
        <w:rPr>
          <w:rFonts w:asciiTheme="majorHAnsi" w:hAnsiTheme="majorHAnsi" w:cs="Arial"/>
          <w:sz w:val="22"/>
          <w:szCs w:val="22"/>
        </w:rPr>
      </w:pPr>
    </w:p>
    <w:p w14:paraId="7319D5B5" w14:textId="77777777" w:rsidR="009450AF" w:rsidRPr="009450AF" w:rsidRDefault="009450AF" w:rsidP="009450AF">
      <w:pPr>
        <w:pStyle w:val="Textoindependiente"/>
        <w:jc w:val="both"/>
        <w:rPr>
          <w:rFonts w:asciiTheme="majorHAnsi" w:hAnsiTheme="majorHAnsi" w:cs="Arial"/>
          <w:sz w:val="22"/>
          <w:szCs w:val="22"/>
        </w:rPr>
      </w:pPr>
      <w:r w:rsidRPr="009450AF">
        <w:rPr>
          <w:rFonts w:asciiTheme="majorHAnsi" w:hAnsiTheme="majorHAnsi" w:cs="Arial"/>
          <w:sz w:val="22"/>
          <w:szCs w:val="22"/>
        </w:rPr>
        <w:t>Los siguientes eventos coincidieron en cuatro o cinco de los siete procesos consultados, de ahí, se puede afirmar que los principales riesgos detectados de manera general en los procesos de SUPEN son los listados a continuación.</w:t>
      </w:r>
    </w:p>
    <w:p w14:paraId="41287438" w14:textId="77777777" w:rsidR="009450AF" w:rsidRPr="009450AF" w:rsidRDefault="009450AF" w:rsidP="009450AF">
      <w:pPr>
        <w:pStyle w:val="Textoindependiente"/>
        <w:jc w:val="both"/>
        <w:rPr>
          <w:rFonts w:asciiTheme="majorHAnsi" w:hAnsiTheme="majorHAnsi" w:cs="Arial"/>
          <w:sz w:val="22"/>
          <w:szCs w:val="22"/>
        </w:rPr>
      </w:pPr>
    </w:p>
    <w:p w14:paraId="79995A41" w14:textId="47FF5EBC" w:rsidR="004C6C27" w:rsidRDefault="009450AF" w:rsidP="009450AF">
      <w:pPr>
        <w:pStyle w:val="Textoindependiente"/>
        <w:jc w:val="both"/>
        <w:rPr>
          <w:rFonts w:asciiTheme="majorHAnsi" w:hAnsiTheme="majorHAnsi" w:cs="Arial"/>
          <w:sz w:val="22"/>
          <w:szCs w:val="22"/>
        </w:rPr>
      </w:pPr>
      <w:r w:rsidRPr="009450AF">
        <w:rPr>
          <w:rFonts w:asciiTheme="majorHAnsi" w:hAnsiTheme="majorHAnsi" w:cs="Arial"/>
          <w:sz w:val="22"/>
          <w:szCs w:val="22"/>
        </w:rPr>
        <w:t>Cabe mencionar que los eventos “no conformación del CONASSIF” y el “marco sancionatorio inefectivo” se mantienen de años anteriores.</w:t>
      </w:r>
    </w:p>
    <w:p w14:paraId="0A59AB3B" w14:textId="77777777" w:rsidR="00693705" w:rsidRDefault="00693705" w:rsidP="009450AF">
      <w:pPr>
        <w:pStyle w:val="Textoindependiente"/>
        <w:jc w:val="both"/>
        <w:rPr>
          <w:rFonts w:asciiTheme="majorHAnsi" w:hAnsiTheme="majorHAnsi" w:cs="Arial"/>
          <w:sz w:val="22"/>
          <w:szCs w:val="22"/>
        </w:rPr>
      </w:pP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69"/>
        <w:gridCol w:w="101"/>
      </w:tblGrid>
      <w:tr w:rsidR="00693705" w:rsidRPr="002E2AB8" w14:paraId="7BBD23D7" w14:textId="77777777" w:rsidTr="00B141DD">
        <w:trPr>
          <w:gridAfter w:val="1"/>
          <w:wAfter w:w="101" w:type="dxa"/>
          <w:trHeight w:val="444"/>
          <w:tblHeader/>
        </w:trPr>
        <w:tc>
          <w:tcPr>
            <w:tcW w:w="3260" w:type="dxa"/>
            <w:shd w:val="clear" w:color="auto" w:fill="548DD4" w:themeFill="text2" w:themeFillTint="99"/>
            <w:vAlign w:val="center"/>
          </w:tcPr>
          <w:p w14:paraId="7CAF8E34" w14:textId="77777777" w:rsidR="00693705" w:rsidRPr="00693705" w:rsidRDefault="00693705" w:rsidP="00633BE1">
            <w:pPr>
              <w:pStyle w:val="Textoindependiente"/>
              <w:spacing w:before="60" w:after="60"/>
              <w:jc w:val="center"/>
              <w:rPr>
                <w:rFonts w:asciiTheme="majorHAnsi" w:hAnsiTheme="majorHAnsi" w:cs="Arial"/>
                <w:b/>
                <w:sz w:val="20"/>
              </w:rPr>
            </w:pPr>
            <w:r w:rsidRPr="00693705">
              <w:rPr>
                <w:rFonts w:asciiTheme="majorHAnsi" w:hAnsiTheme="majorHAnsi" w:cs="Arial"/>
                <w:b/>
                <w:sz w:val="20"/>
              </w:rPr>
              <w:t>Riesgos</w:t>
            </w:r>
          </w:p>
        </w:tc>
        <w:tc>
          <w:tcPr>
            <w:tcW w:w="5569" w:type="dxa"/>
            <w:shd w:val="clear" w:color="auto" w:fill="548DD4" w:themeFill="text2" w:themeFillTint="99"/>
            <w:vAlign w:val="center"/>
          </w:tcPr>
          <w:p w14:paraId="75EF6330" w14:textId="77777777" w:rsidR="00693705" w:rsidRPr="00693705" w:rsidRDefault="00693705" w:rsidP="00633BE1">
            <w:pPr>
              <w:pStyle w:val="Textoindependiente"/>
              <w:spacing w:before="60" w:after="60"/>
              <w:jc w:val="center"/>
              <w:rPr>
                <w:rFonts w:asciiTheme="majorHAnsi" w:hAnsiTheme="majorHAnsi" w:cs="Arial"/>
                <w:b/>
                <w:sz w:val="20"/>
              </w:rPr>
            </w:pPr>
            <w:r w:rsidRPr="00693705">
              <w:rPr>
                <w:rFonts w:asciiTheme="majorHAnsi" w:hAnsiTheme="majorHAnsi" w:cs="Arial"/>
                <w:b/>
                <w:sz w:val="20"/>
              </w:rPr>
              <w:t>Medidas de mitigación vigentes</w:t>
            </w:r>
          </w:p>
        </w:tc>
      </w:tr>
      <w:tr w:rsidR="00693705" w:rsidRPr="002E2AB8" w14:paraId="191EF096" w14:textId="77777777" w:rsidTr="00FD7ED1">
        <w:trPr>
          <w:trHeight w:val="565"/>
        </w:trPr>
        <w:tc>
          <w:tcPr>
            <w:tcW w:w="8930" w:type="dxa"/>
            <w:gridSpan w:val="3"/>
            <w:shd w:val="clear" w:color="auto" w:fill="C6D9F1" w:themeFill="text2" w:themeFillTint="33"/>
            <w:vAlign w:val="center"/>
          </w:tcPr>
          <w:p w14:paraId="2214F59B" w14:textId="77777777" w:rsidR="00693705" w:rsidRPr="00693705" w:rsidRDefault="00693705" w:rsidP="00693705">
            <w:pPr>
              <w:pStyle w:val="Textoindependiente"/>
              <w:spacing w:line="240" w:lineRule="auto"/>
              <w:rPr>
                <w:rFonts w:asciiTheme="majorHAnsi" w:hAnsiTheme="majorHAnsi" w:cs="Arial"/>
                <w:b/>
                <w:sz w:val="20"/>
              </w:rPr>
            </w:pPr>
            <w:r w:rsidRPr="00693705">
              <w:rPr>
                <w:rFonts w:asciiTheme="majorHAnsi" w:hAnsiTheme="majorHAnsi" w:cs="Arial"/>
                <w:b/>
                <w:sz w:val="20"/>
              </w:rPr>
              <w:t>Relacionados con personas</w:t>
            </w:r>
          </w:p>
        </w:tc>
      </w:tr>
      <w:tr w:rsidR="00693705" w:rsidRPr="002E2AB8" w14:paraId="758EE6D7" w14:textId="77777777" w:rsidTr="00B141DD">
        <w:trPr>
          <w:trHeight w:val="1208"/>
        </w:trPr>
        <w:tc>
          <w:tcPr>
            <w:tcW w:w="3260" w:type="dxa"/>
            <w:shd w:val="clear" w:color="auto" w:fill="auto"/>
            <w:vAlign w:val="center"/>
          </w:tcPr>
          <w:p w14:paraId="53006396" w14:textId="4DFF0849" w:rsidR="00693705" w:rsidRPr="00693705" w:rsidRDefault="00693705" w:rsidP="0065703D">
            <w:pPr>
              <w:rPr>
                <w:rFonts w:asciiTheme="majorHAnsi" w:hAnsiTheme="majorHAnsi" w:cs="Arial"/>
                <w:sz w:val="20"/>
              </w:rPr>
            </w:pPr>
            <w:r w:rsidRPr="00693705">
              <w:rPr>
                <w:rFonts w:asciiTheme="majorHAnsi" w:hAnsiTheme="majorHAnsi" w:cs="Arial"/>
                <w:sz w:val="20"/>
              </w:rPr>
              <w:t>Acuerdos con agent</w:t>
            </w:r>
            <w:r w:rsidR="00F90786">
              <w:rPr>
                <w:rFonts w:asciiTheme="majorHAnsi" w:hAnsiTheme="majorHAnsi" w:cs="Arial"/>
                <w:sz w:val="20"/>
              </w:rPr>
              <w:t>es externos en perjuicio de la I</w:t>
            </w:r>
            <w:r w:rsidRPr="00693705">
              <w:rPr>
                <w:rFonts w:asciiTheme="majorHAnsi" w:hAnsiTheme="majorHAnsi" w:cs="Arial"/>
                <w:sz w:val="20"/>
              </w:rPr>
              <w:t>nstitución</w:t>
            </w:r>
          </w:p>
        </w:tc>
        <w:tc>
          <w:tcPr>
            <w:tcW w:w="5670" w:type="dxa"/>
            <w:gridSpan w:val="2"/>
            <w:shd w:val="clear" w:color="auto" w:fill="auto"/>
            <w:vAlign w:val="center"/>
          </w:tcPr>
          <w:p w14:paraId="50F95B11" w14:textId="77777777" w:rsidR="00693705" w:rsidRPr="00693705" w:rsidRDefault="00693705" w:rsidP="0065703D">
            <w:pPr>
              <w:rPr>
                <w:rFonts w:asciiTheme="majorHAnsi" w:hAnsiTheme="majorHAnsi" w:cs="Arial"/>
                <w:sz w:val="20"/>
              </w:rPr>
            </w:pPr>
            <w:r w:rsidRPr="00693705">
              <w:rPr>
                <w:rFonts w:asciiTheme="majorHAnsi" w:hAnsiTheme="majorHAnsi" w:cs="Arial"/>
                <w:sz w:val="20"/>
              </w:rPr>
              <w:t xml:space="preserve">Diferentes niveles de revisión que permiten prevenir o identificar estas situaciones. </w:t>
            </w:r>
          </w:p>
          <w:p w14:paraId="09277265" w14:textId="198E0F40" w:rsidR="00693705" w:rsidRPr="00693705" w:rsidRDefault="00F90786" w:rsidP="0065703D">
            <w:pPr>
              <w:rPr>
                <w:rFonts w:asciiTheme="majorHAnsi" w:hAnsiTheme="majorHAnsi" w:cs="Arial"/>
                <w:color w:val="000000"/>
                <w:sz w:val="20"/>
                <w:szCs w:val="20"/>
              </w:rPr>
            </w:pPr>
            <w:bookmarkStart w:id="22" w:name="_Toc414979805"/>
            <w:r>
              <w:rPr>
                <w:rFonts w:asciiTheme="majorHAnsi" w:hAnsiTheme="majorHAnsi" w:cs="Arial"/>
                <w:color w:val="000000"/>
                <w:sz w:val="20"/>
                <w:szCs w:val="20"/>
              </w:rPr>
              <w:t>Trabajo en Equipo</w:t>
            </w:r>
            <w:r w:rsidR="00693705" w:rsidRPr="00693705">
              <w:rPr>
                <w:rFonts w:asciiTheme="majorHAnsi" w:hAnsiTheme="majorHAnsi" w:cs="Arial"/>
                <w:color w:val="000000"/>
                <w:sz w:val="20"/>
                <w:szCs w:val="20"/>
              </w:rPr>
              <w:t xml:space="preserve">. </w:t>
            </w:r>
            <w:r>
              <w:rPr>
                <w:rFonts w:asciiTheme="majorHAnsi" w:hAnsiTheme="majorHAnsi" w:cs="Arial"/>
                <w:color w:val="000000"/>
                <w:sz w:val="20"/>
                <w:szCs w:val="20"/>
              </w:rPr>
              <w:t>Transparencia en el sistema de t</w:t>
            </w:r>
            <w:r w:rsidR="00693705" w:rsidRPr="00693705">
              <w:rPr>
                <w:rFonts w:asciiTheme="majorHAnsi" w:hAnsiTheme="majorHAnsi" w:cs="Arial"/>
                <w:color w:val="000000"/>
                <w:sz w:val="20"/>
                <w:szCs w:val="20"/>
              </w:rPr>
              <w:t>rámites.</w:t>
            </w:r>
            <w:bookmarkEnd w:id="22"/>
          </w:p>
          <w:p w14:paraId="495C50A7" w14:textId="17C7CF37" w:rsidR="00693705" w:rsidRPr="00693705" w:rsidRDefault="00F90786" w:rsidP="0065703D">
            <w:pPr>
              <w:rPr>
                <w:rFonts w:asciiTheme="majorHAnsi" w:hAnsiTheme="majorHAnsi" w:cs="Arial"/>
                <w:sz w:val="20"/>
              </w:rPr>
            </w:pPr>
            <w:r>
              <w:rPr>
                <w:rFonts w:asciiTheme="majorHAnsi" w:hAnsiTheme="majorHAnsi" w:cs="Arial"/>
                <w:sz w:val="20"/>
              </w:rPr>
              <w:t>Reglamentos, normativa, Ley de Contratación A</w:t>
            </w:r>
            <w:r w:rsidR="00693705" w:rsidRPr="00693705">
              <w:rPr>
                <w:rFonts w:asciiTheme="majorHAnsi" w:hAnsiTheme="majorHAnsi" w:cs="Arial"/>
                <w:sz w:val="20"/>
              </w:rPr>
              <w:t>dministrativa, políticas y procedimientos internos.</w:t>
            </w:r>
          </w:p>
        </w:tc>
      </w:tr>
      <w:tr w:rsidR="00693705" w:rsidRPr="002E2AB8" w14:paraId="56EB0841" w14:textId="77777777" w:rsidTr="00B141DD">
        <w:trPr>
          <w:trHeight w:val="1208"/>
        </w:trPr>
        <w:tc>
          <w:tcPr>
            <w:tcW w:w="3260" w:type="dxa"/>
            <w:shd w:val="clear" w:color="auto" w:fill="auto"/>
            <w:vAlign w:val="center"/>
          </w:tcPr>
          <w:p w14:paraId="063AAD96" w14:textId="77777777" w:rsidR="00693705" w:rsidRPr="00693705" w:rsidRDefault="00693705" w:rsidP="0065703D">
            <w:pPr>
              <w:rPr>
                <w:rFonts w:asciiTheme="majorHAnsi" w:hAnsiTheme="majorHAnsi" w:cs="Arial"/>
                <w:sz w:val="20"/>
              </w:rPr>
            </w:pPr>
            <w:r w:rsidRPr="00693705">
              <w:rPr>
                <w:rFonts w:asciiTheme="majorHAnsi" w:hAnsiTheme="majorHAnsi" w:cs="Arial"/>
                <w:sz w:val="20"/>
              </w:rPr>
              <w:t>Incumplimiento o retraso injustificado en la atención de encargos, documentos, tareas o trámites.</w:t>
            </w:r>
          </w:p>
        </w:tc>
        <w:tc>
          <w:tcPr>
            <w:tcW w:w="5670" w:type="dxa"/>
            <w:gridSpan w:val="2"/>
            <w:shd w:val="clear" w:color="auto" w:fill="auto"/>
            <w:vAlign w:val="center"/>
          </w:tcPr>
          <w:p w14:paraId="14220120" w14:textId="5FD1ED5E" w:rsidR="00693705" w:rsidRPr="00693705" w:rsidRDefault="00693705" w:rsidP="0065703D">
            <w:pPr>
              <w:rPr>
                <w:rFonts w:asciiTheme="majorHAnsi" w:hAnsiTheme="majorHAnsi" w:cs="Arial"/>
                <w:color w:val="000000"/>
                <w:sz w:val="20"/>
                <w:szCs w:val="20"/>
                <w:lang w:val="es-CR"/>
              </w:rPr>
            </w:pPr>
            <w:bookmarkStart w:id="23" w:name="_Toc414979806"/>
            <w:r w:rsidRPr="00693705">
              <w:rPr>
                <w:rFonts w:asciiTheme="majorHAnsi" w:hAnsiTheme="majorHAnsi" w:cs="Arial"/>
                <w:color w:val="000000"/>
                <w:sz w:val="20"/>
                <w:szCs w:val="20"/>
                <w:lang w:val="es-CR"/>
              </w:rPr>
              <w:t>Supervis</w:t>
            </w:r>
            <w:r w:rsidR="00F90786">
              <w:rPr>
                <w:rFonts w:asciiTheme="majorHAnsi" w:hAnsiTheme="majorHAnsi" w:cs="Arial"/>
                <w:color w:val="000000"/>
                <w:sz w:val="20"/>
                <w:szCs w:val="20"/>
                <w:lang w:val="es-CR"/>
              </w:rPr>
              <w:t>ión de jefaturas. Coordinación I</w:t>
            </w:r>
            <w:r w:rsidRPr="00693705">
              <w:rPr>
                <w:rFonts w:asciiTheme="majorHAnsi" w:hAnsiTheme="majorHAnsi" w:cs="Arial"/>
                <w:color w:val="000000"/>
                <w:sz w:val="20"/>
                <w:szCs w:val="20"/>
                <w:lang w:val="es-CR"/>
              </w:rPr>
              <w:t>nterna.</w:t>
            </w:r>
            <w:bookmarkEnd w:id="23"/>
          </w:p>
          <w:p w14:paraId="7791F3DA" w14:textId="77777777" w:rsidR="00693705" w:rsidRPr="00693705" w:rsidRDefault="00693705" w:rsidP="0065703D">
            <w:pPr>
              <w:rPr>
                <w:rFonts w:asciiTheme="majorHAnsi" w:hAnsiTheme="majorHAnsi" w:cs="Arial"/>
                <w:color w:val="000000"/>
                <w:sz w:val="20"/>
                <w:szCs w:val="20"/>
                <w:lang w:val="es-CR"/>
              </w:rPr>
            </w:pPr>
            <w:bookmarkStart w:id="24" w:name="_Toc414979807"/>
            <w:r w:rsidRPr="00693705">
              <w:rPr>
                <w:rFonts w:asciiTheme="majorHAnsi" w:hAnsiTheme="majorHAnsi" w:cs="Arial"/>
                <w:color w:val="000000"/>
                <w:sz w:val="20"/>
                <w:szCs w:val="20"/>
                <w:lang w:val="es-CR"/>
              </w:rPr>
              <w:t>Balance de cargas. Monitoreo de indicadores y registros.</w:t>
            </w:r>
            <w:bookmarkEnd w:id="24"/>
          </w:p>
          <w:p w14:paraId="3544DA1F" w14:textId="77777777" w:rsidR="00693705" w:rsidRPr="00693705" w:rsidRDefault="00693705" w:rsidP="0065703D">
            <w:pPr>
              <w:rPr>
                <w:rFonts w:asciiTheme="majorHAnsi" w:hAnsiTheme="majorHAnsi" w:cs="Arial"/>
                <w:color w:val="000000"/>
                <w:sz w:val="20"/>
                <w:szCs w:val="20"/>
                <w:lang w:val="es-CR"/>
              </w:rPr>
            </w:pPr>
            <w:bookmarkStart w:id="25" w:name="_Toc414979808"/>
            <w:r w:rsidRPr="00693705">
              <w:rPr>
                <w:rFonts w:asciiTheme="majorHAnsi" w:hAnsiTheme="majorHAnsi" w:cs="Arial"/>
                <w:color w:val="000000"/>
                <w:sz w:val="20"/>
                <w:szCs w:val="20"/>
                <w:lang w:val="es-CR"/>
              </w:rPr>
              <w:t>Rendimiento y rendición de cuentas.</w:t>
            </w:r>
            <w:bookmarkEnd w:id="25"/>
            <w:r w:rsidRPr="00693705">
              <w:rPr>
                <w:rFonts w:asciiTheme="majorHAnsi" w:hAnsiTheme="majorHAnsi" w:cs="Arial"/>
                <w:color w:val="000000"/>
                <w:sz w:val="20"/>
                <w:szCs w:val="20"/>
                <w:lang w:val="es-CR"/>
              </w:rPr>
              <w:t xml:space="preserve"> </w:t>
            </w:r>
          </w:p>
          <w:p w14:paraId="2D70AEB4" w14:textId="48BE2C5A" w:rsidR="00693705" w:rsidRPr="00693705" w:rsidRDefault="00693705" w:rsidP="0065703D">
            <w:pPr>
              <w:rPr>
                <w:rFonts w:asciiTheme="majorHAnsi" w:hAnsiTheme="majorHAnsi" w:cs="Arial"/>
                <w:color w:val="000000"/>
                <w:sz w:val="20"/>
                <w:szCs w:val="20"/>
                <w:lang w:val="es-CR"/>
              </w:rPr>
            </w:pPr>
            <w:bookmarkStart w:id="26" w:name="_Toc414979809"/>
            <w:r w:rsidRPr="00693705">
              <w:rPr>
                <w:rFonts w:asciiTheme="majorHAnsi" w:hAnsiTheme="majorHAnsi" w:cs="Arial"/>
                <w:color w:val="000000"/>
                <w:sz w:val="20"/>
                <w:szCs w:val="20"/>
                <w:lang w:val="es-CR"/>
              </w:rPr>
              <w:t xml:space="preserve">Sistema de </w:t>
            </w:r>
            <w:r w:rsidR="00F90786">
              <w:rPr>
                <w:rFonts w:asciiTheme="majorHAnsi" w:hAnsiTheme="majorHAnsi" w:cs="Arial"/>
                <w:color w:val="000000"/>
                <w:sz w:val="20"/>
                <w:szCs w:val="20"/>
                <w:lang w:val="es-CR"/>
              </w:rPr>
              <w:t>Gestión de Calidad, sistema de t</w:t>
            </w:r>
            <w:r w:rsidRPr="00693705">
              <w:rPr>
                <w:rFonts w:asciiTheme="majorHAnsi" w:hAnsiTheme="majorHAnsi" w:cs="Arial"/>
                <w:color w:val="000000"/>
                <w:sz w:val="20"/>
                <w:szCs w:val="20"/>
                <w:lang w:val="es-CR"/>
              </w:rPr>
              <w:t>rámites, herramientas electrónicas.</w:t>
            </w:r>
            <w:bookmarkEnd w:id="26"/>
          </w:p>
        </w:tc>
      </w:tr>
      <w:tr w:rsidR="00693705" w:rsidRPr="002E2AB8" w14:paraId="5CBB6F1D" w14:textId="77777777" w:rsidTr="00693705">
        <w:trPr>
          <w:trHeight w:val="509"/>
        </w:trPr>
        <w:tc>
          <w:tcPr>
            <w:tcW w:w="8930" w:type="dxa"/>
            <w:gridSpan w:val="3"/>
            <w:shd w:val="clear" w:color="auto" w:fill="C6D9F1" w:themeFill="text2" w:themeFillTint="33"/>
            <w:vAlign w:val="center"/>
          </w:tcPr>
          <w:p w14:paraId="0AA0FA9F" w14:textId="77777777" w:rsidR="00693705" w:rsidRPr="00693705" w:rsidRDefault="00693705" w:rsidP="00693705">
            <w:pPr>
              <w:pStyle w:val="Textoindependiente"/>
              <w:spacing w:before="120" w:after="120" w:line="240" w:lineRule="auto"/>
              <w:rPr>
                <w:rFonts w:asciiTheme="majorHAnsi" w:hAnsiTheme="majorHAnsi" w:cs="Arial"/>
                <w:b/>
                <w:sz w:val="20"/>
              </w:rPr>
            </w:pPr>
            <w:r w:rsidRPr="00693705">
              <w:rPr>
                <w:rFonts w:asciiTheme="majorHAnsi" w:hAnsiTheme="majorHAnsi" w:cs="Arial"/>
                <w:b/>
                <w:sz w:val="20"/>
              </w:rPr>
              <w:t>Relacionados con procesos</w:t>
            </w:r>
          </w:p>
        </w:tc>
      </w:tr>
      <w:tr w:rsidR="00693705" w:rsidRPr="002E2AB8" w14:paraId="47398FF5" w14:textId="77777777" w:rsidTr="00B141DD">
        <w:trPr>
          <w:trHeight w:val="494"/>
        </w:trPr>
        <w:tc>
          <w:tcPr>
            <w:tcW w:w="3260" w:type="dxa"/>
            <w:shd w:val="clear" w:color="auto" w:fill="auto"/>
            <w:vAlign w:val="center"/>
          </w:tcPr>
          <w:p w14:paraId="1DA2A512" w14:textId="77777777" w:rsidR="00693705" w:rsidRPr="00693705" w:rsidRDefault="00693705" w:rsidP="0065703D">
            <w:pPr>
              <w:rPr>
                <w:rFonts w:asciiTheme="majorHAnsi" w:hAnsiTheme="majorHAnsi" w:cs="Arial"/>
                <w:sz w:val="20"/>
              </w:rPr>
            </w:pPr>
            <w:r w:rsidRPr="00693705">
              <w:rPr>
                <w:rFonts w:asciiTheme="majorHAnsi" w:hAnsiTheme="majorHAnsi" w:cs="Arial"/>
                <w:sz w:val="20"/>
              </w:rPr>
              <w:t>Desbalance en cargas de trabajo.</w:t>
            </w:r>
          </w:p>
        </w:tc>
        <w:tc>
          <w:tcPr>
            <w:tcW w:w="5670" w:type="dxa"/>
            <w:gridSpan w:val="2"/>
            <w:shd w:val="clear" w:color="auto" w:fill="auto"/>
            <w:vAlign w:val="center"/>
          </w:tcPr>
          <w:p w14:paraId="03A36ED9" w14:textId="77777777" w:rsidR="00693705" w:rsidRPr="00693705" w:rsidRDefault="00693705" w:rsidP="0065703D">
            <w:pPr>
              <w:rPr>
                <w:rFonts w:asciiTheme="majorHAnsi" w:hAnsiTheme="majorHAnsi" w:cs="Arial"/>
                <w:color w:val="000000"/>
                <w:sz w:val="20"/>
                <w:szCs w:val="20"/>
                <w:lang w:val="es-CR"/>
              </w:rPr>
            </w:pPr>
            <w:bookmarkStart w:id="27" w:name="_Toc414979810"/>
            <w:r w:rsidRPr="00693705">
              <w:rPr>
                <w:rFonts w:asciiTheme="majorHAnsi" w:hAnsiTheme="majorHAnsi" w:cs="Arial"/>
                <w:color w:val="000000"/>
                <w:sz w:val="20"/>
                <w:szCs w:val="20"/>
                <w:lang w:val="es-CR"/>
              </w:rPr>
              <w:t>Finalización de procesos de contratación.</w:t>
            </w:r>
            <w:bookmarkEnd w:id="27"/>
            <w:r w:rsidRPr="00693705">
              <w:rPr>
                <w:rFonts w:asciiTheme="majorHAnsi" w:hAnsiTheme="majorHAnsi" w:cs="Arial"/>
                <w:color w:val="000000"/>
                <w:sz w:val="20"/>
                <w:szCs w:val="20"/>
                <w:lang w:val="es-CR"/>
              </w:rPr>
              <w:t xml:space="preserve"> </w:t>
            </w:r>
          </w:p>
          <w:p w14:paraId="2FE01D00" w14:textId="77777777" w:rsidR="00693705" w:rsidRPr="00693705" w:rsidRDefault="00693705" w:rsidP="0065703D">
            <w:pPr>
              <w:rPr>
                <w:rFonts w:asciiTheme="majorHAnsi" w:hAnsiTheme="majorHAnsi" w:cs="Arial"/>
                <w:color w:val="000000"/>
                <w:sz w:val="20"/>
                <w:szCs w:val="20"/>
                <w:lang w:val="es-CR"/>
              </w:rPr>
            </w:pPr>
            <w:bookmarkStart w:id="28" w:name="_Toc414979811"/>
            <w:r w:rsidRPr="00693705">
              <w:rPr>
                <w:rFonts w:asciiTheme="majorHAnsi" w:hAnsiTheme="majorHAnsi" w:cs="Arial"/>
                <w:color w:val="000000"/>
                <w:sz w:val="20"/>
                <w:szCs w:val="20"/>
                <w:lang w:val="es-CR"/>
              </w:rPr>
              <w:t>Acciones de jefatura: asignación equitativa, redistribución de funciones.</w:t>
            </w:r>
            <w:bookmarkEnd w:id="28"/>
            <w:r w:rsidRPr="00693705">
              <w:rPr>
                <w:rFonts w:asciiTheme="majorHAnsi" w:hAnsiTheme="majorHAnsi" w:cs="Arial"/>
                <w:color w:val="000000"/>
                <w:sz w:val="20"/>
                <w:szCs w:val="20"/>
                <w:lang w:val="es-CR"/>
              </w:rPr>
              <w:t xml:space="preserve"> </w:t>
            </w:r>
          </w:p>
          <w:p w14:paraId="43C55C3F" w14:textId="77777777" w:rsidR="00693705" w:rsidRPr="00693705" w:rsidRDefault="00693705" w:rsidP="0065703D">
            <w:pPr>
              <w:rPr>
                <w:rFonts w:asciiTheme="majorHAnsi" w:hAnsiTheme="majorHAnsi" w:cs="Arial"/>
                <w:color w:val="000000"/>
                <w:sz w:val="20"/>
                <w:szCs w:val="20"/>
                <w:lang w:val="es-CR"/>
              </w:rPr>
            </w:pPr>
            <w:bookmarkStart w:id="29" w:name="_Toc414979812"/>
            <w:r w:rsidRPr="00693705">
              <w:rPr>
                <w:rFonts w:asciiTheme="majorHAnsi" w:hAnsiTheme="majorHAnsi" w:cs="Arial"/>
                <w:color w:val="000000"/>
                <w:sz w:val="20"/>
                <w:szCs w:val="20"/>
                <w:lang w:val="es-CR"/>
              </w:rPr>
              <w:t>Comunicación asertiva, sistema de trámites.</w:t>
            </w:r>
            <w:bookmarkEnd w:id="29"/>
            <w:r w:rsidRPr="00693705">
              <w:rPr>
                <w:rFonts w:asciiTheme="majorHAnsi" w:hAnsiTheme="majorHAnsi" w:cs="Arial"/>
                <w:color w:val="000000"/>
                <w:sz w:val="20"/>
                <w:szCs w:val="20"/>
                <w:lang w:val="es-CR"/>
              </w:rPr>
              <w:t xml:space="preserve"> </w:t>
            </w:r>
          </w:p>
          <w:p w14:paraId="0570AF29" w14:textId="77777777" w:rsidR="00693705" w:rsidRPr="00693705" w:rsidRDefault="00693705" w:rsidP="0065703D">
            <w:pPr>
              <w:rPr>
                <w:rFonts w:asciiTheme="majorHAnsi" w:hAnsiTheme="majorHAnsi" w:cs="Arial"/>
                <w:color w:val="000000"/>
                <w:sz w:val="20"/>
                <w:szCs w:val="20"/>
                <w:lang w:val="es-CR"/>
              </w:rPr>
            </w:pPr>
            <w:bookmarkStart w:id="30" w:name="_Toc414979813"/>
            <w:r w:rsidRPr="00693705">
              <w:rPr>
                <w:rFonts w:asciiTheme="majorHAnsi" w:hAnsiTheme="majorHAnsi" w:cs="Arial"/>
                <w:color w:val="000000"/>
                <w:sz w:val="20"/>
                <w:szCs w:val="20"/>
                <w:lang w:val="es-CR"/>
              </w:rPr>
              <w:t>Acatamiento de indicaciones de los estudios internos y externos.</w:t>
            </w:r>
            <w:bookmarkEnd w:id="30"/>
          </w:p>
          <w:p w14:paraId="4EFC7C4E" w14:textId="77777777" w:rsidR="00693705" w:rsidRPr="00693705" w:rsidRDefault="00693705" w:rsidP="0065703D">
            <w:pPr>
              <w:rPr>
                <w:rFonts w:asciiTheme="majorHAnsi" w:hAnsiTheme="majorHAnsi" w:cs="Arial"/>
                <w:color w:val="000000"/>
                <w:sz w:val="20"/>
                <w:szCs w:val="20"/>
                <w:lang w:val="es-CR"/>
              </w:rPr>
            </w:pPr>
            <w:bookmarkStart w:id="31" w:name="_Toc414979814"/>
            <w:r w:rsidRPr="00693705">
              <w:rPr>
                <w:rFonts w:asciiTheme="majorHAnsi" w:hAnsiTheme="majorHAnsi" w:cs="Arial"/>
                <w:color w:val="000000"/>
                <w:sz w:val="20"/>
                <w:szCs w:val="20"/>
                <w:lang w:val="es-CR"/>
              </w:rPr>
              <w:t>Procedimientos de trabajo.</w:t>
            </w:r>
            <w:bookmarkEnd w:id="31"/>
          </w:p>
        </w:tc>
      </w:tr>
      <w:tr w:rsidR="00693705" w:rsidRPr="002E2AB8" w14:paraId="71A95A47" w14:textId="77777777" w:rsidTr="00693705">
        <w:trPr>
          <w:trHeight w:val="449"/>
        </w:trPr>
        <w:tc>
          <w:tcPr>
            <w:tcW w:w="8930" w:type="dxa"/>
            <w:gridSpan w:val="3"/>
            <w:shd w:val="clear" w:color="auto" w:fill="C6D9F1" w:themeFill="text2" w:themeFillTint="33"/>
            <w:vAlign w:val="center"/>
          </w:tcPr>
          <w:p w14:paraId="065478C2" w14:textId="77777777" w:rsidR="00693705" w:rsidRPr="00693705" w:rsidRDefault="00693705" w:rsidP="00693705">
            <w:pPr>
              <w:pStyle w:val="Textoindependiente"/>
              <w:spacing w:line="240" w:lineRule="auto"/>
              <w:rPr>
                <w:rFonts w:asciiTheme="majorHAnsi" w:hAnsiTheme="majorHAnsi" w:cs="Arial"/>
                <w:b/>
                <w:sz w:val="20"/>
              </w:rPr>
            </w:pPr>
            <w:r w:rsidRPr="00693705">
              <w:rPr>
                <w:rFonts w:asciiTheme="majorHAnsi" w:hAnsiTheme="majorHAnsi" w:cs="Arial"/>
                <w:b/>
                <w:sz w:val="20"/>
              </w:rPr>
              <w:t>Riesgos por eventos externos</w:t>
            </w:r>
          </w:p>
        </w:tc>
      </w:tr>
      <w:tr w:rsidR="00693705" w:rsidRPr="002E2AB8" w14:paraId="1E66374E" w14:textId="77777777" w:rsidTr="00B141DD">
        <w:trPr>
          <w:trHeight w:val="1208"/>
        </w:trPr>
        <w:tc>
          <w:tcPr>
            <w:tcW w:w="3260" w:type="dxa"/>
            <w:shd w:val="clear" w:color="auto" w:fill="auto"/>
            <w:vAlign w:val="center"/>
          </w:tcPr>
          <w:p w14:paraId="08F951A7" w14:textId="0D811D2E" w:rsidR="00693705" w:rsidRPr="00693705" w:rsidRDefault="00693705" w:rsidP="0065703D">
            <w:pPr>
              <w:rPr>
                <w:rFonts w:asciiTheme="majorHAnsi" w:hAnsiTheme="majorHAnsi" w:cs="Arial"/>
                <w:sz w:val="20"/>
              </w:rPr>
            </w:pPr>
            <w:r w:rsidRPr="00693705">
              <w:rPr>
                <w:rFonts w:asciiTheme="majorHAnsi" w:hAnsiTheme="majorHAnsi" w:cs="Arial"/>
                <w:sz w:val="20"/>
              </w:rPr>
              <w:t>Fallas en el edificio (agua, ascensor, aire acondicionado, etc.)</w:t>
            </w:r>
          </w:p>
        </w:tc>
        <w:tc>
          <w:tcPr>
            <w:tcW w:w="5670" w:type="dxa"/>
            <w:gridSpan w:val="2"/>
            <w:shd w:val="clear" w:color="auto" w:fill="auto"/>
            <w:vAlign w:val="center"/>
          </w:tcPr>
          <w:p w14:paraId="5FBE30E2" w14:textId="40FE4F29" w:rsidR="00693705" w:rsidRPr="00693705" w:rsidRDefault="00F90786" w:rsidP="0065703D">
            <w:pPr>
              <w:rPr>
                <w:rFonts w:asciiTheme="majorHAnsi" w:hAnsiTheme="majorHAnsi" w:cs="Arial"/>
                <w:sz w:val="20"/>
                <w:szCs w:val="20"/>
              </w:rPr>
            </w:pPr>
            <w:bookmarkStart w:id="32" w:name="_Toc414979815"/>
            <w:r>
              <w:rPr>
                <w:rFonts w:asciiTheme="majorHAnsi" w:hAnsiTheme="majorHAnsi" w:cs="Arial"/>
                <w:color w:val="000000"/>
                <w:sz w:val="20"/>
                <w:szCs w:val="20"/>
                <w:lang w:val="es-CR"/>
              </w:rPr>
              <w:t>Coordinación del Á</w:t>
            </w:r>
            <w:r w:rsidRPr="00693705">
              <w:rPr>
                <w:rFonts w:asciiTheme="majorHAnsi" w:hAnsiTheme="majorHAnsi" w:cs="Arial"/>
                <w:color w:val="000000"/>
                <w:sz w:val="20"/>
                <w:szCs w:val="20"/>
                <w:lang w:val="es-CR"/>
              </w:rPr>
              <w:t>rea</w:t>
            </w:r>
            <w:r>
              <w:rPr>
                <w:rFonts w:asciiTheme="majorHAnsi" w:hAnsiTheme="majorHAnsi" w:cs="Arial"/>
                <w:color w:val="000000"/>
                <w:sz w:val="20"/>
                <w:szCs w:val="20"/>
                <w:lang w:val="es-CR"/>
              </w:rPr>
              <w:t xml:space="preserve"> Comunicación y S</w:t>
            </w:r>
            <w:r w:rsidR="00693705" w:rsidRPr="00693705">
              <w:rPr>
                <w:rFonts w:asciiTheme="majorHAnsi" w:hAnsiTheme="majorHAnsi" w:cs="Arial"/>
                <w:color w:val="000000"/>
                <w:sz w:val="20"/>
                <w:szCs w:val="20"/>
                <w:lang w:val="es-CR"/>
              </w:rPr>
              <w:t>ervicios con la administración del edificio. Mantenimiento del edificio.</w:t>
            </w:r>
            <w:bookmarkEnd w:id="32"/>
          </w:p>
        </w:tc>
      </w:tr>
      <w:tr w:rsidR="00693705" w:rsidRPr="002E2AB8" w14:paraId="6FB8A1AE" w14:textId="77777777" w:rsidTr="00693705">
        <w:trPr>
          <w:trHeight w:val="375"/>
        </w:trPr>
        <w:tc>
          <w:tcPr>
            <w:tcW w:w="8930" w:type="dxa"/>
            <w:gridSpan w:val="3"/>
            <w:shd w:val="clear" w:color="auto" w:fill="C6D9F1" w:themeFill="text2" w:themeFillTint="33"/>
            <w:vAlign w:val="center"/>
          </w:tcPr>
          <w:p w14:paraId="52645FB6" w14:textId="77777777" w:rsidR="00693705" w:rsidRPr="00693705" w:rsidRDefault="00693705" w:rsidP="00633BE1">
            <w:pPr>
              <w:pStyle w:val="Textoindependiente"/>
              <w:spacing w:before="120" w:after="120"/>
              <w:rPr>
                <w:rFonts w:asciiTheme="majorHAnsi" w:hAnsiTheme="majorHAnsi" w:cs="Arial"/>
                <w:sz w:val="20"/>
              </w:rPr>
            </w:pPr>
            <w:r w:rsidRPr="00693705">
              <w:rPr>
                <w:rFonts w:asciiTheme="majorHAnsi" w:hAnsiTheme="majorHAnsi" w:cs="Arial"/>
                <w:b/>
                <w:sz w:val="20"/>
              </w:rPr>
              <w:t>Riesgos jurídicos</w:t>
            </w:r>
          </w:p>
        </w:tc>
      </w:tr>
      <w:tr w:rsidR="00693705" w:rsidRPr="002E2AB8" w14:paraId="57F85ECF" w14:textId="77777777" w:rsidTr="00B141DD">
        <w:trPr>
          <w:trHeight w:val="591"/>
        </w:trPr>
        <w:tc>
          <w:tcPr>
            <w:tcW w:w="3260" w:type="dxa"/>
            <w:shd w:val="clear" w:color="auto" w:fill="auto"/>
            <w:vAlign w:val="center"/>
          </w:tcPr>
          <w:p w14:paraId="191F84E1" w14:textId="77777777" w:rsidR="00693705" w:rsidRPr="00693705" w:rsidRDefault="00693705" w:rsidP="00633BE1">
            <w:pPr>
              <w:pStyle w:val="Textoindependiente"/>
              <w:spacing w:before="120" w:after="120"/>
              <w:rPr>
                <w:rFonts w:asciiTheme="majorHAnsi" w:hAnsiTheme="majorHAnsi" w:cs="Arial"/>
                <w:sz w:val="20"/>
              </w:rPr>
            </w:pPr>
            <w:r w:rsidRPr="00693705">
              <w:rPr>
                <w:rFonts w:asciiTheme="majorHAnsi" w:hAnsiTheme="majorHAnsi" w:cs="Arial"/>
                <w:sz w:val="20"/>
              </w:rPr>
              <w:t>Marco sancionatorio inefectivo (Falta de tipificación de algunas conductas irregulares, por el impacto que ello puede tener en el logro de los objetivos).</w:t>
            </w:r>
          </w:p>
        </w:tc>
        <w:tc>
          <w:tcPr>
            <w:tcW w:w="5670" w:type="dxa"/>
            <w:gridSpan w:val="2"/>
            <w:shd w:val="clear" w:color="auto" w:fill="auto"/>
            <w:vAlign w:val="center"/>
          </w:tcPr>
          <w:p w14:paraId="6939582B" w14:textId="0664810E" w:rsidR="00693705" w:rsidRPr="00693705" w:rsidRDefault="00693705" w:rsidP="00F90786">
            <w:pPr>
              <w:pStyle w:val="Textoindependiente"/>
              <w:jc w:val="both"/>
              <w:rPr>
                <w:rFonts w:asciiTheme="majorHAnsi" w:hAnsiTheme="majorHAnsi" w:cs="Arial"/>
                <w:sz w:val="20"/>
              </w:rPr>
            </w:pPr>
            <w:r w:rsidRPr="00693705">
              <w:rPr>
                <w:rFonts w:asciiTheme="majorHAnsi" w:hAnsiTheme="majorHAnsi" w:cs="Arial"/>
                <w:sz w:val="20"/>
              </w:rPr>
              <w:t xml:space="preserve">A partir del informe de riesgos de 2011 se detectó este riesgo, para el que se abrió un proyecto institucional </w:t>
            </w:r>
            <w:r w:rsidRPr="00F90786">
              <w:rPr>
                <w:rFonts w:asciiTheme="majorHAnsi" w:hAnsiTheme="majorHAnsi" w:cs="Arial"/>
                <w:sz w:val="20"/>
              </w:rPr>
              <w:t>(</w:t>
            </w:r>
            <w:r w:rsidR="00F90786" w:rsidRPr="00F90786">
              <w:rPr>
                <w:rFonts w:asciiTheme="majorHAnsi" w:hAnsiTheme="majorHAnsi" w:cs="Arial"/>
                <w:sz w:val="20"/>
              </w:rPr>
              <w:t>Reforma a la Ley Nº</w:t>
            </w:r>
            <w:r w:rsidRPr="00F90786">
              <w:rPr>
                <w:rFonts w:asciiTheme="majorHAnsi" w:hAnsiTheme="majorHAnsi" w:cs="Arial"/>
                <w:sz w:val="20"/>
              </w:rPr>
              <w:t>7523, Régimen privado de pensiones complementarias, marco sancionatorio) cuyo fecha estimada de finalización es junio del 2015</w:t>
            </w:r>
            <w:r w:rsidRPr="00F90786">
              <w:rPr>
                <w:rStyle w:val="Refdenotaalpie"/>
                <w:rFonts w:asciiTheme="majorHAnsi" w:hAnsiTheme="majorHAnsi" w:cs="Arial"/>
                <w:sz w:val="20"/>
              </w:rPr>
              <w:footnoteReference w:id="2"/>
            </w:r>
            <w:r w:rsidRPr="00F90786">
              <w:rPr>
                <w:rFonts w:asciiTheme="majorHAnsi" w:hAnsiTheme="majorHAnsi" w:cs="Arial"/>
                <w:sz w:val="20"/>
              </w:rPr>
              <w:t>.</w:t>
            </w:r>
            <w:r w:rsidRPr="00693705">
              <w:rPr>
                <w:rFonts w:asciiTheme="majorHAnsi" w:hAnsiTheme="majorHAnsi" w:cs="Arial"/>
                <w:sz w:val="20"/>
              </w:rPr>
              <w:t xml:space="preserve"> Es coordinado por la Directora Jurídica y el Líder de Normativa.</w:t>
            </w:r>
          </w:p>
        </w:tc>
      </w:tr>
      <w:tr w:rsidR="00693705" w:rsidRPr="002E2AB8" w14:paraId="0EFE9C9E" w14:textId="77777777" w:rsidTr="00693705">
        <w:tc>
          <w:tcPr>
            <w:tcW w:w="8930" w:type="dxa"/>
            <w:gridSpan w:val="3"/>
            <w:shd w:val="clear" w:color="auto" w:fill="C6D9F1" w:themeFill="text2" w:themeFillTint="33"/>
            <w:vAlign w:val="center"/>
          </w:tcPr>
          <w:p w14:paraId="6E5A0855" w14:textId="77777777" w:rsidR="00693705" w:rsidRPr="00693705" w:rsidRDefault="00693705" w:rsidP="00633BE1">
            <w:pPr>
              <w:pStyle w:val="Textoindependiente"/>
              <w:spacing w:before="120" w:after="120"/>
              <w:rPr>
                <w:rFonts w:asciiTheme="majorHAnsi" w:hAnsiTheme="majorHAnsi" w:cs="Arial"/>
                <w:sz w:val="20"/>
              </w:rPr>
            </w:pPr>
            <w:r w:rsidRPr="00693705">
              <w:rPr>
                <w:rFonts w:asciiTheme="majorHAnsi" w:hAnsiTheme="majorHAnsi" w:cs="Arial"/>
                <w:b/>
                <w:sz w:val="20"/>
              </w:rPr>
              <w:t>Riesgos estratégicos</w:t>
            </w:r>
          </w:p>
        </w:tc>
      </w:tr>
      <w:tr w:rsidR="00693705" w:rsidRPr="002E2AB8" w14:paraId="115E178F" w14:textId="77777777" w:rsidTr="00B141DD">
        <w:tc>
          <w:tcPr>
            <w:tcW w:w="3260" w:type="dxa"/>
            <w:shd w:val="clear" w:color="auto" w:fill="auto"/>
            <w:vAlign w:val="center"/>
          </w:tcPr>
          <w:p w14:paraId="58CB1710" w14:textId="77777777" w:rsidR="00693705" w:rsidRPr="00693705" w:rsidRDefault="00693705" w:rsidP="00633BE1">
            <w:pPr>
              <w:pStyle w:val="Textoindependiente"/>
              <w:spacing w:before="120" w:after="120"/>
              <w:rPr>
                <w:rFonts w:asciiTheme="majorHAnsi" w:hAnsiTheme="majorHAnsi" w:cs="Arial"/>
                <w:sz w:val="20"/>
              </w:rPr>
            </w:pPr>
            <w:r w:rsidRPr="00693705">
              <w:rPr>
                <w:rFonts w:asciiTheme="majorHAnsi" w:hAnsiTheme="majorHAnsi" w:cs="Arial"/>
                <w:sz w:val="20"/>
              </w:rPr>
              <w:t>No conformación del CONASSIF</w:t>
            </w:r>
          </w:p>
        </w:tc>
        <w:tc>
          <w:tcPr>
            <w:tcW w:w="5670" w:type="dxa"/>
            <w:gridSpan w:val="2"/>
            <w:shd w:val="clear" w:color="auto" w:fill="auto"/>
            <w:vAlign w:val="center"/>
          </w:tcPr>
          <w:p w14:paraId="0240AD76" w14:textId="16A6655F" w:rsidR="00693705" w:rsidRPr="00693705" w:rsidRDefault="00693705" w:rsidP="00F90786">
            <w:pPr>
              <w:pStyle w:val="Textoindependiente"/>
              <w:spacing w:before="120" w:after="120"/>
              <w:jc w:val="both"/>
              <w:rPr>
                <w:rFonts w:asciiTheme="majorHAnsi" w:hAnsiTheme="majorHAnsi" w:cs="Arial"/>
                <w:sz w:val="20"/>
              </w:rPr>
            </w:pPr>
            <w:r w:rsidRPr="00693705">
              <w:rPr>
                <w:rFonts w:asciiTheme="majorHAnsi" w:hAnsiTheme="majorHAnsi" w:cs="Arial"/>
                <w:sz w:val="20"/>
              </w:rPr>
              <w:t>Es un riesgo exógeno a la SUPEN pero que ha impactado las fu</w:t>
            </w:r>
            <w:r w:rsidR="00F90786">
              <w:rPr>
                <w:rFonts w:asciiTheme="majorHAnsi" w:hAnsiTheme="majorHAnsi" w:cs="Arial"/>
                <w:sz w:val="20"/>
              </w:rPr>
              <w:t>nciones de la Superintendencia.</w:t>
            </w:r>
            <w:r w:rsidRPr="00693705">
              <w:rPr>
                <w:rFonts w:asciiTheme="majorHAnsi" w:hAnsiTheme="majorHAnsi" w:cs="Arial"/>
                <w:sz w:val="20"/>
              </w:rPr>
              <w:t xml:space="preserve"> Como medidas de mitigación se han celebrado sesiones extraordinarias para aprobar temas urgentes como por ejemplo, el presupuesto. Se ha utilizado la figura del funcionario de hecho.</w:t>
            </w:r>
          </w:p>
          <w:p w14:paraId="064B49E2" w14:textId="74196746" w:rsidR="00693705" w:rsidRPr="00693705" w:rsidRDefault="00693705" w:rsidP="002920EC">
            <w:pPr>
              <w:pStyle w:val="Textoindependiente"/>
              <w:tabs>
                <w:tab w:val="clear" w:pos="0"/>
                <w:tab w:val="left" w:pos="293"/>
              </w:tabs>
              <w:spacing w:before="120" w:after="120"/>
              <w:jc w:val="both"/>
              <w:rPr>
                <w:rFonts w:asciiTheme="majorHAnsi" w:hAnsiTheme="majorHAnsi" w:cs="Arial"/>
                <w:sz w:val="20"/>
              </w:rPr>
            </w:pPr>
            <w:r w:rsidRPr="00693705">
              <w:rPr>
                <w:rFonts w:asciiTheme="majorHAnsi" w:hAnsiTheme="majorHAnsi" w:cs="Arial"/>
                <w:sz w:val="20"/>
              </w:rPr>
              <w:t xml:space="preserve">La SUPEN preparó el proyecto de reforma del segundo párrafo del artículo 35 de la Ley N° 7523, Régimen Privado de Pensiones Complementarias y Reformas a la Ley Reguladora del Mercado </w:t>
            </w:r>
            <w:r w:rsidRPr="00693705">
              <w:rPr>
                <w:rFonts w:asciiTheme="majorHAnsi" w:hAnsiTheme="majorHAnsi" w:cs="Arial"/>
                <w:sz w:val="20"/>
              </w:rPr>
              <w:lastRenderedPageBreak/>
              <w:t>de Valores y del Código de Comercio, Expediente 17916.  Este proyecto fue acogido por el diputado Francisco Chacón, se encuentra en el orden del día de la Comisión Legislativa Plena Tercera y cuenta con un dictamen afirmativo.  Por medio de esta iniciativa se adiciona el párrafo segun</w:t>
            </w:r>
            <w:r w:rsidR="00F90786">
              <w:rPr>
                <w:rFonts w:asciiTheme="majorHAnsi" w:hAnsiTheme="majorHAnsi" w:cs="Arial"/>
                <w:sz w:val="20"/>
              </w:rPr>
              <w:t>do del artículo 35 de la Ley Nº</w:t>
            </w:r>
            <w:r w:rsidRPr="00693705">
              <w:rPr>
                <w:rFonts w:asciiTheme="majorHAnsi" w:hAnsiTheme="majorHAnsi" w:cs="Arial"/>
                <w:sz w:val="20"/>
              </w:rPr>
              <w:t xml:space="preserve">7523, Régimen Privado de Pensiones Complementaria y se autoriza a la Junta Directiva del Banco Central para que, en tanto la Asamblea de Trabajadores del Banco Popular </w:t>
            </w:r>
            <w:r w:rsidR="00F90786">
              <w:rPr>
                <w:rFonts w:asciiTheme="majorHAnsi" w:hAnsiTheme="majorHAnsi" w:cs="Arial"/>
                <w:sz w:val="20"/>
              </w:rPr>
              <w:t xml:space="preserve">y de Desarrollo Comunal </w:t>
            </w:r>
            <w:r w:rsidRPr="00693705">
              <w:rPr>
                <w:rFonts w:asciiTheme="majorHAnsi" w:hAnsiTheme="majorHAnsi" w:cs="Arial"/>
                <w:sz w:val="20"/>
              </w:rPr>
              <w:t>no se encuentre en condición de proponer la</w:t>
            </w:r>
            <w:r w:rsidR="00F92454">
              <w:rPr>
                <w:rFonts w:asciiTheme="majorHAnsi" w:hAnsiTheme="majorHAnsi" w:cs="Arial"/>
                <w:sz w:val="20"/>
              </w:rPr>
              <w:t xml:space="preserve"> terna a que se refiere la Ley,</w:t>
            </w:r>
            <w:r w:rsidRPr="00693705">
              <w:rPr>
                <w:rFonts w:asciiTheme="majorHAnsi" w:hAnsiTheme="majorHAnsi" w:cs="Arial"/>
                <w:sz w:val="20"/>
              </w:rPr>
              <w:t xml:space="preserve"> pueda designar en el Consejo Nacional de Supervisión del Sistema Financiero, </w:t>
            </w:r>
            <w:r w:rsidR="002920EC">
              <w:rPr>
                <w:rFonts w:asciiTheme="majorHAnsi" w:hAnsiTheme="majorHAnsi" w:cs="Arial"/>
                <w:sz w:val="20"/>
              </w:rPr>
              <w:t>d</w:t>
            </w:r>
            <w:r w:rsidRPr="00693705">
              <w:rPr>
                <w:rFonts w:asciiTheme="majorHAnsi" w:hAnsiTheme="majorHAnsi" w:cs="Arial"/>
                <w:sz w:val="20"/>
              </w:rPr>
              <w:t>e manera temporal, al miembro que represente a dicha Asamblea.</w:t>
            </w:r>
          </w:p>
        </w:tc>
      </w:tr>
    </w:tbl>
    <w:p w14:paraId="443F4FCE" w14:textId="77777777" w:rsidR="009450AF" w:rsidRPr="00693705" w:rsidRDefault="009450AF" w:rsidP="009450AF">
      <w:pPr>
        <w:pStyle w:val="Textoindependiente"/>
        <w:jc w:val="both"/>
        <w:rPr>
          <w:rFonts w:asciiTheme="majorHAnsi" w:hAnsiTheme="majorHAnsi"/>
          <w:sz w:val="22"/>
          <w:szCs w:val="22"/>
          <w:highlight w:val="yellow"/>
          <w:lang w:val="es-ES"/>
        </w:rPr>
      </w:pPr>
    </w:p>
    <w:p w14:paraId="06A949B1" w14:textId="0D9BDE5F" w:rsidR="004033F4" w:rsidRPr="00A03181" w:rsidRDefault="00A03181" w:rsidP="00A03181">
      <w:pPr>
        <w:pStyle w:val="Ttulo3"/>
        <w:rPr>
          <w:rFonts w:asciiTheme="majorHAnsi" w:hAnsiTheme="majorHAnsi"/>
          <w:sz w:val="22"/>
          <w:szCs w:val="22"/>
        </w:rPr>
      </w:pPr>
      <w:bookmarkStart w:id="33" w:name="_Toc442253207"/>
      <w:bookmarkEnd w:id="17"/>
      <w:bookmarkEnd w:id="18"/>
      <w:bookmarkEnd w:id="19"/>
      <w:r w:rsidRPr="00AD152A">
        <w:rPr>
          <w:rFonts w:asciiTheme="majorHAnsi" w:hAnsiTheme="majorHAnsi"/>
          <w:sz w:val="22"/>
          <w:szCs w:val="22"/>
        </w:rPr>
        <w:t>1.2.4.</w:t>
      </w:r>
      <w:r w:rsidRPr="00AD152A">
        <w:rPr>
          <w:rFonts w:asciiTheme="majorHAnsi" w:hAnsiTheme="majorHAnsi"/>
          <w:sz w:val="22"/>
          <w:szCs w:val="22"/>
        </w:rPr>
        <w:tab/>
      </w:r>
      <w:r w:rsidR="004033F4" w:rsidRPr="00AD152A">
        <w:rPr>
          <w:rFonts w:asciiTheme="majorHAnsi" w:hAnsiTheme="majorHAnsi"/>
          <w:sz w:val="22"/>
          <w:szCs w:val="22"/>
        </w:rPr>
        <w:t>Marco Filosófico Institucional</w:t>
      </w:r>
      <w:bookmarkEnd w:id="33"/>
    </w:p>
    <w:p w14:paraId="06A949B2" w14:textId="77777777" w:rsidR="009A4DAB" w:rsidRPr="00060053" w:rsidRDefault="009A4DAB" w:rsidP="004033F4">
      <w:pPr>
        <w:ind w:left="360"/>
        <w:rPr>
          <w:rFonts w:asciiTheme="majorHAnsi" w:hAnsiTheme="majorHAnsi"/>
          <w:b/>
          <w:sz w:val="22"/>
          <w:szCs w:val="22"/>
        </w:rPr>
      </w:pPr>
    </w:p>
    <w:p w14:paraId="06A949B3" w14:textId="77777777" w:rsidR="00080F2E" w:rsidRDefault="00050849" w:rsidP="00426B8C">
      <w:pPr>
        <w:widowControl w:val="0"/>
        <w:autoSpaceDE w:val="0"/>
        <w:autoSpaceDN w:val="0"/>
        <w:adjustRightInd w:val="0"/>
        <w:jc w:val="both"/>
        <w:rPr>
          <w:rFonts w:asciiTheme="majorHAnsi" w:hAnsiTheme="majorHAnsi" w:cs="Arial"/>
          <w:sz w:val="22"/>
          <w:szCs w:val="22"/>
        </w:rPr>
      </w:pPr>
      <w:r w:rsidRPr="00060053">
        <w:rPr>
          <w:rFonts w:asciiTheme="majorHAnsi" w:hAnsiTheme="majorHAnsi" w:cs="Arial"/>
          <w:sz w:val="22"/>
          <w:szCs w:val="22"/>
        </w:rPr>
        <w:t>D</w:t>
      </w:r>
      <w:r w:rsidR="00080F2E" w:rsidRPr="00060053">
        <w:rPr>
          <w:rFonts w:asciiTheme="majorHAnsi" w:hAnsiTheme="majorHAnsi" w:cs="Arial"/>
          <w:sz w:val="22"/>
          <w:szCs w:val="22"/>
        </w:rPr>
        <w:t>efine la filosofía de la organización, la cual se indica a continuación:</w:t>
      </w:r>
    </w:p>
    <w:p w14:paraId="06A949B4" w14:textId="77777777" w:rsidR="00A225D2" w:rsidRPr="00060053" w:rsidRDefault="00A225D2" w:rsidP="00080F2E">
      <w:pPr>
        <w:widowControl w:val="0"/>
        <w:autoSpaceDE w:val="0"/>
        <w:autoSpaceDN w:val="0"/>
        <w:adjustRightInd w:val="0"/>
        <w:ind w:left="567"/>
        <w:jc w:val="both"/>
        <w:rPr>
          <w:rFonts w:asciiTheme="majorHAnsi" w:hAnsiTheme="majorHAnsi" w:cs="Arial"/>
          <w:sz w:val="22"/>
          <w:szCs w:val="22"/>
        </w:rPr>
      </w:pPr>
    </w:p>
    <w:p w14:paraId="06A949B5" w14:textId="77777777" w:rsidR="00426B8C" w:rsidRPr="00FD7ED1" w:rsidRDefault="00426B8C" w:rsidP="007D2E79">
      <w:pPr>
        <w:numPr>
          <w:ilvl w:val="0"/>
          <w:numId w:val="5"/>
        </w:numPr>
        <w:tabs>
          <w:tab w:val="clear" w:pos="720"/>
          <w:tab w:val="num" w:pos="1068"/>
        </w:tabs>
        <w:ind w:left="1068"/>
        <w:rPr>
          <w:rFonts w:asciiTheme="majorHAnsi" w:hAnsiTheme="majorHAnsi"/>
          <w:b/>
          <w:iCs/>
          <w:sz w:val="22"/>
          <w:szCs w:val="22"/>
          <w:u w:val="single"/>
          <w:lang w:val="es-CR"/>
        </w:rPr>
      </w:pPr>
      <w:r w:rsidRPr="00060053">
        <w:rPr>
          <w:rFonts w:asciiTheme="majorHAnsi" w:hAnsiTheme="majorHAnsi"/>
          <w:b/>
          <w:i/>
          <w:smallCaps/>
          <w:sz w:val="22"/>
          <w:szCs w:val="22"/>
        </w:rPr>
        <w:t>Visión</w:t>
      </w:r>
      <w:r w:rsidRPr="00060053">
        <w:rPr>
          <w:rFonts w:asciiTheme="majorHAnsi" w:hAnsiTheme="majorHAnsi"/>
          <w:b/>
          <w:smallCaps/>
          <w:sz w:val="22"/>
          <w:szCs w:val="22"/>
        </w:rPr>
        <w:t xml:space="preserve">: </w:t>
      </w:r>
    </w:p>
    <w:p w14:paraId="313B4C07" w14:textId="63992205" w:rsidR="00FD7ED1" w:rsidRDefault="00FD7ED1" w:rsidP="00FD7ED1">
      <w:pPr>
        <w:rPr>
          <w:rFonts w:asciiTheme="majorHAnsi" w:hAnsiTheme="majorHAnsi"/>
          <w:b/>
          <w:iCs/>
          <w:sz w:val="22"/>
          <w:szCs w:val="22"/>
          <w:u w:val="single"/>
          <w:lang w:val="es-CR"/>
        </w:rPr>
      </w:pPr>
    </w:p>
    <w:tbl>
      <w:tblPr>
        <w:tblStyle w:val="Tablaconcuadrcula"/>
        <w:tblW w:w="0" w:type="auto"/>
        <w:tblInd w:w="704" w:type="dxa"/>
        <w:tblLook w:val="04A0" w:firstRow="1" w:lastRow="0" w:firstColumn="1" w:lastColumn="0" w:noHBand="0" w:noVBand="1"/>
      </w:tblPr>
      <w:tblGrid>
        <w:gridCol w:w="8409"/>
      </w:tblGrid>
      <w:tr w:rsidR="00FD7ED1" w:rsidRPr="00FD7ED1" w14:paraId="3E0E8040" w14:textId="77777777" w:rsidTr="00C20592">
        <w:trPr>
          <w:trHeight w:val="707"/>
        </w:trPr>
        <w:tc>
          <w:tcPr>
            <w:tcW w:w="8409" w:type="dxa"/>
            <w:shd w:val="clear" w:color="auto" w:fill="DBE5F1" w:themeFill="accent1" w:themeFillTint="33"/>
          </w:tcPr>
          <w:p w14:paraId="15615CEE" w14:textId="77777777" w:rsidR="00FD7ED1" w:rsidRPr="00FD7ED1" w:rsidRDefault="00FD7ED1" w:rsidP="00FD7ED1"/>
          <w:p w14:paraId="5336C896" w14:textId="79B50613" w:rsidR="00FD7ED1" w:rsidRPr="00FD7ED1" w:rsidRDefault="00FD7ED1" w:rsidP="00FD7ED1">
            <w:pPr>
              <w:jc w:val="center"/>
              <w:rPr>
                <w:b/>
                <w:i/>
              </w:rPr>
            </w:pPr>
            <w:r w:rsidRPr="00FD7ED1">
              <w:rPr>
                <w:b/>
                <w:i/>
              </w:rPr>
              <w:t>Ser un referente técnico en el fortalecimiento de</w:t>
            </w:r>
            <w:r w:rsidR="00D44BFD">
              <w:rPr>
                <w:b/>
                <w:i/>
              </w:rPr>
              <w:t>l Sistema Nacional de Pensiones</w:t>
            </w:r>
          </w:p>
          <w:p w14:paraId="63047BCE" w14:textId="77777777" w:rsidR="00FD7ED1" w:rsidRPr="00FD7ED1" w:rsidRDefault="00FD7ED1" w:rsidP="00FD7ED1"/>
        </w:tc>
      </w:tr>
    </w:tbl>
    <w:p w14:paraId="67DB8422" w14:textId="77777777" w:rsidR="00FD7ED1" w:rsidRDefault="00FD7ED1" w:rsidP="00FD7ED1">
      <w:pPr>
        <w:rPr>
          <w:rFonts w:asciiTheme="majorHAnsi" w:hAnsiTheme="majorHAnsi"/>
          <w:b/>
          <w:iCs/>
          <w:sz w:val="22"/>
          <w:szCs w:val="22"/>
          <w:u w:val="single"/>
          <w:lang w:val="es-CR"/>
        </w:rPr>
      </w:pPr>
    </w:p>
    <w:p w14:paraId="06A949BA" w14:textId="3233AC40" w:rsidR="00426B8C" w:rsidRPr="00FD7ED1" w:rsidRDefault="00426B8C" w:rsidP="00FD7ED1">
      <w:pPr>
        <w:numPr>
          <w:ilvl w:val="0"/>
          <w:numId w:val="5"/>
        </w:numPr>
        <w:tabs>
          <w:tab w:val="clear" w:pos="720"/>
          <w:tab w:val="num" w:pos="1068"/>
        </w:tabs>
        <w:ind w:left="1068"/>
        <w:rPr>
          <w:rFonts w:asciiTheme="majorHAnsi" w:hAnsiTheme="majorHAnsi"/>
          <w:b/>
          <w:i/>
          <w:smallCaps/>
          <w:sz w:val="22"/>
          <w:szCs w:val="22"/>
        </w:rPr>
      </w:pPr>
      <w:r w:rsidRPr="00060053">
        <w:rPr>
          <w:rFonts w:asciiTheme="majorHAnsi" w:hAnsiTheme="majorHAnsi"/>
          <w:b/>
          <w:i/>
          <w:smallCaps/>
          <w:sz w:val="22"/>
          <w:szCs w:val="22"/>
        </w:rPr>
        <w:t>Misión</w:t>
      </w:r>
      <w:r w:rsidRPr="00FD7ED1">
        <w:rPr>
          <w:rFonts w:asciiTheme="majorHAnsi" w:hAnsiTheme="majorHAnsi"/>
          <w:b/>
          <w:i/>
          <w:smallCaps/>
          <w:sz w:val="22"/>
          <w:szCs w:val="22"/>
        </w:rPr>
        <w:t>:</w:t>
      </w:r>
    </w:p>
    <w:p w14:paraId="73DE61DA" w14:textId="77777777" w:rsidR="00FD7ED1" w:rsidRPr="00FD7ED1" w:rsidRDefault="00FD7ED1" w:rsidP="00FD7ED1">
      <w:pPr>
        <w:ind w:left="360"/>
        <w:rPr>
          <w:rFonts w:asciiTheme="majorHAnsi" w:hAnsiTheme="majorHAnsi"/>
          <w:b/>
          <w:iCs/>
          <w:sz w:val="22"/>
          <w:u w:val="single"/>
        </w:rPr>
      </w:pPr>
    </w:p>
    <w:tbl>
      <w:tblPr>
        <w:tblStyle w:val="Tablaconcuadrcula"/>
        <w:tblW w:w="0" w:type="auto"/>
        <w:tblInd w:w="704" w:type="dxa"/>
        <w:tblLook w:val="04A0" w:firstRow="1" w:lastRow="0" w:firstColumn="1" w:lastColumn="0" w:noHBand="0" w:noVBand="1"/>
      </w:tblPr>
      <w:tblGrid>
        <w:gridCol w:w="8409"/>
      </w:tblGrid>
      <w:tr w:rsidR="00FD7ED1" w:rsidRPr="00FD7ED1" w14:paraId="117D55B7" w14:textId="77777777" w:rsidTr="00C20592">
        <w:trPr>
          <w:trHeight w:val="707"/>
        </w:trPr>
        <w:tc>
          <w:tcPr>
            <w:tcW w:w="8409" w:type="dxa"/>
            <w:shd w:val="clear" w:color="auto" w:fill="DBE5F1" w:themeFill="accent1" w:themeFillTint="33"/>
          </w:tcPr>
          <w:p w14:paraId="355CD8F7" w14:textId="77777777" w:rsidR="00FD7ED1" w:rsidRPr="00FD7ED1" w:rsidRDefault="00FD7ED1" w:rsidP="003D2E9C"/>
          <w:p w14:paraId="45FC3D71" w14:textId="00D669EF" w:rsidR="00FD7ED1" w:rsidRPr="00FD7ED1" w:rsidRDefault="00D44BFD" w:rsidP="003D2E9C">
            <w:pPr>
              <w:jc w:val="center"/>
              <w:rPr>
                <w:b/>
                <w:i/>
              </w:rPr>
            </w:pPr>
            <w:r>
              <w:rPr>
                <w:b/>
                <w:i/>
              </w:rPr>
              <w:t>Promover pensiones dignas</w:t>
            </w:r>
          </w:p>
          <w:p w14:paraId="78CDFD5A" w14:textId="77777777" w:rsidR="00FD7ED1" w:rsidRPr="00FD7ED1" w:rsidRDefault="00FD7ED1" w:rsidP="003D2E9C"/>
        </w:tc>
      </w:tr>
    </w:tbl>
    <w:p w14:paraId="104E163D" w14:textId="77777777" w:rsidR="00FD7ED1" w:rsidRPr="00FD7ED1" w:rsidRDefault="00FD7ED1" w:rsidP="00FD7ED1">
      <w:pPr>
        <w:ind w:left="360"/>
        <w:rPr>
          <w:rFonts w:asciiTheme="majorHAnsi" w:hAnsiTheme="majorHAnsi"/>
          <w:b/>
          <w:iCs/>
          <w:sz w:val="22"/>
          <w:u w:val="single"/>
        </w:rPr>
      </w:pPr>
    </w:p>
    <w:p w14:paraId="06A949BE" w14:textId="77777777" w:rsidR="00A225D2" w:rsidRPr="00060053" w:rsidRDefault="00A225D2" w:rsidP="00426B8C">
      <w:pPr>
        <w:pStyle w:val="Puesto"/>
        <w:ind w:right="55"/>
        <w:jc w:val="left"/>
        <w:rPr>
          <w:rFonts w:asciiTheme="majorHAnsi" w:hAnsiTheme="majorHAnsi"/>
          <w:b w:val="0"/>
          <w:smallCaps/>
          <w:sz w:val="22"/>
          <w:szCs w:val="22"/>
          <w:lang w:val="es-CR"/>
        </w:rPr>
      </w:pPr>
    </w:p>
    <w:p w14:paraId="06A949BF" w14:textId="3C98BA14" w:rsidR="00426B8C" w:rsidRDefault="00A219C6" w:rsidP="007D2E79">
      <w:pPr>
        <w:numPr>
          <w:ilvl w:val="0"/>
          <w:numId w:val="5"/>
        </w:numPr>
        <w:tabs>
          <w:tab w:val="clear" w:pos="720"/>
          <w:tab w:val="num" w:pos="1068"/>
        </w:tabs>
        <w:ind w:left="1068"/>
        <w:rPr>
          <w:rFonts w:asciiTheme="majorHAnsi" w:hAnsiTheme="majorHAnsi"/>
          <w:b/>
          <w:smallCaps/>
          <w:sz w:val="22"/>
          <w:szCs w:val="22"/>
        </w:rPr>
      </w:pPr>
      <w:r>
        <w:rPr>
          <w:rFonts w:asciiTheme="majorHAnsi" w:hAnsiTheme="majorHAnsi"/>
          <w:b/>
          <w:i/>
          <w:smallCaps/>
          <w:sz w:val="22"/>
          <w:szCs w:val="22"/>
        </w:rPr>
        <w:t>Valores Institucionales</w:t>
      </w:r>
      <w:r w:rsidR="00426B8C" w:rsidRPr="00060053">
        <w:rPr>
          <w:rFonts w:asciiTheme="majorHAnsi" w:hAnsiTheme="majorHAnsi"/>
          <w:b/>
          <w:smallCaps/>
          <w:sz w:val="22"/>
          <w:szCs w:val="22"/>
        </w:rPr>
        <w:t>:</w:t>
      </w:r>
    </w:p>
    <w:p w14:paraId="2B612B29" w14:textId="544B200D" w:rsidR="00353E06" w:rsidRDefault="00353E06" w:rsidP="00353E06">
      <w:pPr>
        <w:rPr>
          <w:rFonts w:asciiTheme="majorHAnsi" w:hAnsiTheme="majorHAnsi"/>
          <w:b/>
          <w:smallCaps/>
          <w:sz w:val="22"/>
          <w:szCs w:val="22"/>
        </w:rPr>
      </w:pPr>
    </w:p>
    <w:tbl>
      <w:tblPr>
        <w:tblStyle w:val="Tablaconcuadrcula"/>
        <w:tblW w:w="8505" w:type="dxa"/>
        <w:tblInd w:w="704" w:type="dxa"/>
        <w:tblBorders>
          <w:insideH w:val="none" w:sz="0" w:space="0" w:color="auto"/>
          <w:insideV w:val="none" w:sz="0" w:space="0" w:color="auto"/>
        </w:tblBorders>
        <w:shd w:val="clear" w:color="auto" w:fill="DBE5F1" w:themeFill="accent1" w:themeFillTint="33"/>
        <w:tblLayout w:type="fixed"/>
        <w:tblLook w:val="04A0" w:firstRow="1" w:lastRow="0" w:firstColumn="1" w:lastColumn="0" w:noHBand="0" w:noVBand="1"/>
      </w:tblPr>
      <w:tblGrid>
        <w:gridCol w:w="2693"/>
        <w:gridCol w:w="5812"/>
      </w:tblGrid>
      <w:tr w:rsidR="007C372E" w14:paraId="24EB8FCA" w14:textId="580B7999" w:rsidTr="00B141DD">
        <w:tc>
          <w:tcPr>
            <w:tcW w:w="2693" w:type="dxa"/>
            <w:shd w:val="clear" w:color="auto" w:fill="DBE5F1" w:themeFill="accent1" w:themeFillTint="33"/>
          </w:tcPr>
          <w:p w14:paraId="1C8C53A8" w14:textId="6D36B2EC" w:rsidR="007C372E" w:rsidRPr="007C372E" w:rsidRDefault="007C372E" w:rsidP="00F73A72">
            <w:pPr>
              <w:ind w:left="2297" w:hanging="2297"/>
              <w:contextualSpacing/>
              <w:jc w:val="both"/>
              <w:rPr>
                <w:rFonts w:asciiTheme="majorHAnsi" w:hAnsiTheme="majorHAnsi"/>
                <w:sz w:val="20"/>
              </w:rPr>
            </w:pPr>
            <w:r w:rsidRPr="007C372E">
              <w:rPr>
                <w:rFonts w:asciiTheme="majorHAnsi" w:hAnsiTheme="majorHAnsi"/>
                <w:b/>
                <w:sz w:val="22"/>
              </w:rPr>
              <w:t xml:space="preserve">Integridad: </w:t>
            </w:r>
          </w:p>
          <w:p w14:paraId="4473AE1E" w14:textId="77777777" w:rsidR="007C372E" w:rsidRDefault="007C372E" w:rsidP="007C372E">
            <w:pPr>
              <w:ind w:left="2297" w:hanging="2297"/>
              <w:contextualSpacing/>
              <w:jc w:val="both"/>
              <w:rPr>
                <w:rFonts w:asciiTheme="majorHAnsi" w:hAnsiTheme="majorHAnsi"/>
                <w:b/>
                <w:smallCaps/>
                <w:sz w:val="22"/>
                <w:szCs w:val="22"/>
              </w:rPr>
            </w:pPr>
          </w:p>
        </w:tc>
        <w:tc>
          <w:tcPr>
            <w:tcW w:w="5812" w:type="dxa"/>
            <w:shd w:val="clear" w:color="auto" w:fill="DBE5F1" w:themeFill="accent1" w:themeFillTint="33"/>
          </w:tcPr>
          <w:p w14:paraId="6E806BAD" w14:textId="2158454D" w:rsidR="007C372E" w:rsidRDefault="007C372E" w:rsidP="009A4853">
            <w:pPr>
              <w:jc w:val="both"/>
              <w:rPr>
                <w:rFonts w:asciiTheme="majorHAnsi" w:hAnsiTheme="majorHAnsi"/>
                <w:sz w:val="22"/>
              </w:rPr>
            </w:pPr>
            <w:r>
              <w:rPr>
                <w:rFonts w:asciiTheme="majorHAnsi" w:hAnsiTheme="majorHAnsi"/>
                <w:sz w:val="22"/>
              </w:rPr>
              <w:t>A</w:t>
            </w:r>
            <w:r w:rsidRPr="007C372E">
              <w:rPr>
                <w:rFonts w:asciiTheme="majorHAnsi" w:hAnsiTheme="majorHAnsi"/>
                <w:sz w:val="22"/>
              </w:rPr>
              <w:t>ctuamos con rectitud para cumplir con nuestros compromisos.</w:t>
            </w:r>
          </w:p>
          <w:p w14:paraId="4B44CEDA" w14:textId="3628D2CD" w:rsidR="007C372E" w:rsidRPr="007C372E" w:rsidRDefault="007C372E" w:rsidP="009A4853">
            <w:pPr>
              <w:jc w:val="both"/>
              <w:rPr>
                <w:rFonts w:asciiTheme="majorHAnsi" w:hAnsiTheme="majorHAnsi"/>
                <w:sz w:val="22"/>
              </w:rPr>
            </w:pPr>
          </w:p>
        </w:tc>
      </w:tr>
      <w:tr w:rsidR="007C372E" w14:paraId="61D3C9F7" w14:textId="77777777" w:rsidTr="00B141DD">
        <w:tc>
          <w:tcPr>
            <w:tcW w:w="2693" w:type="dxa"/>
            <w:shd w:val="clear" w:color="auto" w:fill="DBE5F1" w:themeFill="accent1" w:themeFillTint="33"/>
          </w:tcPr>
          <w:p w14:paraId="48F0B32A" w14:textId="77777777" w:rsidR="007C372E" w:rsidRPr="007C372E" w:rsidRDefault="007C372E" w:rsidP="007C372E">
            <w:pPr>
              <w:ind w:left="2297" w:hanging="2297"/>
              <w:contextualSpacing/>
              <w:jc w:val="both"/>
              <w:rPr>
                <w:rFonts w:asciiTheme="majorHAnsi" w:hAnsiTheme="majorHAnsi"/>
                <w:sz w:val="22"/>
              </w:rPr>
            </w:pPr>
            <w:r w:rsidRPr="007C372E">
              <w:rPr>
                <w:rFonts w:asciiTheme="majorHAnsi" w:hAnsiTheme="majorHAnsi"/>
                <w:b/>
                <w:sz w:val="22"/>
              </w:rPr>
              <w:t>Transparencia:</w:t>
            </w:r>
            <w:r w:rsidRPr="007C372E">
              <w:rPr>
                <w:rFonts w:asciiTheme="majorHAnsi" w:hAnsiTheme="majorHAnsi"/>
                <w:sz w:val="22"/>
              </w:rPr>
              <w:t xml:space="preserve"> </w:t>
            </w:r>
          </w:p>
          <w:p w14:paraId="59C9D23C" w14:textId="77777777" w:rsidR="007C372E" w:rsidRPr="00353E06" w:rsidRDefault="007C372E" w:rsidP="00353E06"/>
        </w:tc>
        <w:tc>
          <w:tcPr>
            <w:tcW w:w="5812" w:type="dxa"/>
            <w:shd w:val="clear" w:color="auto" w:fill="DBE5F1" w:themeFill="accent1" w:themeFillTint="33"/>
          </w:tcPr>
          <w:p w14:paraId="344A41C5" w14:textId="64E52DA6" w:rsidR="007C372E" w:rsidRDefault="007C372E" w:rsidP="009A4853">
            <w:pPr>
              <w:jc w:val="both"/>
              <w:rPr>
                <w:rFonts w:asciiTheme="majorHAnsi" w:hAnsiTheme="majorHAnsi"/>
                <w:sz w:val="22"/>
              </w:rPr>
            </w:pPr>
            <w:r>
              <w:rPr>
                <w:rFonts w:asciiTheme="majorHAnsi" w:hAnsiTheme="majorHAnsi"/>
                <w:sz w:val="22"/>
              </w:rPr>
              <w:t>I</w:t>
            </w:r>
            <w:r w:rsidRPr="007C372E">
              <w:rPr>
                <w:rFonts w:asciiTheme="majorHAnsi" w:hAnsiTheme="majorHAnsi"/>
                <w:sz w:val="22"/>
              </w:rPr>
              <w:t>nformamos con claridad, veracidad y oportunidad sobre nuestras actuaciones.</w:t>
            </w:r>
          </w:p>
          <w:p w14:paraId="2E933E8F" w14:textId="77777777" w:rsidR="007C372E" w:rsidRDefault="007C372E" w:rsidP="009A4853">
            <w:pPr>
              <w:jc w:val="both"/>
            </w:pPr>
          </w:p>
        </w:tc>
      </w:tr>
      <w:tr w:rsidR="007C372E" w14:paraId="07B4D1C6" w14:textId="77777777" w:rsidTr="00B141DD">
        <w:tc>
          <w:tcPr>
            <w:tcW w:w="2693" w:type="dxa"/>
            <w:shd w:val="clear" w:color="auto" w:fill="DBE5F1" w:themeFill="accent1" w:themeFillTint="33"/>
          </w:tcPr>
          <w:p w14:paraId="5E738D37" w14:textId="77777777" w:rsidR="007C372E" w:rsidRPr="007C372E" w:rsidRDefault="007C372E" w:rsidP="007C372E">
            <w:pPr>
              <w:ind w:left="2297" w:hanging="2297"/>
              <w:rPr>
                <w:rFonts w:asciiTheme="majorHAnsi" w:hAnsiTheme="majorHAnsi"/>
                <w:sz w:val="22"/>
              </w:rPr>
            </w:pPr>
            <w:r w:rsidRPr="007C372E">
              <w:rPr>
                <w:rFonts w:asciiTheme="majorHAnsi" w:hAnsiTheme="majorHAnsi"/>
                <w:b/>
                <w:sz w:val="22"/>
              </w:rPr>
              <w:t>Mejora continua:</w:t>
            </w:r>
            <w:r w:rsidRPr="007C372E">
              <w:rPr>
                <w:rFonts w:asciiTheme="majorHAnsi" w:hAnsiTheme="majorHAnsi"/>
                <w:sz w:val="22"/>
              </w:rPr>
              <w:t xml:space="preserve"> </w:t>
            </w:r>
          </w:p>
          <w:p w14:paraId="367E7CC9" w14:textId="77777777" w:rsidR="007C372E" w:rsidRDefault="007C372E" w:rsidP="00353E06"/>
        </w:tc>
        <w:tc>
          <w:tcPr>
            <w:tcW w:w="5812" w:type="dxa"/>
            <w:shd w:val="clear" w:color="auto" w:fill="DBE5F1" w:themeFill="accent1" w:themeFillTint="33"/>
          </w:tcPr>
          <w:p w14:paraId="29440117" w14:textId="1046F033" w:rsidR="007C372E" w:rsidRDefault="007C372E" w:rsidP="009A4853">
            <w:pPr>
              <w:jc w:val="both"/>
              <w:rPr>
                <w:rFonts w:asciiTheme="majorHAnsi" w:hAnsiTheme="majorHAnsi"/>
                <w:sz w:val="22"/>
              </w:rPr>
            </w:pPr>
            <w:r>
              <w:rPr>
                <w:rFonts w:asciiTheme="majorHAnsi" w:hAnsiTheme="majorHAnsi"/>
                <w:sz w:val="22"/>
              </w:rPr>
              <w:t>P</w:t>
            </w:r>
            <w:r w:rsidRPr="007C372E">
              <w:rPr>
                <w:rFonts w:asciiTheme="majorHAnsi" w:hAnsiTheme="majorHAnsi"/>
                <w:sz w:val="22"/>
              </w:rPr>
              <w:t>romovemos el uso de mejores prácticas para brindar servicios de alta calidad a nuestros clientes.</w:t>
            </w:r>
          </w:p>
          <w:p w14:paraId="2D85F92C" w14:textId="77777777" w:rsidR="007C372E" w:rsidRDefault="007C372E" w:rsidP="009A4853">
            <w:pPr>
              <w:jc w:val="both"/>
            </w:pPr>
          </w:p>
        </w:tc>
      </w:tr>
      <w:tr w:rsidR="007C372E" w14:paraId="1F504A32" w14:textId="77777777" w:rsidTr="00B141DD">
        <w:tc>
          <w:tcPr>
            <w:tcW w:w="2693" w:type="dxa"/>
            <w:shd w:val="clear" w:color="auto" w:fill="DBE5F1" w:themeFill="accent1" w:themeFillTint="33"/>
          </w:tcPr>
          <w:p w14:paraId="6543549F" w14:textId="77777777" w:rsidR="007C372E" w:rsidRPr="007C372E" w:rsidRDefault="007C372E" w:rsidP="007C372E">
            <w:pPr>
              <w:ind w:left="2297" w:hanging="2297"/>
              <w:contextualSpacing/>
              <w:jc w:val="both"/>
              <w:rPr>
                <w:rFonts w:asciiTheme="majorHAnsi" w:hAnsiTheme="majorHAnsi"/>
                <w:sz w:val="20"/>
              </w:rPr>
            </w:pPr>
            <w:r w:rsidRPr="007C372E">
              <w:rPr>
                <w:rFonts w:asciiTheme="majorHAnsi" w:hAnsiTheme="majorHAnsi"/>
                <w:b/>
                <w:sz w:val="22"/>
              </w:rPr>
              <w:t>Trabajo en equipo:</w:t>
            </w:r>
            <w:r w:rsidRPr="007C372E">
              <w:rPr>
                <w:rFonts w:asciiTheme="majorHAnsi" w:hAnsiTheme="majorHAnsi"/>
                <w:sz w:val="22"/>
              </w:rPr>
              <w:t xml:space="preserve"> </w:t>
            </w:r>
          </w:p>
          <w:p w14:paraId="578329A2" w14:textId="77777777" w:rsidR="007C372E" w:rsidRDefault="007C372E" w:rsidP="00353E06"/>
        </w:tc>
        <w:tc>
          <w:tcPr>
            <w:tcW w:w="5812" w:type="dxa"/>
            <w:shd w:val="clear" w:color="auto" w:fill="DBE5F1" w:themeFill="accent1" w:themeFillTint="33"/>
          </w:tcPr>
          <w:p w14:paraId="5DE11786" w14:textId="2FF2C28D" w:rsidR="007C372E" w:rsidRDefault="007C372E" w:rsidP="009A4853">
            <w:pPr>
              <w:jc w:val="both"/>
            </w:pPr>
            <w:r>
              <w:rPr>
                <w:rFonts w:asciiTheme="majorHAnsi" w:hAnsiTheme="majorHAnsi"/>
                <w:sz w:val="22"/>
              </w:rPr>
              <w:t>L</w:t>
            </w:r>
            <w:r w:rsidRPr="007C372E">
              <w:rPr>
                <w:rFonts w:asciiTheme="majorHAnsi" w:hAnsiTheme="majorHAnsi"/>
                <w:sz w:val="22"/>
              </w:rPr>
              <w:t>aboramos de manera coordinada, en un ambiente de respeto  y cordialidad, para alcanzar los objetivos de la organización.</w:t>
            </w:r>
          </w:p>
        </w:tc>
      </w:tr>
    </w:tbl>
    <w:p w14:paraId="4176A845" w14:textId="77777777" w:rsidR="00C63FDF" w:rsidRDefault="00C63FDF" w:rsidP="008F76B5">
      <w:p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line="240" w:lineRule="atLeast"/>
        <w:jc w:val="both"/>
        <w:rPr>
          <w:rFonts w:asciiTheme="majorHAnsi" w:hAnsiTheme="majorHAnsi" w:cs="Verdana"/>
          <w:sz w:val="22"/>
          <w:szCs w:val="22"/>
        </w:rPr>
      </w:pPr>
    </w:p>
    <w:p w14:paraId="3367386D" w14:textId="77777777" w:rsidR="003E3B79" w:rsidRPr="00060053" w:rsidRDefault="003E3B79" w:rsidP="008F76B5">
      <w:p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line="240" w:lineRule="atLeast"/>
        <w:jc w:val="both"/>
        <w:rPr>
          <w:rFonts w:asciiTheme="majorHAnsi" w:hAnsiTheme="majorHAnsi" w:cs="Verdana"/>
          <w:sz w:val="22"/>
          <w:szCs w:val="22"/>
        </w:rPr>
      </w:pPr>
    </w:p>
    <w:p w14:paraId="06A949C7" w14:textId="44BA3C0B" w:rsidR="0049505E" w:rsidRDefault="00A219C6" w:rsidP="007D2E79">
      <w:pPr>
        <w:numPr>
          <w:ilvl w:val="0"/>
          <w:numId w:val="5"/>
        </w:numPr>
        <w:tabs>
          <w:tab w:val="clear" w:pos="720"/>
          <w:tab w:val="num" w:pos="1068"/>
        </w:tabs>
        <w:ind w:left="1068"/>
        <w:rPr>
          <w:rFonts w:asciiTheme="majorHAnsi" w:hAnsiTheme="majorHAnsi"/>
          <w:b/>
          <w:smallCaps/>
          <w:sz w:val="22"/>
          <w:szCs w:val="22"/>
        </w:rPr>
      </w:pPr>
      <w:r>
        <w:rPr>
          <w:rFonts w:asciiTheme="majorHAnsi" w:hAnsiTheme="majorHAnsi"/>
          <w:b/>
          <w:i/>
          <w:smallCaps/>
          <w:sz w:val="22"/>
          <w:szCs w:val="22"/>
        </w:rPr>
        <w:lastRenderedPageBreak/>
        <w:t>Política de calidad</w:t>
      </w:r>
      <w:r w:rsidR="0049505E" w:rsidRPr="00060053">
        <w:rPr>
          <w:rFonts w:asciiTheme="majorHAnsi" w:hAnsiTheme="majorHAnsi"/>
          <w:b/>
          <w:smallCaps/>
          <w:sz w:val="22"/>
          <w:szCs w:val="22"/>
        </w:rPr>
        <w:t>:</w:t>
      </w:r>
    </w:p>
    <w:p w14:paraId="223E3261" w14:textId="3B510FFA" w:rsidR="00353E06" w:rsidRDefault="00353E06" w:rsidP="00353E06">
      <w:pPr>
        <w:rPr>
          <w:rFonts w:asciiTheme="majorHAnsi" w:hAnsiTheme="majorHAnsi"/>
          <w:b/>
          <w:smallCaps/>
          <w:sz w:val="22"/>
          <w:szCs w:val="22"/>
        </w:rPr>
      </w:pPr>
    </w:p>
    <w:tbl>
      <w:tblPr>
        <w:tblStyle w:val="Tablaconcuadrcula"/>
        <w:tblW w:w="0" w:type="auto"/>
        <w:tblInd w:w="562" w:type="dxa"/>
        <w:tblLook w:val="04A0" w:firstRow="1" w:lastRow="0" w:firstColumn="1" w:lastColumn="0" w:noHBand="0" w:noVBand="1"/>
      </w:tblPr>
      <w:tblGrid>
        <w:gridCol w:w="8551"/>
      </w:tblGrid>
      <w:tr w:rsidR="00353E06" w14:paraId="56C8CEE2" w14:textId="77777777" w:rsidTr="00513AD6">
        <w:tc>
          <w:tcPr>
            <w:tcW w:w="8551" w:type="dxa"/>
            <w:shd w:val="clear" w:color="auto" w:fill="DBE5F1" w:themeFill="accent1" w:themeFillTint="33"/>
          </w:tcPr>
          <w:p w14:paraId="08C1743A" w14:textId="77777777" w:rsidR="00353E06" w:rsidRDefault="00353E06" w:rsidP="00353E06"/>
          <w:p w14:paraId="63D5DD55" w14:textId="77777777" w:rsidR="00353E06" w:rsidRPr="007C372E" w:rsidRDefault="00353E06" w:rsidP="00513AD6">
            <w:pPr>
              <w:ind w:left="454"/>
              <w:jc w:val="both"/>
              <w:rPr>
                <w:rFonts w:asciiTheme="majorHAnsi" w:hAnsiTheme="majorHAnsi"/>
                <w:sz w:val="22"/>
              </w:rPr>
            </w:pPr>
            <w:r w:rsidRPr="007C372E">
              <w:rPr>
                <w:rFonts w:asciiTheme="majorHAnsi" w:hAnsiTheme="majorHAnsi"/>
                <w:sz w:val="22"/>
              </w:rPr>
              <w:t>El personal de la Superintendencia de Pensiones apoyado en el Sistema de Gestión de Calidad y en beneficio de los afiliados al Sistema Nacional de Pensiones, se compromete a:</w:t>
            </w:r>
          </w:p>
          <w:p w14:paraId="1E98E950" w14:textId="77777777" w:rsidR="00353E06" w:rsidRPr="007C372E" w:rsidRDefault="00353E06" w:rsidP="00353E06">
            <w:pPr>
              <w:ind w:left="880"/>
              <w:rPr>
                <w:rFonts w:asciiTheme="majorHAnsi" w:hAnsiTheme="majorHAnsi"/>
                <w:sz w:val="22"/>
              </w:rPr>
            </w:pPr>
            <w:r w:rsidRPr="007C372E">
              <w:rPr>
                <w:rFonts w:asciiTheme="majorHAnsi" w:hAnsiTheme="majorHAnsi"/>
                <w:sz w:val="22"/>
              </w:rPr>
              <w:t>•</w:t>
            </w:r>
            <w:r w:rsidRPr="007C372E">
              <w:rPr>
                <w:rFonts w:asciiTheme="majorHAnsi" w:hAnsiTheme="majorHAnsi"/>
                <w:sz w:val="22"/>
              </w:rPr>
              <w:tab/>
              <w:t>Alcanzar los objetivos estratégicos de la institución.</w:t>
            </w:r>
          </w:p>
          <w:p w14:paraId="6B3B56F6" w14:textId="77777777" w:rsidR="00353E06" w:rsidRPr="007C372E" w:rsidRDefault="00353E06" w:rsidP="00353E06">
            <w:pPr>
              <w:ind w:left="880"/>
              <w:rPr>
                <w:rFonts w:asciiTheme="majorHAnsi" w:hAnsiTheme="majorHAnsi"/>
                <w:sz w:val="22"/>
              </w:rPr>
            </w:pPr>
            <w:r w:rsidRPr="007C372E">
              <w:rPr>
                <w:rFonts w:asciiTheme="majorHAnsi" w:hAnsiTheme="majorHAnsi"/>
                <w:sz w:val="22"/>
              </w:rPr>
              <w:t>•</w:t>
            </w:r>
            <w:r w:rsidRPr="007C372E">
              <w:rPr>
                <w:rFonts w:asciiTheme="majorHAnsi" w:hAnsiTheme="majorHAnsi"/>
                <w:sz w:val="22"/>
              </w:rPr>
              <w:tab/>
              <w:t>Cumplir la normativa de control interno.</w:t>
            </w:r>
          </w:p>
          <w:p w14:paraId="5E83FE59" w14:textId="77777777" w:rsidR="00353E06" w:rsidRPr="007C372E" w:rsidRDefault="00353E06" w:rsidP="00353E06">
            <w:pPr>
              <w:ind w:left="880"/>
              <w:rPr>
                <w:rFonts w:asciiTheme="majorHAnsi" w:hAnsiTheme="majorHAnsi"/>
                <w:sz w:val="22"/>
              </w:rPr>
            </w:pPr>
            <w:r w:rsidRPr="007C372E">
              <w:rPr>
                <w:rFonts w:asciiTheme="majorHAnsi" w:hAnsiTheme="majorHAnsi"/>
                <w:sz w:val="22"/>
              </w:rPr>
              <w:t>•</w:t>
            </w:r>
            <w:r w:rsidRPr="007C372E">
              <w:rPr>
                <w:rFonts w:asciiTheme="majorHAnsi" w:hAnsiTheme="majorHAnsi"/>
                <w:sz w:val="22"/>
              </w:rPr>
              <w:tab/>
              <w:t>Mantener la eficacia y el mejoramiento continuo.</w:t>
            </w:r>
          </w:p>
          <w:p w14:paraId="49622F99" w14:textId="77777777" w:rsidR="00353E06" w:rsidRDefault="00353E06" w:rsidP="00353E06">
            <w:pPr>
              <w:rPr>
                <w:rFonts w:asciiTheme="majorHAnsi" w:hAnsiTheme="majorHAnsi"/>
                <w:b/>
                <w:smallCaps/>
                <w:sz w:val="22"/>
                <w:szCs w:val="22"/>
              </w:rPr>
            </w:pPr>
          </w:p>
        </w:tc>
      </w:tr>
    </w:tbl>
    <w:p w14:paraId="06A949D0" w14:textId="307BAC63" w:rsidR="00456091" w:rsidRPr="00060053" w:rsidRDefault="00456091" w:rsidP="00426B8C">
      <w:pPr>
        <w:rPr>
          <w:rFonts w:asciiTheme="majorHAnsi" w:hAnsiTheme="majorHAnsi"/>
          <w:b/>
          <w:sz w:val="22"/>
          <w:szCs w:val="22"/>
        </w:rPr>
      </w:pPr>
    </w:p>
    <w:p w14:paraId="06A949D1" w14:textId="77777777" w:rsidR="004F12EB" w:rsidRDefault="004F12EB" w:rsidP="002E74D0">
      <w:pPr>
        <w:rPr>
          <w:rFonts w:asciiTheme="majorHAnsi" w:hAnsiTheme="majorHAnsi"/>
          <w:b/>
          <w:sz w:val="20"/>
          <w:szCs w:val="22"/>
        </w:rPr>
      </w:pPr>
    </w:p>
    <w:p w14:paraId="3DC53CAD" w14:textId="77777777" w:rsidR="003E3B79" w:rsidRPr="007C372E" w:rsidRDefault="003E3B79" w:rsidP="002E74D0">
      <w:pPr>
        <w:rPr>
          <w:rFonts w:asciiTheme="majorHAnsi" w:hAnsiTheme="majorHAnsi"/>
          <w:b/>
          <w:sz w:val="20"/>
          <w:szCs w:val="22"/>
        </w:rPr>
      </w:pPr>
    </w:p>
    <w:p w14:paraId="06A949D2" w14:textId="77777777" w:rsidR="00080F2E" w:rsidRPr="007C372E" w:rsidRDefault="00D92CD5" w:rsidP="002E74D0">
      <w:pPr>
        <w:rPr>
          <w:rFonts w:asciiTheme="majorHAnsi" w:hAnsiTheme="majorHAnsi"/>
          <w:b/>
          <w:i/>
          <w:szCs w:val="22"/>
        </w:rPr>
      </w:pPr>
      <w:r w:rsidRPr="007C372E">
        <w:rPr>
          <w:rFonts w:asciiTheme="majorHAnsi" w:hAnsiTheme="majorHAnsi"/>
          <w:b/>
          <w:i/>
          <w:szCs w:val="22"/>
        </w:rPr>
        <w:t>Objetivos Estratégicos</w:t>
      </w:r>
    </w:p>
    <w:p w14:paraId="13AA51D5" w14:textId="77777777" w:rsidR="0066771F" w:rsidRPr="007C372E" w:rsidRDefault="0066771F" w:rsidP="002E74D0">
      <w:pPr>
        <w:rPr>
          <w:rFonts w:asciiTheme="majorHAnsi" w:hAnsiTheme="majorHAnsi"/>
          <w:b/>
          <w:i/>
          <w:sz w:val="20"/>
          <w:szCs w:val="22"/>
        </w:rPr>
      </w:pPr>
    </w:p>
    <w:p w14:paraId="06A949D3" w14:textId="77777777" w:rsidR="00B44062" w:rsidRPr="007C372E" w:rsidRDefault="00B44062" w:rsidP="002E74D0">
      <w:pPr>
        <w:rPr>
          <w:rFonts w:asciiTheme="majorHAnsi" w:hAnsiTheme="majorHAnsi"/>
          <w:b/>
          <w:sz w:val="20"/>
          <w:szCs w:val="22"/>
        </w:rPr>
      </w:pPr>
    </w:p>
    <w:p w14:paraId="47C09F40" w14:textId="7CD8D1F5" w:rsidR="0066771F" w:rsidRPr="007C372E" w:rsidRDefault="0066771F" w:rsidP="0066771F">
      <w:pPr>
        <w:pStyle w:val="Textoindependiente"/>
        <w:tabs>
          <w:tab w:val="clear" w:pos="720"/>
          <w:tab w:val="clear" w:pos="1440"/>
        </w:tabs>
        <w:ind w:left="2127" w:hanging="1560"/>
        <w:jc w:val="both"/>
        <w:rPr>
          <w:rFonts w:asciiTheme="majorHAnsi" w:hAnsiTheme="majorHAnsi"/>
          <w:sz w:val="20"/>
          <w:szCs w:val="22"/>
        </w:rPr>
      </w:pPr>
      <w:r w:rsidRPr="00513AD6">
        <w:rPr>
          <w:rFonts w:asciiTheme="majorHAnsi" w:hAnsiTheme="majorHAnsi"/>
          <w:b/>
          <w:sz w:val="22"/>
          <w:szCs w:val="22"/>
        </w:rPr>
        <w:t>Objetivo 1:</w:t>
      </w:r>
      <w:r w:rsidRPr="007C372E">
        <w:rPr>
          <w:rFonts w:asciiTheme="majorHAnsi" w:hAnsiTheme="majorHAnsi"/>
          <w:sz w:val="20"/>
          <w:szCs w:val="22"/>
        </w:rPr>
        <w:tab/>
      </w:r>
      <w:r w:rsidR="0013662A" w:rsidRPr="007C372E">
        <w:rPr>
          <w:rFonts w:asciiTheme="majorHAnsi" w:hAnsiTheme="majorHAnsi"/>
          <w:sz w:val="22"/>
        </w:rPr>
        <w:t>Vigilar a los participantes en el S</w:t>
      </w:r>
      <w:r w:rsidR="00740378" w:rsidRPr="007C372E">
        <w:rPr>
          <w:rFonts w:asciiTheme="majorHAnsi" w:hAnsiTheme="majorHAnsi"/>
          <w:sz w:val="22"/>
        </w:rPr>
        <w:t xml:space="preserve">istema </w:t>
      </w:r>
      <w:r w:rsidR="0013662A" w:rsidRPr="007C372E">
        <w:rPr>
          <w:rFonts w:asciiTheme="majorHAnsi" w:hAnsiTheme="majorHAnsi"/>
          <w:sz w:val="22"/>
        </w:rPr>
        <w:t>N</w:t>
      </w:r>
      <w:r w:rsidR="00740378" w:rsidRPr="007C372E">
        <w:rPr>
          <w:rFonts w:asciiTheme="majorHAnsi" w:hAnsiTheme="majorHAnsi"/>
          <w:sz w:val="22"/>
        </w:rPr>
        <w:t xml:space="preserve">acional </w:t>
      </w:r>
      <w:r w:rsidR="0013662A" w:rsidRPr="007C372E">
        <w:rPr>
          <w:rFonts w:asciiTheme="majorHAnsi" w:hAnsiTheme="majorHAnsi"/>
          <w:sz w:val="22"/>
        </w:rPr>
        <w:t>P</w:t>
      </w:r>
      <w:r w:rsidR="00740378" w:rsidRPr="007C372E">
        <w:rPr>
          <w:rFonts w:asciiTheme="majorHAnsi" w:hAnsiTheme="majorHAnsi"/>
          <w:sz w:val="22"/>
        </w:rPr>
        <w:t>ensiones</w:t>
      </w:r>
      <w:r w:rsidRPr="007C372E">
        <w:rPr>
          <w:rFonts w:asciiTheme="majorHAnsi" w:hAnsiTheme="majorHAnsi"/>
          <w:sz w:val="20"/>
          <w:szCs w:val="22"/>
        </w:rPr>
        <w:t>.</w:t>
      </w:r>
    </w:p>
    <w:p w14:paraId="43AA3C1B" w14:textId="77777777" w:rsidR="0066771F" w:rsidRPr="007C372E" w:rsidRDefault="0066771F" w:rsidP="0066771F">
      <w:pPr>
        <w:pStyle w:val="Textoindependiente"/>
        <w:tabs>
          <w:tab w:val="clear" w:pos="720"/>
          <w:tab w:val="clear" w:pos="1440"/>
        </w:tabs>
        <w:ind w:left="2127" w:hanging="1560"/>
        <w:jc w:val="both"/>
        <w:rPr>
          <w:rFonts w:asciiTheme="majorHAnsi" w:hAnsiTheme="majorHAnsi"/>
          <w:sz w:val="20"/>
          <w:szCs w:val="22"/>
        </w:rPr>
      </w:pPr>
    </w:p>
    <w:p w14:paraId="74D0BA30" w14:textId="5E847C16" w:rsidR="0066771F" w:rsidRPr="007C372E" w:rsidRDefault="0066771F" w:rsidP="0066771F">
      <w:pPr>
        <w:pStyle w:val="Textoindependiente"/>
        <w:tabs>
          <w:tab w:val="clear" w:pos="720"/>
          <w:tab w:val="clear" w:pos="1440"/>
        </w:tabs>
        <w:ind w:left="2127" w:hanging="1560"/>
        <w:jc w:val="both"/>
        <w:rPr>
          <w:rFonts w:asciiTheme="majorHAnsi" w:hAnsiTheme="majorHAnsi"/>
          <w:sz w:val="20"/>
          <w:szCs w:val="22"/>
        </w:rPr>
      </w:pPr>
      <w:r w:rsidRPr="00513AD6">
        <w:rPr>
          <w:rFonts w:asciiTheme="majorHAnsi" w:hAnsiTheme="majorHAnsi"/>
          <w:b/>
          <w:sz w:val="22"/>
          <w:szCs w:val="22"/>
        </w:rPr>
        <w:t>Objetivo 2</w:t>
      </w:r>
      <w:r w:rsidRPr="00513AD6">
        <w:rPr>
          <w:rFonts w:asciiTheme="majorHAnsi" w:hAnsiTheme="majorHAnsi"/>
          <w:sz w:val="22"/>
          <w:szCs w:val="22"/>
        </w:rPr>
        <w:t xml:space="preserve">: </w:t>
      </w:r>
      <w:r w:rsidRPr="007C372E">
        <w:rPr>
          <w:rFonts w:asciiTheme="majorHAnsi" w:hAnsiTheme="majorHAnsi"/>
          <w:sz w:val="20"/>
          <w:szCs w:val="22"/>
        </w:rPr>
        <w:tab/>
      </w:r>
      <w:r w:rsidR="0013662A" w:rsidRPr="007C372E">
        <w:rPr>
          <w:rFonts w:asciiTheme="majorHAnsi" w:hAnsiTheme="majorHAnsi"/>
          <w:sz w:val="22"/>
        </w:rPr>
        <w:t xml:space="preserve">Fortalecer el sistema de pensiones y </w:t>
      </w:r>
      <w:r w:rsidR="009A4853">
        <w:rPr>
          <w:rFonts w:asciiTheme="majorHAnsi" w:hAnsiTheme="majorHAnsi"/>
          <w:sz w:val="22"/>
        </w:rPr>
        <w:t xml:space="preserve">el </w:t>
      </w:r>
      <w:r w:rsidR="0013662A" w:rsidRPr="007C372E">
        <w:rPr>
          <w:rFonts w:asciiTheme="majorHAnsi" w:hAnsiTheme="majorHAnsi"/>
          <w:sz w:val="22"/>
        </w:rPr>
        <w:t>ahorro laboral</w:t>
      </w:r>
      <w:r w:rsidRPr="007C372E">
        <w:rPr>
          <w:rFonts w:asciiTheme="majorHAnsi" w:hAnsiTheme="majorHAnsi"/>
          <w:sz w:val="20"/>
          <w:szCs w:val="22"/>
        </w:rPr>
        <w:t>.</w:t>
      </w:r>
    </w:p>
    <w:p w14:paraId="0683B03D" w14:textId="77777777" w:rsidR="0066771F" w:rsidRPr="007C372E" w:rsidRDefault="0066771F" w:rsidP="0066771F">
      <w:pPr>
        <w:pStyle w:val="Textoindependiente"/>
        <w:tabs>
          <w:tab w:val="clear" w:pos="720"/>
          <w:tab w:val="clear" w:pos="1440"/>
        </w:tabs>
        <w:ind w:left="2127" w:hanging="1560"/>
        <w:jc w:val="both"/>
        <w:rPr>
          <w:rFonts w:asciiTheme="majorHAnsi" w:hAnsiTheme="majorHAnsi"/>
          <w:sz w:val="20"/>
          <w:szCs w:val="22"/>
        </w:rPr>
      </w:pPr>
    </w:p>
    <w:p w14:paraId="050CBDC0" w14:textId="24360A99" w:rsidR="0066771F" w:rsidRPr="007C372E" w:rsidRDefault="0066771F" w:rsidP="0066771F">
      <w:pPr>
        <w:pStyle w:val="Textoindependiente"/>
        <w:tabs>
          <w:tab w:val="clear" w:pos="720"/>
          <w:tab w:val="clear" w:pos="1440"/>
        </w:tabs>
        <w:ind w:left="2127" w:hanging="1560"/>
        <w:jc w:val="both"/>
        <w:rPr>
          <w:rFonts w:asciiTheme="majorHAnsi" w:hAnsiTheme="majorHAnsi"/>
          <w:sz w:val="20"/>
          <w:szCs w:val="22"/>
        </w:rPr>
      </w:pPr>
      <w:r w:rsidRPr="00513AD6">
        <w:rPr>
          <w:rFonts w:asciiTheme="majorHAnsi" w:hAnsiTheme="majorHAnsi"/>
          <w:b/>
          <w:sz w:val="22"/>
          <w:szCs w:val="22"/>
        </w:rPr>
        <w:t>Objetivo 3</w:t>
      </w:r>
      <w:r w:rsidRPr="00513AD6">
        <w:rPr>
          <w:rFonts w:asciiTheme="majorHAnsi" w:hAnsiTheme="majorHAnsi"/>
          <w:sz w:val="22"/>
          <w:szCs w:val="22"/>
        </w:rPr>
        <w:t>:</w:t>
      </w:r>
      <w:r w:rsidRPr="007C372E">
        <w:rPr>
          <w:rFonts w:asciiTheme="majorHAnsi" w:hAnsiTheme="majorHAnsi"/>
          <w:sz w:val="20"/>
          <w:szCs w:val="22"/>
        </w:rPr>
        <w:tab/>
      </w:r>
      <w:r w:rsidR="0013662A" w:rsidRPr="007C372E">
        <w:rPr>
          <w:rFonts w:asciiTheme="majorHAnsi" w:hAnsiTheme="majorHAnsi"/>
          <w:sz w:val="22"/>
        </w:rPr>
        <w:t>Empoderar al afiliado</w:t>
      </w:r>
      <w:r w:rsidR="00847AA7">
        <w:rPr>
          <w:rFonts w:asciiTheme="majorHAnsi" w:hAnsiTheme="majorHAnsi"/>
          <w:sz w:val="22"/>
        </w:rPr>
        <w:t>.</w:t>
      </w:r>
    </w:p>
    <w:p w14:paraId="54D81AF5" w14:textId="77777777" w:rsidR="0066771F" w:rsidRPr="007C372E" w:rsidRDefault="0066771F" w:rsidP="0066771F">
      <w:pPr>
        <w:pStyle w:val="Textoindependiente"/>
        <w:tabs>
          <w:tab w:val="clear" w:pos="720"/>
          <w:tab w:val="clear" w:pos="1440"/>
        </w:tabs>
        <w:ind w:left="2127" w:hanging="1560"/>
        <w:jc w:val="both"/>
        <w:rPr>
          <w:rFonts w:asciiTheme="majorHAnsi" w:hAnsiTheme="majorHAnsi"/>
          <w:sz w:val="20"/>
          <w:szCs w:val="22"/>
          <w:highlight w:val="yellow"/>
        </w:rPr>
      </w:pPr>
    </w:p>
    <w:p w14:paraId="0706D312" w14:textId="77777777" w:rsidR="0066771F" w:rsidRDefault="0066771F" w:rsidP="0066771F">
      <w:pPr>
        <w:pStyle w:val="Textoindependiente"/>
        <w:rPr>
          <w:rFonts w:asciiTheme="majorHAnsi" w:hAnsiTheme="majorHAnsi"/>
          <w:sz w:val="22"/>
          <w:szCs w:val="22"/>
        </w:rPr>
      </w:pPr>
    </w:p>
    <w:p w14:paraId="5B964DC6" w14:textId="6D4F0F5E" w:rsidR="007C372E" w:rsidRPr="00DE239D" w:rsidRDefault="007C372E" w:rsidP="00DE239D">
      <w:pPr>
        <w:rPr>
          <w:rFonts w:asciiTheme="majorHAnsi" w:hAnsiTheme="majorHAnsi"/>
          <w:b/>
          <w:szCs w:val="22"/>
        </w:rPr>
      </w:pPr>
      <w:r w:rsidRPr="004A3F6A">
        <w:rPr>
          <w:rFonts w:asciiTheme="majorHAnsi" w:hAnsiTheme="majorHAnsi"/>
          <w:b/>
          <w:szCs w:val="22"/>
        </w:rPr>
        <w:t>Indicador de cumplimiento del objetivo</w:t>
      </w:r>
      <w:r w:rsidR="00DE239D" w:rsidRPr="004A3F6A">
        <w:rPr>
          <w:rFonts w:asciiTheme="majorHAnsi" w:hAnsiTheme="majorHAnsi"/>
          <w:b/>
          <w:szCs w:val="22"/>
        </w:rPr>
        <w:t xml:space="preserve"> 1</w:t>
      </w:r>
      <w:r w:rsidR="00875EAB" w:rsidRPr="00875EAB">
        <w:rPr>
          <w:rFonts w:asciiTheme="majorHAnsi" w:hAnsiTheme="majorHAnsi"/>
          <w:szCs w:val="22"/>
        </w:rPr>
        <w:t xml:space="preserve"> (</w:t>
      </w:r>
      <w:r w:rsidR="00875EAB" w:rsidRPr="007C372E">
        <w:rPr>
          <w:rFonts w:asciiTheme="majorHAnsi" w:hAnsiTheme="majorHAnsi"/>
          <w:sz w:val="22"/>
        </w:rPr>
        <w:t>Vigilar a los participantes en el Sistema Nacional Pensiones</w:t>
      </w:r>
      <w:r w:rsidR="00875EAB" w:rsidRPr="007C372E">
        <w:rPr>
          <w:rFonts w:asciiTheme="majorHAnsi" w:hAnsiTheme="majorHAnsi"/>
          <w:sz w:val="20"/>
          <w:szCs w:val="22"/>
        </w:rPr>
        <w:t>.</w:t>
      </w:r>
      <w:r w:rsidR="00875EAB">
        <w:rPr>
          <w:rFonts w:asciiTheme="majorHAnsi" w:hAnsiTheme="majorHAnsi"/>
          <w:sz w:val="20"/>
          <w:szCs w:val="22"/>
        </w:rPr>
        <w:t>)</w:t>
      </w:r>
    </w:p>
    <w:p w14:paraId="71EFB526" w14:textId="77777777" w:rsidR="00DE239D" w:rsidRDefault="00DE239D" w:rsidP="007C372E">
      <w:pPr>
        <w:rPr>
          <w:rFonts w:asciiTheme="majorHAnsi" w:hAnsiTheme="majorHAnsi"/>
          <w:b/>
          <w:sz w:val="22"/>
          <w:szCs w:val="22"/>
        </w:rPr>
      </w:pPr>
    </w:p>
    <w:p w14:paraId="30329C24" w14:textId="20D1BFDC" w:rsidR="007C372E" w:rsidRPr="00DE239D" w:rsidRDefault="007C372E" w:rsidP="003E3B79">
      <w:pPr>
        <w:ind w:left="567"/>
        <w:rPr>
          <w:rFonts w:asciiTheme="majorHAnsi" w:hAnsiTheme="majorHAnsi"/>
          <w:sz w:val="22"/>
          <w:szCs w:val="22"/>
        </w:rPr>
      </w:pPr>
      <w:r w:rsidRPr="00DE239D">
        <w:rPr>
          <w:rFonts w:asciiTheme="majorHAnsi" w:hAnsiTheme="majorHAnsi"/>
          <w:b/>
          <w:sz w:val="22"/>
          <w:szCs w:val="22"/>
        </w:rPr>
        <w:t>Primero:</w:t>
      </w:r>
      <w:r w:rsidR="004A3F6A">
        <w:rPr>
          <w:rFonts w:asciiTheme="majorHAnsi" w:hAnsiTheme="majorHAnsi"/>
          <w:sz w:val="22"/>
          <w:szCs w:val="22"/>
        </w:rPr>
        <w:t xml:space="preserve"> Entidade</w:t>
      </w:r>
      <w:r w:rsidRPr="00DE239D">
        <w:rPr>
          <w:rFonts w:asciiTheme="majorHAnsi" w:hAnsiTheme="majorHAnsi"/>
          <w:sz w:val="22"/>
          <w:szCs w:val="22"/>
        </w:rPr>
        <w:t>s supervisadas bajo MSBR mejorado</w:t>
      </w:r>
    </w:p>
    <w:p w14:paraId="209CEA8B" w14:textId="77777777" w:rsidR="007C372E" w:rsidRPr="00DE239D" w:rsidRDefault="007C372E" w:rsidP="003E3B79">
      <w:pPr>
        <w:ind w:left="567"/>
        <w:rPr>
          <w:rFonts w:asciiTheme="majorHAnsi" w:hAnsiTheme="majorHAnsi"/>
          <w:sz w:val="22"/>
          <w:szCs w:val="22"/>
        </w:rPr>
      </w:pPr>
      <w:r w:rsidRPr="00DE239D">
        <w:rPr>
          <w:rFonts w:asciiTheme="majorHAnsi" w:hAnsiTheme="majorHAnsi"/>
          <w:b/>
          <w:sz w:val="22"/>
          <w:szCs w:val="22"/>
        </w:rPr>
        <w:t>Fuente del dato:</w:t>
      </w:r>
      <w:r w:rsidRPr="00DE239D">
        <w:rPr>
          <w:rFonts w:asciiTheme="majorHAnsi" w:hAnsiTheme="majorHAnsi"/>
          <w:sz w:val="22"/>
          <w:szCs w:val="22"/>
        </w:rPr>
        <w:t xml:space="preserve"> Informes de rendición de cuentas de Divisiones de Supervisión</w:t>
      </w:r>
      <w:r w:rsidRPr="00DE239D">
        <w:rPr>
          <w:rStyle w:val="Refdenotaalpie"/>
          <w:rFonts w:asciiTheme="majorHAnsi" w:hAnsiTheme="majorHAnsi"/>
          <w:sz w:val="22"/>
          <w:szCs w:val="22"/>
        </w:rPr>
        <w:footnoteReference w:id="3"/>
      </w:r>
    </w:p>
    <w:p w14:paraId="29BA1F1C" w14:textId="77777777" w:rsidR="004A3F6A" w:rsidRDefault="004A3F6A" w:rsidP="003E3B79">
      <w:pPr>
        <w:ind w:left="567"/>
        <w:rPr>
          <w:rFonts w:asciiTheme="majorHAnsi" w:hAnsiTheme="majorHAnsi"/>
          <w:b/>
          <w:sz w:val="22"/>
          <w:szCs w:val="22"/>
        </w:rPr>
      </w:pPr>
    </w:p>
    <w:p w14:paraId="3EDEABB1" w14:textId="77777777" w:rsidR="007C372E" w:rsidRPr="00DE239D" w:rsidRDefault="007C372E" w:rsidP="003E3B79">
      <w:pPr>
        <w:ind w:left="567"/>
        <w:rPr>
          <w:rFonts w:asciiTheme="majorHAnsi" w:hAnsiTheme="majorHAnsi"/>
          <w:sz w:val="22"/>
          <w:szCs w:val="22"/>
        </w:rPr>
      </w:pPr>
      <w:r w:rsidRPr="00DE239D">
        <w:rPr>
          <w:rFonts w:asciiTheme="majorHAnsi" w:hAnsiTheme="majorHAnsi"/>
          <w:b/>
          <w:sz w:val="22"/>
          <w:szCs w:val="22"/>
        </w:rPr>
        <w:t>Segundo:</w:t>
      </w:r>
      <w:r w:rsidRPr="00DE239D">
        <w:rPr>
          <w:rFonts w:asciiTheme="majorHAnsi" w:hAnsiTheme="majorHAnsi"/>
          <w:sz w:val="22"/>
          <w:szCs w:val="22"/>
        </w:rPr>
        <w:t xml:space="preserve"> Cantidad de regulados que gestionen adecuadamente los riesgos relevantes</w:t>
      </w:r>
    </w:p>
    <w:p w14:paraId="7F6D6CEE" w14:textId="77777777" w:rsidR="007C372E" w:rsidRPr="00DE239D" w:rsidRDefault="007C372E" w:rsidP="003E3B79">
      <w:pPr>
        <w:ind w:left="567"/>
        <w:rPr>
          <w:rFonts w:asciiTheme="majorHAnsi" w:hAnsiTheme="majorHAnsi"/>
          <w:sz w:val="22"/>
          <w:szCs w:val="22"/>
        </w:rPr>
      </w:pPr>
      <w:r w:rsidRPr="00DE239D">
        <w:rPr>
          <w:rFonts w:asciiTheme="majorHAnsi" w:hAnsiTheme="majorHAnsi"/>
          <w:b/>
          <w:sz w:val="22"/>
          <w:szCs w:val="22"/>
        </w:rPr>
        <w:t>Fuente del dato:</w:t>
      </w:r>
      <w:r w:rsidRPr="00DE239D">
        <w:rPr>
          <w:rFonts w:asciiTheme="majorHAnsi" w:hAnsiTheme="majorHAnsi"/>
          <w:sz w:val="22"/>
          <w:szCs w:val="22"/>
        </w:rPr>
        <w:t xml:space="preserve"> Mapas de Riesgo del Supervisor.</w:t>
      </w:r>
    </w:p>
    <w:p w14:paraId="6718326A" w14:textId="77777777" w:rsidR="00DE239D" w:rsidRDefault="00DE239D" w:rsidP="007C372E">
      <w:pPr>
        <w:rPr>
          <w:rFonts w:asciiTheme="majorHAnsi" w:hAnsiTheme="majorHAnsi"/>
          <w:sz w:val="22"/>
          <w:szCs w:val="22"/>
        </w:rPr>
      </w:pPr>
    </w:p>
    <w:p w14:paraId="3CF990A3" w14:textId="77777777" w:rsidR="003E3B79" w:rsidRPr="00DE239D" w:rsidRDefault="003E3B79" w:rsidP="007C372E">
      <w:pPr>
        <w:rPr>
          <w:rFonts w:asciiTheme="majorHAnsi" w:hAnsiTheme="majorHAnsi"/>
          <w:sz w:val="22"/>
          <w:szCs w:val="22"/>
        </w:rPr>
      </w:pPr>
    </w:p>
    <w:p w14:paraId="23F8D92E" w14:textId="77777777" w:rsidR="007C372E" w:rsidRDefault="007C372E" w:rsidP="00DE239D">
      <w:pPr>
        <w:rPr>
          <w:rFonts w:asciiTheme="majorHAnsi" w:hAnsiTheme="majorHAnsi"/>
          <w:sz w:val="22"/>
          <w:szCs w:val="22"/>
        </w:rPr>
      </w:pPr>
      <w:r w:rsidRPr="00DE239D">
        <w:rPr>
          <w:rFonts w:asciiTheme="majorHAnsi" w:hAnsiTheme="majorHAnsi"/>
          <w:sz w:val="22"/>
          <w:szCs w:val="22"/>
        </w:rPr>
        <w:t>Meta para el objetivo</w:t>
      </w:r>
    </w:p>
    <w:p w14:paraId="41B36A71" w14:textId="77777777" w:rsidR="0077529F" w:rsidRPr="00DE239D" w:rsidRDefault="0077529F" w:rsidP="00DE239D">
      <w:pPr>
        <w:rPr>
          <w:rFonts w:asciiTheme="majorHAnsi" w:hAnsiTheme="majorHAnsi"/>
          <w:sz w:val="22"/>
          <w:szCs w:val="22"/>
        </w:rPr>
      </w:pPr>
    </w:p>
    <w:tbl>
      <w:tblPr>
        <w:tblStyle w:val="Tabladecuadrcula4-nfasis11"/>
        <w:tblW w:w="8275" w:type="dxa"/>
        <w:jc w:val="center"/>
        <w:tblLook w:val="04A0" w:firstRow="1" w:lastRow="0" w:firstColumn="1" w:lastColumn="0" w:noHBand="0" w:noVBand="1"/>
      </w:tblPr>
      <w:tblGrid>
        <w:gridCol w:w="4106"/>
        <w:gridCol w:w="845"/>
        <w:gridCol w:w="844"/>
        <w:gridCol w:w="830"/>
        <w:gridCol w:w="750"/>
        <w:gridCol w:w="900"/>
      </w:tblGrid>
      <w:tr w:rsidR="007C372E" w:rsidRPr="00DE239D" w14:paraId="5F98B958" w14:textId="77777777" w:rsidTr="007C372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Pr>
          <w:p w14:paraId="1CB070C9" w14:textId="77777777" w:rsidR="007C372E" w:rsidRPr="00DE239D" w:rsidRDefault="007C372E" w:rsidP="004A3F6A">
            <w:pPr>
              <w:spacing w:line="276" w:lineRule="auto"/>
              <w:rPr>
                <w:rFonts w:asciiTheme="majorHAnsi" w:hAnsiTheme="majorHAnsi"/>
                <w:sz w:val="22"/>
                <w:szCs w:val="22"/>
              </w:rPr>
            </w:pPr>
            <w:r w:rsidRPr="00DE239D">
              <w:rPr>
                <w:rFonts w:asciiTheme="majorHAnsi" w:hAnsiTheme="majorHAnsi"/>
                <w:sz w:val="22"/>
                <w:szCs w:val="22"/>
              </w:rPr>
              <w:t>Línea Base</w:t>
            </w:r>
          </w:p>
        </w:tc>
        <w:tc>
          <w:tcPr>
            <w:tcW w:w="845" w:type="dxa"/>
          </w:tcPr>
          <w:p w14:paraId="37E395E7" w14:textId="77777777" w:rsidR="007C372E" w:rsidRPr="00DE239D" w:rsidRDefault="007C372E" w:rsidP="004A3F6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2016</w:t>
            </w:r>
          </w:p>
        </w:tc>
        <w:tc>
          <w:tcPr>
            <w:tcW w:w="844" w:type="dxa"/>
          </w:tcPr>
          <w:p w14:paraId="30FA9250" w14:textId="77777777" w:rsidR="007C372E" w:rsidRPr="00DE239D" w:rsidRDefault="007C372E" w:rsidP="004A3F6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2017</w:t>
            </w:r>
          </w:p>
        </w:tc>
        <w:tc>
          <w:tcPr>
            <w:tcW w:w="830" w:type="dxa"/>
          </w:tcPr>
          <w:p w14:paraId="17CBE746" w14:textId="77777777" w:rsidR="007C372E" w:rsidRPr="00DE239D" w:rsidRDefault="007C372E" w:rsidP="004A3F6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2018</w:t>
            </w:r>
          </w:p>
        </w:tc>
        <w:tc>
          <w:tcPr>
            <w:tcW w:w="750" w:type="dxa"/>
          </w:tcPr>
          <w:p w14:paraId="0474249A" w14:textId="77777777" w:rsidR="007C372E" w:rsidRPr="00DE239D" w:rsidRDefault="007C372E" w:rsidP="004A3F6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2019</w:t>
            </w:r>
          </w:p>
        </w:tc>
        <w:tc>
          <w:tcPr>
            <w:tcW w:w="900" w:type="dxa"/>
          </w:tcPr>
          <w:p w14:paraId="76ACD5F3" w14:textId="77777777" w:rsidR="007C372E" w:rsidRPr="00DE239D" w:rsidRDefault="007C372E" w:rsidP="004A3F6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2020</w:t>
            </w:r>
          </w:p>
        </w:tc>
      </w:tr>
      <w:tr w:rsidR="007C372E" w:rsidRPr="00DE239D" w14:paraId="5225FE70" w14:textId="77777777" w:rsidTr="007C37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Pr>
          <w:p w14:paraId="010B5EBB" w14:textId="01B57EED" w:rsidR="007C372E" w:rsidRPr="004A3F6A" w:rsidRDefault="007C372E" w:rsidP="00547B19">
            <w:pPr>
              <w:pStyle w:val="Prrafodelista"/>
              <w:numPr>
                <w:ilvl w:val="0"/>
                <w:numId w:val="54"/>
              </w:numPr>
              <w:tabs>
                <w:tab w:val="left" w:pos="313"/>
              </w:tabs>
              <w:spacing w:line="276" w:lineRule="auto"/>
              <w:ind w:left="0" w:firstLine="0"/>
              <w:rPr>
                <w:rFonts w:asciiTheme="majorHAnsi" w:hAnsiTheme="majorHAnsi"/>
                <w:b w:val="0"/>
                <w:sz w:val="22"/>
              </w:rPr>
            </w:pPr>
            <w:r w:rsidRPr="004A3F6A">
              <w:rPr>
                <w:rFonts w:asciiTheme="majorHAnsi" w:hAnsiTheme="majorHAnsi"/>
                <w:b w:val="0"/>
                <w:sz w:val="22"/>
              </w:rPr>
              <w:t xml:space="preserve">Implementación </w:t>
            </w:r>
            <w:r w:rsidR="004A3F6A" w:rsidRPr="004A3F6A">
              <w:rPr>
                <w:rFonts w:asciiTheme="majorHAnsi" w:hAnsiTheme="majorHAnsi"/>
                <w:b w:val="0"/>
                <w:sz w:val="22"/>
              </w:rPr>
              <w:t>M</w:t>
            </w:r>
            <w:r w:rsidRPr="004A3F6A">
              <w:rPr>
                <w:rFonts w:asciiTheme="majorHAnsi" w:hAnsiTheme="majorHAnsi"/>
                <w:b w:val="0"/>
                <w:sz w:val="22"/>
              </w:rPr>
              <w:t>SBR</w:t>
            </w:r>
          </w:p>
        </w:tc>
        <w:tc>
          <w:tcPr>
            <w:tcW w:w="845" w:type="dxa"/>
          </w:tcPr>
          <w:p w14:paraId="2C3DE5C8" w14:textId="77777777" w:rsidR="007C372E" w:rsidRPr="00DE239D" w:rsidRDefault="007C372E" w:rsidP="004A3F6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844" w:type="dxa"/>
          </w:tcPr>
          <w:p w14:paraId="5DA4E5D3" w14:textId="77777777" w:rsidR="007C372E" w:rsidRPr="00DE239D" w:rsidRDefault="007C372E" w:rsidP="004A3F6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830" w:type="dxa"/>
          </w:tcPr>
          <w:p w14:paraId="1A11AF87" w14:textId="77777777" w:rsidR="007C372E" w:rsidRPr="00DE239D" w:rsidRDefault="007C372E" w:rsidP="004A3F6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750" w:type="dxa"/>
          </w:tcPr>
          <w:p w14:paraId="33877E00" w14:textId="77777777" w:rsidR="007C372E" w:rsidRPr="00DE239D" w:rsidRDefault="007C372E" w:rsidP="004A3F6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00" w:type="dxa"/>
          </w:tcPr>
          <w:p w14:paraId="6FF98310" w14:textId="77777777" w:rsidR="007C372E" w:rsidRPr="00DE239D" w:rsidRDefault="007C372E" w:rsidP="004A3F6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7C372E" w:rsidRPr="00DE239D" w14:paraId="7E758C0B" w14:textId="77777777" w:rsidTr="007C372E">
        <w:trPr>
          <w:jc w:val="center"/>
        </w:trPr>
        <w:tc>
          <w:tcPr>
            <w:cnfStyle w:val="001000000000" w:firstRow="0" w:lastRow="0" w:firstColumn="1" w:lastColumn="0" w:oddVBand="0" w:evenVBand="0" w:oddHBand="0" w:evenHBand="0" w:firstRowFirstColumn="0" w:firstRowLastColumn="0" w:lastRowFirstColumn="0" w:lastRowLastColumn="0"/>
            <w:tcW w:w="4106" w:type="dxa"/>
          </w:tcPr>
          <w:p w14:paraId="169EF1D2" w14:textId="26395D1A" w:rsidR="007C372E" w:rsidRPr="004A3F6A" w:rsidRDefault="004A3F6A" w:rsidP="004A3F6A">
            <w:pPr>
              <w:spacing w:line="276" w:lineRule="auto"/>
              <w:jc w:val="center"/>
              <w:rPr>
                <w:rFonts w:asciiTheme="majorHAnsi" w:hAnsiTheme="majorHAnsi"/>
                <w:b w:val="0"/>
                <w:sz w:val="22"/>
                <w:szCs w:val="22"/>
              </w:rPr>
            </w:pPr>
            <w:r w:rsidRPr="004A3F6A">
              <w:rPr>
                <w:rFonts w:asciiTheme="majorHAnsi" w:hAnsiTheme="majorHAnsi"/>
                <w:b w:val="0"/>
                <w:sz w:val="22"/>
                <w:szCs w:val="22"/>
              </w:rPr>
              <w:t>Porcentaje de entidades</w:t>
            </w:r>
          </w:p>
        </w:tc>
        <w:tc>
          <w:tcPr>
            <w:tcW w:w="845" w:type="dxa"/>
          </w:tcPr>
          <w:p w14:paraId="6AAFC4AD" w14:textId="1C4C77A1" w:rsidR="007C372E" w:rsidRPr="00DE239D" w:rsidRDefault="004A3F6A" w:rsidP="004A3F6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29</w:t>
            </w:r>
            <w:r w:rsidR="007C372E" w:rsidRPr="00DE239D">
              <w:rPr>
                <w:rFonts w:asciiTheme="majorHAnsi" w:hAnsiTheme="majorHAnsi"/>
                <w:sz w:val="22"/>
                <w:szCs w:val="22"/>
              </w:rPr>
              <w:t>%</w:t>
            </w:r>
          </w:p>
        </w:tc>
        <w:tc>
          <w:tcPr>
            <w:tcW w:w="844" w:type="dxa"/>
          </w:tcPr>
          <w:p w14:paraId="7419144F" w14:textId="27A1CAEF" w:rsidR="007C372E" w:rsidRPr="00DE239D" w:rsidRDefault="004A3F6A" w:rsidP="004A3F6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64</w:t>
            </w:r>
            <w:r w:rsidR="007C372E" w:rsidRPr="00DE239D">
              <w:rPr>
                <w:rFonts w:asciiTheme="majorHAnsi" w:hAnsiTheme="majorHAnsi"/>
                <w:sz w:val="22"/>
                <w:szCs w:val="22"/>
              </w:rPr>
              <w:t>%</w:t>
            </w:r>
          </w:p>
        </w:tc>
        <w:tc>
          <w:tcPr>
            <w:tcW w:w="830" w:type="dxa"/>
          </w:tcPr>
          <w:p w14:paraId="012D1762" w14:textId="77777777" w:rsidR="007C372E" w:rsidRPr="00DE239D" w:rsidRDefault="007C372E" w:rsidP="004A3F6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100%</w:t>
            </w:r>
          </w:p>
        </w:tc>
        <w:tc>
          <w:tcPr>
            <w:tcW w:w="750" w:type="dxa"/>
          </w:tcPr>
          <w:p w14:paraId="39E6C7AB" w14:textId="77777777" w:rsidR="007C372E" w:rsidRPr="00DE239D" w:rsidRDefault="007C372E" w:rsidP="004A3F6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900" w:type="dxa"/>
          </w:tcPr>
          <w:p w14:paraId="6586C662" w14:textId="77777777" w:rsidR="007C372E" w:rsidRPr="00DE239D" w:rsidRDefault="007C372E" w:rsidP="004A3F6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r>
      <w:tr w:rsidR="007C372E" w:rsidRPr="00DE239D" w14:paraId="3BCF94AD" w14:textId="77777777" w:rsidTr="007C37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Pr>
          <w:p w14:paraId="7E8A7828" w14:textId="77777777" w:rsidR="007C372E" w:rsidRPr="004A3F6A" w:rsidRDefault="007C372E" w:rsidP="00547B19">
            <w:pPr>
              <w:pStyle w:val="Prrafodelista"/>
              <w:numPr>
                <w:ilvl w:val="0"/>
                <w:numId w:val="54"/>
              </w:numPr>
              <w:tabs>
                <w:tab w:val="left" w:pos="347"/>
              </w:tabs>
              <w:spacing w:line="276" w:lineRule="auto"/>
              <w:ind w:left="29" w:hanging="29"/>
              <w:jc w:val="left"/>
              <w:rPr>
                <w:rFonts w:asciiTheme="majorHAnsi" w:hAnsiTheme="majorHAnsi"/>
                <w:b w:val="0"/>
                <w:sz w:val="22"/>
              </w:rPr>
            </w:pPr>
            <w:r w:rsidRPr="004A3F6A">
              <w:rPr>
                <w:rFonts w:asciiTheme="majorHAnsi" w:hAnsiTheme="majorHAnsi"/>
                <w:b w:val="0"/>
                <w:sz w:val="22"/>
              </w:rPr>
              <w:t>Gestión riesgos relevantes</w:t>
            </w:r>
          </w:p>
        </w:tc>
        <w:tc>
          <w:tcPr>
            <w:tcW w:w="845" w:type="dxa"/>
          </w:tcPr>
          <w:p w14:paraId="2130819B" w14:textId="77777777" w:rsidR="007C372E" w:rsidRPr="00DE239D" w:rsidRDefault="007C372E" w:rsidP="004A3F6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844" w:type="dxa"/>
          </w:tcPr>
          <w:p w14:paraId="5CE8E083" w14:textId="77777777" w:rsidR="007C372E" w:rsidRPr="00DE239D" w:rsidRDefault="007C372E" w:rsidP="004A3F6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830" w:type="dxa"/>
          </w:tcPr>
          <w:p w14:paraId="6CF9ED2F" w14:textId="77777777" w:rsidR="007C372E" w:rsidRPr="00DE239D" w:rsidRDefault="007C372E" w:rsidP="004A3F6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750" w:type="dxa"/>
          </w:tcPr>
          <w:p w14:paraId="4B0D1DFB" w14:textId="77777777" w:rsidR="007C372E" w:rsidRPr="00DE239D" w:rsidRDefault="007C372E" w:rsidP="004A3F6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00" w:type="dxa"/>
          </w:tcPr>
          <w:p w14:paraId="51441467" w14:textId="77777777" w:rsidR="007C372E" w:rsidRPr="00DE239D" w:rsidRDefault="007C372E" w:rsidP="004A3F6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7C372E" w:rsidRPr="00DE239D" w14:paraId="652AE2C6" w14:textId="77777777" w:rsidTr="007C372E">
        <w:trPr>
          <w:jc w:val="center"/>
        </w:trPr>
        <w:tc>
          <w:tcPr>
            <w:cnfStyle w:val="001000000000" w:firstRow="0" w:lastRow="0" w:firstColumn="1" w:lastColumn="0" w:oddVBand="0" w:evenVBand="0" w:oddHBand="0" w:evenHBand="0" w:firstRowFirstColumn="0" w:firstRowLastColumn="0" w:lastRowFirstColumn="0" w:lastRowLastColumn="0"/>
            <w:tcW w:w="4106" w:type="dxa"/>
          </w:tcPr>
          <w:p w14:paraId="258781D9" w14:textId="138AD71F" w:rsidR="007C372E" w:rsidRPr="004A3F6A" w:rsidRDefault="004A3F6A" w:rsidP="004A3F6A">
            <w:pPr>
              <w:tabs>
                <w:tab w:val="center" w:pos="740"/>
                <w:tab w:val="left" w:pos="1305"/>
              </w:tabs>
              <w:spacing w:line="276" w:lineRule="auto"/>
              <w:jc w:val="center"/>
              <w:rPr>
                <w:rFonts w:asciiTheme="majorHAnsi" w:hAnsiTheme="majorHAnsi"/>
                <w:b w:val="0"/>
                <w:sz w:val="22"/>
                <w:szCs w:val="22"/>
              </w:rPr>
            </w:pPr>
            <w:r w:rsidRPr="004A3F6A">
              <w:rPr>
                <w:rFonts w:asciiTheme="majorHAnsi" w:hAnsiTheme="majorHAnsi"/>
                <w:b w:val="0"/>
                <w:sz w:val="22"/>
                <w:szCs w:val="22"/>
              </w:rPr>
              <w:t>Cantidad de entidades</w:t>
            </w:r>
          </w:p>
        </w:tc>
        <w:tc>
          <w:tcPr>
            <w:tcW w:w="845" w:type="dxa"/>
          </w:tcPr>
          <w:p w14:paraId="5A8D22DE" w14:textId="77777777" w:rsidR="007C372E" w:rsidRPr="00DE239D" w:rsidRDefault="007C372E" w:rsidP="004A3F6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844" w:type="dxa"/>
          </w:tcPr>
          <w:p w14:paraId="737F91F6" w14:textId="77777777" w:rsidR="007C372E" w:rsidRPr="00DE239D" w:rsidRDefault="007C372E" w:rsidP="004A3F6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4</w:t>
            </w:r>
          </w:p>
        </w:tc>
        <w:tc>
          <w:tcPr>
            <w:tcW w:w="830" w:type="dxa"/>
          </w:tcPr>
          <w:p w14:paraId="000F791E" w14:textId="77777777" w:rsidR="007C372E" w:rsidRPr="00DE239D" w:rsidRDefault="007C372E" w:rsidP="004A3F6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6</w:t>
            </w:r>
          </w:p>
        </w:tc>
        <w:tc>
          <w:tcPr>
            <w:tcW w:w="750" w:type="dxa"/>
          </w:tcPr>
          <w:p w14:paraId="6CA612FE" w14:textId="77777777" w:rsidR="007C372E" w:rsidRPr="00DE239D" w:rsidRDefault="007C372E" w:rsidP="004A3F6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8</w:t>
            </w:r>
          </w:p>
        </w:tc>
        <w:tc>
          <w:tcPr>
            <w:tcW w:w="900" w:type="dxa"/>
          </w:tcPr>
          <w:p w14:paraId="3A3382BA" w14:textId="77777777" w:rsidR="007C372E" w:rsidRPr="00DE239D" w:rsidRDefault="007C372E" w:rsidP="004A3F6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14</w:t>
            </w:r>
          </w:p>
        </w:tc>
      </w:tr>
    </w:tbl>
    <w:p w14:paraId="394AB187" w14:textId="77777777" w:rsidR="007C372E" w:rsidRPr="00DE239D" w:rsidRDefault="007C372E" w:rsidP="007C372E">
      <w:pPr>
        <w:rPr>
          <w:rFonts w:asciiTheme="majorHAnsi" w:hAnsiTheme="majorHAnsi"/>
          <w:sz w:val="22"/>
          <w:szCs w:val="22"/>
        </w:rPr>
      </w:pPr>
    </w:p>
    <w:p w14:paraId="710D3D8D" w14:textId="77777777" w:rsidR="0066771F" w:rsidRDefault="0066771F" w:rsidP="0066771F">
      <w:pPr>
        <w:rPr>
          <w:rFonts w:asciiTheme="majorHAnsi" w:hAnsiTheme="majorHAnsi"/>
          <w:sz w:val="22"/>
          <w:szCs w:val="22"/>
        </w:rPr>
      </w:pPr>
    </w:p>
    <w:p w14:paraId="4FC4968F" w14:textId="3E6EADB7" w:rsidR="003E3B79" w:rsidRDefault="003E3B79">
      <w:pPr>
        <w:rPr>
          <w:rFonts w:asciiTheme="majorHAnsi" w:hAnsiTheme="majorHAnsi"/>
          <w:sz w:val="22"/>
          <w:szCs w:val="22"/>
        </w:rPr>
      </w:pPr>
      <w:r>
        <w:rPr>
          <w:rFonts w:asciiTheme="majorHAnsi" w:hAnsiTheme="majorHAnsi"/>
          <w:sz w:val="22"/>
          <w:szCs w:val="22"/>
        </w:rPr>
        <w:br w:type="page"/>
      </w:r>
    </w:p>
    <w:p w14:paraId="2A5E2A85" w14:textId="63FB823D" w:rsidR="00DE239D" w:rsidRPr="00DE239D" w:rsidRDefault="00DE239D" w:rsidP="00DE239D">
      <w:pPr>
        <w:rPr>
          <w:rFonts w:asciiTheme="majorHAnsi" w:hAnsiTheme="majorHAnsi"/>
          <w:b/>
          <w:sz w:val="22"/>
          <w:szCs w:val="22"/>
        </w:rPr>
      </w:pPr>
      <w:r w:rsidRPr="004A3F6A">
        <w:rPr>
          <w:rFonts w:asciiTheme="majorHAnsi" w:hAnsiTheme="majorHAnsi"/>
          <w:b/>
          <w:sz w:val="22"/>
          <w:szCs w:val="22"/>
        </w:rPr>
        <w:lastRenderedPageBreak/>
        <w:t>Indicadores de cumplimiento del objetivo 2</w:t>
      </w:r>
      <w:r w:rsidR="00875EAB">
        <w:rPr>
          <w:rFonts w:asciiTheme="majorHAnsi" w:hAnsiTheme="majorHAnsi"/>
          <w:b/>
          <w:sz w:val="22"/>
          <w:szCs w:val="22"/>
        </w:rPr>
        <w:t xml:space="preserve"> </w:t>
      </w:r>
      <w:r w:rsidR="00875EAB">
        <w:rPr>
          <w:rFonts w:asciiTheme="majorHAnsi" w:hAnsiTheme="majorHAnsi"/>
          <w:sz w:val="22"/>
          <w:szCs w:val="22"/>
        </w:rPr>
        <w:t>(</w:t>
      </w:r>
      <w:r w:rsidR="00875EAB" w:rsidRPr="007C372E">
        <w:rPr>
          <w:rFonts w:asciiTheme="majorHAnsi" w:hAnsiTheme="majorHAnsi"/>
          <w:sz w:val="22"/>
        </w:rPr>
        <w:t xml:space="preserve">Fortalecer el sistema de pensiones y </w:t>
      </w:r>
      <w:r w:rsidR="00875EAB">
        <w:rPr>
          <w:rFonts w:asciiTheme="majorHAnsi" w:hAnsiTheme="majorHAnsi"/>
          <w:sz w:val="22"/>
        </w:rPr>
        <w:t xml:space="preserve">el </w:t>
      </w:r>
      <w:r w:rsidR="00875EAB" w:rsidRPr="007C372E">
        <w:rPr>
          <w:rFonts w:asciiTheme="majorHAnsi" w:hAnsiTheme="majorHAnsi"/>
          <w:sz w:val="22"/>
        </w:rPr>
        <w:t>ahorro laboral</w:t>
      </w:r>
      <w:r w:rsidR="00875EAB">
        <w:rPr>
          <w:rFonts w:asciiTheme="majorHAnsi" w:hAnsiTheme="majorHAnsi"/>
          <w:sz w:val="22"/>
        </w:rPr>
        <w:t>)</w:t>
      </w:r>
    </w:p>
    <w:p w14:paraId="5084D809" w14:textId="77777777" w:rsidR="00DE239D" w:rsidRDefault="00DE239D" w:rsidP="00DE239D">
      <w:pPr>
        <w:rPr>
          <w:rFonts w:asciiTheme="majorHAnsi" w:hAnsiTheme="majorHAnsi"/>
          <w:b/>
          <w:sz w:val="22"/>
          <w:szCs w:val="22"/>
        </w:rPr>
      </w:pPr>
    </w:p>
    <w:p w14:paraId="79920BE0" w14:textId="3C9A35AE" w:rsidR="00DE239D" w:rsidRPr="00DE239D" w:rsidRDefault="00DE239D" w:rsidP="003E3B79">
      <w:pPr>
        <w:ind w:left="567"/>
        <w:rPr>
          <w:rFonts w:asciiTheme="majorHAnsi" w:hAnsiTheme="majorHAnsi"/>
          <w:sz w:val="22"/>
          <w:szCs w:val="22"/>
        </w:rPr>
      </w:pPr>
      <w:r w:rsidRPr="00DE239D">
        <w:rPr>
          <w:rFonts w:asciiTheme="majorHAnsi" w:hAnsiTheme="majorHAnsi"/>
          <w:b/>
          <w:sz w:val="22"/>
          <w:szCs w:val="22"/>
        </w:rPr>
        <w:t>Primero:</w:t>
      </w:r>
      <w:r w:rsidRPr="00DE239D">
        <w:rPr>
          <w:rFonts w:asciiTheme="majorHAnsi" w:hAnsiTheme="majorHAnsi"/>
          <w:sz w:val="22"/>
          <w:szCs w:val="22"/>
        </w:rPr>
        <w:t xml:space="preserve"> Cierre de brecha para alcanzar sostenibilidad</w:t>
      </w:r>
      <w:r w:rsidR="004A3F6A">
        <w:rPr>
          <w:rFonts w:asciiTheme="majorHAnsi" w:hAnsiTheme="majorHAnsi"/>
          <w:sz w:val="22"/>
          <w:szCs w:val="22"/>
        </w:rPr>
        <w:t>.</w:t>
      </w:r>
    </w:p>
    <w:p w14:paraId="72DE8F3A" w14:textId="757C0726" w:rsidR="00DE239D" w:rsidRPr="00DE239D" w:rsidRDefault="00DE239D" w:rsidP="003E3B79">
      <w:pPr>
        <w:ind w:left="567"/>
        <w:rPr>
          <w:rFonts w:asciiTheme="majorHAnsi" w:hAnsiTheme="majorHAnsi"/>
          <w:sz w:val="22"/>
          <w:szCs w:val="22"/>
        </w:rPr>
      </w:pPr>
      <w:r w:rsidRPr="00DE239D">
        <w:rPr>
          <w:rFonts w:asciiTheme="majorHAnsi" w:hAnsiTheme="majorHAnsi"/>
          <w:b/>
          <w:sz w:val="22"/>
          <w:szCs w:val="22"/>
        </w:rPr>
        <w:t>Fuente del dato:</w:t>
      </w:r>
      <w:r w:rsidRPr="00DE239D">
        <w:rPr>
          <w:rFonts w:asciiTheme="majorHAnsi" w:hAnsiTheme="majorHAnsi"/>
          <w:sz w:val="22"/>
          <w:szCs w:val="22"/>
        </w:rPr>
        <w:t xml:space="preserve"> Estudios actuariales de los regímenes básicos</w:t>
      </w:r>
      <w:r w:rsidR="004A3F6A">
        <w:rPr>
          <w:rFonts w:asciiTheme="majorHAnsi" w:hAnsiTheme="majorHAnsi"/>
          <w:sz w:val="22"/>
          <w:szCs w:val="22"/>
        </w:rPr>
        <w:t>.</w:t>
      </w:r>
    </w:p>
    <w:p w14:paraId="02C695E5" w14:textId="77777777" w:rsidR="004A3F6A" w:rsidRDefault="004A3F6A" w:rsidP="003E3B79">
      <w:pPr>
        <w:ind w:left="567"/>
        <w:rPr>
          <w:rFonts w:asciiTheme="majorHAnsi" w:hAnsiTheme="majorHAnsi"/>
          <w:b/>
          <w:sz w:val="22"/>
          <w:szCs w:val="22"/>
        </w:rPr>
      </w:pPr>
    </w:p>
    <w:p w14:paraId="5F2991D7" w14:textId="5397FA37" w:rsidR="00DE239D" w:rsidRPr="00DE239D" w:rsidRDefault="00DE239D" w:rsidP="003E3B79">
      <w:pPr>
        <w:ind w:left="567"/>
        <w:rPr>
          <w:rFonts w:asciiTheme="majorHAnsi" w:hAnsiTheme="majorHAnsi"/>
          <w:sz w:val="22"/>
          <w:szCs w:val="22"/>
        </w:rPr>
      </w:pPr>
      <w:r w:rsidRPr="00DE239D">
        <w:rPr>
          <w:rFonts w:asciiTheme="majorHAnsi" w:hAnsiTheme="majorHAnsi"/>
          <w:b/>
          <w:sz w:val="22"/>
          <w:szCs w:val="22"/>
        </w:rPr>
        <w:t>Segundo:</w:t>
      </w:r>
      <w:r w:rsidRPr="00DE239D">
        <w:rPr>
          <w:rFonts w:asciiTheme="majorHAnsi" w:hAnsiTheme="majorHAnsi"/>
          <w:sz w:val="22"/>
          <w:szCs w:val="22"/>
        </w:rPr>
        <w:t xml:space="preserve"> Porcentaje población no cubierta por SNP</w:t>
      </w:r>
      <w:r w:rsidR="004A3F6A">
        <w:rPr>
          <w:rFonts w:asciiTheme="majorHAnsi" w:hAnsiTheme="majorHAnsi"/>
          <w:sz w:val="22"/>
          <w:szCs w:val="22"/>
        </w:rPr>
        <w:t>.</w:t>
      </w:r>
    </w:p>
    <w:p w14:paraId="58CCC2FD" w14:textId="1D999F3A" w:rsidR="00DE239D" w:rsidRPr="00DE239D" w:rsidRDefault="00DE239D" w:rsidP="003E3B79">
      <w:pPr>
        <w:ind w:left="567"/>
        <w:rPr>
          <w:rFonts w:asciiTheme="majorHAnsi" w:hAnsiTheme="majorHAnsi"/>
          <w:sz w:val="22"/>
          <w:szCs w:val="22"/>
        </w:rPr>
      </w:pPr>
      <w:r w:rsidRPr="00DE239D">
        <w:rPr>
          <w:rFonts w:asciiTheme="majorHAnsi" w:hAnsiTheme="majorHAnsi"/>
          <w:b/>
          <w:sz w:val="22"/>
          <w:szCs w:val="22"/>
        </w:rPr>
        <w:t>Fuente del dato:</w:t>
      </w:r>
      <w:r w:rsidRPr="00DE239D">
        <w:rPr>
          <w:rFonts w:asciiTheme="majorHAnsi" w:hAnsiTheme="majorHAnsi"/>
          <w:sz w:val="22"/>
          <w:szCs w:val="22"/>
        </w:rPr>
        <w:t xml:space="preserve"> </w:t>
      </w:r>
      <w:r w:rsidR="00D37A92" w:rsidRPr="00D37A92">
        <w:rPr>
          <w:rFonts w:asciiTheme="majorHAnsi" w:hAnsiTheme="majorHAnsi"/>
          <w:sz w:val="22"/>
          <w:szCs w:val="22"/>
        </w:rPr>
        <w:t xml:space="preserve">Estadísticas del INEC para población mayor de 65 años y </w:t>
      </w:r>
      <w:r w:rsidR="00D37A92">
        <w:rPr>
          <w:rFonts w:asciiTheme="majorHAnsi" w:hAnsiTheme="majorHAnsi"/>
          <w:sz w:val="22"/>
          <w:szCs w:val="22"/>
        </w:rPr>
        <w:t>datos suministrados por los ges</w:t>
      </w:r>
      <w:r w:rsidR="00D37A92" w:rsidRPr="00D37A92">
        <w:rPr>
          <w:rFonts w:asciiTheme="majorHAnsi" w:hAnsiTheme="majorHAnsi"/>
          <w:sz w:val="22"/>
          <w:szCs w:val="22"/>
        </w:rPr>
        <w:t>tores para el total de pensionados</w:t>
      </w:r>
      <w:r w:rsidR="004A3F6A">
        <w:rPr>
          <w:rFonts w:asciiTheme="majorHAnsi" w:hAnsiTheme="majorHAnsi"/>
          <w:sz w:val="22"/>
          <w:szCs w:val="22"/>
        </w:rPr>
        <w:t>.</w:t>
      </w:r>
    </w:p>
    <w:p w14:paraId="536A9DAC" w14:textId="77777777" w:rsidR="004A3F6A" w:rsidRDefault="004A3F6A" w:rsidP="003E3B79">
      <w:pPr>
        <w:ind w:left="567"/>
        <w:rPr>
          <w:rFonts w:asciiTheme="majorHAnsi" w:hAnsiTheme="majorHAnsi"/>
          <w:b/>
          <w:sz w:val="22"/>
          <w:szCs w:val="22"/>
        </w:rPr>
      </w:pPr>
    </w:p>
    <w:p w14:paraId="4261549A" w14:textId="5A926AE5" w:rsidR="00DE239D" w:rsidRPr="00DE239D" w:rsidRDefault="00DE239D" w:rsidP="003E3B79">
      <w:pPr>
        <w:ind w:left="567"/>
        <w:rPr>
          <w:rFonts w:asciiTheme="majorHAnsi" w:hAnsiTheme="majorHAnsi"/>
          <w:sz w:val="22"/>
          <w:szCs w:val="22"/>
        </w:rPr>
      </w:pPr>
      <w:r w:rsidRPr="00DE239D">
        <w:rPr>
          <w:rFonts w:asciiTheme="majorHAnsi" w:hAnsiTheme="majorHAnsi"/>
          <w:b/>
          <w:sz w:val="22"/>
          <w:szCs w:val="22"/>
        </w:rPr>
        <w:t>Tercero:</w:t>
      </w:r>
      <w:r w:rsidRPr="00DE239D">
        <w:rPr>
          <w:rFonts w:asciiTheme="majorHAnsi" w:hAnsiTheme="majorHAnsi"/>
          <w:sz w:val="22"/>
          <w:szCs w:val="22"/>
        </w:rPr>
        <w:t xml:space="preserve"> Cantidad de personas q</w:t>
      </w:r>
      <w:r w:rsidR="004A3F6A">
        <w:rPr>
          <w:rFonts w:asciiTheme="majorHAnsi" w:hAnsiTheme="majorHAnsi"/>
          <w:sz w:val="22"/>
          <w:szCs w:val="22"/>
        </w:rPr>
        <w:t>ue realizan aportes voluntarios.</w:t>
      </w:r>
    </w:p>
    <w:p w14:paraId="2AF778FB" w14:textId="3E1BA683" w:rsidR="00DE239D" w:rsidRDefault="00DE239D" w:rsidP="003E3B79">
      <w:pPr>
        <w:ind w:left="567"/>
        <w:rPr>
          <w:rFonts w:asciiTheme="majorHAnsi" w:hAnsiTheme="majorHAnsi"/>
          <w:sz w:val="22"/>
          <w:szCs w:val="22"/>
        </w:rPr>
      </w:pPr>
      <w:r w:rsidRPr="00DE239D">
        <w:rPr>
          <w:rFonts w:asciiTheme="majorHAnsi" w:hAnsiTheme="majorHAnsi"/>
          <w:b/>
          <w:sz w:val="22"/>
          <w:szCs w:val="22"/>
        </w:rPr>
        <w:t>Fuente del dato:</w:t>
      </w:r>
      <w:r w:rsidRPr="00DE239D">
        <w:rPr>
          <w:rFonts w:asciiTheme="majorHAnsi" w:hAnsiTheme="majorHAnsi"/>
          <w:sz w:val="22"/>
          <w:szCs w:val="22"/>
        </w:rPr>
        <w:t xml:space="preserve"> Estadísticas de aportación de la SUPEN</w:t>
      </w:r>
      <w:r w:rsidR="004A3F6A">
        <w:rPr>
          <w:rFonts w:asciiTheme="majorHAnsi" w:hAnsiTheme="majorHAnsi"/>
          <w:sz w:val="22"/>
          <w:szCs w:val="22"/>
        </w:rPr>
        <w:t>.</w:t>
      </w:r>
    </w:p>
    <w:p w14:paraId="684B79A3" w14:textId="77777777" w:rsidR="00DE239D" w:rsidRPr="00DE239D" w:rsidRDefault="00DE239D" w:rsidP="00DE239D">
      <w:pPr>
        <w:rPr>
          <w:rFonts w:asciiTheme="majorHAnsi" w:hAnsiTheme="majorHAnsi"/>
          <w:sz w:val="22"/>
          <w:szCs w:val="22"/>
        </w:rPr>
      </w:pPr>
    </w:p>
    <w:p w14:paraId="72E8F146" w14:textId="77777777" w:rsidR="00DE239D" w:rsidRDefault="00DE239D" w:rsidP="00DE239D">
      <w:pPr>
        <w:rPr>
          <w:rFonts w:asciiTheme="majorHAnsi" w:hAnsiTheme="majorHAnsi"/>
          <w:sz w:val="22"/>
          <w:szCs w:val="22"/>
        </w:rPr>
      </w:pPr>
      <w:r w:rsidRPr="00DE239D">
        <w:rPr>
          <w:rFonts w:asciiTheme="majorHAnsi" w:hAnsiTheme="majorHAnsi"/>
          <w:sz w:val="22"/>
          <w:szCs w:val="22"/>
        </w:rPr>
        <w:t>Meta para el objetivo</w:t>
      </w:r>
    </w:p>
    <w:p w14:paraId="7BB1B9C0" w14:textId="77777777" w:rsidR="009A4853" w:rsidRPr="00DE239D" w:rsidRDefault="009A4853" w:rsidP="00DE239D">
      <w:pPr>
        <w:rPr>
          <w:rFonts w:asciiTheme="majorHAnsi" w:hAnsiTheme="majorHAnsi"/>
          <w:sz w:val="22"/>
          <w:szCs w:val="22"/>
        </w:rPr>
      </w:pPr>
    </w:p>
    <w:tbl>
      <w:tblPr>
        <w:tblStyle w:val="Tabladecuadrcula4-nfasis11"/>
        <w:tblW w:w="8659" w:type="dxa"/>
        <w:jc w:val="center"/>
        <w:tblLook w:val="04A0" w:firstRow="1" w:lastRow="0" w:firstColumn="1" w:lastColumn="0" w:noHBand="0" w:noVBand="1"/>
      </w:tblPr>
      <w:tblGrid>
        <w:gridCol w:w="3839"/>
        <w:gridCol w:w="992"/>
        <w:gridCol w:w="851"/>
        <w:gridCol w:w="992"/>
        <w:gridCol w:w="992"/>
        <w:gridCol w:w="993"/>
      </w:tblGrid>
      <w:tr w:rsidR="00DE239D" w:rsidRPr="00DE239D" w14:paraId="16B582E8" w14:textId="77777777" w:rsidTr="0077529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39" w:type="dxa"/>
          </w:tcPr>
          <w:p w14:paraId="6D7CFE31" w14:textId="77777777" w:rsidR="00DE239D" w:rsidRPr="00DE239D" w:rsidRDefault="00DE239D" w:rsidP="00875EAB">
            <w:pPr>
              <w:spacing w:line="276" w:lineRule="auto"/>
              <w:rPr>
                <w:rFonts w:asciiTheme="majorHAnsi" w:hAnsiTheme="majorHAnsi"/>
                <w:sz w:val="22"/>
                <w:szCs w:val="22"/>
              </w:rPr>
            </w:pPr>
            <w:r w:rsidRPr="00DE239D">
              <w:rPr>
                <w:rFonts w:asciiTheme="majorHAnsi" w:hAnsiTheme="majorHAnsi"/>
                <w:sz w:val="22"/>
                <w:szCs w:val="22"/>
              </w:rPr>
              <w:t>Línea Base</w:t>
            </w:r>
          </w:p>
        </w:tc>
        <w:tc>
          <w:tcPr>
            <w:tcW w:w="992" w:type="dxa"/>
          </w:tcPr>
          <w:p w14:paraId="6F309010" w14:textId="77777777" w:rsidR="00DE239D" w:rsidRPr="00DE239D" w:rsidRDefault="00DE239D" w:rsidP="00875EAB">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2016</w:t>
            </w:r>
          </w:p>
        </w:tc>
        <w:tc>
          <w:tcPr>
            <w:tcW w:w="851" w:type="dxa"/>
          </w:tcPr>
          <w:p w14:paraId="3513B62A" w14:textId="77777777" w:rsidR="00DE239D" w:rsidRPr="00DE239D" w:rsidRDefault="00DE239D" w:rsidP="00875EAB">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2017</w:t>
            </w:r>
          </w:p>
        </w:tc>
        <w:tc>
          <w:tcPr>
            <w:tcW w:w="992" w:type="dxa"/>
          </w:tcPr>
          <w:p w14:paraId="504048F1" w14:textId="77777777" w:rsidR="00DE239D" w:rsidRPr="00DE239D" w:rsidRDefault="00DE239D" w:rsidP="00875EAB">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2018</w:t>
            </w:r>
          </w:p>
        </w:tc>
        <w:tc>
          <w:tcPr>
            <w:tcW w:w="992" w:type="dxa"/>
          </w:tcPr>
          <w:p w14:paraId="4D3B1DAA" w14:textId="77777777" w:rsidR="00DE239D" w:rsidRPr="00DE239D" w:rsidRDefault="00DE239D" w:rsidP="00875EAB">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2019</w:t>
            </w:r>
          </w:p>
        </w:tc>
        <w:tc>
          <w:tcPr>
            <w:tcW w:w="993" w:type="dxa"/>
          </w:tcPr>
          <w:p w14:paraId="6FEDF3F9" w14:textId="77777777" w:rsidR="00DE239D" w:rsidRPr="00DE239D" w:rsidRDefault="00DE239D" w:rsidP="00875EAB">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2020</w:t>
            </w:r>
          </w:p>
        </w:tc>
      </w:tr>
      <w:tr w:rsidR="00DE239D" w:rsidRPr="00DE239D" w14:paraId="64562A07" w14:textId="77777777" w:rsidTr="007752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39" w:type="dxa"/>
          </w:tcPr>
          <w:p w14:paraId="4C6BC40A" w14:textId="1260D491" w:rsidR="00DE239D" w:rsidRPr="00DE239D" w:rsidRDefault="00D37A92" w:rsidP="00875EAB">
            <w:pPr>
              <w:spacing w:line="276" w:lineRule="auto"/>
              <w:rPr>
                <w:rFonts w:asciiTheme="majorHAnsi" w:hAnsiTheme="majorHAnsi"/>
                <w:sz w:val="22"/>
                <w:szCs w:val="22"/>
              </w:rPr>
            </w:pPr>
            <w:r>
              <w:rPr>
                <w:rFonts w:asciiTheme="majorHAnsi" w:hAnsiTheme="majorHAnsi"/>
                <w:sz w:val="22"/>
                <w:szCs w:val="22"/>
              </w:rPr>
              <w:t xml:space="preserve">1. </w:t>
            </w:r>
            <w:r w:rsidR="00875EAB">
              <w:rPr>
                <w:rFonts w:asciiTheme="majorHAnsi" w:hAnsiTheme="majorHAnsi"/>
                <w:sz w:val="22"/>
                <w:szCs w:val="22"/>
              </w:rPr>
              <w:t>Cociente de reserva</w:t>
            </w:r>
          </w:p>
        </w:tc>
        <w:tc>
          <w:tcPr>
            <w:tcW w:w="992" w:type="dxa"/>
          </w:tcPr>
          <w:p w14:paraId="5D4C9197"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851" w:type="dxa"/>
          </w:tcPr>
          <w:p w14:paraId="5D7A4584"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2" w:type="dxa"/>
          </w:tcPr>
          <w:p w14:paraId="36C9B5DD"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2" w:type="dxa"/>
          </w:tcPr>
          <w:p w14:paraId="7352C21D"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3" w:type="dxa"/>
          </w:tcPr>
          <w:p w14:paraId="48EDC2C7"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DE239D" w:rsidRPr="00DE239D" w14:paraId="6CF4EC32" w14:textId="77777777" w:rsidTr="0077529F">
        <w:trPr>
          <w:jc w:val="center"/>
        </w:trPr>
        <w:tc>
          <w:tcPr>
            <w:cnfStyle w:val="001000000000" w:firstRow="0" w:lastRow="0" w:firstColumn="1" w:lastColumn="0" w:oddVBand="0" w:evenVBand="0" w:oddHBand="0" w:evenHBand="0" w:firstRowFirstColumn="0" w:firstRowLastColumn="0" w:lastRowFirstColumn="0" w:lastRowLastColumn="0"/>
            <w:tcW w:w="3839" w:type="dxa"/>
          </w:tcPr>
          <w:p w14:paraId="5897314C" w14:textId="6C40DFF5" w:rsidR="00DE239D" w:rsidRPr="00DE239D" w:rsidRDefault="00875EAB" w:rsidP="00875EAB">
            <w:pPr>
              <w:spacing w:line="276" w:lineRule="auto"/>
              <w:jc w:val="center"/>
              <w:rPr>
                <w:rFonts w:asciiTheme="majorHAnsi" w:hAnsiTheme="majorHAnsi"/>
                <w:sz w:val="22"/>
                <w:szCs w:val="22"/>
              </w:rPr>
            </w:pPr>
            <w:r>
              <w:rPr>
                <w:rFonts w:asciiTheme="majorHAnsi" w:hAnsiTheme="majorHAnsi"/>
                <w:sz w:val="22"/>
                <w:szCs w:val="22"/>
              </w:rPr>
              <w:t>2,8 años</w:t>
            </w:r>
          </w:p>
        </w:tc>
        <w:tc>
          <w:tcPr>
            <w:tcW w:w="992" w:type="dxa"/>
          </w:tcPr>
          <w:p w14:paraId="3B4B19E2" w14:textId="469925BC" w:rsidR="00DE239D" w:rsidRPr="00DE239D" w:rsidRDefault="00DE239D" w:rsidP="00875EA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851" w:type="dxa"/>
          </w:tcPr>
          <w:p w14:paraId="4B2CD4CF" w14:textId="02A0828B" w:rsidR="00DE239D" w:rsidRPr="00DE239D" w:rsidRDefault="00DE239D" w:rsidP="00875EA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992" w:type="dxa"/>
          </w:tcPr>
          <w:p w14:paraId="11ECDDA6" w14:textId="1C3F80F4" w:rsidR="00DE239D" w:rsidRPr="00DE239D" w:rsidRDefault="00DE239D" w:rsidP="00875EA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992" w:type="dxa"/>
          </w:tcPr>
          <w:p w14:paraId="46FFD19E" w14:textId="5E4F6087" w:rsidR="00DE239D" w:rsidRPr="00DE239D" w:rsidRDefault="00875EAB" w:rsidP="00875EA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2,85</w:t>
            </w:r>
          </w:p>
        </w:tc>
        <w:tc>
          <w:tcPr>
            <w:tcW w:w="993" w:type="dxa"/>
          </w:tcPr>
          <w:p w14:paraId="5F196999" w14:textId="61FFE428" w:rsidR="00DE239D" w:rsidRPr="00DE239D" w:rsidRDefault="00875EAB" w:rsidP="00875EA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2,9</w:t>
            </w:r>
          </w:p>
        </w:tc>
      </w:tr>
      <w:tr w:rsidR="00DE239D" w:rsidRPr="00DE239D" w14:paraId="48342267" w14:textId="77777777" w:rsidTr="007752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39" w:type="dxa"/>
          </w:tcPr>
          <w:p w14:paraId="0B161D4C" w14:textId="09C71C93" w:rsidR="00DE239D" w:rsidRPr="00DE239D" w:rsidRDefault="00D37A92" w:rsidP="00D37A92">
            <w:pPr>
              <w:spacing w:line="276" w:lineRule="auto"/>
              <w:ind w:left="313" w:hanging="313"/>
              <w:rPr>
                <w:rFonts w:asciiTheme="majorHAnsi" w:hAnsiTheme="majorHAnsi"/>
                <w:sz w:val="22"/>
                <w:szCs w:val="22"/>
              </w:rPr>
            </w:pPr>
            <w:r>
              <w:rPr>
                <w:rFonts w:asciiTheme="majorHAnsi" w:hAnsiTheme="majorHAnsi"/>
                <w:sz w:val="22"/>
                <w:szCs w:val="22"/>
              </w:rPr>
              <w:t xml:space="preserve">2. </w:t>
            </w:r>
            <w:r w:rsidR="00875EAB">
              <w:rPr>
                <w:rFonts w:asciiTheme="majorHAnsi" w:hAnsiTheme="majorHAnsi"/>
                <w:sz w:val="22"/>
                <w:szCs w:val="22"/>
              </w:rPr>
              <w:t>Razón: Población no pensionada</w:t>
            </w:r>
          </w:p>
        </w:tc>
        <w:tc>
          <w:tcPr>
            <w:tcW w:w="992" w:type="dxa"/>
          </w:tcPr>
          <w:p w14:paraId="6A6EAC12"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851" w:type="dxa"/>
          </w:tcPr>
          <w:p w14:paraId="32CC28F9"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2" w:type="dxa"/>
          </w:tcPr>
          <w:p w14:paraId="5D4CAAA7"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2" w:type="dxa"/>
          </w:tcPr>
          <w:p w14:paraId="613BAC79"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3" w:type="dxa"/>
          </w:tcPr>
          <w:p w14:paraId="495475B3"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DE239D" w:rsidRPr="00DE239D" w14:paraId="01011963" w14:textId="77777777" w:rsidTr="0077529F">
        <w:trPr>
          <w:jc w:val="center"/>
        </w:trPr>
        <w:tc>
          <w:tcPr>
            <w:cnfStyle w:val="001000000000" w:firstRow="0" w:lastRow="0" w:firstColumn="1" w:lastColumn="0" w:oddVBand="0" w:evenVBand="0" w:oddHBand="0" w:evenHBand="0" w:firstRowFirstColumn="0" w:firstRowLastColumn="0" w:lastRowFirstColumn="0" w:lastRowLastColumn="0"/>
            <w:tcW w:w="3839" w:type="dxa"/>
          </w:tcPr>
          <w:p w14:paraId="1318A31C" w14:textId="696C8A2A" w:rsidR="00DE239D" w:rsidRPr="00DE239D" w:rsidRDefault="00875EAB" w:rsidP="00875EAB">
            <w:pPr>
              <w:spacing w:line="276" w:lineRule="auto"/>
              <w:jc w:val="center"/>
              <w:rPr>
                <w:rFonts w:asciiTheme="majorHAnsi" w:hAnsiTheme="majorHAnsi"/>
                <w:sz w:val="22"/>
                <w:szCs w:val="22"/>
              </w:rPr>
            </w:pPr>
            <w:r>
              <w:rPr>
                <w:rFonts w:asciiTheme="majorHAnsi" w:hAnsiTheme="majorHAnsi"/>
                <w:sz w:val="22"/>
                <w:szCs w:val="22"/>
              </w:rPr>
              <w:t>38%</w:t>
            </w:r>
          </w:p>
        </w:tc>
        <w:tc>
          <w:tcPr>
            <w:tcW w:w="992" w:type="dxa"/>
          </w:tcPr>
          <w:p w14:paraId="33362CE8" w14:textId="3FACF370" w:rsidR="00DE239D" w:rsidRPr="00DE239D" w:rsidRDefault="00875EAB" w:rsidP="00875EA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w:t>
            </w:r>
          </w:p>
        </w:tc>
        <w:tc>
          <w:tcPr>
            <w:tcW w:w="851" w:type="dxa"/>
          </w:tcPr>
          <w:p w14:paraId="4065A1EA" w14:textId="530395AB" w:rsidR="00DE239D" w:rsidRPr="00DE239D" w:rsidRDefault="00875EAB" w:rsidP="00875EA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w:t>
            </w:r>
          </w:p>
        </w:tc>
        <w:tc>
          <w:tcPr>
            <w:tcW w:w="992" w:type="dxa"/>
          </w:tcPr>
          <w:p w14:paraId="16015B7D" w14:textId="4B919544" w:rsidR="00DE239D" w:rsidRPr="00DE239D" w:rsidRDefault="00875EAB" w:rsidP="00875EA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w:t>
            </w:r>
          </w:p>
        </w:tc>
        <w:tc>
          <w:tcPr>
            <w:tcW w:w="992" w:type="dxa"/>
          </w:tcPr>
          <w:p w14:paraId="4D1F76D8" w14:textId="2B182ADF" w:rsidR="00DE239D" w:rsidRPr="00DE239D" w:rsidRDefault="00875EAB" w:rsidP="00875EA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w:t>
            </w:r>
          </w:p>
        </w:tc>
        <w:tc>
          <w:tcPr>
            <w:tcW w:w="993" w:type="dxa"/>
          </w:tcPr>
          <w:p w14:paraId="4B1F0B4B" w14:textId="59316655" w:rsidR="00DE239D" w:rsidRPr="00DE239D" w:rsidRDefault="00875EAB" w:rsidP="00875EA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w:t>
            </w:r>
          </w:p>
        </w:tc>
      </w:tr>
      <w:tr w:rsidR="00DE239D" w:rsidRPr="00DE239D" w14:paraId="77C6F329" w14:textId="77777777" w:rsidTr="007752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39" w:type="dxa"/>
          </w:tcPr>
          <w:p w14:paraId="223795FA" w14:textId="4B4FD6DC" w:rsidR="00DE239D" w:rsidRPr="00D37A92" w:rsidRDefault="00DE239D" w:rsidP="00547B19">
            <w:pPr>
              <w:pStyle w:val="Prrafodelista"/>
              <w:numPr>
                <w:ilvl w:val="0"/>
                <w:numId w:val="54"/>
              </w:numPr>
              <w:spacing w:line="276" w:lineRule="auto"/>
              <w:ind w:left="313"/>
              <w:rPr>
                <w:rFonts w:asciiTheme="majorHAnsi" w:eastAsiaTheme="minorHAnsi" w:hAnsiTheme="majorHAnsi"/>
                <w:sz w:val="22"/>
              </w:rPr>
            </w:pPr>
            <w:r w:rsidRPr="00D37A92">
              <w:rPr>
                <w:rFonts w:asciiTheme="majorHAnsi" w:eastAsiaTheme="minorHAnsi" w:hAnsiTheme="majorHAnsi"/>
                <w:sz w:val="22"/>
              </w:rPr>
              <w:t>Ahorro Voluntario</w:t>
            </w:r>
          </w:p>
        </w:tc>
        <w:tc>
          <w:tcPr>
            <w:tcW w:w="992" w:type="dxa"/>
          </w:tcPr>
          <w:p w14:paraId="49815556"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851" w:type="dxa"/>
          </w:tcPr>
          <w:p w14:paraId="01B3AE75"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2" w:type="dxa"/>
          </w:tcPr>
          <w:p w14:paraId="65387101"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2" w:type="dxa"/>
          </w:tcPr>
          <w:p w14:paraId="41541D8A"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3" w:type="dxa"/>
          </w:tcPr>
          <w:p w14:paraId="52FE105F"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DE239D" w:rsidRPr="00DE239D" w14:paraId="794AE6D0" w14:textId="77777777" w:rsidTr="0077529F">
        <w:trPr>
          <w:jc w:val="center"/>
        </w:trPr>
        <w:tc>
          <w:tcPr>
            <w:cnfStyle w:val="001000000000" w:firstRow="0" w:lastRow="0" w:firstColumn="1" w:lastColumn="0" w:oddVBand="0" w:evenVBand="0" w:oddHBand="0" w:evenHBand="0" w:firstRowFirstColumn="0" w:firstRowLastColumn="0" w:lastRowFirstColumn="0" w:lastRowLastColumn="0"/>
            <w:tcW w:w="3839" w:type="dxa"/>
          </w:tcPr>
          <w:p w14:paraId="266B6641" w14:textId="752B1F68" w:rsidR="00DE239D" w:rsidRPr="00DE239D" w:rsidRDefault="00D37A92" w:rsidP="00875EAB">
            <w:pPr>
              <w:spacing w:line="276" w:lineRule="auto"/>
              <w:jc w:val="center"/>
              <w:rPr>
                <w:rFonts w:asciiTheme="majorHAnsi" w:hAnsiTheme="majorHAnsi"/>
                <w:sz w:val="22"/>
                <w:szCs w:val="22"/>
              </w:rPr>
            </w:pPr>
            <w:r>
              <w:rPr>
                <w:rFonts w:asciiTheme="majorHAnsi" w:hAnsiTheme="majorHAnsi"/>
                <w:sz w:val="22"/>
                <w:szCs w:val="22"/>
              </w:rPr>
              <w:t>1.83</w:t>
            </w:r>
            <w:r w:rsidR="00DE239D" w:rsidRPr="00DE239D">
              <w:rPr>
                <w:rFonts w:asciiTheme="majorHAnsi" w:hAnsiTheme="majorHAnsi"/>
                <w:sz w:val="22"/>
                <w:szCs w:val="22"/>
              </w:rPr>
              <w:t>%</w:t>
            </w:r>
          </w:p>
        </w:tc>
        <w:tc>
          <w:tcPr>
            <w:tcW w:w="992" w:type="dxa"/>
          </w:tcPr>
          <w:p w14:paraId="013E96EC" w14:textId="77777777" w:rsidR="00DE239D" w:rsidRPr="00DE239D" w:rsidRDefault="00DE239D" w:rsidP="00875EA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 xml:space="preserve"> </w:t>
            </w:r>
          </w:p>
        </w:tc>
        <w:tc>
          <w:tcPr>
            <w:tcW w:w="851" w:type="dxa"/>
          </w:tcPr>
          <w:p w14:paraId="59307DE7" w14:textId="77777777" w:rsidR="00DE239D" w:rsidRPr="00DE239D" w:rsidRDefault="00DE239D" w:rsidP="00875EA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992" w:type="dxa"/>
          </w:tcPr>
          <w:p w14:paraId="345ADA2A" w14:textId="297E2C1E" w:rsidR="00DE239D" w:rsidRPr="00DE239D" w:rsidRDefault="00D37A92" w:rsidP="00875EA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w:t>
            </w:r>
            <w:r w:rsidR="00DE239D" w:rsidRPr="00DE239D">
              <w:rPr>
                <w:rFonts w:asciiTheme="majorHAnsi" w:hAnsiTheme="majorHAnsi"/>
                <w:sz w:val="22"/>
                <w:szCs w:val="22"/>
              </w:rPr>
              <w:t xml:space="preserve">1 </w:t>
            </w:r>
            <w:proofErr w:type="spellStart"/>
            <w:r w:rsidR="00DE239D" w:rsidRPr="00DE239D">
              <w:rPr>
                <w:rFonts w:asciiTheme="majorHAnsi" w:hAnsiTheme="majorHAnsi"/>
                <w:sz w:val="22"/>
                <w:szCs w:val="22"/>
              </w:rPr>
              <w:t>p.p</w:t>
            </w:r>
            <w:proofErr w:type="spellEnd"/>
          </w:p>
        </w:tc>
        <w:tc>
          <w:tcPr>
            <w:tcW w:w="992" w:type="dxa"/>
          </w:tcPr>
          <w:p w14:paraId="1C705AFF" w14:textId="261C7DB5" w:rsidR="00DE239D" w:rsidRPr="00DE239D" w:rsidRDefault="00D37A92" w:rsidP="00875EA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w:t>
            </w:r>
            <w:r w:rsidR="00DE239D" w:rsidRPr="00DE239D">
              <w:rPr>
                <w:rFonts w:asciiTheme="majorHAnsi" w:hAnsiTheme="majorHAnsi"/>
                <w:sz w:val="22"/>
                <w:szCs w:val="22"/>
              </w:rPr>
              <w:t xml:space="preserve">1 </w:t>
            </w:r>
            <w:proofErr w:type="spellStart"/>
            <w:r w:rsidR="00DE239D" w:rsidRPr="00DE239D">
              <w:rPr>
                <w:rFonts w:asciiTheme="majorHAnsi" w:hAnsiTheme="majorHAnsi"/>
                <w:sz w:val="22"/>
                <w:szCs w:val="22"/>
              </w:rPr>
              <w:t>p.p</w:t>
            </w:r>
            <w:proofErr w:type="spellEnd"/>
          </w:p>
        </w:tc>
        <w:tc>
          <w:tcPr>
            <w:tcW w:w="993" w:type="dxa"/>
          </w:tcPr>
          <w:p w14:paraId="1D5FA508" w14:textId="704613A8" w:rsidR="00DE239D" w:rsidRPr="00DE239D" w:rsidRDefault="00D37A92" w:rsidP="00D37A92">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w:t>
            </w:r>
            <w:r w:rsidR="00DE239D" w:rsidRPr="00DE239D">
              <w:rPr>
                <w:rFonts w:asciiTheme="majorHAnsi" w:hAnsiTheme="majorHAnsi"/>
                <w:sz w:val="22"/>
                <w:szCs w:val="22"/>
              </w:rPr>
              <w:t xml:space="preserve">1 </w:t>
            </w:r>
            <w:proofErr w:type="spellStart"/>
            <w:r w:rsidR="00DE239D" w:rsidRPr="00DE239D">
              <w:rPr>
                <w:rFonts w:asciiTheme="majorHAnsi" w:hAnsiTheme="majorHAnsi"/>
                <w:sz w:val="22"/>
                <w:szCs w:val="22"/>
              </w:rPr>
              <w:t>p.p</w:t>
            </w:r>
            <w:proofErr w:type="spellEnd"/>
          </w:p>
        </w:tc>
      </w:tr>
    </w:tbl>
    <w:p w14:paraId="4985C1A2" w14:textId="77777777" w:rsidR="00DE239D" w:rsidRPr="00DE239D" w:rsidRDefault="00DE239D" w:rsidP="00DE239D">
      <w:pPr>
        <w:rPr>
          <w:rFonts w:asciiTheme="majorHAnsi" w:hAnsiTheme="majorHAnsi"/>
          <w:sz w:val="22"/>
          <w:szCs w:val="22"/>
          <w:highlight w:val="yellow"/>
        </w:rPr>
      </w:pPr>
    </w:p>
    <w:p w14:paraId="297C1574" w14:textId="77777777" w:rsidR="00DE239D" w:rsidRDefault="00DE239D" w:rsidP="0066771F">
      <w:pPr>
        <w:rPr>
          <w:rFonts w:asciiTheme="majorHAnsi" w:hAnsiTheme="majorHAnsi"/>
          <w:sz w:val="22"/>
          <w:szCs w:val="22"/>
        </w:rPr>
      </w:pPr>
    </w:p>
    <w:p w14:paraId="3CA666CA" w14:textId="7644085B" w:rsidR="00DE239D" w:rsidRPr="00DE239D" w:rsidRDefault="00DE239D" w:rsidP="00DE239D">
      <w:pPr>
        <w:rPr>
          <w:b/>
        </w:rPr>
      </w:pPr>
      <w:r w:rsidRPr="00875EAB">
        <w:rPr>
          <w:b/>
        </w:rPr>
        <w:t>Indicador de cumplimiento del objetivo 3</w:t>
      </w:r>
      <w:r w:rsidR="00875EAB">
        <w:rPr>
          <w:b/>
        </w:rPr>
        <w:t xml:space="preserve"> </w:t>
      </w:r>
      <w:r w:rsidR="00875EAB">
        <w:t>(</w:t>
      </w:r>
      <w:r w:rsidR="00875EAB" w:rsidRPr="007C372E">
        <w:rPr>
          <w:rFonts w:asciiTheme="majorHAnsi" w:hAnsiTheme="majorHAnsi"/>
          <w:sz w:val="22"/>
        </w:rPr>
        <w:t>Empoderar al afiliado</w:t>
      </w:r>
      <w:r w:rsidR="00875EAB">
        <w:rPr>
          <w:rFonts w:asciiTheme="majorHAnsi" w:hAnsiTheme="majorHAnsi"/>
          <w:sz w:val="22"/>
        </w:rPr>
        <w:t>)</w:t>
      </w:r>
    </w:p>
    <w:p w14:paraId="23A12BB8" w14:textId="77777777" w:rsidR="00DE239D" w:rsidRPr="00DE239D" w:rsidRDefault="00DE239D" w:rsidP="00DE239D">
      <w:pPr>
        <w:rPr>
          <w:lang w:val="es-ES_tradnl" w:eastAsia="en-US"/>
        </w:rPr>
      </w:pPr>
    </w:p>
    <w:p w14:paraId="56C22C8C" w14:textId="77777777" w:rsidR="00DE239D" w:rsidRPr="00DE239D" w:rsidRDefault="00DE239D" w:rsidP="003E3B79">
      <w:pPr>
        <w:ind w:left="567"/>
        <w:rPr>
          <w:rFonts w:asciiTheme="majorHAnsi" w:hAnsiTheme="majorHAnsi"/>
          <w:sz w:val="22"/>
          <w:szCs w:val="22"/>
        </w:rPr>
      </w:pPr>
      <w:r w:rsidRPr="00DE239D">
        <w:rPr>
          <w:rFonts w:asciiTheme="majorHAnsi" w:hAnsiTheme="majorHAnsi"/>
          <w:b/>
          <w:sz w:val="22"/>
          <w:szCs w:val="22"/>
        </w:rPr>
        <w:t>Primero:</w:t>
      </w:r>
      <w:r w:rsidRPr="00DE239D">
        <w:rPr>
          <w:rFonts w:asciiTheme="majorHAnsi" w:hAnsiTheme="majorHAnsi"/>
          <w:sz w:val="22"/>
          <w:szCs w:val="22"/>
        </w:rPr>
        <w:t xml:space="preserve"> Reducción de afiliados automáticos</w:t>
      </w:r>
    </w:p>
    <w:p w14:paraId="7233D68A" w14:textId="77777777" w:rsidR="00DE239D" w:rsidRPr="00DE239D" w:rsidRDefault="00DE239D" w:rsidP="003E3B79">
      <w:pPr>
        <w:ind w:left="567"/>
        <w:rPr>
          <w:rFonts w:asciiTheme="majorHAnsi" w:hAnsiTheme="majorHAnsi"/>
          <w:sz w:val="22"/>
          <w:szCs w:val="22"/>
        </w:rPr>
      </w:pPr>
      <w:r w:rsidRPr="00DE239D">
        <w:rPr>
          <w:rFonts w:asciiTheme="majorHAnsi" w:hAnsiTheme="majorHAnsi"/>
          <w:b/>
          <w:sz w:val="22"/>
          <w:szCs w:val="22"/>
        </w:rPr>
        <w:t>Fuente del Dato</w:t>
      </w:r>
      <w:r w:rsidRPr="00DE239D">
        <w:rPr>
          <w:rFonts w:asciiTheme="majorHAnsi" w:hAnsiTheme="majorHAnsi"/>
          <w:sz w:val="22"/>
          <w:szCs w:val="22"/>
        </w:rPr>
        <w:t>: Estadísticas de SICERE</w:t>
      </w:r>
    </w:p>
    <w:p w14:paraId="34C74E49" w14:textId="77777777" w:rsidR="0077529F" w:rsidRDefault="0077529F" w:rsidP="003E3B79">
      <w:pPr>
        <w:ind w:left="567"/>
        <w:rPr>
          <w:rFonts w:asciiTheme="majorHAnsi" w:hAnsiTheme="majorHAnsi"/>
          <w:b/>
          <w:sz w:val="22"/>
          <w:szCs w:val="22"/>
        </w:rPr>
      </w:pPr>
    </w:p>
    <w:p w14:paraId="49BA6A9D" w14:textId="6B3E5844" w:rsidR="00DE239D" w:rsidRPr="00DE239D" w:rsidRDefault="00DE239D" w:rsidP="003E3B79">
      <w:pPr>
        <w:ind w:left="567"/>
        <w:rPr>
          <w:rFonts w:asciiTheme="majorHAnsi" w:hAnsiTheme="majorHAnsi"/>
          <w:sz w:val="22"/>
          <w:szCs w:val="22"/>
        </w:rPr>
      </w:pPr>
      <w:r w:rsidRPr="00DE239D">
        <w:rPr>
          <w:rFonts w:asciiTheme="majorHAnsi" w:hAnsiTheme="majorHAnsi"/>
          <w:b/>
          <w:sz w:val="22"/>
          <w:szCs w:val="22"/>
        </w:rPr>
        <w:t>Segundo:</w:t>
      </w:r>
      <w:r w:rsidRPr="00DE239D">
        <w:rPr>
          <w:rFonts w:asciiTheme="majorHAnsi" w:hAnsiTheme="majorHAnsi"/>
          <w:sz w:val="22"/>
          <w:szCs w:val="22"/>
        </w:rPr>
        <w:t xml:space="preserve"> Reducción de tiempos en la atención de </w:t>
      </w:r>
      <w:r w:rsidR="0077529F">
        <w:rPr>
          <w:rFonts w:asciiTheme="majorHAnsi" w:hAnsiTheme="majorHAnsi"/>
          <w:sz w:val="22"/>
          <w:szCs w:val="22"/>
        </w:rPr>
        <w:t>quejas y consultas ante los gestores</w:t>
      </w:r>
    </w:p>
    <w:p w14:paraId="0F98D3E4" w14:textId="01B0D331" w:rsidR="00DE239D" w:rsidRPr="00DE239D" w:rsidRDefault="00DE239D" w:rsidP="003E3B79">
      <w:pPr>
        <w:ind w:left="567"/>
        <w:rPr>
          <w:rFonts w:asciiTheme="majorHAnsi" w:hAnsiTheme="majorHAnsi"/>
          <w:sz w:val="22"/>
          <w:szCs w:val="22"/>
        </w:rPr>
      </w:pPr>
      <w:r w:rsidRPr="00DE239D">
        <w:rPr>
          <w:rFonts w:asciiTheme="majorHAnsi" w:hAnsiTheme="majorHAnsi"/>
          <w:b/>
          <w:sz w:val="22"/>
          <w:szCs w:val="22"/>
        </w:rPr>
        <w:t>Fuente del dato:</w:t>
      </w:r>
      <w:r w:rsidRPr="00DE239D">
        <w:rPr>
          <w:rFonts w:asciiTheme="majorHAnsi" w:hAnsiTheme="majorHAnsi"/>
          <w:sz w:val="22"/>
          <w:szCs w:val="22"/>
        </w:rPr>
        <w:t xml:space="preserve"> </w:t>
      </w:r>
      <w:r w:rsidR="00CC4320">
        <w:rPr>
          <w:rFonts w:asciiTheme="majorHAnsi" w:hAnsiTheme="majorHAnsi"/>
          <w:sz w:val="22"/>
          <w:szCs w:val="22"/>
        </w:rPr>
        <w:t>Información reportada por los gestores</w:t>
      </w:r>
    </w:p>
    <w:p w14:paraId="250B2F1E" w14:textId="77777777" w:rsidR="0077529F" w:rsidRDefault="0077529F" w:rsidP="003E3B79">
      <w:pPr>
        <w:ind w:left="567"/>
        <w:rPr>
          <w:rFonts w:asciiTheme="majorHAnsi" w:hAnsiTheme="majorHAnsi"/>
          <w:b/>
          <w:sz w:val="22"/>
          <w:szCs w:val="22"/>
        </w:rPr>
      </w:pPr>
    </w:p>
    <w:p w14:paraId="750596E9" w14:textId="77777777" w:rsidR="00DE239D" w:rsidRPr="00DE239D" w:rsidRDefault="00DE239D" w:rsidP="003E3B79">
      <w:pPr>
        <w:ind w:left="567"/>
        <w:rPr>
          <w:rFonts w:asciiTheme="majorHAnsi" w:hAnsiTheme="majorHAnsi"/>
          <w:sz w:val="22"/>
          <w:szCs w:val="22"/>
        </w:rPr>
      </w:pPr>
      <w:r w:rsidRPr="00DE239D">
        <w:rPr>
          <w:rFonts w:asciiTheme="majorHAnsi" w:hAnsiTheme="majorHAnsi"/>
          <w:b/>
          <w:sz w:val="22"/>
          <w:szCs w:val="22"/>
        </w:rPr>
        <w:t xml:space="preserve">Tercero: </w:t>
      </w:r>
      <w:r w:rsidRPr="00DE239D">
        <w:rPr>
          <w:rFonts w:asciiTheme="majorHAnsi" w:hAnsiTheme="majorHAnsi"/>
          <w:sz w:val="22"/>
          <w:szCs w:val="22"/>
        </w:rPr>
        <w:t>Cantidad de afiliados que consulta expediente electrónico previsional</w:t>
      </w:r>
    </w:p>
    <w:p w14:paraId="727B549D" w14:textId="77777777" w:rsidR="00DE239D" w:rsidRDefault="00DE239D" w:rsidP="003E3B79">
      <w:pPr>
        <w:ind w:left="567"/>
        <w:rPr>
          <w:rFonts w:asciiTheme="majorHAnsi" w:hAnsiTheme="majorHAnsi"/>
          <w:sz w:val="22"/>
          <w:szCs w:val="22"/>
        </w:rPr>
      </w:pPr>
      <w:r w:rsidRPr="00DE239D">
        <w:rPr>
          <w:rFonts w:asciiTheme="majorHAnsi" w:hAnsiTheme="majorHAnsi"/>
          <w:b/>
          <w:sz w:val="22"/>
          <w:szCs w:val="22"/>
        </w:rPr>
        <w:t>Fuente del dato:</w:t>
      </w:r>
      <w:r w:rsidRPr="00DE239D">
        <w:rPr>
          <w:rFonts w:asciiTheme="majorHAnsi" w:hAnsiTheme="majorHAnsi"/>
          <w:sz w:val="22"/>
          <w:szCs w:val="22"/>
        </w:rPr>
        <w:t xml:space="preserve"> Sistema administrador del expediente electrónico previsional</w:t>
      </w:r>
    </w:p>
    <w:p w14:paraId="0261897C" w14:textId="77777777" w:rsidR="00CE1493" w:rsidRDefault="00CE1493" w:rsidP="00DE239D">
      <w:pPr>
        <w:rPr>
          <w:rFonts w:asciiTheme="majorHAnsi" w:hAnsiTheme="majorHAnsi"/>
          <w:sz w:val="22"/>
          <w:szCs w:val="22"/>
        </w:rPr>
      </w:pPr>
    </w:p>
    <w:p w14:paraId="006A0180" w14:textId="77777777" w:rsidR="00DE239D" w:rsidRPr="00941860" w:rsidRDefault="00DE239D" w:rsidP="00DE239D">
      <w:pPr>
        <w:rPr>
          <w:sz w:val="22"/>
        </w:rPr>
      </w:pPr>
      <w:r w:rsidRPr="00941860">
        <w:rPr>
          <w:sz w:val="22"/>
        </w:rPr>
        <w:t>Meta para el objetivo</w:t>
      </w:r>
    </w:p>
    <w:p w14:paraId="2D42A64D" w14:textId="77777777" w:rsidR="0077529F" w:rsidRDefault="0077529F" w:rsidP="00DE239D"/>
    <w:tbl>
      <w:tblPr>
        <w:tblStyle w:val="Tabladecuadrcula4-nfasis11"/>
        <w:tblW w:w="8222" w:type="dxa"/>
        <w:jc w:val="center"/>
        <w:tblLook w:val="04A0" w:firstRow="1" w:lastRow="0" w:firstColumn="1" w:lastColumn="0" w:noHBand="0" w:noVBand="1"/>
      </w:tblPr>
      <w:tblGrid>
        <w:gridCol w:w="3916"/>
        <w:gridCol w:w="750"/>
        <w:gridCol w:w="946"/>
        <w:gridCol w:w="750"/>
        <w:gridCol w:w="871"/>
        <w:gridCol w:w="989"/>
      </w:tblGrid>
      <w:tr w:rsidR="00DE239D" w14:paraId="555B6368" w14:textId="77777777" w:rsidTr="00BE74B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9" w:type="dxa"/>
          </w:tcPr>
          <w:p w14:paraId="7DC845B7" w14:textId="77777777" w:rsidR="00DE239D" w:rsidRPr="0077529F" w:rsidRDefault="00DE239D" w:rsidP="008D71BC">
            <w:pPr>
              <w:rPr>
                <w:rFonts w:asciiTheme="majorHAnsi" w:hAnsiTheme="majorHAnsi"/>
                <w:sz w:val="22"/>
                <w:szCs w:val="22"/>
              </w:rPr>
            </w:pPr>
            <w:r w:rsidRPr="0077529F">
              <w:rPr>
                <w:rFonts w:asciiTheme="majorHAnsi" w:hAnsiTheme="majorHAnsi"/>
                <w:sz w:val="22"/>
                <w:szCs w:val="22"/>
              </w:rPr>
              <w:t>Línea Base</w:t>
            </w:r>
          </w:p>
        </w:tc>
        <w:tc>
          <w:tcPr>
            <w:tcW w:w="750" w:type="dxa"/>
          </w:tcPr>
          <w:p w14:paraId="072782DC" w14:textId="77777777" w:rsidR="00DE239D" w:rsidRPr="0077529F" w:rsidRDefault="00DE239D" w:rsidP="008D71BC">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77529F">
              <w:rPr>
                <w:rFonts w:asciiTheme="majorHAnsi" w:hAnsiTheme="majorHAnsi"/>
                <w:sz w:val="22"/>
                <w:szCs w:val="22"/>
              </w:rPr>
              <w:t>2016</w:t>
            </w:r>
          </w:p>
        </w:tc>
        <w:tc>
          <w:tcPr>
            <w:tcW w:w="951" w:type="dxa"/>
          </w:tcPr>
          <w:p w14:paraId="11D3D9B6" w14:textId="77777777" w:rsidR="00DE239D" w:rsidRPr="0077529F" w:rsidRDefault="00DE239D" w:rsidP="008D71BC">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77529F">
              <w:rPr>
                <w:rFonts w:asciiTheme="majorHAnsi" w:hAnsiTheme="majorHAnsi"/>
                <w:sz w:val="22"/>
                <w:szCs w:val="22"/>
              </w:rPr>
              <w:t>2017</w:t>
            </w:r>
          </w:p>
        </w:tc>
        <w:tc>
          <w:tcPr>
            <w:tcW w:w="750" w:type="dxa"/>
          </w:tcPr>
          <w:p w14:paraId="0753DFE8" w14:textId="77777777" w:rsidR="00DE239D" w:rsidRPr="0077529F" w:rsidRDefault="00DE239D" w:rsidP="008D71BC">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77529F">
              <w:rPr>
                <w:rFonts w:asciiTheme="majorHAnsi" w:hAnsiTheme="majorHAnsi"/>
                <w:sz w:val="22"/>
                <w:szCs w:val="22"/>
              </w:rPr>
              <w:t>2018</w:t>
            </w:r>
          </w:p>
        </w:tc>
        <w:tc>
          <w:tcPr>
            <w:tcW w:w="810" w:type="dxa"/>
          </w:tcPr>
          <w:p w14:paraId="37C17104" w14:textId="77777777" w:rsidR="00DE239D" w:rsidRPr="0077529F" w:rsidRDefault="00DE239D" w:rsidP="008D71BC">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77529F">
              <w:rPr>
                <w:rFonts w:asciiTheme="majorHAnsi" w:hAnsiTheme="majorHAnsi"/>
                <w:sz w:val="22"/>
                <w:szCs w:val="22"/>
              </w:rPr>
              <w:t>2019</w:t>
            </w:r>
          </w:p>
        </w:tc>
        <w:tc>
          <w:tcPr>
            <w:tcW w:w="992" w:type="dxa"/>
          </w:tcPr>
          <w:p w14:paraId="131986F7" w14:textId="77777777" w:rsidR="00DE239D" w:rsidRPr="0077529F" w:rsidRDefault="00DE239D" w:rsidP="008D71BC">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77529F">
              <w:rPr>
                <w:rFonts w:asciiTheme="majorHAnsi" w:hAnsiTheme="majorHAnsi"/>
                <w:sz w:val="22"/>
                <w:szCs w:val="22"/>
              </w:rPr>
              <w:t>2020</w:t>
            </w:r>
          </w:p>
        </w:tc>
      </w:tr>
      <w:tr w:rsidR="00DE239D" w14:paraId="0AF909A5" w14:textId="77777777" w:rsidTr="00BE74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9" w:type="dxa"/>
          </w:tcPr>
          <w:p w14:paraId="2E017708" w14:textId="5F82BF5E" w:rsidR="00DE239D" w:rsidRPr="0077529F" w:rsidRDefault="0077529F" w:rsidP="008D71BC">
            <w:pPr>
              <w:rPr>
                <w:rFonts w:asciiTheme="majorHAnsi" w:hAnsiTheme="majorHAnsi"/>
                <w:sz w:val="22"/>
                <w:szCs w:val="22"/>
              </w:rPr>
            </w:pPr>
            <w:r>
              <w:rPr>
                <w:rFonts w:asciiTheme="majorHAnsi" w:hAnsiTheme="majorHAnsi"/>
                <w:sz w:val="22"/>
                <w:szCs w:val="22"/>
              </w:rPr>
              <w:t xml:space="preserve">1.  </w:t>
            </w:r>
            <w:r w:rsidR="00DE239D" w:rsidRPr="0077529F">
              <w:rPr>
                <w:rFonts w:asciiTheme="majorHAnsi" w:hAnsiTheme="majorHAnsi"/>
                <w:sz w:val="22"/>
                <w:szCs w:val="22"/>
              </w:rPr>
              <w:t>Automáticos</w:t>
            </w:r>
          </w:p>
        </w:tc>
        <w:tc>
          <w:tcPr>
            <w:tcW w:w="750" w:type="dxa"/>
          </w:tcPr>
          <w:p w14:paraId="0940371D" w14:textId="77777777" w:rsidR="00DE239D" w:rsidRPr="0077529F" w:rsidRDefault="00DE239D" w:rsidP="008D71BC">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51" w:type="dxa"/>
          </w:tcPr>
          <w:p w14:paraId="7F8F18C4" w14:textId="77777777" w:rsidR="00DE239D" w:rsidRPr="0077529F" w:rsidRDefault="00DE239D" w:rsidP="008D71BC">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750" w:type="dxa"/>
          </w:tcPr>
          <w:p w14:paraId="2FB6111D" w14:textId="77777777" w:rsidR="00DE239D" w:rsidRPr="0077529F" w:rsidRDefault="00DE239D" w:rsidP="008D71BC">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810" w:type="dxa"/>
          </w:tcPr>
          <w:p w14:paraId="76BB4D63" w14:textId="77777777" w:rsidR="00DE239D" w:rsidRPr="0077529F" w:rsidRDefault="00DE239D" w:rsidP="008D71BC">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2" w:type="dxa"/>
          </w:tcPr>
          <w:p w14:paraId="0A94D697" w14:textId="77777777" w:rsidR="00DE239D" w:rsidRPr="0077529F" w:rsidRDefault="00DE239D" w:rsidP="008D71BC">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DE239D" w14:paraId="616C8E4C" w14:textId="77777777" w:rsidTr="00BE74BC">
        <w:trPr>
          <w:jc w:val="center"/>
        </w:trPr>
        <w:tc>
          <w:tcPr>
            <w:cnfStyle w:val="001000000000" w:firstRow="0" w:lastRow="0" w:firstColumn="1" w:lastColumn="0" w:oddVBand="0" w:evenVBand="0" w:oddHBand="0" w:evenHBand="0" w:firstRowFirstColumn="0" w:firstRowLastColumn="0" w:lastRowFirstColumn="0" w:lastRowLastColumn="0"/>
            <w:tcW w:w="3969" w:type="dxa"/>
          </w:tcPr>
          <w:p w14:paraId="0EF3A78E" w14:textId="77777777" w:rsidR="00DE239D" w:rsidRPr="0077529F" w:rsidRDefault="00DE239D" w:rsidP="008D71BC">
            <w:pPr>
              <w:jc w:val="center"/>
              <w:rPr>
                <w:rFonts w:asciiTheme="majorHAnsi" w:hAnsiTheme="majorHAnsi"/>
                <w:sz w:val="22"/>
                <w:szCs w:val="22"/>
              </w:rPr>
            </w:pPr>
            <w:r w:rsidRPr="0077529F">
              <w:rPr>
                <w:rFonts w:asciiTheme="majorHAnsi" w:hAnsiTheme="majorHAnsi"/>
                <w:sz w:val="22"/>
                <w:szCs w:val="22"/>
              </w:rPr>
              <w:t>99%</w:t>
            </w:r>
          </w:p>
        </w:tc>
        <w:tc>
          <w:tcPr>
            <w:tcW w:w="750" w:type="dxa"/>
          </w:tcPr>
          <w:p w14:paraId="346FB74C" w14:textId="77777777" w:rsidR="00DE239D" w:rsidRPr="0077529F" w:rsidRDefault="00DE239D" w:rsidP="008D71BC">
            <w:pP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951" w:type="dxa"/>
          </w:tcPr>
          <w:p w14:paraId="3CD7A7BD" w14:textId="7CC63795" w:rsidR="00DE239D" w:rsidRPr="0077529F" w:rsidRDefault="0077529F"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w:t>
            </w:r>
          </w:p>
        </w:tc>
        <w:tc>
          <w:tcPr>
            <w:tcW w:w="750" w:type="dxa"/>
          </w:tcPr>
          <w:p w14:paraId="384AE24A" w14:textId="5B4F48F6" w:rsidR="00DE239D" w:rsidRPr="0077529F" w:rsidRDefault="0077529F"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w:t>
            </w:r>
          </w:p>
        </w:tc>
        <w:tc>
          <w:tcPr>
            <w:tcW w:w="810" w:type="dxa"/>
          </w:tcPr>
          <w:p w14:paraId="2BD8088D" w14:textId="0BAEECB2" w:rsidR="00DE239D" w:rsidRPr="0077529F" w:rsidRDefault="0077529F"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-5%</w:t>
            </w:r>
          </w:p>
        </w:tc>
        <w:tc>
          <w:tcPr>
            <w:tcW w:w="992" w:type="dxa"/>
          </w:tcPr>
          <w:p w14:paraId="19CCD0A2" w14:textId="50BB2EA5" w:rsidR="00DE239D" w:rsidRPr="0077529F" w:rsidRDefault="0077529F"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-5%</w:t>
            </w:r>
          </w:p>
        </w:tc>
      </w:tr>
      <w:tr w:rsidR="00DE239D" w14:paraId="7EC63F38" w14:textId="77777777" w:rsidTr="00BE74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9" w:type="dxa"/>
          </w:tcPr>
          <w:p w14:paraId="1C9BE356" w14:textId="02F63E9F" w:rsidR="00DE239D" w:rsidRPr="0077529F" w:rsidRDefault="00DE239D" w:rsidP="00547B19">
            <w:pPr>
              <w:pStyle w:val="Prrafodelista"/>
              <w:numPr>
                <w:ilvl w:val="0"/>
                <w:numId w:val="12"/>
              </w:numPr>
              <w:rPr>
                <w:rFonts w:asciiTheme="majorHAnsi" w:eastAsiaTheme="minorHAnsi" w:hAnsiTheme="majorHAnsi"/>
                <w:sz w:val="22"/>
              </w:rPr>
            </w:pPr>
            <w:r w:rsidRPr="0077529F">
              <w:rPr>
                <w:rFonts w:asciiTheme="majorHAnsi" w:eastAsiaTheme="minorHAnsi" w:hAnsiTheme="majorHAnsi"/>
                <w:sz w:val="22"/>
              </w:rPr>
              <w:t>Plazos de atención</w:t>
            </w:r>
            <w:r w:rsidR="0077529F">
              <w:rPr>
                <w:rFonts w:asciiTheme="majorHAnsi" w:eastAsiaTheme="minorHAnsi" w:hAnsiTheme="majorHAnsi"/>
                <w:sz w:val="22"/>
              </w:rPr>
              <w:t xml:space="preserve"> de quejas y consultas</w:t>
            </w:r>
          </w:p>
        </w:tc>
        <w:tc>
          <w:tcPr>
            <w:tcW w:w="750" w:type="dxa"/>
          </w:tcPr>
          <w:p w14:paraId="236D1909" w14:textId="77777777" w:rsidR="00DE239D" w:rsidRPr="0077529F" w:rsidRDefault="00DE239D" w:rsidP="008D71BC">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51" w:type="dxa"/>
          </w:tcPr>
          <w:p w14:paraId="2B6629FD" w14:textId="77777777" w:rsidR="00DE239D" w:rsidRPr="0077529F" w:rsidRDefault="00DE239D" w:rsidP="008D71BC">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750" w:type="dxa"/>
          </w:tcPr>
          <w:p w14:paraId="09659FD6" w14:textId="77777777" w:rsidR="00DE239D" w:rsidRPr="0077529F" w:rsidRDefault="00DE239D" w:rsidP="008D71BC">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810" w:type="dxa"/>
          </w:tcPr>
          <w:p w14:paraId="1AB18ED0" w14:textId="77777777" w:rsidR="00DE239D" w:rsidRPr="0077529F" w:rsidRDefault="00DE239D" w:rsidP="008D71BC">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2" w:type="dxa"/>
          </w:tcPr>
          <w:p w14:paraId="28C092A3" w14:textId="77777777" w:rsidR="00DE239D" w:rsidRPr="0077529F" w:rsidRDefault="00DE239D" w:rsidP="008D71BC">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DE239D" w14:paraId="6FA561DA" w14:textId="77777777" w:rsidTr="00BE74BC">
        <w:trPr>
          <w:jc w:val="center"/>
        </w:trPr>
        <w:tc>
          <w:tcPr>
            <w:cnfStyle w:val="001000000000" w:firstRow="0" w:lastRow="0" w:firstColumn="1" w:lastColumn="0" w:oddVBand="0" w:evenVBand="0" w:oddHBand="0" w:evenHBand="0" w:firstRowFirstColumn="0" w:firstRowLastColumn="0" w:lastRowFirstColumn="0" w:lastRowLastColumn="0"/>
            <w:tcW w:w="3969" w:type="dxa"/>
          </w:tcPr>
          <w:p w14:paraId="1674368A" w14:textId="72720AAE" w:rsidR="00DE239D" w:rsidRPr="0077529F" w:rsidRDefault="0077529F" w:rsidP="008D71BC">
            <w:pPr>
              <w:jc w:val="center"/>
              <w:rPr>
                <w:rFonts w:asciiTheme="majorHAnsi" w:hAnsiTheme="majorHAnsi"/>
                <w:sz w:val="22"/>
                <w:szCs w:val="22"/>
              </w:rPr>
            </w:pPr>
            <w:r>
              <w:rPr>
                <w:rFonts w:asciiTheme="majorHAnsi" w:hAnsiTheme="majorHAnsi"/>
                <w:sz w:val="22"/>
                <w:szCs w:val="22"/>
              </w:rPr>
              <w:t>Base 2017</w:t>
            </w:r>
          </w:p>
        </w:tc>
        <w:tc>
          <w:tcPr>
            <w:tcW w:w="750" w:type="dxa"/>
          </w:tcPr>
          <w:p w14:paraId="035D14E4" w14:textId="77777777" w:rsidR="00DE239D" w:rsidRPr="0077529F" w:rsidRDefault="00DE239D"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77529F">
              <w:rPr>
                <w:rFonts w:asciiTheme="majorHAnsi" w:hAnsiTheme="majorHAnsi"/>
                <w:sz w:val="22"/>
                <w:szCs w:val="22"/>
              </w:rPr>
              <w:t xml:space="preserve"> </w:t>
            </w:r>
          </w:p>
        </w:tc>
        <w:tc>
          <w:tcPr>
            <w:tcW w:w="951" w:type="dxa"/>
          </w:tcPr>
          <w:p w14:paraId="24F7309E" w14:textId="5145A0E4" w:rsidR="00DE239D" w:rsidRPr="0077529F" w:rsidRDefault="00DE239D"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750" w:type="dxa"/>
          </w:tcPr>
          <w:p w14:paraId="3A10E34F" w14:textId="035B3997" w:rsidR="00DE239D" w:rsidRPr="0077529F" w:rsidRDefault="0077529F"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w:t>
            </w:r>
          </w:p>
        </w:tc>
        <w:tc>
          <w:tcPr>
            <w:tcW w:w="810" w:type="dxa"/>
          </w:tcPr>
          <w:p w14:paraId="34ED133C" w14:textId="5DBCF71F" w:rsidR="00DE239D" w:rsidRPr="0077529F" w:rsidRDefault="0077529F"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w:t>
            </w:r>
          </w:p>
        </w:tc>
        <w:tc>
          <w:tcPr>
            <w:tcW w:w="992" w:type="dxa"/>
          </w:tcPr>
          <w:p w14:paraId="0607ADDB" w14:textId="356152FA" w:rsidR="00DE239D" w:rsidRPr="0077529F" w:rsidRDefault="0077529F"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w:t>
            </w:r>
          </w:p>
        </w:tc>
      </w:tr>
      <w:tr w:rsidR="00DE239D" w14:paraId="3C8B6121" w14:textId="77777777" w:rsidTr="00BE74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9" w:type="dxa"/>
          </w:tcPr>
          <w:p w14:paraId="36A7EA59" w14:textId="6E98DF12" w:rsidR="00DE239D" w:rsidRPr="0077529F" w:rsidRDefault="00DE239D" w:rsidP="00547B19">
            <w:pPr>
              <w:pStyle w:val="Prrafodelista"/>
              <w:numPr>
                <w:ilvl w:val="0"/>
                <w:numId w:val="12"/>
              </w:numPr>
              <w:rPr>
                <w:rFonts w:asciiTheme="majorHAnsi" w:eastAsiaTheme="minorHAnsi" w:hAnsiTheme="majorHAnsi"/>
                <w:sz w:val="22"/>
              </w:rPr>
            </w:pPr>
            <w:r w:rsidRPr="0077529F">
              <w:rPr>
                <w:rFonts w:asciiTheme="majorHAnsi" w:eastAsiaTheme="minorHAnsi" w:hAnsiTheme="majorHAnsi"/>
                <w:sz w:val="22"/>
              </w:rPr>
              <w:t>Uso expediente electrónico</w:t>
            </w:r>
          </w:p>
        </w:tc>
        <w:tc>
          <w:tcPr>
            <w:tcW w:w="750" w:type="dxa"/>
          </w:tcPr>
          <w:p w14:paraId="62D61F70" w14:textId="77777777" w:rsidR="00DE239D" w:rsidRPr="0077529F" w:rsidRDefault="00DE239D" w:rsidP="008D71B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51" w:type="dxa"/>
          </w:tcPr>
          <w:p w14:paraId="4B80F3FD" w14:textId="77777777" w:rsidR="00DE239D" w:rsidRPr="0077529F" w:rsidRDefault="00DE239D" w:rsidP="008D71B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750" w:type="dxa"/>
          </w:tcPr>
          <w:p w14:paraId="2D1D04C2" w14:textId="77777777" w:rsidR="00DE239D" w:rsidRPr="0077529F" w:rsidRDefault="00DE239D" w:rsidP="008D71B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810" w:type="dxa"/>
          </w:tcPr>
          <w:p w14:paraId="4D4C43C4" w14:textId="77777777" w:rsidR="00DE239D" w:rsidRPr="0077529F" w:rsidRDefault="00DE239D" w:rsidP="008D71B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2" w:type="dxa"/>
          </w:tcPr>
          <w:p w14:paraId="01D0A660" w14:textId="77777777" w:rsidR="00DE239D" w:rsidRPr="0077529F" w:rsidRDefault="00DE239D" w:rsidP="008D71B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DE239D" w14:paraId="235D1F1E" w14:textId="77777777" w:rsidTr="00BE74BC">
        <w:trPr>
          <w:jc w:val="center"/>
        </w:trPr>
        <w:tc>
          <w:tcPr>
            <w:cnfStyle w:val="001000000000" w:firstRow="0" w:lastRow="0" w:firstColumn="1" w:lastColumn="0" w:oddVBand="0" w:evenVBand="0" w:oddHBand="0" w:evenHBand="0" w:firstRowFirstColumn="0" w:firstRowLastColumn="0" w:lastRowFirstColumn="0" w:lastRowLastColumn="0"/>
            <w:tcW w:w="3969" w:type="dxa"/>
          </w:tcPr>
          <w:p w14:paraId="4A1A07EE" w14:textId="1F61E547" w:rsidR="00DE239D" w:rsidRPr="0077529F" w:rsidRDefault="00DE239D" w:rsidP="008D71BC">
            <w:pPr>
              <w:jc w:val="center"/>
              <w:rPr>
                <w:rFonts w:asciiTheme="majorHAnsi" w:hAnsiTheme="majorHAnsi"/>
                <w:sz w:val="22"/>
                <w:szCs w:val="22"/>
              </w:rPr>
            </w:pPr>
          </w:p>
        </w:tc>
        <w:tc>
          <w:tcPr>
            <w:tcW w:w="750" w:type="dxa"/>
          </w:tcPr>
          <w:p w14:paraId="63AF173E" w14:textId="77777777" w:rsidR="00DE239D" w:rsidRPr="0077529F" w:rsidRDefault="00DE239D"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951" w:type="dxa"/>
          </w:tcPr>
          <w:p w14:paraId="4F1B80EF" w14:textId="77777777" w:rsidR="00DE239D" w:rsidRPr="0077529F" w:rsidRDefault="00DE239D"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750" w:type="dxa"/>
          </w:tcPr>
          <w:p w14:paraId="6D2E41BD" w14:textId="77777777" w:rsidR="00DE239D" w:rsidRPr="0077529F" w:rsidRDefault="00DE239D"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810" w:type="dxa"/>
          </w:tcPr>
          <w:p w14:paraId="229CE599" w14:textId="2944723B" w:rsidR="00DE239D" w:rsidRPr="0077529F" w:rsidRDefault="00BE74BC"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10.000</w:t>
            </w:r>
          </w:p>
        </w:tc>
        <w:tc>
          <w:tcPr>
            <w:tcW w:w="992" w:type="dxa"/>
          </w:tcPr>
          <w:p w14:paraId="7820F4D2" w14:textId="39587A74" w:rsidR="00DE239D" w:rsidRPr="0077529F" w:rsidRDefault="00BE74BC"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11.000</w:t>
            </w:r>
          </w:p>
        </w:tc>
      </w:tr>
    </w:tbl>
    <w:p w14:paraId="467F7B12" w14:textId="77777777" w:rsidR="00DE239D" w:rsidRPr="006C1FE0" w:rsidRDefault="00DE239D" w:rsidP="00DE239D"/>
    <w:p w14:paraId="23FF33A6" w14:textId="77FF2B27" w:rsidR="0066771F" w:rsidRPr="00B36940" w:rsidRDefault="00B815AC" w:rsidP="00B36940">
      <w:pPr>
        <w:rPr>
          <w:rFonts w:asciiTheme="majorHAnsi" w:hAnsiTheme="majorHAnsi"/>
          <w:b/>
          <w:sz w:val="22"/>
          <w:szCs w:val="22"/>
        </w:rPr>
      </w:pPr>
      <w:bookmarkStart w:id="34" w:name="_Toc396483005"/>
      <w:r w:rsidRPr="00B36940">
        <w:rPr>
          <w:rFonts w:asciiTheme="majorHAnsi" w:hAnsiTheme="majorHAnsi"/>
          <w:b/>
          <w:sz w:val="22"/>
          <w:szCs w:val="22"/>
        </w:rPr>
        <w:lastRenderedPageBreak/>
        <w:t>Proyectos Estratégicos</w:t>
      </w:r>
      <w:bookmarkEnd w:id="34"/>
    </w:p>
    <w:p w14:paraId="106D30AA" w14:textId="77777777" w:rsidR="0066771F" w:rsidRPr="0066771F" w:rsidRDefault="0066771F" w:rsidP="0066771F">
      <w:pPr>
        <w:autoSpaceDE w:val="0"/>
        <w:autoSpaceDN w:val="0"/>
        <w:adjustRightInd w:val="0"/>
        <w:rPr>
          <w:rFonts w:asciiTheme="majorHAnsi" w:hAnsiTheme="majorHAnsi" w:cs="Arial"/>
          <w:sz w:val="22"/>
          <w:szCs w:val="22"/>
        </w:rPr>
      </w:pPr>
    </w:p>
    <w:p w14:paraId="47F09691" w14:textId="680EE160" w:rsidR="0066771F" w:rsidRPr="0066771F" w:rsidRDefault="0066771F" w:rsidP="00B96D98">
      <w:pPr>
        <w:jc w:val="both"/>
        <w:rPr>
          <w:rFonts w:asciiTheme="majorHAnsi" w:hAnsiTheme="majorHAnsi"/>
          <w:b/>
          <w:sz w:val="22"/>
          <w:szCs w:val="22"/>
        </w:rPr>
      </w:pPr>
      <w:r w:rsidRPr="0066771F">
        <w:rPr>
          <w:rFonts w:asciiTheme="majorHAnsi" w:hAnsiTheme="majorHAnsi"/>
          <w:sz w:val="22"/>
          <w:szCs w:val="22"/>
        </w:rPr>
        <w:t xml:space="preserve">Con el </w:t>
      </w:r>
      <w:r w:rsidR="00094C35">
        <w:rPr>
          <w:rFonts w:asciiTheme="majorHAnsi" w:hAnsiTheme="majorHAnsi"/>
          <w:sz w:val="22"/>
          <w:szCs w:val="22"/>
        </w:rPr>
        <w:t>propósito</w:t>
      </w:r>
      <w:r w:rsidRPr="0066771F">
        <w:rPr>
          <w:rFonts w:asciiTheme="majorHAnsi" w:hAnsiTheme="majorHAnsi"/>
          <w:sz w:val="22"/>
          <w:szCs w:val="22"/>
        </w:rPr>
        <w:t xml:space="preserve"> de cumplir con los objetivos citados</w:t>
      </w:r>
      <w:r w:rsidRPr="00317C42">
        <w:rPr>
          <w:rFonts w:asciiTheme="majorHAnsi" w:hAnsiTheme="majorHAnsi"/>
          <w:color w:val="1F497D" w:themeColor="text2"/>
          <w:sz w:val="22"/>
          <w:szCs w:val="22"/>
        </w:rPr>
        <w:t xml:space="preserve">, </w:t>
      </w:r>
      <w:r w:rsidR="00317C42">
        <w:rPr>
          <w:rFonts w:asciiTheme="majorHAnsi" w:hAnsiTheme="majorHAnsi"/>
          <w:sz w:val="22"/>
          <w:szCs w:val="22"/>
        </w:rPr>
        <w:t>la SUPEN</w:t>
      </w:r>
      <w:r w:rsidRPr="0066771F">
        <w:rPr>
          <w:rFonts w:asciiTheme="majorHAnsi" w:hAnsiTheme="majorHAnsi"/>
          <w:sz w:val="22"/>
          <w:szCs w:val="22"/>
        </w:rPr>
        <w:t xml:space="preserve"> decidió cuáles serían los planes de acción que ejecutaría en los distintos años, según las prioridades definidas. Es importante indicar que estos planes de acción tienen impacto en los distintos productos que ofrece la Superintendencia.</w:t>
      </w:r>
    </w:p>
    <w:p w14:paraId="73CD03FA" w14:textId="77777777" w:rsidR="0066771F" w:rsidRPr="002829A2" w:rsidRDefault="0066771F" w:rsidP="0066771F">
      <w:pPr>
        <w:pStyle w:val="Textoindependiente"/>
        <w:rPr>
          <w:rFonts w:asciiTheme="majorHAnsi" w:hAnsiTheme="majorHAnsi"/>
          <w:sz w:val="22"/>
          <w:szCs w:val="22"/>
        </w:rPr>
      </w:pPr>
    </w:p>
    <w:p w14:paraId="102AE731" w14:textId="77777777" w:rsidR="0066771F" w:rsidRPr="002829A2" w:rsidRDefault="0066771F" w:rsidP="0066771F">
      <w:pPr>
        <w:ind w:left="1080"/>
        <w:jc w:val="center"/>
        <w:rPr>
          <w:rFonts w:asciiTheme="majorHAnsi" w:hAnsiTheme="majorHAnsi"/>
          <w:b/>
          <w:sz w:val="20"/>
          <w:szCs w:val="20"/>
        </w:rPr>
      </w:pPr>
    </w:p>
    <w:p w14:paraId="58F40AA8" w14:textId="247DF21D" w:rsidR="0066771F" w:rsidRDefault="00513AD6" w:rsidP="0066771F">
      <w:pPr>
        <w:jc w:val="center"/>
        <w:rPr>
          <w:rFonts w:asciiTheme="majorHAnsi" w:hAnsiTheme="majorHAnsi"/>
          <w:b/>
          <w:sz w:val="20"/>
          <w:szCs w:val="20"/>
        </w:rPr>
      </w:pPr>
      <w:r>
        <w:rPr>
          <w:rFonts w:asciiTheme="majorHAnsi" w:hAnsiTheme="majorHAnsi"/>
          <w:b/>
          <w:sz w:val="20"/>
          <w:szCs w:val="20"/>
        </w:rPr>
        <w:t>RESUMEN DEL</w:t>
      </w:r>
      <w:r w:rsidRPr="002829A2">
        <w:rPr>
          <w:rFonts w:asciiTheme="majorHAnsi" w:hAnsiTheme="majorHAnsi"/>
          <w:b/>
          <w:sz w:val="20"/>
          <w:szCs w:val="20"/>
        </w:rPr>
        <w:t xml:space="preserve"> </w:t>
      </w:r>
      <w:r w:rsidR="0066771F" w:rsidRPr="002829A2">
        <w:rPr>
          <w:rFonts w:asciiTheme="majorHAnsi" w:hAnsiTheme="majorHAnsi"/>
          <w:b/>
          <w:sz w:val="20"/>
          <w:szCs w:val="20"/>
        </w:rPr>
        <w:t>POR</w:t>
      </w:r>
      <w:r w:rsidR="00847AA7">
        <w:rPr>
          <w:rFonts w:asciiTheme="majorHAnsi" w:hAnsiTheme="majorHAnsi"/>
          <w:b/>
          <w:sz w:val="20"/>
          <w:szCs w:val="20"/>
        </w:rPr>
        <w:t>TAFOLIO PROYECTOS ESTRATÉGICOS</w:t>
      </w:r>
    </w:p>
    <w:p w14:paraId="474EAA3A" w14:textId="77777777" w:rsidR="00094C35" w:rsidRPr="002829A2" w:rsidRDefault="00094C35" w:rsidP="0066771F">
      <w:pPr>
        <w:jc w:val="center"/>
        <w:rPr>
          <w:rFonts w:asciiTheme="majorHAnsi" w:hAnsiTheme="majorHAnsi"/>
          <w:b/>
          <w:sz w:val="20"/>
          <w:szCs w:val="20"/>
        </w:rPr>
      </w:pPr>
    </w:p>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5958"/>
      </w:tblGrid>
      <w:tr w:rsidR="0066771F" w:rsidRPr="003E3B79" w14:paraId="06DBC409" w14:textId="77777777" w:rsidTr="00131F24">
        <w:trPr>
          <w:trHeight w:val="391"/>
          <w:tblHeader/>
          <w:jc w:val="center"/>
        </w:trPr>
        <w:tc>
          <w:tcPr>
            <w:tcW w:w="2836" w:type="dxa"/>
            <w:shd w:val="clear" w:color="auto" w:fill="C6D9F1" w:themeFill="text2" w:themeFillTint="33"/>
            <w:vAlign w:val="center"/>
          </w:tcPr>
          <w:p w14:paraId="16FCD7E2" w14:textId="77777777" w:rsidR="0066771F" w:rsidRPr="003E3B79" w:rsidRDefault="0066771F" w:rsidP="00357777">
            <w:pPr>
              <w:jc w:val="center"/>
              <w:rPr>
                <w:rFonts w:asciiTheme="majorHAnsi" w:hAnsiTheme="majorHAnsi"/>
                <w:b/>
                <w:szCs w:val="22"/>
              </w:rPr>
            </w:pPr>
            <w:r w:rsidRPr="003E3B79">
              <w:rPr>
                <w:rFonts w:asciiTheme="majorHAnsi" w:hAnsiTheme="majorHAnsi"/>
                <w:b/>
                <w:szCs w:val="22"/>
              </w:rPr>
              <w:t>Objetivos</w:t>
            </w:r>
          </w:p>
        </w:tc>
        <w:tc>
          <w:tcPr>
            <w:tcW w:w="5958" w:type="dxa"/>
            <w:shd w:val="clear" w:color="auto" w:fill="C6D9F1" w:themeFill="text2" w:themeFillTint="33"/>
            <w:vAlign w:val="center"/>
          </w:tcPr>
          <w:p w14:paraId="7CF2BA23" w14:textId="77777777" w:rsidR="0066771F" w:rsidRPr="003E3B79" w:rsidRDefault="0066771F" w:rsidP="00357777">
            <w:pPr>
              <w:ind w:left="370"/>
              <w:jc w:val="center"/>
              <w:rPr>
                <w:rFonts w:asciiTheme="majorHAnsi" w:hAnsiTheme="majorHAnsi"/>
                <w:b/>
                <w:szCs w:val="22"/>
              </w:rPr>
            </w:pPr>
            <w:r w:rsidRPr="003E3B79">
              <w:rPr>
                <w:rFonts w:asciiTheme="majorHAnsi" w:hAnsiTheme="majorHAnsi"/>
                <w:b/>
                <w:szCs w:val="22"/>
              </w:rPr>
              <w:t>Proyectos</w:t>
            </w:r>
          </w:p>
        </w:tc>
      </w:tr>
      <w:tr w:rsidR="0066771F" w:rsidRPr="002829A2" w14:paraId="54F4084A" w14:textId="77777777" w:rsidTr="006A6B77">
        <w:trPr>
          <w:jc w:val="center"/>
        </w:trPr>
        <w:tc>
          <w:tcPr>
            <w:tcW w:w="2836" w:type="dxa"/>
            <w:shd w:val="clear" w:color="auto" w:fill="auto"/>
            <w:vAlign w:val="center"/>
          </w:tcPr>
          <w:p w14:paraId="37FC2F5D" w14:textId="09474173" w:rsidR="0066771F" w:rsidRPr="003E3B79" w:rsidRDefault="00847AA7" w:rsidP="00C8760A">
            <w:pPr>
              <w:rPr>
                <w:rFonts w:asciiTheme="majorHAnsi" w:hAnsiTheme="majorHAnsi"/>
                <w:b/>
                <w:sz w:val="22"/>
                <w:szCs w:val="22"/>
              </w:rPr>
            </w:pPr>
            <w:r w:rsidRPr="003E3B79">
              <w:rPr>
                <w:rFonts w:asciiTheme="majorHAnsi" w:hAnsiTheme="majorHAnsi"/>
                <w:b/>
                <w:sz w:val="22"/>
                <w:szCs w:val="22"/>
              </w:rPr>
              <w:t>Vigilar a los participantes en el Sistema Nacional Pensiones</w:t>
            </w:r>
          </w:p>
        </w:tc>
        <w:tc>
          <w:tcPr>
            <w:tcW w:w="5958" w:type="dxa"/>
            <w:shd w:val="clear" w:color="auto" w:fill="auto"/>
            <w:vAlign w:val="center"/>
          </w:tcPr>
          <w:p w14:paraId="4C2F0470" w14:textId="77777777" w:rsidR="00CF1722" w:rsidRPr="003E3B79" w:rsidRDefault="00CF1722" w:rsidP="0003441B">
            <w:pPr>
              <w:ind w:left="1162" w:hanging="1162"/>
              <w:rPr>
                <w:rFonts w:asciiTheme="majorHAnsi" w:hAnsiTheme="majorHAnsi"/>
                <w:sz w:val="22"/>
                <w:szCs w:val="22"/>
              </w:rPr>
            </w:pPr>
            <w:r w:rsidRPr="003E3B79">
              <w:rPr>
                <w:rFonts w:asciiTheme="majorHAnsi" w:hAnsiTheme="majorHAnsi"/>
                <w:sz w:val="22"/>
                <w:szCs w:val="22"/>
              </w:rPr>
              <w:t>Proyecto 1: Aplicación de la supervisión basada en riesgos (SBR)</w:t>
            </w:r>
          </w:p>
          <w:p w14:paraId="11697E0A" w14:textId="77777777" w:rsidR="00CF1722" w:rsidRPr="003E3B79" w:rsidRDefault="00CF1722" w:rsidP="0003441B">
            <w:pPr>
              <w:ind w:left="1162" w:hanging="1162"/>
              <w:rPr>
                <w:rFonts w:asciiTheme="majorHAnsi" w:hAnsiTheme="majorHAnsi"/>
                <w:sz w:val="22"/>
                <w:szCs w:val="22"/>
              </w:rPr>
            </w:pPr>
            <w:r w:rsidRPr="003E3B79">
              <w:rPr>
                <w:rFonts w:asciiTheme="majorHAnsi" w:hAnsiTheme="majorHAnsi"/>
                <w:sz w:val="22"/>
                <w:szCs w:val="22"/>
              </w:rPr>
              <w:t>Proyecto 2: Reglamento de inversiones</w:t>
            </w:r>
          </w:p>
          <w:p w14:paraId="1C26A784" w14:textId="77777777" w:rsidR="00CF1722" w:rsidRPr="003E3B79" w:rsidRDefault="00CF1722" w:rsidP="0003441B">
            <w:pPr>
              <w:ind w:left="1162" w:hanging="1162"/>
              <w:rPr>
                <w:rFonts w:asciiTheme="majorHAnsi" w:hAnsiTheme="majorHAnsi"/>
                <w:sz w:val="22"/>
                <w:szCs w:val="22"/>
              </w:rPr>
            </w:pPr>
            <w:r w:rsidRPr="003E3B79">
              <w:rPr>
                <w:rFonts w:asciiTheme="majorHAnsi" w:hAnsiTheme="majorHAnsi"/>
                <w:sz w:val="22"/>
                <w:szCs w:val="22"/>
              </w:rPr>
              <w:t xml:space="preserve">Proyecto 3: Reducción de costos innecesarios de la industria </w:t>
            </w:r>
          </w:p>
          <w:p w14:paraId="0839F452" w14:textId="77777777" w:rsidR="00CF1722" w:rsidRPr="003E3B79" w:rsidRDefault="00CF1722" w:rsidP="0003441B">
            <w:pPr>
              <w:ind w:left="1162" w:hanging="1162"/>
              <w:jc w:val="both"/>
              <w:rPr>
                <w:rFonts w:asciiTheme="majorHAnsi" w:hAnsiTheme="majorHAnsi"/>
                <w:sz w:val="22"/>
                <w:szCs w:val="22"/>
              </w:rPr>
            </w:pPr>
            <w:r w:rsidRPr="003E3B79">
              <w:rPr>
                <w:rFonts w:asciiTheme="majorHAnsi" w:hAnsiTheme="majorHAnsi"/>
                <w:sz w:val="22"/>
                <w:szCs w:val="22"/>
              </w:rPr>
              <w:t>Proyecto 4: Revisión de la normativa emitida</w:t>
            </w:r>
          </w:p>
          <w:p w14:paraId="75462963" w14:textId="77777777" w:rsidR="00CF1722" w:rsidRPr="003E3B79" w:rsidRDefault="00CF1722" w:rsidP="0003441B">
            <w:pPr>
              <w:ind w:left="1162" w:hanging="1162"/>
              <w:jc w:val="both"/>
              <w:rPr>
                <w:rFonts w:asciiTheme="majorHAnsi" w:hAnsiTheme="majorHAnsi"/>
                <w:sz w:val="22"/>
                <w:szCs w:val="22"/>
              </w:rPr>
            </w:pPr>
            <w:r w:rsidRPr="003E3B79">
              <w:rPr>
                <w:rFonts w:asciiTheme="majorHAnsi" w:hAnsiTheme="majorHAnsi"/>
                <w:sz w:val="22"/>
                <w:szCs w:val="22"/>
              </w:rPr>
              <w:t>Proyecto 5: Marco sancionatorio</w:t>
            </w:r>
          </w:p>
          <w:p w14:paraId="20616F35" w14:textId="4F99A66A" w:rsidR="0066771F" w:rsidRPr="003E3B79" w:rsidRDefault="0003441B" w:rsidP="00C8760A">
            <w:pPr>
              <w:ind w:left="1162" w:hanging="1162"/>
              <w:jc w:val="both"/>
              <w:rPr>
                <w:rFonts w:asciiTheme="majorHAnsi" w:hAnsiTheme="majorHAnsi"/>
                <w:sz w:val="22"/>
                <w:szCs w:val="22"/>
              </w:rPr>
            </w:pPr>
            <w:r w:rsidRPr="003E3B79">
              <w:rPr>
                <w:rFonts w:asciiTheme="majorHAnsi" w:hAnsiTheme="majorHAnsi"/>
                <w:sz w:val="22"/>
                <w:szCs w:val="22"/>
              </w:rPr>
              <w:t>Proyecto 6: Potestades de supervisión</w:t>
            </w:r>
          </w:p>
        </w:tc>
      </w:tr>
      <w:tr w:rsidR="00CF1722" w:rsidRPr="002829A2" w14:paraId="09876374" w14:textId="77777777" w:rsidTr="008D71BC">
        <w:trPr>
          <w:trHeight w:val="737"/>
          <w:jc w:val="center"/>
        </w:trPr>
        <w:tc>
          <w:tcPr>
            <w:tcW w:w="2836" w:type="dxa"/>
            <w:shd w:val="clear" w:color="auto" w:fill="auto"/>
            <w:vAlign w:val="center"/>
          </w:tcPr>
          <w:p w14:paraId="30EED607" w14:textId="7148D52F" w:rsidR="00CF1722" w:rsidRPr="003E3B79" w:rsidRDefault="00CF1722" w:rsidP="00C8760A">
            <w:pPr>
              <w:rPr>
                <w:rFonts w:asciiTheme="majorHAnsi" w:hAnsiTheme="majorHAnsi"/>
                <w:b/>
                <w:sz w:val="22"/>
                <w:szCs w:val="22"/>
              </w:rPr>
            </w:pPr>
            <w:r w:rsidRPr="003E3B79">
              <w:rPr>
                <w:rFonts w:asciiTheme="majorHAnsi" w:hAnsiTheme="majorHAnsi"/>
                <w:b/>
                <w:sz w:val="22"/>
                <w:szCs w:val="22"/>
              </w:rPr>
              <w:t>Fortalecer el sistema de pensiones y ahorro laboral</w:t>
            </w:r>
          </w:p>
        </w:tc>
        <w:tc>
          <w:tcPr>
            <w:tcW w:w="5958" w:type="dxa"/>
            <w:shd w:val="clear" w:color="auto" w:fill="auto"/>
            <w:vAlign w:val="center"/>
          </w:tcPr>
          <w:p w14:paraId="096AFED6" w14:textId="10E9EAF5" w:rsidR="00C8760A" w:rsidRPr="003E3B79" w:rsidRDefault="00C8760A" w:rsidP="00C8760A">
            <w:pPr>
              <w:ind w:left="1162" w:hanging="1162"/>
              <w:rPr>
                <w:rFonts w:asciiTheme="majorHAnsi" w:hAnsiTheme="majorHAnsi"/>
                <w:sz w:val="22"/>
                <w:szCs w:val="22"/>
              </w:rPr>
            </w:pPr>
            <w:r w:rsidRPr="003E3B79">
              <w:rPr>
                <w:rFonts w:asciiTheme="majorHAnsi" w:hAnsiTheme="majorHAnsi"/>
                <w:sz w:val="22"/>
                <w:szCs w:val="22"/>
              </w:rPr>
              <w:t>Proyecto 7: Coordinación de un dialogo nacional de temas previsionales</w:t>
            </w:r>
          </w:p>
          <w:p w14:paraId="0FA5AC6B" w14:textId="1303EB72" w:rsidR="00C8760A" w:rsidRPr="003E3B79" w:rsidRDefault="00C8760A" w:rsidP="00C8760A">
            <w:pPr>
              <w:ind w:left="1162" w:hanging="1162"/>
              <w:rPr>
                <w:rFonts w:asciiTheme="majorHAnsi" w:hAnsiTheme="majorHAnsi"/>
                <w:sz w:val="22"/>
                <w:szCs w:val="22"/>
              </w:rPr>
            </w:pPr>
            <w:r w:rsidRPr="003E3B79">
              <w:rPr>
                <w:rFonts w:asciiTheme="majorHAnsi" w:hAnsiTheme="majorHAnsi"/>
                <w:sz w:val="22"/>
                <w:szCs w:val="22"/>
              </w:rPr>
              <w:t>Proyecto 8: Aumentar el ahorro previsional</w:t>
            </w:r>
          </w:p>
          <w:p w14:paraId="39E7B7EA" w14:textId="7F324449" w:rsidR="00CF1722" w:rsidRPr="003E3B79" w:rsidRDefault="00C8760A" w:rsidP="00C8760A">
            <w:pPr>
              <w:ind w:left="1162" w:hanging="1162"/>
              <w:rPr>
                <w:rFonts w:asciiTheme="majorHAnsi" w:hAnsiTheme="majorHAnsi"/>
                <w:b/>
                <w:sz w:val="22"/>
                <w:szCs w:val="22"/>
              </w:rPr>
            </w:pPr>
            <w:r w:rsidRPr="003E3B79">
              <w:rPr>
                <w:rFonts w:asciiTheme="majorHAnsi" w:hAnsiTheme="majorHAnsi"/>
                <w:sz w:val="22"/>
                <w:szCs w:val="22"/>
              </w:rPr>
              <w:t>Proyecto 9: Auxilio para el desempleo</w:t>
            </w:r>
          </w:p>
        </w:tc>
      </w:tr>
      <w:tr w:rsidR="0066771F" w:rsidRPr="002829A2" w14:paraId="46D186AB" w14:textId="77777777" w:rsidTr="006A6B77">
        <w:trPr>
          <w:jc w:val="center"/>
        </w:trPr>
        <w:tc>
          <w:tcPr>
            <w:tcW w:w="2836" w:type="dxa"/>
            <w:shd w:val="clear" w:color="auto" w:fill="auto"/>
            <w:vAlign w:val="center"/>
          </w:tcPr>
          <w:p w14:paraId="64363DE5" w14:textId="1227507B" w:rsidR="0066771F" w:rsidRPr="003E3B79" w:rsidRDefault="00847AA7" w:rsidP="00C8760A">
            <w:pPr>
              <w:rPr>
                <w:rFonts w:asciiTheme="majorHAnsi" w:hAnsiTheme="majorHAnsi"/>
                <w:b/>
                <w:sz w:val="22"/>
                <w:szCs w:val="22"/>
              </w:rPr>
            </w:pPr>
            <w:r w:rsidRPr="003E3B79">
              <w:rPr>
                <w:rFonts w:asciiTheme="majorHAnsi" w:hAnsiTheme="majorHAnsi"/>
                <w:b/>
                <w:sz w:val="22"/>
                <w:szCs w:val="22"/>
              </w:rPr>
              <w:t>Empoderar al afiliado</w:t>
            </w:r>
          </w:p>
        </w:tc>
        <w:tc>
          <w:tcPr>
            <w:tcW w:w="5958" w:type="dxa"/>
            <w:shd w:val="clear" w:color="auto" w:fill="auto"/>
            <w:vAlign w:val="center"/>
          </w:tcPr>
          <w:p w14:paraId="5C82FAF3" w14:textId="4672A0AD" w:rsidR="00C8760A" w:rsidRPr="003E3B79" w:rsidRDefault="00C8760A" w:rsidP="00C8760A">
            <w:pPr>
              <w:rPr>
                <w:rFonts w:asciiTheme="majorHAnsi" w:hAnsiTheme="majorHAnsi"/>
                <w:sz w:val="22"/>
                <w:szCs w:val="22"/>
              </w:rPr>
            </w:pPr>
            <w:r w:rsidRPr="003E3B79">
              <w:rPr>
                <w:rFonts w:asciiTheme="majorHAnsi" w:hAnsiTheme="majorHAnsi"/>
                <w:sz w:val="22"/>
                <w:szCs w:val="22"/>
              </w:rPr>
              <w:t>Proyecto 10: Reglamento de disciplina de mercado</w:t>
            </w:r>
          </w:p>
          <w:p w14:paraId="35C25E51" w14:textId="09A400E8" w:rsidR="00C8760A" w:rsidRPr="003E3B79" w:rsidRDefault="00C8760A" w:rsidP="00C8760A">
            <w:pPr>
              <w:rPr>
                <w:rFonts w:asciiTheme="majorHAnsi" w:hAnsiTheme="majorHAnsi"/>
                <w:sz w:val="22"/>
                <w:szCs w:val="22"/>
              </w:rPr>
            </w:pPr>
            <w:r w:rsidRPr="003E3B79">
              <w:rPr>
                <w:rFonts w:asciiTheme="majorHAnsi" w:hAnsiTheme="majorHAnsi"/>
                <w:sz w:val="22"/>
                <w:szCs w:val="22"/>
              </w:rPr>
              <w:t>Proyecto 11: Reglamento de productos autorizados</w:t>
            </w:r>
          </w:p>
          <w:p w14:paraId="45E7F5D9" w14:textId="76430AD8" w:rsidR="00C8760A" w:rsidRPr="003E3B79" w:rsidRDefault="00C8760A" w:rsidP="00C8760A">
            <w:pPr>
              <w:jc w:val="both"/>
              <w:rPr>
                <w:rFonts w:asciiTheme="majorHAnsi" w:hAnsiTheme="majorHAnsi"/>
                <w:sz w:val="22"/>
                <w:szCs w:val="22"/>
              </w:rPr>
            </w:pPr>
            <w:r w:rsidRPr="003E3B79">
              <w:rPr>
                <w:rFonts w:asciiTheme="majorHAnsi" w:hAnsiTheme="majorHAnsi"/>
                <w:sz w:val="22"/>
                <w:szCs w:val="22"/>
              </w:rPr>
              <w:t>Proyecto 12: Expediente previsional</w:t>
            </w:r>
          </w:p>
          <w:p w14:paraId="38855758" w14:textId="508708C2" w:rsidR="00C8760A" w:rsidRPr="003E3B79" w:rsidRDefault="00C8760A" w:rsidP="00C8760A">
            <w:pPr>
              <w:rPr>
                <w:rFonts w:asciiTheme="majorHAnsi" w:hAnsiTheme="majorHAnsi"/>
                <w:sz w:val="22"/>
                <w:szCs w:val="22"/>
              </w:rPr>
            </w:pPr>
            <w:r w:rsidRPr="003E3B79">
              <w:rPr>
                <w:rFonts w:asciiTheme="majorHAnsi" w:hAnsiTheme="majorHAnsi"/>
                <w:sz w:val="22"/>
                <w:szCs w:val="22"/>
              </w:rPr>
              <w:t>Proyecto 13: Afiliación automática</w:t>
            </w:r>
          </w:p>
          <w:p w14:paraId="0C662CCE" w14:textId="4D5769B5" w:rsidR="0066771F" w:rsidRPr="003E3B79" w:rsidRDefault="00C8760A" w:rsidP="00CF1722">
            <w:pPr>
              <w:rPr>
                <w:rFonts w:asciiTheme="majorHAnsi" w:hAnsiTheme="majorHAnsi"/>
                <w:sz w:val="22"/>
                <w:szCs w:val="22"/>
              </w:rPr>
            </w:pPr>
            <w:r w:rsidRPr="003E3B79">
              <w:rPr>
                <w:rFonts w:asciiTheme="majorHAnsi" w:hAnsiTheme="majorHAnsi"/>
                <w:sz w:val="22"/>
                <w:szCs w:val="22"/>
              </w:rPr>
              <w:t>Proyecto 14: Simplificación de Trámites</w:t>
            </w:r>
          </w:p>
        </w:tc>
      </w:tr>
    </w:tbl>
    <w:p w14:paraId="77FEB459" w14:textId="77777777" w:rsidR="00CC78A7" w:rsidRPr="002829A2" w:rsidRDefault="00CC78A7" w:rsidP="002E74D0">
      <w:pPr>
        <w:autoSpaceDE w:val="0"/>
        <w:autoSpaceDN w:val="0"/>
        <w:adjustRightInd w:val="0"/>
        <w:rPr>
          <w:rFonts w:asciiTheme="majorHAnsi" w:hAnsiTheme="majorHAnsi" w:cs="Arial"/>
          <w:sz w:val="22"/>
          <w:szCs w:val="22"/>
        </w:rPr>
      </w:pPr>
    </w:p>
    <w:p w14:paraId="06A94A15" w14:textId="77777777" w:rsidR="005C6E61" w:rsidRPr="00060053" w:rsidRDefault="005C6E61" w:rsidP="002E74D0">
      <w:pPr>
        <w:ind w:left="360"/>
        <w:rPr>
          <w:rFonts w:asciiTheme="majorHAnsi" w:hAnsiTheme="majorHAnsi"/>
          <w:b/>
          <w:sz w:val="22"/>
          <w:szCs w:val="22"/>
        </w:rPr>
      </w:pPr>
    </w:p>
    <w:p w14:paraId="06A94A16" w14:textId="59B7168E" w:rsidR="008E29AF" w:rsidRPr="001F0565" w:rsidRDefault="007D66B7" w:rsidP="007D66B7">
      <w:pPr>
        <w:pStyle w:val="Ttulo2"/>
        <w:tabs>
          <w:tab w:val="clear" w:pos="360"/>
        </w:tabs>
        <w:rPr>
          <w:rFonts w:asciiTheme="majorHAnsi" w:hAnsiTheme="majorHAnsi"/>
          <w:sz w:val="22"/>
          <w:szCs w:val="22"/>
        </w:rPr>
      </w:pPr>
      <w:bookmarkStart w:id="35" w:name="_Toc442253208"/>
      <w:r>
        <w:rPr>
          <w:rFonts w:asciiTheme="majorHAnsi" w:hAnsiTheme="majorHAnsi"/>
          <w:bCs/>
          <w:sz w:val="22"/>
          <w:szCs w:val="22"/>
        </w:rPr>
        <w:t xml:space="preserve">1.3 </w:t>
      </w:r>
      <w:r>
        <w:rPr>
          <w:rFonts w:asciiTheme="majorHAnsi" w:hAnsiTheme="majorHAnsi"/>
          <w:bCs/>
          <w:sz w:val="22"/>
          <w:szCs w:val="22"/>
        </w:rPr>
        <w:tab/>
      </w:r>
      <w:r w:rsidR="001B68DD" w:rsidRPr="001B68DD">
        <w:rPr>
          <w:rFonts w:asciiTheme="majorHAnsi" w:hAnsiTheme="majorHAnsi"/>
          <w:bCs/>
          <w:sz w:val="22"/>
          <w:szCs w:val="22"/>
        </w:rPr>
        <w:t xml:space="preserve">Matriz </w:t>
      </w:r>
      <w:r w:rsidR="007D531F">
        <w:rPr>
          <w:rFonts w:asciiTheme="majorHAnsi" w:hAnsiTheme="majorHAnsi"/>
          <w:bCs/>
          <w:sz w:val="22"/>
          <w:szCs w:val="22"/>
        </w:rPr>
        <w:t>de Articulación de Plan Presupuesto</w:t>
      </w:r>
      <w:r w:rsidR="001B68DD" w:rsidRPr="001B68DD">
        <w:rPr>
          <w:rFonts w:asciiTheme="majorHAnsi" w:hAnsiTheme="majorHAnsi"/>
          <w:bCs/>
          <w:sz w:val="22"/>
          <w:szCs w:val="22"/>
        </w:rPr>
        <w:t xml:space="preserve"> (MAP</w:t>
      </w:r>
      <w:r w:rsidR="007D531F">
        <w:rPr>
          <w:rFonts w:asciiTheme="majorHAnsi" w:hAnsiTheme="majorHAnsi"/>
          <w:bCs/>
          <w:sz w:val="22"/>
          <w:szCs w:val="22"/>
        </w:rPr>
        <w:t>P</w:t>
      </w:r>
      <w:r w:rsidR="001B68DD" w:rsidRPr="001B68DD">
        <w:rPr>
          <w:rFonts w:asciiTheme="majorHAnsi" w:hAnsiTheme="majorHAnsi"/>
          <w:bCs/>
          <w:sz w:val="22"/>
          <w:szCs w:val="22"/>
        </w:rPr>
        <w:t>)</w:t>
      </w:r>
      <w:r w:rsidR="009D034C" w:rsidRPr="001F0565">
        <w:rPr>
          <w:rFonts w:asciiTheme="majorHAnsi" w:hAnsiTheme="majorHAnsi"/>
          <w:sz w:val="22"/>
          <w:szCs w:val="22"/>
        </w:rPr>
        <w:t>.</w:t>
      </w:r>
      <w:bookmarkEnd w:id="35"/>
    </w:p>
    <w:p w14:paraId="06A94A17" w14:textId="77777777" w:rsidR="009D034C" w:rsidRPr="00060053" w:rsidRDefault="009D034C" w:rsidP="002E74D0">
      <w:pPr>
        <w:rPr>
          <w:rFonts w:asciiTheme="majorHAnsi" w:hAnsiTheme="majorHAnsi"/>
          <w:b/>
          <w:sz w:val="22"/>
          <w:szCs w:val="22"/>
        </w:rPr>
      </w:pPr>
    </w:p>
    <w:p w14:paraId="53D5D9DA" w14:textId="77777777" w:rsidR="00864AE7" w:rsidRDefault="00F53525" w:rsidP="002E74D0">
      <w:pPr>
        <w:spacing w:before="120"/>
        <w:ind w:left="709"/>
        <w:jc w:val="both"/>
        <w:rPr>
          <w:rFonts w:asciiTheme="majorHAnsi" w:hAnsiTheme="majorHAnsi"/>
          <w:sz w:val="22"/>
          <w:szCs w:val="22"/>
          <w:lang w:val="es-CR"/>
        </w:rPr>
      </w:pPr>
      <w:r w:rsidRPr="00060053">
        <w:rPr>
          <w:rFonts w:asciiTheme="majorHAnsi" w:hAnsiTheme="majorHAnsi"/>
          <w:sz w:val="22"/>
          <w:szCs w:val="22"/>
          <w:lang w:val="es-CR"/>
        </w:rPr>
        <w:t>Presenta la vinculación del Plan Nacional de Desarrollo con el Plan Operativo</w:t>
      </w:r>
      <w:r w:rsidR="00CF27EE" w:rsidRPr="00060053">
        <w:rPr>
          <w:rFonts w:asciiTheme="majorHAnsi" w:hAnsiTheme="majorHAnsi"/>
          <w:sz w:val="22"/>
          <w:szCs w:val="22"/>
          <w:lang w:val="es-CR"/>
        </w:rPr>
        <w:t xml:space="preserve"> Ins</w:t>
      </w:r>
      <w:r w:rsidR="000823A2" w:rsidRPr="00060053">
        <w:rPr>
          <w:rFonts w:asciiTheme="majorHAnsi" w:hAnsiTheme="majorHAnsi"/>
          <w:sz w:val="22"/>
          <w:szCs w:val="22"/>
          <w:lang w:val="es-CR"/>
        </w:rPr>
        <w:t>t</w:t>
      </w:r>
      <w:r w:rsidR="00CF27EE" w:rsidRPr="00060053">
        <w:rPr>
          <w:rFonts w:asciiTheme="majorHAnsi" w:hAnsiTheme="majorHAnsi"/>
          <w:sz w:val="22"/>
          <w:szCs w:val="22"/>
          <w:lang w:val="es-CR"/>
        </w:rPr>
        <w:t>itucional</w:t>
      </w:r>
      <w:r w:rsidRPr="0011050B">
        <w:rPr>
          <w:rFonts w:asciiTheme="majorHAnsi" w:hAnsiTheme="majorHAnsi"/>
          <w:sz w:val="22"/>
          <w:szCs w:val="22"/>
          <w:lang w:val="es-CR"/>
        </w:rPr>
        <w:t xml:space="preserve">. </w:t>
      </w:r>
    </w:p>
    <w:p w14:paraId="485707C2" w14:textId="50603CEB" w:rsidR="00864AE7" w:rsidRDefault="00864AE7" w:rsidP="002E74D0">
      <w:pPr>
        <w:spacing w:before="120"/>
        <w:ind w:left="709"/>
        <w:jc w:val="both"/>
        <w:rPr>
          <w:rFonts w:asciiTheme="majorHAnsi" w:hAnsiTheme="majorHAnsi"/>
          <w:sz w:val="22"/>
          <w:szCs w:val="22"/>
          <w:lang w:val="es-CR"/>
        </w:rPr>
      </w:pPr>
      <w:r>
        <w:rPr>
          <w:rFonts w:asciiTheme="majorHAnsi" w:hAnsiTheme="majorHAnsi"/>
          <w:sz w:val="22"/>
          <w:szCs w:val="22"/>
          <w:lang w:val="es-CR"/>
        </w:rPr>
        <w:t>En este caso en particular la MAP</w:t>
      </w:r>
      <w:r w:rsidR="007D531F">
        <w:rPr>
          <w:rFonts w:asciiTheme="majorHAnsi" w:hAnsiTheme="majorHAnsi"/>
          <w:sz w:val="22"/>
          <w:szCs w:val="22"/>
          <w:lang w:val="es-CR"/>
        </w:rPr>
        <w:t>P</w:t>
      </w:r>
      <w:r>
        <w:rPr>
          <w:rFonts w:asciiTheme="majorHAnsi" w:hAnsiTheme="majorHAnsi"/>
          <w:sz w:val="22"/>
          <w:szCs w:val="22"/>
          <w:lang w:val="es-CR"/>
        </w:rPr>
        <w:t xml:space="preserve"> aún no ha sido aprobada por el Ministerio</w:t>
      </w:r>
      <w:r w:rsidR="00895DAF">
        <w:rPr>
          <w:rFonts w:asciiTheme="majorHAnsi" w:hAnsiTheme="majorHAnsi"/>
          <w:sz w:val="22"/>
          <w:szCs w:val="22"/>
          <w:lang w:val="es-CR"/>
        </w:rPr>
        <w:t>.</w:t>
      </w:r>
      <w:r>
        <w:rPr>
          <w:rFonts w:asciiTheme="majorHAnsi" w:hAnsiTheme="majorHAnsi"/>
          <w:sz w:val="22"/>
          <w:szCs w:val="22"/>
          <w:lang w:val="es-CR"/>
        </w:rPr>
        <w:t xml:space="preserve"> </w:t>
      </w:r>
    </w:p>
    <w:p w14:paraId="06A94A1A" w14:textId="79E3E3B8" w:rsidR="00F53525" w:rsidRPr="00060053" w:rsidRDefault="00F53525" w:rsidP="00B429BB">
      <w:pPr>
        <w:spacing w:before="120"/>
        <w:ind w:left="709"/>
        <w:jc w:val="both"/>
        <w:rPr>
          <w:rFonts w:asciiTheme="majorHAnsi" w:hAnsiTheme="majorHAnsi"/>
          <w:b/>
          <w:sz w:val="22"/>
          <w:szCs w:val="22"/>
        </w:rPr>
      </w:pPr>
      <w:r w:rsidRPr="0011050B">
        <w:rPr>
          <w:rFonts w:asciiTheme="majorHAnsi" w:hAnsiTheme="majorHAnsi"/>
          <w:sz w:val="22"/>
          <w:szCs w:val="22"/>
          <w:lang w:val="es-CR"/>
        </w:rPr>
        <w:t xml:space="preserve">(Anexo </w:t>
      </w:r>
      <w:r w:rsidR="00C7643D" w:rsidRPr="0011050B">
        <w:rPr>
          <w:rFonts w:asciiTheme="majorHAnsi" w:hAnsiTheme="majorHAnsi"/>
          <w:sz w:val="22"/>
          <w:szCs w:val="22"/>
          <w:lang w:val="es-CR"/>
        </w:rPr>
        <w:t>8</w:t>
      </w:r>
      <w:r w:rsidRPr="0011050B">
        <w:rPr>
          <w:rFonts w:asciiTheme="majorHAnsi" w:hAnsiTheme="majorHAnsi"/>
          <w:sz w:val="22"/>
          <w:szCs w:val="22"/>
          <w:lang w:val="es-CR"/>
        </w:rPr>
        <w:t>).</w:t>
      </w:r>
      <w:r w:rsidR="00102607" w:rsidRPr="00060053">
        <w:rPr>
          <w:rFonts w:asciiTheme="majorHAnsi" w:hAnsiTheme="majorHAnsi"/>
          <w:b/>
          <w:sz w:val="22"/>
          <w:szCs w:val="22"/>
        </w:rPr>
        <w:br w:type="page"/>
      </w:r>
    </w:p>
    <w:p w14:paraId="06A94A1B" w14:textId="77777777" w:rsidR="007D682D" w:rsidRPr="00317C42" w:rsidRDefault="00F53525" w:rsidP="001F0565">
      <w:pPr>
        <w:pStyle w:val="NormalWeb"/>
        <w:tabs>
          <w:tab w:val="left" w:pos="567"/>
        </w:tabs>
        <w:outlineLvl w:val="0"/>
        <w:rPr>
          <w:rFonts w:asciiTheme="majorHAnsi" w:hAnsiTheme="majorHAnsi" w:cs="Tahoma"/>
          <w:b/>
          <w:bCs/>
          <w:smallCaps/>
          <w:sz w:val="28"/>
        </w:rPr>
      </w:pPr>
      <w:bookmarkStart w:id="36" w:name="_Toc442253209"/>
      <w:r w:rsidRPr="00317C42">
        <w:rPr>
          <w:rFonts w:asciiTheme="majorHAnsi" w:hAnsiTheme="majorHAnsi" w:cs="Tahoma"/>
          <w:b/>
          <w:bCs/>
          <w:smallCaps/>
          <w:sz w:val="28"/>
        </w:rPr>
        <w:lastRenderedPageBreak/>
        <w:t xml:space="preserve">2. </w:t>
      </w:r>
      <w:r w:rsidR="00494AA8" w:rsidRPr="00317C42">
        <w:rPr>
          <w:rFonts w:asciiTheme="majorHAnsi" w:hAnsiTheme="majorHAnsi" w:cs="Tahoma"/>
          <w:b/>
          <w:bCs/>
          <w:smallCaps/>
          <w:sz w:val="28"/>
        </w:rPr>
        <w:tab/>
      </w:r>
      <w:r w:rsidRPr="00317C42">
        <w:rPr>
          <w:rFonts w:asciiTheme="majorHAnsi" w:hAnsiTheme="majorHAnsi" w:cs="Tahoma"/>
          <w:b/>
          <w:bCs/>
          <w:smallCaps/>
          <w:sz w:val="28"/>
        </w:rPr>
        <w:t>Plan Presupuesto</w:t>
      </w:r>
      <w:bookmarkEnd w:id="36"/>
    </w:p>
    <w:p w14:paraId="5C3BEB1C" w14:textId="69726780" w:rsidR="00024540" w:rsidRPr="00881E0A" w:rsidRDefault="008F245F" w:rsidP="00881E0A">
      <w:pPr>
        <w:pStyle w:val="NormalWeb"/>
        <w:tabs>
          <w:tab w:val="left" w:pos="567"/>
        </w:tabs>
        <w:jc w:val="both"/>
        <w:outlineLvl w:val="1"/>
        <w:rPr>
          <w:rFonts w:asciiTheme="majorHAnsi" w:hAnsiTheme="majorHAnsi" w:cs="Tahoma"/>
          <w:b/>
          <w:bCs/>
          <w:sz w:val="22"/>
          <w:szCs w:val="22"/>
          <w:lang w:val="es-ES_tradnl"/>
        </w:rPr>
      </w:pPr>
      <w:bookmarkStart w:id="37" w:name="_Toc442253210"/>
      <w:r w:rsidRPr="00881E0A">
        <w:rPr>
          <w:rFonts w:asciiTheme="majorHAnsi" w:hAnsiTheme="majorHAnsi" w:cs="Tahoma"/>
          <w:b/>
          <w:bCs/>
          <w:sz w:val="22"/>
          <w:szCs w:val="22"/>
          <w:lang w:val="es-ES_tradnl"/>
        </w:rPr>
        <w:t xml:space="preserve">2.1 </w:t>
      </w:r>
      <w:r w:rsidR="00494AA8" w:rsidRPr="00881E0A">
        <w:rPr>
          <w:rFonts w:asciiTheme="majorHAnsi" w:hAnsiTheme="majorHAnsi" w:cs="Tahoma"/>
          <w:b/>
          <w:bCs/>
          <w:sz w:val="22"/>
          <w:szCs w:val="22"/>
          <w:lang w:val="es-ES_tradnl"/>
        </w:rPr>
        <w:tab/>
      </w:r>
      <w:r w:rsidRPr="00881E0A">
        <w:rPr>
          <w:rFonts w:asciiTheme="majorHAnsi" w:hAnsiTheme="majorHAnsi" w:cs="Tahoma"/>
          <w:b/>
          <w:bCs/>
          <w:sz w:val="22"/>
          <w:szCs w:val="22"/>
          <w:lang w:val="es-ES_tradnl"/>
        </w:rPr>
        <w:t>Presentación</w:t>
      </w:r>
      <w:bookmarkEnd w:id="37"/>
    </w:p>
    <w:p w14:paraId="06A94A1D" w14:textId="46A097D6" w:rsidR="008F245F" w:rsidRPr="00060053" w:rsidRDefault="00317C42" w:rsidP="00E77FF2">
      <w:pPr>
        <w:pStyle w:val="NormalWeb"/>
        <w:jc w:val="both"/>
        <w:rPr>
          <w:rFonts w:asciiTheme="majorHAnsi" w:eastAsia="Times New Roman" w:hAnsiTheme="majorHAnsi" w:cs="Times New Roman"/>
          <w:bCs/>
          <w:sz w:val="22"/>
          <w:szCs w:val="22"/>
          <w:lang w:val="es-ES_tradnl"/>
        </w:rPr>
      </w:pPr>
      <w:r>
        <w:rPr>
          <w:rFonts w:asciiTheme="majorHAnsi" w:eastAsia="Times New Roman" w:hAnsiTheme="majorHAnsi" w:cs="Times New Roman"/>
          <w:bCs/>
          <w:sz w:val="22"/>
          <w:szCs w:val="22"/>
          <w:lang w:val="es-ES_tradnl"/>
        </w:rPr>
        <w:t>En esta sección</w:t>
      </w:r>
      <w:r w:rsidR="008F245F" w:rsidRPr="00060053">
        <w:rPr>
          <w:rFonts w:asciiTheme="majorHAnsi" w:eastAsia="Times New Roman" w:hAnsiTheme="majorHAnsi" w:cs="Times New Roman"/>
          <w:bCs/>
          <w:sz w:val="22"/>
          <w:szCs w:val="22"/>
          <w:lang w:val="es-ES_tradnl"/>
        </w:rPr>
        <w:t xml:space="preserve"> se detalla</w:t>
      </w:r>
      <w:r>
        <w:rPr>
          <w:rFonts w:asciiTheme="majorHAnsi" w:eastAsia="Times New Roman" w:hAnsiTheme="majorHAnsi" w:cs="Times New Roman"/>
          <w:bCs/>
          <w:sz w:val="22"/>
          <w:szCs w:val="22"/>
          <w:lang w:val="es-ES_tradnl"/>
        </w:rPr>
        <w:t>n</w:t>
      </w:r>
      <w:r w:rsidR="008F245F" w:rsidRPr="00060053">
        <w:rPr>
          <w:rFonts w:asciiTheme="majorHAnsi" w:eastAsia="Times New Roman" w:hAnsiTheme="majorHAnsi" w:cs="Times New Roman"/>
          <w:bCs/>
          <w:sz w:val="22"/>
          <w:szCs w:val="22"/>
          <w:lang w:val="es-ES_tradnl"/>
        </w:rPr>
        <w:t xml:space="preserve"> los </w:t>
      </w:r>
      <w:r w:rsidR="00796A66" w:rsidRPr="00060053">
        <w:rPr>
          <w:rFonts w:asciiTheme="majorHAnsi" w:eastAsia="Times New Roman" w:hAnsiTheme="majorHAnsi" w:cs="Times New Roman"/>
          <w:bCs/>
          <w:sz w:val="22"/>
          <w:szCs w:val="22"/>
          <w:lang w:val="es-ES_tradnl"/>
        </w:rPr>
        <w:t xml:space="preserve">ingresos y </w:t>
      </w:r>
      <w:r w:rsidR="008F245F" w:rsidRPr="00060053">
        <w:rPr>
          <w:rFonts w:asciiTheme="majorHAnsi" w:eastAsia="Times New Roman" w:hAnsiTheme="majorHAnsi" w:cs="Times New Roman"/>
          <w:bCs/>
          <w:sz w:val="22"/>
          <w:szCs w:val="22"/>
          <w:lang w:val="es-ES_tradnl"/>
        </w:rPr>
        <w:t xml:space="preserve">egresos presupuestados </w:t>
      </w:r>
      <w:r w:rsidR="000D3B83" w:rsidRPr="00060053">
        <w:rPr>
          <w:rFonts w:asciiTheme="majorHAnsi" w:eastAsia="Times New Roman" w:hAnsiTheme="majorHAnsi" w:cs="Times New Roman"/>
          <w:bCs/>
          <w:sz w:val="22"/>
          <w:szCs w:val="22"/>
          <w:lang w:val="es-ES_tradnl"/>
        </w:rPr>
        <w:t xml:space="preserve">para el ejercicio económico </w:t>
      </w:r>
      <w:r>
        <w:rPr>
          <w:rFonts w:asciiTheme="majorHAnsi" w:eastAsia="Times New Roman" w:hAnsiTheme="majorHAnsi" w:cs="Times New Roman"/>
          <w:bCs/>
          <w:sz w:val="22"/>
          <w:szCs w:val="22"/>
          <w:lang w:val="es-ES_tradnl"/>
        </w:rPr>
        <w:t xml:space="preserve">del año </w:t>
      </w:r>
      <w:r w:rsidR="000D3B83" w:rsidRPr="00060053">
        <w:rPr>
          <w:rFonts w:asciiTheme="majorHAnsi" w:eastAsia="Times New Roman" w:hAnsiTheme="majorHAnsi" w:cs="Times New Roman"/>
          <w:bCs/>
          <w:sz w:val="22"/>
          <w:szCs w:val="22"/>
          <w:lang w:val="es-ES_tradnl"/>
        </w:rPr>
        <w:t>20</w:t>
      </w:r>
      <w:r w:rsidR="00ED04A1" w:rsidRPr="00060053">
        <w:rPr>
          <w:rFonts w:asciiTheme="majorHAnsi" w:eastAsia="Times New Roman" w:hAnsiTheme="majorHAnsi" w:cs="Times New Roman"/>
          <w:bCs/>
          <w:sz w:val="22"/>
          <w:szCs w:val="22"/>
          <w:lang w:val="es-ES_tradnl"/>
        </w:rPr>
        <w:t>1</w:t>
      </w:r>
      <w:r w:rsidR="00024540">
        <w:rPr>
          <w:rFonts w:asciiTheme="majorHAnsi" w:eastAsia="Times New Roman" w:hAnsiTheme="majorHAnsi" w:cs="Times New Roman"/>
          <w:bCs/>
          <w:sz w:val="22"/>
          <w:szCs w:val="22"/>
          <w:lang w:val="es-ES_tradnl"/>
        </w:rPr>
        <w:t>6</w:t>
      </w:r>
      <w:r w:rsidR="008F245F" w:rsidRPr="00060053">
        <w:rPr>
          <w:rFonts w:asciiTheme="majorHAnsi" w:eastAsia="Times New Roman" w:hAnsiTheme="majorHAnsi" w:cs="Times New Roman"/>
          <w:bCs/>
          <w:sz w:val="22"/>
          <w:szCs w:val="22"/>
          <w:lang w:val="es-ES_tradnl"/>
        </w:rPr>
        <w:t xml:space="preserve">. Se presenta un presupuesto total </w:t>
      </w:r>
      <w:r w:rsidR="000D3B83" w:rsidRPr="00060053">
        <w:rPr>
          <w:rFonts w:asciiTheme="majorHAnsi" w:eastAsia="Times New Roman" w:hAnsiTheme="majorHAnsi" w:cs="Times New Roman"/>
          <w:bCs/>
          <w:sz w:val="22"/>
          <w:szCs w:val="22"/>
          <w:lang w:val="es-ES_tradnl"/>
        </w:rPr>
        <w:t xml:space="preserve">por la suma de </w:t>
      </w:r>
      <w:r w:rsidR="0073314E" w:rsidRPr="00060053">
        <w:rPr>
          <w:rFonts w:asciiTheme="majorHAnsi" w:eastAsia="Times New Roman" w:hAnsiTheme="majorHAnsi" w:cs="Times New Roman"/>
          <w:bCs/>
          <w:sz w:val="22"/>
          <w:szCs w:val="22"/>
          <w:lang w:val="es-ES_tradnl"/>
        </w:rPr>
        <w:t>¢</w:t>
      </w:r>
      <w:r w:rsidR="00024540">
        <w:rPr>
          <w:rFonts w:asciiTheme="majorHAnsi" w:eastAsia="Times New Roman" w:hAnsiTheme="majorHAnsi" w:cs="Times New Roman"/>
          <w:bCs/>
          <w:sz w:val="22"/>
          <w:szCs w:val="22"/>
          <w:lang w:val="es-ES_tradnl"/>
        </w:rPr>
        <w:t>5.197.</w:t>
      </w:r>
      <w:r w:rsidR="00024540" w:rsidRPr="00024540">
        <w:rPr>
          <w:rFonts w:asciiTheme="majorHAnsi" w:eastAsia="Times New Roman" w:hAnsiTheme="majorHAnsi" w:cs="Times New Roman"/>
          <w:bCs/>
          <w:sz w:val="22"/>
          <w:szCs w:val="22"/>
          <w:lang w:val="es-ES_tradnl"/>
        </w:rPr>
        <w:t>891</w:t>
      </w:r>
      <w:r w:rsidR="00024540">
        <w:rPr>
          <w:rFonts w:asciiTheme="majorHAnsi" w:eastAsia="Times New Roman" w:hAnsiTheme="majorHAnsi" w:cs="Times New Roman"/>
          <w:bCs/>
          <w:sz w:val="22"/>
          <w:szCs w:val="22"/>
          <w:lang w:val="es-ES_tradnl"/>
        </w:rPr>
        <w:t xml:space="preserve"> </w:t>
      </w:r>
      <w:r w:rsidR="00255A0C">
        <w:rPr>
          <w:rFonts w:asciiTheme="majorHAnsi" w:eastAsia="Times New Roman" w:hAnsiTheme="majorHAnsi" w:cs="Times New Roman"/>
          <w:bCs/>
          <w:sz w:val="22"/>
          <w:szCs w:val="22"/>
          <w:lang w:val="es-ES_tradnl"/>
        </w:rPr>
        <w:t>miles de colones</w:t>
      </w:r>
      <w:r w:rsidR="00322F42" w:rsidRPr="00060053">
        <w:rPr>
          <w:rFonts w:asciiTheme="majorHAnsi" w:eastAsia="Times New Roman" w:hAnsiTheme="majorHAnsi" w:cs="Times New Roman"/>
          <w:bCs/>
          <w:sz w:val="22"/>
          <w:szCs w:val="22"/>
          <w:lang w:val="es-ES_tradnl"/>
        </w:rPr>
        <w:t>.</w:t>
      </w:r>
      <w:r w:rsidR="00255A0C">
        <w:rPr>
          <w:rFonts w:asciiTheme="majorHAnsi" w:eastAsia="Times New Roman" w:hAnsiTheme="majorHAnsi" w:cs="Times New Roman"/>
          <w:bCs/>
          <w:sz w:val="22"/>
          <w:szCs w:val="22"/>
          <w:lang w:val="es-ES_tradnl"/>
        </w:rPr>
        <w:t xml:space="preserve"> </w:t>
      </w:r>
      <w:r w:rsidR="002C74D0" w:rsidRPr="00060053">
        <w:rPr>
          <w:rFonts w:asciiTheme="majorHAnsi" w:eastAsia="Times New Roman" w:hAnsiTheme="majorHAnsi" w:cs="Times New Roman"/>
          <w:bCs/>
          <w:sz w:val="22"/>
          <w:szCs w:val="22"/>
          <w:lang w:val="es-ES_tradnl"/>
        </w:rPr>
        <w:t>C</w:t>
      </w:r>
      <w:r w:rsidR="00796A66" w:rsidRPr="00060053">
        <w:rPr>
          <w:rFonts w:asciiTheme="majorHAnsi" w:eastAsia="Times New Roman" w:hAnsiTheme="majorHAnsi" w:cs="Times New Roman"/>
          <w:bCs/>
          <w:sz w:val="22"/>
          <w:szCs w:val="22"/>
          <w:lang w:val="es-ES_tradnl"/>
        </w:rPr>
        <w:t xml:space="preserve">on estos recursos </w:t>
      </w:r>
      <w:r w:rsidR="002C74D0" w:rsidRPr="00060053">
        <w:rPr>
          <w:rFonts w:asciiTheme="majorHAnsi" w:eastAsia="Times New Roman" w:hAnsiTheme="majorHAnsi" w:cs="Times New Roman"/>
          <w:bCs/>
          <w:sz w:val="22"/>
          <w:szCs w:val="22"/>
          <w:lang w:val="es-ES_tradnl"/>
        </w:rPr>
        <w:t xml:space="preserve">la administración </w:t>
      </w:r>
      <w:r w:rsidR="00A77768" w:rsidRPr="00060053">
        <w:rPr>
          <w:rFonts w:asciiTheme="majorHAnsi" w:eastAsia="Times New Roman" w:hAnsiTheme="majorHAnsi" w:cs="Times New Roman"/>
          <w:bCs/>
          <w:sz w:val="22"/>
          <w:szCs w:val="22"/>
          <w:lang w:val="es-ES_tradnl"/>
        </w:rPr>
        <w:t>procura</w:t>
      </w:r>
      <w:r w:rsidR="00796A66" w:rsidRPr="00060053">
        <w:rPr>
          <w:rFonts w:asciiTheme="majorHAnsi" w:eastAsia="Times New Roman" w:hAnsiTheme="majorHAnsi" w:cs="Times New Roman"/>
          <w:bCs/>
          <w:sz w:val="22"/>
          <w:szCs w:val="22"/>
          <w:lang w:val="es-ES_tradnl"/>
        </w:rPr>
        <w:t xml:space="preserve"> institucionalmente cumplir con lo establecido en la misión y visión</w:t>
      </w:r>
      <w:r w:rsidR="006E7FC2">
        <w:rPr>
          <w:rFonts w:asciiTheme="majorHAnsi" w:eastAsia="Times New Roman" w:hAnsiTheme="majorHAnsi" w:cs="Times New Roman"/>
          <w:bCs/>
          <w:sz w:val="22"/>
          <w:szCs w:val="22"/>
          <w:lang w:val="es-ES_tradnl"/>
        </w:rPr>
        <w:t>,</w:t>
      </w:r>
      <w:r w:rsidR="00796A66" w:rsidRPr="00060053">
        <w:rPr>
          <w:rFonts w:asciiTheme="majorHAnsi" w:eastAsia="Times New Roman" w:hAnsiTheme="majorHAnsi" w:cs="Times New Roman"/>
          <w:bCs/>
          <w:sz w:val="22"/>
          <w:szCs w:val="22"/>
          <w:lang w:val="es-ES_tradnl"/>
        </w:rPr>
        <w:t xml:space="preserve"> </w:t>
      </w:r>
      <w:r w:rsidR="000D3B83" w:rsidRPr="00060053">
        <w:rPr>
          <w:rFonts w:asciiTheme="majorHAnsi" w:eastAsia="Times New Roman" w:hAnsiTheme="majorHAnsi" w:cs="Times New Roman"/>
          <w:bCs/>
          <w:sz w:val="22"/>
          <w:szCs w:val="22"/>
          <w:lang w:val="es-ES_tradnl"/>
        </w:rPr>
        <w:t xml:space="preserve">y por ende ejecutar </w:t>
      </w:r>
      <w:r w:rsidR="006E7FC2">
        <w:rPr>
          <w:rFonts w:asciiTheme="majorHAnsi" w:eastAsia="Times New Roman" w:hAnsiTheme="majorHAnsi" w:cs="Times New Roman"/>
          <w:bCs/>
          <w:sz w:val="22"/>
          <w:szCs w:val="22"/>
          <w:lang w:val="es-ES_tradnl"/>
        </w:rPr>
        <w:t xml:space="preserve">a cabalidad </w:t>
      </w:r>
      <w:r w:rsidR="000D3B83" w:rsidRPr="00060053">
        <w:rPr>
          <w:rFonts w:asciiTheme="majorHAnsi" w:eastAsia="Times New Roman" w:hAnsiTheme="majorHAnsi" w:cs="Times New Roman"/>
          <w:bCs/>
          <w:sz w:val="22"/>
          <w:szCs w:val="22"/>
          <w:lang w:val="es-ES_tradnl"/>
        </w:rPr>
        <w:t xml:space="preserve">las obligaciones </w:t>
      </w:r>
      <w:r w:rsidR="00AD152A">
        <w:rPr>
          <w:rFonts w:asciiTheme="majorHAnsi" w:eastAsia="Times New Roman" w:hAnsiTheme="majorHAnsi" w:cs="Times New Roman"/>
          <w:bCs/>
          <w:sz w:val="22"/>
          <w:szCs w:val="22"/>
          <w:lang w:val="es-ES_tradnl"/>
        </w:rPr>
        <w:t>encomendadas</w:t>
      </w:r>
      <w:r w:rsidR="000D3B83" w:rsidRPr="00060053">
        <w:rPr>
          <w:rFonts w:asciiTheme="majorHAnsi" w:eastAsia="Times New Roman" w:hAnsiTheme="majorHAnsi" w:cs="Times New Roman"/>
          <w:bCs/>
          <w:sz w:val="22"/>
          <w:szCs w:val="22"/>
          <w:lang w:val="es-ES_tradnl"/>
        </w:rPr>
        <w:t xml:space="preserve"> por Ley</w:t>
      </w:r>
      <w:r w:rsidR="00796A66" w:rsidRPr="00060053">
        <w:rPr>
          <w:rFonts w:asciiTheme="majorHAnsi" w:eastAsia="Times New Roman" w:hAnsiTheme="majorHAnsi" w:cs="Times New Roman"/>
          <w:bCs/>
          <w:sz w:val="22"/>
          <w:szCs w:val="22"/>
          <w:lang w:val="es-ES_tradnl"/>
        </w:rPr>
        <w:t>.</w:t>
      </w:r>
    </w:p>
    <w:p w14:paraId="06A94A1E" w14:textId="19EDBE57" w:rsidR="00593CE2" w:rsidRPr="00060053" w:rsidRDefault="00BA3407" w:rsidP="0048130B">
      <w:pPr>
        <w:pStyle w:val="NormalWeb"/>
        <w:tabs>
          <w:tab w:val="left" w:pos="567"/>
        </w:tabs>
        <w:jc w:val="both"/>
        <w:outlineLvl w:val="1"/>
        <w:rPr>
          <w:rFonts w:asciiTheme="majorHAnsi" w:hAnsiTheme="majorHAnsi" w:cs="Tahoma"/>
          <w:b/>
          <w:bCs/>
          <w:sz w:val="22"/>
          <w:szCs w:val="22"/>
        </w:rPr>
      </w:pPr>
      <w:bookmarkStart w:id="38" w:name="_Toc442253211"/>
      <w:r w:rsidRPr="00060053">
        <w:rPr>
          <w:rFonts w:asciiTheme="majorHAnsi" w:hAnsiTheme="majorHAnsi" w:cs="Tahoma"/>
          <w:b/>
          <w:bCs/>
          <w:sz w:val="22"/>
          <w:szCs w:val="22"/>
          <w:lang w:val="es-ES_tradnl"/>
        </w:rPr>
        <w:t>2.2</w:t>
      </w:r>
      <w:r w:rsidR="00494AA8">
        <w:rPr>
          <w:rFonts w:asciiTheme="majorHAnsi" w:hAnsiTheme="majorHAnsi" w:cs="Tahoma"/>
          <w:b/>
          <w:bCs/>
          <w:sz w:val="22"/>
          <w:szCs w:val="22"/>
          <w:lang w:val="es-ES_tradnl"/>
        </w:rPr>
        <w:tab/>
      </w:r>
      <w:r w:rsidR="00593CE2" w:rsidRPr="00060053">
        <w:rPr>
          <w:rFonts w:asciiTheme="majorHAnsi" w:hAnsiTheme="majorHAnsi" w:cs="Tahoma"/>
          <w:b/>
          <w:bCs/>
          <w:sz w:val="22"/>
          <w:szCs w:val="22"/>
        </w:rPr>
        <w:t>Directrices para la Formulación</w:t>
      </w:r>
      <w:r w:rsidR="000872B6" w:rsidRPr="00060053">
        <w:rPr>
          <w:rFonts w:asciiTheme="majorHAnsi" w:hAnsiTheme="majorHAnsi" w:cs="Tahoma"/>
          <w:b/>
          <w:bCs/>
          <w:sz w:val="22"/>
          <w:szCs w:val="22"/>
        </w:rPr>
        <w:t xml:space="preserve"> del P</w:t>
      </w:r>
      <w:r w:rsidR="00593CE2" w:rsidRPr="00060053">
        <w:rPr>
          <w:rFonts w:asciiTheme="majorHAnsi" w:hAnsiTheme="majorHAnsi" w:cs="Tahoma"/>
          <w:b/>
          <w:bCs/>
          <w:sz w:val="22"/>
          <w:szCs w:val="22"/>
        </w:rPr>
        <w:t>O</w:t>
      </w:r>
      <w:r w:rsidR="000872B6" w:rsidRPr="00060053">
        <w:rPr>
          <w:rFonts w:asciiTheme="majorHAnsi" w:hAnsiTheme="majorHAnsi" w:cs="Tahoma"/>
          <w:b/>
          <w:bCs/>
          <w:sz w:val="22"/>
          <w:szCs w:val="22"/>
        </w:rPr>
        <w:t xml:space="preserve">I </w:t>
      </w:r>
      <w:r w:rsidR="00593CE2" w:rsidRPr="00060053">
        <w:rPr>
          <w:rFonts w:asciiTheme="majorHAnsi" w:hAnsiTheme="majorHAnsi" w:cs="Tahoma"/>
          <w:b/>
          <w:bCs/>
          <w:sz w:val="22"/>
          <w:szCs w:val="22"/>
        </w:rPr>
        <w:t>-Presupuesto</w:t>
      </w:r>
      <w:bookmarkEnd w:id="38"/>
    </w:p>
    <w:p w14:paraId="06A94A1F" w14:textId="02E12F8C" w:rsidR="00593CE2" w:rsidRPr="00060053" w:rsidRDefault="00593CE2" w:rsidP="00E77FF2">
      <w:pPr>
        <w:pStyle w:val="NormalWeb"/>
        <w:jc w:val="both"/>
        <w:rPr>
          <w:rFonts w:asciiTheme="majorHAnsi" w:eastAsia="Times New Roman" w:hAnsiTheme="majorHAnsi" w:cs="Times New Roman"/>
          <w:bCs/>
          <w:sz w:val="22"/>
          <w:szCs w:val="22"/>
        </w:rPr>
      </w:pPr>
      <w:r w:rsidRPr="00060053">
        <w:rPr>
          <w:rFonts w:asciiTheme="majorHAnsi" w:eastAsia="Times New Roman" w:hAnsiTheme="majorHAnsi" w:cs="Times New Roman"/>
          <w:bCs/>
          <w:sz w:val="22"/>
          <w:szCs w:val="22"/>
        </w:rPr>
        <w:t>En la sección “Documentos” se adjunta una copia de los directrices dictadas por el CONASSIF y aprobadas por la Junta Directiva del Banco Central de Costa Rica</w:t>
      </w:r>
      <w:r w:rsidR="009E25B5" w:rsidRPr="00060053">
        <w:rPr>
          <w:rFonts w:asciiTheme="majorHAnsi" w:eastAsia="Times New Roman" w:hAnsiTheme="majorHAnsi" w:cs="Times New Roman"/>
          <w:bCs/>
          <w:sz w:val="22"/>
          <w:szCs w:val="22"/>
        </w:rPr>
        <w:t>, relacionadas con</w:t>
      </w:r>
      <w:r w:rsidR="000872B6" w:rsidRPr="00060053">
        <w:rPr>
          <w:rFonts w:asciiTheme="majorHAnsi" w:eastAsia="Times New Roman" w:hAnsiTheme="majorHAnsi" w:cs="Times New Roman"/>
          <w:bCs/>
          <w:sz w:val="22"/>
          <w:szCs w:val="22"/>
        </w:rPr>
        <w:t xml:space="preserve"> la formulación del P</w:t>
      </w:r>
      <w:r w:rsidRPr="00060053">
        <w:rPr>
          <w:rFonts w:asciiTheme="majorHAnsi" w:eastAsia="Times New Roman" w:hAnsiTheme="majorHAnsi" w:cs="Times New Roman"/>
          <w:bCs/>
          <w:sz w:val="22"/>
          <w:szCs w:val="22"/>
        </w:rPr>
        <w:t>O</w:t>
      </w:r>
      <w:r w:rsidR="000872B6" w:rsidRPr="00060053">
        <w:rPr>
          <w:rFonts w:asciiTheme="majorHAnsi" w:eastAsia="Times New Roman" w:hAnsiTheme="majorHAnsi" w:cs="Times New Roman"/>
          <w:bCs/>
          <w:sz w:val="22"/>
          <w:szCs w:val="22"/>
        </w:rPr>
        <w:t xml:space="preserve">I </w:t>
      </w:r>
      <w:r w:rsidRPr="00060053">
        <w:rPr>
          <w:rFonts w:asciiTheme="majorHAnsi" w:eastAsia="Times New Roman" w:hAnsiTheme="majorHAnsi" w:cs="Times New Roman"/>
          <w:bCs/>
          <w:sz w:val="22"/>
          <w:szCs w:val="22"/>
        </w:rPr>
        <w:t>-Presupuesto para el</w:t>
      </w:r>
      <w:r w:rsidR="000D3B83" w:rsidRPr="00060053">
        <w:rPr>
          <w:rFonts w:asciiTheme="majorHAnsi" w:eastAsia="Times New Roman" w:hAnsiTheme="majorHAnsi" w:cs="Times New Roman"/>
          <w:bCs/>
          <w:sz w:val="22"/>
          <w:szCs w:val="22"/>
        </w:rPr>
        <w:t xml:space="preserve"> año 20</w:t>
      </w:r>
      <w:r w:rsidR="00ED04A1" w:rsidRPr="00060053">
        <w:rPr>
          <w:rFonts w:asciiTheme="majorHAnsi" w:eastAsia="Times New Roman" w:hAnsiTheme="majorHAnsi" w:cs="Times New Roman"/>
          <w:bCs/>
          <w:sz w:val="22"/>
          <w:szCs w:val="22"/>
        </w:rPr>
        <w:t>1</w:t>
      </w:r>
      <w:r w:rsidR="00024540">
        <w:rPr>
          <w:rFonts w:asciiTheme="majorHAnsi" w:eastAsia="Times New Roman" w:hAnsiTheme="majorHAnsi" w:cs="Times New Roman"/>
          <w:bCs/>
          <w:sz w:val="22"/>
          <w:szCs w:val="22"/>
        </w:rPr>
        <w:t>6, la cuales fueron tomadas en consideración durante todo el proceso de formulación</w:t>
      </w:r>
      <w:r w:rsidRPr="00060053">
        <w:rPr>
          <w:rFonts w:asciiTheme="majorHAnsi" w:eastAsia="Times New Roman" w:hAnsiTheme="majorHAnsi" w:cs="Times New Roman"/>
          <w:bCs/>
          <w:sz w:val="22"/>
          <w:szCs w:val="22"/>
        </w:rPr>
        <w:t>.</w:t>
      </w:r>
    </w:p>
    <w:p w14:paraId="06A94A20" w14:textId="50ABE207" w:rsidR="00F53525" w:rsidRPr="00060053" w:rsidRDefault="00E236FA" w:rsidP="0048130B">
      <w:pPr>
        <w:pStyle w:val="NormalWeb"/>
        <w:tabs>
          <w:tab w:val="left" w:pos="567"/>
        </w:tabs>
        <w:jc w:val="both"/>
        <w:outlineLvl w:val="1"/>
        <w:rPr>
          <w:rFonts w:asciiTheme="majorHAnsi" w:hAnsiTheme="majorHAnsi" w:cs="Tahoma"/>
          <w:b/>
          <w:bCs/>
          <w:sz w:val="22"/>
          <w:szCs w:val="22"/>
        </w:rPr>
      </w:pPr>
      <w:bookmarkStart w:id="39" w:name="_Toc442253212"/>
      <w:r w:rsidRPr="00060053">
        <w:rPr>
          <w:rFonts w:asciiTheme="majorHAnsi" w:hAnsiTheme="majorHAnsi" w:cs="Tahoma"/>
          <w:b/>
          <w:bCs/>
          <w:sz w:val="22"/>
          <w:szCs w:val="22"/>
          <w:lang w:val="es-ES_tradnl"/>
        </w:rPr>
        <w:t>2.</w:t>
      </w:r>
      <w:r w:rsidR="00D901A3" w:rsidRPr="00060053">
        <w:rPr>
          <w:rFonts w:asciiTheme="majorHAnsi" w:hAnsiTheme="majorHAnsi" w:cs="Tahoma"/>
          <w:b/>
          <w:bCs/>
          <w:sz w:val="22"/>
          <w:szCs w:val="22"/>
          <w:lang w:val="es-ES_tradnl"/>
        </w:rPr>
        <w:t>3</w:t>
      </w:r>
      <w:r w:rsidR="00494AA8">
        <w:rPr>
          <w:rFonts w:asciiTheme="majorHAnsi" w:hAnsiTheme="majorHAnsi" w:cs="Tahoma"/>
          <w:b/>
          <w:bCs/>
          <w:sz w:val="22"/>
          <w:szCs w:val="22"/>
          <w:lang w:val="es-ES_tradnl"/>
        </w:rPr>
        <w:tab/>
      </w:r>
      <w:r w:rsidR="002C74D0" w:rsidRPr="00060053">
        <w:rPr>
          <w:rFonts w:asciiTheme="majorHAnsi" w:hAnsiTheme="majorHAnsi" w:cs="Tahoma"/>
          <w:b/>
          <w:bCs/>
          <w:sz w:val="22"/>
          <w:szCs w:val="22"/>
        </w:rPr>
        <w:t>Plan de Trabajo</w:t>
      </w:r>
      <w:bookmarkEnd w:id="39"/>
    </w:p>
    <w:p w14:paraId="06A94A21" w14:textId="4ADE29CD" w:rsidR="00F53525" w:rsidRPr="00060053" w:rsidRDefault="00F53525" w:rsidP="00E77FF2">
      <w:pPr>
        <w:pStyle w:val="Textoindependiente3"/>
        <w:jc w:val="both"/>
        <w:rPr>
          <w:rFonts w:asciiTheme="majorHAnsi" w:hAnsiTheme="majorHAnsi"/>
          <w:sz w:val="22"/>
          <w:szCs w:val="22"/>
        </w:rPr>
      </w:pPr>
      <w:r w:rsidRPr="00060053">
        <w:rPr>
          <w:rFonts w:asciiTheme="majorHAnsi" w:hAnsiTheme="majorHAnsi"/>
          <w:bCs/>
          <w:sz w:val="22"/>
          <w:szCs w:val="22"/>
          <w:lang w:val="es-ES_tradnl"/>
        </w:rPr>
        <w:t xml:space="preserve">En los anexos se presentan </w:t>
      </w:r>
      <w:r w:rsidR="00AB5005" w:rsidRPr="00060053">
        <w:rPr>
          <w:rFonts w:asciiTheme="majorHAnsi" w:hAnsiTheme="majorHAnsi"/>
          <w:bCs/>
          <w:sz w:val="22"/>
          <w:szCs w:val="22"/>
          <w:lang w:val="es-ES_tradnl"/>
        </w:rPr>
        <w:t xml:space="preserve">de </w:t>
      </w:r>
      <w:r w:rsidRPr="00060053">
        <w:rPr>
          <w:rFonts w:asciiTheme="majorHAnsi" w:hAnsiTheme="majorHAnsi"/>
          <w:bCs/>
          <w:sz w:val="22"/>
          <w:szCs w:val="22"/>
          <w:lang w:val="es-ES_tradnl"/>
        </w:rPr>
        <w:t>manera detallada, la vinculación de los</w:t>
      </w:r>
      <w:r w:rsidR="002C74D0" w:rsidRPr="00060053">
        <w:rPr>
          <w:rFonts w:asciiTheme="majorHAnsi" w:hAnsiTheme="majorHAnsi"/>
          <w:bCs/>
          <w:sz w:val="22"/>
          <w:szCs w:val="22"/>
          <w:lang w:val="es-ES_tradnl"/>
        </w:rPr>
        <w:t xml:space="preserve"> objetivos,</w:t>
      </w:r>
      <w:r w:rsidRPr="00060053">
        <w:rPr>
          <w:rFonts w:asciiTheme="majorHAnsi" w:hAnsiTheme="majorHAnsi"/>
          <w:bCs/>
          <w:sz w:val="22"/>
          <w:szCs w:val="22"/>
          <w:lang w:val="es-ES_tradnl"/>
        </w:rPr>
        <w:t xml:space="preserve"> metas</w:t>
      </w:r>
      <w:r w:rsidR="002C74D0" w:rsidRPr="00060053">
        <w:rPr>
          <w:rFonts w:asciiTheme="majorHAnsi" w:hAnsiTheme="majorHAnsi"/>
          <w:bCs/>
          <w:sz w:val="22"/>
          <w:szCs w:val="22"/>
          <w:lang w:val="es-ES_tradnl"/>
        </w:rPr>
        <w:t>,</w:t>
      </w:r>
      <w:r w:rsidRPr="00060053">
        <w:rPr>
          <w:rFonts w:asciiTheme="majorHAnsi" w:hAnsiTheme="majorHAnsi"/>
          <w:bCs/>
          <w:sz w:val="22"/>
          <w:szCs w:val="22"/>
          <w:lang w:val="es-ES_tradnl"/>
        </w:rPr>
        <w:t xml:space="preserve"> así como</w:t>
      </w:r>
      <w:r w:rsidR="002C74D0" w:rsidRPr="00060053">
        <w:rPr>
          <w:rFonts w:asciiTheme="majorHAnsi" w:hAnsiTheme="majorHAnsi"/>
          <w:bCs/>
          <w:sz w:val="22"/>
          <w:szCs w:val="22"/>
          <w:lang w:val="es-ES_tradnl"/>
        </w:rPr>
        <w:t>,</w:t>
      </w:r>
      <w:r w:rsidRPr="00060053">
        <w:rPr>
          <w:rFonts w:asciiTheme="majorHAnsi" w:hAnsiTheme="majorHAnsi"/>
          <w:bCs/>
          <w:sz w:val="22"/>
          <w:szCs w:val="22"/>
          <w:lang w:val="es-ES_tradnl"/>
        </w:rPr>
        <w:t xml:space="preserve"> los I</w:t>
      </w:r>
      <w:r w:rsidR="00181ECB">
        <w:rPr>
          <w:rFonts w:asciiTheme="majorHAnsi" w:hAnsiTheme="majorHAnsi"/>
          <w:bCs/>
          <w:sz w:val="22"/>
          <w:szCs w:val="22"/>
          <w:lang w:val="es-ES_tradnl"/>
        </w:rPr>
        <w:t>ndicadores de Gestión, planteado</w:t>
      </w:r>
      <w:r w:rsidRPr="00060053">
        <w:rPr>
          <w:rFonts w:asciiTheme="majorHAnsi" w:hAnsiTheme="majorHAnsi"/>
          <w:bCs/>
          <w:sz w:val="22"/>
          <w:szCs w:val="22"/>
          <w:lang w:val="es-ES_tradnl"/>
        </w:rPr>
        <w:t xml:space="preserve">s en el </w:t>
      </w:r>
      <w:r w:rsidR="00C0086A" w:rsidRPr="00060053">
        <w:rPr>
          <w:rFonts w:asciiTheme="majorHAnsi" w:hAnsiTheme="majorHAnsi"/>
          <w:bCs/>
          <w:sz w:val="22"/>
          <w:szCs w:val="22"/>
          <w:lang w:val="es-ES_tradnl"/>
        </w:rPr>
        <w:t>Plan Operativo Institucional</w:t>
      </w:r>
      <w:r w:rsidR="00255A0C">
        <w:rPr>
          <w:rFonts w:asciiTheme="majorHAnsi" w:hAnsiTheme="majorHAnsi"/>
          <w:bCs/>
          <w:sz w:val="22"/>
          <w:szCs w:val="22"/>
          <w:lang w:val="es-ES_tradnl"/>
        </w:rPr>
        <w:t xml:space="preserve"> </w:t>
      </w:r>
      <w:r w:rsidR="00181ECB">
        <w:rPr>
          <w:rFonts w:asciiTheme="majorHAnsi" w:hAnsiTheme="majorHAnsi"/>
          <w:bCs/>
          <w:sz w:val="22"/>
          <w:szCs w:val="22"/>
          <w:lang w:val="es-ES_tradnl"/>
        </w:rPr>
        <w:t xml:space="preserve">(POI) </w:t>
      </w:r>
      <w:r w:rsidRPr="00060053">
        <w:rPr>
          <w:rFonts w:asciiTheme="majorHAnsi" w:hAnsiTheme="majorHAnsi"/>
          <w:bCs/>
          <w:sz w:val="22"/>
          <w:szCs w:val="22"/>
          <w:lang w:val="es-ES_tradnl"/>
        </w:rPr>
        <w:t xml:space="preserve">de la </w:t>
      </w:r>
      <w:r w:rsidR="00D277D9">
        <w:rPr>
          <w:rFonts w:asciiTheme="majorHAnsi" w:hAnsiTheme="majorHAnsi"/>
          <w:bCs/>
          <w:sz w:val="22"/>
          <w:szCs w:val="22"/>
          <w:lang w:val="es-ES_tradnl"/>
        </w:rPr>
        <w:t>SUPEN</w:t>
      </w:r>
      <w:r w:rsidRPr="00060053">
        <w:rPr>
          <w:rFonts w:asciiTheme="majorHAnsi" w:hAnsiTheme="majorHAnsi"/>
          <w:bCs/>
          <w:sz w:val="22"/>
          <w:szCs w:val="22"/>
          <w:lang w:val="es-ES_tradnl"/>
        </w:rPr>
        <w:t xml:space="preserve"> para el 20</w:t>
      </w:r>
      <w:r w:rsidR="00ED04A1" w:rsidRPr="00060053">
        <w:rPr>
          <w:rFonts w:asciiTheme="majorHAnsi" w:hAnsiTheme="majorHAnsi"/>
          <w:bCs/>
          <w:sz w:val="22"/>
          <w:szCs w:val="22"/>
          <w:lang w:val="es-ES_tradnl"/>
        </w:rPr>
        <w:t>1</w:t>
      </w:r>
      <w:r w:rsidR="006E7FC2">
        <w:rPr>
          <w:rFonts w:asciiTheme="majorHAnsi" w:hAnsiTheme="majorHAnsi"/>
          <w:bCs/>
          <w:sz w:val="22"/>
          <w:szCs w:val="22"/>
          <w:lang w:val="es-ES_tradnl"/>
        </w:rPr>
        <w:t>6</w:t>
      </w:r>
      <w:r w:rsidRPr="00060053">
        <w:rPr>
          <w:rFonts w:asciiTheme="majorHAnsi" w:hAnsiTheme="majorHAnsi"/>
          <w:bCs/>
          <w:sz w:val="22"/>
          <w:szCs w:val="22"/>
          <w:lang w:val="es-ES_tradnl"/>
        </w:rPr>
        <w:t>, para cada una de las Divisiones, Departamentos o Áreas, con su respectivo indicador de medida.</w:t>
      </w:r>
      <w:r w:rsidR="00882C91">
        <w:rPr>
          <w:rFonts w:asciiTheme="majorHAnsi" w:hAnsiTheme="majorHAnsi"/>
          <w:bCs/>
          <w:sz w:val="22"/>
          <w:szCs w:val="22"/>
          <w:lang w:val="es-ES_tradnl"/>
        </w:rPr>
        <w:t xml:space="preserve"> </w:t>
      </w:r>
      <w:r w:rsidR="001F58C1" w:rsidRPr="00060053">
        <w:rPr>
          <w:rFonts w:asciiTheme="majorHAnsi" w:hAnsiTheme="majorHAnsi"/>
          <w:sz w:val="22"/>
          <w:szCs w:val="22"/>
        </w:rPr>
        <w:t>Como complemento a esa información se presenta</w:t>
      </w:r>
      <w:r w:rsidR="00E7101C">
        <w:rPr>
          <w:rFonts w:asciiTheme="majorHAnsi" w:hAnsiTheme="majorHAnsi"/>
          <w:sz w:val="22"/>
          <w:szCs w:val="22"/>
        </w:rPr>
        <w:t>n</w:t>
      </w:r>
      <w:r w:rsidR="001F58C1" w:rsidRPr="00060053">
        <w:rPr>
          <w:rFonts w:asciiTheme="majorHAnsi" w:hAnsiTheme="majorHAnsi"/>
          <w:sz w:val="22"/>
          <w:szCs w:val="22"/>
        </w:rPr>
        <w:t xml:space="preserve"> las tablas que contiene</w:t>
      </w:r>
      <w:r w:rsidR="00E7101C">
        <w:rPr>
          <w:rFonts w:asciiTheme="majorHAnsi" w:hAnsiTheme="majorHAnsi"/>
          <w:sz w:val="22"/>
          <w:szCs w:val="22"/>
        </w:rPr>
        <w:t>n</w:t>
      </w:r>
      <w:r w:rsidR="001F58C1" w:rsidRPr="00060053">
        <w:rPr>
          <w:rFonts w:asciiTheme="majorHAnsi" w:hAnsiTheme="majorHAnsi"/>
          <w:sz w:val="22"/>
          <w:szCs w:val="22"/>
        </w:rPr>
        <w:t xml:space="preserve"> el detalle de la Planificación Agregada.</w:t>
      </w:r>
    </w:p>
    <w:p w14:paraId="06A94A22" w14:textId="77777777" w:rsidR="00F53525" w:rsidRPr="0048130B" w:rsidRDefault="0048130B" w:rsidP="0048130B">
      <w:pPr>
        <w:pStyle w:val="Ttulo3"/>
        <w:rPr>
          <w:rFonts w:asciiTheme="majorHAnsi" w:hAnsiTheme="majorHAnsi"/>
          <w:bCs w:val="0"/>
          <w:sz w:val="22"/>
          <w:szCs w:val="22"/>
          <w:lang w:val="es-ES_tradnl"/>
        </w:rPr>
      </w:pPr>
      <w:bookmarkStart w:id="40" w:name="_Toc429562736"/>
      <w:bookmarkStart w:id="41" w:name="_Toc442253213"/>
      <w:r>
        <w:rPr>
          <w:rFonts w:asciiTheme="majorHAnsi" w:hAnsiTheme="majorHAnsi"/>
          <w:bCs w:val="0"/>
          <w:sz w:val="22"/>
          <w:szCs w:val="22"/>
          <w:lang w:val="es-ES_tradnl"/>
        </w:rPr>
        <w:t>2.3.1.</w:t>
      </w:r>
      <w:r>
        <w:rPr>
          <w:rFonts w:asciiTheme="majorHAnsi" w:hAnsiTheme="majorHAnsi"/>
          <w:bCs w:val="0"/>
          <w:sz w:val="22"/>
          <w:szCs w:val="22"/>
          <w:lang w:val="es-ES_tradnl"/>
        </w:rPr>
        <w:tab/>
      </w:r>
      <w:r w:rsidR="00E236FA" w:rsidRPr="0048130B">
        <w:rPr>
          <w:rFonts w:asciiTheme="majorHAnsi" w:hAnsiTheme="majorHAnsi"/>
          <w:bCs w:val="0"/>
          <w:sz w:val="22"/>
          <w:szCs w:val="22"/>
          <w:lang w:val="es-ES_tradnl"/>
        </w:rPr>
        <w:t>Objetivos y Metas de las Instancias  / Planificación Agregada.</w:t>
      </w:r>
      <w:bookmarkEnd w:id="40"/>
      <w:bookmarkEnd w:id="41"/>
    </w:p>
    <w:p w14:paraId="06A94A23" w14:textId="77777777" w:rsidR="00E236FA" w:rsidRPr="00060053" w:rsidRDefault="00E236FA" w:rsidP="00E236FA">
      <w:pPr>
        <w:jc w:val="both"/>
        <w:rPr>
          <w:rFonts w:asciiTheme="majorHAnsi" w:hAnsiTheme="majorHAnsi"/>
          <w:bCs/>
          <w:sz w:val="22"/>
          <w:szCs w:val="22"/>
          <w:lang w:val="es-ES_tradnl"/>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118"/>
        <w:gridCol w:w="4819"/>
      </w:tblGrid>
      <w:tr w:rsidR="00F53525" w:rsidRPr="00060053" w14:paraId="06A94A27" w14:textId="77777777" w:rsidTr="001D1BED">
        <w:trPr>
          <w:tblHeader/>
        </w:trPr>
        <w:tc>
          <w:tcPr>
            <w:tcW w:w="851" w:type="dxa"/>
            <w:shd w:val="clear" w:color="auto" w:fill="C6D9F1" w:themeFill="text2" w:themeFillTint="33"/>
            <w:vAlign w:val="center"/>
          </w:tcPr>
          <w:p w14:paraId="06A94A24" w14:textId="77777777" w:rsidR="00F53525" w:rsidRPr="00060053" w:rsidRDefault="00F53525" w:rsidP="00957535">
            <w:pPr>
              <w:spacing w:before="120" w:after="120" w:line="264" w:lineRule="auto"/>
              <w:jc w:val="center"/>
              <w:rPr>
                <w:rFonts w:asciiTheme="majorHAnsi" w:hAnsiTheme="majorHAnsi"/>
                <w:sz w:val="20"/>
              </w:rPr>
            </w:pPr>
            <w:r w:rsidRPr="00060053">
              <w:rPr>
                <w:rFonts w:asciiTheme="majorHAnsi" w:hAnsiTheme="majorHAnsi"/>
                <w:sz w:val="20"/>
              </w:rPr>
              <w:t># ANEXO</w:t>
            </w:r>
          </w:p>
        </w:tc>
        <w:tc>
          <w:tcPr>
            <w:tcW w:w="3118" w:type="dxa"/>
            <w:shd w:val="clear" w:color="auto" w:fill="C6D9F1" w:themeFill="text2" w:themeFillTint="33"/>
            <w:vAlign w:val="center"/>
          </w:tcPr>
          <w:p w14:paraId="06A94A25" w14:textId="77777777" w:rsidR="00F53525" w:rsidRPr="00060053" w:rsidRDefault="00F53525" w:rsidP="00957535">
            <w:pPr>
              <w:spacing w:before="120" w:after="120" w:line="264" w:lineRule="auto"/>
              <w:jc w:val="center"/>
              <w:rPr>
                <w:rFonts w:asciiTheme="majorHAnsi" w:hAnsiTheme="majorHAnsi"/>
                <w:sz w:val="20"/>
              </w:rPr>
            </w:pPr>
            <w:r w:rsidRPr="00060053">
              <w:rPr>
                <w:rFonts w:asciiTheme="majorHAnsi" w:hAnsiTheme="majorHAnsi"/>
                <w:sz w:val="20"/>
              </w:rPr>
              <w:t>DEPENDENCIA</w:t>
            </w:r>
          </w:p>
        </w:tc>
        <w:tc>
          <w:tcPr>
            <w:tcW w:w="4819" w:type="dxa"/>
            <w:shd w:val="clear" w:color="auto" w:fill="C6D9F1" w:themeFill="text2" w:themeFillTint="33"/>
            <w:vAlign w:val="center"/>
          </w:tcPr>
          <w:p w14:paraId="06A94A26" w14:textId="77777777" w:rsidR="00F53525" w:rsidRPr="00060053" w:rsidRDefault="00F53525" w:rsidP="00957535">
            <w:pPr>
              <w:spacing w:before="120" w:after="120" w:line="264" w:lineRule="auto"/>
              <w:jc w:val="center"/>
              <w:rPr>
                <w:rFonts w:asciiTheme="majorHAnsi" w:hAnsiTheme="majorHAnsi"/>
                <w:sz w:val="20"/>
              </w:rPr>
            </w:pPr>
            <w:r w:rsidRPr="00060053">
              <w:rPr>
                <w:rFonts w:asciiTheme="majorHAnsi" w:hAnsiTheme="majorHAnsi"/>
                <w:sz w:val="20"/>
              </w:rPr>
              <w:t>OBJETIVO</w:t>
            </w:r>
          </w:p>
        </w:tc>
      </w:tr>
      <w:tr w:rsidR="0019756F" w:rsidRPr="00060053" w14:paraId="06A94A2B" w14:textId="77777777" w:rsidTr="003D2E9C">
        <w:trPr>
          <w:trHeight w:val="624"/>
        </w:trPr>
        <w:tc>
          <w:tcPr>
            <w:tcW w:w="851" w:type="dxa"/>
            <w:vAlign w:val="center"/>
          </w:tcPr>
          <w:p w14:paraId="06A94A28" w14:textId="77777777" w:rsidR="0019756F" w:rsidRPr="00060053" w:rsidRDefault="0019756F" w:rsidP="00762B48">
            <w:pPr>
              <w:spacing w:line="264" w:lineRule="auto"/>
              <w:jc w:val="center"/>
              <w:rPr>
                <w:rFonts w:asciiTheme="majorHAnsi" w:hAnsiTheme="majorHAnsi"/>
                <w:bCs/>
                <w:sz w:val="18"/>
                <w:szCs w:val="18"/>
              </w:rPr>
            </w:pPr>
            <w:r w:rsidRPr="00060053">
              <w:rPr>
                <w:rFonts w:asciiTheme="majorHAnsi" w:hAnsiTheme="majorHAnsi"/>
                <w:bCs/>
                <w:sz w:val="18"/>
                <w:szCs w:val="18"/>
              </w:rPr>
              <w:t>1</w:t>
            </w:r>
          </w:p>
        </w:tc>
        <w:tc>
          <w:tcPr>
            <w:tcW w:w="3118" w:type="dxa"/>
            <w:vAlign w:val="center"/>
          </w:tcPr>
          <w:p w14:paraId="06A94A29" w14:textId="77777777" w:rsidR="0019756F" w:rsidRPr="00060053" w:rsidRDefault="0019756F" w:rsidP="0019756F">
            <w:pPr>
              <w:pStyle w:val="Textonotapie"/>
              <w:spacing w:line="264" w:lineRule="auto"/>
              <w:rPr>
                <w:rFonts w:asciiTheme="majorHAnsi" w:hAnsiTheme="majorHAnsi"/>
                <w:bCs/>
                <w:sz w:val="18"/>
                <w:szCs w:val="18"/>
              </w:rPr>
            </w:pPr>
            <w:r w:rsidRPr="00060053">
              <w:rPr>
                <w:rFonts w:asciiTheme="majorHAnsi" w:hAnsiTheme="majorHAnsi"/>
                <w:bCs/>
                <w:sz w:val="18"/>
                <w:szCs w:val="18"/>
              </w:rPr>
              <w:t>Despacho</w:t>
            </w:r>
          </w:p>
        </w:tc>
        <w:tc>
          <w:tcPr>
            <w:tcW w:w="4819" w:type="dxa"/>
            <w:vAlign w:val="center"/>
          </w:tcPr>
          <w:p w14:paraId="06A94A2A" w14:textId="77777777" w:rsidR="0019756F" w:rsidRPr="00060053" w:rsidRDefault="0019756F" w:rsidP="00B05EAB">
            <w:pPr>
              <w:spacing w:line="264" w:lineRule="auto"/>
              <w:rPr>
                <w:rFonts w:asciiTheme="majorHAnsi" w:hAnsiTheme="majorHAnsi"/>
                <w:bCs/>
                <w:sz w:val="18"/>
                <w:szCs w:val="18"/>
              </w:rPr>
            </w:pPr>
            <w:r w:rsidRPr="00060053">
              <w:rPr>
                <w:rFonts w:asciiTheme="majorHAnsi" w:hAnsiTheme="majorHAnsi"/>
                <w:bCs/>
                <w:sz w:val="18"/>
                <w:szCs w:val="18"/>
              </w:rPr>
              <w:t>Presenta la vinculación del Plan Nacional de Desarrollo con el Plan Operativo Institucional</w:t>
            </w:r>
          </w:p>
        </w:tc>
      </w:tr>
      <w:tr w:rsidR="0019756F" w:rsidRPr="00060053" w14:paraId="06A94A2F" w14:textId="77777777" w:rsidTr="00DF69B9">
        <w:trPr>
          <w:trHeight w:val="588"/>
        </w:trPr>
        <w:tc>
          <w:tcPr>
            <w:tcW w:w="851" w:type="dxa"/>
            <w:shd w:val="clear" w:color="auto" w:fill="F2F2F2" w:themeFill="background1" w:themeFillShade="F2"/>
            <w:vAlign w:val="center"/>
          </w:tcPr>
          <w:p w14:paraId="06A94A2C" w14:textId="77777777" w:rsidR="0019756F" w:rsidRPr="00060053" w:rsidRDefault="0019756F" w:rsidP="00762B48">
            <w:pPr>
              <w:spacing w:line="264" w:lineRule="auto"/>
              <w:jc w:val="center"/>
              <w:rPr>
                <w:rFonts w:asciiTheme="majorHAnsi" w:hAnsiTheme="majorHAnsi"/>
                <w:bCs/>
                <w:sz w:val="18"/>
                <w:szCs w:val="18"/>
              </w:rPr>
            </w:pPr>
            <w:r w:rsidRPr="00060053">
              <w:rPr>
                <w:rFonts w:asciiTheme="majorHAnsi" w:hAnsiTheme="majorHAnsi"/>
                <w:bCs/>
                <w:sz w:val="18"/>
                <w:szCs w:val="18"/>
              </w:rPr>
              <w:t>2</w:t>
            </w:r>
          </w:p>
        </w:tc>
        <w:tc>
          <w:tcPr>
            <w:tcW w:w="3118" w:type="dxa"/>
            <w:shd w:val="clear" w:color="auto" w:fill="F2F2F2" w:themeFill="background1" w:themeFillShade="F2"/>
            <w:vAlign w:val="center"/>
          </w:tcPr>
          <w:p w14:paraId="06A94A2D" w14:textId="77777777" w:rsidR="0019756F" w:rsidRPr="00060053" w:rsidRDefault="0019756F" w:rsidP="0019756F">
            <w:pPr>
              <w:pStyle w:val="Textonotapie"/>
              <w:spacing w:line="264" w:lineRule="auto"/>
              <w:rPr>
                <w:rFonts w:asciiTheme="majorHAnsi" w:hAnsiTheme="majorHAnsi"/>
                <w:bCs/>
                <w:sz w:val="18"/>
                <w:szCs w:val="18"/>
              </w:rPr>
            </w:pPr>
            <w:r w:rsidRPr="00060053">
              <w:rPr>
                <w:rFonts w:asciiTheme="majorHAnsi" w:hAnsiTheme="majorHAnsi"/>
                <w:bCs/>
                <w:sz w:val="18"/>
                <w:szCs w:val="18"/>
              </w:rPr>
              <w:t xml:space="preserve">Área Comunicación Servicios </w:t>
            </w:r>
          </w:p>
        </w:tc>
        <w:tc>
          <w:tcPr>
            <w:tcW w:w="4819" w:type="dxa"/>
            <w:shd w:val="clear" w:color="auto" w:fill="F2F2F2" w:themeFill="background1" w:themeFillShade="F2"/>
            <w:vAlign w:val="center"/>
          </w:tcPr>
          <w:p w14:paraId="06A94A2E" w14:textId="77777777" w:rsidR="0019756F" w:rsidRPr="00060053" w:rsidRDefault="0019756F" w:rsidP="00B05EAB">
            <w:pPr>
              <w:spacing w:line="264" w:lineRule="auto"/>
              <w:rPr>
                <w:rFonts w:asciiTheme="majorHAnsi" w:hAnsiTheme="majorHAnsi"/>
                <w:bCs/>
                <w:sz w:val="18"/>
                <w:szCs w:val="18"/>
              </w:rPr>
            </w:pPr>
            <w:r w:rsidRPr="00060053">
              <w:rPr>
                <w:rFonts w:asciiTheme="majorHAnsi" w:hAnsiTheme="majorHAnsi"/>
                <w:bCs/>
                <w:sz w:val="18"/>
                <w:szCs w:val="18"/>
              </w:rPr>
              <w:t>Vinculación de Objetivos, Metas e Indicadores de Gestión</w:t>
            </w:r>
          </w:p>
        </w:tc>
      </w:tr>
      <w:tr w:rsidR="0019756F" w:rsidRPr="00060053" w14:paraId="06A94A33" w14:textId="77777777" w:rsidTr="003D2E9C">
        <w:trPr>
          <w:trHeight w:val="553"/>
        </w:trPr>
        <w:tc>
          <w:tcPr>
            <w:tcW w:w="851" w:type="dxa"/>
            <w:vAlign w:val="center"/>
          </w:tcPr>
          <w:p w14:paraId="06A94A30" w14:textId="77777777" w:rsidR="0019756F" w:rsidRPr="00060053" w:rsidRDefault="0019756F" w:rsidP="00762B48">
            <w:pPr>
              <w:spacing w:line="264" w:lineRule="auto"/>
              <w:jc w:val="center"/>
              <w:rPr>
                <w:rFonts w:asciiTheme="majorHAnsi" w:hAnsiTheme="majorHAnsi"/>
                <w:bCs/>
                <w:sz w:val="18"/>
                <w:szCs w:val="18"/>
              </w:rPr>
            </w:pPr>
            <w:r w:rsidRPr="00060053">
              <w:rPr>
                <w:rFonts w:asciiTheme="majorHAnsi" w:hAnsiTheme="majorHAnsi"/>
                <w:bCs/>
                <w:sz w:val="18"/>
                <w:szCs w:val="18"/>
              </w:rPr>
              <w:t>3</w:t>
            </w:r>
          </w:p>
        </w:tc>
        <w:tc>
          <w:tcPr>
            <w:tcW w:w="3118" w:type="dxa"/>
            <w:vAlign w:val="center"/>
          </w:tcPr>
          <w:p w14:paraId="06A94A31" w14:textId="77777777" w:rsidR="0019756F" w:rsidRPr="00060053" w:rsidRDefault="0019756F" w:rsidP="0019756F">
            <w:pPr>
              <w:spacing w:line="264" w:lineRule="auto"/>
              <w:rPr>
                <w:rFonts w:asciiTheme="majorHAnsi" w:hAnsiTheme="majorHAnsi"/>
                <w:bCs/>
                <w:sz w:val="18"/>
                <w:szCs w:val="18"/>
              </w:rPr>
            </w:pPr>
            <w:r w:rsidRPr="00060053">
              <w:rPr>
                <w:rFonts w:asciiTheme="majorHAnsi" w:hAnsiTheme="majorHAnsi"/>
                <w:bCs/>
                <w:sz w:val="18"/>
                <w:szCs w:val="18"/>
              </w:rPr>
              <w:t xml:space="preserve">División Jurídica </w:t>
            </w:r>
          </w:p>
        </w:tc>
        <w:tc>
          <w:tcPr>
            <w:tcW w:w="4819" w:type="dxa"/>
            <w:vAlign w:val="center"/>
          </w:tcPr>
          <w:p w14:paraId="06A94A32" w14:textId="77777777" w:rsidR="0019756F" w:rsidRPr="00060053" w:rsidRDefault="0019756F" w:rsidP="00B05EAB">
            <w:pPr>
              <w:spacing w:line="264" w:lineRule="auto"/>
              <w:rPr>
                <w:rFonts w:asciiTheme="majorHAnsi" w:hAnsiTheme="majorHAnsi"/>
                <w:bCs/>
                <w:sz w:val="18"/>
                <w:szCs w:val="18"/>
              </w:rPr>
            </w:pPr>
            <w:r w:rsidRPr="00060053">
              <w:rPr>
                <w:rFonts w:asciiTheme="majorHAnsi" w:hAnsiTheme="majorHAnsi"/>
                <w:bCs/>
                <w:sz w:val="18"/>
                <w:szCs w:val="18"/>
              </w:rPr>
              <w:t>Vinculación de Objetivos, Metas e Indicadores de Gestión</w:t>
            </w:r>
          </w:p>
        </w:tc>
      </w:tr>
      <w:tr w:rsidR="0019756F" w:rsidRPr="00060053" w14:paraId="06A94A37" w14:textId="77777777" w:rsidTr="00DF69B9">
        <w:trPr>
          <w:trHeight w:val="545"/>
        </w:trPr>
        <w:tc>
          <w:tcPr>
            <w:tcW w:w="851" w:type="dxa"/>
            <w:shd w:val="clear" w:color="auto" w:fill="F2F2F2" w:themeFill="background1" w:themeFillShade="F2"/>
            <w:vAlign w:val="center"/>
          </w:tcPr>
          <w:p w14:paraId="06A94A34" w14:textId="77777777" w:rsidR="0019756F" w:rsidRPr="00060053" w:rsidRDefault="0019756F" w:rsidP="00762B48">
            <w:pPr>
              <w:spacing w:line="264" w:lineRule="auto"/>
              <w:jc w:val="center"/>
              <w:rPr>
                <w:rFonts w:asciiTheme="majorHAnsi" w:hAnsiTheme="majorHAnsi"/>
                <w:bCs/>
                <w:sz w:val="18"/>
                <w:szCs w:val="18"/>
              </w:rPr>
            </w:pPr>
            <w:r w:rsidRPr="00060053">
              <w:rPr>
                <w:rFonts w:asciiTheme="majorHAnsi" w:hAnsiTheme="majorHAnsi"/>
                <w:bCs/>
                <w:sz w:val="18"/>
                <w:szCs w:val="18"/>
              </w:rPr>
              <w:t>4</w:t>
            </w:r>
          </w:p>
        </w:tc>
        <w:tc>
          <w:tcPr>
            <w:tcW w:w="3118" w:type="dxa"/>
            <w:shd w:val="clear" w:color="auto" w:fill="F2F2F2" w:themeFill="background1" w:themeFillShade="F2"/>
            <w:vAlign w:val="center"/>
          </w:tcPr>
          <w:p w14:paraId="06A94A35" w14:textId="77777777" w:rsidR="0019756F" w:rsidRPr="00060053" w:rsidRDefault="0019756F" w:rsidP="0019756F">
            <w:pPr>
              <w:pStyle w:val="Textonotapie"/>
              <w:spacing w:line="264" w:lineRule="auto"/>
              <w:rPr>
                <w:rFonts w:asciiTheme="majorHAnsi" w:hAnsiTheme="majorHAnsi"/>
                <w:bCs/>
                <w:sz w:val="18"/>
                <w:szCs w:val="18"/>
              </w:rPr>
            </w:pPr>
            <w:r w:rsidRPr="00060053">
              <w:rPr>
                <w:rFonts w:asciiTheme="majorHAnsi" w:hAnsiTheme="majorHAnsi"/>
                <w:bCs/>
                <w:sz w:val="18"/>
                <w:szCs w:val="18"/>
              </w:rPr>
              <w:t xml:space="preserve">División de Planificación y Normativa </w:t>
            </w:r>
          </w:p>
        </w:tc>
        <w:tc>
          <w:tcPr>
            <w:tcW w:w="4819" w:type="dxa"/>
            <w:shd w:val="clear" w:color="auto" w:fill="F2F2F2" w:themeFill="background1" w:themeFillShade="F2"/>
            <w:vAlign w:val="center"/>
          </w:tcPr>
          <w:p w14:paraId="06A94A36" w14:textId="77777777" w:rsidR="0019756F" w:rsidRPr="00060053" w:rsidRDefault="0019756F" w:rsidP="00B05EAB">
            <w:pPr>
              <w:spacing w:line="264" w:lineRule="auto"/>
              <w:rPr>
                <w:rFonts w:asciiTheme="majorHAnsi" w:hAnsiTheme="majorHAnsi"/>
                <w:bCs/>
                <w:sz w:val="18"/>
                <w:szCs w:val="18"/>
              </w:rPr>
            </w:pPr>
            <w:r w:rsidRPr="00060053">
              <w:rPr>
                <w:rFonts w:asciiTheme="majorHAnsi" w:hAnsiTheme="majorHAnsi"/>
                <w:bCs/>
                <w:sz w:val="18"/>
                <w:szCs w:val="18"/>
              </w:rPr>
              <w:t>Vinculación de Objetivos, Metas e Indicadores de Gestión</w:t>
            </w:r>
          </w:p>
        </w:tc>
      </w:tr>
      <w:tr w:rsidR="0019756F" w:rsidRPr="00060053" w14:paraId="06A94A3B" w14:textId="77777777" w:rsidTr="003D2E9C">
        <w:tc>
          <w:tcPr>
            <w:tcW w:w="851" w:type="dxa"/>
            <w:vAlign w:val="center"/>
          </w:tcPr>
          <w:p w14:paraId="06A94A38" w14:textId="77777777" w:rsidR="0019756F" w:rsidRPr="00060053" w:rsidRDefault="0019756F" w:rsidP="00762B48">
            <w:pPr>
              <w:spacing w:line="264" w:lineRule="auto"/>
              <w:jc w:val="center"/>
              <w:rPr>
                <w:rFonts w:asciiTheme="majorHAnsi" w:hAnsiTheme="majorHAnsi"/>
                <w:bCs/>
                <w:sz w:val="18"/>
                <w:szCs w:val="18"/>
              </w:rPr>
            </w:pPr>
            <w:r w:rsidRPr="00060053">
              <w:rPr>
                <w:rFonts w:asciiTheme="majorHAnsi" w:hAnsiTheme="majorHAnsi"/>
                <w:bCs/>
                <w:sz w:val="18"/>
                <w:szCs w:val="18"/>
              </w:rPr>
              <w:t>5</w:t>
            </w:r>
          </w:p>
        </w:tc>
        <w:tc>
          <w:tcPr>
            <w:tcW w:w="3118" w:type="dxa"/>
            <w:vAlign w:val="center"/>
          </w:tcPr>
          <w:p w14:paraId="06A94A39" w14:textId="77777777" w:rsidR="0019756F" w:rsidRPr="00060053" w:rsidRDefault="0019756F" w:rsidP="0019756F">
            <w:pPr>
              <w:spacing w:line="264" w:lineRule="auto"/>
              <w:rPr>
                <w:rFonts w:asciiTheme="majorHAnsi" w:hAnsiTheme="majorHAnsi"/>
                <w:bCs/>
                <w:sz w:val="18"/>
                <w:szCs w:val="18"/>
              </w:rPr>
            </w:pPr>
            <w:r w:rsidRPr="00060053">
              <w:rPr>
                <w:rFonts w:asciiTheme="majorHAnsi" w:hAnsiTheme="majorHAnsi"/>
                <w:bCs/>
                <w:sz w:val="18"/>
                <w:szCs w:val="18"/>
              </w:rPr>
              <w:t xml:space="preserve">División de Supervisión Regímenes Colectivos </w:t>
            </w:r>
          </w:p>
        </w:tc>
        <w:tc>
          <w:tcPr>
            <w:tcW w:w="4819" w:type="dxa"/>
            <w:vAlign w:val="center"/>
          </w:tcPr>
          <w:p w14:paraId="06A94A3A" w14:textId="77777777" w:rsidR="0019756F" w:rsidRPr="00060053" w:rsidRDefault="0019756F" w:rsidP="00B05EAB">
            <w:pPr>
              <w:spacing w:line="264" w:lineRule="auto"/>
              <w:rPr>
                <w:rFonts w:asciiTheme="majorHAnsi" w:hAnsiTheme="majorHAnsi"/>
                <w:bCs/>
                <w:sz w:val="18"/>
                <w:szCs w:val="18"/>
              </w:rPr>
            </w:pPr>
            <w:r w:rsidRPr="00060053">
              <w:rPr>
                <w:rFonts w:asciiTheme="majorHAnsi" w:hAnsiTheme="majorHAnsi"/>
                <w:bCs/>
                <w:sz w:val="18"/>
                <w:szCs w:val="18"/>
              </w:rPr>
              <w:t>Vinculación de Objetivos, Metas e Indicadores de Gestión</w:t>
            </w:r>
          </w:p>
        </w:tc>
      </w:tr>
      <w:tr w:rsidR="0019756F" w:rsidRPr="00060053" w14:paraId="06A94A3F" w14:textId="77777777" w:rsidTr="00DF69B9">
        <w:tc>
          <w:tcPr>
            <w:tcW w:w="851" w:type="dxa"/>
            <w:shd w:val="clear" w:color="auto" w:fill="F2F2F2" w:themeFill="background1" w:themeFillShade="F2"/>
            <w:vAlign w:val="center"/>
          </w:tcPr>
          <w:p w14:paraId="06A94A3C" w14:textId="77777777" w:rsidR="0019756F" w:rsidRPr="00060053" w:rsidRDefault="0019756F" w:rsidP="00762B48">
            <w:pPr>
              <w:spacing w:line="264" w:lineRule="auto"/>
              <w:jc w:val="center"/>
              <w:rPr>
                <w:rFonts w:asciiTheme="majorHAnsi" w:hAnsiTheme="majorHAnsi"/>
                <w:bCs/>
                <w:sz w:val="18"/>
                <w:szCs w:val="18"/>
              </w:rPr>
            </w:pPr>
            <w:r w:rsidRPr="00060053">
              <w:rPr>
                <w:rFonts w:asciiTheme="majorHAnsi" w:hAnsiTheme="majorHAnsi"/>
                <w:bCs/>
                <w:sz w:val="18"/>
                <w:szCs w:val="18"/>
              </w:rPr>
              <w:t>6</w:t>
            </w:r>
          </w:p>
        </w:tc>
        <w:tc>
          <w:tcPr>
            <w:tcW w:w="3118" w:type="dxa"/>
            <w:shd w:val="clear" w:color="auto" w:fill="F2F2F2" w:themeFill="background1" w:themeFillShade="F2"/>
            <w:vAlign w:val="center"/>
          </w:tcPr>
          <w:p w14:paraId="06A94A3D" w14:textId="77777777" w:rsidR="0019756F" w:rsidRPr="00060053" w:rsidRDefault="0019756F" w:rsidP="0019756F">
            <w:pPr>
              <w:spacing w:line="264" w:lineRule="auto"/>
              <w:rPr>
                <w:rFonts w:asciiTheme="majorHAnsi" w:hAnsiTheme="majorHAnsi"/>
                <w:bCs/>
                <w:sz w:val="18"/>
                <w:szCs w:val="18"/>
              </w:rPr>
            </w:pPr>
            <w:r w:rsidRPr="00060053">
              <w:rPr>
                <w:rFonts w:asciiTheme="majorHAnsi" w:hAnsiTheme="majorHAnsi"/>
                <w:bCs/>
                <w:sz w:val="18"/>
                <w:szCs w:val="18"/>
              </w:rPr>
              <w:t>División de Supervisión Regímenes Capitalización Individual</w:t>
            </w:r>
          </w:p>
        </w:tc>
        <w:tc>
          <w:tcPr>
            <w:tcW w:w="4819" w:type="dxa"/>
            <w:shd w:val="clear" w:color="auto" w:fill="F2F2F2" w:themeFill="background1" w:themeFillShade="F2"/>
            <w:vAlign w:val="center"/>
          </w:tcPr>
          <w:p w14:paraId="06A94A3E" w14:textId="77777777" w:rsidR="0019756F" w:rsidRPr="00060053" w:rsidRDefault="0019756F" w:rsidP="00B05EAB">
            <w:pPr>
              <w:spacing w:line="264" w:lineRule="auto"/>
              <w:rPr>
                <w:rFonts w:asciiTheme="majorHAnsi" w:hAnsiTheme="majorHAnsi"/>
                <w:bCs/>
                <w:sz w:val="18"/>
                <w:szCs w:val="18"/>
              </w:rPr>
            </w:pPr>
            <w:r w:rsidRPr="00060053">
              <w:rPr>
                <w:rFonts w:asciiTheme="majorHAnsi" w:hAnsiTheme="majorHAnsi"/>
                <w:bCs/>
                <w:sz w:val="18"/>
                <w:szCs w:val="18"/>
              </w:rPr>
              <w:t>Vinculación de Objetivos, Metas e Indicadores de Gestión</w:t>
            </w:r>
          </w:p>
        </w:tc>
      </w:tr>
      <w:tr w:rsidR="0019756F" w:rsidRPr="00060053" w14:paraId="06A94A47" w14:textId="77777777" w:rsidTr="003D2E9C">
        <w:tc>
          <w:tcPr>
            <w:tcW w:w="851" w:type="dxa"/>
            <w:vAlign w:val="center"/>
          </w:tcPr>
          <w:p w14:paraId="06A94A44" w14:textId="49306A7F" w:rsidR="0019756F" w:rsidRPr="00060053" w:rsidRDefault="006E4C53" w:rsidP="00762B48">
            <w:pPr>
              <w:spacing w:line="264" w:lineRule="auto"/>
              <w:jc w:val="center"/>
              <w:rPr>
                <w:rFonts w:asciiTheme="majorHAnsi" w:hAnsiTheme="majorHAnsi"/>
                <w:bCs/>
                <w:sz w:val="18"/>
                <w:szCs w:val="18"/>
              </w:rPr>
            </w:pPr>
            <w:r>
              <w:rPr>
                <w:rFonts w:asciiTheme="majorHAnsi" w:hAnsiTheme="majorHAnsi"/>
                <w:bCs/>
                <w:sz w:val="18"/>
                <w:szCs w:val="18"/>
              </w:rPr>
              <w:t>7</w:t>
            </w:r>
          </w:p>
        </w:tc>
        <w:tc>
          <w:tcPr>
            <w:tcW w:w="3118" w:type="dxa"/>
            <w:vAlign w:val="center"/>
          </w:tcPr>
          <w:p w14:paraId="06A94A45" w14:textId="30B44083" w:rsidR="0019756F" w:rsidRPr="00060053" w:rsidRDefault="001666DD" w:rsidP="0086099F">
            <w:pPr>
              <w:pStyle w:val="Textonotapie"/>
              <w:spacing w:line="264" w:lineRule="auto"/>
              <w:rPr>
                <w:rFonts w:asciiTheme="majorHAnsi" w:hAnsiTheme="majorHAnsi"/>
                <w:bCs/>
                <w:sz w:val="18"/>
                <w:szCs w:val="18"/>
              </w:rPr>
            </w:pPr>
            <w:r w:rsidRPr="00131F24">
              <w:rPr>
                <w:rFonts w:asciiTheme="majorHAnsi" w:hAnsiTheme="majorHAnsi"/>
                <w:bCs/>
                <w:sz w:val="18"/>
                <w:szCs w:val="18"/>
              </w:rPr>
              <w:t>MAP</w:t>
            </w:r>
            <w:r w:rsidR="005303B0" w:rsidRPr="00131F24">
              <w:rPr>
                <w:rFonts w:asciiTheme="majorHAnsi" w:hAnsiTheme="majorHAnsi"/>
                <w:bCs/>
                <w:sz w:val="18"/>
                <w:szCs w:val="18"/>
              </w:rPr>
              <w:t>P</w:t>
            </w:r>
          </w:p>
        </w:tc>
        <w:tc>
          <w:tcPr>
            <w:tcW w:w="4819" w:type="dxa"/>
            <w:vAlign w:val="center"/>
          </w:tcPr>
          <w:p w14:paraId="06A94A46" w14:textId="77777777" w:rsidR="0019756F" w:rsidRPr="00060053" w:rsidRDefault="0019756F" w:rsidP="00B05EAB">
            <w:pPr>
              <w:spacing w:line="264" w:lineRule="auto"/>
              <w:rPr>
                <w:rFonts w:asciiTheme="majorHAnsi" w:hAnsiTheme="majorHAnsi"/>
                <w:bCs/>
                <w:sz w:val="18"/>
                <w:szCs w:val="18"/>
              </w:rPr>
            </w:pPr>
            <w:r w:rsidRPr="00060053">
              <w:rPr>
                <w:rFonts w:asciiTheme="majorHAnsi" w:hAnsiTheme="majorHAnsi"/>
                <w:bCs/>
                <w:sz w:val="18"/>
                <w:szCs w:val="18"/>
              </w:rPr>
              <w:t>Vinculación de Objetivos, Metas e Indicadores de Gestión</w:t>
            </w:r>
          </w:p>
        </w:tc>
      </w:tr>
    </w:tbl>
    <w:p w14:paraId="06A94A48" w14:textId="77777777" w:rsidR="00ED04A1" w:rsidRPr="00060053" w:rsidRDefault="00ED04A1">
      <w:pPr>
        <w:rPr>
          <w:rFonts w:asciiTheme="majorHAnsi" w:hAnsiTheme="majorHAnsi"/>
          <w:bCs/>
        </w:rPr>
      </w:pPr>
      <w:r w:rsidRPr="00060053">
        <w:rPr>
          <w:rFonts w:asciiTheme="majorHAnsi" w:hAnsiTheme="majorHAnsi"/>
          <w:bCs/>
        </w:rPr>
        <w:br w:type="page"/>
      </w:r>
    </w:p>
    <w:p w14:paraId="06A94A49" w14:textId="77777777" w:rsidR="00E236FA" w:rsidRPr="0048130B" w:rsidRDefault="0048130B" w:rsidP="0048130B">
      <w:pPr>
        <w:pStyle w:val="Ttulo3"/>
        <w:rPr>
          <w:rFonts w:asciiTheme="majorHAnsi" w:hAnsiTheme="majorHAnsi"/>
          <w:bCs w:val="0"/>
          <w:sz w:val="22"/>
          <w:szCs w:val="22"/>
          <w:lang w:val="es-ES_tradnl"/>
        </w:rPr>
      </w:pPr>
      <w:bookmarkStart w:id="42" w:name="_Toc429562737"/>
      <w:bookmarkStart w:id="43" w:name="_Toc442253214"/>
      <w:r>
        <w:rPr>
          <w:rFonts w:asciiTheme="majorHAnsi" w:hAnsiTheme="majorHAnsi"/>
          <w:bCs w:val="0"/>
          <w:sz w:val="22"/>
          <w:szCs w:val="22"/>
          <w:lang w:val="es-ES_tradnl"/>
        </w:rPr>
        <w:lastRenderedPageBreak/>
        <w:t>2.3.2.</w:t>
      </w:r>
      <w:r>
        <w:rPr>
          <w:rFonts w:asciiTheme="majorHAnsi" w:hAnsiTheme="majorHAnsi"/>
          <w:bCs w:val="0"/>
          <w:sz w:val="22"/>
          <w:szCs w:val="22"/>
          <w:lang w:val="es-ES_tradnl"/>
        </w:rPr>
        <w:tab/>
      </w:r>
      <w:r w:rsidR="00E236FA" w:rsidRPr="0048130B">
        <w:rPr>
          <w:rFonts w:asciiTheme="majorHAnsi" w:hAnsiTheme="majorHAnsi"/>
          <w:bCs w:val="0"/>
          <w:sz w:val="22"/>
          <w:szCs w:val="22"/>
          <w:lang w:val="es-ES_tradnl"/>
        </w:rPr>
        <w:t>Resumen de Metas Institucionales.</w:t>
      </w:r>
      <w:bookmarkEnd w:id="42"/>
      <w:bookmarkEnd w:id="43"/>
    </w:p>
    <w:p w14:paraId="06A94A4A" w14:textId="77777777" w:rsidR="008F4666" w:rsidRPr="00F259A4" w:rsidRDefault="008F4666" w:rsidP="008F4666">
      <w:pPr>
        <w:jc w:val="both"/>
        <w:rPr>
          <w:rFonts w:asciiTheme="majorHAnsi" w:hAnsiTheme="majorHAnsi"/>
          <w:b/>
          <w:bCs/>
          <w:sz w:val="22"/>
          <w:szCs w:val="22"/>
          <w:lang w:val="es-ES_tradnl"/>
        </w:rPr>
      </w:pPr>
    </w:p>
    <w:tbl>
      <w:tblPr>
        <w:tblW w:w="8469" w:type="dxa"/>
        <w:tblInd w:w="637" w:type="dxa"/>
        <w:tblCellMar>
          <w:left w:w="70" w:type="dxa"/>
          <w:right w:w="70" w:type="dxa"/>
        </w:tblCellMar>
        <w:tblLook w:val="04A0" w:firstRow="1" w:lastRow="0" w:firstColumn="1" w:lastColumn="0" w:noHBand="0" w:noVBand="1"/>
      </w:tblPr>
      <w:tblGrid>
        <w:gridCol w:w="582"/>
        <w:gridCol w:w="760"/>
        <w:gridCol w:w="7127"/>
      </w:tblGrid>
      <w:tr w:rsidR="0034365F" w:rsidRPr="00060053" w14:paraId="06A94A4F" w14:textId="77777777" w:rsidTr="001D1BED">
        <w:trPr>
          <w:trHeight w:val="255"/>
          <w:tblHeader/>
        </w:trPr>
        <w:tc>
          <w:tcPr>
            <w:tcW w:w="582" w:type="dxa"/>
            <w:vMerge w:val="restart"/>
            <w:tcBorders>
              <w:top w:val="single" w:sz="4" w:space="0" w:color="auto"/>
              <w:left w:val="single" w:sz="4" w:space="0" w:color="auto"/>
              <w:bottom w:val="single" w:sz="4" w:space="0" w:color="000000"/>
              <w:right w:val="single" w:sz="4" w:space="0" w:color="auto"/>
            </w:tcBorders>
            <w:shd w:val="clear" w:color="auto" w:fill="8DB3E2" w:themeFill="text2" w:themeFillTint="66"/>
            <w:vAlign w:val="center"/>
            <w:hideMark/>
          </w:tcPr>
          <w:p w14:paraId="06A94A4B" w14:textId="77777777" w:rsidR="0034365F" w:rsidRPr="00060053" w:rsidRDefault="0034365F">
            <w:pPr>
              <w:jc w:val="center"/>
              <w:rPr>
                <w:rFonts w:asciiTheme="minorHAnsi" w:hAnsiTheme="minorHAnsi" w:cstheme="minorHAnsi"/>
                <w:b/>
                <w:bCs/>
                <w:sz w:val="16"/>
                <w:szCs w:val="16"/>
              </w:rPr>
            </w:pPr>
          </w:p>
        </w:tc>
        <w:tc>
          <w:tcPr>
            <w:tcW w:w="760" w:type="dxa"/>
            <w:vMerge w:val="restart"/>
            <w:tcBorders>
              <w:top w:val="single" w:sz="4" w:space="0" w:color="auto"/>
              <w:left w:val="single" w:sz="4" w:space="0" w:color="auto"/>
              <w:bottom w:val="single" w:sz="4" w:space="0" w:color="000000"/>
              <w:right w:val="single" w:sz="4" w:space="0" w:color="auto"/>
            </w:tcBorders>
            <w:shd w:val="clear" w:color="auto" w:fill="8DB3E2" w:themeFill="text2" w:themeFillTint="66"/>
            <w:vAlign w:val="center"/>
            <w:hideMark/>
          </w:tcPr>
          <w:p w14:paraId="06A94A4C" w14:textId="77777777" w:rsidR="00CC3869" w:rsidRPr="00060053" w:rsidRDefault="0034365F">
            <w:pPr>
              <w:jc w:val="center"/>
              <w:rPr>
                <w:rFonts w:asciiTheme="minorHAnsi" w:hAnsiTheme="minorHAnsi" w:cstheme="minorHAnsi"/>
                <w:b/>
                <w:bCs/>
                <w:sz w:val="16"/>
                <w:szCs w:val="16"/>
              </w:rPr>
            </w:pPr>
            <w:r w:rsidRPr="00060053">
              <w:rPr>
                <w:rFonts w:asciiTheme="minorHAnsi" w:hAnsiTheme="minorHAnsi" w:cstheme="minorHAnsi"/>
                <w:b/>
                <w:bCs/>
                <w:sz w:val="16"/>
                <w:szCs w:val="16"/>
              </w:rPr>
              <w:t xml:space="preserve"> # </w:t>
            </w:r>
          </w:p>
          <w:p w14:paraId="06A94A4D" w14:textId="77777777" w:rsidR="0034365F" w:rsidRPr="00060053" w:rsidRDefault="0034365F">
            <w:pPr>
              <w:jc w:val="center"/>
              <w:rPr>
                <w:rFonts w:asciiTheme="minorHAnsi" w:hAnsiTheme="minorHAnsi" w:cstheme="minorHAnsi"/>
                <w:b/>
                <w:bCs/>
                <w:sz w:val="16"/>
                <w:szCs w:val="16"/>
              </w:rPr>
            </w:pPr>
            <w:r w:rsidRPr="00060053">
              <w:rPr>
                <w:rFonts w:asciiTheme="minorHAnsi" w:hAnsiTheme="minorHAnsi" w:cstheme="minorHAnsi"/>
                <w:b/>
                <w:bCs/>
                <w:sz w:val="16"/>
                <w:szCs w:val="16"/>
              </w:rPr>
              <w:t>META</w:t>
            </w:r>
          </w:p>
        </w:tc>
        <w:tc>
          <w:tcPr>
            <w:tcW w:w="7127" w:type="dxa"/>
            <w:vMerge w:val="restart"/>
            <w:tcBorders>
              <w:top w:val="single" w:sz="4" w:space="0" w:color="auto"/>
              <w:left w:val="single" w:sz="4" w:space="0" w:color="auto"/>
              <w:bottom w:val="single" w:sz="4" w:space="0" w:color="000000"/>
              <w:right w:val="single" w:sz="4" w:space="0" w:color="auto"/>
            </w:tcBorders>
            <w:shd w:val="clear" w:color="auto" w:fill="8DB3E2" w:themeFill="text2" w:themeFillTint="66"/>
            <w:vAlign w:val="center"/>
            <w:hideMark/>
          </w:tcPr>
          <w:p w14:paraId="06A94A4E" w14:textId="77777777" w:rsidR="0034365F" w:rsidRPr="00060053" w:rsidRDefault="0034365F">
            <w:pPr>
              <w:jc w:val="center"/>
              <w:rPr>
                <w:rFonts w:asciiTheme="minorHAnsi" w:hAnsiTheme="minorHAnsi" w:cstheme="minorHAnsi"/>
                <w:b/>
                <w:bCs/>
                <w:sz w:val="16"/>
                <w:szCs w:val="16"/>
              </w:rPr>
            </w:pPr>
            <w:r w:rsidRPr="00060053">
              <w:rPr>
                <w:rFonts w:asciiTheme="minorHAnsi" w:hAnsiTheme="minorHAnsi" w:cstheme="minorHAnsi"/>
                <w:b/>
                <w:bCs/>
                <w:sz w:val="16"/>
                <w:szCs w:val="16"/>
              </w:rPr>
              <w:t>ENUNCIADO</w:t>
            </w:r>
          </w:p>
        </w:tc>
      </w:tr>
      <w:tr w:rsidR="0034365F" w:rsidRPr="00060053" w14:paraId="06A94A53" w14:textId="77777777" w:rsidTr="001D1BED">
        <w:trPr>
          <w:trHeight w:val="195"/>
        </w:trPr>
        <w:tc>
          <w:tcPr>
            <w:tcW w:w="582" w:type="dxa"/>
            <w:vMerge/>
            <w:tcBorders>
              <w:top w:val="single" w:sz="4" w:space="0" w:color="auto"/>
              <w:left w:val="single" w:sz="4" w:space="0" w:color="auto"/>
              <w:bottom w:val="single" w:sz="4" w:space="0" w:color="000000"/>
              <w:right w:val="single" w:sz="4" w:space="0" w:color="auto"/>
            </w:tcBorders>
            <w:shd w:val="clear" w:color="auto" w:fill="8DB3E2" w:themeFill="text2" w:themeFillTint="66"/>
            <w:vAlign w:val="center"/>
            <w:hideMark/>
          </w:tcPr>
          <w:p w14:paraId="06A94A50" w14:textId="77777777" w:rsidR="0034365F" w:rsidRPr="00060053" w:rsidRDefault="0034365F">
            <w:pPr>
              <w:rPr>
                <w:rFonts w:asciiTheme="minorHAnsi" w:hAnsiTheme="minorHAnsi" w:cstheme="minorHAnsi"/>
                <w:b/>
                <w:bCs/>
                <w:sz w:val="16"/>
                <w:szCs w:val="16"/>
              </w:rPr>
            </w:pPr>
          </w:p>
        </w:tc>
        <w:tc>
          <w:tcPr>
            <w:tcW w:w="760" w:type="dxa"/>
            <w:vMerge/>
            <w:tcBorders>
              <w:top w:val="single" w:sz="4" w:space="0" w:color="auto"/>
              <w:left w:val="single" w:sz="4" w:space="0" w:color="auto"/>
              <w:bottom w:val="single" w:sz="4" w:space="0" w:color="000000"/>
              <w:right w:val="single" w:sz="4" w:space="0" w:color="auto"/>
            </w:tcBorders>
            <w:shd w:val="clear" w:color="auto" w:fill="8DB3E2" w:themeFill="text2" w:themeFillTint="66"/>
            <w:vAlign w:val="center"/>
            <w:hideMark/>
          </w:tcPr>
          <w:p w14:paraId="06A94A51" w14:textId="77777777" w:rsidR="0034365F" w:rsidRPr="00060053" w:rsidRDefault="0034365F">
            <w:pPr>
              <w:rPr>
                <w:rFonts w:asciiTheme="minorHAnsi" w:hAnsiTheme="minorHAnsi" w:cstheme="minorHAnsi"/>
                <w:b/>
                <w:bCs/>
                <w:sz w:val="16"/>
                <w:szCs w:val="16"/>
              </w:rPr>
            </w:pPr>
          </w:p>
        </w:tc>
        <w:tc>
          <w:tcPr>
            <w:tcW w:w="7127" w:type="dxa"/>
            <w:vMerge/>
            <w:tcBorders>
              <w:top w:val="single" w:sz="4" w:space="0" w:color="auto"/>
              <w:left w:val="single" w:sz="4" w:space="0" w:color="auto"/>
              <w:bottom w:val="single" w:sz="4" w:space="0" w:color="000000"/>
              <w:right w:val="single" w:sz="4" w:space="0" w:color="auto"/>
            </w:tcBorders>
            <w:shd w:val="clear" w:color="auto" w:fill="8DB3E2" w:themeFill="text2" w:themeFillTint="66"/>
            <w:vAlign w:val="center"/>
            <w:hideMark/>
          </w:tcPr>
          <w:p w14:paraId="06A94A52" w14:textId="77777777" w:rsidR="0034365F" w:rsidRPr="00060053" w:rsidRDefault="0034365F">
            <w:pPr>
              <w:rPr>
                <w:rFonts w:asciiTheme="minorHAnsi" w:hAnsiTheme="minorHAnsi" w:cstheme="minorHAnsi"/>
                <w:b/>
                <w:bCs/>
                <w:sz w:val="16"/>
                <w:szCs w:val="16"/>
              </w:rPr>
            </w:pPr>
          </w:p>
        </w:tc>
      </w:tr>
      <w:tr w:rsidR="0034365F" w:rsidRPr="00060053" w14:paraId="06A94A55" w14:textId="77777777" w:rsidTr="00BF3B94">
        <w:trPr>
          <w:trHeight w:val="315"/>
        </w:trPr>
        <w:tc>
          <w:tcPr>
            <w:tcW w:w="8469" w:type="dxa"/>
            <w:gridSpan w:val="3"/>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hideMark/>
          </w:tcPr>
          <w:p w14:paraId="06A94A54" w14:textId="77777777" w:rsidR="0034365F" w:rsidRPr="00060053" w:rsidRDefault="0034365F">
            <w:pPr>
              <w:rPr>
                <w:rFonts w:asciiTheme="minorHAnsi" w:hAnsiTheme="minorHAnsi" w:cstheme="minorHAnsi"/>
                <w:b/>
                <w:bCs/>
                <w:sz w:val="16"/>
                <w:szCs w:val="16"/>
              </w:rPr>
            </w:pPr>
            <w:r w:rsidRPr="00060053">
              <w:rPr>
                <w:rFonts w:asciiTheme="minorHAnsi" w:hAnsiTheme="minorHAnsi" w:cstheme="minorHAnsi"/>
                <w:b/>
                <w:bCs/>
                <w:sz w:val="16"/>
                <w:szCs w:val="16"/>
              </w:rPr>
              <w:t>DESPACHO</w:t>
            </w:r>
          </w:p>
        </w:tc>
      </w:tr>
      <w:tr w:rsidR="0034365F" w:rsidRPr="00060053" w14:paraId="06A94A59" w14:textId="77777777" w:rsidTr="00EA2E0B">
        <w:trPr>
          <w:trHeight w:val="518"/>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06A94A56" w14:textId="77777777" w:rsidR="0034365F" w:rsidRPr="00060053" w:rsidRDefault="0034365F">
            <w:pPr>
              <w:jc w:val="center"/>
              <w:rPr>
                <w:rFonts w:asciiTheme="minorHAnsi" w:hAnsiTheme="minorHAnsi" w:cstheme="minorHAnsi"/>
                <w:b/>
                <w:bCs/>
                <w:sz w:val="16"/>
                <w:szCs w:val="16"/>
              </w:rPr>
            </w:pPr>
            <w:r w:rsidRPr="00060053">
              <w:rPr>
                <w:rFonts w:asciiTheme="minorHAnsi" w:hAnsiTheme="minorHAnsi" w:cstheme="minorHAnsi"/>
                <w:b/>
                <w:bCs/>
                <w:sz w:val="16"/>
                <w:szCs w:val="16"/>
              </w:rPr>
              <w:t> </w:t>
            </w:r>
          </w:p>
        </w:tc>
        <w:tc>
          <w:tcPr>
            <w:tcW w:w="760" w:type="dxa"/>
            <w:tcBorders>
              <w:top w:val="nil"/>
              <w:left w:val="nil"/>
              <w:bottom w:val="single" w:sz="4" w:space="0" w:color="auto"/>
              <w:right w:val="single" w:sz="4" w:space="0" w:color="auto"/>
            </w:tcBorders>
            <w:shd w:val="clear" w:color="auto" w:fill="auto"/>
            <w:vAlign w:val="center"/>
            <w:hideMark/>
          </w:tcPr>
          <w:p w14:paraId="06A94A57" w14:textId="77777777" w:rsidR="0034365F" w:rsidRPr="00060053" w:rsidRDefault="0034365F">
            <w:pPr>
              <w:jc w:val="center"/>
              <w:rPr>
                <w:rFonts w:asciiTheme="minorHAnsi" w:hAnsiTheme="minorHAnsi" w:cstheme="minorHAnsi"/>
                <w:b/>
                <w:bCs/>
                <w:sz w:val="16"/>
                <w:szCs w:val="16"/>
              </w:rPr>
            </w:pPr>
            <w:r w:rsidRPr="00060053">
              <w:rPr>
                <w:rFonts w:asciiTheme="minorHAnsi" w:hAnsiTheme="minorHAnsi" w:cstheme="minorHAnsi"/>
                <w:b/>
                <w:bCs/>
                <w:sz w:val="16"/>
                <w:szCs w:val="16"/>
              </w:rPr>
              <w:t>1</w:t>
            </w:r>
          </w:p>
        </w:tc>
        <w:tc>
          <w:tcPr>
            <w:tcW w:w="7127" w:type="dxa"/>
            <w:tcBorders>
              <w:top w:val="nil"/>
              <w:left w:val="nil"/>
              <w:bottom w:val="single" w:sz="4" w:space="0" w:color="auto"/>
              <w:right w:val="single" w:sz="4" w:space="0" w:color="auto"/>
            </w:tcBorders>
            <w:shd w:val="clear" w:color="auto" w:fill="auto"/>
            <w:vAlign w:val="center"/>
            <w:hideMark/>
          </w:tcPr>
          <w:p w14:paraId="06A94A58" w14:textId="6DB1BD50" w:rsidR="0034365F" w:rsidRPr="00060053" w:rsidRDefault="0034365F" w:rsidP="00E7101C">
            <w:pPr>
              <w:jc w:val="both"/>
              <w:rPr>
                <w:rFonts w:asciiTheme="minorHAnsi" w:hAnsiTheme="minorHAnsi" w:cstheme="minorHAnsi"/>
                <w:sz w:val="16"/>
                <w:szCs w:val="16"/>
              </w:rPr>
            </w:pPr>
            <w:r w:rsidRPr="00060053">
              <w:rPr>
                <w:rFonts w:asciiTheme="minorHAnsi" w:hAnsiTheme="minorHAnsi" w:cstheme="minorHAnsi"/>
                <w:sz w:val="16"/>
                <w:szCs w:val="16"/>
              </w:rPr>
              <w:t>Tener, en promedio, los indicadores de cumplimiento de m</w:t>
            </w:r>
            <w:r w:rsidR="002A1A56">
              <w:rPr>
                <w:rFonts w:asciiTheme="minorHAnsi" w:hAnsiTheme="minorHAnsi" w:cstheme="minorHAnsi"/>
                <w:sz w:val="16"/>
                <w:szCs w:val="16"/>
              </w:rPr>
              <w:t>etas de toda la SUPEN</w:t>
            </w:r>
            <w:r w:rsidRPr="00060053">
              <w:rPr>
                <w:rFonts w:asciiTheme="minorHAnsi" w:hAnsiTheme="minorHAnsi" w:cstheme="minorHAnsi"/>
                <w:sz w:val="16"/>
                <w:szCs w:val="16"/>
              </w:rPr>
              <w:t xml:space="preserve"> con nota superior al 85%. </w:t>
            </w:r>
          </w:p>
        </w:tc>
      </w:tr>
      <w:tr w:rsidR="0034365F" w:rsidRPr="00060053" w14:paraId="06A94A5B" w14:textId="77777777" w:rsidTr="00BF3B94">
        <w:trPr>
          <w:trHeight w:val="315"/>
        </w:trPr>
        <w:tc>
          <w:tcPr>
            <w:tcW w:w="8469" w:type="dxa"/>
            <w:gridSpan w:val="3"/>
            <w:tcBorders>
              <w:top w:val="single" w:sz="4" w:space="0" w:color="auto"/>
              <w:left w:val="single" w:sz="4" w:space="0" w:color="auto"/>
              <w:bottom w:val="single" w:sz="4" w:space="0" w:color="auto"/>
              <w:right w:val="single" w:sz="4" w:space="0" w:color="000000"/>
            </w:tcBorders>
            <w:shd w:val="clear" w:color="auto" w:fill="B8CCE4" w:themeFill="accent1" w:themeFillTint="66"/>
            <w:noWrap/>
            <w:vAlign w:val="center"/>
            <w:hideMark/>
          </w:tcPr>
          <w:p w14:paraId="06A94A5A" w14:textId="77777777" w:rsidR="0034365F" w:rsidRPr="00060053" w:rsidRDefault="0034365F" w:rsidP="00E7101C">
            <w:pPr>
              <w:jc w:val="both"/>
              <w:rPr>
                <w:rFonts w:asciiTheme="minorHAnsi" w:hAnsiTheme="minorHAnsi" w:cstheme="minorHAnsi"/>
                <w:b/>
                <w:bCs/>
                <w:sz w:val="16"/>
                <w:szCs w:val="16"/>
              </w:rPr>
            </w:pPr>
            <w:r w:rsidRPr="00060053">
              <w:rPr>
                <w:rFonts w:asciiTheme="minorHAnsi" w:hAnsiTheme="minorHAnsi" w:cstheme="minorHAnsi"/>
                <w:b/>
                <w:bCs/>
                <w:sz w:val="16"/>
                <w:szCs w:val="16"/>
              </w:rPr>
              <w:t>DIVISIÓN JURÍDICA</w:t>
            </w:r>
          </w:p>
        </w:tc>
      </w:tr>
      <w:tr w:rsidR="0034365F" w:rsidRPr="00060053" w14:paraId="06A94A5F" w14:textId="77777777" w:rsidTr="00EA2E0B">
        <w:trPr>
          <w:trHeight w:val="503"/>
        </w:trPr>
        <w:tc>
          <w:tcPr>
            <w:tcW w:w="582" w:type="dxa"/>
            <w:vMerge w:val="restart"/>
            <w:tcBorders>
              <w:top w:val="nil"/>
              <w:left w:val="single" w:sz="4" w:space="0" w:color="auto"/>
              <w:bottom w:val="nil"/>
              <w:right w:val="single" w:sz="4" w:space="0" w:color="auto"/>
            </w:tcBorders>
            <w:shd w:val="clear" w:color="000000" w:fill="FFFFFF"/>
            <w:vAlign w:val="center"/>
            <w:hideMark/>
          </w:tcPr>
          <w:p w14:paraId="06A94A5C" w14:textId="77777777" w:rsidR="0034365F" w:rsidRPr="00060053" w:rsidRDefault="0034365F">
            <w:pPr>
              <w:jc w:val="center"/>
              <w:rPr>
                <w:rFonts w:asciiTheme="minorHAnsi" w:hAnsiTheme="minorHAnsi" w:cstheme="minorHAnsi"/>
                <w:b/>
                <w:bCs/>
                <w:sz w:val="16"/>
                <w:szCs w:val="16"/>
              </w:rPr>
            </w:pPr>
            <w:r w:rsidRPr="00060053">
              <w:rPr>
                <w:rFonts w:asciiTheme="minorHAnsi" w:hAnsiTheme="minorHAnsi" w:cstheme="minorHAnsi"/>
                <w:b/>
                <w:bCs/>
                <w:sz w:val="16"/>
                <w:szCs w:val="16"/>
              </w:rPr>
              <w:t> </w:t>
            </w:r>
          </w:p>
        </w:tc>
        <w:tc>
          <w:tcPr>
            <w:tcW w:w="760" w:type="dxa"/>
            <w:tcBorders>
              <w:top w:val="nil"/>
              <w:left w:val="nil"/>
              <w:bottom w:val="single" w:sz="4" w:space="0" w:color="auto"/>
              <w:right w:val="single" w:sz="4" w:space="0" w:color="auto"/>
            </w:tcBorders>
            <w:shd w:val="clear" w:color="auto" w:fill="auto"/>
            <w:vAlign w:val="center"/>
            <w:hideMark/>
          </w:tcPr>
          <w:p w14:paraId="06A94A5D" w14:textId="77777777" w:rsidR="0034365F" w:rsidRPr="00060053" w:rsidRDefault="0034365F">
            <w:pPr>
              <w:jc w:val="center"/>
              <w:rPr>
                <w:rFonts w:asciiTheme="minorHAnsi" w:hAnsiTheme="minorHAnsi" w:cstheme="minorHAnsi"/>
                <w:b/>
                <w:bCs/>
                <w:sz w:val="16"/>
                <w:szCs w:val="16"/>
              </w:rPr>
            </w:pPr>
            <w:r w:rsidRPr="00060053">
              <w:rPr>
                <w:rFonts w:asciiTheme="minorHAnsi" w:hAnsiTheme="minorHAnsi" w:cstheme="minorHAnsi"/>
                <w:b/>
                <w:bCs/>
                <w:sz w:val="16"/>
                <w:szCs w:val="16"/>
              </w:rPr>
              <w:t>2</w:t>
            </w:r>
          </w:p>
        </w:tc>
        <w:tc>
          <w:tcPr>
            <w:tcW w:w="7127" w:type="dxa"/>
            <w:tcBorders>
              <w:top w:val="nil"/>
              <w:left w:val="nil"/>
              <w:bottom w:val="single" w:sz="4" w:space="0" w:color="auto"/>
              <w:right w:val="single" w:sz="4" w:space="0" w:color="auto"/>
            </w:tcBorders>
            <w:shd w:val="clear" w:color="auto" w:fill="auto"/>
            <w:vAlign w:val="center"/>
            <w:hideMark/>
          </w:tcPr>
          <w:p w14:paraId="06A94A5E" w14:textId="38BF8099" w:rsidR="0034365F" w:rsidRPr="00060053" w:rsidRDefault="0034365F" w:rsidP="00E7101C">
            <w:pPr>
              <w:jc w:val="both"/>
              <w:rPr>
                <w:rFonts w:asciiTheme="minorHAnsi" w:hAnsiTheme="minorHAnsi" w:cstheme="minorHAnsi"/>
                <w:sz w:val="16"/>
                <w:szCs w:val="16"/>
              </w:rPr>
            </w:pPr>
            <w:r w:rsidRPr="00060053">
              <w:rPr>
                <w:rFonts w:asciiTheme="minorHAnsi" w:hAnsiTheme="minorHAnsi" w:cstheme="minorHAnsi"/>
                <w:sz w:val="16"/>
                <w:szCs w:val="16"/>
              </w:rPr>
              <w:t xml:space="preserve">Tramitar en tiempo las solicitudes de asesoría jurídica, denuncias y/o consultas </w:t>
            </w:r>
            <w:r w:rsidR="00272D9C" w:rsidRPr="00060053">
              <w:rPr>
                <w:rFonts w:asciiTheme="minorHAnsi" w:hAnsiTheme="minorHAnsi" w:cstheme="minorHAnsi"/>
                <w:sz w:val="16"/>
                <w:szCs w:val="16"/>
              </w:rPr>
              <w:t>jurídicas</w:t>
            </w:r>
            <w:r w:rsidRPr="00060053">
              <w:rPr>
                <w:rFonts w:asciiTheme="minorHAnsi" w:hAnsiTheme="minorHAnsi" w:cstheme="minorHAnsi"/>
                <w:sz w:val="16"/>
                <w:szCs w:val="16"/>
              </w:rPr>
              <w:t>; las denuncias y/o consultas de los afiliados y  los trámites judiciales</w:t>
            </w:r>
            <w:r w:rsidR="002A1A56">
              <w:rPr>
                <w:rFonts w:asciiTheme="minorHAnsi" w:hAnsiTheme="minorHAnsi" w:cstheme="minorHAnsi"/>
                <w:sz w:val="16"/>
                <w:szCs w:val="16"/>
              </w:rPr>
              <w:t>.</w:t>
            </w:r>
          </w:p>
        </w:tc>
      </w:tr>
      <w:tr w:rsidR="0034365F" w:rsidRPr="00060053" w14:paraId="06A94A63" w14:textId="77777777" w:rsidTr="00EA2E0B">
        <w:trPr>
          <w:trHeight w:val="566"/>
        </w:trPr>
        <w:tc>
          <w:tcPr>
            <w:tcW w:w="582" w:type="dxa"/>
            <w:vMerge/>
            <w:tcBorders>
              <w:top w:val="nil"/>
              <w:left w:val="single" w:sz="4" w:space="0" w:color="auto"/>
              <w:bottom w:val="nil"/>
              <w:right w:val="single" w:sz="4" w:space="0" w:color="auto"/>
            </w:tcBorders>
            <w:vAlign w:val="center"/>
            <w:hideMark/>
          </w:tcPr>
          <w:p w14:paraId="06A94A60" w14:textId="77777777" w:rsidR="0034365F" w:rsidRPr="00060053" w:rsidRDefault="0034365F">
            <w:pPr>
              <w:rPr>
                <w:rFonts w:asciiTheme="minorHAnsi" w:hAnsiTheme="minorHAnsi" w:cstheme="minorHAnsi"/>
                <w:b/>
                <w:bCs/>
                <w:sz w:val="16"/>
                <w:szCs w:val="16"/>
              </w:rPr>
            </w:pPr>
          </w:p>
        </w:tc>
        <w:tc>
          <w:tcPr>
            <w:tcW w:w="760" w:type="dxa"/>
            <w:tcBorders>
              <w:top w:val="nil"/>
              <w:left w:val="nil"/>
              <w:bottom w:val="single" w:sz="4" w:space="0" w:color="auto"/>
              <w:right w:val="single" w:sz="4" w:space="0" w:color="auto"/>
            </w:tcBorders>
            <w:shd w:val="clear" w:color="auto" w:fill="auto"/>
            <w:vAlign w:val="center"/>
            <w:hideMark/>
          </w:tcPr>
          <w:p w14:paraId="06A94A61" w14:textId="77777777" w:rsidR="0034365F" w:rsidRPr="00060053" w:rsidRDefault="0034365F">
            <w:pPr>
              <w:jc w:val="center"/>
              <w:rPr>
                <w:rFonts w:asciiTheme="minorHAnsi" w:hAnsiTheme="minorHAnsi" w:cstheme="minorHAnsi"/>
                <w:b/>
                <w:bCs/>
                <w:sz w:val="16"/>
                <w:szCs w:val="16"/>
              </w:rPr>
            </w:pPr>
            <w:r w:rsidRPr="00060053">
              <w:rPr>
                <w:rFonts w:asciiTheme="minorHAnsi" w:hAnsiTheme="minorHAnsi" w:cstheme="minorHAnsi"/>
                <w:b/>
                <w:bCs/>
                <w:sz w:val="16"/>
                <w:szCs w:val="16"/>
              </w:rPr>
              <w:t>3</w:t>
            </w:r>
          </w:p>
        </w:tc>
        <w:tc>
          <w:tcPr>
            <w:tcW w:w="7127" w:type="dxa"/>
            <w:tcBorders>
              <w:top w:val="nil"/>
              <w:left w:val="nil"/>
              <w:bottom w:val="single" w:sz="4" w:space="0" w:color="auto"/>
              <w:right w:val="single" w:sz="4" w:space="0" w:color="auto"/>
            </w:tcBorders>
            <w:shd w:val="clear" w:color="auto" w:fill="auto"/>
            <w:vAlign w:val="center"/>
            <w:hideMark/>
          </w:tcPr>
          <w:p w14:paraId="06A94A62" w14:textId="25B55296" w:rsidR="0034365F" w:rsidRPr="00060053" w:rsidRDefault="0034365F" w:rsidP="00E7101C">
            <w:pPr>
              <w:jc w:val="both"/>
              <w:rPr>
                <w:rFonts w:asciiTheme="minorHAnsi" w:hAnsiTheme="minorHAnsi" w:cstheme="minorHAnsi"/>
                <w:sz w:val="16"/>
                <w:szCs w:val="16"/>
              </w:rPr>
            </w:pPr>
            <w:r w:rsidRPr="00060053">
              <w:rPr>
                <w:rFonts w:asciiTheme="minorHAnsi" w:hAnsiTheme="minorHAnsi" w:cstheme="minorHAnsi"/>
                <w:sz w:val="16"/>
                <w:szCs w:val="16"/>
              </w:rPr>
              <w:t xml:space="preserve">Tramitar en un tiempo promedio no superior de seis meses calendario los procedimientos administrativos </w:t>
            </w:r>
            <w:r w:rsidR="00882B11">
              <w:rPr>
                <w:rFonts w:asciiTheme="minorHAnsi" w:hAnsiTheme="minorHAnsi" w:cstheme="minorHAnsi"/>
                <w:sz w:val="16"/>
                <w:szCs w:val="16"/>
              </w:rPr>
              <w:t>iniciados</w:t>
            </w:r>
            <w:r w:rsidRPr="00060053">
              <w:rPr>
                <w:rFonts w:asciiTheme="minorHAnsi" w:hAnsiTheme="minorHAnsi" w:cstheme="minorHAnsi"/>
                <w:sz w:val="16"/>
                <w:szCs w:val="16"/>
              </w:rPr>
              <w:t xml:space="preserve"> por la S</w:t>
            </w:r>
            <w:r w:rsidR="002A1A56">
              <w:rPr>
                <w:rFonts w:asciiTheme="minorHAnsi" w:hAnsiTheme="minorHAnsi" w:cstheme="minorHAnsi"/>
                <w:sz w:val="16"/>
                <w:szCs w:val="16"/>
              </w:rPr>
              <w:t>UPEN.</w:t>
            </w:r>
          </w:p>
        </w:tc>
      </w:tr>
      <w:tr w:rsidR="0034365F" w:rsidRPr="00060053" w14:paraId="06A94A67" w14:textId="77777777" w:rsidTr="00EA2E0B">
        <w:trPr>
          <w:trHeight w:val="405"/>
        </w:trPr>
        <w:tc>
          <w:tcPr>
            <w:tcW w:w="582" w:type="dxa"/>
            <w:vMerge/>
            <w:tcBorders>
              <w:top w:val="nil"/>
              <w:left w:val="single" w:sz="4" w:space="0" w:color="auto"/>
              <w:bottom w:val="nil"/>
              <w:right w:val="single" w:sz="4" w:space="0" w:color="auto"/>
            </w:tcBorders>
            <w:vAlign w:val="center"/>
            <w:hideMark/>
          </w:tcPr>
          <w:p w14:paraId="06A94A64" w14:textId="77777777" w:rsidR="0034365F" w:rsidRPr="00060053" w:rsidRDefault="0034365F">
            <w:pPr>
              <w:rPr>
                <w:rFonts w:asciiTheme="minorHAnsi" w:hAnsiTheme="minorHAnsi" w:cstheme="minorHAnsi"/>
                <w:b/>
                <w:bCs/>
                <w:sz w:val="16"/>
                <w:szCs w:val="16"/>
              </w:rPr>
            </w:pPr>
          </w:p>
        </w:tc>
        <w:tc>
          <w:tcPr>
            <w:tcW w:w="760" w:type="dxa"/>
            <w:tcBorders>
              <w:top w:val="nil"/>
              <w:left w:val="nil"/>
              <w:bottom w:val="single" w:sz="4" w:space="0" w:color="auto"/>
              <w:right w:val="single" w:sz="4" w:space="0" w:color="auto"/>
            </w:tcBorders>
            <w:shd w:val="clear" w:color="auto" w:fill="auto"/>
            <w:vAlign w:val="center"/>
            <w:hideMark/>
          </w:tcPr>
          <w:p w14:paraId="06A94A65" w14:textId="77777777" w:rsidR="0034365F" w:rsidRPr="00060053" w:rsidRDefault="0034365F">
            <w:pPr>
              <w:jc w:val="center"/>
              <w:rPr>
                <w:rFonts w:asciiTheme="minorHAnsi" w:hAnsiTheme="minorHAnsi" w:cstheme="minorHAnsi"/>
                <w:b/>
                <w:bCs/>
                <w:sz w:val="16"/>
                <w:szCs w:val="16"/>
              </w:rPr>
            </w:pPr>
            <w:r w:rsidRPr="00060053">
              <w:rPr>
                <w:rFonts w:asciiTheme="minorHAnsi" w:hAnsiTheme="minorHAnsi" w:cstheme="minorHAnsi"/>
                <w:b/>
                <w:bCs/>
                <w:sz w:val="16"/>
                <w:szCs w:val="16"/>
              </w:rPr>
              <w:t>4</w:t>
            </w:r>
          </w:p>
        </w:tc>
        <w:tc>
          <w:tcPr>
            <w:tcW w:w="7127" w:type="dxa"/>
            <w:tcBorders>
              <w:top w:val="nil"/>
              <w:left w:val="nil"/>
              <w:bottom w:val="single" w:sz="4" w:space="0" w:color="auto"/>
              <w:right w:val="single" w:sz="4" w:space="0" w:color="auto"/>
            </w:tcBorders>
            <w:shd w:val="clear" w:color="auto" w:fill="auto"/>
            <w:vAlign w:val="center"/>
            <w:hideMark/>
          </w:tcPr>
          <w:p w14:paraId="06A94A66" w14:textId="382E18A3" w:rsidR="0034365F" w:rsidRPr="00060053" w:rsidRDefault="0034365F" w:rsidP="00E7101C">
            <w:pPr>
              <w:jc w:val="both"/>
              <w:rPr>
                <w:rFonts w:asciiTheme="minorHAnsi" w:hAnsiTheme="minorHAnsi" w:cstheme="minorHAnsi"/>
                <w:sz w:val="16"/>
                <w:szCs w:val="16"/>
              </w:rPr>
            </w:pPr>
            <w:r w:rsidRPr="00060053">
              <w:rPr>
                <w:rFonts w:asciiTheme="minorHAnsi" w:hAnsiTheme="minorHAnsi" w:cstheme="minorHAnsi"/>
                <w:sz w:val="16"/>
                <w:szCs w:val="16"/>
              </w:rPr>
              <w:t>Participar en el desarrollo de proyectos, actividades especiales y capacitación</w:t>
            </w:r>
            <w:r w:rsidR="002A1A56">
              <w:rPr>
                <w:rFonts w:asciiTheme="minorHAnsi" w:hAnsiTheme="minorHAnsi" w:cstheme="minorHAnsi"/>
                <w:sz w:val="16"/>
                <w:szCs w:val="16"/>
              </w:rPr>
              <w:t>.</w:t>
            </w:r>
          </w:p>
        </w:tc>
      </w:tr>
      <w:tr w:rsidR="0034365F" w:rsidRPr="00060053" w14:paraId="06A94A69" w14:textId="77777777" w:rsidTr="00BF3B94">
        <w:trPr>
          <w:trHeight w:val="360"/>
        </w:trPr>
        <w:tc>
          <w:tcPr>
            <w:tcW w:w="8469" w:type="dxa"/>
            <w:gridSpan w:val="3"/>
            <w:tcBorders>
              <w:top w:val="single" w:sz="4" w:space="0" w:color="auto"/>
              <w:left w:val="single" w:sz="4" w:space="0" w:color="auto"/>
              <w:bottom w:val="single" w:sz="4" w:space="0" w:color="auto"/>
              <w:right w:val="single" w:sz="4" w:space="0" w:color="000000"/>
            </w:tcBorders>
            <w:shd w:val="clear" w:color="auto" w:fill="B8CCE4" w:themeFill="accent1" w:themeFillTint="66"/>
            <w:noWrap/>
            <w:vAlign w:val="center"/>
            <w:hideMark/>
          </w:tcPr>
          <w:p w14:paraId="06A94A68" w14:textId="77777777" w:rsidR="0034365F" w:rsidRPr="00060053" w:rsidRDefault="0034365F" w:rsidP="00E7101C">
            <w:pPr>
              <w:jc w:val="both"/>
              <w:rPr>
                <w:rFonts w:asciiTheme="minorHAnsi" w:hAnsiTheme="minorHAnsi" w:cstheme="minorHAnsi"/>
                <w:b/>
                <w:bCs/>
                <w:sz w:val="16"/>
                <w:szCs w:val="16"/>
              </w:rPr>
            </w:pPr>
            <w:r w:rsidRPr="00060053">
              <w:rPr>
                <w:rFonts w:asciiTheme="minorHAnsi" w:hAnsiTheme="minorHAnsi" w:cstheme="minorHAnsi"/>
                <w:b/>
                <w:bCs/>
                <w:sz w:val="16"/>
                <w:szCs w:val="16"/>
              </w:rPr>
              <w:t>DIVISIÓN DE PLANIFICACIÓN Y NORMATIVA</w:t>
            </w:r>
          </w:p>
        </w:tc>
      </w:tr>
      <w:tr w:rsidR="00F500B6" w:rsidRPr="00060053" w14:paraId="06A94A6D" w14:textId="77777777" w:rsidTr="00EA2E0B">
        <w:trPr>
          <w:trHeight w:val="529"/>
        </w:trPr>
        <w:tc>
          <w:tcPr>
            <w:tcW w:w="582" w:type="dxa"/>
            <w:vMerge w:val="restart"/>
            <w:tcBorders>
              <w:top w:val="nil"/>
              <w:left w:val="single" w:sz="4" w:space="0" w:color="auto"/>
              <w:bottom w:val="nil"/>
              <w:right w:val="nil"/>
            </w:tcBorders>
            <w:shd w:val="clear" w:color="auto" w:fill="auto"/>
            <w:vAlign w:val="center"/>
            <w:hideMark/>
          </w:tcPr>
          <w:p w14:paraId="06A94A6A" w14:textId="77777777" w:rsidR="00F500B6" w:rsidRPr="00060053" w:rsidRDefault="00F500B6">
            <w:pPr>
              <w:jc w:val="center"/>
              <w:rPr>
                <w:rFonts w:asciiTheme="minorHAnsi" w:hAnsiTheme="minorHAnsi" w:cstheme="minorHAnsi"/>
                <w:b/>
                <w:bCs/>
                <w:sz w:val="16"/>
                <w:szCs w:val="16"/>
              </w:rPr>
            </w:pPr>
            <w:r w:rsidRPr="00060053">
              <w:rPr>
                <w:rFonts w:asciiTheme="minorHAnsi" w:hAnsiTheme="minorHAnsi" w:cstheme="minorHAnsi"/>
                <w:b/>
                <w:bCs/>
                <w:sz w:val="16"/>
                <w:szCs w:val="16"/>
              </w:rPr>
              <w:t> </w:t>
            </w: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06A94A6B" w14:textId="77777777" w:rsidR="00F500B6" w:rsidRPr="00060053" w:rsidRDefault="00F500B6">
            <w:pPr>
              <w:jc w:val="center"/>
              <w:rPr>
                <w:rFonts w:asciiTheme="minorHAnsi" w:hAnsiTheme="minorHAnsi" w:cstheme="minorHAnsi"/>
                <w:b/>
                <w:bCs/>
                <w:sz w:val="16"/>
                <w:szCs w:val="16"/>
              </w:rPr>
            </w:pPr>
            <w:r w:rsidRPr="00060053">
              <w:rPr>
                <w:rFonts w:asciiTheme="minorHAnsi" w:hAnsiTheme="minorHAnsi" w:cstheme="minorHAnsi"/>
                <w:b/>
                <w:bCs/>
                <w:sz w:val="16"/>
                <w:szCs w:val="16"/>
              </w:rPr>
              <w:t>5</w:t>
            </w:r>
          </w:p>
        </w:tc>
        <w:tc>
          <w:tcPr>
            <w:tcW w:w="7127" w:type="dxa"/>
            <w:tcBorders>
              <w:top w:val="nil"/>
              <w:left w:val="nil"/>
              <w:bottom w:val="single" w:sz="4" w:space="0" w:color="auto"/>
              <w:right w:val="single" w:sz="4" w:space="0" w:color="auto"/>
            </w:tcBorders>
            <w:shd w:val="clear" w:color="auto" w:fill="auto"/>
            <w:hideMark/>
          </w:tcPr>
          <w:p w14:paraId="06A94A6C" w14:textId="0C59F694" w:rsidR="00F500B6" w:rsidRPr="00DF5D52" w:rsidRDefault="00591FB5" w:rsidP="00591FB5">
            <w:pPr>
              <w:jc w:val="both"/>
              <w:rPr>
                <w:rFonts w:asciiTheme="minorHAnsi" w:hAnsiTheme="minorHAnsi" w:cstheme="minorHAnsi"/>
                <w:sz w:val="16"/>
                <w:szCs w:val="16"/>
              </w:rPr>
            </w:pPr>
            <w:r w:rsidRPr="00DF5D52">
              <w:rPr>
                <w:rFonts w:asciiTheme="minorHAnsi" w:hAnsiTheme="minorHAnsi" w:cstheme="minorHAnsi"/>
                <w:sz w:val="16"/>
                <w:szCs w:val="16"/>
              </w:rPr>
              <w:t>Participar</w:t>
            </w:r>
            <w:r w:rsidR="00131F24" w:rsidRPr="00DF5D52">
              <w:rPr>
                <w:rFonts w:asciiTheme="minorHAnsi" w:hAnsiTheme="minorHAnsi" w:cstheme="minorHAnsi"/>
                <w:sz w:val="16"/>
                <w:szCs w:val="16"/>
              </w:rPr>
              <w:t xml:space="preserve"> </w:t>
            </w:r>
            <w:r w:rsidRPr="00DF5D52">
              <w:rPr>
                <w:rFonts w:asciiTheme="minorHAnsi" w:hAnsiTheme="minorHAnsi" w:cstheme="minorHAnsi"/>
                <w:sz w:val="16"/>
                <w:szCs w:val="16"/>
              </w:rPr>
              <w:t xml:space="preserve">en </w:t>
            </w:r>
            <w:r w:rsidR="00131F24" w:rsidRPr="00DF5D52">
              <w:rPr>
                <w:rFonts w:asciiTheme="minorHAnsi" w:hAnsiTheme="minorHAnsi" w:cstheme="minorHAnsi"/>
                <w:sz w:val="16"/>
                <w:szCs w:val="16"/>
              </w:rPr>
              <w:t>el cumplimiento de</w:t>
            </w:r>
            <w:r w:rsidR="002A1A56" w:rsidRPr="00DF5D52">
              <w:rPr>
                <w:rFonts w:asciiTheme="minorHAnsi" w:hAnsiTheme="minorHAnsi" w:cstheme="minorHAnsi"/>
                <w:sz w:val="16"/>
                <w:szCs w:val="16"/>
              </w:rPr>
              <w:t xml:space="preserve"> los </w:t>
            </w:r>
            <w:r w:rsidR="00F500B6" w:rsidRPr="00DF5D52">
              <w:rPr>
                <w:rFonts w:asciiTheme="minorHAnsi" w:hAnsiTheme="minorHAnsi" w:cstheme="minorHAnsi"/>
                <w:sz w:val="16"/>
                <w:szCs w:val="16"/>
              </w:rPr>
              <w:t>indicador</w:t>
            </w:r>
            <w:r w:rsidR="002A1A56" w:rsidRPr="00DF5D52">
              <w:rPr>
                <w:rFonts w:asciiTheme="minorHAnsi" w:hAnsiTheme="minorHAnsi" w:cstheme="minorHAnsi"/>
                <w:sz w:val="16"/>
                <w:szCs w:val="16"/>
              </w:rPr>
              <w:t>es</w:t>
            </w:r>
            <w:r w:rsidRPr="00DF5D52">
              <w:rPr>
                <w:rFonts w:asciiTheme="minorHAnsi" w:hAnsiTheme="minorHAnsi" w:cstheme="minorHAnsi"/>
                <w:sz w:val="16"/>
                <w:szCs w:val="16"/>
              </w:rPr>
              <w:t xml:space="preserve"> </w:t>
            </w:r>
            <w:r w:rsidR="00F500B6" w:rsidRPr="00DF5D52">
              <w:rPr>
                <w:rFonts w:asciiTheme="minorHAnsi" w:hAnsiTheme="minorHAnsi" w:cstheme="minorHAnsi"/>
                <w:sz w:val="16"/>
                <w:szCs w:val="16"/>
              </w:rPr>
              <w:t>de</w:t>
            </w:r>
            <w:r w:rsidR="002A1A56" w:rsidRPr="00DF5D52">
              <w:rPr>
                <w:rFonts w:asciiTheme="minorHAnsi" w:hAnsiTheme="minorHAnsi" w:cstheme="minorHAnsi"/>
                <w:sz w:val="16"/>
                <w:szCs w:val="16"/>
              </w:rPr>
              <w:t>l Plan E</w:t>
            </w:r>
            <w:r w:rsidR="00F500B6" w:rsidRPr="00DF5D52">
              <w:rPr>
                <w:rFonts w:asciiTheme="minorHAnsi" w:hAnsiTheme="minorHAnsi" w:cstheme="minorHAnsi"/>
                <w:sz w:val="16"/>
                <w:szCs w:val="16"/>
              </w:rPr>
              <w:t>stratégico, el desarrollo y seguimiento del portafolio de proyectos y los estudios especiales</w:t>
            </w:r>
            <w:r w:rsidR="00882B11" w:rsidRPr="00DF5D52">
              <w:rPr>
                <w:rFonts w:asciiTheme="minorHAnsi" w:hAnsiTheme="minorHAnsi" w:cstheme="minorHAnsi"/>
                <w:sz w:val="16"/>
                <w:szCs w:val="16"/>
              </w:rPr>
              <w:t>.</w:t>
            </w:r>
          </w:p>
        </w:tc>
      </w:tr>
      <w:tr w:rsidR="00F500B6" w:rsidRPr="00060053" w14:paraId="06A94A71" w14:textId="77777777" w:rsidTr="00EA2E0B">
        <w:trPr>
          <w:trHeight w:val="408"/>
        </w:trPr>
        <w:tc>
          <w:tcPr>
            <w:tcW w:w="582" w:type="dxa"/>
            <w:vMerge/>
            <w:tcBorders>
              <w:top w:val="nil"/>
              <w:left w:val="single" w:sz="4" w:space="0" w:color="auto"/>
              <w:bottom w:val="nil"/>
              <w:right w:val="nil"/>
            </w:tcBorders>
            <w:vAlign w:val="center"/>
            <w:hideMark/>
          </w:tcPr>
          <w:p w14:paraId="06A94A6E" w14:textId="77777777" w:rsidR="00F500B6" w:rsidRPr="00060053" w:rsidRDefault="00F500B6">
            <w:pPr>
              <w:rPr>
                <w:rFonts w:asciiTheme="minorHAnsi" w:hAnsiTheme="minorHAnsi" w:cstheme="minorHAnsi"/>
                <w:b/>
                <w:bCs/>
                <w:sz w:val="16"/>
                <w:szCs w:val="16"/>
              </w:rPr>
            </w:pP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06A94A6F" w14:textId="77777777" w:rsidR="00F500B6" w:rsidRPr="00060053" w:rsidRDefault="00F500B6">
            <w:pPr>
              <w:jc w:val="center"/>
              <w:rPr>
                <w:rFonts w:asciiTheme="minorHAnsi" w:hAnsiTheme="minorHAnsi" w:cstheme="minorHAnsi"/>
                <w:b/>
                <w:bCs/>
                <w:sz w:val="16"/>
                <w:szCs w:val="16"/>
              </w:rPr>
            </w:pPr>
            <w:r w:rsidRPr="00060053">
              <w:rPr>
                <w:rFonts w:asciiTheme="minorHAnsi" w:hAnsiTheme="minorHAnsi" w:cstheme="minorHAnsi"/>
                <w:b/>
                <w:bCs/>
                <w:sz w:val="16"/>
                <w:szCs w:val="16"/>
              </w:rPr>
              <w:t>6</w:t>
            </w:r>
          </w:p>
        </w:tc>
        <w:tc>
          <w:tcPr>
            <w:tcW w:w="7127" w:type="dxa"/>
            <w:tcBorders>
              <w:top w:val="nil"/>
              <w:left w:val="nil"/>
              <w:bottom w:val="single" w:sz="4" w:space="0" w:color="auto"/>
              <w:right w:val="single" w:sz="4" w:space="0" w:color="auto"/>
            </w:tcBorders>
            <w:shd w:val="clear" w:color="auto" w:fill="auto"/>
            <w:hideMark/>
          </w:tcPr>
          <w:p w14:paraId="06A94A70" w14:textId="0CB5E283" w:rsidR="00F500B6" w:rsidRPr="00F500B6" w:rsidRDefault="00F500B6" w:rsidP="00E7101C">
            <w:pPr>
              <w:jc w:val="both"/>
              <w:rPr>
                <w:rFonts w:asciiTheme="minorHAnsi" w:hAnsiTheme="minorHAnsi" w:cstheme="minorHAnsi"/>
                <w:sz w:val="16"/>
                <w:szCs w:val="16"/>
              </w:rPr>
            </w:pPr>
            <w:r w:rsidRPr="00F500B6">
              <w:rPr>
                <w:rFonts w:asciiTheme="minorHAnsi" w:hAnsiTheme="minorHAnsi" w:cstheme="minorHAnsi"/>
                <w:sz w:val="16"/>
                <w:szCs w:val="16"/>
              </w:rPr>
              <w:t>Revisar el marco regulatorio semestralmente para actualizarlo y tramitar las solicitudes de proyectos, autorizaciones y criterios técnicos solicitados dentro de los plazos acordados</w:t>
            </w:r>
            <w:r w:rsidR="002A1A56">
              <w:rPr>
                <w:rFonts w:asciiTheme="minorHAnsi" w:hAnsiTheme="minorHAnsi" w:cstheme="minorHAnsi"/>
                <w:sz w:val="16"/>
                <w:szCs w:val="16"/>
              </w:rPr>
              <w:t>.</w:t>
            </w:r>
          </w:p>
        </w:tc>
      </w:tr>
      <w:tr w:rsidR="0034365F" w:rsidRPr="00060053" w14:paraId="06A94A75" w14:textId="77777777" w:rsidTr="00EA2E0B">
        <w:trPr>
          <w:trHeight w:val="408"/>
        </w:trPr>
        <w:tc>
          <w:tcPr>
            <w:tcW w:w="582" w:type="dxa"/>
            <w:vMerge/>
            <w:tcBorders>
              <w:top w:val="nil"/>
              <w:left w:val="single" w:sz="4" w:space="0" w:color="auto"/>
              <w:bottom w:val="nil"/>
              <w:right w:val="nil"/>
            </w:tcBorders>
            <w:vAlign w:val="center"/>
            <w:hideMark/>
          </w:tcPr>
          <w:p w14:paraId="06A94A72" w14:textId="77777777" w:rsidR="0034365F" w:rsidRPr="00060053" w:rsidRDefault="0034365F">
            <w:pPr>
              <w:rPr>
                <w:rFonts w:asciiTheme="minorHAnsi" w:hAnsiTheme="minorHAnsi" w:cstheme="minorHAnsi"/>
                <w:b/>
                <w:bCs/>
                <w:sz w:val="16"/>
                <w:szCs w:val="16"/>
              </w:rPr>
            </w:pP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06A94A73" w14:textId="77777777" w:rsidR="0034365F" w:rsidRPr="00060053" w:rsidRDefault="0034365F">
            <w:pPr>
              <w:jc w:val="center"/>
              <w:rPr>
                <w:rFonts w:asciiTheme="minorHAnsi" w:hAnsiTheme="minorHAnsi" w:cstheme="minorHAnsi"/>
                <w:b/>
                <w:bCs/>
                <w:sz w:val="16"/>
                <w:szCs w:val="16"/>
              </w:rPr>
            </w:pPr>
            <w:r w:rsidRPr="00060053">
              <w:rPr>
                <w:rFonts w:asciiTheme="minorHAnsi" w:hAnsiTheme="minorHAnsi" w:cstheme="minorHAnsi"/>
                <w:b/>
                <w:bCs/>
                <w:sz w:val="16"/>
                <w:szCs w:val="16"/>
              </w:rPr>
              <w:t>7</w:t>
            </w:r>
          </w:p>
        </w:tc>
        <w:tc>
          <w:tcPr>
            <w:tcW w:w="7127" w:type="dxa"/>
            <w:tcBorders>
              <w:top w:val="nil"/>
              <w:left w:val="nil"/>
              <w:bottom w:val="single" w:sz="4" w:space="0" w:color="auto"/>
              <w:right w:val="single" w:sz="4" w:space="0" w:color="auto"/>
            </w:tcBorders>
            <w:shd w:val="clear" w:color="auto" w:fill="auto"/>
            <w:vAlign w:val="center"/>
            <w:hideMark/>
          </w:tcPr>
          <w:p w14:paraId="06A94A74" w14:textId="77777777" w:rsidR="0034365F" w:rsidRPr="00060053" w:rsidRDefault="0034365F">
            <w:pPr>
              <w:rPr>
                <w:rFonts w:asciiTheme="minorHAnsi" w:hAnsiTheme="minorHAnsi" w:cstheme="minorHAnsi"/>
                <w:sz w:val="16"/>
                <w:szCs w:val="16"/>
              </w:rPr>
            </w:pPr>
            <w:r w:rsidRPr="00060053">
              <w:rPr>
                <w:rFonts w:asciiTheme="minorHAnsi" w:hAnsiTheme="minorHAnsi" w:cstheme="minorHAnsi"/>
                <w:sz w:val="16"/>
                <w:szCs w:val="16"/>
              </w:rPr>
              <w:t>Participar en el desarrollo de proyectos, actividades especiales y capacitación.</w:t>
            </w:r>
          </w:p>
        </w:tc>
      </w:tr>
      <w:tr w:rsidR="0034365F" w:rsidRPr="00060053" w14:paraId="06A94A85" w14:textId="77777777" w:rsidTr="00BF3B94">
        <w:trPr>
          <w:trHeight w:val="330"/>
        </w:trPr>
        <w:tc>
          <w:tcPr>
            <w:tcW w:w="8469" w:type="dxa"/>
            <w:gridSpan w:val="3"/>
            <w:tcBorders>
              <w:top w:val="single" w:sz="4" w:space="0" w:color="auto"/>
              <w:left w:val="single" w:sz="4" w:space="0" w:color="auto"/>
              <w:bottom w:val="single" w:sz="4" w:space="0" w:color="auto"/>
              <w:right w:val="single" w:sz="4" w:space="0" w:color="000000"/>
            </w:tcBorders>
            <w:shd w:val="clear" w:color="auto" w:fill="B8CCE4" w:themeFill="accent1" w:themeFillTint="66"/>
            <w:noWrap/>
            <w:vAlign w:val="center"/>
            <w:hideMark/>
          </w:tcPr>
          <w:p w14:paraId="06A94A84" w14:textId="77777777" w:rsidR="0034365F" w:rsidRPr="00060053" w:rsidRDefault="0034365F">
            <w:pPr>
              <w:rPr>
                <w:rFonts w:asciiTheme="minorHAnsi" w:hAnsiTheme="minorHAnsi" w:cstheme="minorHAnsi"/>
                <w:b/>
                <w:bCs/>
                <w:sz w:val="16"/>
                <w:szCs w:val="16"/>
              </w:rPr>
            </w:pPr>
            <w:r w:rsidRPr="00060053">
              <w:rPr>
                <w:rFonts w:asciiTheme="minorHAnsi" w:hAnsiTheme="minorHAnsi" w:cstheme="minorHAnsi"/>
                <w:b/>
                <w:bCs/>
                <w:sz w:val="16"/>
                <w:szCs w:val="16"/>
              </w:rPr>
              <w:t>DIVISIÓN SUPERVISIÓN DEL RÉGIMENES COLECTIVOS</w:t>
            </w:r>
          </w:p>
        </w:tc>
      </w:tr>
      <w:tr w:rsidR="0034365F" w:rsidRPr="00060053" w14:paraId="06A94A89" w14:textId="77777777" w:rsidTr="00EA2E0B">
        <w:trPr>
          <w:trHeight w:val="363"/>
        </w:trPr>
        <w:tc>
          <w:tcPr>
            <w:tcW w:w="582" w:type="dxa"/>
            <w:vMerge w:val="restart"/>
            <w:tcBorders>
              <w:top w:val="nil"/>
              <w:left w:val="single" w:sz="4" w:space="0" w:color="auto"/>
              <w:bottom w:val="nil"/>
              <w:right w:val="nil"/>
            </w:tcBorders>
            <w:shd w:val="clear" w:color="auto" w:fill="auto"/>
            <w:vAlign w:val="center"/>
            <w:hideMark/>
          </w:tcPr>
          <w:p w14:paraId="06A94A86" w14:textId="77777777" w:rsidR="0034365F" w:rsidRPr="00060053" w:rsidRDefault="0034365F">
            <w:pPr>
              <w:jc w:val="center"/>
              <w:rPr>
                <w:rFonts w:asciiTheme="minorHAnsi" w:hAnsiTheme="minorHAnsi" w:cstheme="minorHAnsi"/>
                <w:b/>
                <w:bCs/>
                <w:sz w:val="16"/>
                <w:szCs w:val="16"/>
              </w:rPr>
            </w:pPr>
            <w:r w:rsidRPr="00060053">
              <w:rPr>
                <w:rFonts w:asciiTheme="minorHAnsi" w:hAnsiTheme="minorHAnsi" w:cstheme="minorHAnsi"/>
                <w:b/>
                <w:bCs/>
                <w:sz w:val="16"/>
                <w:szCs w:val="16"/>
              </w:rPr>
              <w:t> </w:t>
            </w: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06A94A87" w14:textId="77777777" w:rsidR="0034365F" w:rsidRPr="00060053" w:rsidRDefault="0034365F">
            <w:pPr>
              <w:jc w:val="center"/>
              <w:rPr>
                <w:rFonts w:asciiTheme="minorHAnsi" w:hAnsiTheme="minorHAnsi" w:cstheme="minorHAnsi"/>
                <w:b/>
                <w:bCs/>
                <w:sz w:val="16"/>
                <w:szCs w:val="16"/>
              </w:rPr>
            </w:pPr>
            <w:r w:rsidRPr="00060053">
              <w:rPr>
                <w:rFonts w:asciiTheme="minorHAnsi" w:hAnsiTheme="minorHAnsi" w:cstheme="minorHAnsi"/>
                <w:b/>
                <w:bCs/>
                <w:sz w:val="16"/>
                <w:szCs w:val="16"/>
              </w:rPr>
              <w:t>11</w:t>
            </w:r>
          </w:p>
        </w:tc>
        <w:tc>
          <w:tcPr>
            <w:tcW w:w="7127" w:type="dxa"/>
            <w:tcBorders>
              <w:top w:val="nil"/>
              <w:left w:val="nil"/>
              <w:bottom w:val="single" w:sz="4" w:space="0" w:color="auto"/>
              <w:right w:val="single" w:sz="4" w:space="0" w:color="auto"/>
            </w:tcBorders>
            <w:shd w:val="clear" w:color="auto" w:fill="auto"/>
            <w:vAlign w:val="center"/>
            <w:hideMark/>
          </w:tcPr>
          <w:p w14:paraId="06A94A88" w14:textId="5B73FE61" w:rsidR="0034365F" w:rsidRPr="00060053" w:rsidRDefault="0034365F">
            <w:pPr>
              <w:rPr>
                <w:rFonts w:asciiTheme="minorHAnsi" w:hAnsiTheme="minorHAnsi" w:cstheme="minorHAnsi"/>
                <w:sz w:val="16"/>
                <w:szCs w:val="16"/>
              </w:rPr>
            </w:pPr>
            <w:r w:rsidRPr="00060053">
              <w:rPr>
                <w:rFonts w:asciiTheme="minorHAnsi" w:hAnsiTheme="minorHAnsi" w:cstheme="minorHAnsi"/>
                <w:sz w:val="16"/>
                <w:szCs w:val="16"/>
              </w:rPr>
              <w:t xml:space="preserve">Ejecutar la </w:t>
            </w:r>
            <w:r w:rsidR="00CC3869" w:rsidRPr="00060053">
              <w:rPr>
                <w:rFonts w:asciiTheme="minorHAnsi" w:hAnsiTheme="minorHAnsi" w:cstheme="minorHAnsi"/>
                <w:sz w:val="16"/>
                <w:szCs w:val="16"/>
              </w:rPr>
              <w:t>supervisión</w:t>
            </w:r>
            <w:r w:rsidRPr="00060053">
              <w:rPr>
                <w:rFonts w:asciiTheme="minorHAnsi" w:hAnsiTheme="minorHAnsi" w:cstheme="minorHAnsi"/>
                <w:sz w:val="16"/>
                <w:szCs w:val="16"/>
              </w:rPr>
              <w:t xml:space="preserve"> de los regímenes colectivos del Sistema Nacional de Pensiones</w:t>
            </w:r>
            <w:r w:rsidR="002A1A56">
              <w:rPr>
                <w:rFonts w:asciiTheme="minorHAnsi" w:hAnsiTheme="minorHAnsi" w:cstheme="minorHAnsi"/>
                <w:sz w:val="16"/>
                <w:szCs w:val="16"/>
              </w:rPr>
              <w:t>.</w:t>
            </w:r>
          </w:p>
        </w:tc>
      </w:tr>
      <w:tr w:rsidR="0034365F" w:rsidRPr="00060053" w14:paraId="06A94A8D" w14:textId="77777777" w:rsidTr="00EA2E0B">
        <w:trPr>
          <w:trHeight w:val="408"/>
        </w:trPr>
        <w:tc>
          <w:tcPr>
            <w:tcW w:w="582" w:type="dxa"/>
            <w:vMerge/>
            <w:tcBorders>
              <w:top w:val="nil"/>
              <w:left w:val="single" w:sz="4" w:space="0" w:color="auto"/>
              <w:bottom w:val="nil"/>
              <w:right w:val="nil"/>
            </w:tcBorders>
            <w:vAlign w:val="center"/>
            <w:hideMark/>
          </w:tcPr>
          <w:p w14:paraId="06A94A8A" w14:textId="77777777" w:rsidR="0034365F" w:rsidRPr="00060053" w:rsidRDefault="0034365F">
            <w:pPr>
              <w:rPr>
                <w:rFonts w:asciiTheme="minorHAnsi" w:hAnsiTheme="minorHAnsi" w:cstheme="minorHAnsi"/>
                <w:b/>
                <w:bCs/>
                <w:sz w:val="16"/>
                <w:szCs w:val="16"/>
              </w:rPr>
            </w:pP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06A94A8B" w14:textId="77777777" w:rsidR="0034365F" w:rsidRPr="00060053" w:rsidRDefault="0034365F">
            <w:pPr>
              <w:jc w:val="center"/>
              <w:rPr>
                <w:rFonts w:asciiTheme="minorHAnsi" w:hAnsiTheme="minorHAnsi" w:cstheme="minorHAnsi"/>
                <w:b/>
                <w:bCs/>
                <w:sz w:val="16"/>
                <w:szCs w:val="16"/>
              </w:rPr>
            </w:pPr>
            <w:r w:rsidRPr="00060053">
              <w:rPr>
                <w:rFonts w:asciiTheme="minorHAnsi" w:hAnsiTheme="minorHAnsi" w:cstheme="minorHAnsi"/>
                <w:b/>
                <w:bCs/>
                <w:sz w:val="16"/>
                <w:szCs w:val="16"/>
              </w:rPr>
              <w:t>12</w:t>
            </w:r>
          </w:p>
        </w:tc>
        <w:tc>
          <w:tcPr>
            <w:tcW w:w="7127" w:type="dxa"/>
            <w:tcBorders>
              <w:top w:val="nil"/>
              <w:left w:val="nil"/>
              <w:bottom w:val="single" w:sz="4" w:space="0" w:color="auto"/>
              <w:right w:val="single" w:sz="4" w:space="0" w:color="auto"/>
            </w:tcBorders>
            <w:shd w:val="clear" w:color="auto" w:fill="auto"/>
            <w:vAlign w:val="center"/>
            <w:hideMark/>
          </w:tcPr>
          <w:p w14:paraId="06A94A8C" w14:textId="782D6BD9" w:rsidR="0034365F" w:rsidRPr="00060053" w:rsidRDefault="0034365F">
            <w:pPr>
              <w:jc w:val="both"/>
              <w:rPr>
                <w:rFonts w:asciiTheme="minorHAnsi" w:hAnsiTheme="minorHAnsi" w:cstheme="minorHAnsi"/>
                <w:sz w:val="16"/>
                <w:szCs w:val="16"/>
              </w:rPr>
            </w:pPr>
            <w:r w:rsidRPr="00060053">
              <w:rPr>
                <w:rFonts w:asciiTheme="minorHAnsi" w:hAnsiTheme="minorHAnsi" w:cstheme="minorHAnsi"/>
                <w:sz w:val="16"/>
                <w:szCs w:val="16"/>
              </w:rPr>
              <w:t xml:space="preserve">Participar en el desarrollo de proyectos, actividades especiales y </w:t>
            </w:r>
            <w:r w:rsidR="002A1A56">
              <w:rPr>
                <w:rFonts w:asciiTheme="minorHAnsi" w:hAnsiTheme="minorHAnsi" w:cstheme="minorHAnsi"/>
                <w:sz w:val="16"/>
                <w:szCs w:val="16"/>
              </w:rPr>
              <w:t xml:space="preserve">de </w:t>
            </w:r>
            <w:r w:rsidRPr="00060053">
              <w:rPr>
                <w:rFonts w:asciiTheme="minorHAnsi" w:hAnsiTheme="minorHAnsi" w:cstheme="minorHAnsi"/>
                <w:sz w:val="16"/>
                <w:szCs w:val="16"/>
              </w:rPr>
              <w:t>capacitación</w:t>
            </w:r>
            <w:r w:rsidR="002A1A56">
              <w:rPr>
                <w:rFonts w:asciiTheme="minorHAnsi" w:hAnsiTheme="minorHAnsi" w:cstheme="minorHAnsi"/>
                <w:sz w:val="16"/>
                <w:szCs w:val="16"/>
              </w:rPr>
              <w:t>.</w:t>
            </w:r>
          </w:p>
        </w:tc>
      </w:tr>
      <w:tr w:rsidR="0034365F" w:rsidRPr="00060053" w14:paraId="06A94A8F" w14:textId="77777777" w:rsidTr="00BF3B94">
        <w:trPr>
          <w:trHeight w:val="315"/>
        </w:trPr>
        <w:tc>
          <w:tcPr>
            <w:tcW w:w="8469" w:type="dxa"/>
            <w:gridSpan w:val="3"/>
            <w:tcBorders>
              <w:top w:val="single" w:sz="4" w:space="0" w:color="auto"/>
              <w:left w:val="single" w:sz="4" w:space="0" w:color="auto"/>
              <w:bottom w:val="single" w:sz="4" w:space="0" w:color="auto"/>
              <w:right w:val="single" w:sz="4" w:space="0" w:color="000000"/>
            </w:tcBorders>
            <w:shd w:val="clear" w:color="auto" w:fill="B8CCE4" w:themeFill="accent1" w:themeFillTint="66"/>
            <w:noWrap/>
            <w:vAlign w:val="center"/>
            <w:hideMark/>
          </w:tcPr>
          <w:p w14:paraId="06A94A8E" w14:textId="77777777" w:rsidR="0034365F" w:rsidRPr="00060053" w:rsidRDefault="0034365F">
            <w:pPr>
              <w:rPr>
                <w:rFonts w:asciiTheme="minorHAnsi" w:hAnsiTheme="minorHAnsi" w:cstheme="minorHAnsi"/>
                <w:b/>
                <w:bCs/>
                <w:sz w:val="16"/>
                <w:szCs w:val="16"/>
              </w:rPr>
            </w:pPr>
            <w:r w:rsidRPr="00060053">
              <w:rPr>
                <w:rFonts w:asciiTheme="minorHAnsi" w:hAnsiTheme="minorHAnsi" w:cstheme="minorHAnsi"/>
                <w:b/>
                <w:bCs/>
                <w:sz w:val="16"/>
                <w:szCs w:val="16"/>
              </w:rPr>
              <w:t>DIVISIÓN SUPERVISIÓN DEL RÉGIMEN DE CAPITALIZACIÓN INDIVIDUAL</w:t>
            </w:r>
          </w:p>
        </w:tc>
      </w:tr>
      <w:tr w:rsidR="0034365F" w:rsidRPr="00060053" w14:paraId="06A94A93" w14:textId="77777777" w:rsidTr="00EA2E0B">
        <w:trPr>
          <w:trHeight w:val="816"/>
        </w:trPr>
        <w:tc>
          <w:tcPr>
            <w:tcW w:w="582" w:type="dxa"/>
            <w:vMerge w:val="restart"/>
            <w:tcBorders>
              <w:top w:val="nil"/>
              <w:left w:val="single" w:sz="4" w:space="0" w:color="auto"/>
              <w:bottom w:val="nil"/>
              <w:right w:val="single" w:sz="4" w:space="0" w:color="auto"/>
            </w:tcBorders>
            <w:shd w:val="clear" w:color="auto" w:fill="auto"/>
            <w:vAlign w:val="center"/>
            <w:hideMark/>
          </w:tcPr>
          <w:p w14:paraId="06A94A90" w14:textId="77777777" w:rsidR="0034365F" w:rsidRPr="00060053" w:rsidRDefault="0034365F">
            <w:pPr>
              <w:jc w:val="center"/>
              <w:rPr>
                <w:rFonts w:asciiTheme="minorHAnsi" w:hAnsiTheme="minorHAnsi" w:cstheme="minorHAnsi"/>
                <w:b/>
                <w:bCs/>
                <w:sz w:val="16"/>
                <w:szCs w:val="16"/>
              </w:rPr>
            </w:pPr>
            <w:r w:rsidRPr="00060053">
              <w:rPr>
                <w:rFonts w:asciiTheme="minorHAnsi" w:hAnsiTheme="minorHAnsi" w:cstheme="minorHAnsi"/>
                <w:b/>
                <w:bCs/>
                <w:sz w:val="16"/>
                <w:szCs w:val="16"/>
              </w:rPr>
              <w:t> </w:t>
            </w:r>
          </w:p>
        </w:tc>
        <w:tc>
          <w:tcPr>
            <w:tcW w:w="760" w:type="dxa"/>
            <w:tcBorders>
              <w:top w:val="nil"/>
              <w:left w:val="nil"/>
              <w:bottom w:val="single" w:sz="4" w:space="0" w:color="auto"/>
              <w:right w:val="single" w:sz="4" w:space="0" w:color="auto"/>
            </w:tcBorders>
            <w:shd w:val="clear" w:color="auto" w:fill="auto"/>
            <w:vAlign w:val="center"/>
            <w:hideMark/>
          </w:tcPr>
          <w:p w14:paraId="06A94A91" w14:textId="77777777" w:rsidR="0034365F" w:rsidRPr="00060053" w:rsidRDefault="0034365F">
            <w:pPr>
              <w:jc w:val="center"/>
              <w:rPr>
                <w:rFonts w:asciiTheme="minorHAnsi" w:hAnsiTheme="minorHAnsi" w:cstheme="minorHAnsi"/>
                <w:b/>
                <w:bCs/>
                <w:sz w:val="16"/>
                <w:szCs w:val="16"/>
              </w:rPr>
            </w:pPr>
            <w:r w:rsidRPr="00060053">
              <w:rPr>
                <w:rFonts w:asciiTheme="minorHAnsi" w:hAnsiTheme="minorHAnsi" w:cstheme="minorHAnsi"/>
                <w:b/>
                <w:bCs/>
                <w:sz w:val="16"/>
                <w:szCs w:val="16"/>
              </w:rPr>
              <w:t>13</w:t>
            </w:r>
          </w:p>
        </w:tc>
        <w:tc>
          <w:tcPr>
            <w:tcW w:w="7127" w:type="dxa"/>
            <w:tcBorders>
              <w:top w:val="nil"/>
              <w:left w:val="nil"/>
              <w:bottom w:val="single" w:sz="4" w:space="0" w:color="auto"/>
              <w:right w:val="single" w:sz="4" w:space="0" w:color="auto"/>
            </w:tcBorders>
            <w:shd w:val="clear" w:color="auto" w:fill="auto"/>
            <w:vAlign w:val="center"/>
            <w:hideMark/>
          </w:tcPr>
          <w:p w14:paraId="06A94A92" w14:textId="77777777" w:rsidR="0034365F" w:rsidRPr="00060053" w:rsidRDefault="0034365F" w:rsidP="002A1A56">
            <w:pPr>
              <w:jc w:val="both"/>
              <w:rPr>
                <w:rFonts w:asciiTheme="minorHAnsi" w:hAnsiTheme="minorHAnsi" w:cstheme="minorHAnsi"/>
                <w:sz w:val="16"/>
                <w:szCs w:val="16"/>
              </w:rPr>
            </w:pPr>
            <w:r w:rsidRPr="00060053">
              <w:rPr>
                <w:rFonts w:asciiTheme="minorHAnsi" w:hAnsiTheme="minorHAnsi" w:cstheme="minorHAnsi"/>
                <w:sz w:val="16"/>
                <w:szCs w:val="16"/>
              </w:rPr>
              <w:t>Fiscalizar y supervisar el cumplimiento de la normativa vigente y el proceso de identificación, medición, control y seguimiento de los riesgos identificados en las entidades supervisadas y en los fondos administrados.</w:t>
            </w:r>
          </w:p>
        </w:tc>
      </w:tr>
      <w:tr w:rsidR="0034365F" w:rsidRPr="00060053" w14:paraId="06A94A97" w14:textId="77777777" w:rsidTr="00EA2E0B">
        <w:trPr>
          <w:trHeight w:val="408"/>
        </w:trPr>
        <w:tc>
          <w:tcPr>
            <w:tcW w:w="582" w:type="dxa"/>
            <w:vMerge/>
            <w:tcBorders>
              <w:top w:val="nil"/>
              <w:left w:val="single" w:sz="4" w:space="0" w:color="auto"/>
              <w:bottom w:val="nil"/>
              <w:right w:val="single" w:sz="4" w:space="0" w:color="auto"/>
            </w:tcBorders>
            <w:vAlign w:val="center"/>
            <w:hideMark/>
          </w:tcPr>
          <w:p w14:paraId="06A94A94" w14:textId="77777777" w:rsidR="0034365F" w:rsidRPr="00060053" w:rsidRDefault="0034365F">
            <w:pPr>
              <w:rPr>
                <w:rFonts w:asciiTheme="minorHAnsi" w:hAnsiTheme="minorHAnsi" w:cstheme="minorHAnsi"/>
                <w:b/>
                <w:bCs/>
                <w:sz w:val="16"/>
                <w:szCs w:val="16"/>
              </w:rPr>
            </w:pPr>
          </w:p>
        </w:tc>
        <w:tc>
          <w:tcPr>
            <w:tcW w:w="760" w:type="dxa"/>
            <w:tcBorders>
              <w:top w:val="nil"/>
              <w:left w:val="nil"/>
              <w:bottom w:val="single" w:sz="4" w:space="0" w:color="auto"/>
              <w:right w:val="single" w:sz="4" w:space="0" w:color="auto"/>
            </w:tcBorders>
            <w:shd w:val="clear" w:color="auto" w:fill="auto"/>
            <w:vAlign w:val="center"/>
            <w:hideMark/>
          </w:tcPr>
          <w:p w14:paraId="06A94A95" w14:textId="77777777" w:rsidR="0034365F" w:rsidRPr="00060053" w:rsidRDefault="0034365F">
            <w:pPr>
              <w:jc w:val="center"/>
              <w:rPr>
                <w:rFonts w:asciiTheme="minorHAnsi" w:hAnsiTheme="minorHAnsi" w:cstheme="minorHAnsi"/>
                <w:b/>
                <w:bCs/>
                <w:sz w:val="16"/>
                <w:szCs w:val="16"/>
              </w:rPr>
            </w:pPr>
            <w:r w:rsidRPr="00060053">
              <w:rPr>
                <w:rFonts w:asciiTheme="minorHAnsi" w:hAnsiTheme="minorHAnsi" w:cstheme="minorHAnsi"/>
                <w:b/>
                <w:bCs/>
                <w:sz w:val="16"/>
                <w:szCs w:val="16"/>
              </w:rPr>
              <w:t>14</w:t>
            </w:r>
          </w:p>
        </w:tc>
        <w:tc>
          <w:tcPr>
            <w:tcW w:w="7127" w:type="dxa"/>
            <w:tcBorders>
              <w:top w:val="nil"/>
              <w:left w:val="nil"/>
              <w:bottom w:val="single" w:sz="4" w:space="0" w:color="auto"/>
              <w:right w:val="single" w:sz="4" w:space="0" w:color="auto"/>
            </w:tcBorders>
            <w:shd w:val="clear" w:color="auto" w:fill="auto"/>
            <w:vAlign w:val="center"/>
            <w:hideMark/>
          </w:tcPr>
          <w:p w14:paraId="06A94A96" w14:textId="72BE98E1" w:rsidR="0034365F" w:rsidRPr="00060053" w:rsidRDefault="0034365F" w:rsidP="002A1A56">
            <w:pPr>
              <w:jc w:val="both"/>
              <w:rPr>
                <w:rFonts w:asciiTheme="minorHAnsi" w:hAnsiTheme="minorHAnsi" w:cstheme="minorHAnsi"/>
                <w:sz w:val="16"/>
                <w:szCs w:val="16"/>
              </w:rPr>
            </w:pPr>
            <w:r w:rsidRPr="00060053">
              <w:rPr>
                <w:rFonts w:asciiTheme="minorHAnsi" w:hAnsiTheme="minorHAnsi" w:cstheme="minorHAnsi"/>
                <w:sz w:val="16"/>
                <w:szCs w:val="16"/>
              </w:rPr>
              <w:t>Participar en el desarrollo de proyectos, actividades especiales y</w:t>
            </w:r>
            <w:r w:rsidR="002A1A56">
              <w:rPr>
                <w:rFonts w:asciiTheme="minorHAnsi" w:hAnsiTheme="minorHAnsi" w:cstheme="minorHAnsi"/>
                <w:sz w:val="16"/>
                <w:szCs w:val="16"/>
              </w:rPr>
              <w:t xml:space="preserve"> de</w:t>
            </w:r>
            <w:r w:rsidRPr="00060053">
              <w:rPr>
                <w:rFonts w:asciiTheme="minorHAnsi" w:hAnsiTheme="minorHAnsi" w:cstheme="minorHAnsi"/>
                <w:sz w:val="16"/>
                <w:szCs w:val="16"/>
              </w:rPr>
              <w:t xml:space="preserve"> capacitación</w:t>
            </w:r>
            <w:r w:rsidR="002A1A56">
              <w:rPr>
                <w:rFonts w:asciiTheme="minorHAnsi" w:hAnsiTheme="minorHAnsi" w:cstheme="minorHAnsi"/>
                <w:sz w:val="16"/>
                <w:szCs w:val="16"/>
              </w:rPr>
              <w:t>.</w:t>
            </w:r>
          </w:p>
        </w:tc>
      </w:tr>
      <w:tr w:rsidR="0034365F" w:rsidRPr="00060053" w14:paraId="06A94A99" w14:textId="77777777" w:rsidTr="00BF3B94">
        <w:trPr>
          <w:trHeight w:val="285"/>
        </w:trPr>
        <w:tc>
          <w:tcPr>
            <w:tcW w:w="8469" w:type="dxa"/>
            <w:gridSpan w:val="3"/>
            <w:tcBorders>
              <w:top w:val="single" w:sz="4" w:space="0" w:color="auto"/>
              <w:left w:val="single" w:sz="4" w:space="0" w:color="auto"/>
              <w:bottom w:val="single" w:sz="4" w:space="0" w:color="auto"/>
              <w:right w:val="single" w:sz="4" w:space="0" w:color="000000"/>
            </w:tcBorders>
            <w:shd w:val="clear" w:color="auto" w:fill="B8CCE4" w:themeFill="accent1" w:themeFillTint="66"/>
            <w:noWrap/>
            <w:vAlign w:val="center"/>
            <w:hideMark/>
          </w:tcPr>
          <w:p w14:paraId="06A94A98" w14:textId="77777777" w:rsidR="0034365F" w:rsidRPr="00060053" w:rsidRDefault="0034365F" w:rsidP="002A1A56">
            <w:pPr>
              <w:jc w:val="both"/>
              <w:rPr>
                <w:rFonts w:asciiTheme="minorHAnsi" w:hAnsiTheme="minorHAnsi" w:cstheme="minorHAnsi"/>
                <w:b/>
                <w:bCs/>
                <w:sz w:val="16"/>
                <w:szCs w:val="16"/>
              </w:rPr>
            </w:pPr>
            <w:r w:rsidRPr="00060053">
              <w:rPr>
                <w:rFonts w:asciiTheme="minorHAnsi" w:hAnsiTheme="minorHAnsi" w:cstheme="minorHAnsi"/>
                <w:b/>
                <w:bCs/>
                <w:sz w:val="16"/>
                <w:szCs w:val="16"/>
              </w:rPr>
              <w:t>ÁREA COMUNICACIÓN Y SERVICIOS</w:t>
            </w:r>
          </w:p>
        </w:tc>
      </w:tr>
      <w:tr w:rsidR="0034365F" w:rsidRPr="00060053" w14:paraId="06A94A9D" w14:textId="77777777" w:rsidTr="00EA2E0B">
        <w:trPr>
          <w:trHeight w:val="612"/>
        </w:trPr>
        <w:tc>
          <w:tcPr>
            <w:tcW w:w="582" w:type="dxa"/>
            <w:vMerge w:val="restart"/>
            <w:tcBorders>
              <w:top w:val="nil"/>
              <w:left w:val="single" w:sz="4" w:space="0" w:color="auto"/>
              <w:bottom w:val="nil"/>
              <w:right w:val="single" w:sz="4" w:space="0" w:color="auto"/>
            </w:tcBorders>
            <w:shd w:val="clear" w:color="auto" w:fill="auto"/>
            <w:vAlign w:val="center"/>
            <w:hideMark/>
          </w:tcPr>
          <w:p w14:paraId="06A94A9A" w14:textId="77777777" w:rsidR="0034365F" w:rsidRPr="00060053" w:rsidRDefault="0034365F">
            <w:pPr>
              <w:jc w:val="center"/>
              <w:rPr>
                <w:rFonts w:asciiTheme="minorHAnsi" w:hAnsiTheme="minorHAnsi" w:cstheme="minorHAnsi"/>
                <w:b/>
                <w:bCs/>
                <w:sz w:val="16"/>
                <w:szCs w:val="16"/>
              </w:rPr>
            </w:pPr>
            <w:r w:rsidRPr="00060053">
              <w:rPr>
                <w:rFonts w:asciiTheme="minorHAnsi" w:hAnsiTheme="minorHAnsi" w:cstheme="minorHAnsi"/>
                <w:b/>
                <w:bCs/>
                <w:sz w:val="16"/>
                <w:szCs w:val="16"/>
              </w:rPr>
              <w:t> </w:t>
            </w:r>
          </w:p>
        </w:tc>
        <w:tc>
          <w:tcPr>
            <w:tcW w:w="760" w:type="dxa"/>
            <w:tcBorders>
              <w:top w:val="nil"/>
              <w:left w:val="nil"/>
              <w:bottom w:val="single" w:sz="4" w:space="0" w:color="auto"/>
              <w:right w:val="single" w:sz="4" w:space="0" w:color="auto"/>
            </w:tcBorders>
            <w:shd w:val="clear" w:color="auto" w:fill="auto"/>
            <w:vAlign w:val="center"/>
            <w:hideMark/>
          </w:tcPr>
          <w:p w14:paraId="06A94A9B" w14:textId="77777777" w:rsidR="0034365F" w:rsidRPr="00060053" w:rsidRDefault="0034365F">
            <w:pPr>
              <w:jc w:val="center"/>
              <w:rPr>
                <w:rFonts w:asciiTheme="minorHAnsi" w:hAnsiTheme="minorHAnsi" w:cstheme="minorHAnsi"/>
                <w:b/>
                <w:bCs/>
                <w:sz w:val="16"/>
                <w:szCs w:val="16"/>
              </w:rPr>
            </w:pPr>
            <w:r w:rsidRPr="00060053">
              <w:rPr>
                <w:rFonts w:asciiTheme="minorHAnsi" w:hAnsiTheme="minorHAnsi" w:cstheme="minorHAnsi"/>
                <w:b/>
                <w:bCs/>
                <w:sz w:val="16"/>
                <w:szCs w:val="16"/>
              </w:rPr>
              <w:t>15</w:t>
            </w:r>
          </w:p>
        </w:tc>
        <w:tc>
          <w:tcPr>
            <w:tcW w:w="7127" w:type="dxa"/>
            <w:tcBorders>
              <w:top w:val="nil"/>
              <w:left w:val="nil"/>
              <w:bottom w:val="single" w:sz="4" w:space="0" w:color="auto"/>
              <w:right w:val="single" w:sz="4" w:space="0" w:color="auto"/>
            </w:tcBorders>
            <w:shd w:val="clear" w:color="auto" w:fill="auto"/>
            <w:vAlign w:val="center"/>
            <w:hideMark/>
          </w:tcPr>
          <w:p w14:paraId="06A94A9C" w14:textId="14FBE2AF" w:rsidR="0034365F" w:rsidRPr="00060053" w:rsidRDefault="0034365F" w:rsidP="002A1A56">
            <w:pPr>
              <w:jc w:val="both"/>
              <w:rPr>
                <w:rFonts w:asciiTheme="minorHAnsi" w:hAnsiTheme="minorHAnsi" w:cstheme="minorHAnsi"/>
                <w:sz w:val="16"/>
                <w:szCs w:val="16"/>
              </w:rPr>
            </w:pPr>
            <w:r w:rsidRPr="00060053">
              <w:rPr>
                <w:rFonts w:asciiTheme="minorHAnsi" w:hAnsiTheme="minorHAnsi" w:cstheme="minorHAnsi"/>
                <w:sz w:val="16"/>
                <w:szCs w:val="16"/>
              </w:rPr>
              <w:t>Ejecutar el 100% de las labores programadas en el Plan de Comunicación y en la aplicación de herramientas relacionadas  (percepción, quejas)</w:t>
            </w:r>
            <w:r w:rsidR="002A1A56">
              <w:rPr>
                <w:rFonts w:asciiTheme="minorHAnsi" w:hAnsiTheme="minorHAnsi" w:cstheme="minorHAnsi"/>
                <w:sz w:val="16"/>
                <w:szCs w:val="16"/>
              </w:rPr>
              <w:t>.</w:t>
            </w:r>
          </w:p>
        </w:tc>
      </w:tr>
      <w:tr w:rsidR="0034365F" w:rsidRPr="00060053" w14:paraId="06A94AA1" w14:textId="77777777" w:rsidTr="00EA2E0B">
        <w:trPr>
          <w:trHeight w:val="408"/>
        </w:trPr>
        <w:tc>
          <w:tcPr>
            <w:tcW w:w="582" w:type="dxa"/>
            <w:vMerge/>
            <w:tcBorders>
              <w:top w:val="nil"/>
              <w:left w:val="single" w:sz="4" w:space="0" w:color="auto"/>
              <w:bottom w:val="nil"/>
              <w:right w:val="single" w:sz="4" w:space="0" w:color="auto"/>
            </w:tcBorders>
            <w:vAlign w:val="center"/>
            <w:hideMark/>
          </w:tcPr>
          <w:p w14:paraId="06A94A9E" w14:textId="77777777" w:rsidR="0034365F" w:rsidRPr="00060053" w:rsidRDefault="0034365F">
            <w:pPr>
              <w:rPr>
                <w:rFonts w:asciiTheme="minorHAnsi" w:hAnsiTheme="minorHAnsi" w:cstheme="minorHAnsi"/>
                <w:b/>
                <w:bCs/>
                <w:sz w:val="16"/>
                <w:szCs w:val="16"/>
              </w:rPr>
            </w:pPr>
          </w:p>
        </w:tc>
        <w:tc>
          <w:tcPr>
            <w:tcW w:w="760" w:type="dxa"/>
            <w:tcBorders>
              <w:top w:val="nil"/>
              <w:left w:val="nil"/>
              <w:bottom w:val="single" w:sz="4" w:space="0" w:color="auto"/>
              <w:right w:val="single" w:sz="4" w:space="0" w:color="auto"/>
            </w:tcBorders>
            <w:shd w:val="clear" w:color="auto" w:fill="auto"/>
            <w:vAlign w:val="center"/>
            <w:hideMark/>
          </w:tcPr>
          <w:p w14:paraId="06A94A9F" w14:textId="77777777" w:rsidR="0034365F" w:rsidRPr="00060053" w:rsidRDefault="0034365F">
            <w:pPr>
              <w:jc w:val="center"/>
              <w:rPr>
                <w:rFonts w:asciiTheme="minorHAnsi" w:hAnsiTheme="minorHAnsi" w:cstheme="minorHAnsi"/>
                <w:b/>
                <w:bCs/>
                <w:sz w:val="16"/>
                <w:szCs w:val="16"/>
              </w:rPr>
            </w:pPr>
            <w:r w:rsidRPr="00060053">
              <w:rPr>
                <w:rFonts w:asciiTheme="minorHAnsi" w:hAnsiTheme="minorHAnsi" w:cstheme="minorHAnsi"/>
                <w:b/>
                <w:bCs/>
                <w:sz w:val="16"/>
                <w:szCs w:val="16"/>
              </w:rPr>
              <w:t>16</w:t>
            </w:r>
          </w:p>
        </w:tc>
        <w:tc>
          <w:tcPr>
            <w:tcW w:w="7127" w:type="dxa"/>
            <w:tcBorders>
              <w:top w:val="nil"/>
              <w:left w:val="nil"/>
              <w:bottom w:val="single" w:sz="4" w:space="0" w:color="auto"/>
              <w:right w:val="single" w:sz="4" w:space="0" w:color="auto"/>
            </w:tcBorders>
            <w:shd w:val="clear" w:color="auto" w:fill="auto"/>
            <w:vAlign w:val="center"/>
            <w:hideMark/>
          </w:tcPr>
          <w:p w14:paraId="06A94AA0" w14:textId="2ACF97D7" w:rsidR="0034365F" w:rsidRPr="00060053" w:rsidRDefault="0034365F" w:rsidP="00882B11">
            <w:pPr>
              <w:rPr>
                <w:rFonts w:asciiTheme="minorHAnsi" w:hAnsiTheme="minorHAnsi" w:cstheme="minorHAnsi"/>
                <w:sz w:val="16"/>
                <w:szCs w:val="16"/>
              </w:rPr>
            </w:pPr>
            <w:r w:rsidRPr="00060053">
              <w:rPr>
                <w:rFonts w:asciiTheme="minorHAnsi" w:hAnsiTheme="minorHAnsi" w:cstheme="minorHAnsi"/>
                <w:sz w:val="16"/>
                <w:szCs w:val="16"/>
              </w:rPr>
              <w:t xml:space="preserve">Atender el 100% de  los requerimientos </w:t>
            </w:r>
            <w:r w:rsidR="00882B11">
              <w:rPr>
                <w:rFonts w:asciiTheme="minorHAnsi" w:hAnsiTheme="minorHAnsi" w:cstheme="minorHAnsi"/>
                <w:sz w:val="16"/>
                <w:szCs w:val="16"/>
              </w:rPr>
              <w:t>en gestión de recursos</w:t>
            </w:r>
            <w:r w:rsidRPr="00060053">
              <w:rPr>
                <w:rFonts w:asciiTheme="minorHAnsi" w:hAnsiTheme="minorHAnsi" w:cstheme="minorHAnsi"/>
                <w:sz w:val="16"/>
                <w:szCs w:val="16"/>
              </w:rPr>
              <w:t xml:space="preserve"> y del Sistema de Gestión de la Calidad.</w:t>
            </w:r>
          </w:p>
        </w:tc>
      </w:tr>
      <w:tr w:rsidR="0034365F" w:rsidRPr="00060053" w14:paraId="06A94AA5" w14:textId="77777777" w:rsidTr="00EA2E0B">
        <w:trPr>
          <w:trHeight w:val="408"/>
        </w:trPr>
        <w:tc>
          <w:tcPr>
            <w:tcW w:w="582" w:type="dxa"/>
            <w:vMerge/>
            <w:tcBorders>
              <w:top w:val="nil"/>
              <w:left w:val="single" w:sz="4" w:space="0" w:color="auto"/>
              <w:bottom w:val="nil"/>
              <w:right w:val="single" w:sz="4" w:space="0" w:color="auto"/>
            </w:tcBorders>
            <w:vAlign w:val="center"/>
            <w:hideMark/>
          </w:tcPr>
          <w:p w14:paraId="06A94AA2" w14:textId="77777777" w:rsidR="0034365F" w:rsidRPr="00060053" w:rsidRDefault="0034365F">
            <w:pPr>
              <w:rPr>
                <w:rFonts w:asciiTheme="minorHAnsi" w:hAnsiTheme="minorHAnsi" w:cstheme="minorHAnsi"/>
                <w:b/>
                <w:bCs/>
                <w:sz w:val="16"/>
                <w:szCs w:val="16"/>
              </w:rPr>
            </w:pPr>
          </w:p>
        </w:tc>
        <w:tc>
          <w:tcPr>
            <w:tcW w:w="760" w:type="dxa"/>
            <w:tcBorders>
              <w:top w:val="nil"/>
              <w:left w:val="nil"/>
              <w:bottom w:val="single" w:sz="4" w:space="0" w:color="auto"/>
              <w:right w:val="single" w:sz="4" w:space="0" w:color="auto"/>
            </w:tcBorders>
            <w:shd w:val="clear" w:color="auto" w:fill="auto"/>
            <w:vAlign w:val="center"/>
            <w:hideMark/>
          </w:tcPr>
          <w:p w14:paraId="06A94AA3" w14:textId="77777777" w:rsidR="0034365F" w:rsidRPr="00060053" w:rsidRDefault="0034365F">
            <w:pPr>
              <w:jc w:val="center"/>
              <w:rPr>
                <w:rFonts w:asciiTheme="minorHAnsi" w:hAnsiTheme="minorHAnsi" w:cstheme="minorHAnsi"/>
                <w:b/>
                <w:bCs/>
                <w:sz w:val="16"/>
                <w:szCs w:val="16"/>
              </w:rPr>
            </w:pPr>
            <w:r w:rsidRPr="00060053">
              <w:rPr>
                <w:rFonts w:asciiTheme="minorHAnsi" w:hAnsiTheme="minorHAnsi" w:cstheme="minorHAnsi"/>
                <w:b/>
                <w:bCs/>
                <w:sz w:val="16"/>
                <w:szCs w:val="16"/>
              </w:rPr>
              <w:t>17</w:t>
            </w:r>
          </w:p>
        </w:tc>
        <w:tc>
          <w:tcPr>
            <w:tcW w:w="7127" w:type="dxa"/>
            <w:tcBorders>
              <w:top w:val="nil"/>
              <w:left w:val="nil"/>
              <w:bottom w:val="single" w:sz="4" w:space="0" w:color="auto"/>
              <w:right w:val="single" w:sz="4" w:space="0" w:color="auto"/>
            </w:tcBorders>
            <w:shd w:val="clear" w:color="auto" w:fill="auto"/>
            <w:vAlign w:val="center"/>
            <w:hideMark/>
          </w:tcPr>
          <w:p w14:paraId="06A94AA4" w14:textId="4CA35388" w:rsidR="0034365F" w:rsidRPr="00060053" w:rsidRDefault="0034365F">
            <w:pPr>
              <w:rPr>
                <w:rFonts w:asciiTheme="minorHAnsi" w:hAnsiTheme="minorHAnsi" w:cstheme="minorHAnsi"/>
                <w:sz w:val="16"/>
                <w:szCs w:val="16"/>
              </w:rPr>
            </w:pPr>
            <w:r w:rsidRPr="00060053">
              <w:rPr>
                <w:rFonts w:asciiTheme="minorHAnsi" w:hAnsiTheme="minorHAnsi" w:cstheme="minorHAnsi"/>
                <w:sz w:val="16"/>
                <w:szCs w:val="16"/>
              </w:rPr>
              <w:t>Participar en el desarrollo de proyectos, actividades especiales y</w:t>
            </w:r>
            <w:r w:rsidR="002A1A56">
              <w:rPr>
                <w:rFonts w:asciiTheme="minorHAnsi" w:hAnsiTheme="minorHAnsi" w:cstheme="minorHAnsi"/>
                <w:sz w:val="16"/>
                <w:szCs w:val="16"/>
              </w:rPr>
              <w:t xml:space="preserve"> de</w:t>
            </w:r>
            <w:r w:rsidRPr="00060053">
              <w:rPr>
                <w:rFonts w:asciiTheme="minorHAnsi" w:hAnsiTheme="minorHAnsi" w:cstheme="minorHAnsi"/>
                <w:sz w:val="16"/>
                <w:szCs w:val="16"/>
              </w:rPr>
              <w:t xml:space="preserve"> capacitación</w:t>
            </w:r>
            <w:r w:rsidR="002A1A56">
              <w:rPr>
                <w:rFonts w:asciiTheme="minorHAnsi" w:hAnsiTheme="minorHAnsi" w:cstheme="minorHAnsi"/>
                <w:sz w:val="16"/>
                <w:szCs w:val="16"/>
              </w:rPr>
              <w:t>.</w:t>
            </w:r>
          </w:p>
        </w:tc>
      </w:tr>
      <w:tr w:rsidR="0034365F" w:rsidRPr="00060053" w14:paraId="06A94AA7" w14:textId="77777777" w:rsidTr="001D1BED">
        <w:trPr>
          <w:trHeight w:val="435"/>
        </w:trPr>
        <w:tc>
          <w:tcPr>
            <w:tcW w:w="8469" w:type="dxa"/>
            <w:gridSpan w:val="3"/>
            <w:tcBorders>
              <w:top w:val="single" w:sz="4" w:space="0" w:color="auto"/>
              <w:left w:val="single" w:sz="4" w:space="0" w:color="auto"/>
              <w:bottom w:val="single" w:sz="4" w:space="0" w:color="auto"/>
              <w:right w:val="single" w:sz="4" w:space="0" w:color="000000"/>
            </w:tcBorders>
            <w:shd w:val="clear" w:color="auto" w:fill="8DB3E2" w:themeFill="text2" w:themeFillTint="66"/>
            <w:noWrap/>
            <w:vAlign w:val="center"/>
            <w:hideMark/>
          </w:tcPr>
          <w:p w14:paraId="06A94AA6" w14:textId="77777777" w:rsidR="0034365F" w:rsidRPr="00060053" w:rsidRDefault="0034365F">
            <w:pPr>
              <w:jc w:val="center"/>
              <w:rPr>
                <w:rFonts w:asciiTheme="minorHAnsi" w:hAnsiTheme="minorHAnsi" w:cstheme="minorHAnsi"/>
                <w:b/>
                <w:bCs/>
                <w:sz w:val="16"/>
                <w:szCs w:val="16"/>
              </w:rPr>
            </w:pPr>
          </w:p>
        </w:tc>
      </w:tr>
    </w:tbl>
    <w:p w14:paraId="06A94AA9" w14:textId="77777777" w:rsidR="0034365F" w:rsidRPr="00060053" w:rsidRDefault="0034365F" w:rsidP="00783977">
      <w:pPr>
        <w:jc w:val="both"/>
        <w:rPr>
          <w:rFonts w:asciiTheme="majorHAnsi" w:hAnsiTheme="majorHAnsi"/>
          <w:bCs/>
          <w:sz w:val="22"/>
          <w:szCs w:val="22"/>
          <w:lang w:val="es-ES_tradnl"/>
        </w:rPr>
      </w:pPr>
    </w:p>
    <w:p w14:paraId="06A94AAA" w14:textId="30C87295" w:rsidR="00E236FA" w:rsidRPr="00D460C2" w:rsidRDefault="00D460C2" w:rsidP="00D460C2">
      <w:pPr>
        <w:pStyle w:val="Ttulo3"/>
        <w:rPr>
          <w:rFonts w:asciiTheme="majorHAnsi" w:hAnsiTheme="majorHAnsi"/>
          <w:bCs w:val="0"/>
          <w:sz w:val="22"/>
          <w:szCs w:val="22"/>
          <w:lang w:val="es-ES_tradnl"/>
        </w:rPr>
      </w:pPr>
      <w:bookmarkStart w:id="44" w:name="_Toc429562738"/>
      <w:bookmarkStart w:id="45" w:name="_Toc442253215"/>
      <w:r>
        <w:rPr>
          <w:rFonts w:asciiTheme="majorHAnsi" w:hAnsiTheme="majorHAnsi"/>
          <w:bCs w:val="0"/>
          <w:sz w:val="22"/>
          <w:szCs w:val="22"/>
          <w:lang w:val="es-ES_tradnl"/>
        </w:rPr>
        <w:t>2.3.3</w:t>
      </w:r>
      <w:r>
        <w:rPr>
          <w:rFonts w:asciiTheme="majorHAnsi" w:hAnsiTheme="majorHAnsi"/>
          <w:bCs w:val="0"/>
          <w:sz w:val="22"/>
          <w:szCs w:val="22"/>
          <w:lang w:val="es-ES_tradnl"/>
        </w:rPr>
        <w:tab/>
      </w:r>
      <w:r w:rsidR="00E236FA" w:rsidRPr="00D460C2">
        <w:rPr>
          <w:rFonts w:asciiTheme="majorHAnsi" w:hAnsiTheme="majorHAnsi"/>
          <w:bCs w:val="0"/>
          <w:sz w:val="22"/>
          <w:szCs w:val="22"/>
          <w:lang w:val="es-ES_tradnl"/>
        </w:rPr>
        <w:t>Indicadores de Gestión</w:t>
      </w:r>
      <w:bookmarkEnd w:id="44"/>
      <w:bookmarkEnd w:id="45"/>
    </w:p>
    <w:p w14:paraId="06A94AAB" w14:textId="77777777" w:rsidR="001415B5" w:rsidRPr="00060053" w:rsidRDefault="001415B5" w:rsidP="00F53525">
      <w:pPr>
        <w:jc w:val="both"/>
        <w:rPr>
          <w:rFonts w:asciiTheme="majorHAnsi" w:hAnsiTheme="majorHAnsi"/>
          <w:bCs/>
        </w:rPr>
      </w:pPr>
    </w:p>
    <w:p w14:paraId="06A94AAC" w14:textId="4FF21F8C" w:rsidR="005E1098" w:rsidRDefault="005E1098" w:rsidP="00F53525">
      <w:pPr>
        <w:jc w:val="both"/>
        <w:rPr>
          <w:rFonts w:asciiTheme="majorHAnsi" w:hAnsiTheme="majorHAnsi"/>
          <w:bCs/>
          <w:sz w:val="22"/>
          <w:szCs w:val="22"/>
        </w:rPr>
      </w:pPr>
      <w:r w:rsidRPr="00060053">
        <w:rPr>
          <w:rFonts w:asciiTheme="majorHAnsi" w:hAnsiTheme="majorHAnsi"/>
          <w:bCs/>
          <w:sz w:val="22"/>
          <w:szCs w:val="22"/>
        </w:rPr>
        <w:t xml:space="preserve">Los indicadores son un conjunto de datos que ayudan a medir la evolución de un proceso o actividad, para tal propósito la </w:t>
      </w:r>
      <w:r w:rsidR="00D277D9">
        <w:rPr>
          <w:rFonts w:asciiTheme="majorHAnsi" w:hAnsiTheme="majorHAnsi"/>
          <w:bCs/>
          <w:sz w:val="22"/>
          <w:szCs w:val="22"/>
        </w:rPr>
        <w:t>SUPEN</w:t>
      </w:r>
      <w:r w:rsidRPr="00060053">
        <w:rPr>
          <w:rFonts w:asciiTheme="majorHAnsi" w:hAnsiTheme="majorHAnsi"/>
          <w:bCs/>
          <w:sz w:val="22"/>
          <w:szCs w:val="22"/>
        </w:rPr>
        <w:t xml:space="preserve"> definió los siguientes indicadores</w:t>
      </w:r>
      <w:r w:rsidR="00B87242" w:rsidRPr="00060053">
        <w:rPr>
          <w:rFonts w:asciiTheme="majorHAnsi" w:hAnsiTheme="majorHAnsi"/>
          <w:bCs/>
          <w:sz w:val="22"/>
          <w:szCs w:val="22"/>
        </w:rPr>
        <w:t xml:space="preserve"> de gestión</w:t>
      </w:r>
      <w:r w:rsidRPr="00060053">
        <w:rPr>
          <w:rFonts w:asciiTheme="majorHAnsi" w:hAnsiTheme="majorHAnsi"/>
          <w:bCs/>
          <w:sz w:val="22"/>
          <w:szCs w:val="22"/>
        </w:rPr>
        <w:t>:</w:t>
      </w:r>
    </w:p>
    <w:p w14:paraId="64A509EA" w14:textId="77777777" w:rsidR="008B4A62" w:rsidRDefault="008B4A62" w:rsidP="00F53525">
      <w:pPr>
        <w:jc w:val="both"/>
        <w:rPr>
          <w:rFonts w:asciiTheme="majorHAnsi" w:hAnsiTheme="majorHAnsi"/>
          <w:bCs/>
          <w:sz w:val="22"/>
          <w:szCs w:val="22"/>
        </w:rPr>
      </w:pPr>
    </w:p>
    <w:tbl>
      <w:tblPr>
        <w:tblW w:w="9890" w:type="dxa"/>
        <w:tblInd w:w="96" w:type="dxa"/>
        <w:tblCellMar>
          <w:left w:w="0" w:type="dxa"/>
          <w:right w:w="0" w:type="dxa"/>
        </w:tblCellMar>
        <w:tblLook w:val="04A0" w:firstRow="1" w:lastRow="0" w:firstColumn="1" w:lastColumn="0" w:noHBand="0" w:noVBand="1"/>
      </w:tblPr>
      <w:tblGrid>
        <w:gridCol w:w="2059"/>
        <w:gridCol w:w="1937"/>
        <w:gridCol w:w="1135"/>
        <w:gridCol w:w="2560"/>
        <w:gridCol w:w="882"/>
        <w:gridCol w:w="1317"/>
      </w:tblGrid>
      <w:tr w:rsidR="00C44250" w14:paraId="630CE3E0" w14:textId="77777777" w:rsidTr="00C44250">
        <w:trPr>
          <w:trHeight w:val="516"/>
          <w:tblHeader/>
        </w:trPr>
        <w:tc>
          <w:tcPr>
            <w:tcW w:w="2059" w:type="dxa"/>
            <w:tcBorders>
              <w:top w:val="single" w:sz="8" w:space="0" w:color="auto"/>
              <w:left w:val="single" w:sz="8" w:space="0" w:color="auto"/>
              <w:bottom w:val="single" w:sz="8" w:space="0" w:color="auto"/>
              <w:right w:val="single" w:sz="8" w:space="0" w:color="auto"/>
            </w:tcBorders>
            <w:shd w:val="clear" w:color="auto" w:fill="548DD4" w:themeFill="text2" w:themeFillTint="99"/>
            <w:tcMar>
              <w:top w:w="0" w:type="dxa"/>
              <w:left w:w="108" w:type="dxa"/>
              <w:bottom w:w="0" w:type="dxa"/>
              <w:right w:w="108" w:type="dxa"/>
            </w:tcMar>
            <w:vAlign w:val="center"/>
            <w:hideMark/>
          </w:tcPr>
          <w:p w14:paraId="2D55B6BC" w14:textId="77777777" w:rsidR="00C44250" w:rsidRDefault="00C44250" w:rsidP="006072A4">
            <w:pPr>
              <w:rPr>
                <w:rFonts w:ascii="Calibri Light" w:hAnsi="Calibri Light"/>
                <w:b/>
                <w:bCs/>
                <w:sz w:val="20"/>
                <w:szCs w:val="20"/>
                <w:lang w:val="es-CR"/>
              </w:rPr>
            </w:pPr>
            <w:r>
              <w:rPr>
                <w:rFonts w:ascii="Calibri Light" w:hAnsi="Calibri Light"/>
                <w:b/>
                <w:bCs/>
                <w:sz w:val="20"/>
                <w:szCs w:val="20"/>
                <w:lang w:val="es-CR"/>
              </w:rPr>
              <w:lastRenderedPageBreak/>
              <w:t>Documento referencia</w:t>
            </w:r>
          </w:p>
        </w:tc>
        <w:tc>
          <w:tcPr>
            <w:tcW w:w="1937" w:type="dxa"/>
            <w:tcBorders>
              <w:top w:val="single" w:sz="8" w:space="0" w:color="auto"/>
              <w:left w:val="nil"/>
              <w:bottom w:val="single" w:sz="8" w:space="0" w:color="auto"/>
              <w:right w:val="single" w:sz="8" w:space="0" w:color="auto"/>
            </w:tcBorders>
            <w:shd w:val="clear" w:color="auto" w:fill="548DD4" w:themeFill="text2" w:themeFillTint="99"/>
            <w:tcMar>
              <w:top w:w="0" w:type="dxa"/>
              <w:left w:w="108" w:type="dxa"/>
              <w:bottom w:w="0" w:type="dxa"/>
              <w:right w:w="108" w:type="dxa"/>
            </w:tcMar>
            <w:vAlign w:val="center"/>
            <w:hideMark/>
          </w:tcPr>
          <w:p w14:paraId="4C500E08" w14:textId="77777777" w:rsidR="00C44250" w:rsidRDefault="00C44250" w:rsidP="00DF69B9">
            <w:pPr>
              <w:jc w:val="center"/>
              <w:rPr>
                <w:rFonts w:ascii="Calibri Light" w:hAnsi="Calibri Light"/>
                <w:b/>
                <w:bCs/>
                <w:sz w:val="20"/>
                <w:szCs w:val="20"/>
                <w:lang w:val="es-CR"/>
              </w:rPr>
            </w:pPr>
            <w:r>
              <w:rPr>
                <w:rFonts w:ascii="Calibri Light" w:hAnsi="Calibri Light"/>
                <w:b/>
                <w:bCs/>
                <w:sz w:val="20"/>
                <w:szCs w:val="20"/>
                <w:lang w:val="es-CR"/>
              </w:rPr>
              <w:t>Objetivo</w:t>
            </w:r>
          </w:p>
        </w:tc>
        <w:tc>
          <w:tcPr>
            <w:tcW w:w="1135" w:type="dxa"/>
            <w:tcBorders>
              <w:top w:val="single" w:sz="8" w:space="0" w:color="auto"/>
              <w:left w:val="nil"/>
              <w:bottom w:val="single" w:sz="8" w:space="0" w:color="auto"/>
              <w:right w:val="single" w:sz="8" w:space="0" w:color="auto"/>
            </w:tcBorders>
            <w:shd w:val="clear" w:color="auto" w:fill="548DD4" w:themeFill="text2" w:themeFillTint="99"/>
            <w:tcMar>
              <w:top w:w="0" w:type="dxa"/>
              <w:left w:w="108" w:type="dxa"/>
              <w:bottom w:w="0" w:type="dxa"/>
              <w:right w:w="108" w:type="dxa"/>
            </w:tcMar>
            <w:vAlign w:val="center"/>
            <w:hideMark/>
          </w:tcPr>
          <w:p w14:paraId="36372A8A" w14:textId="62DD7F6A" w:rsidR="00C44250" w:rsidRDefault="00C44250" w:rsidP="00DF69B9">
            <w:pPr>
              <w:jc w:val="center"/>
              <w:rPr>
                <w:rFonts w:ascii="Calibri Light" w:hAnsi="Calibri Light"/>
                <w:b/>
                <w:bCs/>
                <w:sz w:val="20"/>
                <w:szCs w:val="20"/>
                <w:lang w:val="es-CR"/>
              </w:rPr>
            </w:pPr>
            <w:r>
              <w:rPr>
                <w:rFonts w:ascii="Calibri Light" w:hAnsi="Calibri Light"/>
                <w:b/>
                <w:bCs/>
                <w:sz w:val="12"/>
                <w:szCs w:val="12"/>
                <w:lang w:val="es-CR"/>
              </w:rPr>
              <w:t>Frecuencia</w:t>
            </w:r>
          </w:p>
        </w:tc>
        <w:tc>
          <w:tcPr>
            <w:tcW w:w="2560" w:type="dxa"/>
            <w:tcBorders>
              <w:top w:val="single" w:sz="8" w:space="0" w:color="auto"/>
              <w:left w:val="nil"/>
              <w:bottom w:val="single" w:sz="8" w:space="0" w:color="auto"/>
              <w:right w:val="single" w:sz="8" w:space="0" w:color="auto"/>
            </w:tcBorders>
            <w:shd w:val="clear" w:color="auto" w:fill="548DD4" w:themeFill="text2" w:themeFillTint="99"/>
            <w:tcMar>
              <w:top w:w="0" w:type="dxa"/>
              <w:left w:w="108" w:type="dxa"/>
              <w:bottom w:w="0" w:type="dxa"/>
              <w:right w:w="108" w:type="dxa"/>
            </w:tcMar>
            <w:vAlign w:val="center"/>
            <w:hideMark/>
          </w:tcPr>
          <w:p w14:paraId="7D67BD9B" w14:textId="77777777" w:rsidR="00C44250" w:rsidRDefault="00C44250" w:rsidP="006072A4">
            <w:pPr>
              <w:rPr>
                <w:rFonts w:ascii="Calibri Light" w:hAnsi="Calibri Light"/>
                <w:b/>
                <w:bCs/>
                <w:sz w:val="20"/>
                <w:szCs w:val="20"/>
                <w:lang w:val="es-CR"/>
              </w:rPr>
            </w:pPr>
            <w:r>
              <w:rPr>
                <w:rFonts w:ascii="Calibri Light" w:hAnsi="Calibri Light"/>
                <w:b/>
                <w:bCs/>
                <w:sz w:val="20"/>
                <w:szCs w:val="20"/>
                <w:lang w:val="es-CR"/>
              </w:rPr>
              <w:t>Fórmula del indicador</w:t>
            </w:r>
          </w:p>
        </w:tc>
        <w:tc>
          <w:tcPr>
            <w:tcW w:w="882" w:type="dxa"/>
            <w:tcBorders>
              <w:top w:val="single" w:sz="8" w:space="0" w:color="auto"/>
              <w:left w:val="nil"/>
              <w:bottom w:val="single" w:sz="8" w:space="0" w:color="auto"/>
              <w:right w:val="single" w:sz="8" w:space="0" w:color="auto"/>
            </w:tcBorders>
            <w:shd w:val="clear" w:color="auto" w:fill="548DD4" w:themeFill="text2" w:themeFillTint="99"/>
            <w:tcMar>
              <w:top w:w="0" w:type="dxa"/>
              <w:left w:w="108" w:type="dxa"/>
              <w:bottom w:w="0" w:type="dxa"/>
              <w:right w:w="108" w:type="dxa"/>
            </w:tcMar>
            <w:vAlign w:val="center"/>
            <w:hideMark/>
          </w:tcPr>
          <w:p w14:paraId="0FE1DC79" w14:textId="77777777" w:rsidR="00C44250" w:rsidRDefault="00C44250" w:rsidP="00DF69B9">
            <w:pPr>
              <w:jc w:val="center"/>
              <w:rPr>
                <w:rFonts w:ascii="Calibri Light" w:hAnsi="Calibri Light"/>
                <w:b/>
                <w:bCs/>
                <w:sz w:val="16"/>
                <w:szCs w:val="16"/>
                <w:lang w:val="es-CR"/>
              </w:rPr>
            </w:pPr>
            <w:r>
              <w:rPr>
                <w:rFonts w:ascii="Calibri Light" w:hAnsi="Calibri Light"/>
                <w:b/>
                <w:bCs/>
                <w:sz w:val="14"/>
                <w:szCs w:val="14"/>
                <w:lang w:val="es-CR"/>
              </w:rPr>
              <w:t>Tipo de indicador</w:t>
            </w:r>
          </w:p>
        </w:tc>
        <w:tc>
          <w:tcPr>
            <w:tcW w:w="1317" w:type="dxa"/>
            <w:tcBorders>
              <w:top w:val="single" w:sz="8" w:space="0" w:color="auto"/>
              <w:left w:val="nil"/>
              <w:bottom w:val="single" w:sz="8" w:space="0" w:color="auto"/>
              <w:right w:val="single" w:sz="8" w:space="0" w:color="auto"/>
            </w:tcBorders>
            <w:shd w:val="clear" w:color="auto" w:fill="548DD4" w:themeFill="text2" w:themeFillTint="99"/>
            <w:tcMar>
              <w:top w:w="0" w:type="dxa"/>
              <w:left w:w="108" w:type="dxa"/>
              <w:bottom w:w="0" w:type="dxa"/>
              <w:right w:w="108" w:type="dxa"/>
            </w:tcMar>
            <w:vAlign w:val="center"/>
            <w:hideMark/>
          </w:tcPr>
          <w:p w14:paraId="66D3B67E" w14:textId="77777777" w:rsidR="00C44250" w:rsidRDefault="00C44250" w:rsidP="00DF69B9">
            <w:pPr>
              <w:jc w:val="center"/>
              <w:rPr>
                <w:rFonts w:ascii="Calibri Light" w:hAnsi="Calibri Light"/>
                <w:b/>
                <w:bCs/>
                <w:sz w:val="20"/>
                <w:szCs w:val="20"/>
                <w:lang w:val="es-CR"/>
              </w:rPr>
            </w:pPr>
            <w:r>
              <w:rPr>
                <w:rFonts w:ascii="Calibri Light" w:hAnsi="Calibri Light"/>
                <w:b/>
                <w:bCs/>
                <w:sz w:val="20"/>
                <w:szCs w:val="20"/>
                <w:lang w:val="es-CR"/>
              </w:rPr>
              <w:t>Meta</w:t>
            </w:r>
          </w:p>
        </w:tc>
      </w:tr>
      <w:tr w:rsidR="00C44250" w14:paraId="0865FD2B" w14:textId="77777777" w:rsidTr="00C44250">
        <w:trPr>
          <w:trHeight w:val="288"/>
        </w:trPr>
        <w:tc>
          <w:tcPr>
            <w:tcW w:w="9890" w:type="dxa"/>
            <w:gridSpan w:val="6"/>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008EFBFE" w14:textId="77777777" w:rsidR="00C44250" w:rsidRDefault="00C44250" w:rsidP="006072A4">
            <w:pPr>
              <w:rPr>
                <w:rFonts w:ascii="Calibri Light" w:hAnsi="Calibri Light"/>
                <w:b/>
                <w:bCs/>
                <w:sz w:val="16"/>
                <w:szCs w:val="16"/>
                <w:lang w:val="es-CR"/>
              </w:rPr>
            </w:pPr>
            <w:r>
              <w:rPr>
                <w:rFonts w:ascii="Calibri Light" w:hAnsi="Calibri Light"/>
                <w:b/>
                <w:bCs/>
                <w:sz w:val="16"/>
                <w:szCs w:val="16"/>
                <w:lang w:val="es-CR"/>
              </w:rPr>
              <w:t>Estratégicos</w:t>
            </w:r>
          </w:p>
        </w:tc>
      </w:tr>
      <w:tr w:rsidR="00C44250" w14:paraId="4E584E11" w14:textId="77777777" w:rsidTr="00C44250">
        <w:trPr>
          <w:trHeight w:val="61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AE0F72"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Plan Estratégico</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936FED"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Promover que las entidades supervisadas identifiquen y gestionen los riesgos basadas en criterios prudenciales con el fin de proteger los intereses de los afiliados.</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39C1A6"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anual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C6BC2B"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Cumplimiento del cronograma de trabajo del proyecto</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2DA6AC"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Economía</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5FE16F"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Proyecto implementado en enero 2016.</w:t>
            </w:r>
          </w:p>
        </w:tc>
      </w:tr>
      <w:tr w:rsidR="00C44250" w14:paraId="1A897D07" w14:textId="77777777" w:rsidTr="00C44250">
        <w:trPr>
          <w:trHeight w:val="61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B7CDD9"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Plan Estratégico</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60D859"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Contar con procesos y modelo de gobierno de tecnologías de información que colabore en la consecución de los objetivos institucionales antes de enero 2016 y mantener actualizadas las soluciones tecnológicas en los servicios prestados por TI.</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5891FD"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anual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tcPr>
          <w:p w14:paraId="78E597EF"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Cumplir estándares internacionales en los procesos de tecnologías de información para la prestación de servicios, desarrollo y adquisición de aplicaciones</w:t>
            </w:r>
          </w:p>
          <w:p w14:paraId="1B02A3F0" w14:textId="77777777" w:rsidR="00C44250" w:rsidRDefault="00C44250" w:rsidP="006072A4">
            <w:pPr>
              <w:rPr>
                <w:rFonts w:ascii="Calibri Light" w:hAnsi="Calibri Light"/>
                <w:sz w:val="16"/>
                <w:szCs w:val="16"/>
                <w:lang w:val="es-CR"/>
              </w:rPr>
            </w:pPr>
          </w:p>
          <w:p w14:paraId="4F57E842" w14:textId="77777777" w:rsidR="00C44250" w:rsidRDefault="00C44250" w:rsidP="006072A4">
            <w:pPr>
              <w:rPr>
                <w:rFonts w:ascii="Calibri Light" w:hAnsi="Calibri Light"/>
                <w:sz w:val="16"/>
                <w:szCs w:val="16"/>
                <w:lang w:val="es-CR"/>
              </w:rPr>
            </w:pPr>
          </w:p>
          <w:p w14:paraId="7A75FD0C" w14:textId="77777777" w:rsidR="00C44250" w:rsidRDefault="00C44250" w:rsidP="006072A4">
            <w:pPr>
              <w:rPr>
                <w:rFonts w:ascii="Calibri Light" w:hAnsi="Calibri Light"/>
                <w:sz w:val="16"/>
                <w:szCs w:val="16"/>
                <w:lang w:val="es-CR"/>
              </w:rPr>
            </w:pPr>
          </w:p>
          <w:p w14:paraId="1B79A3BB" w14:textId="77777777" w:rsidR="00C44250" w:rsidRDefault="00C44250" w:rsidP="006072A4">
            <w:pPr>
              <w:rPr>
                <w:rFonts w:ascii="Calibri Light" w:hAnsi="Calibri Light"/>
                <w:sz w:val="16"/>
                <w:szCs w:val="16"/>
                <w:lang w:val="es-CR"/>
              </w:rPr>
            </w:pPr>
          </w:p>
          <w:p w14:paraId="248B05D7"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Cumplimiento de los cronogramas de trabajo de los proyectos sobre actualización de servicios de TI.</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6BD8D5"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Economía</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tcPr>
          <w:p w14:paraId="386A210C"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Cumplir cuatro componentes bajo el estándar ITIL v3  y alcanzar nivel 3 según CMMI  antes de enero de 2016.</w:t>
            </w:r>
          </w:p>
          <w:p w14:paraId="5A828FA4" w14:textId="77777777" w:rsidR="00C44250" w:rsidRDefault="00C44250" w:rsidP="006072A4">
            <w:pPr>
              <w:rPr>
                <w:rFonts w:ascii="Calibri Light" w:hAnsi="Calibri Light"/>
                <w:sz w:val="16"/>
                <w:szCs w:val="16"/>
                <w:lang w:val="es-CR"/>
              </w:rPr>
            </w:pPr>
          </w:p>
          <w:p w14:paraId="5DCD6EF4" w14:textId="77777777" w:rsidR="00C44250" w:rsidRDefault="00C44250" w:rsidP="006072A4">
            <w:pPr>
              <w:rPr>
                <w:rFonts w:ascii="Calibri Light" w:hAnsi="Calibri Light"/>
                <w:sz w:val="16"/>
                <w:szCs w:val="16"/>
                <w:lang w:val="es-CR"/>
              </w:rPr>
            </w:pPr>
          </w:p>
          <w:p w14:paraId="2D266175" w14:textId="77777777" w:rsidR="00C44250" w:rsidRDefault="00C44250" w:rsidP="006072A4">
            <w:pPr>
              <w:rPr>
                <w:rFonts w:ascii="Calibri Light" w:hAnsi="Calibri Light"/>
                <w:sz w:val="16"/>
                <w:szCs w:val="16"/>
                <w:lang w:val="es-CR"/>
              </w:rPr>
            </w:pPr>
          </w:p>
          <w:p w14:paraId="34757EAD"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Proyectos implementados según la planificación fijada.</w:t>
            </w:r>
          </w:p>
        </w:tc>
      </w:tr>
      <w:tr w:rsidR="00C44250" w14:paraId="39D6DAEA" w14:textId="77777777" w:rsidTr="00C44250">
        <w:trPr>
          <w:trHeight w:val="420"/>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8E48A4"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Plan Estratégico</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857FEA"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Mejorar la tasa de remplazo del Sistema Nacional de Pensiones.</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8900A9"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anual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EB2644"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Tasa de remplazo de los nuevos pensionados</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27D47F"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Calidad</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0FE526"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Aumentar en 1% anual la tasa de remplazo del sistema nacional de pensiones.</w:t>
            </w:r>
          </w:p>
        </w:tc>
      </w:tr>
      <w:tr w:rsidR="00C44250" w14:paraId="0585A521" w14:textId="77777777" w:rsidTr="00C44250">
        <w:trPr>
          <w:trHeight w:val="420"/>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99235F"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Plan Estratégico</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EE9741"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Propiciar una mejor gestión de los regímenes en la atención al cliente.  </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2D64BF"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anual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7EAC7C"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Cumplimiento de los cronogramas de trabajo de los proyectos.</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ABD441"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Economía</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FABF31"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Proyectos implementados según la planificación fijada.</w:t>
            </w:r>
          </w:p>
        </w:tc>
      </w:tr>
      <w:tr w:rsidR="00C44250" w14:paraId="29525596" w14:textId="77777777" w:rsidTr="00C44250">
        <w:trPr>
          <w:trHeight w:val="288"/>
        </w:trPr>
        <w:tc>
          <w:tcPr>
            <w:tcW w:w="9890" w:type="dxa"/>
            <w:gridSpan w:val="6"/>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731C8CCC" w14:textId="77777777" w:rsidR="00C44250" w:rsidRDefault="00C44250" w:rsidP="006072A4">
            <w:pPr>
              <w:rPr>
                <w:rFonts w:ascii="Calibri Light" w:hAnsi="Calibri Light"/>
                <w:b/>
                <w:bCs/>
                <w:sz w:val="16"/>
                <w:szCs w:val="16"/>
                <w:lang w:val="es-CR"/>
              </w:rPr>
            </w:pPr>
            <w:r>
              <w:rPr>
                <w:rFonts w:ascii="Calibri Light" w:hAnsi="Calibri Light"/>
                <w:b/>
                <w:bCs/>
                <w:sz w:val="16"/>
                <w:szCs w:val="16"/>
                <w:lang w:val="es-CR"/>
              </w:rPr>
              <w:t>Comunicación</w:t>
            </w:r>
          </w:p>
        </w:tc>
      </w:tr>
      <w:tr w:rsidR="00C44250" w14:paraId="5EA0A15E" w14:textId="77777777" w:rsidTr="00C44250">
        <w:trPr>
          <w:trHeight w:val="61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AA2F7C"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F CIN 01.0.1 Plan de Comunicación</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EC99A3"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Fomentar en la población el desarrollo de una cultura previsional con el propósito de crear conciencia de la importancia de la pensión.</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CEEA23"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trimestral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F93E71"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Tasa de realización de actividades = TRA = Cantidad de actividades ejecutadas / Cantidad de actividades programadas  x 100%</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DD6D50"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Eficacia</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B75E11"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TRA </w:t>
            </w:r>
            <w:r>
              <w:rPr>
                <w:rFonts w:ascii="Calibri Light" w:hAnsi="Calibri Light"/>
                <w:sz w:val="16"/>
                <w:szCs w:val="16"/>
                <w:u w:val="single"/>
                <w:lang w:val="es-CR"/>
              </w:rPr>
              <w:t>&gt;</w:t>
            </w:r>
            <w:r>
              <w:rPr>
                <w:rFonts w:ascii="Calibri Light" w:hAnsi="Calibri Light"/>
                <w:sz w:val="16"/>
                <w:szCs w:val="16"/>
                <w:lang w:val="es-CR"/>
              </w:rPr>
              <w:t xml:space="preserve"> 90%</w:t>
            </w:r>
          </w:p>
        </w:tc>
      </w:tr>
      <w:tr w:rsidR="00C44250" w14:paraId="6210B905" w14:textId="77777777" w:rsidTr="00C44250">
        <w:trPr>
          <w:trHeight w:val="103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5B8244"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F CIN 02.2.2 Bitácora de quejas y sugerencias   </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A152DA"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Fomentar en la población el desarrollo de una cultura previsional con el propósito de crear conciencia de la importancia de la pensión.</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F46177"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trimestral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4BFE34"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de quejas atendidas en plazo (4 días hábiles) = %QP = (total de quejas en plazo/total de quejas tramitadas)  * 100</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63E0EA"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Calidad</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B84A8C"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QP = 100%</w:t>
            </w:r>
          </w:p>
        </w:tc>
      </w:tr>
      <w:tr w:rsidR="00C44250" w14:paraId="7753ED0E" w14:textId="77777777" w:rsidTr="00C44250">
        <w:trPr>
          <w:trHeight w:val="103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96DEB1"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Encuesta diagnóstico conocimiento y percepciones sobre el Sistema Nacional de Pensiones</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E9F907"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Fomentar la comunicación con los afiliados y la sociedad</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035B62"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bianual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D59046"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De la encuesta nacional de diagnóstico de conocimientos  se evaluará cada dos años el resultado de las preguntas:</w:t>
            </w:r>
          </w:p>
          <w:p w14:paraId="520CA6D2" w14:textId="77777777" w:rsidR="00C44250" w:rsidRDefault="00C44250" w:rsidP="006072A4">
            <w:pPr>
              <w:ind w:left="175" w:hanging="175"/>
              <w:rPr>
                <w:rFonts w:ascii="Calibri Light" w:hAnsi="Calibri Light"/>
                <w:sz w:val="16"/>
                <w:szCs w:val="16"/>
                <w:lang w:val="es-CR"/>
              </w:rPr>
            </w:pPr>
            <w:r>
              <w:rPr>
                <w:rFonts w:ascii="Calibri Light" w:hAnsi="Calibri Light"/>
                <w:sz w:val="16"/>
                <w:szCs w:val="16"/>
                <w:lang w:val="es-CR"/>
              </w:rPr>
              <w:t>-Definir los requisitos para obtener una pensión del régimen básico al que está adscrito.</w:t>
            </w:r>
          </w:p>
          <w:p w14:paraId="4A689484" w14:textId="77777777" w:rsidR="00C44250" w:rsidRDefault="00C44250" w:rsidP="006072A4">
            <w:pPr>
              <w:ind w:left="175" w:hanging="175"/>
              <w:rPr>
                <w:rFonts w:ascii="Calibri Light" w:hAnsi="Calibri Light"/>
                <w:sz w:val="16"/>
                <w:szCs w:val="16"/>
                <w:lang w:val="es-CR"/>
              </w:rPr>
            </w:pPr>
            <w:r>
              <w:rPr>
                <w:rFonts w:ascii="Calibri Light" w:hAnsi="Calibri Light"/>
                <w:sz w:val="16"/>
                <w:szCs w:val="16"/>
                <w:lang w:val="es-CR"/>
              </w:rPr>
              <w:t>-Precisar los requisitos para obtener la pensión del régimen obligatorio complementario.</w:t>
            </w:r>
          </w:p>
          <w:p w14:paraId="291657B5" w14:textId="77777777" w:rsidR="00C44250" w:rsidRDefault="00C44250" w:rsidP="006072A4">
            <w:pPr>
              <w:ind w:left="175" w:hanging="175"/>
              <w:rPr>
                <w:rFonts w:ascii="Calibri Light" w:hAnsi="Calibri Light"/>
                <w:sz w:val="16"/>
                <w:szCs w:val="16"/>
                <w:lang w:val="es-CR"/>
              </w:rPr>
            </w:pPr>
            <w:r>
              <w:rPr>
                <w:rFonts w:ascii="Calibri Light" w:hAnsi="Calibri Light"/>
                <w:sz w:val="16"/>
                <w:szCs w:val="16"/>
                <w:lang w:val="es-CR"/>
              </w:rPr>
              <w:lastRenderedPageBreak/>
              <w:t xml:space="preserve">-Puntualizar la importancia de contar con pensión del régimen voluntario complementario. </w:t>
            </w:r>
          </w:p>
          <w:p w14:paraId="592F86BB" w14:textId="77777777" w:rsidR="00C44250" w:rsidRDefault="00C44250" w:rsidP="006072A4">
            <w:pPr>
              <w:ind w:left="175" w:hanging="175"/>
              <w:rPr>
                <w:rFonts w:ascii="Calibri Light" w:hAnsi="Calibri Light"/>
                <w:sz w:val="16"/>
                <w:szCs w:val="16"/>
                <w:lang w:val="es-CR"/>
              </w:rPr>
            </w:pPr>
            <w:r>
              <w:rPr>
                <w:rFonts w:ascii="Calibri Light" w:hAnsi="Calibri Light"/>
                <w:sz w:val="16"/>
                <w:szCs w:val="16"/>
                <w:lang w:val="es-CR"/>
              </w:rPr>
              <w:t>-Señalar al ente responsable de supervisar y/o fiscalizar las pensiones en el país.</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5094D2" w14:textId="77777777" w:rsidR="00C44250" w:rsidRDefault="00C44250" w:rsidP="006072A4">
            <w:pPr>
              <w:rPr>
                <w:rFonts w:ascii="Calibri Light" w:hAnsi="Calibri Light"/>
                <w:sz w:val="16"/>
                <w:szCs w:val="16"/>
                <w:lang w:val="es-CR"/>
              </w:rPr>
            </w:pPr>
            <w:r>
              <w:rPr>
                <w:rFonts w:ascii="Calibri Light" w:hAnsi="Calibri Light"/>
                <w:sz w:val="14"/>
                <w:szCs w:val="14"/>
                <w:lang w:val="es-CR"/>
              </w:rPr>
              <w:lastRenderedPageBreak/>
              <w:t>Economía</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69EA72"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Aumento de 1,5%  en cada evaluación.</w:t>
            </w:r>
          </w:p>
        </w:tc>
      </w:tr>
      <w:tr w:rsidR="00C44250" w14:paraId="24F1CC2F" w14:textId="77777777" w:rsidTr="00C44250">
        <w:trPr>
          <w:trHeight w:val="288"/>
        </w:trPr>
        <w:tc>
          <w:tcPr>
            <w:tcW w:w="9890" w:type="dxa"/>
            <w:gridSpan w:val="6"/>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69BA2386" w14:textId="77777777" w:rsidR="00C44250" w:rsidRDefault="00C44250" w:rsidP="006072A4">
            <w:pPr>
              <w:rPr>
                <w:rFonts w:ascii="Calibri Light" w:hAnsi="Calibri Light"/>
                <w:b/>
                <w:bCs/>
                <w:sz w:val="16"/>
                <w:szCs w:val="16"/>
                <w:lang w:val="es-CR"/>
              </w:rPr>
            </w:pPr>
            <w:r>
              <w:rPr>
                <w:rFonts w:ascii="Calibri Light" w:hAnsi="Calibri Light"/>
                <w:b/>
                <w:bCs/>
                <w:sz w:val="16"/>
                <w:szCs w:val="16"/>
                <w:lang w:val="es-CR"/>
              </w:rPr>
              <w:lastRenderedPageBreak/>
              <w:t>Gestión de Recursos</w:t>
            </w:r>
          </w:p>
        </w:tc>
      </w:tr>
      <w:tr w:rsidR="00C44250" w14:paraId="06C81C16" w14:textId="77777777" w:rsidTr="00C44250">
        <w:trPr>
          <w:trHeight w:val="61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32EE41"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Sistema de Control de Presupuesto</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EB22E2"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Gestionar oportunamente los recursos humanos, materiales, financieros y servicios administrativos de acuerdo con los requerimientos y disposiciones institucionales.</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A607E7" w14:textId="77777777" w:rsidR="00C44250" w:rsidRDefault="00C44250" w:rsidP="006072A4">
            <w:pPr>
              <w:rPr>
                <w:rFonts w:ascii="Calibri Light" w:hAnsi="Calibri Light"/>
                <w:sz w:val="16"/>
                <w:szCs w:val="16"/>
                <w:lang w:val="es-CR"/>
              </w:rPr>
            </w:pPr>
            <w:r>
              <w:rPr>
                <w:rFonts w:ascii="Calibri Light" w:hAnsi="Calibri Light"/>
                <w:sz w:val="14"/>
                <w:szCs w:val="14"/>
                <w:lang w:val="es-CR"/>
              </w:rPr>
              <w:t>trimestral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89ED8D"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de ejecución presupuestaria = %EP = (monto ejecutado/presupuesto aprobado)  x 100</w:t>
            </w:r>
          </w:p>
          <w:p w14:paraId="286B22C0"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Cuentas claves a medir: </w:t>
            </w:r>
          </w:p>
          <w:p w14:paraId="3120E223"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a. Consultorías </w:t>
            </w:r>
          </w:p>
          <w:p w14:paraId="55903001"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b. Capacitación </w:t>
            </w:r>
          </w:p>
          <w:p w14:paraId="178E87A8"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c.  Información  (Comunicación)</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F70415" w14:textId="77777777" w:rsidR="00C44250" w:rsidRDefault="00C44250" w:rsidP="006072A4">
            <w:pPr>
              <w:rPr>
                <w:rFonts w:ascii="Calibri Light" w:hAnsi="Calibri Light"/>
                <w:sz w:val="16"/>
                <w:szCs w:val="16"/>
                <w:lang w:val="es-CR"/>
              </w:rPr>
            </w:pPr>
            <w:r>
              <w:rPr>
                <w:rFonts w:ascii="Calibri Light" w:hAnsi="Calibri Light"/>
                <w:sz w:val="14"/>
                <w:szCs w:val="14"/>
                <w:lang w:val="es-CR"/>
              </w:rPr>
              <w:t>Economía</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64817C"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%EP ≥ 90 %</w:t>
            </w:r>
          </w:p>
        </w:tc>
      </w:tr>
      <w:tr w:rsidR="00C44250" w14:paraId="4F20BAC6" w14:textId="77777777" w:rsidTr="00C44250">
        <w:trPr>
          <w:trHeight w:val="828"/>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EA27A6"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Resultados de la encuesta del cliente interno F SGC 03.0.3</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FFD2DD"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Gestionar oportunamente los recursos humanos, materiales, financieros y servicios administrativos de acuerdo con los requerimientos y disposiciones institucionales.</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492DAB"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anual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tcPr>
          <w:p w14:paraId="7169DA9A"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 Calificación del cliente interno = CCI </w:t>
            </w:r>
          </w:p>
          <w:p w14:paraId="04F42BED" w14:textId="77777777" w:rsidR="00C44250" w:rsidRDefault="00C44250" w:rsidP="006072A4">
            <w:pPr>
              <w:rPr>
                <w:rFonts w:ascii="Calibri Light" w:hAnsi="Calibri Light"/>
                <w:sz w:val="16"/>
                <w:szCs w:val="16"/>
                <w:lang w:val="es-CR"/>
              </w:rPr>
            </w:pPr>
          </w:p>
          <w:p w14:paraId="2645DED1"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Calificación conjunta de conforme más muy conforme &gt; 85%</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81C8D9" w14:textId="77777777" w:rsidR="00C44250" w:rsidRDefault="00C44250" w:rsidP="006072A4">
            <w:pPr>
              <w:rPr>
                <w:rFonts w:ascii="Calibri Light" w:hAnsi="Calibri Light"/>
                <w:sz w:val="16"/>
                <w:szCs w:val="16"/>
                <w:lang w:val="es-CR"/>
              </w:rPr>
            </w:pPr>
            <w:r>
              <w:rPr>
                <w:rFonts w:ascii="Calibri Light" w:hAnsi="Calibri Light"/>
                <w:sz w:val="14"/>
                <w:szCs w:val="14"/>
                <w:lang w:val="es-CR"/>
              </w:rPr>
              <w:t>Calidad</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030D44"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Calificación &gt; 85%</w:t>
            </w:r>
          </w:p>
        </w:tc>
      </w:tr>
      <w:tr w:rsidR="00C44250" w14:paraId="5C724ECD" w14:textId="77777777" w:rsidTr="00C44250">
        <w:trPr>
          <w:trHeight w:val="288"/>
        </w:trPr>
        <w:tc>
          <w:tcPr>
            <w:tcW w:w="9890" w:type="dxa"/>
            <w:gridSpan w:val="6"/>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35AA2C4D" w14:textId="77777777" w:rsidR="00C44250" w:rsidRDefault="00C44250" w:rsidP="006072A4">
            <w:pPr>
              <w:rPr>
                <w:rFonts w:ascii="Calibri Light" w:hAnsi="Calibri Light"/>
                <w:b/>
                <w:bCs/>
                <w:sz w:val="16"/>
                <w:szCs w:val="16"/>
                <w:lang w:val="es-CR"/>
              </w:rPr>
            </w:pPr>
            <w:r>
              <w:rPr>
                <w:rFonts w:ascii="Calibri Light" w:hAnsi="Calibri Light"/>
                <w:b/>
                <w:bCs/>
                <w:sz w:val="16"/>
                <w:szCs w:val="16"/>
                <w:lang w:val="es-CR"/>
              </w:rPr>
              <w:t>Revisión por la Dirección</w:t>
            </w:r>
          </w:p>
        </w:tc>
      </w:tr>
      <w:tr w:rsidR="00C44250" w14:paraId="29771AD5" w14:textId="77777777" w:rsidTr="00C44250">
        <w:trPr>
          <w:trHeight w:val="1248"/>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45FD98"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F SGC 04.0.2 Informe sobre acciones correctivas y preventivas </w:t>
            </w:r>
          </w:p>
          <w:p w14:paraId="201E7202"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F SGC 08.0.8 Informe sobre productos no conformes</w:t>
            </w:r>
          </w:p>
          <w:p w14:paraId="4B087CA2"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F CIN 02.2.2 Bitácora de quejas o sugerencias</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A23EC0"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Evaluar la eficacia de los planes de acción propuestos para atender las no conformidades</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4E14CE" w14:textId="77777777" w:rsidR="00C44250" w:rsidRDefault="00C44250" w:rsidP="006072A4">
            <w:pPr>
              <w:rPr>
                <w:rFonts w:ascii="Calibri Light" w:hAnsi="Calibri Light"/>
                <w:sz w:val="16"/>
                <w:szCs w:val="16"/>
                <w:lang w:val="es-CR"/>
              </w:rPr>
            </w:pPr>
            <w:r>
              <w:rPr>
                <w:rFonts w:ascii="Calibri Light" w:hAnsi="Calibri Light"/>
                <w:sz w:val="14"/>
                <w:szCs w:val="14"/>
                <w:lang w:val="es-CR"/>
              </w:rPr>
              <w:t>trimestral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810080"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RNC = Cantidad de reincidencias en las no conformidades</w:t>
            </w:r>
          </w:p>
          <w:p w14:paraId="63FCE3EC"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No conformidades registradas en: acciones correctivas, acciones preventivas, productos no conformes, quejas.</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C0C220" w14:textId="77777777" w:rsidR="00C44250" w:rsidRDefault="00C44250" w:rsidP="006072A4">
            <w:pPr>
              <w:rPr>
                <w:rFonts w:ascii="Calibri Light" w:hAnsi="Calibri Light"/>
                <w:sz w:val="16"/>
                <w:szCs w:val="16"/>
                <w:lang w:val="es-CR"/>
              </w:rPr>
            </w:pPr>
            <w:r>
              <w:rPr>
                <w:rFonts w:ascii="Calibri Light" w:hAnsi="Calibri Light"/>
                <w:sz w:val="14"/>
                <w:szCs w:val="14"/>
                <w:lang w:val="es-CR"/>
              </w:rPr>
              <w:t>Eficacia</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E44D52"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RNC = 0</w:t>
            </w:r>
          </w:p>
        </w:tc>
      </w:tr>
      <w:tr w:rsidR="00C44250" w14:paraId="587283B9" w14:textId="77777777" w:rsidTr="00C44250">
        <w:trPr>
          <w:trHeight w:val="1248"/>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4D2143"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F SGC 04.0.2 Informe sobre acciones correctivas y preventivas</w:t>
            </w:r>
          </w:p>
          <w:p w14:paraId="7F01F6E8"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F SGC 08.0.8 Informe sobre productos no conformes</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6A0DE2"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Verificar que se implementen medidas para atender las oportunidades de mejora que se detecten a partir de la realimentación con el cliente.</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A34449"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mensual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tcPr>
          <w:p w14:paraId="467F6C4D"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Tasa de NC vencidas = </w:t>
            </w:r>
            <w:proofErr w:type="spellStart"/>
            <w:r>
              <w:rPr>
                <w:rFonts w:ascii="Calibri Light" w:hAnsi="Calibri Light"/>
                <w:sz w:val="16"/>
                <w:szCs w:val="16"/>
                <w:lang w:val="es-CR"/>
              </w:rPr>
              <w:t>NC</w:t>
            </w:r>
            <w:r>
              <w:rPr>
                <w:rFonts w:ascii="Calibri Light" w:hAnsi="Calibri Light"/>
                <w:sz w:val="16"/>
                <w:szCs w:val="16"/>
                <w:vertAlign w:val="subscript"/>
                <w:lang w:val="es-CR"/>
              </w:rPr>
              <w:t>venc</w:t>
            </w:r>
            <w:proofErr w:type="spellEnd"/>
            <w:r>
              <w:rPr>
                <w:rFonts w:ascii="Calibri Light" w:hAnsi="Calibri Light"/>
                <w:sz w:val="16"/>
                <w:szCs w:val="16"/>
                <w:lang w:val="es-CR"/>
              </w:rPr>
              <w:t xml:space="preserve">  = </w:t>
            </w:r>
            <w:r>
              <w:rPr>
                <w:rFonts w:ascii="Calibri Light" w:hAnsi="Calibri Light"/>
                <w:sz w:val="16"/>
                <w:szCs w:val="16"/>
                <w:u w:val="single"/>
                <w:lang w:val="es-CR"/>
              </w:rPr>
              <w:t>Cantidad de NC vencidas</w:t>
            </w:r>
            <w:r>
              <w:rPr>
                <w:rFonts w:ascii="Calibri Light" w:hAnsi="Calibri Light"/>
                <w:sz w:val="16"/>
                <w:szCs w:val="16"/>
                <w:lang w:val="es-CR"/>
              </w:rPr>
              <w:t>  x 100%</w:t>
            </w:r>
            <w:r>
              <w:rPr>
                <w:rFonts w:ascii="Calibri Light" w:hAnsi="Calibri Light"/>
                <w:sz w:val="14"/>
                <w:szCs w:val="14"/>
                <w:lang w:val="es-CR"/>
              </w:rPr>
              <w:t xml:space="preserve">    </w:t>
            </w:r>
            <w:r>
              <w:rPr>
                <w:rFonts w:ascii="Calibri Light" w:hAnsi="Calibri Light"/>
                <w:sz w:val="16"/>
                <w:szCs w:val="16"/>
                <w:lang w:val="es-CR"/>
              </w:rPr>
              <w:t xml:space="preserve">Total NC pendientes  </w:t>
            </w:r>
          </w:p>
          <w:p w14:paraId="216AA043" w14:textId="77777777" w:rsidR="00C44250" w:rsidRDefault="00C44250" w:rsidP="006072A4">
            <w:pPr>
              <w:rPr>
                <w:rFonts w:ascii="Calibri Light" w:hAnsi="Calibri Light"/>
                <w:sz w:val="16"/>
                <w:szCs w:val="16"/>
                <w:lang w:val="es-CR"/>
              </w:rPr>
            </w:pPr>
          </w:p>
          <w:p w14:paraId="1292FF76"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NC vencidas = Formularios de AC, AP y PNC pendientes con la fecha de atención vencida</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5F1288"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Eficacia</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56BBE1" w14:textId="77777777" w:rsidR="00C44250" w:rsidRDefault="00C44250" w:rsidP="006072A4">
            <w:pPr>
              <w:rPr>
                <w:rFonts w:ascii="Calibri Light" w:hAnsi="Calibri Light"/>
                <w:sz w:val="16"/>
                <w:szCs w:val="16"/>
                <w:lang w:val="es-CR"/>
              </w:rPr>
            </w:pPr>
            <w:proofErr w:type="spellStart"/>
            <w:r>
              <w:rPr>
                <w:rFonts w:ascii="Calibri Light" w:hAnsi="Calibri Light"/>
                <w:sz w:val="16"/>
                <w:szCs w:val="16"/>
                <w:lang w:val="es-CR"/>
              </w:rPr>
              <w:t>NC</w:t>
            </w:r>
            <w:r>
              <w:rPr>
                <w:rFonts w:ascii="Calibri Light" w:hAnsi="Calibri Light"/>
                <w:sz w:val="16"/>
                <w:szCs w:val="16"/>
                <w:vertAlign w:val="subscript"/>
                <w:lang w:val="es-CR"/>
              </w:rPr>
              <w:t>venc</w:t>
            </w:r>
            <w:proofErr w:type="spellEnd"/>
            <w:r>
              <w:rPr>
                <w:rFonts w:ascii="Calibri Light" w:hAnsi="Calibri Light"/>
                <w:sz w:val="16"/>
                <w:szCs w:val="16"/>
                <w:lang w:val="es-CR"/>
              </w:rPr>
              <w:t>  = 0</w:t>
            </w:r>
          </w:p>
        </w:tc>
      </w:tr>
      <w:tr w:rsidR="00C44250" w14:paraId="5AD17814" w14:textId="77777777" w:rsidTr="00C44250">
        <w:trPr>
          <w:trHeight w:val="1248"/>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343A02"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Tareas asignadas en el sistema de trámites </w:t>
            </w:r>
          </w:p>
          <w:p w14:paraId="3AA2247C"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F SGC 04.0.2 Informe sobre acciones correctivas y preventivas</w:t>
            </w:r>
          </w:p>
          <w:p w14:paraId="795E8701"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F SGC 08.0.8 Informe sobre productos no conformes</w:t>
            </w:r>
          </w:p>
          <w:p w14:paraId="3A6E2906"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F CIN 02.2.2 Bitácora de quejas o sugerencias</w:t>
            </w:r>
          </w:p>
          <w:p w14:paraId="2F28A82B"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Informes de estudios de partes interesadas, encuestas efectuadas</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C83D0E"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Verificar que se implementen medidas para atender las oportunidades de mejora (OM) que se detecten a partir de la realimentación con el cliente</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DB2E35" w14:textId="77777777" w:rsidR="00C44250" w:rsidRDefault="00C44250" w:rsidP="006072A4">
            <w:pPr>
              <w:rPr>
                <w:rFonts w:ascii="Calibri Light" w:hAnsi="Calibri Light"/>
                <w:sz w:val="16"/>
                <w:szCs w:val="16"/>
                <w:lang w:val="es-CR"/>
              </w:rPr>
            </w:pPr>
            <w:r>
              <w:rPr>
                <w:rFonts w:ascii="Calibri Light" w:hAnsi="Calibri Light"/>
                <w:sz w:val="14"/>
                <w:szCs w:val="14"/>
                <w:lang w:val="es-CR"/>
              </w:rPr>
              <w:t>semestral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888537"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Tasa de OM atendidas = </w:t>
            </w:r>
            <w:proofErr w:type="spellStart"/>
            <w:r>
              <w:rPr>
                <w:rFonts w:ascii="Calibri Light" w:hAnsi="Calibri Light"/>
                <w:sz w:val="16"/>
                <w:szCs w:val="16"/>
                <w:lang w:val="es-CR"/>
              </w:rPr>
              <w:t>OM</w:t>
            </w:r>
            <w:r>
              <w:rPr>
                <w:rFonts w:ascii="Calibri Light" w:hAnsi="Calibri Light"/>
                <w:sz w:val="16"/>
                <w:szCs w:val="16"/>
                <w:vertAlign w:val="subscript"/>
                <w:lang w:val="es-CR"/>
              </w:rPr>
              <w:t>atend</w:t>
            </w:r>
            <w:proofErr w:type="spellEnd"/>
            <w:r>
              <w:rPr>
                <w:rFonts w:ascii="Calibri Light" w:hAnsi="Calibri Light"/>
                <w:sz w:val="16"/>
                <w:szCs w:val="16"/>
                <w:lang w:val="es-CR"/>
              </w:rPr>
              <w:t xml:space="preserve">  = </w:t>
            </w:r>
            <w:r>
              <w:rPr>
                <w:rFonts w:ascii="Calibri Light" w:hAnsi="Calibri Light"/>
                <w:sz w:val="16"/>
                <w:szCs w:val="16"/>
                <w:u w:val="single"/>
                <w:lang w:val="es-CR"/>
              </w:rPr>
              <w:t>Cantidad de OM atendidas x 100%</w:t>
            </w:r>
          </w:p>
          <w:p w14:paraId="2C6B6047"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Total OM detectadas</w:t>
            </w:r>
          </w:p>
          <w:p w14:paraId="2E5960B5"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OM = recomendaciones de estudio de partes interesadas, encuestas, denuncias, quejas u otras provenientes de clientes que ameriten tomar acciones y ajustes en la SUPEN</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DFBC39"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Calidad</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44A096" w14:textId="77777777" w:rsidR="00C44250" w:rsidRDefault="00C44250" w:rsidP="006072A4">
            <w:pPr>
              <w:rPr>
                <w:rFonts w:ascii="Calibri Light" w:hAnsi="Calibri Light"/>
                <w:sz w:val="16"/>
                <w:szCs w:val="16"/>
                <w:lang w:val="es-CR"/>
              </w:rPr>
            </w:pPr>
            <w:proofErr w:type="spellStart"/>
            <w:r>
              <w:rPr>
                <w:rFonts w:ascii="Calibri Light" w:hAnsi="Calibri Light"/>
                <w:sz w:val="16"/>
                <w:szCs w:val="16"/>
                <w:lang w:val="es-CR"/>
              </w:rPr>
              <w:t>OM</w:t>
            </w:r>
            <w:r>
              <w:rPr>
                <w:rFonts w:ascii="Calibri Light" w:hAnsi="Calibri Light"/>
                <w:sz w:val="16"/>
                <w:szCs w:val="16"/>
                <w:vertAlign w:val="subscript"/>
                <w:lang w:val="es-CR"/>
              </w:rPr>
              <w:t>atend</w:t>
            </w:r>
            <w:proofErr w:type="spellEnd"/>
            <w:r>
              <w:rPr>
                <w:rFonts w:ascii="Calibri Light" w:hAnsi="Calibri Light"/>
                <w:sz w:val="16"/>
                <w:szCs w:val="16"/>
                <w:lang w:val="es-CR"/>
              </w:rPr>
              <w:t>  = 100%</w:t>
            </w:r>
          </w:p>
        </w:tc>
      </w:tr>
      <w:tr w:rsidR="00C44250" w14:paraId="45575325" w14:textId="77777777" w:rsidTr="00C44250">
        <w:trPr>
          <w:trHeight w:val="288"/>
        </w:trPr>
        <w:tc>
          <w:tcPr>
            <w:tcW w:w="9890" w:type="dxa"/>
            <w:gridSpan w:val="6"/>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30F86C16" w14:textId="77777777" w:rsidR="00C44250" w:rsidRDefault="00C44250" w:rsidP="006072A4">
            <w:pPr>
              <w:rPr>
                <w:rFonts w:ascii="Calibri Light" w:hAnsi="Calibri Light"/>
                <w:b/>
                <w:bCs/>
                <w:sz w:val="16"/>
                <w:szCs w:val="16"/>
                <w:lang w:val="es-CR"/>
              </w:rPr>
            </w:pPr>
            <w:r>
              <w:rPr>
                <w:rFonts w:ascii="Calibri Light" w:hAnsi="Calibri Light"/>
                <w:b/>
                <w:bCs/>
                <w:sz w:val="16"/>
                <w:szCs w:val="16"/>
                <w:lang w:val="es-CR"/>
              </w:rPr>
              <w:t>Supervisión de Regímenes de Capitalización Individual</w:t>
            </w:r>
          </w:p>
        </w:tc>
      </w:tr>
      <w:tr w:rsidR="00C44250" w14:paraId="4804E6CA" w14:textId="77777777" w:rsidTr="00C44250">
        <w:trPr>
          <w:trHeight w:val="1224"/>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1D9366"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P CRO 01 Calificación Riesgo Entidades Autorizadas</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AC8B8C"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Identificar los riesgos del Sistema Nacional de Pensiones, y ejecutar oportunamente las acciones necesarias para que sean mitigados.</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722506" w14:textId="77777777" w:rsidR="00C44250" w:rsidRDefault="00C44250" w:rsidP="006072A4">
            <w:pPr>
              <w:rPr>
                <w:rFonts w:ascii="Calibri Light" w:hAnsi="Calibri Light"/>
                <w:sz w:val="12"/>
                <w:szCs w:val="12"/>
                <w:lang w:val="es-CR"/>
              </w:rPr>
            </w:pPr>
            <w:r>
              <w:rPr>
                <w:rFonts w:ascii="Calibri Light" w:hAnsi="Calibri Light"/>
                <w:sz w:val="12"/>
                <w:szCs w:val="12"/>
                <w:lang w:val="es-CR"/>
              </w:rPr>
              <w:t>trimestral acumulado</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02FC44"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%EMR = % Entrega Mapas de Riesgos =</w:t>
            </w:r>
          </w:p>
          <w:p w14:paraId="6094B988"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(Número mapas de riesgos enviados a la Alta Dirección  dentro de los </w:t>
            </w:r>
            <w:r w:rsidRPr="00A83E56">
              <w:rPr>
                <w:rFonts w:ascii="Calibri Light" w:hAnsi="Calibri Light"/>
                <w:sz w:val="16"/>
                <w:szCs w:val="16"/>
                <w:lang w:val="es-CR"/>
              </w:rPr>
              <w:t>diez</w:t>
            </w:r>
            <w:r>
              <w:rPr>
                <w:rFonts w:ascii="Calibri Light" w:hAnsi="Calibri Light"/>
                <w:sz w:val="16"/>
                <w:szCs w:val="16"/>
                <w:lang w:val="es-CR"/>
              </w:rPr>
              <w:t xml:space="preserve"> días hábiles, siguientes al cierre del trimestre evaluado/Número de mapas programados ) *100</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9E87EC"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Calidad</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D149B2"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%EMR = 100%</w:t>
            </w:r>
          </w:p>
        </w:tc>
      </w:tr>
      <w:tr w:rsidR="00C44250" w14:paraId="405B4286" w14:textId="77777777" w:rsidTr="00C44250">
        <w:trPr>
          <w:trHeight w:val="163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16A4E7" w14:textId="77777777" w:rsidR="00C44250" w:rsidRDefault="00C44250" w:rsidP="006072A4">
            <w:pPr>
              <w:rPr>
                <w:rFonts w:ascii="Calibri Light" w:hAnsi="Calibri Light"/>
                <w:sz w:val="16"/>
                <w:szCs w:val="16"/>
                <w:lang w:val="es-CR"/>
              </w:rPr>
            </w:pPr>
            <w:r>
              <w:rPr>
                <w:rFonts w:ascii="Calibri Light" w:hAnsi="Calibri Light"/>
                <w:sz w:val="16"/>
                <w:szCs w:val="16"/>
                <w:lang w:val="es-CR"/>
              </w:rPr>
              <w:lastRenderedPageBreak/>
              <w:t>Sistema de trámites</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C123BC"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Identificar los riesgos del Sistema Nacional de Pensiones, y ejecutar oportunamente las acciones necesarias para que sean mitigados.</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84B9D6"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anual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DA3F15"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%ECRO = % Entrega ECRO a tiempo =</w:t>
            </w:r>
          </w:p>
          <w:p w14:paraId="2BB2B12B"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(Número de resoluciones entregadas a la Alta Dirección con al menos </w:t>
            </w:r>
            <w:r w:rsidRPr="00A83E56">
              <w:rPr>
                <w:rFonts w:ascii="Calibri Light" w:hAnsi="Calibri Light"/>
                <w:sz w:val="16"/>
                <w:szCs w:val="16"/>
                <w:lang w:val="es-CR"/>
              </w:rPr>
              <w:t>cinco</w:t>
            </w:r>
            <w:r>
              <w:rPr>
                <w:rFonts w:ascii="Calibri Light" w:hAnsi="Calibri Light"/>
                <w:sz w:val="16"/>
                <w:szCs w:val="16"/>
                <w:lang w:val="es-CR"/>
              </w:rPr>
              <w:t xml:space="preserve"> días hábiles al vencimiento del plazo normativo / Total de resoluciones emitidas en el período evaluado) *100</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437C5E"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Calidad</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06C90A"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%ECRO &gt; 100%</w:t>
            </w:r>
          </w:p>
        </w:tc>
      </w:tr>
      <w:tr w:rsidR="00C44250" w:rsidRPr="00800549" w14:paraId="76F9F2BA" w14:textId="77777777" w:rsidTr="00C44250">
        <w:trPr>
          <w:trHeight w:val="163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813F55F"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Sistema de trámites</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tcPr>
          <w:p w14:paraId="00B901DA"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Identificar los riesgos del Sistema Nacional de Pensiones, y ejecutar oportunamente las acciones necesarias para que sean mitigados.</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tcPr>
          <w:p w14:paraId="5488AE7C"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anual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tcPr>
          <w:p w14:paraId="1A9A9DEC" w14:textId="77777777" w:rsidR="00C44250" w:rsidRPr="00A83E56" w:rsidRDefault="00C44250" w:rsidP="006072A4">
            <w:pPr>
              <w:rPr>
                <w:rFonts w:ascii="Calibri Light" w:hAnsi="Calibri Light"/>
                <w:sz w:val="16"/>
              </w:rPr>
            </w:pPr>
            <w:r w:rsidRPr="00A83E56">
              <w:rPr>
                <w:rFonts w:ascii="Calibri Light" w:hAnsi="Calibri Light"/>
                <w:sz w:val="16"/>
              </w:rPr>
              <w:t>%CSF = % Entrega CSF a tiempo =</w:t>
            </w:r>
          </w:p>
          <w:p w14:paraId="38A921A1" w14:textId="77777777" w:rsidR="00C44250" w:rsidRPr="00800549" w:rsidRDefault="00C44250" w:rsidP="006072A4">
            <w:pPr>
              <w:rPr>
                <w:rFonts w:ascii="Calibri Light" w:hAnsi="Calibri Light"/>
                <w:sz w:val="16"/>
                <w:szCs w:val="16"/>
                <w:lang w:val="es-CR"/>
              </w:rPr>
            </w:pPr>
            <w:r w:rsidRPr="00A83E56">
              <w:rPr>
                <w:rFonts w:ascii="Calibri Light" w:hAnsi="Calibri Light"/>
                <w:sz w:val="16"/>
              </w:rPr>
              <w:t>(Número de resoluciones entregadas a la Alta Dirección con al menos cinco días hábiles al vencimiento del plazo normativo / Total de resoluciones emitidas en el período evaluado) *100</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tcPr>
          <w:p w14:paraId="4B7BEE7C" w14:textId="77777777" w:rsidR="00C44250" w:rsidRPr="00A83E56" w:rsidRDefault="00C44250" w:rsidP="006072A4">
            <w:pPr>
              <w:rPr>
                <w:rFonts w:ascii="Calibri Light" w:hAnsi="Calibri Light"/>
                <w:sz w:val="16"/>
                <w:szCs w:val="14"/>
                <w:lang w:val="es-CR"/>
              </w:rPr>
            </w:pPr>
            <w:r w:rsidRPr="00A83E56">
              <w:rPr>
                <w:rFonts w:ascii="Calibri Light" w:hAnsi="Calibri Light"/>
                <w:sz w:val="16"/>
                <w:szCs w:val="14"/>
                <w:lang w:val="es-CR"/>
              </w:rPr>
              <w:t>Calidad</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tcPr>
          <w:p w14:paraId="6C78F272" w14:textId="77777777" w:rsidR="00C44250" w:rsidRPr="00800549" w:rsidRDefault="00C44250" w:rsidP="006072A4">
            <w:pPr>
              <w:rPr>
                <w:rFonts w:ascii="Calibri Light" w:hAnsi="Calibri Light"/>
                <w:sz w:val="16"/>
                <w:szCs w:val="16"/>
                <w:lang w:val="es-CR"/>
              </w:rPr>
            </w:pPr>
            <w:r w:rsidRPr="00A83E56">
              <w:rPr>
                <w:rFonts w:ascii="Calibri Light" w:hAnsi="Calibri Light"/>
                <w:sz w:val="16"/>
              </w:rPr>
              <w:t>%CSF = 100%</w:t>
            </w:r>
          </w:p>
        </w:tc>
      </w:tr>
      <w:tr w:rsidR="00C44250" w14:paraId="076BA0AF" w14:textId="77777777" w:rsidTr="00C44250">
        <w:trPr>
          <w:trHeight w:val="288"/>
        </w:trPr>
        <w:tc>
          <w:tcPr>
            <w:tcW w:w="9890" w:type="dxa"/>
            <w:gridSpan w:val="6"/>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6DE1B863" w14:textId="77777777" w:rsidR="00C44250" w:rsidRDefault="00C44250" w:rsidP="006072A4">
            <w:pPr>
              <w:rPr>
                <w:rFonts w:ascii="Calibri Light" w:hAnsi="Calibri Light"/>
                <w:b/>
                <w:bCs/>
                <w:sz w:val="14"/>
                <w:szCs w:val="14"/>
                <w:lang w:val="es-CR"/>
              </w:rPr>
            </w:pPr>
            <w:r>
              <w:rPr>
                <w:rFonts w:ascii="Calibri Light" w:hAnsi="Calibri Light"/>
                <w:b/>
                <w:bCs/>
                <w:sz w:val="14"/>
                <w:szCs w:val="14"/>
                <w:lang w:val="es-CR"/>
              </w:rPr>
              <w:t>Supervisión de Regímenes de Capitalización Colectiva</w:t>
            </w:r>
          </w:p>
        </w:tc>
      </w:tr>
      <w:tr w:rsidR="00C44250" w14:paraId="6C64AC76" w14:textId="77777777" w:rsidTr="00C44250">
        <w:trPr>
          <w:trHeight w:val="1020"/>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70010A5"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Documentos internos RC: </w:t>
            </w:r>
          </w:p>
          <w:p w14:paraId="688B772F" w14:textId="6E7A8D88" w:rsidR="00C44250" w:rsidRDefault="00C44250" w:rsidP="006072A4">
            <w:pPr>
              <w:rPr>
                <w:rFonts w:ascii="Calibri Light" w:hAnsi="Calibri Light"/>
                <w:sz w:val="16"/>
                <w:szCs w:val="16"/>
                <w:lang w:val="es-CR"/>
              </w:rPr>
            </w:pPr>
            <w:r w:rsidRPr="00A83E56">
              <w:rPr>
                <w:rFonts w:ascii="Calibri Light" w:hAnsi="Calibri Light"/>
                <w:sz w:val="16"/>
                <w:szCs w:val="16"/>
                <w:lang w:val="es-CR"/>
              </w:rPr>
              <w:t xml:space="preserve">Archivo Excel con </w:t>
            </w:r>
            <w:r w:rsidR="00E56791">
              <w:rPr>
                <w:rFonts w:ascii="Calibri Light" w:hAnsi="Calibri Light"/>
                <w:sz w:val="16"/>
                <w:szCs w:val="16"/>
                <w:lang w:val="es-CR"/>
              </w:rPr>
              <w:t>el nombre “</w:t>
            </w:r>
            <w:proofErr w:type="spellStart"/>
            <w:r w:rsidR="00E56791">
              <w:rPr>
                <w:rFonts w:ascii="Calibri Light" w:hAnsi="Calibri Light"/>
                <w:sz w:val="16"/>
                <w:szCs w:val="16"/>
                <w:lang w:val="es-CR"/>
              </w:rPr>
              <w:t>MatrizIndicRC</w:t>
            </w:r>
            <w:proofErr w:type="spellEnd"/>
            <w:r w:rsidR="00E56791">
              <w:rPr>
                <w:rFonts w:ascii="Calibri Light" w:hAnsi="Calibri Light"/>
                <w:sz w:val="16"/>
                <w:szCs w:val="16"/>
                <w:lang w:val="es-CR"/>
              </w:rPr>
              <w:t xml:space="preserve"> año x</w:t>
            </w:r>
            <w:r w:rsidRPr="00A83E56">
              <w:rPr>
                <w:rFonts w:ascii="Calibri Light" w:hAnsi="Calibri Light"/>
                <w:sz w:val="16"/>
                <w:szCs w:val="16"/>
                <w:lang w:val="es-CR"/>
              </w:rPr>
              <w:t>”</w:t>
            </w:r>
          </w:p>
        </w:tc>
        <w:tc>
          <w:tcPr>
            <w:tcW w:w="1937" w:type="dxa"/>
            <w:tcBorders>
              <w:top w:val="nil"/>
              <w:left w:val="nil"/>
              <w:bottom w:val="single" w:sz="8" w:space="0" w:color="auto"/>
              <w:right w:val="single" w:sz="8" w:space="0" w:color="auto"/>
            </w:tcBorders>
            <w:tcMar>
              <w:top w:w="0" w:type="dxa"/>
              <w:left w:w="108" w:type="dxa"/>
              <w:bottom w:w="0" w:type="dxa"/>
              <w:right w:w="108" w:type="dxa"/>
            </w:tcMar>
          </w:tcPr>
          <w:p w14:paraId="49683FD5" w14:textId="77777777" w:rsidR="00C44250" w:rsidRPr="00A83E56" w:rsidRDefault="00C44250" w:rsidP="006072A4">
            <w:pPr>
              <w:jc w:val="both"/>
              <w:rPr>
                <w:rFonts w:ascii="Calibri Light" w:hAnsi="Calibri Light"/>
                <w:sz w:val="16"/>
                <w:szCs w:val="16"/>
                <w:lang w:val="es-CR"/>
              </w:rPr>
            </w:pPr>
            <w:r w:rsidRPr="00A83E56">
              <w:rPr>
                <w:rFonts w:ascii="Calibri Light" w:hAnsi="Calibri Light"/>
                <w:sz w:val="16"/>
                <w:szCs w:val="16"/>
                <w:lang w:val="es-CR"/>
              </w:rPr>
              <w:t>Identificar los riesgos de los regímenes de pensiones de beneficio definido, y ejecutar oportunamente las acciones necesarias para promover que sean mitigados.</w:t>
            </w:r>
          </w:p>
          <w:p w14:paraId="3F65AE96" w14:textId="77777777" w:rsidR="00C44250" w:rsidRPr="00321734" w:rsidRDefault="00C44250" w:rsidP="006072A4">
            <w:pPr>
              <w:jc w:val="both"/>
              <w:rPr>
                <w:rFonts w:ascii="Calibri Light" w:hAnsi="Calibri Light"/>
                <w:sz w:val="16"/>
                <w:szCs w:val="16"/>
                <w:lang w:val="es-CR"/>
              </w:rPr>
            </w:pP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tcPr>
          <w:p w14:paraId="3AE79306" w14:textId="77777777" w:rsidR="00C44250" w:rsidRPr="00A83E56" w:rsidRDefault="00C44250" w:rsidP="006072A4">
            <w:pPr>
              <w:rPr>
                <w:rFonts w:ascii="Calibri Light" w:hAnsi="Calibri Light"/>
                <w:sz w:val="16"/>
                <w:szCs w:val="16"/>
                <w:lang w:val="es-CR"/>
              </w:rPr>
            </w:pPr>
            <w:r>
              <w:rPr>
                <w:rFonts w:ascii="Calibri Light" w:hAnsi="Calibri Light"/>
                <w:sz w:val="16"/>
                <w:szCs w:val="16"/>
                <w:lang w:val="es-CR"/>
              </w:rPr>
              <w:t>Trimestral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tcPr>
          <w:p w14:paraId="6100218C" w14:textId="77777777" w:rsidR="00C44250" w:rsidRPr="00A83E56" w:rsidRDefault="00C44250" w:rsidP="006072A4">
            <w:pPr>
              <w:jc w:val="both"/>
              <w:rPr>
                <w:rFonts w:ascii="Calibri Light" w:hAnsi="Calibri Light"/>
                <w:sz w:val="16"/>
                <w:szCs w:val="16"/>
                <w:lang w:val="es-CR"/>
              </w:rPr>
            </w:pPr>
            <w:r w:rsidRPr="00A83E56">
              <w:rPr>
                <w:rFonts w:ascii="Calibri Light" w:hAnsi="Calibri Light"/>
                <w:sz w:val="16"/>
                <w:szCs w:val="16"/>
                <w:lang w:val="es-CR"/>
              </w:rPr>
              <w:t>MRRC = Mapa de riesgos  de los Regímenes Colectivos: entregado al Superintendente e Intendente a más tardar el último día hábil del mes siguiente al cierre de cada trimestre. El indicador se determina así:</w:t>
            </w:r>
          </w:p>
          <w:p w14:paraId="5D13E5ED" w14:textId="77777777" w:rsidR="00C44250" w:rsidRPr="00A83E56" w:rsidRDefault="00C44250" w:rsidP="006072A4">
            <w:pPr>
              <w:jc w:val="both"/>
              <w:rPr>
                <w:rFonts w:ascii="Calibri Light" w:hAnsi="Calibri Light"/>
                <w:sz w:val="16"/>
                <w:szCs w:val="16"/>
                <w:lang w:val="es-CR"/>
              </w:rPr>
            </w:pPr>
            <w:r w:rsidRPr="00A83E56">
              <w:rPr>
                <w:rFonts w:ascii="Calibri Light" w:hAnsi="Calibri Light"/>
                <w:sz w:val="16"/>
                <w:szCs w:val="16"/>
                <w:lang w:val="es-CR"/>
              </w:rPr>
              <w:t>Cero días de atraso: 100%</w:t>
            </w:r>
          </w:p>
          <w:p w14:paraId="5F68AEC8" w14:textId="77777777" w:rsidR="00C44250" w:rsidRDefault="00C44250" w:rsidP="006072A4">
            <w:pPr>
              <w:jc w:val="both"/>
              <w:rPr>
                <w:rFonts w:ascii="Calibri Light" w:hAnsi="Calibri Light"/>
                <w:sz w:val="16"/>
                <w:szCs w:val="16"/>
                <w:lang w:val="es-CR"/>
              </w:rPr>
            </w:pPr>
            <w:r w:rsidRPr="00A83E56">
              <w:rPr>
                <w:rFonts w:ascii="Calibri Light" w:hAnsi="Calibri Light"/>
                <w:sz w:val="16"/>
                <w:szCs w:val="16"/>
                <w:lang w:val="es-CR"/>
              </w:rPr>
              <w:t>Por cada día hábil de atraso se castiga con un 2%</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tcPr>
          <w:p w14:paraId="4E0607E5" w14:textId="77777777" w:rsidR="00C44250" w:rsidRPr="00A83E56" w:rsidRDefault="00C44250" w:rsidP="006072A4">
            <w:pPr>
              <w:rPr>
                <w:rFonts w:ascii="Calibri Light" w:hAnsi="Calibri Light"/>
                <w:sz w:val="16"/>
                <w:szCs w:val="16"/>
                <w:lang w:val="es-CR"/>
              </w:rPr>
            </w:pPr>
            <w:r>
              <w:rPr>
                <w:rFonts w:ascii="Calibri Light" w:hAnsi="Calibri Light"/>
                <w:sz w:val="16"/>
                <w:szCs w:val="16"/>
                <w:lang w:val="es-CR"/>
              </w:rPr>
              <w:t>Calidad</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tcPr>
          <w:p w14:paraId="5869C2D8" w14:textId="77777777" w:rsidR="00C44250" w:rsidRDefault="00C44250" w:rsidP="006072A4">
            <w:pPr>
              <w:rPr>
                <w:rFonts w:ascii="Calibri Light" w:hAnsi="Calibri Light"/>
                <w:sz w:val="16"/>
                <w:szCs w:val="16"/>
                <w:lang w:val="es-CR"/>
              </w:rPr>
            </w:pPr>
            <w:r w:rsidRPr="00A83E56">
              <w:rPr>
                <w:rFonts w:ascii="Calibri Light" w:hAnsi="Calibri Light"/>
                <w:sz w:val="16"/>
                <w:szCs w:val="16"/>
                <w:lang w:val="es-CR"/>
              </w:rPr>
              <w:t>MRRC = 100%</w:t>
            </w:r>
          </w:p>
        </w:tc>
      </w:tr>
      <w:tr w:rsidR="00C44250" w:rsidRPr="00D10939" w14:paraId="1F24D00E" w14:textId="77777777" w:rsidTr="00C44250">
        <w:trPr>
          <w:trHeight w:val="1020"/>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D391C75" w14:textId="77777777" w:rsidR="00C44250" w:rsidRPr="00A83E56" w:rsidRDefault="00C44250" w:rsidP="006072A4">
            <w:pPr>
              <w:rPr>
                <w:rFonts w:ascii="Calibri Light" w:hAnsi="Calibri Light"/>
                <w:sz w:val="16"/>
                <w:szCs w:val="16"/>
                <w:lang w:val="es-CR"/>
              </w:rPr>
            </w:pPr>
            <w:r w:rsidRPr="00A83E56">
              <w:rPr>
                <w:rFonts w:ascii="Calibri Light" w:hAnsi="Calibri Light"/>
                <w:sz w:val="16"/>
                <w:szCs w:val="16"/>
                <w:lang w:val="es-CR"/>
              </w:rPr>
              <w:t>Documentos internos de RC</w:t>
            </w:r>
          </w:p>
          <w:p w14:paraId="43059C6E" w14:textId="77777777" w:rsidR="00C44250" w:rsidRPr="00A83E56" w:rsidRDefault="00C44250" w:rsidP="006072A4">
            <w:pPr>
              <w:rPr>
                <w:rFonts w:ascii="Calibri Light" w:hAnsi="Calibri Light"/>
                <w:sz w:val="16"/>
                <w:szCs w:val="16"/>
                <w:lang w:val="es-CR"/>
              </w:rPr>
            </w:pPr>
          </w:p>
          <w:p w14:paraId="494EFF67" w14:textId="57F78614" w:rsidR="00C44250" w:rsidRPr="00D10939" w:rsidRDefault="00C44250" w:rsidP="006072A4">
            <w:pPr>
              <w:rPr>
                <w:rFonts w:ascii="Calibri Light" w:hAnsi="Calibri Light"/>
                <w:sz w:val="16"/>
                <w:szCs w:val="16"/>
                <w:lang w:val="es-CR"/>
              </w:rPr>
            </w:pPr>
            <w:r w:rsidRPr="00A83E56">
              <w:rPr>
                <w:rFonts w:ascii="Calibri Light" w:hAnsi="Calibri Light"/>
                <w:sz w:val="16"/>
                <w:szCs w:val="16"/>
                <w:lang w:val="es-CR"/>
              </w:rPr>
              <w:t xml:space="preserve">Área asignada a RC en el share </w:t>
            </w:r>
            <w:proofErr w:type="spellStart"/>
            <w:r w:rsidRPr="00A83E56">
              <w:rPr>
                <w:rFonts w:ascii="Calibri Light" w:hAnsi="Calibri Light"/>
                <w:sz w:val="16"/>
                <w:szCs w:val="16"/>
                <w:lang w:val="es-CR"/>
              </w:rPr>
              <w:t>point</w:t>
            </w:r>
            <w:proofErr w:type="spellEnd"/>
            <w:r w:rsidRPr="00A83E56">
              <w:rPr>
                <w:rFonts w:ascii="Calibri Light" w:hAnsi="Calibri Light"/>
                <w:sz w:val="16"/>
                <w:szCs w:val="16"/>
                <w:lang w:val="es-CR"/>
              </w:rPr>
              <w:t xml:space="preserve">, en la carpeta “Asuntos de </w:t>
            </w:r>
            <w:r w:rsidR="00E56791">
              <w:rPr>
                <w:rFonts w:ascii="Calibri Light" w:hAnsi="Calibri Light"/>
                <w:sz w:val="16"/>
                <w:szCs w:val="16"/>
                <w:lang w:val="es-CR"/>
              </w:rPr>
              <w:t>la División/Indicadores/año x</w:t>
            </w:r>
            <w:r w:rsidRPr="00A83E56">
              <w:rPr>
                <w:rFonts w:ascii="Calibri Light" w:hAnsi="Calibri Light"/>
                <w:sz w:val="16"/>
                <w:szCs w:val="16"/>
                <w:lang w:val="es-CR"/>
              </w:rPr>
              <w:t>”,</w:t>
            </w:r>
          </w:p>
        </w:tc>
        <w:tc>
          <w:tcPr>
            <w:tcW w:w="1937" w:type="dxa"/>
            <w:tcBorders>
              <w:top w:val="nil"/>
              <w:left w:val="nil"/>
              <w:bottom w:val="single" w:sz="8" w:space="0" w:color="auto"/>
              <w:right w:val="single" w:sz="8" w:space="0" w:color="auto"/>
            </w:tcBorders>
            <w:tcMar>
              <w:top w:w="0" w:type="dxa"/>
              <w:left w:w="108" w:type="dxa"/>
              <w:bottom w:w="0" w:type="dxa"/>
              <w:right w:w="108" w:type="dxa"/>
            </w:tcMar>
          </w:tcPr>
          <w:p w14:paraId="76A8EB48" w14:textId="77777777" w:rsidR="00C44250" w:rsidRPr="00503AC4" w:rsidRDefault="00C44250" w:rsidP="006072A4">
            <w:pPr>
              <w:jc w:val="both"/>
              <w:rPr>
                <w:rFonts w:ascii="Calibri Light" w:hAnsi="Calibri Light"/>
                <w:sz w:val="16"/>
                <w:szCs w:val="16"/>
                <w:lang w:val="es-CR"/>
              </w:rPr>
            </w:pPr>
            <w:r w:rsidRPr="00503AC4">
              <w:rPr>
                <w:rFonts w:ascii="Calibri Light" w:hAnsi="Calibri Light"/>
                <w:sz w:val="16"/>
                <w:szCs w:val="16"/>
                <w:lang w:val="es-CR"/>
              </w:rPr>
              <w:t>Identificar los riesgos de los regímenes de pensiones de beneficio definido, y ejecutar oportunamente las acciones necesarias para promover que sean mitigados.</w:t>
            </w:r>
          </w:p>
          <w:p w14:paraId="49571354" w14:textId="77777777" w:rsidR="00C44250" w:rsidRPr="00D10939" w:rsidRDefault="00C44250" w:rsidP="006072A4">
            <w:pPr>
              <w:jc w:val="both"/>
              <w:rPr>
                <w:rFonts w:ascii="Calibri Light" w:hAnsi="Calibri Light"/>
                <w:sz w:val="16"/>
                <w:szCs w:val="16"/>
                <w:lang w:val="es-CR"/>
              </w:rPr>
            </w:pP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tcPr>
          <w:p w14:paraId="2C8D6631"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Semestral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tcPr>
          <w:p w14:paraId="47963620" w14:textId="77777777" w:rsidR="00C44250" w:rsidRPr="00D10939" w:rsidRDefault="00C44250" w:rsidP="006072A4">
            <w:pPr>
              <w:jc w:val="both"/>
              <w:rPr>
                <w:rFonts w:ascii="Calibri Light" w:hAnsi="Calibri Light"/>
                <w:sz w:val="16"/>
                <w:szCs w:val="16"/>
                <w:lang w:val="es-CR"/>
              </w:rPr>
            </w:pPr>
            <w:r w:rsidRPr="00A83E56">
              <w:rPr>
                <w:rFonts w:ascii="Calibri Light" w:hAnsi="Calibri Light"/>
                <w:sz w:val="16"/>
                <w:szCs w:val="16"/>
                <w:lang w:val="es-CR"/>
              </w:rPr>
              <w:t>Archivo Excel en que se llevan las actividades del plan de supervisión de cada régimen y el resultado consolidado, con el nombre “Plan de Supervisión RC año xxx”</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tcPr>
          <w:p w14:paraId="68A738AC"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Calidad</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tcPr>
          <w:p w14:paraId="72361086" w14:textId="77777777" w:rsidR="00C44250" w:rsidRPr="00D10939" w:rsidRDefault="00C44250" w:rsidP="006072A4">
            <w:pPr>
              <w:rPr>
                <w:rFonts w:ascii="Calibri Light" w:hAnsi="Calibri Light"/>
                <w:sz w:val="16"/>
                <w:szCs w:val="16"/>
                <w:lang w:val="es-CR"/>
              </w:rPr>
            </w:pPr>
            <w:r w:rsidRPr="00A83E56">
              <w:rPr>
                <w:rFonts w:ascii="Calibri Light" w:hAnsi="Calibri Light"/>
                <w:sz w:val="16"/>
                <w:szCs w:val="16"/>
                <w:lang w:val="es-CR"/>
              </w:rPr>
              <w:t>CPSRC &gt; 95%</w:t>
            </w:r>
          </w:p>
        </w:tc>
      </w:tr>
      <w:tr w:rsidR="00C44250" w14:paraId="74F0FE95" w14:textId="77777777" w:rsidTr="00C44250">
        <w:trPr>
          <w:trHeight w:val="288"/>
        </w:trPr>
        <w:tc>
          <w:tcPr>
            <w:tcW w:w="9890" w:type="dxa"/>
            <w:gridSpan w:val="6"/>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624E67CD" w14:textId="77777777" w:rsidR="00C44250" w:rsidRDefault="00C44250" w:rsidP="006072A4">
            <w:pPr>
              <w:rPr>
                <w:rFonts w:ascii="Calibri Light" w:hAnsi="Calibri Light"/>
                <w:b/>
                <w:bCs/>
                <w:sz w:val="16"/>
                <w:szCs w:val="16"/>
                <w:lang w:val="es-CR"/>
              </w:rPr>
            </w:pPr>
            <w:r>
              <w:rPr>
                <w:rFonts w:ascii="Calibri Light" w:hAnsi="Calibri Light"/>
                <w:b/>
                <w:bCs/>
                <w:sz w:val="16"/>
                <w:szCs w:val="16"/>
                <w:lang w:val="es-CR"/>
              </w:rPr>
              <w:t>Asesoría Jurídica</w:t>
            </w:r>
          </w:p>
        </w:tc>
      </w:tr>
      <w:tr w:rsidR="00C44250" w14:paraId="545D6FDC" w14:textId="77777777" w:rsidTr="00C44250">
        <w:trPr>
          <w:trHeight w:val="1428"/>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639589"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Registros División Asesoría Jurídica – Consultas jurídicas</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6C88E6"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Asesorar a la institución en materia jurídica, y a los usuarios en temas relacionados con el sistema de pensiones,   de forma oportuna, precisa y de acuerdo con los requerimientos del consultante (P ASE 01)</w:t>
            </w:r>
            <w:proofErr w:type="gramStart"/>
            <w:r>
              <w:rPr>
                <w:rFonts w:ascii="Calibri Light" w:hAnsi="Calibri Light"/>
                <w:sz w:val="16"/>
                <w:szCs w:val="16"/>
                <w:lang w:val="es-CR"/>
              </w:rPr>
              <w:t>..</w:t>
            </w:r>
            <w:proofErr w:type="gramEnd"/>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CCE17B"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trimestral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F30453"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Porcentaje de las consultas jurídicas atendidas en los días hábiles previstos según lo siguiente:</w:t>
            </w:r>
          </w:p>
          <w:p w14:paraId="68F9B96B"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              Consultas jurídicas complejas D&lt; 30 días hábiles </w:t>
            </w:r>
          </w:p>
          <w:p w14:paraId="4F4B32D5"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              Consultas jurídicas simples D&lt; 15 días hábiles </w:t>
            </w:r>
          </w:p>
          <w:p w14:paraId="12EA03FA"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D = Días hábiles disponibles para tramitar la solicitud</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A74531"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Calidad</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164B8E"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Mínimo </w:t>
            </w:r>
            <w:r w:rsidRPr="00A83E56">
              <w:rPr>
                <w:rFonts w:ascii="Calibri Light" w:hAnsi="Calibri Light"/>
                <w:sz w:val="16"/>
                <w:szCs w:val="16"/>
                <w:lang w:val="es-CR"/>
              </w:rPr>
              <w:t>el 70%</w:t>
            </w:r>
            <w:r>
              <w:rPr>
                <w:rFonts w:ascii="Calibri Light" w:hAnsi="Calibri Light"/>
                <w:sz w:val="16"/>
                <w:szCs w:val="16"/>
                <w:lang w:val="es-CR"/>
              </w:rPr>
              <w:t xml:space="preserve"> de los consultas jurídicas se atienden en los días hábiles previstos</w:t>
            </w:r>
          </w:p>
        </w:tc>
      </w:tr>
      <w:tr w:rsidR="00C44250" w14:paraId="6744ABD5" w14:textId="77777777" w:rsidTr="00C44250">
        <w:trPr>
          <w:trHeight w:val="1428"/>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992CA1"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Registros División Asesoría Jurídica - Consultas y denuncias de afiliados o usuarios</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51F0EF"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Asesorar a la institución en materia jurídica y a los usuarios en temas relacionados con el sistema de pensiones,   de forma oportuna, precisa y de acuerdo con los requerimientos del consultante.  (PCON 01).</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94CF80"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trimestral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E930B3"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Porcentaje de las consultas y denuncias atendidas dentro de los días hábiles disponibles para tramitar, a saber: </w:t>
            </w:r>
          </w:p>
          <w:p w14:paraId="03FE1CA5"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 Para consultas y denuncias simples D&lt; 10 días hábiles </w:t>
            </w:r>
          </w:p>
          <w:p w14:paraId="469DA2B5"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Para consultas y denuncias complejas D&lt;25 días hábiles</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77DF82"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Calidad</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C64B55"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Mínimo </w:t>
            </w:r>
            <w:r w:rsidRPr="00A83E56">
              <w:rPr>
                <w:rFonts w:ascii="Calibri Light" w:hAnsi="Calibri Light"/>
                <w:sz w:val="16"/>
                <w:szCs w:val="16"/>
                <w:lang w:val="es-CR"/>
              </w:rPr>
              <w:t>el 70%</w:t>
            </w:r>
            <w:r>
              <w:rPr>
                <w:rFonts w:ascii="Calibri Light" w:hAnsi="Calibri Light"/>
                <w:sz w:val="16"/>
                <w:szCs w:val="16"/>
                <w:lang w:val="es-CR"/>
              </w:rPr>
              <w:t xml:space="preserve"> de los consultas y denuncias se atienden en los días hábiles previstos</w:t>
            </w:r>
          </w:p>
        </w:tc>
      </w:tr>
      <w:tr w:rsidR="00C44250" w14:paraId="65FAB4AC" w14:textId="77777777" w:rsidTr="00C44250">
        <w:trPr>
          <w:trHeight w:val="103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80EDCF" w14:textId="77777777" w:rsidR="00C44250" w:rsidRDefault="00C44250" w:rsidP="006072A4">
            <w:pPr>
              <w:rPr>
                <w:rFonts w:ascii="Calibri Light" w:hAnsi="Calibri Light"/>
                <w:sz w:val="16"/>
                <w:szCs w:val="16"/>
                <w:lang w:val="es-CR"/>
              </w:rPr>
            </w:pPr>
            <w:r>
              <w:rPr>
                <w:rFonts w:ascii="Calibri Light" w:hAnsi="Calibri Light"/>
                <w:sz w:val="16"/>
                <w:szCs w:val="16"/>
                <w:lang w:val="es-CR"/>
              </w:rPr>
              <w:lastRenderedPageBreak/>
              <w:t>Registros División Asesoría Jurídica - Procedimientos administrativos</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2FF975"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Asesorar a la institución en el ejercicio de la potestad sancionatoria  de forma oportuna (P FAS 01).</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8206D9"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trimestral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tcPr>
          <w:p w14:paraId="7B4D8AB8" w14:textId="77777777" w:rsidR="00C44250" w:rsidRDefault="00C44250" w:rsidP="006072A4">
            <w:pPr>
              <w:rPr>
                <w:rFonts w:ascii="Calibri Light" w:hAnsi="Calibri Light"/>
                <w:sz w:val="16"/>
                <w:szCs w:val="16"/>
                <w:lang w:val="es-CR"/>
              </w:rPr>
            </w:pPr>
          </w:p>
          <w:p w14:paraId="68CFB784"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Tiempo de Procedimientos Administrativos = M</w:t>
            </w:r>
          </w:p>
          <w:p w14:paraId="03C03AC4"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M = Meses disponibles para remitir al Superintendente el informe final, con recomendación de los procedimientos administrativos.</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9B35B1"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Eficacia</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677B86"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M </w:t>
            </w:r>
            <w:r>
              <w:rPr>
                <w:rFonts w:ascii="Calibri Light" w:hAnsi="Calibri Light"/>
                <w:sz w:val="16"/>
                <w:szCs w:val="16"/>
                <w:u w:val="single"/>
                <w:lang w:val="es-CR"/>
              </w:rPr>
              <w:t>&lt;</w:t>
            </w:r>
            <w:r>
              <w:rPr>
                <w:rFonts w:ascii="Calibri Light" w:hAnsi="Calibri Light"/>
                <w:sz w:val="16"/>
                <w:szCs w:val="16"/>
                <w:lang w:val="es-CR"/>
              </w:rPr>
              <w:t xml:space="preserve"> 6 meses</w:t>
            </w:r>
          </w:p>
        </w:tc>
      </w:tr>
      <w:tr w:rsidR="00C44250" w14:paraId="5558124B" w14:textId="77777777" w:rsidTr="00C44250">
        <w:trPr>
          <w:trHeight w:val="103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F20C7D"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Registros División Asesoría Jurídica - Recursos administrativos</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D607BB"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Asesorar a la institución en materia jurídica y a los usuarios en temas relacionados con el sistema de pensiones,  de forma oportuna (P ASE 03).</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F34F21"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trimestral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2F4F53"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Porcentaje de las recursos administrativos atendidos en los días hábiles previstos según lo siguiente:</w:t>
            </w:r>
          </w:p>
          <w:p w14:paraId="0102EEAF"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 Recursos complejos D&lt; 30 días hábiles </w:t>
            </w:r>
          </w:p>
          <w:p w14:paraId="688B66A5"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 Recursos simples D&lt; 15 días hábiles </w:t>
            </w:r>
          </w:p>
          <w:p w14:paraId="46EDB530"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D = Días hábiles disponibles para tramitar la solicitud</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4CD14C"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Calidad</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0628CD"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Mínimo el </w:t>
            </w:r>
            <w:r w:rsidRPr="00A83E56">
              <w:rPr>
                <w:rFonts w:ascii="Calibri Light" w:hAnsi="Calibri Light"/>
                <w:sz w:val="16"/>
                <w:szCs w:val="16"/>
                <w:lang w:val="es-CR"/>
              </w:rPr>
              <w:t>70%</w:t>
            </w:r>
            <w:r>
              <w:rPr>
                <w:rFonts w:ascii="Calibri Light" w:hAnsi="Calibri Light"/>
                <w:sz w:val="16"/>
                <w:szCs w:val="16"/>
                <w:lang w:val="es-CR"/>
              </w:rPr>
              <w:t xml:space="preserve"> de los recursos se atienden en los días hábiles previstos</w:t>
            </w:r>
          </w:p>
        </w:tc>
      </w:tr>
      <w:tr w:rsidR="00C44250" w14:paraId="26080F67" w14:textId="77777777" w:rsidTr="00C44250">
        <w:trPr>
          <w:trHeight w:val="103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C2AE93"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Registros División Asesoría Jurídica - Recursos administrativos</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B00362"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Asesorar a la institución en materia jurídica y a los usuarios en temas relacionados con el sistema de pensiones,  de forma oportuna (P ASE 03).</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7EB977"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anual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9DF59A"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Total de recursos administrativos no revocados ni total ni parcialmente por CONASSIF /total de recursos administrativos presentados al CONASSIF*100</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3F9F4"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Calidad</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F8B36B"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Mínimo el 90% de recursos administrativos no son revocados total o parcialmente por CONASSIF</w:t>
            </w:r>
          </w:p>
        </w:tc>
      </w:tr>
      <w:tr w:rsidR="00C44250" w14:paraId="262FD1F2" w14:textId="77777777" w:rsidTr="00C44250">
        <w:trPr>
          <w:trHeight w:val="288"/>
        </w:trPr>
        <w:tc>
          <w:tcPr>
            <w:tcW w:w="9890" w:type="dxa"/>
            <w:gridSpan w:val="6"/>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1E43B2D2" w14:textId="77777777" w:rsidR="00C44250" w:rsidRDefault="00C44250" w:rsidP="006072A4">
            <w:pPr>
              <w:rPr>
                <w:rFonts w:ascii="Calibri Light" w:hAnsi="Calibri Light"/>
                <w:b/>
                <w:bCs/>
                <w:sz w:val="16"/>
                <w:szCs w:val="16"/>
                <w:lang w:val="es-CR"/>
              </w:rPr>
            </w:pPr>
            <w:r>
              <w:rPr>
                <w:rFonts w:ascii="Calibri Light" w:hAnsi="Calibri Light"/>
                <w:b/>
                <w:bCs/>
                <w:sz w:val="16"/>
                <w:szCs w:val="16"/>
                <w:lang w:val="es-CR"/>
              </w:rPr>
              <w:t>Planificación</w:t>
            </w:r>
          </w:p>
        </w:tc>
      </w:tr>
      <w:tr w:rsidR="00C44250" w14:paraId="14010FB0" w14:textId="77777777" w:rsidTr="00C44250">
        <w:trPr>
          <w:trHeight w:val="61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95F879"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Informes de revisión por la Dirección</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69FF56"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Gestionar el desarrollo de la planificación estratégica institucional.</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758E17"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 xml:space="preserve">semestral </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D8C7F8" w14:textId="77777777" w:rsidR="00C44250" w:rsidRDefault="00C44250" w:rsidP="006072A4">
            <w:pPr>
              <w:jc w:val="both"/>
              <w:rPr>
                <w:rFonts w:ascii="Calibri Light" w:hAnsi="Calibri Light"/>
                <w:sz w:val="16"/>
                <w:szCs w:val="16"/>
                <w:lang w:val="es-CR"/>
              </w:rPr>
            </w:pPr>
            <w:r>
              <w:rPr>
                <w:rFonts w:ascii="Calibri Light" w:hAnsi="Calibri Light"/>
                <w:color w:val="000000"/>
                <w:sz w:val="16"/>
                <w:szCs w:val="16"/>
                <w:lang w:val="es-CR"/>
              </w:rPr>
              <w:t>Documentado en la Nota Técnica que acompaña el Plan Estratégico y que se presenta en los ejercicios de Revisión por la Dirección.</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7C5719"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Economía</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264A66"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Alcanzar el porcentaje declarado para cada año</w:t>
            </w:r>
          </w:p>
        </w:tc>
      </w:tr>
      <w:tr w:rsidR="00C44250" w14:paraId="4CFC80D3" w14:textId="77777777" w:rsidTr="00C44250">
        <w:trPr>
          <w:trHeight w:val="61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C38452"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Sitio Institucional de Proyectos</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B7E5CC"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Gestionar la administración del portafolio institucional de proyectos.</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F7C32A"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mensual</w:t>
            </w:r>
          </w:p>
          <w:p w14:paraId="2306E612"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semestral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tcPr>
          <w:p w14:paraId="5AB502C6"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Cálculo mensual</w:t>
            </w:r>
          </w:p>
          <w:p w14:paraId="6D3855A5"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P= Proyectos, la referencia a proyectos incluye las mejoras.</w:t>
            </w:r>
          </w:p>
          <w:p w14:paraId="253A947A"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Variables para el cálculo:</w:t>
            </w:r>
          </w:p>
          <w:p w14:paraId="535ED7C6"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%A= Porcentaje de avance de la actividad</w:t>
            </w:r>
          </w:p>
          <w:p w14:paraId="78889D65"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FF = Fecha de finalización de la actividad</w:t>
            </w:r>
          </w:p>
          <w:p w14:paraId="2C0B1D0F"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H = Día en que se calcula el indicador</w:t>
            </w:r>
          </w:p>
          <w:p w14:paraId="41669B8C"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Se calcula por actividad planificada: Ver semáforos</w:t>
            </w:r>
          </w:p>
          <w:p w14:paraId="186A0E32" w14:textId="77777777" w:rsidR="00C44250" w:rsidRDefault="00C44250" w:rsidP="006072A4">
            <w:pPr>
              <w:rPr>
                <w:rFonts w:ascii="Calibri Light" w:hAnsi="Calibri Light"/>
                <w:sz w:val="16"/>
                <w:szCs w:val="16"/>
                <w:lang w:val="es-CR"/>
              </w:rPr>
            </w:pPr>
          </w:p>
          <w:p w14:paraId="37AF60D1"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En caso de dos o más actividades a evaluar, el proyecto hereda la valoración más baja, siendo rojo el más bajo, seguido de amarillo y posteriormente el verde.</w:t>
            </w:r>
          </w:p>
          <w:p w14:paraId="5E2204CC" w14:textId="77777777" w:rsidR="00C44250" w:rsidRDefault="00C44250" w:rsidP="006072A4">
            <w:pPr>
              <w:rPr>
                <w:rFonts w:ascii="Calibri Light" w:hAnsi="Calibri Light"/>
                <w:sz w:val="16"/>
                <w:szCs w:val="16"/>
                <w:lang w:val="es-CR"/>
              </w:rPr>
            </w:pPr>
          </w:p>
          <w:p w14:paraId="5A1EDBE7"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Semestralmente se reportará los resultados de la gestión:</w:t>
            </w:r>
          </w:p>
          <w:p w14:paraId="6CE705EE"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AP=Porcentaje de proyectos con actividades atrasadas con poco avance.</w:t>
            </w:r>
          </w:p>
          <w:p w14:paraId="75DB7391"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Fórmula AP= Cantidad de proyectos en rojo / Número total de proyectos activos * 100</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ED8878"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Economía</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tcPr>
          <w:p w14:paraId="79995B1A" w14:textId="77777777" w:rsidR="00C44250" w:rsidRDefault="00C44250" w:rsidP="006072A4">
            <w:pPr>
              <w:rPr>
                <w:rFonts w:ascii="Calibri Light" w:hAnsi="Calibri Light"/>
                <w:lang w:val="es-CR"/>
              </w:rPr>
            </w:pPr>
          </w:p>
          <w:p w14:paraId="0B48E9DD"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Cumplir la fecha de entregas de los proyectos</w:t>
            </w:r>
          </w:p>
          <w:p w14:paraId="074068AE"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AP &lt; 10%</w:t>
            </w:r>
          </w:p>
        </w:tc>
      </w:tr>
      <w:tr w:rsidR="00C44250" w14:paraId="0FDFB988" w14:textId="77777777" w:rsidTr="00C44250">
        <w:trPr>
          <w:trHeight w:val="103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E6FF8A" w14:textId="77777777" w:rsidR="00C44250" w:rsidRDefault="00C44250" w:rsidP="006072A4">
            <w:pPr>
              <w:rPr>
                <w:rFonts w:ascii="Calibri Light" w:hAnsi="Calibri Light"/>
                <w:sz w:val="16"/>
                <w:szCs w:val="16"/>
                <w:lang w:val="es-CR"/>
              </w:rPr>
            </w:pPr>
            <w:r>
              <w:rPr>
                <w:rFonts w:ascii="Calibri Light" w:hAnsi="Calibri Light"/>
                <w:sz w:val="16"/>
                <w:szCs w:val="16"/>
                <w:lang w:val="es-CR"/>
              </w:rPr>
              <w:lastRenderedPageBreak/>
              <w:t>Portal Institucional  (FORMULARIO)</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E5FF49"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Tramitar las solicitudes de información y estudios particulares.</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7F8F87"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semestral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B1F931" w14:textId="77777777" w:rsidR="00C44250" w:rsidRDefault="00C44250" w:rsidP="006072A4">
            <w:pPr>
              <w:rPr>
                <w:rFonts w:ascii="Calibri Light" w:hAnsi="Calibri Light"/>
                <w:sz w:val="16"/>
                <w:szCs w:val="16"/>
                <w:lang w:val="es-CR"/>
              </w:rPr>
            </w:pPr>
            <w:proofErr w:type="spellStart"/>
            <w:r>
              <w:rPr>
                <w:rFonts w:ascii="Calibri Light" w:hAnsi="Calibri Light"/>
                <w:sz w:val="16"/>
                <w:szCs w:val="16"/>
                <w:lang w:val="es-CR"/>
              </w:rPr>
              <w:t>Calif</w:t>
            </w:r>
            <w:proofErr w:type="spellEnd"/>
            <w:r>
              <w:rPr>
                <w:rFonts w:ascii="Calibri Light" w:hAnsi="Calibri Light"/>
                <w:sz w:val="16"/>
                <w:szCs w:val="16"/>
                <w:lang w:val="es-CR"/>
              </w:rPr>
              <w:t>= Calificación del Director de Planificación y Normativa</w:t>
            </w:r>
          </w:p>
          <w:p w14:paraId="75B1D41E"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Fórmula: Promedio simple de las notas de los estudios finalizados en el período en cuestión.</w:t>
            </w:r>
          </w:p>
          <w:p w14:paraId="422384E6"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Criterios  / Puntos</w:t>
            </w:r>
          </w:p>
          <w:p w14:paraId="67AE4B16"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Puntualidad: 20</w:t>
            </w:r>
          </w:p>
          <w:p w14:paraId="24837B89"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Cumplimiento de alcance original: 20</w:t>
            </w:r>
          </w:p>
          <w:p w14:paraId="632709DD"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Análisis: 20</w:t>
            </w:r>
          </w:p>
          <w:p w14:paraId="6BB24DFB"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Errores ortográficos y de forma: 10</w:t>
            </w:r>
          </w:p>
          <w:p w14:paraId="32668933"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Creatividad:_15</w:t>
            </w:r>
          </w:p>
          <w:p w14:paraId="22AA3C7A"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Esfuerzo: 15</w:t>
            </w:r>
          </w:p>
          <w:p w14:paraId="77DECAB7"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TOTAL: 100</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13C9BD" w14:textId="77777777" w:rsidR="00C44250" w:rsidRDefault="00C44250" w:rsidP="006072A4">
            <w:pPr>
              <w:rPr>
                <w:rFonts w:ascii="Calibri Light" w:hAnsi="Calibri Light"/>
                <w:sz w:val="16"/>
                <w:szCs w:val="16"/>
                <w:lang w:val="es-CR"/>
              </w:rPr>
            </w:pPr>
            <w:r>
              <w:rPr>
                <w:rFonts w:ascii="Calibri Light" w:hAnsi="Calibri Light"/>
                <w:sz w:val="14"/>
                <w:szCs w:val="14"/>
                <w:lang w:val="es-CR"/>
              </w:rPr>
              <w:t>Calidad</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2F29DB"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Presentar estudios que cumplan con los requisitos del proceso:</w:t>
            </w:r>
          </w:p>
          <w:p w14:paraId="77659A5C" w14:textId="77777777" w:rsidR="00C44250" w:rsidRDefault="00C44250" w:rsidP="006072A4">
            <w:pPr>
              <w:rPr>
                <w:rFonts w:ascii="Calibri Light" w:hAnsi="Calibri Light"/>
                <w:sz w:val="16"/>
                <w:szCs w:val="16"/>
                <w:lang w:val="es-CR"/>
              </w:rPr>
            </w:pPr>
            <w:proofErr w:type="spellStart"/>
            <w:r>
              <w:rPr>
                <w:rFonts w:ascii="Calibri Light" w:hAnsi="Calibri Light"/>
                <w:sz w:val="16"/>
                <w:szCs w:val="16"/>
                <w:lang w:val="es-CR"/>
              </w:rPr>
              <w:t>Calif</w:t>
            </w:r>
            <w:proofErr w:type="spellEnd"/>
            <w:r>
              <w:rPr>
                <w:rFonts w:ascii="Calibri Light" w:hAnsi="Calibri Light"/>
                <w:sz w:val="16"/>
                <w:szCs w:val="16"/>
                <w:lang w:val="es-CR"/>
              </w:rPr>
              <w:t xml:space="preserve"> &gt; 90</w:t>
            </w:r>
          </w:p>
        </w:tc>
      </w:tr>
      <w:tr w:rsidR="00C44250" w14:paraId="06B3486F" w14:textId="77777777" w:rsidTr="00C44250">
        <w:trPr>
          <w:trHeight w:val="350"/>
        </w:trPr>
        <w:tc>
          <w:tcPr>
            <w:tcW w:w="9890" w:type="dxa"/>
            <w:gridSpan w:val="6"/>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14DD3E7F" w14:textId="77777777" w:rsidR="00C44250" w:rsidRDefault="00C44250" w:rsidP="006072A4">
            <w:pPr>
              <w:rPr>
                <w:rFonts w:ascii="Calibri Light" w:hAnsi="Calibri Light"/>
                <w:b/>
                <w:bCs/>
                <w:sz w:val="16"/>
                <w:szCs w:val="16"/>
                <w:lang w:val="es-CR"/>
              </w:rPr>
            </w:pPr>
            <w:r>
              <w:rPr>
                <w:rFonts w:ascii="Calibri Light" w:hAnsi="Calibri Light"/>
                <w:b/>
                <w:bCs/>
                <w:sz w:val="16"/>
                <w:szCs w:val="16"/>
                <w:lang w:val="es-CR"/>
              </w:rPr>
              <w:t>Normativa</w:t>
            </w:r>
          </w:p>
        </w:tc>
      </w:tr>
      <w:tr w:rsidR="00C44250" w14:paraId="094DB564" w14:textId="77777777" w:rsidTr="00C44250">
        <w:trPr>
          <w:trHeight w:val="103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EE89F1"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Sitio proyectos, mejoras y mantenimientos</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2E9E32"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 xml:space="preserve">Mantener el marco regulatorio del Sistema Nacional de Pensiones alineado con: </w:t>
            </w:r>
          </w:p>
          <w:p w14:paraId="1F77AE1F"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a. La protección de  los intereses de los afiliados.</w:t>
            </w:r>
          </w:p>
          <w:p w14:paraId="4D5F9974"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b. La adecuada gestión de  los riesgos del Sistema Nacional de Pensiones.</w:t>
            </w:r>
          </w:p>
          <w:p w14:paraId="678EC7D6"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c. La aplicación de las mejores prácticas de gestión en los participantes.</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954EA1"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 xml:space="preserve">semestral </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tcPr>
          <w:p w14:paraId="59F67A49"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NR = NE / NV * 100%</w:t>
            </w:r>
          </w:p>
          <w:p w14:paraId="5FBE2FD7" w14:textId="77777777" w:rsidR="00C44250" w:rsidRDefault="00C44250" w:rsidP="006072A4">
            <w:pPr>
              <w:rPr>
                <w:rFonts w:ascii="Calibri Light" w:hAnsi="Calibri Light"/>
                <w:sz w:val="16"/>
                <w:szCs w:val="16"/>
                <w:lang w:val="es-CR"/>
              </w:rPr>
            </w:pPr>
          </w:p>
          <w:p w14:paraId="1E3E2579"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Porcentaje de Reglamentos revisados (Producto terminado).</w:t>
            </w:r>
          </w:p>
          <w:p w14:paraId="513048AE"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NE= Reglamentos revisados de acuerdo al cronograma</w:t>
            </w:r>
          </w:p>
          <w:p w14:paraId="44611E1E"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NV= Reglamentos vigentes en la página web</w:t>
            </w: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CD35BF"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Eficacia</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93B9DA"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Cumplir el 100% del cronograma de revisión de reglamentos al menos cada tres años.</w:t>
            </w:r>
          </w:p>
        </w:tc>
      </w:tr>
      <w:tr w:rsidR="00C44250" w14:paraId="299E5770" w14:textId="77777777" w:rsidTr="00C44250">
        <w:trPr>
          <w:trHeight w:val="103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3484F7"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Bitácora (registro) de las autorizaciones o aprobaciones documentado en el portal.</w:t>
            </w:r>
          </w:p>
        </w:tc>
        <w:tc>
          <w:tcPr>
            <w:tcW w:w="19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DD9DB8"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Tramitar oportunamente las solicitudes de aprobación y autorización requeridas por los participantes del Sistema Nacional de Pensiones.</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F87935"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trimestral</w:t>
            </w:r>
          </w:p>
        </w:tc>
        <w:tc>
          <w:tcPr>
            <w:tcW w:w="2560" w:type="dxa"/>
            <w:tcBorders>
              <w:top w:val="nil"/>
              <w:left w:val="nil"/>
              <w:bottom w:val="single" w:sz="8" w:space="0" w:color="auto"/>
              <w:right w:val="single" w:sz="8" w:space="0" w:color="auto"/>
            </w:tcBorders>
            <w:tcMar>
              <w:top w:w="0" w:type="dxa"/>
              <w:left w:w="108" w:type="dxa"/>
              <w:bottom w:w="0" w:type="dxa"/>
              <w:right w:w="108" w:type="dxa"/>
            </w:tcMar>
            <w:vAlign w:val="center"/>
          </w:tcPr>
          <w:p w14:paraId="014EA62C"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Para cada tipo de autorización o aprobación se utiliza un indicador. Dicho indicador mide la cantidad de días efectivos tramitados. Permite determinar si una solicitud de autorización o aprobación se acerca al límite de plazo para la aplicación del silencio positivo.</w:t>
            </w:r>
          </w:p>
          <w:p w14:paraId="41499723" w14:textId="77777777" w:rsidR="00C44250" w:rsidRDefault="00C44250" w:rsidP="006072A4">
            <w:pPr>
              <w:rPr>
                <w:rFonts w:ascii="Calibri Light" w:hAnsi="Calibri Light"/>
                <w:sz w:val="16"/>
                <w:szCs w:val="16"/>
                <w:lang w:val="es-CR"/>
              </w:rPr>
            </w:pPr>
          </w:p>
          <w:p w14:paraId="3F37F98D"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%A= % de autorizaciones o aprobaciones= días efectivos de trámite por PYN/días de plazo legal</w:t>
            </w:r>
          </w:p>
          <w:p w14:paraId="616D6160" w14:textId="77777777" w:rsidR="00C44250" w:rsidRDefault="00C44250" w:rsidP="006072A4">
            <w:pPr>
              <w:rPr>
                <w:rFonts w:ascii="Calibri Light" w:hAnsi="Calibri Light"/>
                <w:sz w:val="16"/>
                <w:szCs w:val="16"/>
                <w:lang w:val="es-CR"/>
              </w:rPr>
            </w:pPr>
          </w:p>
          <w:p w14:paraId="3C3D80D5" w14:textId="77777777" w:rsidR="00C44250" w:rsidRDefault="00C44250" w:rsidP="006072A4">
            <w:pPr>
              <w:rPr>
                <w:rFonts w:ascii="Calibri Light" w:hAnsi="Calibri Light"/>
                <w:sz w:val="16"/>
                <w:szCs w:val="16"/>
                <w:lang w:val="es-CR"/>
              </w:rPr>
            </w:pPr>
          </w:p>
        </w:tc>
        <w:tc>
          <w:tcPr>
            <w:tcW w:w="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8446DE" w14:textId="77777777" w:rsidR="00C44250" w:rsidRDefault="00C44250" w:rsidP="006072A4">
            <w:pPr>
              <w:rPr>
                <w:rFonts w:ascii="Calibri Light" w:hAnsi="Calibri Light"/>
                <w:sz w:val="14"/>
                <w:szCs w:val="14"/>
                <w:lang w:val="es-CR"/>
              </w:rPr>
            </w:pPr>
            <w:r>
              <w:rPr>
                <w:rFonts w:ascii="Calibri Light" w:hAnsi="Calibri Light"/>
                <w:sz w:val="14"/>
                <w:szCs w:val="14"/>
                <w:lang w:val="es-CR"/>
              </w:rPr>
              <w:t>Calidad</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9F842B" w14:textId="77777777" w:rsidR="00C44250" w:rsidRDefault="00C44250" w:rsidP="006072A4">
            <w:pPr>
              <w:rPr>
                <w:rFonts w:ascii="Calibri Light" w:hAnsi="Calibri Light"/>
                <w:sz w:val="16"/>
                <w:szCs w:val="16"/>
                <w:lang w:val="es-CR"/>
              </w:rPr>
            </w:pPr>
            <w:r>
              <w:rPr>
                <w:rFonts w:ascii="Calibri Light" w:hAnsi="Calibri Light"/>
                <w:sz w:val="16"/>
                <w:szCs w:val="16"/>
                <w:lang w:val="es-CR"/>
              </w:rPr>
              <w:t>Utilizar, en P y N, el 65% del plazo declarado en la publicación realizada en La Gaceta por la SUPEN.</w:t>
            </w:r>
          </w:p>
        </w:tc>
      </w:tr>
      <w:tr w:rsidR="00C44250" w14:paraId="0E18F37B" w14:textId="77777777" w:rsidTr="00C44250">
        <w:trPr>
          <w:trHeight w:val="291"/>
        </w:trPr>
        <w:tc>
          <w:tcPr>
            <w:tcW w:w="2059" w:type="dxa"/>
            <w:tcBorders>
              <w:top w:val="nil"/>
              <w:left w:val="single" w:sz="8" w:space="0" w:color="auto"/>
              <w:bottom w:val="single" w:sz="8" w:space="0" w:color="auto"/>
              <w:right w:val="single" w:sz="8" w:space="0" w:color="auto"/>
            </w:tcBorders>
            <w:shd w:val="clear" w:color="auto" w:fill="8496B0"/>
            <w:tcMar>
              <w:top w:w="0" w:type="dxa"/>
              <w:left w:w="108" w:type="dxa"/>
              <w:bottom w:w="0" w:type="dxa"/>
              <w:right w:w="108" w:type="dxa"/>
            </w:tcMar>
            <w:vAlign w:val="center"/>
            <w:hideMark/>
          </w:tcPr>
          <w:p w14:paraId="3A8D3A28" w14:textId="77777777" w:rsidR="00C44250" w:rsidRDefault="00C44250" w:rsidP="006072A4">
            <w:pPr>
              <w:rPr>
                <w:rFonts w:ascii="Calibri Light" w:hAnsi="Calibri Light"/>
                <w:sz w:val="16"/>
                <w:szCs w:val="16"/>
                <w:lang w:val="es-CR"/>
              </w:rPr>
            </w:pPr>
          </w:p>
        </w:tc>
        <w:tc>
          <w:tcPr>
            <w:tcW w:w="1937" w:type="dxa"/>
            <w:tcBorders>
              <w:top w:val="nil"/>
              <w:left w:val="nil"/>
              <w:bottom w:val="single" w:sz="8" w:space="0" w:color="auto"/>
              <w:right w:val="single" w:sz="8" w:space="0" w:color="auto"/>
            </w:tcBorders>
            <w:shd w:val="clear" w:color="auto" w:fill="8496B0"/>
            <w:tcMar>
              <w:top w:w="0" w:type="dxa"/>
              <w:left w:w="108" w:type="dxa"/>
              <w:bottom w:w="0" w:type="dxa"/>
              <w:right w:w="108" w:type="dxa"/>
            </w:tcMar>
            <w:vAlign w:val="center"/>
            <w:hideMark/>
          </w:tcPr>
          <w:p w14:paraId="56FCDB89" w14:textId="77777777" w:rsidR="00C44250" w:rsidRDefault="00C44250" w:rsidP="006072A4">
            <w:pPr>
              <w:rPr>
                <w:sz w:val="20"/>
                <w:szCs w:val="20"/>
              </w:rPr>
            </w:pPr>
          </w:p>
        </w:tc>
        <w:tc>
          <w:tcPr>
            <w:tcW w:w="1135" w:type="dxa"/>
            <w:tcBorders>
              <w:top w:val="nil"/>
              <w:left w:val="nil"/>
              <w:bottom w:val="single" w:sz="8" w:space="0" w:color="auto"/>
              <w:right w:val="single" w:sz="8" w:space="0" w:color="auto"/>
            </w:tcBorders>
            <w:shd w:val="clear" w:color="auto" w:fill="8496B0"/>
            <w:tcMar>
              <w:top w:w="0" w:type="dxa"/>
              <w:left w:w="108" w:type="dxa"/>
              <w:bottom w:w="0" w:type="dxa"/>
              <w:right w:w="108" w:type="dxa"/>
            </w:tcMar>
            <w:vAlign w:val="center"/>
            <w:hideMark/>
          </w:tcPr>
          <w:p w14:paraId="3D7EE9CA" w14:textId="77777777" w:rsidR="00C44250" w:rsidRDefault="00C44250" w:rsidP="006072A4">
            <w:pPr>
              <w:rPr>
                <w:sz w:val="20"/>
                <w:szCs w:val="20"/>
              </w:rPr>
            </w:pPr>
          </w:p>
        </w:tc>
        <w:tc>
          <w:tcPr>
            <w:tcW w:w="2560" w:type="dxa"/>
            <w:tcBorders>
              <w:top w:val="nil"/>
              <w:left w:val="nil"/>
              <w:bottom w:val="single" w:sz="8" w:space="0" w:color="auto"/>
              <w:right w:val="single" w:sz="8" w:space="0" w:color="auto"/>
            </w:tcBorders>
            <w:shd w:val="clear" w:color="auto" w:fill="8496B0"/>
            <w:tcMar>
              <w:top w:w="0" w:type="dxa"/>
              <w:left w:w="108" w:type="dxa"/>
              <w:bottom w:w="0" w:type="dxa"/>
              <w:right w:w="108" w:type="dxa"/>
            </w:tcMar>
            <w:vAlign w:val="center"/>
            <w:hideMark/>
          </w:tcPr>
          <w:p w14:paraId="48DBCE1D" w14:textId="77777777" w:rsidR="00C44250" w:rsidRDefault="00C44250" w:rsidP="006072A4">
            <w:pPr>
              <w:rPr>
                <w:sz w:val="20"/>
                <w:szCs w:val="20"/>
              </w:rPr>
            </w:pPr>
          </w:p>
        </w:tc>
        <w:tc>
          <w:tcPr>
            <w:tcW w:w="882" w:type="dxa"/>
            <w:tcBorders>
              <w:top w:val="nil"/>
              <w:left w:val="nil"/>
              <w:bottom w:val="single" w:sz="8" w:space="0" w:color="auto"/>
              <w:right w:val="single" w:sz="8" w:space="0" w:color="auto"/>
            </w:tcBorders>
            <w:shd w:val="clear" w:color="auto" w:fill="8496B0"/>
            <w:tcMar>
              <w:top w:w="0" w:type="dxa"/>
              <w:left w:w="108" w:type="dxa"/>
              <w:bottom w:w="0" w:type="dxa"/>
              <w:right w:w="108" w:type="dxa"/>
            </w:tcMar>
            <w:vAlign w:val="center"/>
            <w:hideMark/>
          </w:tcPr>
          <w:p w14:paraId="337EFF4F" w14:textId="77777777" w:rsidR="00C44250" w:rsidRDefault="00C44250" w:rsidP="006072A4">
            <w:pPr>
              <w:rPr>
                <w:sz w:val="20"/>
                <w:szCs w:val="20"/>
              </w:rPr>
            </w:pPr>
          </w:p>
        </w:tc>
        <w:tc>
          <w:tcPr>
            <w:tcW w:w="1317" w:type="dxa"/>
            <w:tcBorders>
              <w:top w:val="nil"/>
              <w:left w:val="nil"/>
              <w:bottom w:val="single" w:sz="8" w:space="0" w:color="auto"/>
              <w:right w:val="single" w:sz="8" w:space="0" w:color="auto"/>
            </w:tcBorders>
            <w:shd w:val="clear" w:color="auto" w:fill="8496B0"/>
            <w:tcMar>
              <w:top w:w="0" w:type="dxa"/>
              <w:left w:w="108" w:type="dxa"/>
              <w:bottom w:w="0" w:type="dxa"/>
              <w:right w:w="108" w:type="dxa"/>
            </w:tcMar>
            <w:vAlign w:val="center"/>
            <w:hideMark/>
          </w:tcPr>
          <w:p w14:paraId="2A154C32" w14:textId="77777777" w:rsidR="00C44250" w:rsidRDefault="00C44250" w:rsidP="006072A4">
            <w:pPr>
              <w:rPr>
                <w:sz w:val="20"/>
                <w:szCs w:val="20"/>
              </w:rPr>
            </w:pPr>
          </w:p>
        </w:tc>
      </w:tr>
    </w:tbl>
    <w:p w14:paraId="74C66100" w14:textId="7CF8A7F9" w:rsidR="00C44250" w:rsidRDefault="00C44250" w:rsidP="00F53525">
      <w:pPr>
        <w:jc w:val="both"/>
        <w:rPr>
          <w:rFonts w:asciiTheme="majorHAnsi" w:hAnsiTheme="majorHAnsi"/>
          <w:bCs/>
          <w:sz w:val="22"/>
          <w:szCs w:val="22"/>
        </w:rPr>
      </w:pPr>
    </w:p>
    <w:p w14:paraId="5CA9E665" w14:textId="77777777" w:rsidR="00C44250" w:rsidRDefault="00C44250" w:rsidP="00F53525">
      <w:pPr>
        <w:jc w:val="both"/>
        <w:rPr>
          <w:rFonts w:asciiTheme="majorHAnsi" w:hAnsiTheme="majorHAnsi"/>
          <w:bCs/>
          <w:sz w:val="22"/>
          <w:szCs w:val="22"/>
        </w:rPr>
      </w:pPr>
    </w:p>
    <w:p w14:paraId="172B29A3" w14:textId="77777777" w:rsidR="00C44250" w:rsidRDefault="00C44250" w:rsidP="00F53525">
      <w:pPr>
        <w:jc w:val="both"/>
        <w:rPr>
          <w:rFonts w:asciiTheme="majorHAnsi" w:hAnsiTheme="majorHAnsi"/>
          <w:bCs/>
          <w:sz w:val="22"/>
          <w:szCs w:val="22"/>
        </w:rPr>
      </w:pPr>
    </w:p>
    <w:p w14:paraId="7725799A" w14:textId="4E14D500" w:rsidR="004434E5" w:rsidRDefault="004434E5" w:rsidP="00F53525">
      <w:pPr>
        <w:jc w:val="both"/>
        <w:rPr>
          <w:rFonts w:asciiTheme="majorHAnsi" w:hAnsiTheme="majorHAnsi"/>
          <w:bCs/>
          <w:sz w:val="22"/>
          <w:szCs w:val="22"/>
        </w:rPr>
      </w:pPr>
    </w:p>
    <w:p w14:paraId="7CCFE1C2" w14:textId="77777777" w:rsidR="004434E5" w:rsidRDefault="004434E5" w:rsidP="00F53525">
      <w:pPr>
        <w:jc w:val="both"/>
        <w:rPr>
          <w:rFonts w:asciiTheme="majorHAnsi" w:hAnsiTheme="majorHAnsi"/>
          <w:bCs/>
          <w:sz w:val="22"/>
          <w:szCs w:val="22"/>
        </w:rPr>
      </w:pPr>
    </w:p>
    <w:p w14:paraId="50B0C165" w14:textId="59B85CB3" w:rsidR="00E431C5" w:rsidRDefault="00E431C5">
      <w:pPr>
        <w:rPr>
          <w:rFonts w:asciiTheme="majorHAnsi" w:hAnsiTheme="majorHAnsi"/>
          <w:bCs/>
          <w:sz w:val="22"/>
          <w:szCs w:val="22"/>
        </w:rPr>
      </w:pPr>
      <w:r>
        <w:rPr>
          <w:rFonts w:asciiTheme="majorHAnsi" w:hAnsiTheme="majorHAnsi"/>
          <w:bCs/>
          <w:sz w:val="22"/>
          <w:szCs w:val="22"/>
        </w:rPr>
        <w:br w:type="page"/>
      </w:r>
    </w:p>
    <w:p w14:paraId="06A94BAE" w14:textId="14E0805E" w:rsidR="001415B5" w:rsidRPr="00060053" w:rsidRDefault="008B6E24" w:rsidP="009E2A71">
      <w:pPr>
        <w:pStyle w:val="NormalWeb"/>
        <w:jc w:val="both"/>
        <w:outlineLvl w:val="1"/>
        <w:rPr>
          <w:rFonts w:asciiTheme="majorHAnsi" w:hAnsiTheme="majorHAnsi" w:cs="Tahoma"/>
          <w:b/>
          <w:bCs/>
          <w:sz w:val="22"/>
          <w:szCs w:val="22"/>
        </w:rPr>
      </w:pPr>
      <w:bookmarkStart w:id="46" w:name="_Toc442253216"/>
      <w:r w:rsidRPr="00060053">
        <w:rPr>
          <w:rFonts w:asciiTheme="majorHAnsi" w:hAnsiTheme="majorHAnsi" w:cs="Tahoma"/>
          <w:b/>
          <w:bCs/>
          <w:sz w:val="22"/>
          <w:szCs w:val="22"/>
          <w:lang w:val="es-ES_tradnl"/>
        </w:rPr>
        <w:lastRenderedPageBreak/>
        <w:t>2.</w:t>
      </w:r>
      <w:r w:rsidR="00D901A3" w:rsidRPr="00060053">
        <w:rPr>
          <w:rFonts w:asciiTheme="majorHAnsi" w:hAnsiTheme="majorHAnsi" w:cs="Tahoma"/>
          <w:b/>
          <w:bCs/>
          <w:sz w:val="22"/>
          <w:szCs w:val="22"/>
          <w:lang w:val="es-ES_tradnl"/>
        </w:rPr>
        <w:t>4</w:t>
      </w:r>
      <w:r w:rsidR="00D460C2">
        <w:rPr>
          <w:rFonts w:asciiTheme="majorHAnsi" w:hAnsiTheme="majorHAnsi" w:cs="Tahoma"/>
          <w:b/>
          <w:bCs/>
          <w:sz w:val="22"/>
          <w:szCs w:val="22"/>
          <w:lang w:val="es-ES_tradnl"/>
        </w:rPr>
        <w:tab/>
      </w:r>
      <w:r w:rsidR="001415B5" w:rsidRPr="00060053">
        <w:rPr>
          <w:rFonts w:asciiTheme="majorHAnsi" w:hAnsiTheme="majorHAnsi" w:cs="Tahoma"/>
          <w:b/>
          <w:bCs/>
          <w:sz w:val="22"/>
          <w:szCs w:val="22"/>
          <w:lang w:val="es-ES_tradnl"/>
        </w:rPr>
        <w:t xml:space="preserve">Presupuesto </w:t>
      </w:r>
      <w:r w:rsidR="001415B5" w:rsidRPr="00060053">
        <w:rPr>
          <w:rFonts w:asciiTheme="majorHAnsi" w:hAnsiTheme="majorHAnsi" w:cs="Tahoma"/>
          <w:b/>
          <w:bCs/>
          <w:sz w:val="22"/>
          <w:szCs w:val="22"/>
        </w:rPr>
        <w:t>Expresión Financiera del Plan Operativo</w:t>
      </w:r>
      <w:r w:rsidR="00CF27EE" w:rsidRPr="00060053">
        <w:rPr>
          <w:rFonts w:asciiTheme="majorHAnsi" w:hAnsiTheme="majorHAnsi" w:cs="Tahoma"/>
          <w:b/>
          <w:bCs/>
          <w:sz w:val="22"/>
          <w:szCs w:val="22"/>
        </w:rPr>
        <w:t xml:space="preserve"> Institucional</w:t>
      </w:r>
      <w:bookmarkEnd w:id="46"/>
    </w:p>
    <w:p w14:paraId="06A94BAF" w14:textId="5D3E7823" w:rsidR="00F53525" w:rsidRPr="00060053" w:rsidRDefault="00F53525" w:rsidP="009E2A71">
      <w:pPr>
        <w:jc w:val="both"/>
        <w:rPr>
          <w:rFonts w:asciiTheme="majorHAnsi" w:hAnsiTheme="majorHAnsi"/>
          <w:sz w:val="22"/>
          <w:szCs w:val="22"/>
        </w:rPr>
      </w:pPr>
      <w:r w:rsidRPr="00060053">
        <w:rPr>
          <w:rFonts w:asciiTheme="majorHAnsi" w:hAnsiTheme="majorHAnsi"/>
          <w:sz w:val="22"/>
          <w:szCs w:val="22"/>
        </w:rPr>
        <w:t xml:space="preserve">En </w:t>
      </w:r>
      <w:r w:rsidR="00981E42">
        <w:rPr>
          <w:rFonts w:asciiTheme="majorHAnsi" w:hAnsiTheme="majorHAnsi"/>
          <w:sz w:val="22"/>
          <w:szCs w:val="22"/>
        </w:rPr>
        <w:t>la sección</w:t>
      </w:r>
      <w:r w:rsidRPr="00060053">
        <w:rPr>
          <w:rFonts w:asciiTheme="majorHAnsi" w:hAnsiTheme="majorHAnsi"/>
          <w:sz w:val="22"/>
          <w:szCs w:val="22"/>
        </w:rPr>
        <w:t xml:space="preserve"> se puntualiza la composición del presupuesto para</w:t>
      </w:r>
      <w:r w:rsidR="005348DB" w:rsidRPr="00060053">
        <w:rPr>
          <w:rFonts w:asciiTheme="majorHAnsi" w:hAnsiTheme="majorHAnsi"/>
          <w:sz w:val="22"/>
          <w:szCs w:val="22"/>
        </w:rPr>
        <w:t xml:space="preserve"> el ejercicio económico del </w:t>
      </w:r>
      <w:r w:rsidR="00065D5A" w:rsidRPr="00060053">
        <w:rPr>
          <w:rFonts w:asciiTheme="majorHAnsi" w:hAnsiTheme="majorHAnsi"/>
          <w:sz w:val="22"/>
          <w:szCs w:val="22"/>
        </w:rPr>
        <w:t>20</w:t>
      </w:r>
      <w:r w:rsidR="00ED04A1" w:rsidRPr="00060053">
        <w:rPr>
          <w:rFonts w:asciiTheme="majorHAnsi" w:hAnsiTheme="majorHAnsi"/>
          <w:sz w:val="22"/>
          <w:szCs w:val="22"/>
        </w:rPr>
        <w:t>1</w:t>
      </w:r>
      <w:r w:rsidR="004D404F">
        <w:rPr>
          <w:rFonts w:asciiTheme="majorHAnsi" w:hAnsiTheme="majorHAnsi"/>
          <w:sz w:val="22"/>
          <w:szCs w:val="22"/>
        </w:rPr>
        <w:t>6</w:t>
      </w:r>
      <w:r w:rsidRPr="00060053">
        <w:rPr>
          <w:rFonts w:asciiTheme="majorHAnsi" w:hAnsiTheme="majorHAnsi"/>
          <w:sz w:val="22"/>
          <w:szCs w:val="22"/>
        </w:rPr>
        <w:t>.</w:t>
      </w:r>
    </w:p>
    <w:p w14:paraId="06A94BB0" w14:textId="77777777" w:rsidR="00F53525" w:rsidRPr="00060053" w:rsidRDefault="00F53525" w:rsidP="00F53525">
      <w:pPr>
        <w:jc w:val="both"/>
        <w:rPr>
          <w:rFonts w:asciiTheme="majorHAnsi" w:hAnsiTheme="majorHAn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1"/>
        <w:gridCol w:w="3670"/>
        <w:gridCol w:w="4515"/>
      </w:tblGrid>
      <w:tr w:rsidR="00F53525" w:rsidRPr="00060053" w14:paraId="06A94BB4" w14:textId="77777777" w:rsidTr="004D404F">
        <w:trPr>
          <w:tblHeader/>
        </w:trPr>
        <w:tc>
          <w:tcPr>
            <w:tcW w:w="1171" w:type="dxa"/>
            <w:shd w:val="clear" w:color="auto" w:fill="548DD4" w:themeFill="text2" w:themeFillTint="99"/>
            <w:vAlign w:val="center"/>
          </w:tcPr>
          <w:p w14:paraId="06A94BB1" w14:textId="77777777" w:rsidR="00F53525" w:rsidRPr="00060053" w:rsidRDefault="00F53525" w:rsidP="00B05EAB">
            <w:pPr>
              <w:spacing w:line="264" w:lineRule="auto"/>
              <w:jc w:val="center"/>
              <w:rPr>
                <w:rFonts w:asciiTheme="majorHAnsi" w:hAnsiTheme="majorHAnsi"/>
                <w:b/>
                <w:sz w:val="20"/>
              </w:rPr>
            </w:pPr>
            <w:r w:rsidRPr="00060053">
              <w:rPr>
                <w:rFonts w:asciiTheme="majorHAnsi" w:hAnsiTheme="majorHAnsi"/>
                <w:b/>
                <w:sz w:val="20"/>
              </w:rPr>
              <w:t># CUADRO</w:t>
            </w:r>
          </w:p>
        </w:tc>
        <w:tc>
          <w:tcPr>
            <w:tcW w:w="3670" w:type="dxa"/>
            <w:shd w:val="clear" w:color="auto" w:fill="548DD4" w:themeFill="text2" w:themeFillTint="99"/>
            <w:vAlign w:val="center"/>
          </w:tcPr>
          <w:p w14:paraId="06A94BB2" w14:textId="77777777" w:rsidR="00F53525" w:rsidRPr="00060053" w:rsidRDefault="00F53525" w:rsidP="00B05EAB">
            <w:pPr>
              <w:spacing w:line="264" w:lineRule="auto"/>
              <w:jc w:val="center"/>
              <w:rPr>
                <w:rFonts w:asciiTheme="majorHAnsi" w:hAnsiTheme="majorHAnsi"/>
                <w:b/>
                <w:sz w:val="20"/>
              </w:rPr>
            </w:pPr>
            <w:r w:rsidRPr="00060053">
              <w:rPr>
                <w:rFonts w:asciiTheme="majorHAnsi" w:hAnsiTheme="majorHAnsi"/>
                <w:b/>
                <w:sz w:val="20"/>
              </w:rPr>
              <w:t>TÍTULO</w:t>
            </w:r>
          </w:p>
        </w:tc>
        <w:tc>
          <w:tcPr>
            <w:tcW w:w="4515" w:type="dxa"/>
            <w:shd w:val="clear" w:color="auto" w:fill="548DD4" w:themeFill="text2" w:themeFillTint="99"/>
            <w:vAlign w:val="center"/>
          </w:tcPr>
          <w:p w14:paraId="06A94BB3" w14:textId="77777777" w:rsidR="00F53525" w:rsidRPr="00060053" w:rsidRDefault="00F53525" w:rsidP="00B05EAB">
            <w:pPr>
              <w:spacing w:line="264" w:lineRule="auto"/>
              <w:jc w:val="center"/>
              <w:rPr>
                <w:rFonts w:asciiTheme="majorHAnsi" w:hAnsiTheme="majorHAnsi"/>
                <w:b/>
                <w:sz w:val="20"/>
              </w:rPr>
            </w:pPr>
            <w:r w:rsidRPr="00060053">
              <w:rPr>
                <w:rFonts w:asciiTheme="majorHAnsi" w:hAnsiTheme="majorHAnsi"/>
                <w:b/>
                <w:sz w:val="20"/>
              </w:rPr>
              <w:t>OBJETIVO</w:t>
            </w:r>
          </w:p>
        </w:tc>
      </w:tr>
      <w:tr w:rsidR="00F53525" w:rsidRPr="00060053" w14:paraId="06A94BB8" w14:textId="77777777">
        <w:tc>
          <w:tcPr>
            <w:tcW w:w="1171" w:type="dxa"/>
            <w:vAlign w:val="center"/>
          </w:tcPr>
          <w:p w14:paraId="06A94BB5" w14:textId="77777777" w:rsidR="00F53525" w:rsidRPr="00060053" w:rsidRDefault="00F53525" w:rsidP="00B05EAB">
            <w:pPr>
              <w:spacing w:line="264" w:lineRule="auto"/>
              <w:jc w:val="center"/>
              <w:rPr>
                <w:rFonts w:asciiTheme="majorHAnsi" w:hAnsiTheme="majorHAnsi"/>
                <w:bCs/>
                <w:sz w:val="20"/>
              </w:rPr>
            </w:pPr>
            <w:r w:rsidRPr="00060053">
              <w:rPr>
                <w:rFonts w:asciiTheme="majorHAnsi" w:hAnsiTheme="majorHAnsi"/>
                <w:bCs/>
                <w:sz w:val="20"/>
              </w:rPr>
              <w:t>1</w:t>
            </w:r>
          </w:p>
        </w:tc>
        <w:tc>
          <w:tcPr>
            <w:tcW w:w="3670" w:type="dxa"/>
            <w:vAlign w:val="center"/>
          </w:tcPr>
          <w:p w14:paraId="06A94BB6" w14:textId="77777777" w:rsidR="00F53525" w:rsidRPr="00060053" w:rsidRDefault="00F53525" w:rsidP="00B05EAB">
            <w:pPr>
              <w:pStyle w:val="Textonotapie"/>
              <w:spacing w:line="264" w:lineRule="auto"/>
              <w:rPr>
                <w:rFonts w:asciiTheme="majorHAnsi" w:hAnsiTheme="majorHAnsi"/>
                <w:bCs/>
                <w:szCs w:val="24"/>
              </w:rPr>
            </w:pPr>
            <w:r w:rsidRPr="00060053">
              <w:rPr>
                <w:rFonts w:asciiTheme="majorHAnsi" w:hAnsiTheme="majorHAnsi"/>
                <w:bCs/>
                <w:szCs w:val="24"/>
              </w:rPr>
              <w:t xml:space="preserve">Presupuesto de ingresos </w:t>
            </w:r>
          </w:p>
        </w:tc>
        <w:tc>
          <w:tcPr>
            <w:tcW w:w="4515" w:type="dxa"/>
            <w:vAlign w:val="center"/>
          </w:tcPr>
          <w:p w14:paraId="06A94BB7" w14:textId="7340499B" w:rsidR="00F53525" w:rsidRPr="00060053" w:rsidRDefault="00F53525" w:rsidP="00981E42">
            <w:pPr>
              <w:spacing w:line="264" w:lineRule="auto"/>
              <w:jc w:val="both"/>
              <w:rPr>
                <w:rFonts w:asciiTheme="majorHAnsi" w:hAnsiTheme="majorHAnsi"/>
                <w:bCs/>
                <w:sz w:val="20"/>
              </w:rPr>
            </w:pPr>
            <w:r w:rsidRPr="00060053">
              <w:rPr>
                <w:rFonts w:asciiTheme="majorHAnsi" w:hAnsiTheme="majorHAnsi"/>
                <w:bCs/>
                <w:sz w:val="20"/>
              </w:rPr>
              <w:t xml:space="preserve">Total de presupuesto de ingresos requeridos para la ejecución presupuestaria del </w:t>
            </w:r>
            <w:r w:rsidR="008719B1" w:rsidRPr="00060053">
              <w:rPr>
                <w:rFonts w:asciiTheme="majorHAnsi" w:hAnsiTheme="majorHAnsi"/>
                <w:bCs/>
                <w:sz w:val="20"/>
              </w:rPr>
              <w:t>20</w:t>
            </w:r>
            <w:r w:rsidR="00ED04A1" w:rsidRPr="00060053">
              <w:rPr>
                <w:rFonts w:asciiTheme="majorHAnsi" w:hAnsiTheme="majorHAnsi"/>
                <w:bCs/>
                <w:sz w:val="20"/>
              </w:rPr>
              <w:t>1</w:t>
            </w:r>
            <w:r w:rsidR="00C44250">
              <w:rPr>
                <w:rFonts w:asciiTheme="majorHAnsi" w:hAnsiTheme="majorHAnsi"/>
                <w:bCs/>
                <w:sz w:val="20"/>
              </w:rPr>
              <w:t>6</w:t>
            </w:r>
          </w:p>
        </w:tc>
      </w:tr>
      <w:tr w:rsidR="00F53525" w:rsidRPr="00060053" w14:paraId="06A94BBC" w14:textId="77777777">
        <w:tc>
          <w:tcPr>
            <w:tcW w:w="1171" w:type="dxa"/>
            <w:vAlign w:val="center"/>
          </w:tcPr>
          <w:p w14:paraId="06A94BB9" w14:textId="77777777" w:rsidR="00F53525" w:rsidRPr="00060053" w:rsidRDefault="00F53525" w:rsidP="00B05EAB">
            <w:pPr>
              <w:spacing w:line="264" w:lineRule="auto"/>
              <w:jc w:val="center"/>
              <w:rPr>
                <w:rFonts w:asciiTheme="majorHAnsi" w:hAnsiTheme="majorHAnsi"/>
                <w:bCs/>
                <w:sz w:val="20"/>
              </w:rPr>
            </w:pPr>
            <w:r w:rsidRPr="00060053">
              <w:rPr>
                <w:rFonts w:asciiTheme="majorHAnsi" w:hAnsiTheme="majorHAnsi"/>
                <w:bCs/>
                <w:sz w:val="20"/>
              </w:rPr>
              <w:t>2</w:t>
            </w:r>
          </w:p>
        </w:tc>
        <w:tc>
          <w:tcPr>
            <w:tcW w:w="3670" w:type="dxa"/>
            <w:vAlign w:val="center"/>
          </w:tcPr>
          <w:p w14:paraId="06A94BBA" w14:textId="77777777" w:rsidR="00F53525" w:rsidRPr="00060053" w:rsidRDefault="00A13167" w:rsidP="00B05EAB">
            <w:pPr>
              <w:spacing w:line="264" w:lineRule="auto"/>
              <w:rPr>
                <w:rFonts w:asciiTheme="majorHAnsi" w:hAnsiTheme="majorHAnsi"/>
                <w:bCs/>
                <w:sz w:val="20"/>
              </w:rPr>
            </w:pPr>
            <w:r w:rsidRPr="00060053">
              <w:rPr>
                <w:rFonts w:asciiTheme="majorHAnsi" w:hAnsiTheme="majorHAnsi"/>
                <w:bCs/>
                <w:sz w:val="20"/>
              </w:rPr>
              <w:t xml:space="preserve">Comparativo </w:t>
            </w:r>
            <w:r w:rsidR="00F53525" w:rsidRPr="00060053">
              <w:rPr>
                <w:rFonts w:asciiTheme="majorHAnsi" w:hAnsiTheme="majorHAnsi"/>
                <w:bCs/>
                <w:sz w:val="20"/>
              </w:rPr>
              <w:t xml:space="preserve"> de ingresos y egresos </w:t>
            </w:r>
          </w:p>
        </w:tc>
        <w:tc>
          <w:tcPr>
            <w:tcW w:w="4515" w:type="dxa"/>
            <w:vAlign w:val="center"/>
          </w:tcPr>
          <w:p w14:paraId="06A94BBB" w14:textId="77777777" w:rsidR="00F53525" w:rsidRPr="00060053" w:rsidRDefault="00F53525" w:rsidP="00981E42">
            <w:pPr>
              <w:spacing w:line="264" w:lineRule="auto"/>
              <w:jc w:val="both"/>
              <w:rPr>
                <w:rFonts w:asciiTheme="majorHAnsi" w:hAnsiTheme="majorHAnsi"/>
                <w:bCs/>
                <w:sz w:val="20"/>
              </w:rPr>
            </w:pPr>
            <w:r w:rsidRPr="00060053">
              <w:rPr>
                <w:rFonts w:asciiTheme="majorHAnsi" w:hAnsiTheme="majorHAnsi"/>
                <w:bCs/>
                <w:sz w:val="20"/>
              </w:rPr>
              <w:t>Cuadro de ingresos y egresos presupuestados a nivel de las principales cuentas.</w:t>
            </w:r>
          </w:p>
        </w:tc>
      </w:tr>
      <w:tr w:rsidR="00F53525" w:rsidRPr="00060053" w14:paraId="06A94BC0" w14:textId="77777777">
        <w:tc>
          <w:tcPr>
            <w:tcW w:w="1171" w:type="dxa"/>
            <w:vAlign w:val="center"/>
          </w:tcPr>
          <w:p w14:paraId="06A94BBD" w14:textId="77777777" w:rsidR="00F53525" w:rsidRPr="00060053" w:rsidRDefault="00F53525" w:rsidP="00B05EAB">
            <w:pPr>
              <w:spacing w:line="264" w:lineRule="auto"/>
              <w:jc w:val="center"/>
              <w:rPr>
                <w:rFonts w:asciiTheme="majorHAnsi" w:hAnsiTheme="majorHAnsi"/>
                <w:bCs/>
                <w:sz w:val="20"/>
              </w:rPr>
            </w:pPr>
            <w:r w:rsidRPr="00060053">
              <w:rPr>
                <w:rFonts w:asciiTheme="majorHAnsi" w:hAnsiTheme="majorHAnsi"/>
                <w:bCs/>
                <w:sz w:val="20"/>
              </w:rPr>
              <w:t>3</w:t>
            </w:r>
          </w:p>
        </w:tc>
        <w:tc>
          <w:tcPr>
            <w:tcW w:w="3670" w:type="dxa"/>
            <w:vAlign w:val="center"/>
          </w:tcPr>
          <w:p w14:paraId="06A94BBE" w14:textId="77777777" w:rsidR="00F53525" w:rsidRPr="00060053" w:rsidRDefault="00F53525" w:rsidP="00B05EAB">
            <w:pPr>
              <w:spacing w:line="264" w:lineRule="auto"/>
              <w:rPr>
                <w:rFonts w:asciiTheme="majorHAnsi" w:hAnsiTheme="majorHAnsi"/>
                <w:bCs/>
                <w:sz w:val="20"/>
              </w:rPr>
            </w:pPr>
            <w:r w:rsidRPr="00060053">
              <w:rPr>
                <w:rFonts w:asciiTheme="majorHAnsi" w:hAnsiTheme="majorHAnsi"/>
                <w:bCs/>
                <w:sz w:val="20"/>
              </w:rPr>
              <w:t xml:space="preserve">Presupuesto detallado de egresos </w:t>
            </w:r>
          </w:p>
        </w:tc>
        <w:tc>
          <w:tcPr>
            <w:tcW w:w="4515" w:type="dxa"/>
            <w:vAlign w:val="center"/>
          </w:tcPr>
          <w:p w14:paraId="06A94BBF" w14:textId="49DBCBD0" w:rsidR="00F53525" w:rsidRPr="00060053" w:rsidRDefault="00981E42" w:rsidP="00981E42">
            <w:pPr>
              <w:spacing w:line="264" w:lineRule="auto"/>
              <w:jc w:val="both"/>
              <w:rPr>
                <w:rFonts w:asciiTheme="majorHAnsi" w:hAnsiTheme="majorHAnsi"/>
                <w:bCs/>
                <w:sz w:val="20"/>
              </w:rPr>
            </w:pPr>
            <w:r>
              <w:rPr>
                <w:rFonts w:asciiTheme="majorHAnsi" w:hAnsiTheme="majorHAnsi"/>
                <w:bCs/>
                <w:sz w:val="20"/>
              </w:rPr>
              <w:t>Detalle a nivel de sub</w:t>
            </w:r>
            <w:r w:rsidR="00F53525" w:rsidRPr="00060053">
              <w:rPr>
                <w:rFonts w:asciiTheme="majorHAnsi" w:hAnsiTheme="majorHAnsi"/>
                <w:bCs/>
                <w:sz w:val="20"/>
              </w:rPr>
              <w:t>cuenta, cuenta y total del presupuesto de egresos</w:t>
            </w:r>
          </w:p>
        </w:tc>
      </w:tr>
      <w:tr w:rsidR="00F53525" w:rsidRPr="00060053" w14:paraId="06A94BC4" w14:textId="77777777">
        <w:trPr>
          <w:trHeight w:val="764"/>
        </w:trPr>
        <w:tc>
          <w:tcPr>
            <w:tcW w:w="1171" w:type="dxa"/>
            <w:vAlign w:val="center"/>
          </w:tcPr>
          <w:p w14:paraId="06A94BC1" w14:textId="77777777" w:rsidR="00F53525" w:rsidRPr="00060053" w:rsidRDefault="00F53525" w:rsidP="00B05EAB">
            <w:pPr>
              <w:spacing w:line="264" w:lineRule="auto"/>
              <w:jc w:val="center"/>
              <w:rPr>
                <w:rFonts w:asciiTheme="majorHAnsi" w:hAnsiTheme="majorHAnsi"/>
                <w:bCs/>
                <w:sz w:val="20"/>
              </w:rPr>
            </w:pPr>
            <w:r w:rsidRPr="00060053">
              <w:rPr>
                <w:rFonts w:asciiTheme="majorHAnsi" w:hAnsiTheme="majorHAnsi"/>
                <w:bCs/>
                <w:sz w:val="20"/>
              </w:rPr>
              <w:t>4</w:t>
            </w:r>
          </w:p>
        </w:tc>
        <w:tc>
          <w:tcPr>
            <w:tcW w:w="3670" w:type="dxa"/>
            <w:vAlign w:val="center"/>
          </w:tcPr>
          <w:p w14:paraId="06A94BC2" w14:textId="77777777" w:rsidR="00F53525" w:rsidRPr="00060053" w:rsidRDefault="00F53525" w:rsidP="00B05EAB">
            <w:pPr>
              <w:spacing w:line="264" w:lineRule="auto"/>
              <w:rPr>
                <w:rFonts w:asciiTheme="majorHAnsi" w:hAnsiTheme="majorHAnsi"/>
                <w:bCs/>
                <w:sz w:val="20"/>
              </w:rPr>
            </w:pPr>
            <w:r w:rsidRPr="00060053">
              <w:rPr>
                <w:rFonts w:asciiTheme="majorHAnsi" w:hAnsiTheme="majorHAnsi"/>
                <w:bCs/>
                <w:sz w:val="20"/>
              </w:rPr>
              <w:t xml:space="preserve">Detalle de los principales rubros de egresos </w:t>
            </w:r>
          </w:p>
        </w:tc>
        <w:tc>
          <w:tcPr>
            <w:tcW w:w="4515" w:type="dxa"/>
            <w:vAlign w:val="center"/>
          </w:tcPr>
          <w:p w14:paraId="06A94BC3" w14:textId="77777777" w:rsidR="00F53525" w:rsidRPr="00060053" w:rsidRDefault="00F53525" w:rsidP="00981E42">
            <w:pPr>
              <w:spacing w:line="264" w:lineRule="auto"/>
              <w:jc w:val="both"/>
              <w:rPr>
                <w:rFonts w:asciiTheme="majorHAnsi" w:hAnsiTheme="majorHAnsi"/>
                <w:bCs/>
                <w:sz w:val="20"/>
              </w:rPr>
            </w:pPr>
            <w:r w:rsidRPr="00060053">
              <w:rPr>
                <w:rFonts w:asciiTheme="majorHAnsi" w:hAnsiTheme="majorHAnsi"/>
                <w:bCs/>
                <w:sz w:val="20"/>
              </w:rPr>
              <w:t>Descripción de la justificación detallada de los principales rubros de egresos</w:t>
            </w:r>
          </w:p>
        </w:tc>
      </w:tr>
      <w:tr w:rsidR="00F53525" w:rsidRPr="00060053" w14:paraId="06A94BC8" w14:textId="77777777">
        <w:tc>
          <w:tcPr>
            <w:tcW w:w="1171" w:type="dxa"/>
            <w:vAlign w:val="center"/>
          </w:tcPr>
          <w:p w14:paraId="06A94BC5" w14:textId="77777777" w:rsidR="00001B41" w:rsidRPr="00060053" w:rsidRDefault="00F53525" w:rsidP="00ED04A1">
            <w:pPr>
              <w:spacing w:line="264" w:lineRule="auto"/>
              <w:jc w:val="center"/>
              <w:rPr>
                <w:rFonts w:asciiTheme="majorHAnsi" w:hAnsiTheme="majorHAnsi"/>
                <w:bCs/>
                <w:sz w:val="20"/>
              </w:rPr>
            </w:pPr>
            <w:r w:rsidRPr="00060053">
              <w:rPr>
                <w:rFonts w:asciiTheme="majorHAnsi" w:hAnsiTheme="majorHAnsi"/>
                <w:bCs/>
                <w:sz w:val="20"/>
              </w:rPr>
              <w:t>5</w:t>
            </w:r>
          </w:p>
        </w:tc>
        <w:tc>
          <w:tcPr>
            <w:tcW w:w="3670" w:type="dxa"/>
            <w:vAlign w:val="center"/>
          </w:tcPr>
          <w:p w14:paraId="06A94BC6" w14:textId="77777777" w:rsidR="00F53525" w:rsidRPr="00060053" w:rsidRDefault="00F53525" w:rsidP="00ED04A1">
            <w:pPr>
              <w:spacing w:line="264" w:lineRule="auto"/>
              <w:rPr>
                <w:rFonts w:asciiTheme="majorHAnsi" w:hAnsiTheme="majorHAnsi"/>
                <w:bCs/>
                <w:sz w:val="20"/>
              </w:rPr>
            </w:pPr>
            <w:r w:rsidRPr="00060053">
              <w:rPr>
                <w:rFonts w:asciiTheme="majorHAnsi" w:hAnsiTheme="majorHAnsi"/>
                <w:bCs/>
                <w:sz w:val="20"/>
              </w:rPr>
              <w:t>Presupuesto ordinario de egresos por meta</w:t>
            </w:r>
          </w:p>
        </w:tc>
        <w:tc>
          <w:tcPr>
            <w:tcW w:w="4515" w:type="dxa"/>
            <w:vAlign w:val="center"/>
          </w:tcPr>
          <w:p w14:paraId="06A94BC7" w14:textId="267BA410" w:rsidR="00F53525" w:rsidRPr="00060053" w:rsidRDefault="00F53525" w:rsidP="00981E42">
            <w:pPr>
              <w:spacing w:line="264" w:lineRule="auto"/>
              <w:jc w:val="both"/>
              <w:rPr>
                <w:rFonts w:asciiTheme="majorHAnsi" w:hAnsiTheme="majorHAnsi"/>
                <w:bCs/>
                <w:sz w:val="20"/>
              </w:rPr>
            </w:pPr>
            <w:r w:rsidRPr="00060053">
              <w:rPr>
                <w:rFonts w:asciiTheme="majorHAnsi" w:hAnsiTheme="majorHAnsi"/>
                <w:bCs/>
                <w:sz w:val="20"/>
              </w:rPr>
              <w:t xml:space="preserve">Descripción detallada del objetivo general de la instancia, número de </w:t>
            </w:r>
            <w:r w:rsidR="00981E42">
              <w:rPr>
                <w:rFonts w:asciiTheme="majorHAnsi" w:hAnsiTheme="majorHAnsi"/>
                <w:bCs/>
                <w:sz w:val="20"/>
              </w:rPr>
              <w:t xml:space="preserve">funcionarios, horas / hombre, porcentaje </w:t>
            </w:r>
            <w:r w:rsidRPr="00060053">
              <w:rPr>
                <w:rFonts w:asciiTheme="majorHAnsi" w:hAnsiTheme="majorHAnsi"/>
                <w:bCs/>
                <w:sz w:val="20"/>
              </w:rPr>
              <w:t>asignado, monto total asignado a salarios, transferencias corrientes, inversiones, asignación de cuentas y total.</w:t>
            </w:r>
          </w:p>
        </w:tc>
      </w:tr>
      <w:tr w:rsidR="00F53525" w:rsidRPr="00060053" w14:paraId="06A94BCC" w14:textId="77777777">
        <w:tc>
          <w:tcPr>
            <w:tcW w:w="1171" w:type="dxa"/>
            <w:vAlign w:val="center"/>
          </w:tcPr>
          <w:p w14:paraId="06A94BC9" w14:textId="77777777" w:rsidR="00001B41" w:rsidRPr="00060053" w:rsidRDefault="00F53525" w:rsidP="00ED04A1">
            <w:pPr>
              <w:spacing w:line="264" w:lineRule="auto"/>
              <w:jc w:val="center"/>
              <w:rPr>
                <w:rFonts w:asciiTheme="majorHAnsi" w:hAnsiTheme="majorHAnsi"/>
                <w:bCs/>
                <w:sz w:val="20"/>
              </w:rPr>
            </w:pPr>
            <w:r w:rsidRPr="00060053">
              <w:rPr>
                <w:rFonts w:asciiTheme="majorHAnsi" w:hAnsiTheme="majorHAnsi"/>
                <w:bCs/>
                <w:sz w:val="20"/>
              </w:rPr>
              <w:t>6</w:t>
            </w:r>
          </w:p>
        </w:tc>
        <w:tc>
          <w:tcPr>
            <w:tcW w:w="3670" w:type="dxa"/>
            <w:vAlign w:val="center"/>
          </w:tcPr>
          <w:p w14:paraId="06A94BCA" w14:textId="77777777" w:rsidR="00F53525" w:rsidRPr="00060053" w:rsidRDefault="00F53525" w:rsidP="00B05EAB">
            <w:pPr>
              <w:spacing w:line="264" w:lineRule="auto"/>
              <w:rPr>
                <w:rFonts w:asciiTheme="majorHAnsi" w:hAnsiTheme="majorHAnsi"/>
                <w:bCs/>
                <w:sz w:val="20"/>
              </w:rPr>
            </w:pPr>
            <w:r w:rsidRPr="00060053">
              <w:rPr>
                <w:rFonts w:asciiTheme="majorHAnsi" w:hAnsiTheme="majorHAnsi"/>
                <w:bCs/>
                <w:sz w:val="20"/>
              </w:rPr>
              <w:t>Comparativo de la evolución del gasto por cuenta durante los tres últimos periodos</w:t>
            </w:r>
          </w:p>
        </w:tc>
        <w:tc>
          <w:tcPr>
            <w:tcW w:w="4515" w:type="dxa"/>
            <w:vAlign w:val="center"/>
          </w:tcPr>
          <w:p w14:paraId="06A94BCB" w14:textId="5FCC5216" w:rsidR="00F53525" w:rsidRPr="00060053" w:rsidRDefault="00981E42" w:rsidP="00981E42">
            <w:pPr>
              <w:spacing w:line="264" w:lineRule="auto"/>
              <w:jc w:val="both"/>
              <w:rPr>
                <w:rFonts w:asciiTheme="majorHAnsi" w:hAnsiTheme="majorHAnsi"/>
                <w:bCs/>
                <w:sz w:val="20"/>
              </w:rPr>
            </w:pPr>
            <w:r>
              <w:rPr>
                <w:rFonts w:asciiTheme="majorHAnsi" w:hAnsiTheme="majorHAnsi"/>
                <w:bCs/>
                <w:sz w:val="20"/>
              </w:rPr>
              <w:t xml:space="preserve">Porcentaje relativo a cada sub-cuenta y porcentaje </w:t>
            </w:r>
            <w:r w:rsidR="00F53525" w:rsidRPr="00060053">
              <w:rPr>
                <w:rFonts w:asciiTheme="majorHAnsi" w:hAnsiTheme="majorHAnsi"/>
                <w:bCs/>
                <w:sz w:val="20"/>
              </w:rPr>
              <w:t xml:space="preserve"> de variación con </w:t>
            </w:r>
            <w:r w:rsidR="008A2932" w:rsidRPr="00060053">
              <w:rPr>
                <w:rFonts w:asciiTheme="majorHAnsi" w:hAnsiTheme="majorHAnsi"/>
                <w:bCs/>
                <w:sz w:val="20"/>
              </w:rPr>
              <w:t>de</w:t>
            </w:r>
            <w:r w:rsidR="00F53525" w:rsidRPr="00060053">
              <w:rPr>
                <w:rFonts w:asciiTheme="majorHAnsi" w:hAnsiTheme="majorHAnsi"/>
                <w:bCs/>
                <w:sz w:val="20"/>
              </w:rPr>
              <w:t xml:space="preserve"> los últimos 3 años.</w:t>
            </w:r>
          </w:p>
        </w:tc>
      </w:tr>
      <w:tr w:rsidR="00F53525" w:rsidRPr="00060053" w14:paraId="06A94BD0" w14:textId="77777777">
        <w:tc>
          <w:tcPr>
            <w:tcW w:w="1171" w:type="dxa"/>
            <w:vAlign w:val="center"/>
          </w:tcPr>
          <w:p w14:paraId="06A94BCD" w14:textId="77777777" w:rsidR="00F53525" w:rsidRPr="00060053" w:rsidRDefault="00F53525" w:rsidP="00B05EAB">
            <w:pPr>
              <w:spacing w:line="264" w:lineRule="auto"/>
              <w:jc w:val="center"/>
              <w:rPr>
                <w:rFonts w:asciiTheme="majorHAnsi" w:hAnsiTheme="majorHAnsi"/>
                <w:bCs/>
                <w:sz w:val="20"/>
              </w:rPr>
            </w:pPr>
            <w:r w:rsidRPr="00060053">
              <w:rPr>
                <w:rFonts w:asciiTheme="majorHAnsi" w:hAnsiTheme="majorHAnsi"/>
                <w:bCs/>
                <w:sz w:val="20"/>
              </w:rPr>
              <w:t>7</w:t>
            </w:r>
          </w:p>
        </w:tc>
        <w:tc>
          <w:tcPr>
            <w:tcW w:w="3670" w:type="dxa"/>
            <w:vAlign w:val="center"/>
          </w:tcPr>
          <w:p w14:paraId="06A94BCE" w14:textId="77777777" w:rsidR="00F53525" w:rsidRPr="00060053" w:rsidRDefault="00F53525" w:rsidP="00B05EAB">
            <w:pPr>
              <w:spacing w:line="264" w:lineRule="auto"/>
              <w:rPr>
                <w:rFonts w:asciiTheme="majorHAnsi" w:hAnsiTheme="majorHAnsi"/>
                <w:bCs/>
                <w:sz w:val="20"/>
              </w:rPr>
            </w:pPr>
            <w:r w:rsidRPr="00060053">
              <w:rPr>
                <w:rFonts w:asciiTheme="majorHAnsi" w:hAnsiTheme="majorHAnsi"/>
                <w:bCs/>
                <w:sz w:val="20"/>
              </w:rPr>
              <w:t xml:space="preserve">Comparativo de la evolución del gasto del año presupuestado </w:t>
            </w:r>
          </w:p>
        </w:tc>
        <w:tc>
          <w:tcPr>
            <w:tcW w:w="4515" w:type="dxa"/>
            <w:vAlign w:val="center"/>
          </w:tcPr>
          <w:p w14:paraId="06A94BCF" w14:textId="77777777" w:rsidR="00F53525" w:rsidRPr="00060053" w:rsidRDefault="00F53525" w:rsidP="00981E42">
            <w:pPr>
              <w:spacing w:line="264" w:lineRule="auto"/>
              <w:jc w:val="both"/>
              <w:rPr>
                <w:rFonts w:asciiTheme="majorHAnsi" w:hAnsiTheme="majorHAnsi"/>
                <w:bCs/>
                <w:sz w:val="20"/>
              </w:rPr>
            </w:pPr>
            <w:r w:rsidRPr="00060053">
              <w:rPr>
                <w:rFonts w:asciiTheme="majorHAnsi" w:hAnsiTheme="majorHAnsi"/>
                <w:bCs/>
                <w:sz w:val="20"/>
              </w:rPr>
              <w:t>Comportamiento estimado de los egresos a nivel de las principales cuentas con respecto al gasto del presente año</w:t>
            </w:r>
          </w:p>
        </w:tc>
      </w:tr>
      <w:tr w:rsidR="00F53525" w:rsidRPr="00060053" w14:paraId="06A94BD4" w14:textId="77777777">
        <w:tc>
          <w:tcPr>
            <w:tcW w:w="1171" w:type="dxa"/>
            <w:tcBorders>
              <w:bottom w:val="single" w:sz="4" w:space="0" w:color="auto"/>
            </w:tcBorders>
            <w:vAlign w:val="center"/>
          </w:tcPr>
          <w:p w14:paraId="06A94BD1" w14:textId="77777777" w:rsidR="00F53525" w:rsidRPr="00060053" w:rsidRDefault="00F53525" w:rsidP="00B05EAB">
            <w:pPr>
              <w:spacing w:line="264" w:lineRule="auto"/>
              <w:jc w:val="center"/>
              <w:rPr>
                <w:rFonts w:asciiTheme="majorHAnsi" w:hAnsiTheme="majorHAnsi"/>
                <w:bCs/>
                <w:sz w:val="20"/>
              </w:rPr>
            </w:pPr>
            <w:r w:rsidRPr="00060053">
              <w:rPr>
                <w:rFonts w:asciiTheme="majorHAnsi" w:hAnsiTheme="majorHAnsi"/>
                <w:bCs/>
                <w:sz w:val="20"/>
              </w:rPr>
              <w:t>8</w:t>
            </w:r>
          </w:p>
        </w:tc>
        <w:tc>
          <w:tcPr>
            <w:tcW w:w="3670" w:type="dxa"/>
            <w:tcBorders>
              <w:bottom w:val="single" w:sz="4" w:space="0" w:color="auto"/>
            </w:tcBorders>
            <w:vAlign w:val="center"/>
          </w:tcPr>
          <w:p w14:paraId="06A94BD2" w14:textId="50435C19" w:rsidR="00F53525" w:rsidRPr="00060053" w:rsidRDefault="00F53525" w:rsidP="00B05EAB">
            <w:pPr>
              <w:spacing w:line="264" w:lineRule="auto"/>
              <w:rPr>
                <w:rFonts w:asciiTheme="majorHAnsi" w:hAnsiTheme="majorHAnsi"/>
                <w:bCs/>
                <w:sz w:val="20"/>
              </w:rPr>
            </w:pPr>
            <w:r w:rsidRPr="00060053">
              <w:rPr>
                <w:rFonts w:asciiTheme="majorHAnsi" w:hAnsiTheme="majorHAnsi"/>
                <w:bCs/>
                <w:sz w:val="20"/>
              </w:rPr>
              <w:t xml:space="preserve">Presupuesto </w:t>
            </w:r>
            <w:r w:rsidR="00913322" w:rsidRPr="00060053">
              <w:rPr>
                <w:rFonts w:asciiTheme="majorHAnsi" w:hAnsiTheme="majorHAnsi"/>
                <w:bCs/>
                <w:sz w:val="20"/>
              </w:rPr>
              <w:t>resumen y gráfico de composición</w:t>
            </w:r>
          </w:p>
        </w:tc>
        <w:tc>
          <w:tcPr>
            <w:tcW w:w="4515" w:type="dxa"/>
            <w:tcBorders>
              <w:bottom w:val="single" w:sz="4" w:space="0" w:color="auto"/>
            </w:tcBorders>
            <w:vAlign w:val="center"/>
          </w:tcPr>
          <w:p w14:paraId="06A94BD3" w14:textId="77777777" w:rsidR="00F53525" w:rsidRPr="00060053" w:rsidRDefault="00001B41" w:rsidP="00981E42">
            <w:pPr>
              <w:spacing w:line="264" w:lineRule="auto"/>
              <w:jc w:val="both"/>
              <w:rPr>
                <w:rFonts w:asciiTheme="majorHAnsi" w:hAnsiTheme="majorHAnsi"/>
                <w:bCs/>
                <w:sz w:val="20"/>
              </w:rPr>
            </w:pPr>
            <w:r w:rsidRPr="00060053">
              <w:rPr>
                <w:rFonts w:asciiTheme="majorHAnsi" w:hAnsiTheme="majorHAnsi"/>
                <w:bCs/>
                <w:sz w:val="20"/>
              </w:rPr>
              <w:t xml:space="preserve">Cuadro resumen </w:t>
            </w:r>
            <w:r w:rsidR="00F53525" w:rsidRPr="00060053">
              <w:rPr>
                <w:rFonts w:asciiTheme="majorHAnsi" w:hAnsiTheme="majorHAnsi"/>
                <w:bCs/>
                <w:sz w:val="20"/>
              </w:rPr>
              <w:t xml:space="preserve">de las cuentas principales </w:t>
            </w:r>
            <w:r w:rsidRPr="00060053">
              <w:rPr>
                <w:rFonts w:asciiTheme="majorHAnsi" w:hAnsiTheme="majorHAnsi"/>
                <w:bCs/>
                <w:sz w:val="20"/>
              </w:rPr>
              <w:t>y</w:t>
            </w:r>
            <w:r w:rsidR="00104D43" w:rsidRPr="00060053">
              <w:rPr>
                <w:rFonts w:asciiTheme="majorHAnsi" w:hAnsiTheme="majorHAnsi"/>
                <w:bCs/>
                <w:sz w:val="20"/>
              </w:rPr>
              <w:t xml:space="preserve"> gráficos de </w:t>
            </w:r>
            <w:r w:rsidRPr="00060053">
              <w:rPr>
                <w:rFonts w:asciiTheme="majorHAnsi" w:hAnsiTheme="majorHAnsi"/>
                <w:bCs/>
                <w:sz w:val="20"/>
              </w:rPr>
              <w:t>composición</w:t>
            </w:r>
            <w:r w:rsidR="00104D43" w:rsidRPr="00060053">
              <w:rPr>
                <w:rFonts w:asciiTheme="majorHAnsi" w:hAnsiTheme="majorHAnsi"/>
                <w:bCs/>
                <w:sz w:val="20"/>
              </w:rPr>
              <w:t xml:space="preserve"> del gasto</w:t>
            </w:r>
            <w:r w:rsidRPr="00060053">
              <w:rPr>
                <w:rFonts w:asciiTheme="majorHAnsi" w:hAnsiTheme="majorHAnsi"/>
                <w:bCs/>
                <w:sz w:val="20"/>
              </w:rPr>
              <w:t>.</w:t>
            </w:r>
          </w:p>
        </w:tc>
      </w:tr>
      <w:tr w:rsidR="00001B41" w:rsidRPr="00060053" w14:paraId="06A94BD8" w14:textId="77777777">
        <w:tc>
          <w:tcPr>
            <w:tcW w:w="1171" w:type="dxa"/>
            <w:tcBorders>
              <w:bottom w:val="single" w:sz="4" w:space="0" w:color="auto"/>
            </w:tcBorders>
            <w:vAlign w:val="center"/>
          </w:tcPr>
          <w:p w14:paraId="06A94BD5" w14:textId="77777777" w:rsidR="00001B41" w:rsidRPr="00060053" w:rsidRDefault="00001B41" w:rsidP="00B143A6">
            <w:pPr>
              <w:spacing w:line="264" w:lineRule="auto"/>
              <w:jc w:val="center"/>
              <w:rPr>
                <w:rFonts w:asciiTheme="majorHAnsi" w:hAnsiTheme="majorHAnsi"/>
                <w:bCs/>
                <w:sz w:val="20"/>
              </w:rPr>
            </w:pPr>
            <w:r w:rsidRPr="00060053">
              <w:rPr>
                <w:rFonts w:asciiTheme="majorHAnsi" w:hAnsiTheme="majorHAnsi"/>
                <w:bCs/>
                <w:sz w:val="20"/>
              </w:rPr>
              <w:t>9</w:t>
            </w:r>
          </w:p>
        </w:tc>
        <w:tc>
          <w:tcPr>
            <w:tcW w:w="3670" w:type="dxa"/>
            <w:tcBorders>
              <w:bottom w:val="single" w:sz="4" w:space="0" w:color="auto"/>
            </w:tcBorders>
            <w:vAlign w:val="center"/>
          </w:tcPr>
          <w:p w14:paraId="06A94BD6" w14:textId="77777777" w:rsidR="00001B41" w:rsidRPr="00060053" w:rsidRDefault="00913322" w:rsidP="00B143A6">
            <w:pPr>
              <w:spacing w:line="264" w:lineRule="auto"/>
              <w:rPr>
                <w:rFonts w:asciiTheme="majorHAnsi" w:hAnsiTheme="majorHAnsi"/>
                <w:bCs/>
                <w:sz w:val="20"/>
              </w:rPr>
            </w:pPr>
            <w:r w:rsidRPr="00060053">
              <w:rPr>
                <w:rFonts w:asciiTheme="majorHAnsi" w:hAnsiTheme="majorHAnsi"/>
                <w:bCs/>
                <w:sz w:val="20"/>
              </w:rPr>
              <w:t>Gráfico de evolución anual de recursos</w:t>
            </w:r>
          </w:p>
        </w:tc>
        <w:tc>
          <w:tcPr>
            <w:tcW w:w="4515" w:type="dxa"/>
            <w:tcBorders>
              <w:bottom w:val="single" w:sz="4" w:space="0" w:color="auto"/>
            </w:tcBorders>
            <w:vAlign w:val="center"/>
          </w:tcPr>
          <w:p w14:paraId="06A94BD7" w14:textId="09E43B5D" w:rsidR="00001B41" w:rsidRPr="00060053" w:rsidRDefault="00001B41" w:rsidP="00981E42">
            <w:pPr>
              <w:spacing w:line="264" w:lineRule="auto"/>
              <w:jc w:val="both"/>
              <w:rPr>
                <w:rFonts w:asciiTheme="majorHAnsi" w:hAnsiTheme="majorHAnsi"/>
                <w:bCs/>
                <w:sz w:val="20"/>
              </w:rPr>
            </w:pPr>
            <w:r w:rsidRPr="00060053">
              <w:rPr>
                <w:rFonts w:asciiTheme="majorHAnsi" w:hAnsiTheme="majorHAnsi"/>
                <w:bCs/>
                <w:sz w:val="20"/>
              </w:rPr>
              <w:t xml:space="preserve">Detalle del presupuesto y ejecución últimos </w:t>
            </w:r>
            <w:r w:rsidR="00570B26">
              <w:rPr>
                <w:rFonts w:asciiTheme="majorHAnsi" w:hAnsiTheme="majorHAnsi"/>
                <w:bCs/>
                <w:sz w:val="20"/>
              </w:rPr>
              <w:t>cuatro</w:t>
            </w:r>
            <w:r w:rsidRPr="00060053">
              <w:rPr>
                <w:rFonts w:asciiTheme="majorHAnsi" w:hAnsiTheme="majorHAnsi"/>
                <w:bCs/>
                <w:sz w:val="20"/>
              </w:rPr>
              <w:t xml:space="preserve"> años.</w:t>
            </w:r>
          </w:p>
        </w:tc>
      </w:tr>
      <w:tr w:rsidR="00001B41" w:rsidRPr="00060053" w14:paraId="06A94BDC" w14:textId="77777777">
        <w:tc>
          <w:tcPr>
            <w:tcW w:w="1171" w:type="dxa"/>
            <w:tcBorders>
              <w:bottom w:val="single" w:sz="4" w:space="0" w:color="auto"/>
            </w:tcBorders>
            <w:vAlign w:val="center"/>
          </w:tcPr>
          <w:p w14:paraId="06A94BD9" w14:textId="77777777" w:rsidR="00001B41" w:rsidRPr="00060053" w:rsidRDefault="00001B41" w:rsidP="00B05EAB">
            <w:pPr>
              <w:spacing w:line="264" w:lineRule="auto"/>
              <w:jc w:val="center"/>
              <w:rPr>
                <w:rFonts w:asciiTheme="majorHAnsi" w:hAnsiTheme="majorHAnsi"/>
                <w:bCs/>
                <w:sz w:val="20"/>
              </w:rPr>
            </w:pPr>
            <w:r w:rsidRPr="00060053">
              <w:rPr>
                <w:rFonts w:asciiTheme="majorHAnsi" w:hAnsiTheme="majorHAnsi"/>
                <w:bCs/>
                <w:sz w:val="20"/>
              </w:rPr>
              <w:t>10</w:t>
            </w:r>
          </w:p>
        </w:tc>
        <w:tc>
          <w:tcPr>
            <w:tcW w:w="3670" w:type="dxa"/>
            <w:tcBorders>
              <w:bottom w:val="single" w:sz="4" w:space="0" w:color="auto"/>
            </w:tcBorders>
            <w:vAlign w:val="center"/>
          </w:tcPr>
          <w:p w14:paraId="06A94BDA" w14:textId="77777777" w:rsidR="00001B41" w:rsidRPr="00060053" w:rsidRDefault="00001B41" w:rsidP="00B05EAB">
            <w:pPr>
              <w:spacing w:line="264" w:lineRule="auto"/>
              <w:rPr>
                <w:rFonts w:asciiTheme="majorHAnsi" w:hAnsiTheme="majorHAnsi"/>
                <w:bCs/>
                <w:sz w:val="20"/>
              </w:rPr>
            </w:pPr>
            <w:r w:rsidRPr="00060053">
              <w:rPr>
                <w:rFonts w:asciiTheme="majorHAnsi" w:hAnsiTheme="majorHAnsi"/>
                <w:bCs/>
                <w:sz w:val="20"/>
              </w:rPr>
              <w:t>Programa de Inversión y Justificación de Partidas.</w:t>
            </w:r>
          </w:p>
        </w:tc>
        <w:tc>
          <w:tcPr>
            <w:tcW w:w="4515" w:type="dxa"/>
            <w:tcBorders>
              <w:bottom w:val="single" w:sz="4" w:space="0" w:color="auto"/>
            </w:tcBorders>
            <w:vAlign w:val="center"/>
          </w:tcPr>
          <w:p w14:paraId="06A94BDB" w14:textId="77777777" w:rsidR="00001B41" w:rsidRPr="00060053" w:rsidRDefault="00001B41" w:rsidP="00981E42">
            <w:pPr>
              <w:spacing w:line="264" w:lineRule="auto"/>
              <w:jc w:val="both"/>
              <w:rPr>
                <w:rFonts w:asciiTheme="majorHAnsi" w:hAnsiTheme="majorHAnsi"/>
                <w:bCs/>
                <w:sz w:val="20"/>
              </w:rPr>
            </w:pPr>
            <w:r w:rsidRPr="00060053">
              <w:rPr>
                <w:rFonts w:asciiTheme="majorHAnsi" w:hAnsiTheme="majorHAnsi"/>
                <w:bCs/>
                <w:sz w:val="20"/>
              </w:rPr>
              <w:t>Resumen de las inversión y los resultados esperados.</w:t>
            </w:r>
          </w:p>
        </w:tc>
      </w:tr>
      <w:tr w:rsidR="00001B41" w:rsidRPr="00060053" w14:paraId="06A94BE0" w14:textId="77777777">
        <w:tc>
          <w:tcPr>
            <w:tcW w:w="1171" w:type="dxa"/>
            <w:tcBorders>
              <w:bottom w:val="single" w:sz="4" w:space="0" w:color="auto"/>
            </w:tcBorders>
            <w:vAlign w:val="center"/>
          </w:tcPr>
          <w:p w14:paraId="06A94BDD" w14:textId="77777777" w:rsidR="00001B41" w:rsidRPr="00060053" w:rsidRDefault="00001B41" w:rsidP="00B05EAB">
            <w:pPr>
              <w:spacing w:line="264" w:lineRule="auto"/>
              <w:jc w:val="center"/>
              <w:rPr>
                <w:rFonts w:asciiTheme="majorHAnsi" w:hAnsiTheme="majorHAnsi"/>
                <w:bCs/>
                <w:sz w:val="20"/>
              </w:rPr>
            </w:pPr>
            <w:r w:rsidRPr="00060053">
              <w:rPr>
                <w:rFonts w:asciiTheme="majorHAnsi" w:hAnsiTheme="majorHAnsi"/>
                <w:bCs/>
                <w:sz w:val="20"/>
              </w:rPr>
              <w:t>1</w:t>
            </w:r>
            <w:r w:rsidR="009876D2" w:rsidRPr="00060053">
              <w:rPr>
                <w:rFonts w:asciiTheme="majorHAnsi" w:hAnsiTheme="majorHAnsi"/>
                <w:bCs/>
                <w:sz w:val="20"/>
              </w:rPr>
              <w:t>1</w:t>
            </w:r>
          </w:p>
        </w:tc>
        <w:tc>
          <w:tcPr>
            <w:tcW w:w="3670" w:type="dxa"/>
            <w:tcBorders>
              <w:bottom w:val="single" w:sz="4" w:space="0" w:color="auto"/>
            </w:tcBorders>
            <w:vAlign w:val="center"/>
          </w:tcPr>
          <w:p w14:paraId="06A94BDE" w14:textId="77777777" w:rsidR="00001B41" w:rsidRPr="00060053" w:rsidRDefault="00001B41" w:rsidP="00B05EAB">
            <w:pPr>
              <w:spacing w:line="264" w:lineRule="auto"/>
              <w:rPr>
                <w:rFonts w:asciiTheme="majorHAnsi" w:hAnsiTheme="majorHAnsi"/>
                <w:bCs/>
                <w:sz w:val="20"/>
              </w:rPr>
            </w:pPr>
            <w:r w:rsidRPr="00060053">
              <w:rPr>
                <w:rFonts w:asciiTheme="majorHAnsi" w:hAnsiTheme="majorHAnsi"/>
                <w:bCs/>
                <w:sz w:val="20"/>
              </w:rPr>
              <w:t>Detalle de Viajes y Capacitación</w:t>
            </w:r>
          </w:p>
        </w:tc>
        <w:tc>
          <w:tcPr>
            <w:tcW w:w="4515" w:type="dxa"/>
            <w:tcBorders>
              <w:bottom w:val="single" w:sz="4" w:space="0" w:color="auto"/>
            </w:tcBorders>
            <w:vAlign w:val="center"/>
          </w:tcPr>
          <w:p w14:paraId="06A94BDF" w14:textId="1CBD2B3A" w:rsidR="00001B41" w:rsidRPr="00060053" w:rsidRDefault="00981E42" w:rsidP="00981E42">
            <w:pPr>
              <w:spacing w:line="264" w:lineRule="auto"/>
              <w:jc w:val="both"/>
              <w:rPr>
                <w:rFonts w:asciiTheme="majorHAnsi" w:hAnsiTheme="majorHAnsi"/>
                <w:bCs/>
                <w:sz w:val="20"/>
              </w:rPr>
            </w:pPr>
            <w:r>
              <w:rPr>
                <w:rFonts w:asciiTheme="majorHAnsi" w:hAnsiTheme="majorHAnsi"/>
                <w:bCs/>
                <w:sz w:val="20"/>
              </w:rPr>
              <w:t>Detalle de los v</w:t>
            </w:r>
            <w:r w:rsidR="00001B41" w:rsidRPr="00060053">
              <w:rPr>
                <w:rFonts w:asciiTheme="majorHAnsi" w:hAnsiTheme="majorHAnsi"/>
                <w:bCs/>
                <w:sz w:val="20"/>
              </w:rPr>
              <w:t>iajes oficiales y de capacitación.</w:t>
            </w:r>
          </w:p>
        </w:tc>
      </w:tr>
    </w:tbl>
    <w:p w14:paraId="06A94BE5" w14:textId="77777777" w:rsidR="00F53525" w:rsidRPr="00060053" w:rsidRDefault="00F53525" w:rsidP="00F53525">
      <w:pPr>
        <w:jc w:val="both"/>
        <w:rPr>
          <w:rFonts w:asciiTheme="majorHAnsi" w:hAnsiTheme="majorHAnsi"/>
        </w:rPr>
      </w:pPr>
    </w:p>
    <w:p w14:paraId="06A94BE6" w14:textId="77777777" w:rsidR="00CC7101" w:rsidRPr="00060053" w:rsidRDefault="00CC7101" w:rsidP="00313203">
      <w:pPr>
        <w:pStyle w:val="NormalWeb"/>
        <w:jc w:val="both"/>
        <w:rPr>
          <w:rFonts w:asciiTheme="majorHAnsi" w:hAnsiTheme="majorHAnsi"/>
        </w:rPr>
        <w:sectPr w:rsidR="00CC7101" w:rsidRPr="00060053" w:rsidSect="00710882">
          <w:footerReference w:type="even" r:id="rId33"/>
          <w:footerReference w:type="default" r:id="rId34"/>
          <w:pgSz w:w="12242" w:h="15842" w:code="1"/>
          <w:pgMar w:top="1418" w:right="1701" w:bottom="1418" w:left="1418" w:header="709" w:footer="709" w:gutter="0"/>
          <w:cols w:space="708"/>
          <w:docGrid w:linePitch="360"/>
        </w:sectPr>
      </w:pPr>
    </w:p>
    <w:p w14:paraId="06A94BE7" w14:textId="77777777" w:rsidR="00313203" w:rsidRPr="00060053" w:rsidRDefault="00313203" w:rsidP="00D460C2">
      <w:pPr>
        <w:pStyle w:val="NormalWeb"/>
        <w:jc w:val="both"/>
        <w:outlineLvl w:val="1"/>
        <w:rPr>
          <w:rFonts w:asciiTheme="majorHAnsi" w:hAnsiTheme="majorHAnsi" w:cs="Tahoma"/>
          <w:b/>
          <w:bCs/>
          <w:sz w:val="22"/>
          <w:szCs w:val="22"/>
        </w:rPr>
      </w:pPr>
      <w:bookmarkStart w:id="47" w:name="_Toc442253217"/>
      <w:r w:rsidRPr="00060053">
        <w:rPr>
          <w:rFonts w:asciiTheme="majorHAnsi" w:hAnsiTheme="majorHAnsi" w:cs="Tahoma"/>
          <w:b/>
          <w:bCs/>
          <w:sz w:val="22"/>
          <w:szCs w:val="22"/>
          <w:lang w:val="es-ES_tradnl"/>
        </w:rPr>
        <w:lastRenderedPageBreak/>
        <w:t>2.</w:t>
      </w:r>
      <w:r w:rsidR="00D901A3" w:rsidRPr="00060053">
        <w:rPr>
          <w:rFonts w:asciiTheme="majorHAnsi" w:hAnsiTheme="majorHAnsi" w:cs="Tahoma"/>
          <w:b/>
          <w:bCs/>
          <w:sz w:val="22"/>
          <w:szCs w:val="22"/>
          <w:lang w:val="es-ES_tradnl"/>
        </w:rPr>
        <w:t>5</w:t>
      </w:r>
      <w:r w:rsidR="00D460C2">
        <w:rPr>
          <w:rFonts w:asciiTheme="majorHAnsi" w:hAnsiTheme="majorHAnsi" w:cs="Tahoma"/>
          <w:b/>
          <w:bCs/>
          <w:sz w:val="22"/>
          <w:szCs w:val="22"/>
          <w:lang w:val="es-ES_tradnl"/>
        </w:rPr>
        <w:tab/>
      </w:r>
      <w:r w:rsidRPr="00060053">
        <w:rPr>
          <w:rFonts w:asciiTheme="majorHAnsi" w:hAnsiTheme="majorHAnsi" w:cs="Tahoma"/>
          <w:b/>
          <w:bCs/>
          <w:sz w:val="22"/>
          <w:szCs w:val="22"/>
          <w:lang w:val="es-ES_tradnl"/>
        </w:rPr>
        <w:t>Plan de Inversiones y Justificación de Partidas</w:t>
      </w:r>
      <w:r w:rsidRPr="00060053">
        <w:rPr>
          <w:rFonts w:asciiTheme="majorHAnsi" w:hAnsiTheme="majorHAnsi" w:cs="Tahoma"/>
          <w:b/>
          <w:bCs/>
          <w:sz w:val="22"/>
          <w:szCs w:val="22"/>
        </w:rPr>
        <w:t>.</w:t>
      </w:r>
      <w:bookmarkEnd w:id="47"/>
    </w:p>
    <w:p w14:paraId="06A94BE8" w14:textId="60437F00" w:rsidR="00186954" w:rsidRPr="00981E42" w:rsidRDefault="00186954" w:rsidP="00F85993">
      <w:pPr>
        <w:pStyle w:val="NormalWeb"/>
        <w:spacing w:before="0" w:beforeAutospacing="0" w:after="0" w:afterAutospacing="0"/>
        <w:jc w:val="both"/>
        <w:rPr>
          <w:rFonts w:asciiTheme="majorHAnsi" w:hAnsiTheme="majorHAnsi" w:cs="Tahoma"/>
          <w:bCs/>
          <w:color w:val="1F497D" w:themeColor="text2"/>
          <w:sz w:val="22"/>
          <w:szCs w:val="22"/>
        </w:rPr>
      </w:pPr>
      <w:r w:rsidRPr="00060053">
        <w:rPr>
          <w:rFonts w:asciiTheme="majorHAnsi" w:hAnsiTheme="majorHAnsi" w:cs="Tahoma"/>
          <w:bCs/>
          <w:sz w:val="22"/>
          <w:szCs w:val="22"/>
        </w:rPr>
        <w:t>En el siguiente cuadro se presenta u</w:t>
      </w:r>
      <w:r w:rsidR="00C54EC2" w:rsidRPr="00060053">
        <w:rPr>
          <w:rFonts w:asciiTheme="majorHAnsi" w:hAnsiTheme="majorHAnsi" w:cs="Tahoma"/>
          <w:bCs/>
          <w:sz w:val="22"/>
          <w:szCs w:val="22"/>
        </w:rPr>
        <w:t>n detalle de la</w:t>
      </w:r>
      <w:r w:rsidRPr="00060053">
        <w:rPr>
          <w:rFonts w:asciiTheme="majorHAnsi" w:hAnsiTheme="majorHAnsi" w:cs="Tahoma"/>
          <w:bCs/>
          <w:sz w:val="22"/>
          <w:szCs w:val="22"/>
        </w:rPr>
        <w:t xml:space="preserve">s inversiones programadas para el año </w:t>
      </w:r>
      <w:r w:rsidR="005420BB" w:rsidRPr="00060053">
        <w:rPr>
          <w:rFonts w:asciiTheme="majorHAnsi" w:hAnsiTheme="majorHAnsi" w:cs="Tahoma"/>
          <w:bCs/>
          <w:sz w:val="22"/>
          <w:szCs w:val="22"/>
        </w:rPr>
        <w:t>20</w:t>
      </w:r>
      <w:r w:rsidR="00576A57" w:rsidRPr="00060053">
        <w:rPr>
          <w:rFonts w:asciiTheme="majorHAnsi" w:hAnsiTheme="majorHAnsi" w:cs="Tahoma"/>
          <w:bCs/>
          <w:sz w:val="22"/>
          <w:szCs w:val="22"/>
        </w:rPr>
        <w:t>1</w:t>
      </w:r>
      <w:r w:rsidR="004D404F">
        <w:rPr>
          <w:rFonts w:asciiTheme="majorHAnsi" w:hAnsiTheme="majorHAnsi" w:cs="Tahoma"/>
          <w:bCs/>
          <w:sz w:val="22"/>
          <w:szCs w:val="22"/>
        </w:rPr>
        <w:t>6</w:t>
      </w:r>
      <w:r w:rsidR="00981E42">
        <w:rPr>
          <w:rFonts w:asciiTheme="majorHAnsi" w:hAnsiTheme="majorHAnsi" w:cs="Tahoma"/>
          <w:bCs/>
          <w:sz w:val="22"/>
          <w:szCs w:val="22"/>
        </w:rPr>
        <w:t xml:space="preserve">   </w:t>
      </w:r>
      <w:r w:rsidR="00981E42" w:rsidRPr="00981E42">
        <w:rPr>
          <w:rFonts w:asciiTheme="majorHAnsi" w:hAnsiTheme="majorHAnsi" w:cs="Tahoma"/>
          <w:bCs/>
          <w:color w:val="1F497D" w:themeColor="text2"/>
          <w:sz w:val="22"/>
          <w:szCs w:val="22"/>
        </w:rPr>
        <w:t>(Quitar el logo</w:t>
      </w:r>
      <w:r w:rsidR="00814709">
        <w:rPr>
          <w:rFonts w:asciiTheme="majorHAnsi" w:hAnsiTheme="majorHAnsi" w:cs="Tahoma"/>
          <w:bCs/>
          <w:color w:val="1F497D" w:themeColor="text2"/>
          <w:sz w:val="22"/>
          <w:szCs w:val="22"/>
        </w:rPr>
        <w:t xml:space="preserve"> en el cuadro</w:t>
      </w:r>
      <w:r w:rsidR="00981E42" w:rsidRPr="00981E42">
        <w:rPr>
          <w:rFonts w:asciiTheme="majorHAnsi" w:hAnsiTheme="majorHAnsi" w:cs="Tahoma"/>
          <w:bCs/>
          <w:color w:val="1F497D" w:themeColor="text2"/>
          <w:sz w:val="22"/>
          <w:szCs w:val="22"/>
        </w:rPr>
        <w:t>)</w:t>
      </w:r>
    </w:p>
    <w:p w14:paraId="06A94C6C" w14:textId="6EDCF91D" w:rsidR="00CC7101" w:rsidRDefault="004D404F" w:rsidP="004D404F">
      <w:pPr>
        <w:pStyle w:val="NormalWeb"/>
        <w:spacing w:before="0" w:beforeAutospacing="0" w:after="0" w:afterAutospacing="0"/>
        <w:jc w:val="center"/>
        <w:rPr>
          <w:rFonts w:asciiTheme="majorHAnsi" w:hAnsiTheme="majorHAnsi"/>
        </w:rPr>
      </w:pPr>
      <w:r w:rsidRPr="004D404F">
        <w:rPr>
          <w:noProof/>
        </w:rPr>
        <w:drawing>
          <wp:inline distT="0" distB="0" distL="0" distR="0" wp14:anchorId="6837DD6C" wp14:editId="370463B7">
            <wp:extent cx="7285940" cy="4780360"/>
            <wp:effectExtent l="0" t="0" r="0" b="1270"/>
            <wp:docPr id="80460" name="Imagen 80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329444" cy="4808904"/>
                    </a:xfrm>
                    <a:prstGeom prst="rect">
                      <a:avLst/>
                    </a:prstGeom>
                    <a:noFill/>
                    <a:ln>
                      <a:noFill/>
                    </a:ln>
                  </pic:spPr>
                </pic:pic>
              </a:graphicData>
            </a:graphic>
          </wp:inline>
        </w:drawing>
      </w:r>
    </w:p>
    <w:p w14:paraId="02C5871C" w14:textId="77777777" w:rsidR="005215FE" w:rsidRPr="00060053" w:rsidRDefault="005215FE" w:rsidP="004D404F">
      <w:pPr>
        <w:pStyle w:val="NormalWeb"/>
        <w:spacing w:before="0" w:beforeAutospacing="0" w:after="0" w:afterAutospacing="0"/>
        <w:jc w:val="center"/>
        <w:rPr>
          <w:rFonts w:asciiTheme="majorHAnsi" w:hAnsiTheme="majorHAnsi"/>
        </w:rPr>
        <w:sectPr w:rsidR="005215FE" w:rsidRPr="00060053" w:rsidSect="00CC7101">
          <w:pgSz w:w="15842" w:h="12242" w:orient="landscape" w:code="1"/>
          <w:pgMar w:top="1701" w:right="1418" w:bottom="1701" w:left="1418" w:header="709" w:footer="709" w:gutter="0"/>
          <w:cols w:space="708"/>
          <w:docGrid w:linePitch="360"/>
        </w:sectPr>
      </w:pPr>
    </w:p>
    <w:p w14:paraId="06A94C6D" w14:textId="77777777" w:rsidR="00313203" w:rsidRPr="00060053" w:rsidRDefault="00313203" w:rsidP="009E2A71">
      <w:pPr>
        <w:pStyle w:val="NormalWeb"/>
        <w:jc w:val="both"/>
        <w:outlineLvl w:val="1"/>
        <w:rPr>
          <w:rFonts w:asciiTheme="majorHAnsi" w:hAnsiTheme="majorHAnsi" w:cs="Tahoma"/>
          <w:b/>
          <w:bCs/>
          <w:sz w:val="22"/>
          <w:szCs w:val="22"/>
        </w:rPr>
      </w:pPr>
      <w:bookmarkStart w:id="48" w:name="_Toc442253218"/>
      <w:r w:rsidRPr="00060053">
        <w:rPr>
          <w:rFonts w:asciiTheme="majorHAnsi" w:hAnsiTheme="majorHAnsi" w:cs="Tahoma"/>
          <w:b/>
          <w:bCs/>
          <w:sz w:val="22"/>
          <w:szCs w:val="22"/>
          <w:lang w:val="es-ES_tradnl"/>
        </w:rPr>
        <w:lastRenderedPageBreak/>
        <w:t>2.</w:t>
      </w:r>
      <w:r w:rsidR="00D901A3" w:rsidRPr="00060053">
        <w:rPr>
          <w:rFonts w:asciiTheme="majorHAnsi" w:hAnsiTheme="majorHAnsi" w:cs="Tahoma"/>
          <w:b/>
          <w:bCs/>
          <w:sz w:val="22"/>
          <w:szCs w:val="22"/>
          <w:lang w:val="es-ES_tradnl"/>
        </w:rPr>
        <w:t>6</w:t>
      </w:r>
      <w:r w:rsidR="00D460C2">
        <w:rPr>
          <w:rFonts w:asciiTheme="majorHAnsi" w:hAnsiTheme="majorHAnsi" w:cs="Tahoma"/>
          <w:b/>
          <w:bCs/>
          <w:sz w:val="22"/>
          <w:szCs w:val="22"/>
          <w:lang w:val="es-ES_tradnl"/>
        </w:rPr>
        <w:tab/>
      </w:r>
      <w:r w:rsidRPr="00060053">
        <w:rPr>
          <w:rFonts w:asciiTheme="majorHAnsi" w:hAnsiTheme="majorHAnsi" w:cs="Tahoma"/>
          <w:b/>
          <w:bCs/>
          <w:sz w:val="22"/>
          <w:szCs w:val="22"/>
          <w:lang w:val="es-ES_tradnl"/>
        </w:rPr>
        <w:t>Plan de Capacitación Institucional</w:t>
      </w:r>
      <w:r w:rsidRPr="00060053">
        <w:rPr>
          <w:rFonts w:asciiTheme="majorHAnsi" w:hAnsiTheme="majorHAnsi" w:cs="Tahoma"/>
          <w:b/>
          <w:bCs/>
          <w:sz w:val="22"/>
          <w:szCs w:val="22"/>
        </w:rPr>
        <w:t>.</w:t>
      </w:r>
      <w:bookmarkEnd w:id="48"/>
    </w:p>
    <w:p w14:paraId="06A94C6E" w14:textId="77777777" w:rsidR="000B7F28" w:rsidRPr="00060053" w:rsidRDefault="00313203" w:rsidP="009E2A71">
      <w:pPr>
        <w:pStyle w:val="NormalWeb"/>
        <w:jc w:val="both"/>
        <w:rPr>
          <w:rFonts w:asciiTheme="majorHAnsi" w:hAnsiTheme="majorHAnsi"/>
          <w:sz w:val="22"/>
          <w:szCs w:val="22"/>
        </w:rPr>
      </w:pPr>
      <w:r w:rsidRPr="00060053">
        <w:rPr>
          <w:rFonts w:asciiTheme="majorHAnsi" w:hAnsiTheme="majorHAnsi"/>
          <w:sz w:val="22"/>
          <w:szCs w:val="22"/>
        </w:rPr>
        <w:t xml:space="preserve">En la sección denominada “documentos” se incluye copia del </w:t>
      </w:r>
      <w:r w:rsidR="000B7F28" w:rsidRPr="00060053">
        <w:rPr>
          <w:rFonts w:asciiTheme="majorHAnsi" w:hAnsiTheme="majorHAnsi"/>
          <w:sz w:val="22"/>
          <w:szCs w:val="22"/>
        </w:rPr>
        <w:t>Plan de Capacitación detallado.</w:t>
      </w:r>
    </w:p>
    <w:p w14:paraId="06A94C6F" w14:textId="11ADFDB7" w:rsidR="00313203" w:rsidRPr="00060053" w:rsidRDefault="00313203" w:rsidP="009E2A71">
      <w:pPr>
        <w:pStyle w:val="NormalWeb"/>
        <w:jc w:val="both"/>
        <w:outlineLvl w:val="1"/>
        <w:rPr>
          <w:rFonts w:asciiTheme="majorHAnsi" w:hAnsiTheme="majorHAnsi" w:cs="Tahoma"/>
          <w:b/>
          <w:bCs/>
          <w:sz w:val="22"/>
          <w:szCs w:val="22"/>
        </w:rPr>
      </w:pPr>
      <w:bookmarkStart w:id="49" w:name="_Toc442253219"/>
      <w:r w:rsidRPr="00060053">
        <w:rPr>
          <w:rFonts w:asciiTheme="majorHAnsi" w:hAnsiTheme="majorHAnsi" w:cs="Tahoma"/>
          <w:b/>
          <w:bCs/>
          <w:sz w:val="22"/>
          <w:szCs w:val="22"/>
          <w:lang w:val="es-ES_tradnl"/>
        </w:rPr>
        <w:t>2.</w:t>
      </w:r>
      <w:r w:rsidR="00D901A3" w:rsidRPr="00060053">
        <w:rPr>
          <w:rFonts w:asciiTheme="majorHAnsi" w:hAnsiTheme="majorHAnsi" w:cs="Tahoma"/>
          <w:b/>
          <w:bCs/>
          <w:sz w:val="22"/>
          <w:szCs w:val="22"/>
          <w:lang w:val="es-ES_tradnl"/>
        </w:rPr>
        <w:t>7</w:t>
      </w:r>
      <w:r w:rsidR="00D460C2">
        <w:rPr>
          <w:rFonts w:asciiTheme="majorHAnsi" w:hAnsiTheme="majorHAnsi" w:cs="Tahoma"/>
          <w:b/>
          <w:bCs/>
          <w:sz w:val="22"/>
          <w:szCs w:val="22"/>
          <w:lang w:val="es-ES_tradnl"/>
        </w:rPr>
        <w:tab/>
      </w:r>
      <w:r w:rsidRPr="00060053">
        <w:rPr>
          <w:rFonts w:asciiTheme="majorHAnsi" w:hAnsiTheme="majorHAnsi" w:cs="Tahoma"/>
          <w:b/>
          <w:bCs/>
          <w:sz w:val="22"/>
          <w:szCs w:val="22"/>
          <w:lang w:val="es-ES_tradnl"/>
        </w:rPr>
        <w:t>Plan Estratégico Informático</w:t>
      </w:r>
      <w:r w:rsidR="00E61325">
        <w:rPr>
          <w:rFonts w:asciiTheme="majorHAnsi" w:hAnsiTheme="majorHAnsi" w:cs="Tahoma"/>
          <w:b/>
          <w:bCs/>
          <w:sz w:val="22"/>
          <w:szCs w:val="22"/>
          <w:lang w:val="es-ES_tradnl"/>
        </w:rPr>
        <w:t xml:space="preserve"> con junto con la BCCR</w:t>
      </w:r>
      <w:r w:rsidRPr="00060053">
        <w:rPr>
          <w:rFonts w:asciiTheme="majorHAnsi" w:hAnsiTheme="majorHAnsi" w:cs="Tahoma"/>
          <w:b/>
          <w:bCs/>
          <w:sz w:val="22"/>
          <w:szCs w:val="22"/>
        </w:rPr>
        <w:t>.</w:t>
      </w:r>
      <w:bookmarkEnd w:id="49"/>
    </w:p>
    <w:p w14:paraId="06A94C70" w14:textId="77777777" w:rsidR="00313203" w:rsidRPr="00060053" w:rsidRDefault="00313203" w:rsidP="009E2A71">
      <w:pPr>
        <w:pStyle w:val="NormalWeb"/>
        <w:jc w:val="both"/>
        <w:rPr>
          <w:rFonts w:asciiTheme="majorHAnsi" w:hAnsiTheme="majorHAnsi"/>
          <w:sz w:val="22"/>
          <w:szCs w:val="22"/>
        </w:rPr>
      </w:pPr>
      <w:r w:rsidRPr="00060053">
        <w:rPr>
          <w:rFonts w:asciiTheme="majorHAnsi" w:hAnsiTheme="majorHAnsi"/>
          <w:sz w:val="22"/>
          <w:szCs w:val="22"/>
        </w:rPr>
        <w:t>En la sección denominada “documentos” se adjunta copia del Plan Estratégico Informático.</w:t>
      </w:r>
    </w:p>
    <w:p w14:paraId="06A94C71" w14:textId="77777777" w:rsidR="00F53525" w:rsidRPr="00060053" w:rsidRDefault="001415B5" w:rsidP="009E2A71">
      <w:pPr>
        <w:pStyle w:val="NormalWeb"/>
        <w:jc w:val="both"/>
        <w:outlineLvl w:val="1"/>
        <w:rPr>
          <w:rFonts w:asciiTheme="majorHAnsi" w:hAnsiTheme="majorHAnsi" w:cs="Tahoma"/>
          <w:b/>
          <w:bCs/>
          <w:sz w:val="22"/>
          <w:szCs w:val="22"/>
          <w:lang w:val="es-ES_tradnl"/>
        </w:rPr>
      </w:pPr>
      <w:bookmarkStart w:id="50" w:name="_Toc442253220"/>
      <w:r w:rsidRPr="001539D9">
        <w:rPr>
          <w:rFonts w:asciiTheme="majorHAnsi" w:hAnsiTheme="majorHAnsi" w:cs="Tahoma"/>
          <w:b/>
          <w:bCs/>
          <w:sz w:val="22"/>
          <w:szCs w:val="22"/>
          <w:lang w:val="es-ES_tradnl"/>
        </w:rPr>
        <w:t>2.</w:t>
      </w:r>
      <w:r w:rsidR="00D901A3" w:rsidRPr="001539D9">
        <w:rPr>
          <w:rFonts w:asciiTheme="majorHAnsi" w:hAnsiTheme="majorHAnsi" w:cs="Tahoma"/>
          <w:b/>
          <w:bCs/>
          <w:sz w:val="22"/>
          <w:szCs w:val="22"/>
          <w:lang w:val="es-ES_tradnl"/>
        </w:rPr>
        <w:t>8</w:t>
      </w:r>
      <w:r w:rsidR="00D460C2" w:rsidRPr="001539D9">
        <w:rPr>
          <w:rFonts w:asciiTheme="majorHAnsi" w:hAnsiTheme="majorHAnsi" w:cs="Tahoma"/>
          <w:b/>
          <w:bCs/>
          <w:sz w:val="22"/>
          <w:szCs w:val="22"/>
          <w:lang w:val="es-ES_tradnl"/>
        </w:rPr>
        <w:tab/>
      </w:r>
      <w:r w:rsidRPr="001539D9">
        <w:rPr>
          <w:rFonts w:asciiTheme="majorHAnsi" w:hAnsiTheme="majorHAnsi" w:cs="Tahoma"/>
          <w:b/>
          <w:bCs/>
          <w:sz w:val="22"/>
          <w:szCs w:val="22"/>
          <w:lang w:val="es-ES_tradnl"/>
        </w:rPr>
        <w:t>Estructura de Puestos</w:t>
      </w:r>
      <w:bookmarkEnd w:id="50"/>
    </w:p>
    <w:p w14:paraId="06A94C72" w14:textId="77777777" w:rsidR="001415B5" w:rsidRPr="00060053" w:rsidRDefault="001415B5" w:rsidP="009E2A71">
      <w:pPr>
        <w:pStyle w:val="Textoindependiente3"/>
        <w:jc w:val="both"/>
        <w:rPr>
          <w:rFonts w:asciiTheme="majorHAnsi" w:hAnsiTheme="majorHAnsi"/>
          <w:bCs/>
          <w:sz w:val="22"/>
          <w:szCs w:val="22"/>
        </w:rPr>
      </w:pPr>
      <w:r w:rsidRPr="00060053">
        <w:rPr>
          <w:rFonts w:asciiTheme="majorHAnsi" w:hAnsiTheme="majorHAnsi"/>
          <w:bCs/>
          <w:sz w:val="22"/>
          <w:szCs w:val="22"/>
        </w:rPr>
        <w:t>Adicionalmente, a efectos de identificar la composición de la estructura de plazas, según la categorización de puestos señalada en el Manual de Actividades Ocupacionales del Banco Central de Costa Rica, se está utilizando la siguiente nomenclatura a efectos de presentar en el cuadro adjunto la estructura de</w:t>
      </w:r>
      <w:r w:rsidR="008A2932" w:rsidRPr="00060053">
        <w:rPr>
          <w:rFonts w:asciiTheme="majorHAnsi" w:hAnsiTheme="majorHAnsi"/>
          <w:bCs/>
          <w:sz w:val="22"/>
          <w:szCs w:val="22"/>
        </w:rPr>
        <w:t xml:space="preserve"> puestos por instancias</w:t>
      </w:r>
      <w:r w:rsidRPr="00060053">
        <w:rPr>
          <w:rFonts w:asciiTheme="majorHAnsi" w:hAnsiTheme="majorHAnsi"/>
          <w:bCs/>
          <w:sz w:val="22"/>
          <w:szCs w:val="22"/>
        </w:rPr>
        <w:t>:</w:t>
      </w:r>
    </w:p>
    <w:p w14:paraId="06A94C73" w14:textId="77777777" w:rsidR="00576A57" w:rsidRPr="00060053" w:rsidRDefault="00576A57" w:rsidP="001415B5">
      <w:pPr>
        <w:pStyle w:val="Textoindependiente3"/>
        <w:jc w:val="both"/>
        <w:rPr>
          <w:rFonts w:asciiTheme="majorHAnsi" w:hAnsiTheme="majorHAnsi"/>
          <w:bCs/>
          <w:sz w:val="22"/>
          <w:szCs w:val="22"/>
        </w:rPr>
      </w:pPr>
    </w:p>
    <w:tbl>
      <w:tblPr>
        <w:tblW w:w="8395" w:type="dxa"/>
        <w:tblInd w:w="354" w:type="dxa"/>
        <w:tblCellMar>
          <w:left w:w="70" w:type="dxa"/>
          <w:right w:w="70" w:type="dxa"/>
        </w:tblCellMar>
        <w:tblLook w:val="0000" w:firstRow="0" w:lastRow="0" w:firstColumn="0" w:lastColumn="0" w:noHBand="0" w:noVBand="0"/>
      </w:tblPr>
      <w:tblGrid>
        <w:gridCol w:w="2000"/>
        <w:gridCol w:w="3165"/>
        <w:gridCol w:w="3230"/>
      </w:tblGrid>
      <w:tr w:rsidR="00DA3FF2" w:rsidRPr="00060053" w14:paraId="06A94C77" w14:textId="77777777" w:rsidTr="00E431C5">
        <w:trPr>
          <w:trHeight w:val="540"/>
        </w:trPr>
        <w:tc>
          <w:tcPr>
            <w:tcW w:w="200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06A94C74" w14:textId="77777777" w:rsidR="00DA3FF2" w:rsidRPr="00060053" w:rsidRDefault="00DA3FF2">
            <w:pPr>
              <w:jc w:val="center"/>
              <w:rPr>
                <w:rFonts w:asciiTheme="minorHAnsi" w:hAnsiTheme="minorHAnsi" w:cs="Arial"/>
                <w:b/>
                <w:bCs/>
                <w:sz w:val="20"/>
                <w:szCs w:val="20"/>
              </w:rPr>
            </w:pPr>
            <w:r w:rsidRPr="00060053">
              <w:rPr>
                <w:rFonts w:asciiTheme="minorHAnsi" w:hAnsiTheme="minorHAnsi" w:cs="Arial"/>
                <w:b/>
                <w:bCs/>
                <w:sz w:val="20"/>
                <w:szCs w:val="20"/>
              </w:rPr>
              <w:t>CATEGORIA</w:t>
            </w:r>
          </w:p>
        </w:tc>
        <w:tc>
          <w:tcPr>
            <w:tcW w:w="3165" w:type="dxa"/>
            <w:tcBorders>
              <w:top w:val="single" w:sz="8" w:space="0" w:color="auto"/>
              <w:left w:val="nil"/>
              <w:bottom w:val="single" w:sz="8" w:space="0" w:color="auto"/>
              <w:right w:val="single" w:sz="8" w:space="0" w:color="auto"/>
            </w:tcBorders>
            <w:shd w:val="clear" w:color="auto" w:fill="DBE5F1" w:themeFill="accent1" w:themeFillTint="33"/>
            <w:vAlign w:val="center"/>
          </w:tcPr>
          <w:p w14:paraId="06A94C75" w14:textId="77777777" w:rsidR="00DA3FF2" w:rsidRPr="00060053" w:rsidRDefault="00DA3FF2">
            <w:pPr>
              <w:jc w:val="center"/>
              <w:rPr>
                <w:rFonts w:asciiTheme="minorHAnsi" w:hAnsiTheme="minorHAnsi" w:cs="Arial"/>
                <w:b/>
                <w:bCs/>
                <w:sz w:val="20"/>
                <w:szCs w:val="20"/>
              </w:rPr>
            </w:pPr>
            <w:r w:rsidRPr="00060053">
              <w:rPr>
                <w:rFonts w:asciiTheme="minorHAnsi" w:hAnsiTheme="minorHAnsi" w:cs="Arial"/>
                <w:b/>
                <w:bCs/>
                <w:sz w:val="20"/>
                <w:szCs w:val="20"/>
              </w:rPr>
              <w:t>NIVEL</w:t>
            </w:r>
          </w:p>
        </w:tc>
        <w:tc>
          <w:tcPr>
            <w:tcW w:w="3230" w:type="dxa"/>
            <w:tcBorders>
              <w:top w:val="single" w:sz="8" w:space="0" w:color="auto"/>
              <w:left w:val="nil"/>
              <w:bottom w:val="single" w:sz="8" w:space="0" w:color="auto"/>
              <w:right w:val="single" w:sz="8" w:space="0" w:color="auto"/>
            </w:tcBorders>
            <w:shd w:val="clear" w:color="auto" w:fill="DBE5F1" w:themeFill="accent1" w:themeFillTint="33"/>
            <w:vAlign w:val="center"/>
          </w:tcPr>
          <w:p w14:paraId="06A94C76" w14:textId="77777777" w:rsidR="00DA3FF2" w:rsidRPr="00060053" w:rsidRDefault="00DA3FF2">
            <w:pPr>
              <w:jc w:val="center"/>
              <w:rPr>
                <w:rFonts w:asciiTheme="minorHAnsi" w:hAnsiTheme="minorHAnsi" w:cs="Arial"/>
                <w:b/>
                <w:bCs/>
                <w:sz w:val="20"/>
                <w:szCs w:val="20"/>
              </w:rPr>
            </w:pPr>
            <w:r w:rsidRPr="00060053">
              <w:rPr>
                <w:rFonts w:asciiTheme="minorHAnsi" w:hAnsiTheme="minorHAnsi" w:cs="Arial"/>
                <w:b/>
                <w:bCs/>
                <w:sz w:val="20"/>
                <w:szCs w:val="20"/>
              </w:rPr>
              <w:t>PUESTO</w:t>
            </w:r>
          </w:p>
        </w:tc>
      </w:tr>
      <w:tr w:rsidR="00DA3FF2" w:rsidRPr="00060053" w14:paraId="06A94C7B" w14:textId="77777777" w:rsidTr="00E431C5">
        <w:trPr>
          <w:trHeight w:val="276"/>
        </w:trPr>
        <w:tc>
          <w:tcPr>
            <w:tcW w:w="2000" w:type="dxa"/>
            <w:tcBorders>
              <w:top w:val="single" w:sz="8" w:space="0" w:color="auto"/>
              <w:left w:val="single" w:sz="8" w:space="0" w:color="auto"/>
              <w:bottom w:val="single" w:sz="4" w:space="0" w:color="auto"/>
              <w:right w:val="single" w:sz="8" w:space="0" w:color="auto"/>
            </w:tcBorders>
            <w:shd w:val="clear" w:color="auto" w:fill="auto"/>
            <w:vAlign w:val="center"/>
          </w:tcPr>
          <w:p w14:paraId="06A94C78"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Ejecutivo</w:t>
            </w:r>
          </w:p>
        </w:tc>
        <w:tc>
          <w:tcPr>
            <w:tcW w:w="316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06A94C79" w14:textId="77777777" w:rsidR="00DA3FF2" w:rsidRPr="00060053" w:rsidRDefault="00DA3FF2">
            <w:pPr>
              <w:jc w:val="center"/>
              <w:rPr>
                <w:rFonts w:asciiTheme="minorHAnsi" w:hAnsiTheme="minorHAnsi" w:cs="Arial"/>
                <w:sz w:val="18"/>
                <w:szCs w:val="18"/>
              </w:rPr>
            </w:pPr>
            <w:r w:rsidRPr="00060053">
              <w:rPr>
                <w:rFonts w:asciiTheme="minorHAnsi" w:hAnsiTheme="minorHAnsi" w:cs="Arial"/>
                <w:sz w:val="18"/>
                <w:szCs w:val="18"/>
              </w:rPr>
              <w:t>EJECUTIVO</w:t>
            </w:r>
          </w:p>
        </w:tc>
        <w:tc>
          <w:tcPr>
            <w:tcW w:w="3230" w:type="dxa"/>
            <w:tcBorders>
              <w:top w:val="single" w:sz="8" w:space="0" w:color="auto"/>
              <w:left w:val="nil"/>
              <w:bottom w:val="nil"/>
              <w:right w:val="single" w:sz="8" w:space="0" w:color="auto"/>
            </w:tcBorders>
            <w:shd w:val="clear" w:color="auto" w:fill="auto"/>
            <w:vAlign w:val="center"/>
          </w:tcPr>
          <w:p w14:paraId="06A94C7A"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Superintendente e Intendente</w:t>
            </w:r>
          </w:p>
        </w:tc>
      </w:tr>
      <w:tr w:rsidR="00DA3FF2" w:rsidRPr="00060053" w14:paraId="06A94C7F" w14:textId="77777777" w:rsidTr="00E431C5">
        <w:trPr>
          <w:trHeight w:val="276"/>
        </w:trPr>
        <w:tc>
          <w:tcPr>
            <w:tcW w:w="2000" w:type="dxa"/>
            <w:tcBorders>
              <w:top w:val="nil"/>
              <w:left w:val="single" w:sz="8" w:space="0" w:color="auto"/>
              <w:bottom w:val="nil"/>
              <w:right w:val="single" w:sz="8" w:space="0" w:color="auto"/>
            </w:tcBorders>
            <w:shd w:val="clear" w:color="auto" w:fill="auto"/>
            <w:vAlign w:val="center"/>
          </w:tcPr>
          <w:p w14:paraId="06A94C7C"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Auditor</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7D" w14:textId="77777777" w:rsidR="00DA3FF2" w:rsidRPr="00060053" w:rsidRDefault="00DA3FF2">
            <w:pPr>
              <w:rPr>
                <w:rFonts w:asciiTheme="minorHAnsi" w:hAnsiTheme="minorHAnsi" w:cs="Arial"/>
                <w:sz w:val="18"/>
                <w:szCs w:val="18"/>
              </w:rPr>
            </w:pPr>
          </w:p>
        </w:tc>
        <w:tc>
          <w:tcPr>
            <w:tcW w:w="3230" w:type="dxa"/>
            <w:tcBorders>
              <w:top w:val="single" w:sz="4" w:space="0" w:color="auto"/>
              <w:left w:val="nil"/>
              <w:bottom w:val="single" w:sz="4" w:space="0" w:color="auto"/>
              <w:right w:val="single" w:sz="8" w:space="0" w:color="auto"/>
            </w:tcBorders>
            <w:shd w:val="clear" w:color="auto" w:fill="auto"/>
            <w:vAlign w:val="center"/>
          </w:tcPr>
          <w:p w14:paraId="06A94C7E"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Auditor y Sub</w:t>
            </w:r>
            <w:r w:rsidR="00AB03EF" w:rsidRPr="00060053">
              <w:rPr>
                <w:rFonts w:asciiTheme="minorHAnsi" w:hAnsiTheme="minorHAnsi" w:cs="Arial"/>
                <w:sz w:val="16"/>
                <w:szCs w:val="16"/>
              </w:rPr>
              <w:t>-</w:t>
            </w:r>
            <w:r w:rsidRPr="00060053">
              <w:rPr>
                <w:rFonts w:asciiTheme="minorHAnsi" w:hAnsiTheme="minorHAnsi" w:cs="Arial"/>
                <w:sz w:val="16"/>
                <w:szCs w:val="16"/>
              </w:rPr>
              <w:t>auditor Interno</w:t>
            </w:r>
          </w:p>
        </w:tc>
      </w:tr>
      <w:tr w:rsidR="00DA3FF2" w:rsidRPr="00060053" w14:paraId="06A94C83" w14:textId="77777777" w:rsidTr="00E431C5">
        <w:trPr>
          <w:trHeight w:val="373"/>
        </w:trPr>
        <w:tc>
          <w:tcPr>
            <w:tcW w:w="2000" w:type="dxa"/>
            <w:tcBorders>
              <w:top w:val="single" w:sz="4" w:space="0" w:color="auto"/>
              <w:left w:val="single" w:sz="8" w:space="0" w:color="auto"/>
              <w:bottom w:val="single" w:sz="4" w:space="0" w:color="auto"/>
              <w:right w:val="single" w:sz="8" w:space="0" w:color="auto"/>
            </w:tcBorders>
            <w:shd w:val="clear" w:color="auto" w:fill="auto"/>
            <w:vAlign w:val="center"/>
          </w:tcPr>
          <w:p w14:paraId="06A94C80"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Director</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81" w14:textId="77777777" w:rsidR="00DA3FF2" w:rsidRPr="00060053" w:rsidRDefault="00DA3FF2">
            <w:pPr>
              <w:rPr>
                <w:rFonts w:asciiTheme="minorHAnsi" w:hAnsiTheme="minorHAnsi" w:cs="Arial"/>
                <w:sz w:val="18"/>
                <w:szCs w:val="18"/>
              </w:rPr>
            </w:pPr>
          </w:p>
        </w:tc>
        <w:tc>
          <w:tcPr>
            <w:tcW w:w="3230" w:type="dxa"/>
            <w:tcBorders>
              <w:top w:val="nil"/>
              <w:left w:val="nil"/>
              <w:bottom w:val="nil"/>
              <w:right w:val="single" w:sz="8" w:space="0" w:color="auto"/>
            </w:tcBorders>
            <w:shd w:val="clear" w:color="auto" w:fill="auto"/>
            <w:vAlign w:val="center"/>
          </w:tcPr>
          <w:p w14:paraId="06A94C82"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Director General / Director de Supervisión</w:t>
            </w:r>
          </w:p>
        </w:tc>
      </w:tr>
      <w:tr w:rsidR="00DA3FF2" w:rsidRPr="00060053" w14:paraId="06A94C87" w14:textId="77777777" w:rsidTr="00E431C5">
        <w:trPr>
          <w:trHeight w:val="276"/>
        </w:trPr>
        <w:tc>
          <w:tcPr>
            <w:tcW w:w="2000" w:type="dxa"/>
            <w:tcBorders>
              <w:top w:val="nil"/>
              <w:left w:val="single" w:sz="8" w:space="0" w:color="auto"/>
              <w:bottom w:val="single" w:sz="4" w:space="0" w:color="auto"/>
              <w:right w:val="single" w:sz="8" w:space="0" w:color="auto"/>
            </w:tcBorders>
            <w:shd w:val="clear" w:color="auto" w:fill="auto"/>
            <w:vAlign w:val="center"/>
          </w:tcPr>
          <w:p w14:paraId="06A94C84"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PGB5</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85" w14:textId="77777777" w:rsidR="00DA3FF2" w:rsidRPr="00060053" w:rsidRDefault="00DA3FF2">
            <w:pPr>
              <w:rPr>
                <w:rFonts w:asciiTheme="minorHAnsi" w:hAnsiTheme="minorHAnsi" w:cs="Arial"/>
                <w:sz w:val="18"/>
                <w:szCs w:val="18"/>
              </w:rPr>
            </w:pPr>
          </w:p>
        </w:tc>
        <w:tc>
          <w:tcPr>
            <w:tcW w:w="3230" w:type="dxa"/>
            <w:tcBorders>
              <w:top w:val="single" w:sz="4" w:space="0" w:color="auto"/>
              <w:left w:val="nil"/>
              <w:bottom w:val="single" w:sz="4" w:space="0" w:color="auto"/>
              <w:right w:val="single" w:sz="8" w:space="0" w:color="auto"/>
            </w:tcBorders>
            <w:shd w:val="clear" w:color="auto" w:fill="auto"/>
            <w:vAlign w:val="center"/>
          </w:tcPr>
          <w:p w14:paraId="06A94C86"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Asesor</w:t>
            </w:r>
          </w:p>
        </w:tc>
      </w:tr>
      <w:tr w:rsidR="00DA3FF2" w:rsidRPr="00060053" w14:paraId="06A94C8B" w14:textId="77777777" w:rsidTr="00E431C5">
        <w:trPr>
          <w:trHeight w:val="356"/>
        </w:trPr>
        <w:tc>
          <w:tcPr>
            <w:tcW w:w="2000" w:type="dxa"/>
            <w:tcBorders>
              <w:top w:val="nil"/>
              <w:left w:val="single" w:sz="8" w:space="0" w:color="auto"/>
              <w:bottom w:val="single" w:sz="8" w:space="0" w:color="auto"/>
              <w:right w:val="single" w:sz="8" w:space="0" w:color="auto"/>
            </w:tcBorders>
            <w:shd w:val="clear" w:color="auto" w:fill="auto"/>
            <w:vAlign w:val="center"/>
          </w:tcPr>
          <w:p w14:paraId="06A94C88"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Director</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89" w14:textId="77777777" w:rsidR="00DA3FF2" w:rsidRPr="00060053" w:rsidRDefault="00DA3FF2">
            <w:pPr>
              <w:rPr>
                <w:rFonts w:asciiTheme="minorHAnsi" w:hAnsiTheme="minorHAnsi" w:cs="Arial"/>
                <w:sz w:val="18"/>
                <w:szCs w:val="18"/>
              </w:rPr>
            </w:pPr>
          </w:p>
        </w:tc>
        <w:tc>
          <w:tcPr>
            <w:tcW w:w="3230" w:type="dxa"/>
            <w:tcBorders>
              <w:top w:val="nil"/>
              <w:left w:val="nil"/>
              <w:bottom w:val="single" w:sz="8" w:space="0" w:color="auto"/>
              <w:right w:val="single" w:sz="8" w:space="0" w:color="auto"/>
            </w:tcBorders>
            <w:shd w:val="clear" w:color="auto" w:fill="auto"/>
            <w:vAlign w:val="center"/>
          </w:tcPr>
          <w:p w14:paraId="06A94C8A"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 xml:space="preserve">Director de Departamento / </w:t>
            </w:r>
            <w:r w:rsidR="00D05F2F" w:rsidRPr="00060053">
              <w:rPr>
                <w:rFonts w:asciiTheme="minorHAnsi" w:hAnsiTheme="minorHAnsi" w:cs="Arial"/>
                <w:sz w:val="16"/>
                <w:szCs w:val="16"/>
              </w:rPr>
              <w:t>Líder</w:t>
            </w:r>
            <w:r w:rsidRPr="00060053">
              <w:rPr>
                <w:rFonts w:asciiTheme="minorHAnsi" w:hAnsiTheme="minorHAnsi" w:cs="Arial"/>
                <w:sz w:val="16"/>
                <w:szCs w:val="16"/>
              </w:rPr>
              <w:t xml:space="preserve"> de Supervisión</w:t>
            </w:r>
          </w:p>
        </w:tc>
      </w:tr>
      <w:tr w:rsidR="00DA3FF2" w:rsidRPr="00060053" w14:paraId="06A94C8F" w14:textId="77777777" w:rsidTr="00E431C5">
        <w:trPr>
          <w:trHeight w:val="303"/>
        </w:trPr>
        <w:tc>
          <w:tcPr>
            <w:tcW w:w="2000" w:type="dxa"/>
            <w:tcBorders>
              <w:top w:val="single" w:sz="4" w:space="0" w:color="auto"/>
              <w:left w:val="single" w:sz="8" w:space="0" w:color="auto"/>
              <w:bottom w:val="nil"/>
              <w:right w:val="single" w:sz="8" w:space="0" w:color="auto"/>
            </w:tcBorders>
            <w:shd w:val="clear" w:color="auto" w:fill="DBE5F1" w:themeFill="accent1" w:themeFillTint="33"/>
            <w:vAlign w:val="center"/>
          </w:tcPr>
          <w:p w14:paraId="06A94C8C"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PGB4</w:t>
            </w:r>
          </w:p>
        </w:tc>
        <w:tc>
          <w:tcPr>
            <w:tcW w:w="3165" w:type="dxa"/>
            <w:vMerge w:val="restart"/>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8D" w14:textId="77777777" w:rsidR="00DA3FF2" w:rsidRPr="00060053" w:rsidRDefault="00DA3FF2">
            <w:pPr>
              <w:jc w:val="center"/>
              <w:rPr>
                <w:rFonts w:asciiTheme="minorHAnsi" w:hAnsiTheme="minorHAnsi" w:cs="Arial"/>
                <w:sz w:val="18"/>
                <w:szCs w:val="18"/>
              </w:rPr>
            </w:pPr>
            <w:r w:rsidRPr="00060053">
              <w:rPr>
                <w:rFonts w:asciiTheme="minorHAnsi" w:hAnsiTheme="minorHAnsi" w:cs="Arial"/>
                <w:sz w:val="18"/>
                <w:szCs w:val="18"/>
              </w:rPr>
              <w:t>Profesional en Gestión Bancaria</w:t>
            </w:r>
          </w:p>
        </w:tc>
        <w:tc>
          <w:tcPr>
            <w:tcW w:w="3230" w:type="dxa"/>
            <w:tcBorders>
              <w:top w:val="single" w:sz="4" w:space="0" w:color="auto"/>
              <w:left w:val="nil"/>
              <w:bottom w:val="single" w:sz="4" w:space="0" w:color="auto"/>
              <w:right w:val="single" w:sz="8" w:space="0" w:color="auto"/>
            </w:tcBorders>
            <w:shd w:val="clear" w:color="auto" w:fill="DBE5F1" w:themeFill="accent1" w:themeFillTint="33"/>
            <w:vAlign w:val="center"/>
          </w:tcPr>
          <w:p w14:paraId="06A94C8E"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Coordinador de área / Supervisor Principal</w:t>
            </w:r>
          </w:p>
        </w:tc>
      </w:tr>
      <w:tr w:rsidR="00DA3FF2" w:rsidRPr="00060053" w14:paraId="06A94C93" w14:textId="77777777" w:rsidTr="00E431C5">
        <w:trPr>
          <w:trHeight w:val="406"/>
        </w:trPr>
        <w:tc>
          <w:tcPr>
            <w:tcW w:w="2000" w:type="dxa"/>
            <w:tcBorders>
              <w:top w:val="single" w:sz="4" w:space="0" w:color="auto"/>
              <w:left w:val="single" w:sz="8" w:space="0" w:color="auto"/>
              <w:bottom w:val="single" w:sz="4" w:space="0" w:color="auto"/>
              <w:right w:val="single" w:sz="8" w:space="0" w:color="auto"/>
            </w:tcBorders>
            <w:shd w:val="clear" w:color="auto" w:fill="DBE5F1" w:themeFill="accent1" w:themeFillTint="33"/>
            <w:vAlign w:val="center"/>
          </w:tcPr>
          <w:p w14:paraId="06A94C90"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PGB3</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91" w14:textId="77777777" w:rsidR="00DA3FF2" w:rsidRPr="00060053" w:rsidRDefault="00DA3FF2">
            <w:pPr>
              <w:rPr>
                <w:rFonts w:asciiTheme="minorHAnsi" w:hAnsiTheme="minorHAnsi" w:cs="Arial"/>
                <w:sz w:val="18"/>
                <w:szCs w:val="18"/>
              </w:rPr>
            </w:pPr>
          </w:p>
        </w:tc>
        <w:tc>
          <w:tcPr>
            <w:tcW w:w="3230" w:type="dxa"/>
            <w:tcBorders>
              <w:top w:val="nil"/>
              <w:left w:val="nil"/>
              <w:bottom w:val="single" w:sz="4" w:space="0" w:color="auto"/>
              <w:right w:val="single" w:sz="8" w:space="0" w:color="auto"/>
            </w:tcBorders>
            <w:shd w:val="clear" w:color="auto" w:fill="DBE5F1" w:themeFill="accent1" w:themeFillTint="33"/>
            <w:vAlign w:val="center"/>
          </w:tcPr>
          <w:p w14:paraId="06A94C92"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Personal operativo según requerimientos profesionales. / Supervisor 2</w:t>
            </w:r>
          </w:p>
        </w:tc>
      </w:tr>
      <w:tr w:rsidR="00DA3FF2" w:rsidRPr="00060053" w14:paraId="06A94C97" w14:textId="77777777" w:rsidTr="00E431C5">
        <w:trPr>
          <w:trHeight w:val="399"/>
        </w:trPr>
        <w:tc>
          <w:tcPr>
            <w:tcW w:w="2000" w:type="dxa"/>
            <w:tcBorders>
              <w:top w:val="nil"/>
              <w:left w:val="single" w:sz="8" w:space="0" w:color="auto"/>
              <w:bottom w:val="single" w:sz="4" w:space="0" w:color="auto"/>
              <w:right w:val="single" w:sz="8" w:space="0" w:color="auto"/>
            </w:tcBorders>
            <w:shd w:val="clear" w:color="auto" w:fill="DBE5F1" w:themeFill="accent1" w:themeFillTint="33"/>
            <w:vAlign w:val="center"/>
          </w:tcPr>
          <w:p w14:paraId="06A94C94"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PGB2</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95" w14:textId="77777777" w:rsidR="00DA3FF2" w:rsidRPr="00060053" w:rsidRDefault="00DA3FF2">
            <w:pPr>
              <w:rPr>
                <w:rFonts w:asciiTheme="minorHAnsi" w:hAnsiTheme="minorHAnsi" w:cs="Arial"/>
                <w:sz w:val="18"/>
                <w:szCs w:val="18"/>
              </w:rPr>
            </w:pPr>
          </w:p>
        </w:tc>
        <w:tc>
          <w:tcPr>
            <w:tcW w:w="3230" w:type="dxa"/>
            <w:tcBorders>
              <w:top w:val="nil"/>
              <w:left w:val="nil"/>
              <w:bottom w:val="single" w:sz="4" w:space="0" w:color="auto"/>
              <w:right w:val="single" w:sz="8" w:space="0" w:color="auto"/>
            </w:tcBorders>
            <w:shd w:val="clear" w:color="auto" w:fill="DBE5F1" w:themeFill="accent1" w:themeFillTint="33"/>
            <w:vAlign w:val="center"/>
          </w:tcPr>
          <w:p w14:paraId="06A94C96"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Personal operativo según requerimientos profesionales. / Supervisor 1</w:t>
            </w:r>
          </w:p>
        </w:tc>
      </w:tr>
      <w:tr w:rsidR="00DA3FF2" w:rsidRPr="00060053" w14:paraId="06A94C9B" w14:textId="77777777" w:rsidTr="00E431C5">
        <w:trPr>
          <w:trHeight w:val="419"/>
        </w:trPr>
        <w:tc>
          <w:tcPr>
            <w:tcW w:w="2000" w:type="dxa"/>
            <w:tcBorders>
              <w:top w:val="nil"/>
              <w:left w:val="single" w:sz="8" w:space="0" w:color="auto"/>
              <w:bottom w:val="single" w:sz="8" w:space="0" w:color="auto"/>
              <w:right w:val="single" w:sz="8" w:space="0" w:color="auto"/>
            </w:tcBorders>
            <w:shd w:val="clear" w:color="auto" w:fill="DBE5F1" w:themeFill="accent1" w:themeFillTint="33"/>
            <w:vAlign w:val="center"/>
          </w:tcPr>
          <w:p w14:paraId="06A94C98"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PGB1</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99" w14:textId="77777777" w:rsidR="00DA3FF2" w:rsidRPr="00060053" w:rsidRDefault="00DA3FF2">
            <w:pPr>
              <w:rPr>
                <w:rFonts w:asciiTheme="minorHAnsi" w:hAnsiTheme="minorHAnsi" w:cs="Arial"/>
                <w:sz w:val="18"/>
                <w:szCs w:val="18"/>
              </w:rPr>
            </w:pPr>
          </w:p>
        </w:tc>
        <w:tc>
          <w:tcPr>
            <w:tcW w:w="3230" w:type="dxa"/>
            <w:tcBorders>
              <w:top w:val="nil"/>
              <w:left w:val="nil"/>
              <w:bottom w:val="single" w:sz="8" w:space="0" w:color="auto"/>
              <w:right w:val="single" w:sz="8" w:space="0" w:color="auto"/>
            </w:tcBorders>
            <w:shd w:val="clear" w:color="auto" w:fill="DBE5F1" w:themeFill="accent1" w:themeFillTint="33"/>
            <w:vAlign w:val="center"/>
          </w:tcPr>
          <w:p w14:paraId="06A94C9A"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Personal operativo según requerimientos profesionales</w:t>
            </w:r>
          </w:p>
        </w:tc>
      </w:tr>
      <w:tr w:rsidR="00DA3FF2" w:rsidRPr="00060053" w14:paraId="06A94C9F" w14:textId="77777777" w:rsidTr="00E431C5">
        <w:trPr>
          <w:trHeight w:val="397"/>
        </w:trPr>
        <w:tc>
          <w:tcPr>
            <w:tcW w:w="2000" w:type="dxa"/>
            <w:tcBorders>
              <w:top w:val="nil"/>
              <w:left w:val="single" w:sz="8" w:space="0" w:color="auto"/>
              <w:bottom w:val="single" w:sz="4" w:space="0" w:color="auto"/>
              <w:right w:val="single" w:sz="8" w:space="0" w:color="auto"/>
            </w:tcBorders>
            <w:shd w:val="clear" w:color="auto" w:fill="auto"/>
            <w:vAlign w:val="center"/>
          </w:tcPr>
          <w:p w14:paraId="06A94C9C"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PGI3</w:t>
            </w:r>
          </w:p>
        </w:tc>
        <w:tc>
          <w:tcPr>
            <w:tcW w:w="3165" w:type="dxa"/>
            <w:vMerge w:val="restart"/>
            <w:tcBorders>
              <w:top w:val="nil"/>
              <w:left w:val="single" w:sz="8" w:space="0" w:color="auto"/>
              <w:bottom w:val="single" w:sz="8" w:space="0" w:color="000000"/>
              <w:right w:val="single" w:sz="8" w:space="0" w:color="auto"/>
            </w:tcBorders>
            <w:shd w:val="clear" w:color="auto" w:fill="auto"/>
            <w:vAlign w:val="center"/>
          </w:tcPr>
          <w:p w14:paraId="06A94C9D" w14:textId="77777777" w:rsidR="00DA3FF2" w:rsidRPr="00060053" w:rsidRDefault="00DA3FF2">
            <w:pPr>
              <w:jc w:val="center"/>
              <w:rPr>
                <w:rFonts w:asciiTheme="minorHAnsi" w:hAnsiTheme="minorHAnsi" w:cs="Arial"/>
                <w:sz w:val="18"/>
                <w:szCs w:val="18"/>
              </w:rPr>
            </w:pPr>
            <w:r w:rsidRPr="00060053">
              <w:rPr>
                <w:rFonts w:asciiTheme="minorHAnsi" w:hAnsiTheme="minorHAnsi" w:cs="Arial"/>
                <w:sz w:val="18"/>
                <w:szCs w:val="18"/>
              </w:rPr>
              <w:t>Profesional en Gestión Informática</w:t>
            </w:r>
          </w:p>
        </w:tc>
        <w:tc>
          <w:tcPr>
            <w:tcW w:w="3230" w:type="dxa"/>
            <w:tcBorders>
              <w:top w:val="nil"/>
              <w:left w:val="nil"/>
              <w:bottom w:val="single" w:sz="4" w:space="0" w:color="auto"/>
              <w:right w:val="single" w:sz="8" w:space="0" w:color="auto"/>
            </w:tcBorders>
            <w:shd w:val="clear" w:color="auto" w:fill="auto"/>
            <w:vAlign w:val="center"/>
          </w:tcPr>
          <w:p w14:paraId="06A94C9E"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Personal operativo según requerimientos profesionales.</w:t>
            </w:r>
          </w:p>
        </w:tc>
      </w:tr>
      <w:tr w:rsidR="00DA3FF2" w:rsidRPr="00060053" w14:paraId="06A94CA3" w14:textId="77777777" w:rsidTr="00E431C5">
        <w:trPr>
          <w:trHeight w:val="686"/>
        </w:trPr>
        <w:tc>
          <w:tcPr>
            <w:tcW w:w="2000" w:type="dxa"/>
            <w:tcBorders>
              <w:top w:val="nil"/>
              <w:left w:val="single" w:sz="8" w:space="0" w:color="auto"/>
              <w:bottom w:val="single" w:sz="4" w:space="0" w:color="auto"/>
              <w:right w:val="single" w:sz="8" w:space="0" w:color="auto"/>
            </w:tcBorders>
            <w:shd w:val="clear" w:color="auto" w:fill="auto"/>
            <w:vAlign w:val="center"/>
          </w:tcPr>
          <w:p w14:paraId="06A94CA0"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PGI2</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A1" w14:textId="77777777" w:rsidR="00DA3FF2" w:rsidRPr="00060053" w:rsidRDefault="00DA3FF2">
            <w:pPr>
              <w:rPr>
                <w:rFonts w:asciiTheme="minorHAnsi" w:hAnsiTheme="minorHAnsi" w:cs="Arial"/>
                <w:sz w:val="18"/>
                <w:szCs w:val="18"/>
              </w:rPr>
            </w:pPr>
          </w:p>
        </w:tc>
        <w:tc>
          <w:tcPr>
            <w:tcW w:w="3230" w:type="dxa"/>
            <w:tcBorders>
              <w:top w:val="nil"/>
              <w:left w:val="nil"/>
              <w:bottom w:val="single" w:sz="4" w:space="0" w:color="auto"/>
              <w:right w:val="single" w:sz="8" w:space="0" w:color="auto"/>
            </w:tcBorders>
            <w:shd w:val="clear" w:color="auto" w:fill="auto"/>
            <w:vAlign w:val="center"/>
          </w:tcPr>
          <w:p w14:paraId="06A94CA2"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Personal operativo según requerimientos profesionales.  / Supervisor Tecnologías de Información</w:t>
            </w:r>
          </w:p>
        </w:tc>
      </w:tr>
      <w:tr w:rsidR="00DA3FF2" w:rsidRPr="00060053" w14:paraId="06A94CA7" w14:textId="77777777" w:rsidTr="00E431C5">
        <w:trPr>
          <w:trHeight w:val="399"/>
        </w:trPr>
        <w:tc>
          <w:tcPr>
            <w:tcW w:w="2000" w:type="dxa"/>
            <w:tcBorders>
              <w:top w:val="nil"/>
              <w:left w:val="single" w:sz="8" w:space="0" w:color="auto"/>
              <w:bottom w:val="nil"/>
              <w:right w:val="single" w:sz="8" w:space="0" w:color="auto"/>
            </w:tcBorders>
            <w:shd w:val="clear" w:color="auto" w:fill="auto"/>
            <w:vAlign w:val="center"/>
          </w:tcPr>
          <w:p w14:paraId="06A94CA4"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PGI1</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A5" w14:textId="77777777" w:rsidR="00DA3FF2" w:rsidRPr="00060053" w:rsidRDefault="00DA3FF2">
            <w:pPr>
              <w:rPr>
                <w:rFonts w:asciiTheme="minorHAnsi" w:hAnsiTheme="minorHAnsi" w:cs="Arial"/>
                <w:sz w:val="18"/>
                <w:szCs w:val="18"/>
              </w:rPr>
            </w:pPr>
          </w:p>
        </w:tc>
        <w:tc>
          <w:tcPr>
            <w:tcW w:w="3230" w:type="dxa"/>
            <w:tcBorders>
              <w:top w:val="nil"/>
              <w:left w:val="nil"/>
              <w:bottom w:val="single" w:sz="4" w:space="0" w:color="auto"/>
              <w:right w:val="single" w:sz="8" w:space="0" w:color="auto"/>
            </w:tcBorders>
            <w:shd w:val="clear" w:color="auto" w:fill="auto"/>
            <w:vAlign w:val="center"/>
          </w:tcPr>
          <w:p w14:paraId="06A94CA6"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Personal operativo según requerimientos profesionales.</w:t>
            </w:r>
          </w:p>
        </w:tc>
      </w:tr>
      <w:tr w:rsidR="00C0086A" w:rsidRPr="00060053" w14:paraId="06A94CAB" w14:textId="77777777" w:rsidTr="00E431C5">
        <w:trPr>
          <w:trHeight w:val="404"/>
        </w:trPr>
        <w:tc>
          <w:tcPr>
            <w:tcW w:w="2000" w:type="dxa"/>
            <w:tcBorders>
              <w:top w:val="single" w:sz="8" w:space="0" w:color="auto"/>
              <w:left w:val="single" w:sz="8" w:space="0" w:color="auto"/>
              <w:bottom w:val="single" w:sz="4" w:space="0" w:color="auto"/>
              <w:right w:val="single" w:sz="8" w:space="0" w:color="auto"/>
            </w:tcBorders>
            <w:shd w:val="clear" w:color="auto" w:fill="DBE5F1" w:themeFill="accent1" w:themeFillTint="33"/>
            <w:vAlign w:val="center"/>
          </w:tcPr>
          <w:p w14:paraId="06A94CA8" w14:textId="77777777" w:rsidR="00C0086A" w:rsidRPr="00060053" w:rsidRDefault="00C0086A">
            <w:pPr>
              <w:jc w:val="center"/>
              <w:rPr>
                <w:rFonts w:asciiTheme="minorHAnsi" w:hAnsiTheme="minorHAnsi" w:cs="Arial"/>
                <w:b/>
                <w:bCs/>
                <w:sz w:val="18"/>
                <w:szCs w:val="18"/>
              </w:rPr>
            </w:pPr>
            <w:r w:rsidRPr="00060053">
              <w:rPr>
                <w:rFonts w:asciiTheme="minorHAnsi" w:hAnsiTheme="minorHAnsi" w:cs="Arial"/>
                <w:b/>
                <w:bCs/>
                <w:sz w:val="18"/>
                <w:szCs w:val="18"/>
              </w:rPr>
              <w:t>PGAI</w:t>
            </w:r>
          </w:p>
        </w:tc>
        <w:tc>
          <w:tcPr>
            <w:tcW w:w="3165" w:type="dxa"/>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A9" w14:textId="77777777" w:rsidR="00C0086A" w:rsidRPr="00060053" w:rsidRDefault="00C0086A">
            <w:pPr>
              <w:jc w:val="center"/>
              <w:rPr>
                <w:rFonts w:asciiTheme="minorHAnsi" w:hAnsiTheme="minorHAnsi" w:cs="Arial"/>
                <w:sz w:val="18"/>
                <w:szCs w:val="18"/>
              </w:rPr>
            </w:pPr>
            <w:r w:rsidRPr="00060053">
              <w:rPr>
                <w:rFonts w:asciiTheme="minorHAnsi" w:hAnsiTheme="minorHAnsi"/>
                <w:iCs/>
                <w:sz w:val="18"/>
                <w:szCs w:val="18"/>
              </w:rPr>
              <w:t xml:space="preserve">Profesional Gestión </w:t>
            </w:r>
            <w:r w:rsidR="008A2932" w:rsidRPr="00060053">
              <w:rPr>
                <w:rFonts w:asciiTheme="minorHAnsi" w:hAnsiTheme="minorHAnsi"/>
                <w:iCs/>
                <w:sz w:val="18"/>
                <w:szCs w:val="18"/>
              </w:rPr>
              <w:t>Auditoría</w:t>
            </w:r>
            <w:r w:rsidRPr="00060053">
              <w:rPr>
                <w:rFonts w:asciiTheme="minorHAnsi" w:hAnsiTheme="minorHAnsi"/>
                <w:iCs/>
                <w:sz w:val="18"/>
                <w:szCs w:val="18"/>
              </w:rPr>
              <w:t xml:space="preserve"> Interna 3</w:t>
            </w:r>
          </w:p>
        </w:tc>
        <w:tc>
          <w:tcPr>
            <w:tcW w:w="3230" w:type="dxa"/>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tcPr>
          <w:p w14:paraId="06A94CAA" w14:textId="62BCBC97" w:rsidR="00C0086A" w:rsidRPr="00060053" w:rsidRDefault="00AB03EF" w:rsidP="00EB5EE6">
            <w:pPr>
              <w:rPr>
                <w:rFonts w:asciiTheme="minorHAnsi" w:hAnsiTheme="minorHAnsi" w:cs="Arial"/>
                <w:sz w:val="16"/>
                <w:szCs w:val="16"/>
              </w:rPr>
            </w:pPr>
            <w:r w:rsidRPr="00060053">
              <w:rPr>
                <w:rFonts w:asciiTheme="minorHAnsi" w:hAnsiTheme="minorHAnsi" w:cs="Arial"/>
                <w:sz w:val="16"/>
                <w:szCs w:val="16"/>
              </w:rPr>
              <w:t>Personal operativo de la Auditoría Interna según requerimientos profesionales. / PGAI3</w:t>
            </w:r>
          </w:p>
        </w:tc>
      </w:tr>
      <w:tr w:rsidR="00DA3FF2" w:rsidRPr="00060053" w14:paraId="06A94CAF" w14:textId="77777777" w:rsidTr="00E431C5">
        <w:trPr>
          <w:trHeight w:val="411"/>
        </w:trPr>
        <w:tc>
          <w:tcPr>
            <w:tcW w:w="2000" w:type="dxa"/>
            <w:tcBorders>
              <w:top w:val="single" w:sz="8" w:space="0" w:color="auto"/>
              <w:left w:val="single" w:sz="8" w:space="0" w:color="auto"/>
              <w:bottom w:val="single" w:sz="4" w:space="0" w:color="auto"/>
              <w:right w:val="single" w:sz="8" w:space="0" w:color="auto"/>
            </w:tcBorders>
            <w:shd w:val="clear" w:color="auto" w:fill="FFFFFF"/>
            <w:vAlign w:val="center"/>
          </w:tcPr>
          <w:p w14:paraId="06A94CAC"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TSI2</w:t>
            </w:r>
          </w:p>
        </w:tc>
        <w:tc>
          <w:tcPr>
            <w:tcW w:w="3165" w:type="dxa"/>
            <w:vMerge w:val="restart"/>
            <w:tcBorders>
              <w:top w:val="nil"/>
              <w:left w:val="single" w:sz="8" w:space="0" w:color="auto"/>
              <w:bottom w:val="single" w:sz="8" w:space="0" w:color="000000"/>
              <w:right w:val="single" w:sz="8" w:space="0" w:color="auto"/>
            </w:tcBorders>
            <w:shd w:val="clear" w:color="auto" w:fill="auto"/>
            <w:vAlign w:val="center"/>
          </w:tcPr>
          <w:p w14:paraId="06A94CAD" w14:textId="77777777" w:rsidR="00DA3FF2" w:rsidRPr="00060053" w:rsidRDefault="00DA3FF2">
            <w:pPr>
              <w:jc w:val="center"/>
              <w:rPr>
                <w:rFonts w:asciiTheme="minorHAnsi" w:hAnsiTheme="minorHAnsi" w:cs="Arial"/>
                <w:sz w:val="18"/>
                <w:szCs w:val="18"/>
              </w:rPr>
            </w:pPr>
            <w:r w:rsidRPr="00060053">
              <w:rPr>
                <w:rFonts w:asciiTheme="minorHAnsi" w:hAnsiTheme="minorHAnsi" w:cs="Arial"/>
                <w:sz w:val="18"/>
                <w:szCs w:val="18"/>
              </w:rPr>
              <w:t>Técnicos en Servicios Institucionales</w:t>
            </w:r>
          </w:p>
        </w:tc>
        <w:tc>
          <w:tcPr>
            <w:tcW w:w="323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06A94CAE"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Personal operativo según requerimientos profesionales</w:t>
            </w:r>
          </w:p>
        </w:tc>
      </w:tr>
      <w:tr w:rsidR="00DA3FF2" w:rsidRPr="00060053" w14:paraId="06A94CB3" w14:textId="77777777" w:rsidTr="00E431C5">
        <w:trPr>
          <w:trHeight w:val="288"/>
        </w:trPr>
        <w:tc>
          <w:tcPr>
            <w:tcW w:w="2000" w:type="dxa"/>
            <w:tcBorders>
              <w:top w:val="nil"/>
              <w:left w:val="single" w:sz="8" w:space="0" w:color="auto"/>
              <w:bottom w:val="single" w:sz="8" w:space="0" w:color="auto"/>
              <w:right w:val="single" w:sz="8" w:space="0" w:color="auto"/>
            </w:tcBorders>
            <w:shd w:val="clear" w:color="auto" w:fill="FFFFFF"/>
            <w:vAlign w:val="center"/>
          </w:tcPr>
          <w:p w14:paraId="06A94CB0"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TSI1</w:t>
            </w:r>
          </w:p>
        </w:tc>
        <w:tc>
          <w:tcPr>
            <w:tcW w:w="3165" w:type="dxa"/>
            <w:vMerge/>
            <w:tcBorders>
              <w:top w:val="nil"/>
              <w:left w:val="single" w:sz="8" w:space="0" w:color="auto"/>
              <w:bottom w:val="single" w:sz="8" w:space="0" w:color="000000"/>
              <w:right w:val="single" w:sz="8" w:space="0" w:color="auto"/>
            </w:tcBorders>
            <w:vAlign w:val="center"/>
          </w:tcPr>
          <w:p w14:paraId="06A94CB1" w14:textId="77777777" w:rsidR="00DA3FF2" w:rsidRPr="00060053" w:rsidRDefault="00DA3FF2">
            <w:pPr>
              <w:rPr>
                <w:rFonts w:asciiTheme="minorHAnsi" w:hAnsiTheme="minorHAnsi" w:cs="Arial"/>
                <w:sz w:val="18"/>
                <w:szCs w:val="18"/>
              </w:rPr>
            </w:pPr>
          </w:p>
        </w:tc>
        <w:tc>
          <w:tcPr>
            <w:tcW w:w="3230" w:type="dxa"/>
            <w:vMerge/>
            <w:tcBorders>
              <w:top w:val="single" w:sz="8" w:space="0" w:color="auto"/>
              <w:left w:val="single" w:sz="8" w:space="0" w:color="auto"/>
              <w:bottom w:val="single" w:sz="8" w:space="0" w:color="000000"/>
              <w:right w:val="single" w:sz="8" w:space="0" w:color="auto"/>
            </w:tcBorders>
            <w:vAlign w:val="center"/>
          </w:tcPr>
          <w:p w14:paraId="06A94CB2" w14:textId="77777777" w:rsidR="00DA3FF2" w:rsidRPr="00060053" w:rsidRDefault="00DA3FF2">
            <w:pPr>
              <w:rPr>
                <w:rFonts w:asciiTheme="minorHAnsi" w:hAnsiTheme="minorHAnsi" w:cs="Arial"/>
                <w:sz w:val="16"/>
                <w:szCs w:val="16"/>
              </w:rPr>
            </w:pPr>
          </w:p>
        </w:tc>
      </w:tr>
      <w:tr w:rsidR="00DA3FF2" w:rsidRPr="00060053" w14:paraId="06A94CB7" w14:textId="77777777" w:rsidTr="00E431C5">
        <w:trPr>
          <w:trHeight w:val="276"/>
        </w:trPr>
        <w:tc>
          <w:tcPr>
            <w:tcW w:w="2000" w:type="dxa"/>
            <w:tcBorders>
              <w:top w:val="nil"/>
              <w:left w:val="single" w:sz="8" w:space="0" w:color="auto"/>
              <w:bottom w:val="single" w:sz="4" w:space="0" w:color="auto"/>
              <w:right w:val="single" w:sz="8" w:space="0" w:color="auto"/>
            </w:tcBorders>
            <w:shd w:val="clear" w:color="auto" w:fill="DBE5F1" w:themeFill="accent1" w:themeFillTint="33"/>
            <w:vAlign w:val="center"/>
          </w:tcPr>
          <w:p w14:paraId="06A94CB4"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ASI2</w:t>
            </w:r>
          </w:p>
        </w:tc>
        <w:tc>
          <w:tcPr>
            <w:tcW w:w="3165" w:type="dxa"/>
            <w:vMerge w:val="restart"/>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B5" w14:textId="77777777" w:rsidR="00DA3FF2" w:rsidRPr="00060053" w:rsidRDefault="00DA3FF2">
            <w:pPr>
              <w:jc w:val="center"/>
              <w:rPr>
                <w:rFonts w:asciiTheme="minorHAnsi" w:hAnsiTheme="minorHAnsi" w:cs="Arial"/>
                <w:sz w:val="18"/>
                <w:szCs w:val="18"/>
              </w:rPr>
            </w:pPr>
            <w:r w:rsidRPr="00060053">
              <w:rPr>
                <w:rFonts w:asciiTheme="minorHAnsi" w:hAnsiTheme="minorHAnsi" w:cs="Arial"/>
                <w:sz w:val="18"/>
                <w:szCs w:val="18"/>
              </w:rPr>
              <w:t>Asistentes de Servicios Institucionales</w:t>
            </w:r>
          </w:p>
        </w:tc>
        <w:tc>
          <w:tcPr>
            <w:tcW w:w="3230" w:type="dxa"/>
            <w:vMerge w:val="restart"/>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B6"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Secretarias, mantenimiento, recepcionista</w:t>
            </w:r>
          </w:p>
        </w:tc>
      </w:tr>
      <w:tr w:rsidR="00DA3FF2" w:rsidRPr="00060053" w14:paraId="06A94CBB" w14:textId="77777777" w:rsidTr="00E431C5">
        <w:trPr>
          <w:trHeight w:val="288"/>
        </w:trPr>
        <w:tc>
          <w:tcPr>
            <w:tcW w:w="2000" w:type="dxa"/>
            <w:tcBorders>
              <w:top w:val="nil"/>
              <w:left w:val="single" w:sz="8" w:space="0" w:color="auto"/>
              <w:bottom w:val="single" w:sz="8" w:space="0" w:color="auto"/>
              <w:right w:val="single" w:sz="8" w:space="0" w:color="auto"/>
            </w:tcBorders>
            <w:shd w:val="clear" w:color="auto" w:fill="DBE5F1" w:themeFill="accent1" w:themeFillTint="33"/>
            <w:vAlign w:val="center"/>
          </w:tcPr>
          <w:p w14:paraId="06A94CB8"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ASI1</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B9" w14:textId="77777777" w:rsidR="00DA3FF2" w:rsidRPr="00060053" w:rsidRDefault="00DA3FF2">
            <w:pPr>
              <w:rPr>
                <w:rFonts w:asciiTheme="minorHAnsi" w:hAnsiTheme="minorHAnsi" w:cs="Arial"/>
                <w:sz w:val="18"/>
                <w:szCs w:val="18"/>
              </w:rPr>
            </w:pPr>
          </w:p>
        </w:tc>
        <w:tc>
          <w:tcPr>
            <w:tcW w:w="3230"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BA" w14:textId="77777777" w:rsidR="00DA3FF2" w:rsidRPr="00060053" w:rsidRDefault="00DA3FF2">
            <w:pPr>
              <w:rPr>
                <w:rFonts w:asciiTheme="minorHAnsi" w:hAnsiTheme="minorHAnsi" w:cs="Arial"/>
                <w:sz w:val="16"/>
                <w:szCs w:val="16"/>
              </w:rPr>
            </w:pPr>
          </w:p>
        </w:tc>
      </w:tr>
      <w:tr w:rsidR="00DA3FF2" w:rsidRPr="00060053" w14:paraId="06A94CBF" w14:textId="77777777" w:rsidTr="00E431C5">
        <w:trPr>
          <w:trHeight w:val="276"/>
        </w:trPr>
        <w:tc>
          <w:tcPr>
            <w:tcW w:w="2000" w:type="dxa"/>
            <w:tcBorders>
              <w:top w:val="nil"/>
              <w:left w:val="single" w:sz="8" w:space="0" w:color="auto"/>
              <w:bottom w:val="single" w:sz="4" w:space="0" w:color="auto"/>
              <w:right w:val="single" w:sz="8" w:space="0" w:color="auto"/>
            </w:tcBorders>
            <w:shd w:val="clear" w:color="auto" w:fill="FFFFFF"/>
            <w:vAlign w:val="center"/>
          </w:tcPr>
          <w:p w14:paraId="06A94CBC"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ASG2</w:t>
            </w:r>
          </w:p>
        </w:tc>
        <w:tc>
          <w:tcPr>
            <w:tcW w:w="3165" w:type="dxa"/>
            <w:vMerge w:val="restart"/>
            <w:tcBorders>
              <w:top w:val="nil"/>
              <w:left w:val="single" w:sz="8" w:space="0" w:color="auto"/>
              <w:bottom w:val="single" w:sz="8" w:space="0" w:color="000000"/>
              <w:right w:val="single" w:sz="8" w:space="0" w:color="auto"/>
            </w:tcBorders>
            <w:shd w:val="clear" w:color="auto" w:fill="auto"/>
            <w:vAlign w:val="center"/>
          </w:tcPr>
          <w:p w14:paraId="06A94CBD" w14:textId="77777777" w:rsidR="00DA3FF2" w:rsidRPr="00060053" w:rsidRDefault="00DA3FF2">
            <w:pPr>
              <w:jc w:val="center"/>
              <w:rPr>
                <w:rFonts w:asciiTheme="minorHAnsi" w:hAnsiTheme="minorHAnsi" w:cs="Arial"/>
                <w:sz w:val="18"/>
                <w:szCs w:val="18"/>
              </w:rPr>
            </w:pPr>
            <w:r w:rsidRPr="00060053">
              <w:rPr>
                <w:rFonts w:asciiTheme="minorHAnsi" w:hAnsiTheme="minorHAnsi" w:cs="Arial"/>
                <w:sz w:val="18"/>
                <w:szCs w:val="18"/>
              </w:rPr>
              <w:t>Asistentes de Servicios Generales</w:t>
            </w:r>
          </w:p>
        </w:tc>
        <w:tc>
          <w:tcPr>
            <w:tcW w:w="3230" w:type="dxa"/>
            <w:vMerge w:val="restart"/>
            <w:tcBorders>
              <w:top w:val="nil"/>
              <w:left w:val="single" w:sz="8" w:space="0" w:color="auto"/>
              <w:bottom w:val="single" w:sz="8" w:space="0" w:color="000000"/>
              <w:right w:val="single" w:sz="8" w:space="0" w:color="auto"/>
            </w:tcBorders>
            <w:shd w:val="clear" w:color="auto" w:fill="auto"/>
            <w:vAlign w:val="center"/>
          </w:tcPr>
          <w:p w14:paraId="06A94CBE"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Choferes y misceláneos</w:t>
            </w:r>
          </w:p>
        </w:tc>
      </w:tr>
      <w:tr w:rsidR="00DA3FF2" w:rsidRPr="00060053" w14:paraId="06A94CC3" w14:textId="77777777" w:rsidTr="00E431C5">
        <w:trPr>
          <w:trHeight w:val="288"/>
        </w:trPr>
        <w:tc>
          <w:tcPr>
            <w:tcW w:w="2000" w:type="dxa"/>
            <w:tcBorders>
              <w:top w:val="nil"/>
              <w:left w:val="single" w:sz="8" w:space="0" w:color="auto"/>
              <w:bottom w:val="single" w:sz="8" w:space="0" w:color="auto"/>
              <w:right w:val="single" w:sz="8" w:space="0" w:color="auto"/>
            </w:tcBorders>
            <w:shd w:val="clear" w:color="auto" w:fill="FFFFFF"/>
            <w:vAlign w:val="center"/>
          </w:tcPr>
          <w:p w14:paraId="06A94CC0"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ASG1</w:t>
            </w:r>
          </w:p>
        </w:tc>
        <w:tc>
          <w:tcPr>
            <w:tcW w:w="3165" w:type="dxa"/>
            <w:vMerge/>
            <w:tcBorders>
              <w:top w:val="nil"/>
              <w:left w:val="single" w:sz="8" w:space="0" w:color="auto"/>
              <w:bottom w:val="single" w:sz="8" w:space="0" w:color="000000"/>
              <w:right w:val="single" w:sz="8" w:space="0" w:color="auto"/>
            </w:tcBorders>
            <w:vAlign w:val="center"/>
          </w:tcPr>
          <w:p w14:paraId="06A94CC1" w14:textId="77777777" w:rsidR="00DA3FF2" w:rsidRPr="00060053" w:rsidRDefault="00DA3FF2">
            <w:pPr>
              <w:rPr>
                <w:rFonts w:asciiTheme="majorHAnsi" w:hAnsiTheme="majorHAnsi" w:cs="Arial"/>
                <w:sz w:val="22"/>
                <w:szCs w:val="22"/>
              </w:rPr>
            </w:pPr>
          </w:p>
        </w:tc>
        <w:tc>
          <w:tcPr>
            <w:tcW w:w="3230" w:type="dxa"/>
            <w:vMerge/>
            <w:tcBorders>
              <w:top w:val="nil"/>
              <w:left w:val="single" w:sz="8" w:space="0" w:color="auto"/>
              <w:bottom w:val="single" w:sz="8" w:space="0" w:color="000000"/>
              <w:right w:val="single" w:sz="8" w:space="0" w:color="auto"/>
            </w:tcBorders>
            <w:vAlign w:val="center"/>
          </w:tcPr>
          <w:p w14:paraId="06A94CC2" w14:textId="77777777" w:rsidR="00DA3FF2" w:rsidRPr="00060053" w:rsidRDefault="00DA3FF2">
            <w:pPr>
              <w:rPr>
                <w:rFonts w:asciiTheme="majorHAnsi" w:hAnsiTheme="majorHAnsi" w:cs="Arial"/>
                <w:sz w:val="22"/>
                <w:szCs w:val="22"/>
              </w:rPr>
            </w:pPr>
          </w:p>
        </w:tc>
      </w:tr>
    </w:tbl>
    <w:p w14:paraId="238FEB2F" w14:textId="77777777" w:rsidR="001539D9" w:rsidRDefault="001539D9" w:rsidP="00F53525">
      <w:pPr>
        <w:jc w:val="both"/>
        <w:rPr>
          <w:rFonts w:asciiTheme="majorHAnsi" w:hAnsiTheme="majorHAnsi"/>
          <w:sz w:val="18"/>
          <w:szCs w:val="18"/>
        </w:rPr>
      </w:pPr>
    </w:p>
    <w:p w14:paraId="7081A817" w14:textId="10BAD61B" w:rsidR="00D84D29" w:rsidRDefault="00D84D29" w:rsidP="00D84D29">
      <w:pPr>
        <w:jc w:val="center"/>
        <w:rPr>
          <w:rFonts w:asciiTheme="majorHAnsi" w:hAnsiTheme="majorHAnsi"/>
          <w:sz w:val="18"/>
          <w:szCs w:val="18"/>
        </w:rPr>
      </w:pPr>
      <w:r w:rsidRPr="00D84D29">
        <w:rPr>
          <w:noProof/>
        </w:rPr>
        <w:lastRenderedPageBreak/>
        <w:drawing>
          <wp:inline distT="0" distB="0" distL="0" distR="0" wp14:anchorId="546C0950" wp14:editId="2CBF0744">
            <wp:extent cx="4160885" cy="7659014"/>
            <wp:effectExtent l="0" t="0" r="0" b="0"/>
            <wp:docPr id="80454" name="Imagen 80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74456" cy="7683995"/>
                    </a:xfrm>
                    <a:prstGeom prst="rect">
                      <a:avLst/>
                    </a:prstGeom>
                    <a:noFill/>
                    <a:ln>
                      <a:noFill/>
                    </a:ln>
                  </pic:spPr>
                </pic:pic>
              </a:graphicData>
            </a:graphic>
          </wp:inline>
        </w:drawing>
      </w:r>
    </w:p>
    <w:p w14:paraId="391A6B46" w14:textId="77777777" w:rsidR="00D84D29" w:rsidRPr="00060053" w:rsidRDefault="00D84D29" w:rsidP="00F53525">
      <w:pPr>
        <w:jc w:val="both"/>
        <w:rPr>
          <w:rFonts w:asciiTheme="majorHAnsi" w:hAnsiTheme="majorHAnsi"/>
          <w:sz w:val="18"/>
          <w:szCs w:val="18"/>
        </w:rPr>
      </w:pPr>
    </w:p>
    <w:p w14:paraId="06A94D98" w14:textId="37867FF7" w:rsidR="00720430" w:rsidRPr="00060053" w:rsidRDefault="00720430" w:rsidP="00720430">
      <w:pPr>
        <w:jc w:val="center"/>
        <w:rPr>
          <w:rFonts w:asciiTheme="majorHAnsi" w:hAnsiTheme="majorHAnsi"/>
          <w:sz w:val="18"/>
          <w:szCs w:val="18"/>
        </w:rPr>
      </w:pPr>
    </w:p>
    <w:p w14:paraId="06A94D9A" w14:textId="77777777" w:rsidR="0032363C" w:rsidRPr="00060053" w:rsidRDefault="0032363C" w:rsidP="009D034C">
      <w:pPr>
        <w:rPr>
          <w:rFonts w:asciiTheme="majorHAnsi" w:hAnsiTheme="majorHAnsi"/>
          <w:b/>
          <w:sz w:val="18"/>
          <w:szCs w:val="18"/>
        </w:rPr>
        <w:sectPr w:rsidR="0032363C" w:rsidRPr="00060053" w:rsidSect="004E39A1">
          <w:pgSz w:w="12242" w:h="15842" w:code="1"/>
          <w:pgMar w:top="1418" w:right="1701" w:bottom="1418" w:left="1701" w:header="709" w:footer="709" w:gutter="0"/>
          <w:cols w:space="708"/>
          <w:docGrid w:linePitch="360"/>
        </w:sectPr>
      </w:pPr>
    </w:p>
    <w:p w14:paraId="06A94D9B" w14:textId="77777777" w:rsidR="005348DB" w:rsidRPr="00060053" w:rsidRDefault="005348DB" w:rsidP="009D034C">
      <w:pPr>
        <w:rPr>
          <w:rFonts w:asciiTheme="majorHAnsi" w:hAnsiTheme="majorHAnsi"/>
        </w:rPr>
      </w:pPr>
    </w:p>
    <w:p w14:paraId="06A94D9C" w14:textId="77777777" w:rsidR="005348DB" w:rsidRDefault="005348DB" w:rsidP="009D034C">
      <w:pPr>
        <w:rPr>
          <w:rFonts w:asciiTheme="majorHAnsi" w:hAnsiTheme="majorHAnsi"/>
        </w:rPr>
      </w:pPr>
    </w:p>
    <w:p w14:paraId="745D6F1E" w14:textId="770BEF6E" w:rsidR="00633BE1" w:rsidRPr="00060053" w:rsidRDefault="00633BE1" w:rsidP="009D034C">
      <w:pPr>
        <w:rPr>
          <w:rFonts w:asciiTheme="majorHAnsi" w:hAnsiTheme="majorHAnsi"/>
        </w:rPr>
      </w:pPr>
      <w:r w:rsidRPr="00633BE1">
        <w:rPr>
          <w:noProof/>
        </w:rPr>
        <w:drawing>
          <wp:inline distT="0" distB="0" distL="0" distR="0" wp14:anchorId="1049F289" wp14:editId="0DA4A041">
            <wp:extent cx="8258810" cy="2740434"/>
            <wp:effectExtent l="0" t="0" r="0" b="3175"/>
            <wp:docPr id="80461" name="Imagen 80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258810" cy="2740434"/>
                    </a:xfrm>
                    <a:prstGeom prst="rect">
                      <a:avLst/>
                    </a:prstGeom>
                    <a:noFill/>
                    <a:ln>
                      <a:noFill/>
                    </a:ln>
                  </pic:spPr>
                </pic:pic>
              </a:graphicData>
            </a:graphic>
          </wp:inline>
        </w:drawing>
      </w:r>
    </w:p>
    <w:p w14:paraId="06A94D9D" w14:textId="7FA48B77" w:rsidR="005348DB" w:rsidRPr="00060053" w:rsidRDefault="005348DB" w:rsidP="009D034C">
      <w:pPr>
        <w:rPr>
          <w:rFonts w:asciiTheme="majorHAnsi" w:hAnsiTheme="majorHAnsi"/>
        </w:rPr>
      </w:pPr>
    </w:p>
    <w:p w14:paraId="06A94DA0" w14:textId="77777777" w:rsidR="005348DB" w:rsidRPr="00060053" w:rsidRDefault="005348DB" w:rsidP="009D034C">
      <w:pPr>
        <w:rPr>
          <w:rFonts w:asciiTheme="majorHAnsi" w:hAnsiTheme="majorHAnsi"/>
          <w:sz w:val="22"/>
          <w:szCs w:val="22"/>
        </w:rPr>
      </w:pPr>
    </w:p>
    <w:p w14:paraId="06A94DA1" w14:textId="77777777" w:rsidR="005348DB" w:rsidRPr="00060053" w:rsidRDefault="005348DB" w:rsidP="009D034C">
      <w:pPr>
        <w:rPr>
          <w:rFonts w:asciiTheme="majorHAnsi" w:hAnsiTheme="majorHAnsi"/>
          <w:sz w:val="22"/>
          <w:szCs w:val="22"/>
        </w:rPr>
      </w:pPr>
    </w:p>
    <w:p w14:paraId="06A94DA2" w14:textId="36B25AC5" w:rsidR="0032363C" w:rsidRPr="00060053" w:rsidRDefault="005348DB" w:rsidP="00145B06">
      <w:pPr>
        <w:pStyle w:val="NormalWeb"/>
        <w:ind w:left="567" w:hanging="567"/>
        <w:jc w:val="both"/>
        <w:outlineLvl w:val="1"/>
        <w:rPr>
          <w:rFonts w:asciiTheme="majorHAnsi" w:hAnsiTheme="majorHAnsi" w:cs="Tahoma"/>
          <w:b/>
          <w:bCs/>
          <w:sz w:val="22"/>
          <w:szCs w:val="22"/>
          <w:lang w:val="es-ES_tradnl"/>
        </w:rPr>
      </w:pPr>
      <w:r w:rsidRPr="00060053">
        <w:rPr>
          <w:rFonts w:asciiTheme="majorHAnsi" w:hAnsiTheme="majorHAnsi"/>
        </w:rPr>
        <w:br w:type="page"/>
      </w:r>
      <w:bookmarkStart w:id="51" w:name="_Toc442253221"/>
      <w:r w:rsidR="00FC4BE2" w:rsidRPr="00151375">
        <w:rPr>
          <w:rFonts w:asciiTheme="majorHAnsi" w:hAnsiTheme="majorHAnsi" w:cs="Tahoma"/>
          <w:b/>
          <w:bCs/>
          <w:sz w:val="22"/>
          <w:szCs w:val="22"/>
          <w:lang w:val="es-ES_tradnl"/>
        </w:rPr>
        <w:lastRenderedPageBreak/>
        <w:t>2.</w:t>
      </w:r>
      <w:r w:rsidR="00D901A3" w:rsidRPr="00151375">
        <w:rPr>
          <w:rFonts w:asciiTheme="majorHAnsi" w:hAnsiTheme="majorHAnsi" w:cs="Tahoma"/>
          <w:b/>
          <w:bCs/>
          <w:sz w:val="22"/>
          <w:szCs w:val="22"/>
          <w:lang w:val="es-ES_tradnl"/>
        </w:rPr>
        <w:t>9</w:t>
      </w:r>
      <w:r w:rsidR="005C5DE5" w:rsidRPr="00151375">
        <w:rPr>
          <w:rFonts w:asciiTheme="majorHAnsi" w:hAnsiTheme="majorHAnsi" w:cs="Tahoma"/>
          <w:b/>
          <w:bCs/>
          <w:sz w:val="22"/>
          <w:szCs w:val="22"/>
          <w:lang w:val="es-ES_tradnl"/>
        </w:rPr>
        <w:tab/>
      </w:r>
      <w:r w:rsidR="0032363C" w:rsidRPr="00151375">
        <w:rPr>
          <w:rFonts w:asciiTheme="majorHAnsi" w:hAnsiTheme="majorHAnsi" w:cs="Tahoma"/>
          <w:b/>
          <w:bCs/>
          <w:sz w:val="22"/>
          <w:szCs w:val="22"/>
          <w:lang w:val="es-ES_tradnl"/>
        </w:rPr>
        <w:t>Justificación pago de cuotas de afiliación a organismos internacionales.</w:t>
      </w:r>
      <w:bookmarkEnd w:id="51"/>
    </w:p>
    <w:tbl>
      <w:tblPr>
        <w:tblW w:w="13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792"/>
        <w:gridCol w:w="4296"/>
        <w:gridCol w:w="3852"/>
      </w:tblGrid>
      <w:tr w:rsidR="0032363C" w:rsidRPr="00060053" w14:paraId="06A94DA7" w14:textId="77777777" w:rsidTr="007A3A13">
        <w:trPr>
          <w:tblHeader/>
        </w:trPr>
        <w:tc>
          <w:tcPr>
            <w:tcW w:w="2263" w:type="dxa"/>
            <w:shd w:val="clear" w:color="auto" w:fill="C6D9F1" w:themeFill="text2" w:themeFillTint="33"/>
            <w:vAlign w:val="center"/>
          </w:tcPr>
          <w:p w14:paraId="06A94DA3" w14:textId="77777777" w:rsidR="0032363C" w:rsidRPr="00060053" w:rsidRDefault="0032363C" w:rsidP="00B05EAB">
            <w:pPr>
              <w:rPr>
                <w:rFonts w:asciiTheme="majorHAnsi" w:hAnsiTheme="majorHAnsi" w:cs="Arial"/>
                <w:b/>
                <w:bCs/>
                <w:sz w:val="20"/>
                <w:szCs w:val="20"/>
              </w:rPr>
            </w:pPr>
            <w:r w:rsidRPr="00060053">
              <w:rPr>
                <w:rFonts w:asciiTheme="majorHAnsi" w:hAnsiTheme="majorHAnsi" w:cs="Arial"/>
                <w:b/>
                <w:bCs/>
                <w:sz w:val="20"/>
                <w:szCs w:val="20"/>
              </w:rPr>
              <w:t>Nombre de la Entidad</w:t>
            </w:r>
          </w:p>
        </w:tc>
        <w:tc>
          <w:tcPr>
            <w:tcW w:w="2792" w:type="dxa"/>
            <w:shd w:val="clear" w:color="auto" w:fill="C6D9F1" w:themeFill="text2" w:themeFillTint="33"/>
            <w:vAlign w:val="center"/>
          </w:tcPr>
          <w:p w14:paraId="06A94DA4" w14:textId="2BDA05BA" w:rsidR="0032363C" w:rsidRPr="00060053" w:rsidRDefault="0032363C" w:rsidP="00B05EAB">
            <w:pPr>
              <w:jc w:val="center"/>
              <w:rPr>
                <w:rFonts w:asciiTheme="majorHAnsi" w:hAnsiTheme="majorHAnsi" w:cs="Arial"/>
                <w:b/>
                <w:bCs/>
                <w:sz w:val="20"/>
                <w:szCs w:val="20"/>
              </w:rPr>
            </w:pPr>
            <w:r w:rsidRPr="00060053">
              <w:rPr>
                <w:rFonts w:asciiTheme="majorHAnsi" w:hAnsiTheme="majorHAnsi" w:cs="Arial"/>
                <w:b/>
                <w:bCs/>
                <w:sz w:val="20"/>
                <w:szCs w:val="20"/>
              </w:rPr>
              <w:t>Afinidad de los objetivos del organismo con los de la entidad (</w:t>
            </w:r>
            <w:r w:rsidR="00D277D9">
              <w:rPr>
                <w:rFonts w:asciiTheme="majorHAnsi" w:hAnsiTheme="majorHAnsi" w:cs="Arial"/>
                <w:b/>
                <w:bCs/>
                <w:sz w:val="20"/>
                <w:szCs w:val="20"/>
              </w:rPr>
              <w:t>SUPEN</w:t>
            </w:r>
            <w:r w:rsidRPr="00060053">
              <w:rPr>
                <w:rFonts w:asciiTheme="majorHAnsi" w:hAnsiTheme="majorHAnsi" w:cs="Arial"/>
                <w:b/>
                <w:bCs/>
                <w:sz w:val="20"/>
                <w:szCs w:val="20"/>
              </w:rPr>
              <w:t>)</w:t>
            </w:r>
          </w:p>
        </w:tc>
        <w:tc>
          <w:tcPr>
            <w:tcW w:w="4296" w:type="dxa"/>
            <w:shd w:val="clear" w:color="auto" w:fill="C6D9F1" w:themeFill="text2" w:themeFillTint="33"/>
            <w:vAlign w:val="center"/>
          </w:tcPr>
          <w:p w14:paraId="06A94DA5" w14:textId="77777777" w:rsidR="0032363C" w:rsidRPr="00060053" w:rsidRDefault="0032363C" w:rsidP="00B05EAB">
            <w:pPr>
              <w:jc w:val="center"/>
              <w:rPr>
                <w:rFonts w:asciiTheme="majorHAnsi" w:hAnsiTheme="majorHAnsi" w:cs="Arial"/>
                <w:b/>
                <w:bCs/>
                <w:sz w:val="20"/>
                <w:szCs w:val="20"/>
              </w:rPr>
            </w:pPr>
            <w:r w:rsidRPr="00060053">
              <w:rPr>
                <w:rFonts w:asciiTheme="majorHAnsi" w:hAnsiTheme="majorHAnsi" w:cs="Arial"/>
                <w:b/>
                <w:bCs/>
                <w:sz w:val="20"/>
                <w:szCs w:val="20"/>
              </w:rPr>
              <w:t>Propósitos del Organismo.</w:t>
            </w:r>
          </w:p>
        </w:tc>
        <w:tc>
          <w:tcPr>
            <w:tcW w:w="3852" w:type="dxa"/>
            <w:shd w:val="clear" w:color="auto" w:fill="C6D9F1" w:themeFill="text2" w:themeFillTint="33"/>
            <w:vAlign w:val="center"/>
          </w:tcPr>
          <w:p w14:paraId="06A94DA6" w14:textId="77777777" w:rsidR="0032363C" w:rsidRPr="00060053" w:rsidRDefault="0032363C" w:rsidP="00B05EAB">
            <w:pPr>
              <w:jc w:val="center"/>
              <w:rPr>
                <w:rFonts w:asciiTheme="majorHAnsi" w:hAnsiTheme="majorHAnsi" w:cs="Arial"/>
                <w:b/>
                <w:bCs/>
                <w:sz w:val="20"/>
                <w:szCs w:val="20"/>
              </w:rPr>
            </w:pPr>
            <w:r w:rsidRPr="00060053">
              <w:rPr>
                <w:rFonts w:asciiTheme="majorHAnsi" w:hAnsiTheme="majorHAnsi" w:cs="Arial"/>
                <w:b/>
                <w:bCs/>
                <w:sz w:val="20"/>
                <w:szCs w:val="20"/>
              </w:rPr>
              <w:t>Beneficios que obtiene la entidad</w:t>
            </w:r>
          </w:p>
        </w:tc>
      </w:tr>
      <w:tr w:rsidR="0032363C" w:rsidRPr="00060053" w14:paraId="06A94DC6" w14:textId="77777777" w:rsidTr="00CA61ED">
        <w:tc>
          <w:tcPr>
            <w:tcW w:w="2263" w:type="dxa"/>
            <w:vAlign w:val="center"/>
          </w:tcPr>
          <w:p w14:paraId="06A94DBB" w14:textId="77777777" w:rsidR="00475EC6" w:rsidRPr="00060053" w:rsidRDefault="00475EC6" w:rsidP="00475EC6">
            <w:pPr>
              <w:rPr>
                <w:rFonts w:asciiTheme="majorHAnsi" w:hAnsiTheme="majorHAnsi" w:cs="Arial"/>
                <w:b/>
                <w:sz w:val="18"/>
                <w:szCs w:val="18"/>
              </w:rPr>
            </w:pPr>
            <w:r w:rsidRPr="00060053">
              <w:rPr>
                <w:rFonts w:asciiTheme="majorHAnsi" w:hAnsiTheme="majorHAnsi" w:cs="Arial"/>
                <w:b/>
                <w:sz w:val="18"/>
                <w:szCs w:val="18"/>
              </w:rPr>
              <w:t>Organización Internacional de Sistema de Pensiones</w:t>
            </w:r>
          </w:p>
          <w:p w14:paraId="06A94DBC" w14:textId="77777777" w:rsidR="0032363C" w:rsidRPr="00060053" w:rsidRDefault="0032363C" w:rsidP="00475EC6">
            <w:pPr>
              <w:rPr>
                <w:rFonts w:asciiTheme="majorHAnsi" w:hAnsiTheme="majorHAnsi" w:cs="Arial"/>
                <w:sz w:val="18"/>
                <w:szCs w:val="18"/>
              </w:rPr>
            </w:pPr>
            <w:r w:rsidRPr="00060053">
              <w:rPr>
                <w:rFonts w:asciiTheme="majorHAnsi" w:hAnsiTheme="majorHAnsi" w:cs="Arial"/>
                <w:b/>
                <w:sz w:val="18"/>
                <w:szCs w:val="18"/>
              </w:rPr>
              <w:t>IOPS</w:t>
            </w:r>
          </w:p>
        </w:tc>
        <w:tc>
          <w:tcPr>
            <w:tcW w:w="2792" w:type="dxa"/>
            <w:vAlign w:val="center"/>
          </w:tcPr>
          <w:p w14:paraId="06A94DBD" w14:textId="77777777" w:rsidR="0032363C" w:rsidRPr="00060053" w:rsidRDefault="0032363C" w:rsidP="00475EC6">
            <w:pPr>
              <w:rPr>
                <w:rFonts w:asciiTheme="majorHAnsi" w:hAnsiTheme="majorHAnsi" w:cs="Arial"/>
                <w:sz w:val="18"/>
                <w:szCs w:val="18"/>
              </w:rPr>
            </w:pPr>
            <w:r w:rsidRPr="00060053">
              <w:rPr>
                <w:rFonts w:asciiTheme="majorHAnsi" w:hAnsiTheme="majorHAnsi" w:cs="Arial"/>
                <w:iCs/>
                <w:sz w:val="18"/>
                <w:szCs w:val="18"/>
              </w:rPr>
              <w:t xml:space="preserve">IOPS pretende establecer un conjunto de principios y estándares internacionales de supervisión y regulación de pensiones. Es una entidad de reciente creación con el patrocinio de la OECD la cual enfatizará en la cooperación e intercambio entre reguladores de pensiones. </w:t>
            </w:r>
          </w:p>
        </w:tc>
        <w:tc>
          <w:tcPr>
            <w:tcW w:w="4296" w:type="dxa"/>
            <w:vAlign w:val="center"/>
          </w:tcPr>
          <w:p w14:paraId="06A94DBE" w14:textId="77777777" w:rsidR="0032363C" w:rsidRPr="00060053" w:rsidRDefault="0032363C" w:rsidP="00475EC6">
            <w:pPr>
              <w:spacing w:line="360" w:lineRule="auto"/>
              <w:rPr>
                <w:rFonts w:asciiTheme="majorHAnsi" w:hAnsiTheme="majorHAnsi" w:cs="Arial"/>
                <w:sz w:val="18"/>
                <w:szCs w:val="18"/>
              </w:rPr>
            </w:pPr>
            <w:r w:rsidRPr="00060053">
              <w:rPr>
                <w:rFonts w:asciiTheme="majorHAnsi" w:hAnsiTheme="majorHAnsi" w:cs="Arial"/>
                <w:sz w:val="18"/>
                <w:szCs w:val="18"/>
              </w:rPr>
              <w:t>Los principales objetivos de la organización son:</w:t>
            </w:r>
          </w:p>
          <w:p w14:paraId="06A94DBF" w14:textId="77777777" w:rsidR="0032363C" w:rsidRPr="00060053" w:rsidRDefault="0032363C" w:rsidP="00475EC6">
            <w:pPr>
              <w:rPr>
                <w:rFonts w:asciiTheme="majorHAnsi" w:hAnsiTheme="majorHAnsi" w:cs="Arial"/>
                <w:sz w:val="18"/>
                <w:szCs w:val="18"/>
              </w:rPr>
            </w:pPr>
            <w:r w:rsidRPr="00060053">
              <w:rPr>
                <w:rFonts w:asciiTheme="majorHAnsi" w:hAnsiTheme="majorHAnsi" w:cs="Arial"/>
                <w:sz w:val="18"/>
                <w:szCs w:val="18"/>
              </w:rPr>
              <w:t>Promover cooperación internacional para la regulación de las pensiones y facilitar el contacto entre diferentes agencias de supervisión, diseñadores de política pública, académicos e investigadores del tema.</w:t>
            </w:r>
          </w:p>
          <w:p w14:paraId="06A94DC0" w14:textId="77777777" w:rsidR="0032363C" w:rsidRPr="00060053" w:rsidRDefault="0032363C" w:rsidP="00475EC6">
            <w:pPr>
              <w:rPr>
                <w:rFonts w:asciiTheme="majorHAnsi" w:hAnsiTheme="majorHAnsi" w:cs="Arial"/>
                <w:sz w:val="18"/>
                <w:szCs w:val="18"/>
              </w:rPr>
            </w:pPr>
          </w:p>
          <w:p w14:paraId="06A94DC1" w14:textId="77777777" w:rsidR="0032363C" w:rsidRPr="00060053" w:rsidRDefault="0032363C" w:rsidP="00475EC6">
            <w:pPr>
              <w:rPr>
                <w:rFonts w:asciiTheme="majorHAnsi" w:hAnsiTheme="majorHAnsi" w:cs="Arial"/>
                <w:sz w:val="18"/>
                <w:szCs w:val="18"/>
              </w:rPr>
            </w:pPr>
            <w:r w:rsidRPr="00060053">
              <w:rPr>
                <w:rFonts w:asciiTheme="majorHAnsi" w:hAnsiTheme="majorHAnsi" w:cs="Arial"/>
                <w:sz w:val="18"/>
                <w:szCs w:val="18"/>
              </w:rPr>
              <w:t>Permitir el mejoramiento de estadísticas en el sector pensiones,  su divulgación y análisis.</w:t>
            </w:r>
            <w:r w:rsidRPr="00060053">
              <w:rPr>
                <w:rFonts w:asciiTheme="majorHAnsi" w:hAnsiTheme="majorHAnsi" w:cs="Arial"/>
                <w:sz w:val="18"/>
                <w:szCs w:val="18"/>
              </w:rPr>
              <w:br/>
            </w:r>
          </w:p>
          <w:p w14:paraId="06A94DC2" w14:textId="77777777" w:rsidR="0032363C" w:rsidRPr="00060053" w:rsidRDefault="0032363C" w:rsidP="00475EC6">
            <w:pPr>
              <w:rPr>
                <w:rFonts w:asciiTheme="majorHAnsi" w:hAnsiTheme="majorHAnsi" w:cs="Arial"/>
                <w:sz w:val="18"/>
                <w:szCs w:val="18"/>
              </w:rPr>
            </w:pPr>
            <w:r w:rsidRPr="00060053">
              <w:rPr>
                <w:rFonts w:asciiTheme="majorHAnsi" w:hAnsiTheme="majorHAnsi" w:cs="Arial"/>
                <w:sz w:val="18"/>
                <w:szCs w:val="18"/>
              </w:rPr>
              <w:t>Promover y facilitar la comunicación de investigaciones e información entre los diferentes cuerpos reguladores.</w:t>
            </w:r>
          </w:p>
        </w:tc>
        <w:tc>
          <w:tcPr>
            <w:tcW w:w="3852" w:type="dxa"/>
            <w:vAlign w:val="center"/>
          </w:tcPr>
          <w:p w14:paraId="06A94DC3" w14:textId="77777777" w:rsidR="0032363C" w:rsidRPr="00060053" w:rsidRDefault="0032363C" w:rsidP="00475EC6">
            <w:pPr>
              <w:rPr>
                <w:rFonts w:asciiTheme="majorHAnsi" w:hAnsiTheme="majorHAnsi" w:cs="Arial"/>
                <w:sz w:val="18"/>
                <w:szCs w:val="18"/>
              </w:rPr>
            </w:pPr>
            <w:r w:rsidRPr="00060053">
              <w:rPr>
                <w:rFonts w:asciiTheme="majorHAnsi" w:hAnsiTheme="majorHAnsi" w:cs="Arial"/>
                <w:sz w:val="18"/>
                <w:szCs w:val="18"/>
              </w:rPr>
              <w:t xml:space="preserve">La IOPS es un foro de reciente creación cuyo antecedente es el INPRS (International Network of </w:t>
            </w:r>
            <w:proofErr w:type="spellStart"/>
            <w:r w:rsidRPr="00060053">
              <w:rPr>
                <w:rFonts w:asciiTheme="majorHAnsi" w:hAnsiTheme="majorHAnsi" w:cs="Arial"/>
                <w:sz w:val="18"/>
                <w:szCs w:val="18"/>
              </w:rPr>
              <w:t>Pension</w:t>
            </w:r>
            <w:proofErr w:type="spellEnd"/>
            <w:r w:rsidR="00F855F4" w:rsidRPr="00060053">
              <w:rPr>
                <w:rFonts w:asciiTheme="majorHAnsi" w:hAnsiTheme="majorHAnsi" w:cs="Arial"/>
                <w:sz w:val="18"/>
                <w:szCs w:val="18"/>
              </w:rPr>
              <w:t xml:space="preserve"> </w:t>
            </w:r>
            <w:proofErr w:type="spellStart"/>
            <w:r w:rsidRPr="00060053">
              <w:rPr>
                <w:rFonts w:asciiTheme="majorHAnsi" w:hAnsiTheme="majorHAnsi" w:cs="Arial"/>
                <w:sz w:val="18"/>
                <w:szCs w:val="18"/>
              </w:rPr>
              <w:t>Regulators</w:t>
            </w:r>
            <w:proofErr w:type="spellEnd"/>
            <w:r w:rsidRPr="00060053">
              <w:rPr>
                <w:rFonts w:asciiTheme="majorHAnsi" w:hAnsiTheme="majorHAnsi" w:cs="Arial"/>
                <w:sz w:val="18"/>
                <w:szCs w:val="18"/>
              </w:rPr>
              <w:t xml:space="preserve"> and </w:t>
            </w:r>
            <w:proofErr w:type="spellStart"/>
            <w:r w:rsidRPr="00060053">
              <w:rPr>
                <w:rFonts w:asciiTheme="majorHAnsi" w:hAnsiTheme="majorHAnsi" w:cs="Arial"/>
                <w:sz w:val="18"/>
                <w:szCs w:val="18"/>
              </w:rPr>
              <w:t>Supervisors</w:t>
            </w:r>
            <w:proofErr w:type="spellEnd"/>
            <w:r w:rsidRPr="00060053">
              <w:rPr>
                <w:rFonts w:asciiTheme="majorHAnsi" w:hAnsiTheme="majorHAnsi" w:cs="Arial"/>
                <w:sz w:val="18"/>
                <w:szCs w:val="18"/>
              </w:rPr>
              <w:t xml:space="preserve"> de la OECD). A diferencia de la AIOS esta red incorpora organismos de supervisión a nivel mundial de los más diversos sistemas de pensión existentes. Constituye una red más amplia de intercambio, análisis y cooperación en el sentido de abarcar esquemas de pensión de beneficio definido.</w:t>
            </w:r>
          </w:p>
          <w:p w14:paraId="06A94DC4" w14:textId="77777777" w:rsidR="0032363C" w:rsidRPr="00060053" w:rsidRDefault="0032363C" w:rsidP="00475EC6">
            <w:pPr>
              <w:rPr>
                <w:rFonts w:asciiTheme="majorHAnsi" w:hAnsiTheme="majorHAnsi" w:cs="Arial"/>
                <w:sz w:val="18"/>
                <w:szCs w:val="18"/>
              </w:rPr>
            </w:pPr>
          </w:p>
          <w:p w14:paraId="06A94DC5" w14:textId="1FC477C8" w:rsidR="00611467" w:rsidRPr="00060053" w:rsidRDefault="0032363C" w:rsidP="00475EC6">
            <w:pPr>
              <w:rPr>
                <w:rFonts w:asciiTheme="majorHAnsi" w:hAnsiTheme="majorHAnsi" w:cs="Arial"/>
                <w:sz w:val="18"/>
                <w:szCs w:val="18"/>
              </w:rPr>
            </w:pPr>
            <w:r w:rsidRPr="00060053">
              <w:rPr>
                <w:rFonts w:asciiTheme="majorHAnsi" w:hAnsiTheme="majorHAnsi" w:cs="Arial"/>
                <w:sz w:val="18"/>
                <w:szCs w:val="18"/>
              </w:rPr>
              <w:t xml:space="preserve">Pertenecer a esta red permitirá a la </w:t>
            </w:r>
            <w:r w:rsidR="00D277D9">
              <w:rPr>
                <w:rFonts w:asciiTheme="majorHAnsi" w:hAnsiTheme="majorHAnsi" w:cs="Arial"/>
                <w:sz w:val="18"/>
                <w:szCs w:val="18"/>
              </w:rPr>
              <w:t>SUPEN</w:t>
            </w:r>
            <w:r w:rsidRPr="00060053">
              <w:rPr>
                <w:rFonts w:asciiTheme="majorHAnsi" w:hAnsiTheme="majorHAnsi" w:cs="Arial"/>
                <w:sz w:val="18"/>
                <w:szCs w:val="18"/>
              </w:rPr>
              <w:t xml:space="preserve"> participar en estudios  comparativos de diferentes temas regulatorios, participar en la discusión de la elaboración de principios de supervisión mundiales que sirvan de estándar regulatorio local.</w:t>
            </w:r>
          </w:p>
        </w:tc>
      </w:tr>
      <w:tr w:rsidR="0032363C" w:rsidRPr="00060053" w14:paraId="06A94DD3" w14:textId="77777777" w:rsidTr="00CA61ED">
        <w:tc>
          <w:tcPr>
            <w:tcW w:w="2263" w:type="dxa"/>
            <w:vAlign w:val="center"/>
          </w:tcPr>
          <w:p w14:paraId="06A94DCC" w14:textId="77777777" w:rsidR="00475EC6" w:rsidRPr="00060053" w:rsidRDefault="00475EC6" w:rsidP="00475EC6">
            <w:pPr>
              <w:rPr>
                <w:rFonts w:asciiTheme="majorHAnsi" w:hAnsiTheme="majorHAnsi" w:cs="Arial"/>
                <w:b/>
                <w:sz w:val="18"/>
                <w:szCs w:val="18"/>
              </w:rPr>
            </w:pPr>
            <w:r w:rsidRPr="00060053">
              <w:rPr>
                <w:rFonts w:asciiTheme="majorHAnsi" w:hAnsiTheme="majorHAnsi" w:cs="Arial"/>
                <w:b/>
                <w:sz w:val="18"/>
                <w:szCs w:val="18"/>
              </w:rPr>
              <w:t>Asociación Internacional de Organismos de Supervisión</w:t>
            </w:r>
          </w:p>
          <w:p w14:paraId="06A94DCD" w14:textId="77777777" w:rsidR="0032363C" w:rsidRPr="00060053" w:rsidRDefault="0032363C" w:rsidP="00475EC6">
            <w:pPr>
              <w:rPr>
                <w:rFonts w:asciiTheme="majorHAnsi" w:hAnsiTheme="majorHAnsi" w:cs="Arial"/>
                <w:b/>
                <w:sz w:val="18"/>
                <w:szCs w:val="18"/>
              </w:rPr>
            </w:pPr>
            <w:r w:rsidRPr="00060053">
              <w:rPr>
                <w:rFonts w:asciiTheme="majorHAnsi" w:hAnsiTheme="majorHAnsi" w:cs="Arial"/>
                <w:b/>
                <w:sz w:val="18"/>
                <w:szCs w:val="18"/>
              </w:rPr>
              <w:t>AIOS</w:t>
            </w:r>
          </w:p>
        </w:tc>
        <w:tc>
          <w:tcPr>
            <w:tcW w:w="2792" w:type="dxa"/>
            <w:vAlign w:val="center"/>
          </w:tcPr>
          <w:p w14:paraId="06A94DCE" w14:textId="77777777" w:rsidR="0032363C" w:rsidRPr="00060053" w:rsidRDefault="0032363C" w:rsidP="005C5DE5">
            <w:pPr>
              <w:rPr>
                <w:rFonts w:asciiTheme="majorHAnsi" w:hAnsiTheme="majorHAnsi" w:cs="Arial"/>
                <w:sz w:val="18"/>
                <w:szCs w:val="18"/>
              </w:rPr>
            </w:pPr>
            <w:r w:rsidRPr="00060053">
              <w:rPr>
                <w:rStyle w:val="textoazul1"/>
                <w:rFonts w:asciiTheme="majorHAnsi" w:hAnsiTheme="majorHAnsi"/>
                <w:color w:val="auto"/>
              </w:rPr>
              <w:t xml:space="preserve">La Asociación Internacional de Organismos de Supervisión de Fondos de Pensiones –AIOS– es una entidad civil sin fines de lucro, compuesta por los organismos de supervisión de los sistemas de pensiones de capitalización individual de los siguientes países: Bolivia, Chile, Colombia, Costa Rica, El Salvador, México, Perú, </w:t>
            </w:r>
            <w:r w:rsidR="005C5DE5">
              <w:rPr>
                <w:rStyle w:val="textoazul1"/>
                <w:rFonts w:asciiTheme="majorHAnsi" w:hAnsiTheme="majorHAnsi"/>
                <w:color w:val="auto"/>
              </w:rPr>
              <w:t>Panamá</w:t>
            </w:r>
            <w:r w:rsidRPr="00060053">
              <w:rPr>
                <w:rStyle w:val="textoazul1"/>
                <w:rFonts w:asciiTheme="majorHAnsi" w:hAnsiTheme="majorHAnsi"/>
                <w:color w:val="auto"/>
              </w:rPr>
              <w:t>, República Dominicana y Uruguay.</w:t>
            </w:r>
          </w:p>
        </w:tc>
        <w:tc>
          <w:tcPr>
            <w:tcW w:w="4296" w:type="dxa"/>
            <w:vAlign w:val="center"/>
          </w:tcPr>
          <w:p w14:paraId="06A94DCF" w14:textId="77777777" w:rsidR="0032363C" w:rsidRPr="00060053" w:rsidRDefault="0032363C" w:rsidP="00475EC6">
            <w:pPr>
              <w:rPr>
                <w:rFonts w:asciiTheme="majorHAnsi" w:hAnsiTheme="majorHAnsi" w:cs="Arial"/>
                <w:sz w:val="18"/>
                <w:szCs w:val="18"/>
              </w:rPr>
            </w:pPr>
            <w:r w:rsidRPr="00060053">
              <w:rPr>
                <w:rStyle w:val="textoazul1"/>
                <w:rFonts w:asciiTheme="majorHAnsi" w:hAnsiTheme="majorHAnsi"/>
                <w:color w:val="auto"/>
              </w:rPr>
              <w:t>Son objetivos centrales de la AIOS:</w:t>
            </w:r>
            <w:r w:rsidRPr="00060053">
              <w:rPr>
                <w:rFonts w:asciiTheme="majorHAnsi" w:hAnsiTheme="majorHAnsi" w:cs="Arial"/>
                <w:sz w:val="18"/>
                <w:szCs w:val="18"/>
              </w:rPr>
              <w:br/>
            </w:r>
            <w:r w:rsidRPr="00060053">
              <w:rPr>
                <w:rFonts w:asciiTheme="majorHAnsi" w:hAnsiTheme="majorHAnsi" w:cs="Arial"/>
                <w:sz w:val="18"/>
                <w:szCs w:val="18"/>
              </w:rPr>
              <w:br/>
            </w:r>
            <w:r w:rsidRPr="00060053">
              <w:rPr>
                <w:rStyle w:val="textoazul1"/>
                <w:rFonts w:asciiTheme="majorHAnsi" w:hAnsiTheme="majorHAnsi"/>
                <w:color w:val="auto"/>
              </w:rPr>
              <w:t>Fomentar la interrelación entre los organismos encargados de la supervisión y control de la administración de los Fondos de Jubilaciones y Pensiones, tendiente al mejor cumplimiento de sus fines específicos.</w:t>
            </w:r>
            <w:r w:rsidRPr="00060053">
              <w:rPr>
                <w:rFonts w:asciiTheme="majorHAnsi" w:hAnsiTheme="majorHAnsi" w:cs="Arial"/>
                <w:sz w:val="18"/>
                <w:szCs w:val="18"/>
              </w:rPr>
              <w:br/>
            </w:r>
            <w:r w:rsidRPr="00060053">
              <w:rPr>
                <w:rFonts w:asciiTheme="majorHAnsi" w:hAnsiTheme="majorHAnsi" w:cs="Arial"/>
                <w:sz w:val="18"/>
                <w:szCs w:val="18"/>
              </w:rPr>
              <w:br/>
            </w:r>
            <w:r w:rsidRPr="00060053">
              <w:rPr>
                <w:rStyle w:val="textoazul1"/>
                <w:rFonts w:asciiTheme="majorHAnsi" w:hAnsiTheme="majorHAnsi"/>
                <w:color w:val="auto"/>
              </w:rPr>
              <w:t>Destacar la función del Estado, a través de dichos organismos, para garantizar los principios de transparencia, seguridad, legalidad y solidaridad en la administración de los Fondos de Pensiones.</w:t>
            </w:r>
            <w:r w:rsidRPr="00060053">
              <w:rPr>
                <w:rFonts w:asciiTheme="majorHAnsi" w:hAnsiTheme="majorHAnsi" w:cs="Arial"/>
                <w:sz w:val="18"/>
                <w:szCs w:val="18"/>
              </w:rPr>
              <w:br/>
            </w:r>
            <w:r w:rsidRPr="00060053">
              <w:rPr>
                <w:rFonts w:asciiTheme="majorHAnsi" w:hAnsiTheme="majorHAnsi" w:cs="Arial"/>
                <w:sz w:val="18"/>
                <w:szCs w:val="18"/>
              </w:rPr>
              <w:br/>
            </w:r>
            <w:r w:rsidRPr="00060053">
              <w:rPr>
                <w:rStyle w:val="textoazul1"/>
                <w:rFonts w:asciiTheme="majorHAnsi" w:hAnsiTheme="majorHAnsi"/>
                <w:color w:val="auto"/>
              </w:rPr>
              <w:t xml:space="preserve">Establecer y desarrollar programas de investigación, estudio y capacitación permanente en las cuestiones que hacen a la problemática del sistema previsional basado total o parcialmente en la capitalización </w:t>
            </w:r>
            <w:r w:rsidRPr="00060053">
              <w:rPr>
                <w:rStyle w:val="textoazul1"/>
                <w:rFonts w:asciiTheme="majorHAnsi" w:hAnsiTheme="majorHAnsi"/>
                <w:color w:val="auto"/>
              </w:rPr>
              <w:lastRenderedPageBreak/>
              <w:t>individual.</w:t>
            </w:r>
            <w:r w:rsidRPr="00060053">
              <w:rPr>
                <w:rFonts w:asciiTheme="majorHAnsi" w:hAnsiTheme="majorHAnsi" w:cs="Arial"/>
                <w:sz w:val="18"/>
                <w:szCs w:val="18"/>
              </w:rPr>
              <w:br/>
            </w:r>
            <w:r w:rsidRPr="00060053">
              <w:rPr>
                <w:rFonts w:asciiTheme="majorHAnsi" w:hAnsiTheme="majorHAnsi" w:cs="Arial"/>
                <w:sz w:val="18"/>
                <w:szCs w:val="18"/>
              </w:rPr>
              <w:br/>
            </w:r>
            <w:r w:rsidRPr="00060053">
              <w:rPr>
                <w:rStyle w:val="textoazul1"/>
                <w:rFonts w:asciiTheme="majorHAnsi" w:hAnsiTheme="majorHAnsi"/>
                <w:color w:val="auto"/>
              </w:rPr>
              <w:t>Proveer y facilitar el intercambio de información entre sus miembros en todas las materias que hacen a las funciones que ejercen y, en especial, la referida a legislación, jurisprudencia administrativa y judicial, sistemas operativos, métodos de control, procedimientos y prácticas de supervisión y régimen sancionador.</w:t>
            </w:r>
          </w:p>
          <w:p w14:paraId="06A94DD0" w14:textId="77777777" w:rsidR="0032363C" w:rsidRPr="00060053" w:rsidRDefault="0032363C" w:rsidP="00475EC6">
            <w:pPr>
              <w:rPr>
                <w:rFonts w:asciiTheme="majorHAnsi" w:hAnsiTheme="majorHAnsi" w:cs="Arial"/>
                <w:sz w:val="18"/>
                <w:szCs w:val="18"/>
              </w:rPr>
            </w:pPr>
          </w:p>
          <w:p w14:paraId="06A94DD1" w14:textId="77777777" w:rsidR="0032363C" w:rsidRPr="00060053" w:rsidRDefault="0032363C" w:rsidP="00475EC6">
            <w:pPr>
              <w:rPr>
                <w:rFonts w:asciiTheme="majorHAnsi" w:hAnsiTheme="majorHAnsi" w:cs="Arial"/>
                <w:sz w:val="18"/>
                <w:szCs w:val="18"/>
              </w:rPr>
            </w:pPr>
            <w:r w:rsidRPr="00060053">
              <w:rPr>
                <w:rStyle w:val="textoazul1"/>
                <w:rFonts w:asciiTheme="majorHAnsi" w:hAnsiTheme="majorHAnsi"/>
                <w:color w:val="auto"/>
              </w:rPr>
              <w:t>Promover la capacitación y entrenamiento constante y permanente de sus cuadros técnicos y profesionales, y el aprovechamiento de experiencias a través del intercambio de personal especializado, de información y otros medios.</w:t>
            </w:r>
            <w:r w:rsidRPr="00060053">
              <w:rPr>
                <w:rFonts w:asciiTheme="majorHAnsi" w:hAnsiTheme="majorHAnsi" w:cs="Arial"/>
                <w:sz w:val="18"/>
                <w:szCs w:val="18"/>
              </w:rPr>
              <w:br/>
            </w:r>
            <w:r w:rsidRPr="00060053">
              <w:rPr>
                <w:rFonts w:asciiTheme="majorHAnsi" w:hAnsiTheme="majorHAnsi" w:cs="Arial"/>
                <w:sz w:val="18"/>
                <w:szCs w:val="18"/>
              </w:rPr>
              <w:br/>
            </w:r>
            <w:r w:rsidRPr="00060053">
              <w:rPr>
                <w:rStyle w:val="textoazul1"/>
                <w:rFonts w:asciiTheme="majorHAnsi" w:hAnsiTheme="majorHAnsi"/>
                <w:color w:val="auto"/>
              </w:rPr>
              <w:t>Tender a la mayor estandarización posible del marco conceptual y normativo de la regulación y control, de la administración de Fondos de Pensiones.</w:t>
            </w:r>
            <w:r w:rsidRPr="00060053">
              <w:rPr>
                <w:rFonts w:asciiTheme="majorHAnsi" w:hAnsiTheme="majorHAnsi" w:cs="Arial"/>
                <w:sz w:val="18"/>
                <w:szCs w:val="18"/>
              </w:rPr>
              <w:br/>
            </w:r>
            <w:r w:rsidRPr="00060053">
              <w:rPr>
                <w:rFonts w:asciiTheme="majorHAnsi" w:hAnsiTheme="majorHAnsi" w:cs="Arial"/>
                <w:sz w:val="18"/>
                <w:szCs w:val="18"/>
              </w:rPr>
              <w:br/>
            </w:r>
            <w:r w:rsidRPr="00060053">
              <w:rPr>
                <w:rStyle w:val="textoazul1"/>
                <w:rFonts w:asciiTheme="majorHAnsi" w:hAnsiTheme="majorHAnsi"/>
                <w:color w:val="auto"/>
              </w:rPr>
              <w:t>Apoyar, a su solicitud, los cambios de la legislación interna de otros países para que se adopten Sistemas de Pensiones derivados de la capitalización individual.</w:t>
            </w:r>
            <w:r w:rsidRPr="00060053">
              <w:rPr>
                <w:rFonts w:asciiTheme="majorHAnsi" w:hAnsiTheme="majorHAnsi" w:cs="Arial"/>
                <w:sz w:val="18"/>
                <w:szCs w:val="18"/>
              </w:rPr>
              <w:br/>
            </w:r>
            <w:r w:rsidRPr="00060053">
              <w:rPr>
                <w:rFonts w:asciiTheme="majorHAnsi" w:hAnsiTheme="majorHAnsi" w:cs="Arial"/>
                <w:sz w:val="18"/>
                <w:szCs w:val="18"/>
              </w:rPr>
              <w:br/>
            </w:r>
            <w:r w:rsidRPr="00060053">
              <w:rPr>
                <w:rStyle w:val="textoazul1"/>
                <w:rFonts w:asciiTheme="majorHAnsi" w:hAnsiTheme="majorHAnsi"/>
                <w:color w:val="auto"/>
              </w:rPr>
              <w:t>En general, realizar todas las acciones tendientes al fortalecimiento, perfeccionamiento y expansión de los sistemas previsionales de capitalización individual, que no sean contrarias a las leyes nacionales e internacionales y a la ética.</w:t>
            </w:r>
          </w:p>
        </w:tc>
        <w:tc>
          <w:tcPr>
            <w:tcW w:w="3852" w:type="dxa"/>
            <w:vAlign w:val="center"/>
          </w:tcPr>
          <w:p w14:paraId="06A94DD2" w14:textId="77777777" w:rsidR="00611467" w:rsidRPr="00060053" w:rsidRDefault="0032363C" w:rsidP="00475EC6">
            <w:pPr>
              <w:rPr>
                <w:rFonts w:asciiTheme="majorHAnsi" w:hAnsiTheme="majorHAnsi" w:cs="Arial"/>
                <w:sz w:val="18"/>
                <w:szCs w:val="18"/>
              </w:rPr>
            </w:pPr>
            <w:r w:rsidRPr="00060053">
              <w:rPr>
                <w:rFonts w:asciiTheme="majorHAnsi" w:hAnsiTheme="majorHAnsi" w:cs="Arial"/>
                <w:sz w:val="18"/>
                <w:szCs w:val="18"/>
              </w:rPr>
              <w:lastRenderedPageBreak/>
              <w:t xml:space="preserve">AIOS es un foro latinoamericano de supervisores de fondos de pensión que permite intercambiar, de una manera informal y dinámica, preocupaciones y problemas comunes de regulación, supervisión y diseño de los sistemas de pensión. La AIOS se reúne dos veces al año a fin de realizar una Asamblea anual de miembros y darle seguimiento al trabajo de las comisiones técnicas. Este foro ha logrado emitir un documento de “Mejores prácticas de regulación y supervisión” el cual constituye una guía en el quehacer de los reguladores. </w:t>
            </w:r>
          </w:p>
        </w:tc>
      </w:tr>
      <w:tr w:rsidR="005303B0" w:rsidRPr="00060053" w14:paraId="7F481BBE" w14:textId="77777777" w:rsidTr="005303B0">
        <w:trPr>
          <w:trHeight w:val="412"/>
        </w:trPr>
        <w:tc>
          <w:tcPr>
            <w:tcW w:w="2263" w:type="dxa"/>
            <w:shd w:val="clear" w:color="auto" w:fill="auto"/>
            <w:vAlign w:val="center"/>
          </w:tcPr>
          <w:p w14:paraId="5BCAA8DB" w14:textId="77777777" w:rsidR="005303B0" w:rsidRPr="00060053" w:rsidRDefault="005303B0" w:rsidP="005303B0">
            <w:pPr>
              <w:rPr>
                <w:rFonts w:asciiTheme="majorHAnsi" w:hAnsiTheme="majorHAnsi" w:cs="Arial"/>
                <w:b/>
                <w:sz w:val="18"/>
                <w:szCs w:val="18"/>
              </w:rPr>
            </w:pPr>
            <w:r w:rsidRPr="00060053">
              <w:rPr>
                <w:rFonts w:asciiTheme="majorHAnsi" w:hAnsiTheme="majorHAnsi" w:cs="Arial"/>
                <w:b/>
                <w:sz w:val="18"/>
                <w:szCs w:val="18"/>
              </w:rPr>
              <w:lastRenderedPageBreak/>
              <w:t>Conferencia Internacional de Seguridad Social</w:t>
            </w:r>
          </w:p>
          <w:p w14:paraId="134AE685" w14:textId="08BCCDA0" w:rsidR="005303B0" w:rsidRPr="00060053" w:rsidRDefault="005303B0" w:rsidP="005303B0">
            <w:pPr>
              <w:rPr>
                <w:rFonts w:asciiTheme="majorHAnsi" w:hAnsiTheme="majorHAnsi"/>
                <w:b/>
                <w:sz w:val="18"/>
                <w:szCs w:val="18"/>
              </w:rPr>
            </w:pPr>
            <w:r w:rsidRPr="00060053">
              <w:rPr>
                <w:rFonts w:asciiTheme="majorHAnsi" w:hAnsiTheme="majorHAnsi" w:cs="Arial"/>
                <w:b/>
                <w:sz w:val="18"/>
                <w:szCs w:val="18"/>
              </w:rPr>
              <w:t>CISS</w:t>
            </w:r>
          </w:p>
        </w:tc>
        <w:tc>
          <w:tcPr>
            <w:tcW w:w="2792" w:type="dxa"/>
            <w:shd w:val="clear" w:color="auto" w:fill="auto"/>
            <w:vAlign w:val="center"/>
          </w:tcPr>
          <w:p w14:paraId="3B7A44EC" w14:textId="7AFFB89E" w:rsidR="005303B0" w:rsidRPr="00060053" w:rsidRDefault="005303B0" w:rsidP="005303B0">
            <w:pPr>
              <w:rPr>
                <w:rFonts w:asciiTheme="majorHAnsi" w:hAnsiTheme="majorHAnsi"/>
                <w:sz w:val="18"/>
                <w:szCs w:val="18"/>
              </w:rPr>
            </w:pPr>
            <w:r w:rsidRPr="00060053">
              <w:rPr>
                <w:rFonts w:asciiTheme="majorHAnsi" w:hAnsiTheme="majorHAnsi" w:cs="Arial"/>
                <w:sz w:val="18"/>
                <w:szCs w:val="18"/>
              </w:rPr>
              <w:t xml:space="preserve">La CISS es un organismo internacional, técnico, especializado y sin fines de lucro, de carácter permanente , integrado por órganos gubernamentales, instituciones y otras entidades de América, que </w:t>
            </w:r>
            <w:r w:rsidRPr="00060053">
              <w:rPr>
                <w:rFonts w:asciiTheme="majorHAnsi" w:hAnsiTheme="majorHAnsi" w:cs="Arial"/>
                <w:sz w:val="18"/>
                <w:szCs w:val="18"/>
              </w:rPr>
              <w:lastRenderedPageBreak/>
              <w:t>norman, administran, gestionan, supervisan, estudian o investigan uno o más aspectos de la seguridad social.</w:t>
            </w:r>
            <w:r w:rsidRPr="00060053">
              <w:rPr>
                <w:rFonts w:asciiTheme="majorHAnsi" w:hAnsiTheme="majorHAnsi" w:cs="Arial"/>
                <w:sz w:val="18"/>
                <w:szCs w:val="18"/>
              </w:rPr>
              <w:br/>
            </w:r>
            <w:r w:rsidRPr="00060053">
              <w:rPr>
                <w:rFonts w:asciiTheme="majorHAnsi" w:hAnsiTheme="majorHAnsi" w:cs="Arial"/>
                <w:sz w:val="18"/>
                <w:szCs w:val="18"/>
              </w:rPr>
              <w:br/>
              <w:t xml:space="preserve">La CISS fue fundada en 1942, en Santiago de Chile y actualmente cuenta con </w:t>
            </w:r>
            <w:r>
              <w:rPr>
                <w:rFonts w:asciiTheme="majorHAnsi" w:hAnsiTheme="majorHAnsi" w:cs="Arial"/>
                <w:sz w:val="18"/>
                <w:szCs w:val="18"/>
              </w:rPr>
              <w:t>70</w:t>
            </w:r>
            <w:r w:rsidRPr="00060053">
              <w:rPr>
                <w:rFonts w:asciiTheme="majorHAnsi" w:hAnsiTheme="majorHAnsi" w:cs="Arial"/>
                <w:sz w:val="18"/>
                <w:szCs w:val="18"/>
              </w:rPr>
              <w:t xml:space="preserve"> instituciones miembros que representan a 36 países de América</w:t>
            </w:r>
            <w:r>
              <w:rPr>
                <w:rFonts w:asciiTheme="majorHAnsi" w:hAnsiTheme="majorHAnsi" w:cs="Arial"/>
                <w:sz w:val="18"/>
                <w:szCs w:val="18"/>
              </w:rPr>
              <w:t>.</w:t>
            </w:r>
          </w:p>
        </w:tc>
        <w:tc>
          <w:tcPr>
            <w:tcW w:w="4296" w:type="dxa"/>
            <w:shd w:val="clear" w:color="auto" w:fill="auto"/>
            <w:vAlign w:val="center"/>
          </w:tcPr>
          <w:p w14:paraId="29D6288F" w14:textId="77777777" w:rsidR="005303B0" w:rsidRPr="00060053" w:rsidRDefault="005303B0" w:rsidP="005303B0">
            <w:pPr>
              <w:pStyle w:val="NormalWeb"/>
              <w:rPr>
                <w:rFonts w:asciiTheme="majorHAnsi" w:hAnsiTheme="majorHAnsi" w:cs="Arial"/>
                <w:sz w:val="18"/>
                <w:szCs w:val="18"/>
              </w:rPr>
            </w:pPr>
            <w:smartTag w:uri="urn:schemas-microsoft-com:office:smarttags" w:element="PersonName">
              <w:smartTagPr>
                <w:attr w:name="ProductID" w:val="La Conferencia Interamericana"/>
              </w:smartTagPr>
              <w:r w:rsidRPr="00060053">
                <w:rPr>
                  <w:rFonts w:asciiTheme="majorHAnsi" w:hAnsiTheme="majorHAnsi" w:cs="Arial"/>
                  <w:sz w:val="18"/>
                  <w:szCs w:val="18"/>
                </w:rPr>
                <w:lastRenderedPageBreak/>
                <w:t>La Conferencia Interamericana</w:t>
              </w:r>
            </w:smartTag>
            <w:r w:rsidRPr="00060053">
              <w:rPr>
                <w:rFonts w:asciiTheme="majorHAnsi" w:hAnsiTheme="majorHAnsi" w:cs="Arial"/>
                <w:sz w:val="18"/>
                <w:szCs w:val="18"/>
              </w:rPr>
              <w:t xml:space="preserve"> de Seguridad Social (CISS) es un organismo internacional técnico y especializado, de carácter permanente que tiene las siguientes finalidades:</w:t>
            </w:r>
          </w:p>
          <w:p w14:paraId="17DEBEDB" w14:textId="77777777" w:rsidR="005303B0" w:rsidRPr="00060053" w:rsidRDefault="005303B0" w:rsidP="005303B0">
            <w:pPr>
              <w:numPr>
                <w:ilvl w:val="0"/>
                <w:numId w:val="6"/>
              </w:numPr>
              <w:tabs>
                <w:tab w:val="clear" w:pos="720"/>
              </w:tabs>
              <w:overflowPunct w:val="0"/>
              <w:autoSpaceDE w:val="0"/>
              <w:autoSpaceDN w:val="0"/>
              <w:adjustRightInd w:val="0"/>
              <w:spacing w:before="100" w:beforeAutospacing="1" w:after="100" w:afterAutospacing="1"/>
              <w:ind w:left="432"/>
              <w:textAlignment w:val="baseline"/>
              <w:rPr>
                <w:rFonts w:asciiTheme="majorHAnsi" w:hAnsiTheme="majorHAnsi" w:cs="Arial"/>
                <w:sz w:val="18"/>
                <w:szCs w:val="18"/>
              </w:rPr>
            </w:pPr>
            <w:r w:rsidRPr="00060053">
              <w:rPr>
                <w:rFonts w:asciiTheme="majorHAnsi" w:hAnsiTheme="majorHAnsi" w:cs="Arial"/>
                <w:sz w:val="18"/>
                <w:szCs w:val="18"/>
              </w:rPr>
              <w:t xml:space="preserve">Contribuir al desarrollo de la seguridad social en los países de América, y cooperar con las </w:t>
            </w:r>
            <w:r w:rsidRPr="00060053">
              <w:rPr>
                <w:rFonts w:asciiTheme="majorHAnsi" w:hAnsiTheme="majorHAnsi" w:cs="Arial"/>
                <w:sz w:val="18"/>
                <w:szCs w:val="18"/>
              </w:rPr>
              <w:lastRenderedPageBreak/>
              <w:t xml:space="preserve">instituciones y administraciones de seguridad social. </w:t>
            </w:r>
          </w:p>
          <w:p w14:paraId="574CA748" w14:textId="77777777" w:rsidR="005303B0" w:rsidRPr="00060053" w:rsidRDefault="005303B0" w:rsidP="005303B0">
            <w:pPr>
              <w:numPr>
                <w:ilvl w:val="0"/>
                <w:numId w:val="6"/>
              </w:numPr>
              <w:tabs>
                <w:tab w:val="clear" w:pos="720"/>
              </w:tabs>
              <w:overflowPunct w:val="0"/>
              <w:autoSpaceDE w:val="0"/>
              <w:autoSpaceDN w:val="0"/>
              <w:adjustRightInd w:val="0"/>
              <w:spacing w:before="100" w:beforeAutospacing="1" w:after="100" w:afterAutospacing="1"/>
              <w:ind w:left="432"/>
              <w:textAlignment w:val="baseline"/>
              <w:rPr>
                <w:rFonts w:asciiTheme="majorHAnsi" w:hAnsiTheme="majorHAnsi" w:cs="Arial"/>
                <w:sz w:val="18"/>
                <w:szCs w:val="18"/>
              </w:rPr>
            </w:pPr>
            <w:r w:rsidRPr="00060053">
              <w:rPr>
                <w:rFonts w:asciiTheme="majorHAnsi" w:hAnsiTheme="majorHAnsi" w:cs="Arial"/>
                <w:sz w:val="18"/>
                <w:szCs w:val="18"/>
              </w:rPr>
              <w:t xml:space="preserve">Emitir declaraciones, adoptar resoluciones y formular recomendaciones en materia de seguridad social, y promover su difusión para que se consideren en las políticas y programas de planificación. </w:t>
            </w:r>
          </w:p>
          <w:p w14:paraId="32BA5930" w14:textId="77777777" w:rsidR="005303B0" w:rsidRPr="00060053" w:rsidRDefault="005303B0" w:rsidP="005303B0">
            <w:pPr>
              <w:numPr>
                <w:ilvl w:val="0"/>
                <w:numId w:val="6"/>
              </w:numPr>
              <w:tabs>
                <w:tab w:val="clear" w:pos="720"/>
              </w:tabs>
              <w:overflowPunct w:val="0"/>
              <w:autoSpaceDE w:val="0"/>
              <w:autoSpaceDN w:val="0"/>
              <w:adjustRightInd w:val="0"/>
              <w:spacing w:before="100" w:beforeAutospacing="1" w:after="100" w:afterAutospacing="1"/>
              <w:ind w:left="432"/>
              <w:textAlignment w:val="baseline"/>
              <w:rPr>
                <w:rFonts w:asciiTheme="majorHAnsi" w:hAnsiTheme="majorHAnsi" w:cs="Arial"/>
                <w:sz w:val="18"/>
                <w:szCs w:val="18"/>
              </w:rPr>
            </w:pPr>
            <w:r w:rsidRPr="00060053">
              <w:rPr>
                <w:rFonts w:asciiTheme="majorHAnsi" w:hAnsiTheme="majorHAnsi" w:cs="Arial"/>
                <w:sz w:val="18"/>
                <w:szCs w:val="18"/>
              </w:rPr>
              <w:t xml:space="preserve">Impulsar la cooperación e intercambio de experiencias entre las instituciones y administraciones de seguridad social y con otras instituciones y organizaciones afines. </w:t>
            </w:r>
          </w:p>
          <w:p w14:paraId="5CB2EBF2" w14:textId="31FC4CB9" w:rsidR="005303B0" w:rsidRPr="005303B0" w:rsidRDefault="005303B0" w:rsidP="005303B0">
            <w:pPr>
              <w:pStyle w:val="Prrafodelista"/>
              <w:numPr>
                <w:ilvl w:val="0"/>
                <w:numId w:val="6"/>
              </w:numPr>
              <w:tabs>
                <w:tab w:val="clear" w:pos="720"/>
              </w:tabs>
              <w:ind w:left="502"/>
              <w:rPr>
                <w:rFonts w:asciiTheme="majorHAnsi" w:hAnsiTheme="majorHAnsi" w:cs="Arial"/>
                <w:sz w:val="18"/>
                <w:szCs w:val="18"/>
              </w:rPr>
            </w:pPr>
            <w:r w:rsidRPr="005303B0">
              <w:rPr>
                <w:rFonts w:asciiTheme="majorHAnsi" w:hAnsiTheme="majorHAnsi" w:cs="Arial"/>
                <w:sz w:val="18"/>
                <w:szCs w:val="18"/>
              </w:rPr>
              <w:t>Fomentar y orientar la capacitación de recursos humanos al servicio de la seguridad social.</w:t>
            </w:r>
          </w:p>
        </w:tc>
        <w:tc>
          <w:tcPr>
            <w:tcW w:w="3852" w:type="dxa"/>
            <w:shd w:val="clear" w:color="auto" w:fill="auto"/>
            <w:vAlign w:val="center"/>
          </w:tcPr>
          <w:p w14:paraId="09F7EFD9" w14:textId="77777777" w:rsidR="005303B0" w:rsidRPr="00060053" w:rsidRDefault="005303B0" w:rsidP="005303B0">
            <w:pPr>
              <w:rPr>
                <w:rFonts w:asciiTheme="majorHAnsi" w:hAnsiTheme="majorHAnsi" w:cs="Arial"/>
                <w:sz w:val="18"/>
                <w:szCs w:val="18"/>
              </w:rPr>
            </w:pPr>
            <w:r w:rsidRPr="00060053">
              <w:rPr>
                <w:rFonts w:asciiTheme="majorHAnsi" w:hAnsiTheme="majorHAnsi" w:cs="Arial"/>
                <w:sz w:val="18"/>
                <w:szCs w:val="18"/>
              </w:rPr>
              <w:lastRenderedPageBreak/>
              <w:t xml:space="preserve">La afiliación a este organismo permite intercambiar en un foro del más alto nivel experiencias exitosas de reforma, gestión, regulación y supervisión de sistemas de pensiones a nivel interamericano. Además de ello, el CISS mantiene comisiones permanentes de trabajo en las áreas de Actuaría y </w:t>
            </w:r>
            <w:r w:rsidRPr="00060053">
              <w:rPr>
                <w:rFonts w:asciiTheme="majorHAnsi" w:hAnsiTheme="majorHAnsi" w:cs="Arial"/>
                <w:sz w:val="18"/>
                <w:szCs w:val="18"/>
              </w:rPr>
              <w:lastRenderedPageBreak/>
              <w:t xml:space="preserve">Financiamiento y actuarial,  materias de permanente interés para </w:t>
            </w:r>
            <w:smartTag w:uri="urn:schemas-microsoft-com:office:smarttags" w:element="PersonName">
              <w:smartTagPr>
                <w:attr w:name="ProductID" w:val="la SuPen."/>
              </w:smartTagPr>
              <w:r w:rsidRPr="00060053">
                <w:rPr>
                  <w:rFonts w:asciiTheme="majorHAnsi" w:hAnsiTheme="majorHAnsi" w:cs="Arial"/>
                  <w:sz w:val="18"/>
                  <w:szCs w:val="18"/>
                </w:rPr>
                <w:t>la SuPen.</w:t>
              </w:r>
            </w:smartTag>
          </w:p>
          <w:p w14:paraId="07B90744" w14:textId="77777777" w:rsidR="005303B0" w:rsidRPr="00060053" w:rsidRDefault="005303B0" w:rsidP="005303B0">
            <w:pPr>
              <w:rPr>
                <w:rFonts w:asciiTheme="majorHAnsi" w:hAnsiTheme="majorHAnsi" w:cs="Arial"/>
                <w:sz w:val="18"/>
                <w:szCs w:val="18"/>
              </w:rPr>
            </w:pPr>
          </w:p>
          <w:p w14:paraId="5712976D" w14:textId="3B8E6ACE" w:rsidR="005303B0" w:rsidRPr="00060053" w:rsidRDefault="005303B0" w:rsidP="00475EC6">
            <w:pPr>
              <w:rPr>
                <w:rFonts w:asciiTheme="majorHAnsi" w:hAnsiTheme="majorHAnsi" w:cs="Arial"/>
                <w:sz w:val="18"/>
                <w:szCs w:val="18"/>
              </w:rPr>
            </w:pPr>
            <w:r w:rsidRPr="00060053">
              <w:rPr>
                <w:rFonts w:asciiTheme="majorHAnsi" w:hAnsiTheme="majorHAnsi" w:cs="Arial"/>
                <w:sz w:val="18"/>
                <w:szCs w:val="18"/>
              </w:rPr>
              <w:t>Finalmente, el CISS cuenta con el Centro Interamericano de Estudios en Seguridad Social, brazo académico que mantiene en forma regular cursos de interés para la Superintendencia. El acceso a estos cursos permite lograr objetivos de capacitación específica, de alto nivel y a un costo razonable para las entidades miembros.</w:t>
            </w:r>
          </w:p>
        </w:tc>
      </w:tr>
      <w:tr w:rsidR="005303B0" w:rsidRPr="00060053" w14:paraId="060C8633" w14:textId="77777777" w:rsidTr="005303B0">
        <w:trPr>
          <w:trHeight w:val="412"/>
        </w:trPr>
        <w:tc>
          <w:tcPr>
            <w:tcW w:w="2263" w:type="dxa"/>
            <w:shd w:val="clear" w:color="auto" w:fill="auto"/>
            <w:vAlign w:val="center"/>
          </w:tcPr>
          <w:p w14:paraId="0C48DE07" w14:textId="5F4AD0EE" w:rsidR="005303B0" w:rsidRDefault="005303B0" w:rsidP="005303B0">
            <w:pPr>
              <w:rPr>
                <w:rFonts w:asciiTheme="majorHAnsi" w:hAnsiTheme="majorHAnsi"/>
                <w:b/>
                <w:sz w:val="18"/>
                <w:szCs w:val="18"/>
              </w:rPr>
            </w:pPr>
            <w:r w:rsidRPr="005303B0">
              <w:rPr>
                <w:rFonts w:asciiTheme="majorHAnsi" w:hAnsiTheme="majorHAnsi"/>
                <w:b/>
                <w:bCs/>
                <w:sz w:val="18"/>
                <w:szCs w:val="18"/>
                <w:lang w:val="es-CR"/>
              </w:rPr>
              <w:lastRenderedPageBreak/>
              <w:t>Organización Iberoamericana</w:t>
            </w:r>
            <w:r w:rsidRPr="005303B0">
              <w:rPr>
                <w:rFonts w:asciiTheme="majorHAnsi" w:hAnsiTheme="majorHAnsi"/>
                <w:b/>
                <w:bCs/>
                <w:sz w:val="18"/>
                <w:szCs w:val="18"/>
                <w:lang w:val="es-CR"/>
              </w:rPr>
              <w:br/>
              <w:t>de Seguridad Social.</w:t>
            </w:r>
          </w:p>
        </w:tc>
        <w:tc>
          <w:tcPr>
            <w:tcW w:w="2792" w:type="dxa"/>
            <w:shd w:val="clear" w:color="auto" w:fill="auto"/>
            <w:vAlign w:val="center"/>
          </w:tcPr>
          <w:p w14:paraId="19D5EAA4" w14:textId="77777777" w:rsidR="005303B0" w:rsidRPr="005303B0" w:rsidRDefault="005303B0" w:rsidP="005303B0">
            <w:pPr>
              <w:rPr>
                <w:rFonts w:asciiTheme="majorHAnsi" w:hAnsiTheme="majorHAnsi" w:cs="Arial"/>
                <w:sz w:val="18"/>
                <w:szCs w:val="18"/>
              </w:rPr>
            </w:pPr>
            <w:r w:rsidRPr="005303B0">
              <w:rPr>
                <w:rFonts w:asciiTheme="majorHAnsi" w:hAnsiTheme="majorHAnsi" w:cs="Arial"/>
                <w:sz w:val="18"/>
                <w:szCs w:val="18"/>
              </w:rPr>
              <w:t>Organismo de carácter técnico y especializado, que tiene como finalidad promover el bienestar económico y social mediante la coordinación e intercambio de experiencias en Seguridad Social, con sus oficinas centrales en España.</w:t>
            </w:r>
          </w:p>
          <w:p w14:paraId="3E9755F1" w14:textId="77777777" w:rsidR="005303B0" w:rsidRPr="005303B0" w:rsidRDefault="005303B0" w:rsidP="005303B0">
            <w:pPr>
              <w:rPr>
                <w:rFonts w:asciiTheme="majorHAnsi" w:hAnsiTheme="majorHAnsi" w:cs="Arial"/>
                <w:sz w:val="18"/>
                <w:szCs w:val="18"/>
              </w:rPr>
            </w:pPr>
            <w:r w:rsidRPr="005303B0">
              <w:rPr>
                <w:rFonts w:asciiTheme="majorHAnsi" w:hAnsiTheme="majorHAnsi" w:cs="Arial"/>
                <w:sz w:val="18"/>
                <w:szCs w:val="18"/>
              </w:rPr>
              <w:t>Está constituida por más de 160 instituciones.</w:t>
            </w:r>
          </w:p>
          <w:p w14:paraId="627A7381" w14:textId="77777777" w:rsidR="005303B0" w:rsidRPr="00060053" w:rsidRDefault="005303B0" w:rsidP="005303B0">
            <w:pPr>
              <w:rPr>
                <w:rFonts w:asciiTheme="majorHAnsi" w:hAnsiTheme="majorHAnsi" w:cs="Arial"/>
                <w:sz w:val="18"/>
                <w:szCs w:val="18"/>
              </w:rPr>
            </w:pPr>
          </w:p>
        </w:tc>
        <w:tc>
          <w:tcPr>
            <w:tcW w:w="4296" w:type="dxa"/>
            <w:shd w:val="clear" w:color="auto" w:fill="auto"/>
            <w:vAlign w:val="center"/>
          </w:tcPr>
          <w:p w14:paraId="2B722592" w14:textId="77777777" w:rsidR="00C914CA" w:rsidRPr="0059031C" w:rsidRDefault="00C914CA" w:rsidP="00547B19">
            <w:pPr>
              <w:pStyle w:val="NormalWeb"/>
              <w:numPr>
                <w:ilvl w:val="0"/>
                <w:numId w:val="25"/>
              </w:numPr>
              <w:rPr>
                <w:rFonts w:asciiTheme="majorHAnsi" w:hAnsiTheme="majorHAnsi" w:cs="Arial"/>
                <w:sz w:val="18"/>
                <w:szCs w:val="18"/>
              </w:rPr>
            </w:pPr>
            <w:r w:rsidRPr="0059031C">
              <w:rPr>
                <w:rFonts w:asciiTheme="majorHAnsi" w:eastAsia="Times New Roman" w:hAnsiTheme="majorHAnsi" w:cs="Arial"/>
                <w:sz w:val="18"/>
                <w:szCs w:val="18"/>
              </w:rPr>
              <w:t>Promover acciones para la universalización de la Seguridad Social.</w:t>
            </w:r>
          </w:p>
          <w:p w14:paraId="55182AFA" w14:textId="77777777" w:rsidR="00C914CA" w:rsidRPr="0059031C" w:rsidRDefault="00C914CA" w:rsidP="00547B19">
            <w:pPr>
              <w:pStyle w:val="NormalWeb"/>
              <w:numPr>
                <w:ilvl w:val="0"/>
                <w:numId w:val="25"/>
              </w:numPr>
              <w:rPr>
                <w:rFonts w:asciiTheme="majorHAnsi" w:hAnsiTheme="majorHAnsi" w:cs="Arial"/>
                <w:sz w:val="18"/>
                <w:szCs w:val="18"/>
              </w:rPr>
            </w:pPr>
            <w:r w:rsidRPr="0059031C">
              <w:rPr>
                <w:rFonts w:asciiTheme="majorHAnsi" w:eastAsia="Times New Roman" w:hAnsiTheme="majorHAnsi" w:cs="Arial"/>
                <w:sz w:val="18"/>
                <w:szCs w:val="18"/>
              </w:rPr>
              <w:t>Colaborar en el desarrollo de los sistemas de Seguridad Social, prestando asesoramiento y ayuda técnica necesaria a lo miembros.</w:t>
            </w:r>
          </w:p>
          <w:p w14:paraId="1B35A9F7" w14:textId="77777777" w:rsidR="00C914CA" w:rsidRPr="0059031C" w:rsidRDefault="00C914CA" w:rsidP="00547B19">
            <w:pPr>
              <w:pStyle w:val="NormalWeb"/>
              <w:numPr>
                <w:ilvl w:val="0"/>
                <w:numId w:val="25"/>
              </w:numPr>
              <w:rPr>
                <w:rFonts w:asciiTheme="majorHAnsi" w:hAnsiTheme="majorHAnsi" w:cs="Arial"/>
                <w:sz w:val="18"/>
                <w:szCs w:val="18"/>
              </w:rPr>
            </w:pPr>
            <w:r w:rsidRPr="0059031C">
              <w:rPr>
                <w:rFonts w:asciiTheme="majorHAnsi" w:eastAsia="Times New Roman" w:hAnsiTheme="majorHAnsi" w:cs="Arial"/>
                <w:sz w:val="18"/>
                <w:szCs w:val="18"/>
              </w:rPr>
              <w:t>Actuar como órgano permanente de información y coordinación de experiencias.</w:t>
            </w:r>
          </w:p>
          <w:p w14:paraId="2EBC3856" w14:textId="77777777" w:rsidR="00C914CA" w:rsidRDefault="00C914CA" w:rsidP="00547B19">
            <w:pPr>
              <w:pStyle w:val="NormalWeb"/>
              <w:numPr>
                <w:ilvl w:val="0"/>
                <w:numId w:val="25"/>
              </w:numPr>
              <w:rPr>
                <w:rFonts w:asciiTheme="majorHAnsi" w:hAnsiTheme="majorHAnsi" w:cs="Arial"/>
                <w:sz w:val="18"/>
                <w:szCs w:val="18"/>
              </w:rPr>
            </w:pPr>
            <w:r w:rsidRPr="0059031C">
              <w:rPr>
                <w:rFonts w:asciiTheme="majorHAnsi" w:eastAsia="Times New Roman" w:hAnsiTheme="majorHAnsi" w:cs="Arial"/>
                <w:sz w:val="18"/>
                <w:szCs w:val="18"/>
                <w:lang w:val="es-CR"/>
              </w:rPr>
              <w:t>Desarrollar y promover el estudio, investigación y perfeccionamiento de los Sistemas Sociales.</w:t>
            </w:r>
          </w:p>
          <w:p w14:paraId="0EAE0837" w14:textId="05CA09FF" w:rsidR="00C914CA" w:rsidRPr="00C914CA" w:rsidRDefault="00C914CA" w:rsidP="00547B19">
            <w:pPr>
              <w:pStyle w:val="NormalWeb"/>
              <w:numPr>
                <w:ilvl w:val="0"/>
                <w:numId w:val="25"/>
              </w:numPr>
              <w:rPr>
                <w:rFonts w:asciiTheme="majorHAnsi" w:hAnsiTheme="majorHAnsi" w:cs="Arial"/>
                <w:sz w:val="18"/>
                <w:szCs w:val="18"/>
              </w:rPr>
            </w:pPr>
            <w:r w:rsidRPr="00C914CA">
              <w:rPr>
                <w:rFonts w:asciiTheme="majorHAnsi" w:eastAsia="Times New Roman" w:hAnsiTheme="majorHAnsi" w:cs="Arial"/>
                <w:sz w:val="18"/>
                <w:szCs w:val="18"/>
              </w:rPr>
              <w:t>Capacitar al personal que desempeña funciones en las instituciones de Seguridad Social. </w:t>
            </w:r>
          </w:p>
        </w:tc>
        <w:tc>
          <w:tcPr>
            <w:tcW w:w="3852" w:type="dxa"/>
            <w:shd w:val="clear" w:color="auto" w:fill="auto"/>
            <w:vAlign w:val="center"/>
          </w:tcPr>
          <w:p w14:paraId="36747F60" w14:textId="77777777" w:rsidR="00C914CA" w:rsidRPr="0059031C" w:rsidRDefault="00C914CA" w:rsidP="00547B19">
            <w:pPr>
              <w:pStyle w:val="NormalWeb"/>
              <w:numPr>
                <w:ilvl w:val="0"/>
                <w:numId w:val="26"/>
              </w:numPr>
              <w:rPr>
                <w:rFonts w:asciiTheme="majorHAnsi" w:hAnsiTheme="majorHAnsi" w:cs="Arial"/>
                <w:sz w:val="18"/>
                <w:szCs w:val="18"/>
              </w:rPr>
            </w:pPr>
            <w:r w:rsidRPr="0059031C">
              <w:rPr>
                <w:rFonts w:asciiTheme="majorHAnsi" w:hAnsiTheme="majorHAnsi" w:cs="Arial"/>
                <w:sz w:val="18"/>
                <w:szCs w:val="18"/>
              </w:rPr>
              <w:t>Cooperación, asistencia y apoyo técnico a la modernización de la gestión de los sistemas de Seguridad Social.</w:t>
            </w:r>
          </w:p>
          <w:p w14:paraId="2E474EDB" w14:textId="77777777" w:rsidR="00C914CA" w:rsidRPr="0059031C" w:rsidRDefault="00C914CA" w:rsidP="00547B19">
            <w:pPr>
              <w:pStyle w:val="NormalWeb"/>
              <w:numPr>
                <w:ilvl w:val="0"/>
                <w:numId w:val="26"/>
              </w:numPr>
              <w:rPr>
                <w:rFonts w:asciiTheme="majorHAnsi" w:hAnsiTheme="majorHAnsi" w:cs="Arial"/>
                <w:sz w:val="18"/>
                <w:szCs w:val="18"/>
              </w:rPr>
            </w:pPr>
            <w:r w:rsidRPr="0059031C">
              <w:rPr>
                <w:rFonts w:asciiTheme="majorHAnsi" w:hAnsiTheme="majorHAnsi" w:cs="Arial"/>
                <w:sz w:val="18"/>
                <w:szCs w:val="18"/>
                <w:lang w:val="es-CR"/>
              </w:rPr>
              <w:t>Actividades de estudio e investigación con carácter general y regional en temas de Seguridad Social. Comprende acciones de Información y Divulgación.</w:t>
            </w:r>
          </w:p>
          <w:p w14:paraId="457DCC1E" w14:textId="0C53163C" w:rsidR="005303B0" w:rsidRPr="00C914CA" w:rsidRDefault="00C914CA" w:rsidP="00547B19">
            <w:pPr>
              <w:pStyle w:val="NormalWeb"/>
              <w:numPr>
                <w:ilvl w:val="0"/>
                <w:numId w:val="26"/>
              </w:numPr>
              <w:rPr>
                <w:rFonts w:asciiTheme="majorHAnsi" w:hAnsiTheme="majorHAnsi" w:cs="Arial"/>
                <w:sz w:val="18"/>
                <w:szCs w:val="18"/>
              </w:rPr>
            </w:pPr>
            <w:r w:rsidRPr="0059031C">
              <w:rPr>
                <w:rFonts w:asciiTheme="majorHAnsi" w:hAnsiTheme="majorHAnsi" w:cs="Arial"/>
                <w:sz w:val="18"/>
                <w:szCs w:val="18"/>
                <w:lang w:val="es-CR"/>
              </w:rPr>
              <w:t xml:space="preserve">Formación del Recurso Humano en temas de Seguridad Social. </w:t>
            </w:r>
          </w:p>
        </w:tc>
      </w:tr>
      <w:tr w:rsidR="003F0564" w:rsidRPr="00060053" w14:paraId="06A94DD8" w14:textId="77777777" w:rsidTr="0059031C">
        <w:trPr>
          <w:trHeight w:val="412"/>
        </w:trPr>
        <w:tc>
          <w:tcPr>
            <w:tcW w:w="2263" w:type="dxa"/>
            <w:shd w:val="clear" w:color="auto" w:fill="DBE5F1" w:themeFill="accent1" w:themeFillTint="33"/>
            <w:vAlign w:val="center"/>
          </w:tcPr>
          <w:p w14:paraId="06A94DD4" w14:textId="77777777" w:rsidR="003F0564" w:rsidRPr="00060053" w:rsidRDefault="003F0564" w:rsidP="00475EC6">
            <w:pPr>
              <w:rPr>
                <w:rFonts w:asciiTheme="majorHAnsi" w:hAnsiTheme="majorHAnsi"/>
                <w:b/>
                <w:sz w:val="18"/>
                <w:szCs w:val="18"/>
              </w:rPr>
            </w:pPr>
          </w:p>
        </w:tc>
        <w:tc>
          <w:tcPr>
            <w:tcW w:w="2792" w:type="dxa"/>
            <w:shd w:val="clear" w:color="auto" w:fill="DBE5F1" w:themeFill="accent1" w:themeFillTint="33"/>
            <w:vAlign w:val="center"/>
          </w:tcPr>
          <w:p w14:paraId="06A94DD5" w14:textId="77777777" w:rsidR="003F0564" w:rsidRPr="00060053" w:rsidRDefault="003F0564" w:rsidP="00475EC6">
            <w:pPr>
              <w:rPr>
                <w:rFonts w:asciiTheme="majorHAnsi" w:hAnsiTheme="majorHAnsi"/>
                <w:sz w:val="18"/>
                <w:szCs w:val="18"/>
              </w:rPr>
            </w:pPr>
          </w:p>
        </w:tc>
        <w:tc>
          <w:tcPr>
            <w:tcW w:w="4296" w:type="dxa"/>
            <w:shd w:val="clear" w:color="auto" w:fill="DBE5F1" w:themeFill="accent1" w:themeFillTint="33"/>
            <w:vAlign w:val="center"/>
          </w:tcPr>
          <w:p w14:paraId="06A94DD6" w14:textId="77777777" w:rsidR="003F0564" w:rsidRPr="00060053" w:rsidRDefault="003F0564" w:rsidP="007010AB">
            <w:pPr>
              <w:rPr>
                <w:rFonts w:asciiTheme="majorHAnsi" w:hAnsiTheme="majorHAnsi" w:cs="Arial"/>
                <w:sz w:val="18"/>
                <w:szCs w:val="18"/>
              </w:rPr>
            </w:pPr>
          </w:p>
        </w:tc>
        <w:tc>
          <w:tcPr>
            <w:tcW w:w="3852" w:type="dxa"/>
            <w:shd w:val="clear" w:color="auto" w:fill="DBE5F1" w:themeFill="accent1" w:themeFillTint="33"/>
            <w:vAlign w:val="center"/>
          </w:tcPr>
          <w:p w14:paraId="06A94DD7" w14:textId="77777777" w:rsidR="003F0564" w:rsidRPr="00060053" w:rsidRDefault="003F0564" w:rsidP="00475EC6">
            <w:pPr>
              <w:rPr>
                <w:rFonts w:asciiTheme="majorHAnsi" w:hAnsiTheme="majorHAnsi" w:cs="Arial"/>
                <w:sz w:val="18"/>
                <w:szCs w:val="18"/>
                <w:lang w:eastAsia="en-US"/>
              </w:rPr>
            </w:pPr>
          </w:p>
        </w:tc>
      </w:tr>
    </w:tbl>
    <w:p w14:paraId="06A94DD9" w14:textId="77777777" w:rsidR="0032363C" w:rsidRPr="00060053" w:rsidRDefault="0032363C" w:rsidP="0032363C">
      <w:pPr>
        <w:jc w:val="both"/>
        <w:rPr>
          <w:rFonts w:asciiTheme="majorHAnsi" w:hAnsiTheme="majorHAnsi"/>
        </w:rPr>
      </w:pPr>
    </w:p>
    <w:p w14:paraId="06A94DDA" w14:textId="77777777" w:rsidR="0032363C" w:rsidRPr="00060053" w:rsidRDefault="0032363C" w:rsidP="009D034C">
      <w:pPr>
        <w:rPr>
          <w:rFonts w:asciiTheme="majorHAnsi" w:hAnsiTheme="majorHAnsi"/>
          <w:sz w:val="22"/>
          <w:szCs w:val="22"/>
        </w:rPr>
        <w:sectPr w:rsidR="0032363C" w:rsidRPr="00060053" w:rsidSect="004E39A1">
          <w:pgSz w:w="15842" w:h="12242" w:orient="landscape" w:code="1"/>
          <w:pgMar w:top="1701" w:right="1418" w:bottom="1701" w:left="1418" w:header="709" w:footer="709" w:gutter="0"/>
          <w:cols w:space="708"/>
          <w:docGrid w:linePitch="360"/>
        </w:sectPr>
      </w:pPr>
    </w:p>
    <w:p w14:paraId="06A94DDB" w14:textId="77777777" w:rsidR="009D034C" w:rsidRDefault="009D034C" w:rsidP="009D034C">
      <w:pPr>
        <w:rPr>
          <w:rFonts w:asciiTheme="majorHAnsi" w:hAnsiTheme="majorHAnsi"/>
          <w:b/>
          <w:sz w:val="22"/>
          <w:szCs w:val="22"/>
        </w:rPr>
      </w:pPr>
    </w:p>
    <w:p w14:paraId="06A94DDC" w14:textId="77777777" w:rsidR="00FC0013" w:rsidRDefault="00FC0013" w:rsidP="009D034C">
      <w:pPr>
        <w:rPr>
          <w:rFonts w:asciiTheme="majorHAnsi" w:hAnsiTheme="majorHAnsi"/>
          <w:b/>
          <w:sz w:val="22"/>
          <w:szCs w:val="22"/>
        </w:rPr>
      </w:pPr>
    </w:p>
    <w:p w14:paraId="06A94DDD" w14:textId="77777777" w:rsidR="00FC0013" w:rsidRDefault="00FC0013" w:rsidP="00670872">
      <w:pPr>
        <w:jc w:val="center"/>
        <w:rPr>
          <w:rFonts w:asciiTheme="majorHAnsi" w:hAnsiTheme="majorHAnsi"/>
          <w:b/>
          <w:sz w:val="48"/>
          <w:szCs w:val="48"/>
        </w:rPr>
      </w:pPr>
    </w:p>
    <w:p w14:paraId="06A94DDE" w14:textId="77777777" w:rsidR="007C4CBC" w:rsidRDefault="007C4CBC" w:rsidP="00670872">
      <w:pPr>
        <w:jc w:val="center"/>
        <w:rPr>
          <w:rFonts w:asciiTheme="majorHAnsi" w:hAnsiTheme="majorHAnsi"/>
          <w:b/>
          <w:sz w:val="48"/>
          <w:szCs w:val="48"/>
        </w:rPr>
      </w:pPr>
    </w:p>
    <w:p w14:paraId="06A94DDF" w14:textId="77777777" w:rsidR="007C4CBC" w:rsidRDefault="007C4CBC" w:rsidP="00670872">
      <w:pPr>
        <w:jc w:val="center"/>
        <w:rPr>
          <w:rFonts w:asciiTheme="majorHAnsi" w:hAnsiTheme="majorHAnsi"/>
          <w:b/>
          <w:sz w:val="48"/>
          <w:szCs w:val="48"/>
        </w:rPr>
      </w:pPr>
    </w:p>
    <w:p w14:paraId="06A94DE0" w14:textId="77777777" w:rsidR="007C4CBC" w:rsidRDefault="007C4CBC" w:rsidP="00670872">
      <w:pPr>
        <w:jc w:val="center"/>
        <w:rPr>
          <w:rFonts w:asciiTheme="majorHAnsi" w:hAnsiTheme="majorHAnsi"/>
          <w:b/>
          <w:sz w:val="48"/>
          <w:szCs w:val="48"/>
        </w:rPr>
      </w:pPr>
    </w:p>
    <w:p w14:paraId="06A94DE1" w14:textId="77777777" w:rsidR="00670872" w:rsidRPr="00670872" w:rsidRDefault="00670872" w:rsidP="00670872">
      <w:pPr>
        <w:jc w:val="center"/>
        <w:rPr>
          <w:rFonts w:asciiTheme="majorHAnsi" w:hAnsiTheme="majorHAnsi"/>
          <w:b/>
          <w:sz w:val="48"/>
          <w:szCs w:val="48"/>
        </w:rPr>
      </w:pPr>
    </w:p>
    <w:p w14:paraId="06A94DE2" w14:textId="77777777" w:rsidR="00FC0013" w:rsidRDefault="00670872" w:rsidP="00AF3E26">
      <w:pPr>
        <w:rPr>
          <w:rFonts w:asciiTheme="majorHAnsi" w:hAnsiTheme="majorHAnsi"/>
          <w:b/>
          <w:sz w:val="56"/>
          <w:szCs w:val="56"/>
        </w:rPr>
      </w:pPr>
      <w:r w:rsidRPr="00670872">
        <w:rPr>
          <w:rFonts w:asciiTheme="majorHAnsi" w:hAnsiTheme="majorHAnsi"/>
          <w:sz w:val="56"/>
          <w:szCs w:val="56"/>
        </w:rPr>
        <w:t>Anexos</w:t>
      </w:r>
    </w:p>
    <w:p w14:paraId="5D936C0D" w14:textId="77777777" w:rsidR="004A2776" w:rsidRDefault="004A2776" w:rsidP="00670872">
      <w:pPr>
        <w:jc w:val="center"/>
        <w:rPr>
          <w:rFonts w:asciiTheme="majorHAnsi" w:hAnsiTheme="majorHAnsi"/>
          <w:b/>
          <w:sz w:val="56"/>
          <w:szCs w:val="56"/>
        </w:rPr>
        <w:sectPr w:rsidR="004A2776" w:rsidSect="004E39A1">
          <w:pgSz w:w="12242" w:h="15842" w:code="1"/>
          <w:pgMar w:top="1418" w:right="1701" w:bottom="1418" w:left="1701" w:header="709" w:footer="709" w:gutter="0"/>
          <w:cols w:space="708"/>
          <w:docGrid w:linePitch="360"/>
        </w:sectPr>
      </w:pPr>
    </w:p>
    <w:p w14:paraId="218008B7" w14:textId="76F9A6D7" w:rsidR="004A2776" w:rsidRPr="004A2776" w:rsidRDefault="004A2776" w:rsidP="004A2776">
      <w:pPr>
        <w:pStyle w:val="NormalWeb"/>
        <w:tabs>
          <w:tab w:val="left" w:pos="567"/>
        </w:tabs>
        <w:outlineLvl w:val="0"/>
        <w:rPr>
          <w:rFonts w:asciiTheme="majorHAnsi" w:hAnsiTheme="majorHAnsi" w:cs="Tahoma"/>
          <w:b/>
          <w:bCs/>
          <w:smallCaps/>
          <w:sz w:val="28"/>
          <w:u w:val="single"/>
        </w:rPr>
      </w:pPr>
      <w:bookmarkStart w:id="52" w:name="_Toc442253222"/>
      <w:r>
        <w:rPr>
          <w:rFonts w:asciiTheme="majorHAnsi" w:hAnsiTheme="majorHAnsi" w:cs="Tahoma"/>
          <w:b/>
          <w:bCs/>
          <w:smallCaps/>
          <w:sz w:val="28"/>
          <w:u w:val="single"/>
        </w:rPr>
        <w:lastRenderedPageBreak/>
        <w:t xml:space="preserve">3. </w:t>
      </w:r>
      <w:r>
        <w:rPr>
          <w:rFonts w:asciiTheme="majorHAnsi" w:hAnsiTheme="majorHAnsi" w:cs="Tahoma"/>
          <w:b/>
          <w:bCs/>
          <w:smallCaps/>
          <w:sz w:val="28"/>
          <w:u w:val="single"/>
        </w:rPr>
        <w:tab/>
      </w:r>
      <w:r w:rsidRPr="004A2776">
        <w:rPr>
          <w:rFonts w:asciiTheme="majorHAnsi" w:hAnsiTheme="majorHAnsi" w:cs="Tahoma"/>
          <w:b/>
          <w:bCs/>
          <w:smallCaps/>
          <w:sz w:val="28"/>
          <w:u w:val="single"/>
        </w:rPr>
        <w:t>Planes Operativos Institucionales</w:t>
      </w:r>
      <w:bookmarkEnd w:id="52"/>
    </w:p>
    <w:p w14:paraId="06A94DE3" w14:textId="1C10A64D" w:rsidR="00FC0013" w:rsidRDefault="004A2776" w:rsidP="004A2776">
      <w:pPr>
        <w:pStyle w:val="Descripcin"/>
        <w:rPr>
          <w:rFonts w:asciiTheme="minorHAnsi" w:hAnsiTheme="minorHAnsi" w:cstheme="minorHAnsi"/>
          <w:b w:val="0"/>
          <w:sz w:val="24"/>
          <w:szCs w:val="24"/>
        </w:rPr>
      </w:pPr>
      <w:r w:rsidRPr="00360736">
        <w:rPr>
          <w:rFonts w:asciiTheme="minorHAnsi" w:hAnsiTheme="minorHAnsi" w:cstheme="minorHAnsi"/>
          <w:b w:val="0"/>
          <w:sz w:val="24"/>
          <w:szCs w:val="24"/>
        </w:rPr>
        <w:t>Anexo 1</w:t>
      </w:r>
      <w:r w:rsidR="00CA61ED">
        <w:rPr>
          <w:rFonts w:asciiTheme="minorHAnsi" w:hAnsiTheme="minorHAnsi" w:cstheme="minorHAnsi"/>
          <w:b w:val="0"/>
          <w:sz w:val="24"/>
          <w:szCs w:val="24"/>
        </w:rPr>
        <w:t xml:space="preserve"> Despacho</w:t>
      </w:r>
    </w:p>
    <w:p w14:paraId="3230583F" w14:textId="5DAB518B" w:rsidR="00360736" w:rsidRDefault="00DF5D52" w:rsidP="00360736">
      <w:pPr>
        <w:rPr>
          <w:lang w:val="es-ES_tradnl" w:eastAsia="es-ES_tradnl"/>
        </w:rPr>
      </w:pPr>
      <w:r w:rsidRPr="00DF5D52">
        <w:rPr>
          <w:noProof/>
        </w:rPr>
        <w:drawing>
          <wp:inline distT="0" distB="0" distL="0" distR="0" wp14:anchorId="7247F5C9" wp14:editId="00322C44">
            <wp:extent cx="6391275" cy="465477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91275" cy="4654774"/>
                    </a:xfrm>
                    <a:prstGeom prst="rect">
                      <a:avLst/>
                    </a:prstGeom>
                    <a:noFill/>
                    <a:ln>
                      <a:noFill/>
                    </a:ln>
                  </pic:spPr>
                </pic:pic>
              </a:graphicData>
            </a:graphic>
          </wp:inline>
        </w:drawing>
      </w:r>
    </w:p>
    <w:p w14:paraId="090B6FCB" w14:textId="16CC74B3" w:rsidR="00360736" w:rsidRDefault="00360736">
      <w:pPr>
        <w:rPr>
          <w:lang w:val="es-ES_tradnl" w:eastAsia="es-ES_tradnl"/>
        </w:rPr>
      </w:pPr>
      <w:r>
        <w:rPr>
          <w:lang w:val="es-ES_tradnl" w:eastAsia="es-ES_tradnl"/>
        </w:rPr>
        <w:br w:type="page"/>
      </w:r>
    </w:p>
    <w:p w14:paraId="6D5FA47E" w14:textId="2597B1E2" w:rsidR="004A2776" w:rsidRPr="00360736" w:rsidRDefault="00360736" w:rsidP="004A2776">
      <w:pPr>
        <w:rPr>
          <w:rFonts w:asciiTheme="minorHAnsi" w:hAnsiTheme="minorHAnsi" w:cstheme="minorHAnsi"/>
        </w:rPr>
      </w:pPr>
      <w:r>
        <w:rPr>
          <w:rFonts w:asciiTheme="minorHAnsi" w:hAnsiTheme="minorHAnsi" w:cstheme="minorHAnsi"/>
        </w:rPr>
        <w:lastRenderedPageBreak/>
        <w:t>Anexo 2</w:t>
      </w:r>
      <w:r w:rsidR="00CA61ED">
        <w:rPr>
          <w:rFonts w:asciiTheme="minorHAnsi" w:hAnsiTheme="minorHAnsi" w:cstheme="minorHAnsi"/>
        </w:rPr>
        <w:t xml:space="preserve"> Comunicación y Servicios</w:t>
      </w:r>
    </w:p>
    <w:p w14:paraId="104DD9B8" w14:textId="04844C22" w:rsidR="00360736" w:rsidRDefault="00094C35" w:rsidP="004A2776">
      <w:pPr>
        <w:rPr>
          <w:rFonts w:asciiTheme="minorHAnsi" w:hAnsiTheme="minorHAnsi" w:cstheme="minorHAnsi"/>
        </w:rPr>
      </w:pPr>
      <w:r w:rsidRPr="00094C35">
        <w:rPr>
          <w:noProof/>
        </w:rPr>
        <w:drawing>
          <wp:inline distT="0" distB="0" distL="0" distR="0" wp14:anchorId="1C2DF383" wp14:editId="2CBC22CC">
            <wp:extent cx="6391275" cy="6706935"/>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91275" cy="6706935"/>
                    </a:xfrm>
                    <a:prstGeom prst="rect">
                      <a:avLst/>
                    </a:prstGeom>
                    <a:noFill/>
                    <a:ln>
                      <a:noFill/>
                    </a:ln>
                  </pic:spPr>
                </pic:pic>
              </a:graphicData>
            </a:graphic>
          </wp:inline>
        </w:drawing>
      </w:r>
    </w:p>
    <w:p w14:paraId="3C8C0BFC" w14:textId="63B495E7" w:rsidR="000C433E" w:rsidRDefault="000C433E">
      <w:pPr>
        <w:rPr>
          <w:rFonts w:asciiTheme="minorHAnsi" w:hAnsiTheme="minorHAnsi" w:cstheme="minorHAnsi"/>
        </w:rPr>
      </w:pPr>
      <w:r>
        <w:rPr>
          <w:rFonts w:asciiTheme="minorHAnsi" w:hAnsiTheme="minorHAnsi" w:cstheme="minorHAnsi"/>
        </w:rPr>
        <w:br w:type="page"/>
      </w:r>
    </w:p>
    <w:p w14:paraId="2116C317" w14:textId="2B51C44D" w:rsidR="00360736" w:rsidRDefault="00360736" w:rsidP="004A2776">
      <w:pPr>
        <w:rPr>
          <w:rFonts w:asciiTheme="minorHAnsi" w:hAnsiTheme="minorHAnsi" w:cstheme="minorHAnsi"/>
        </w:rPr>
      </w:pPr>
      <w:r>
        <w:rPr>
          <w:rFonts w:asciiTheme="minorHAnsi" w:hAnsiTheme="minorHAnsi" w:cstheme="minorHAnsi"/>
        </w:rPr>
        <w:lastRenderedPageBreak/>
        <w:t>Anexo 3</w:t>
      </w:r>
      <w:r w:rsidR="00CA61ED">
        <w:rPr>
          <w:rFonts w:asciiTheme="minorHAnsi" w:hAnsiTheme="minorHAnsi" w:cstheme="minorHAnsi"/>
        </w:rPr>
        <w:t xml:space="preserve"> División Jurídica</w:t>
      </w:r>
    </w:p>
    <w:p w14:paraId="1D9C18E8" w14:textId="48D38235" w:rsidR="000C433E" w:rsidRDefault="00094C35">
      <w:pPr>
        <w:rPr>
          <w:rFonts w:asciiTheme="minorHAnsi" w:hAnsiTheme="minorHAnsi" w:cstheme="minorHAnsi"/>
        </w:rPr>
      </w:pPr>
      <w:r w:rsidRPr="00094C35">
        <w:rPr>
          <w:noProof/>
        </w:rPr>
        <w:drawing>
          <wp:inline distT="0" distB="0" distL="0" distR="0" wp14:anchorId="1156AE0B" wp14:editId="72A41A65">
            <wp:extent cx="6191209" cy="7600355"/>
            <wp:effectExtent l="0" t="0" r="635" b="63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96012" cy="7606252"/>
                    </a:xfrm>
                    <a:prstGeom prst="rect">
                      <a:avLst/>
                    </a:prstGeom>
                    <a:noFill/>
                    <a:ln>
                      <a:noFill/>
                    </a:ln>
                  </pic:spPr>
                </pic:pic>
              </a:graphicData>
            </a:graphic>
          </wp:inline>
        </w:drawing>
      </w:r>
      <w:r w:rsidR="000C433E">
        <w:rPr>
          <w:rFonts w:asciiTheme="minorHAnsi" w:hAnsiTheme="minorHAnsi" w:cstheme="minorHAnsi"/>
        </w:rPr>
        <w:br w:type="page"/>
      </w:r>
    </w:p>
    <w:p w14:paraId="03802E0F" w14:textId="5A8BF811" w:rsidR="00360736" w:rsidRDefault="00360736" w:rsidP="00360736">
      <w:pPr>
        <w:rPr>
          <w:rFonts w:asciiTheme="minorHAnsi" w:hAnsiTheme="minorHAnsi" w:cstheme="minorHAnsi"/>
        </w:rPr>
      </w:pPr>
      <w:r>
        <w:rPr>
          <w:rFonts w:asciiTheme="minorHAnsi" w:hAnsiTheme="minorHAnsi" w:cstheme="minorHAnsi"/>
        </w:rPr>
        <w:lastRenderedPageBreak/>
        <w:t>Anexo 4</w:t>
      </w:r>
      <w:r w:rsidR="00CA61ED">
        <w:rPr>
          <w:rFonts w:asciiTheme="minorHAnsi" w:hAnsiTheme="minorHAnsi" w:cstheme="minorHAnsi"/>
        </w:rPr>
        <w:t xml:space="preserve"> Planificación y Normativa</w:t>
      </w:r>
    </w:p>
    <w:p w14:paraId="2A80852B" w14:textId="2D86F465" w:rsidR="000C433E" w:rsidRDefault="00DF5D52">
      <w:pPr>
        <w:rPr>
          <w:lang w:val="es-ES_tradnl" w:eastAsia="es-ES_tradnl"/>
        </w:rPr>
      </w:pPr>
      <w:r w:rsidRPr="00DF5D52">
        <w:rPr>
          <w:noProof/>
        </w:rPr>
        <w:drawing>
          <wp:inline distT="0" distB="0" distL="0" distR="0" wp14:anchorId="71A6D6AF" wp14:editId="0692CC5C">
            <wp:extent cx="6391275" cy="6815600"/>
            <wp:effectExtent l="0" t="0" r="0"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91275" cy="6815600"/>
                    </a:xfrm>
                    <a:prstGeom prst="rect">
                      <a:avLst/>
                    </a:prstGeom>
                    <a:noFill/>
                    <a:ln>
                      <a:noFill/>
                    </a:ln>
                  </pic:spPr>
                </pic:pic>
              </a:graphicData>
            </a:graphic>
          </wp:inline>
        </w:drawing>
      </w:r>
      <w:r w:rsidRPr="00DF5D52">
        <w:t xml:space="preserve"> </w:t>
      </w:r>
      <w:r w:rsidR="000C433E">
        <w:rPr>
          <w:lang w:val="es-ES_tradnl" w:eastAsia="es-ES_tradnl"/>
        </w:rPr>
        <w:br w:type="page"/>
      </w:r>
    </w:p>
    <w:p w14:paraId="5C4F5051" w14:textId="4E93D552" w:rsidR="00360736" w:rsidRDefault="00360736" w:rsidP="00360736">
      <w:pPr>
        <w:rPr>
          <w:rFonts w:asciiTheme="minorHAnsi" w:hAnsiTheme="minorHAnsi" w:cstheme="minorHAnsi"/>
        </w:rPr>
      </w:pPr>
      <w:r>
        <w:rPr>
          <w:rFonts w:asciiTheme="minorHAnsi" w:hAnsiTheme="minorHAnsi" w:cstheme="minorHAnsi"/>
        </w:rPr>
        <w:lastRenderedPageBreak/>
        <w:t>Anexo 5</w:t>
      </w:r>
      <w:r w:rsidR="00CA61ED">
        <w:rPr>
          <w:rFonts w:asciiTheme="minorHAnsi" w:hAnsiTheme="minorHAnsi" w:cstheme="minorHAnsi"/>
        </w:rPr>
        <w:t xml:space="preserve"> RC</w:t>
      </w:r>
    </w:p>
    <w:p w14:paraId="6773B0B7" w14:textId="776FDD75" w:rsidR="00360736" w:rsidRDefault="003E2C8F" w:rsidP="004A2776">
      <w:pPr>
        <w:rPr>
          <w:lang w:val="es-ES_tradnl" w:eastAsia="es-ES_tradnl"/>
        </w:rPr>
      </w:pPr>
      <w:r w:rsidRPr="003E2C8F">
        <w:rPr>
          <w:noProof/>
        </w:rPr>
        <w:drawing>
          <wp:inline distT="0" distB="0" distL="0" distR="0" wp14:anchorId="60B73BCD" wp14:editId="76C39AEF">
            <wp:extent cx="6391275" cy="6848042"/>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91275" cy="6848042"/>
                    </a:xfrm>
                    <a:prstGeom prst="rect">
                      <a:avLst/>
                    </a:prstGeom>
                    <a:noFill/>
                    <a:ln>
                      <a:noFill/>
                    </a:ln>
                  </pic:spPr>
                </pic:pic>
              </a:graphicData>
            </a:graphic>
          </wp:inline>
        </w:drawing>
      </w:r>
    </w:p>
    <w:p w14:paraId="2BFCD537" w14:textId="1D8C6FFB" w:rsidR="000C433E" w:rsidRDefault="000C433E">
      <w:pPr>
        <w:rPr>
          <w:lang w:val="es-ES_tradnl" w:eastAsia="es-ES_tradnl"/>
        </w:rPr>
      </w:pPr>
      <w:r>
        <w:rPr>
          <w:lang w:val="es-ES_tradnl" w:eastAsia="es-ES_tradnl"/>
        </w:rPr>
        <w:br w:type="page"/>
      </w:r>
    </w:p>
    <w:p w14:paraId="65C04551" w14:textId="6652AA12" w:rsidR="00360736" w:rsidRDefault="00360736" w:rsidP="00360736">
      <w:pPr>
        <w:rPr>
          <w:rFonts w:asciiTheme="minorHAnsi" w:hAnsiTheme="minorHAnsi" w:cstheme="minorHAnsi"/>
        </w:rPr>
      </w:pPr>
      <w:r>
        <w:rPr>
          <w:rFonts w:asciiTheme="minorHAnsi" w:hAnsiTheme="minorHAnsi" w:cstheme="minorHAnsi"/>
        </w:rPr>
        <w:lastRenderedPageBreak/>
        <w:t>Anexo 6</w:t>
      </w:r>
      <w:r w:rsidR="00CA61ED">
        <w:rPr>
          <w:rFonts w:asciiTheme="minorHAnsi" w:hAnsiTheme="minorHAnsi" w:cstheme="minorHAnsi"/>
        </w:rPr>
        <w:t xml:space="preserve"> RCI</w:t>
      </w:r>
    </w:p>
    <w:p w14:paraId="37001D92" w14:textId="0FA52AA2" w:rsidR="00360736" w:rsidRDefault="003E2C8F" w:rsidP="00360736">
      <w:pPr>
        <w:rPr>
          <w:rFonts w:asciiTheme="minorHAnsi" w:hAnsiTheme="minorHAnsi" w:cstheme="minorHAnsi"/>
        </w:rPr>
      </w:pPr>
      <w:r w:rsidRPr="003E2C8F">
        <w:rPr>
          <w:noProof/>
        </w:rPr>
        <w:drawing>
          <wp:inline distT="0" distB="0" distL="0" distR="0" wp14:anchorId="19A68A77" wp14:editId="6FCA18B4">
            <wp:extent cx="6391275" cy="6064236"/>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91275" cy="6064236"/>
                    </a:xfrm>
                    <a:prstGeom prst="rect">
                      <a:avLst/>
                    </a:prstGeom>
                    <a:noFill/>
                    <a:ln>
                      <a:noFill/>
                    </a:ln>
                  </pic:spPr>
                </pic:pic>
              </a:graphicData>
            </a:graphic>
          </wp:inline>
        </w:drawing>
      </w:r>
    </w:p>
    <w:p w14:paraId="2FF0D148" w14:textId="37229499" w:rsidR="004E7641" w:rsidRDefault="004E7641" w:rsidP="00360736">
      <w:pPr>
        <w:rPr>
          <w:rFonts w:asciiTheme="minorHAnsi" w:hAnsiTheme="minorHAnsi" w:cstheme="minorHAnsi"/>
        </w:rPr>
      </w:pPr>
    </w:p>
    <w:p w14:paraId="021C4C20" w14:textId="77777777" w:rsidR="00360736" w:rsidRDefault="00360736" w:rsidP="00360736">
      <w:pPr>
        <w:rPr>
          <w:rFonts w:asciiTheme="minorHAnsi" w:hAnsiTheme="minorHAnsi" w:cstheme="minorHAnsi"/>
        </w:rPr>
      </w:pPr>
    </w:p>
    <w:p w14:paraId="00559239" w14:textId="77777777" w:rsidR="00710882" w:rsidRDefault="00710882">
      <w:pPr>
        <w:rPr>
          <w:rFonts w:asciiTheme="minorHAnsi" w:hAnsiTheme="minorHAnsi" w:cstheme="minorHAnsi"/>
        </w:rPr>
        <w:sectPr w:rsidR="00710882" w:rsidSect="00360736">
          <w:pgSz w:w="12242" w:h="15842" w:code="1"/>
          <w:pgMar w:top="1418" w:right="476" w:bottom="1418" w:left="1701" w:header="709" w:footer="709" w:gutter="0"/>
          <w:cols w:space="708"/>
          <w:docGrid w:linePitch="360"/>
        </w:sectPr>
      </w:pPr>
    </w:p>
    <w:p w14:paraId="4FE824A0" w14:textId="66ADDB42" w:rsidR="00710882" w:rsidRDefault="00710882" w:rsidP="00710882">
      <w:pPr>
        <w:rPr>
          <w:rFonts w:asciiTheme="minorHAnsi" w:hAnsiTheme="minorHAnsi" w:cstheme="minorHAnsi"/>
        </w:rPr>
      </w:pPr>
      <w:r w:rsidRPr="0081669E">
        <w:rPr>
          <w:rFonts w:asciiTheme="minorHAnsi" w:hAnsiTheme="minorHAnsi" w:cstheme="minorHAnsi"/>
        </w:rPr>
        <w:lastRenderedPageBreak/>
        <w:t>Anexo 8</w:t>
      </w:r>
    </w:p>
    <w:p w14:paraId="69C92C95" w14:textId="77777777" w:rsidR="00360736" w:rsidRDefault="00360736" w:rsidP="004A2776">
      <w:pPr>
        <w:rPr>
          <w:lang w:val="es-ES_tradnl" w:eastAsia="es-ES_tradnl"/>
        </w:rPr>
      </w:pPr>
    </w:p>
    <w:p w14:paraId="4C6DDF1F" w14:textId="066CF0F7" w:rsidR="007D531F" w:rsidRDefault="00814709" w:rsidP="00955495">
      <w:pPr>
        <w:rPr>
          <w:b/>
          <w:lang w:val="es-MX"/>
        </w:rPr>
      </w:pPr>
      <w:r>
        <w:rPr>
          <w:b/>
          <w:lang w:val="es-MX"/>
        </w:rPr>
        <w:t>MATRIZ DE ARTICULACIÓ</w:t>
      </w:r>
      <w:r w:rsidR="007D531F" w:rsidRPr="007D531F">
        <w:rPr>
          <w:b/>
          <w:lang w:val="es-MX"/>
        </w:rPr>
        <w:t>N PLAN PRESUPUESTO</w:t>
      </w:r>
    </w:p>
    <w:p w14:paraId="351B2B8E" w14:textId="67F517AE" w:rsidR="00110644" w:rsidRDefault="00110644" w:rsidP="00110644">
      <w:pPr>
        <w:rPr>
          <w:rFonts w:asciiTheme="minorHAnsi" w:hAnsiTheme="minorHAnsi"/>
          <w:color w:val="000000"/>
          <w:sz w:val="16"/>
          <w:szCs w:val="16"/>
        </w:rPr>
      </w:pPr>
      <w:r>
        <w:rPr>
          <w:rFonts w:asciiTheme="minorHAnsi" w:hAnsiTheme="minorHAnsi"/>
          <w:color w:val="000000"/>
          <w:sz w:val="16"/>
          <w:szCs w:val="16"/>
        </w:rPr>
        <w:t xml:space="preserve">      </w:t>
      </w:r>
    </w:p>
    <w:tbl>
      <w:tblPr>
        <w:tblW w:w="13101" w:type="dxa"/>
        <w:tblLayout w:type="fixed"/>
        <w:tblCellMar>
          <w:left w:w="70" w:type="dxa"/>
          <w:right w:w="70" w:type="dxa"/>
        </w:tblCellMar>
        <w:tblLook w:val="04A0" w:firstRow="1" w:lastRow="0" w:firstColumn="1" w:lastColumn="0" w:noHBand="0" w:noVBand="1"/>
      </w:tblPr>
      <w:tblGrid>
        <w:gridCol w:w="1267"/>
        <w:gridCol w:w="1568"/>
        <w:gridCol w:w="1262"/>
        <w:gridCol w:w="1726"/>
        <w:gridCol w:w="1228"/>
        <w:gridCol w:w="992"/>
        <w:gridCol w:w="1134"/>
        <w:gridCol w:w="615"/>
        <w:gridCol w:w="708"/>
        <w:gridCol w:w="699"/>
        <w:gridCol w:w="699"/>
        <w:gridCol w:w="1203"/>
      </w:tblGrid>
      <w:tr w:rsidR="00110644" w:rsidRPr="00BA3674" w14:paraId="0EA2CDD0" w14:textId="77777777" w:rsidTr="00BD7DB6">
        <w:trPr>
          <w:trHeight w:val="690"/>
        </w:trPr>
        <w:tc>
          <w:tcPr>
            <w:tcW w:w="13101" w:type="dxa"/>
            <w:gridSpan w:val="12"/>
            <w:tcBorders>
              <w:top w:val="nil"/>
              <w:left w:val="nil"/>
              <w:bottom w:val="single" w:sz="8" w:space="0" w:color="auto"/>
              <w:right w:val="nil"/>
            </w:tcBorders>
            <w:shd w:val="clear" w:color="auto" w:fill="auto"/>
            <w:vAlign w:val="center"/>
            <w:hideMark/>
          </w:tcPr>
          <w:p w14:paraId="70DAA2C2" w14:textId="54EC176F" w:rsidR="00110644" w:rsidRPr="00BA3674" w:rsidRDefault="00814709" w:rsidP="00385A02">
            <w:pPr>
              <w:rPr>
                <w:rFonts w:asciiTheme="minorHAnsi" w:hAnsiTheme="minorHAnsi" w:cs="Arial"/>
                <w:b/>
                <w:bCs/>
                <w:color w:val="000000"/>
                <w:sz w:val="16"/>
                <w:szCs w:val="16"/>
              </w:rPr>
            </w:pPr>
            <w:r>
              <w:rPr>
                <w:rFonts w:asciiTheme="minorHAnsi" w:hAnsiTheme="minorHAnsi" w:cs="Arial"/>
                <w:b/>
                <w:bCs/>
                <w:color w:val="000000"/>
                <w:sz w:val="16"/>
                <w:szCs w:val="16"/>
              </w:rPr>
              <w:t>MATRIZ DE ARTICULACIÓ</w:t>
            </w:r>
            <w:r w:rsidR="00110644" w:rsidRPr="00BA3674">
              <w:rPr>
                <w:rFonts w:asciiTheme="minorHAnsi" w:hAnsiTheme="minorHAnsi" w:cs="Arial"/>
                <w:b/>
                <w:bCs/>
                <w:color w:val="000000"/>
                <w:sz w:val="16"/>
                <w:szCs w:val="16"/>
              </w:rPr>
              <w:t>N PLAN PRESUPUESTO</w:t>
            </w:r>
          </w:p>
        </w:tc>
      </w:tr>
      <w:tr w:rsidR="00110644" w:rsidRPr="00BA3674" w14:paraId="43232159" w14:textId="77777777" w:rsidTr="00BD7DB6">
        <w:trPr>
          <w:trHeight w:val="238"/>
        </w:trPr>
        <w:tc>
          <w:tcPr>
            <w:tcW w:w="5823"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BE563E"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Nombre de la Institución:</w:t>
            </w:r>
          </w:p>
        </w:tc>
        <w:tc>
          <w:tcPr>
            <w:tcW w:w="7278" w:type="dxa"/>
            <w:gridSpan w:val="8"/>
            <w:tcBorders>
              <w:top w:val="single" w:sz="8" w:space="0" w:color="auto"/>
              <w:left w:val="nil"/>
              <w:bottom w:val="single" w:sz="8" w:space="0" w:color="auto"/>
              <w:right w:val="nil"/>
            </w:tcBorders>
            <w:shd w:val="clear" w:color="auto" w:fill="auto"/>
            <w:noWrap/>
            <w:vAlign w:val="center"/>
            <w:hideMark/>
          </w:tcPr>
          <w:p w14:paraId="1EFF4C69"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SUPERINTENDENCIA DE PENSIONES</w:t>
            </w:r>
          </w:p>
        </w:tc>
      </w:tr>
      <w:tr w:rsidR="00110644" w:rsidRPr="00BA3674" w14:paraId="21A0AFB5" w14:textId="77777777" w:rsidTr="00BD7DB6">
        <w:trPr>
          <w:trHeight w:val="269"/>
        </w:trPr>
        <w:tc>
          <w:tcPr>
            <w:tcW w:w="5823"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5C33EEE"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Nombre del Jerarca de la Institución</w:t>
            </w:r>
          </w:p>
        </w:tc>
        <w:tc>
          <w:tcPr>
            <w:tcW w:w="1228" w:type="dxa"/>
            <w:tcBorders>
              <w:top w:val="nil"/>
              <w:left w:val="nil"/>
              <w:bottom w:val="single" w:sz="8" w:space="0" w:color="auto"/>
              <w:right w:val="nil"/>
            </w:tcBorders>
            <w:shd w:val="clear" w:color="auto" w:fill="auto"/>
            <w:noWrap/>
            <w:vAlign w:val="center"/>
            <w:hideMark/>
          </w:tcPr>
          <w:p w14:paraId="1E520402"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Álvaro Ramos</w:t>
            </w:r>
          </w:p>
        </w:tc>
        <w:tc>
          <w:tcPr>
            <w:tcW w:w="992" w:type="dxa"/>
            <w:tcBorders>
              <w:top w:val="nil"/>
              <w:left w:val="nil"/>
              <w:bottom w:val="single" w:sz="8" w:space="0" w:color="auto"/>
              <w:right w:val="nil"/>
            </w:tcBorders>
            <w:shd w:val="clear" w:color="auto" w:fill="auto"/>
            <w:noWrap/>
            <w:vAlign w:val="center"/>
            <w:hideMark/>
          </w:tcPr>
          <w:p w14:paraId="4B708882"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c>
          <w:tcPr>
            <w:tcW w:w="1134" w:type="dxa"/>
            <w:tcBorders>
              <w:top w:val="nil"/>
              <w:left w:val="nil"/>
              <w:bottom w:val="single" w:sz="8" w:space="0" w:color="auto"/>
              <w:right w:val="nil"/>
            </w:tcBorders>
            <w:shd w:val="clear" w:color="auto" w:fill="auto"/>
            <w:noWrap/>
            <w:vAlign w:val="center"/>
            <w:hideMark/>
          </w:tcPr>
          <w:p w14:paraId="3731BD84"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c>
          <w:tcPr>
            <w:tcW w:w="615" w:type="dxa"/>
            <w:tcBorders>
              <w:top w:val="nil"/>
              <w:left w:val="nil"/>
              <w:bottom w:val="single" w:sz="8" w:space="0" w:color="auto"/>
              <w:right w:val="nil"/>
            </w:tcBorders>
            <w:shd w:val="clear" w:color="auto" w:fill="auto"/>
            <w:noWrap/>
            <w:vAlign w:val="center"/>
            <w:hideMark/>
          </w:tcPr>
          <w:p w14:paraId="0A404613"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c>
          <w:tcPr>
            <w:tcW w:w="708" w:type="dxa"/>
            <w:tcBorders>
              <w:top w:val="nil"/>
              <w:left w:val="nil"/>
              <w:bottom w:val="single" w:sz="8" w:space="0" w:color="auto"/>
              <w:right w:val="nil"/>
            </w:tcBorders>
            <w:shd w:val="clear" w:color="auto" w:fill="auto"/>
            <w:noWrap/>
            <w:vAlign w:val="center"/>
            <w:hideMark/>
          </w:tcPr>
          <w:p w14:paraId="5ECD0790"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c>
          <w:tcPr>
            <w:tcW w:w="699" w:type="dxa"/>
            <w:tcBorders>
              <w:top w:val="nil"/>
              <w:left w:val="nil"/>
              <w:bottom w:val="single" w:sz="8" w:space="0" w:color="auto"/>
              <w:right w:val="nil"/>
            </w:tcBorders>
            <w:shd w:val="clear" w:color="auto" w:fill="auto"/>
            <w:noWrap/>
            <w:vAlign w:val="center"/>
            <w:hideMark/>
          </w:tcPr>
          <w:p w14:paraId="7AA81625"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c>
          <w:tcPr>
            <w:tcW w:w="699" w:type="dxa"/>
            <w:tcBorders>
              <w:top w:val="nil"/>
              <w:left w:val="nil"/>
              <w:bottom w:val="single" w:sz="8" w:space="0" w:color="auto"/>
              <w:right w:val="nil"/>
            </w:tcBorders>
            <w:shd w:val="clear" w:color="auto" w:fill="auto"/>
            <w:noWrap/>
            <w:vAlign w:val="center"/>
            <w:hideMark/>
          </w:tcPr>
          <w:p w14:paraId="1D668CCB"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c>
          <w:tcPr>
            <w:tcW w:w="1203" w:type="dxa"/>
            <w:tcBorders>
              <w:top w:val="nil"/>
              <w:left w:val="nil"/>
              <w:bottom w:val="single" w:sz="8" w:space="0" w:color="auto"/>
              <w:right w:val="nil"/>
            </w:tcBorders>
            <w:shd w:val="clear" w:color="auto" w:fill="auto"/>
            <w:noWrap/>
            <w:vAlign w:val="center"/>
            <w:hideMark/>
          </w:tcPr>
          <w:p w14:paraId="02340B43"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r>
      <w:tr w:rsidR="00110644" w:rsidRPr="00BA3674" w14:paraId="677EB01D" w14:textId="77777777" w:rsidTr="00BD7DB6">
        <w:trPr>
          <w:trHeight w:val="260"/>
        </w:trPr>
        <w:tc>
          <w:tcPr>
            <w:tcW w:w="5823"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C81663C"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Sector:</w:t>
            </w:r>
          </w:p>
        </w:tc>
        <w:tc>
          <w:tcPr>
            <w:tcW w:w="5376" w:type="dxa"/>
            <w:gridSpan w:val="6"/>
            <w:tcBorders>
              <w:top w:val="single" w:sz="8" w:space="0" w:color="auto"/>
              <w:left w:val="single" w:sz="8" w:space="0" w:color="auto"/>
              <w:bottom w:val="single" w:sz="8" w:space="0" w:color="auto"/>
              <w:right w:val="nil"/>
            </w:tcBorders>
            <w:shd w:val="clear" w:color="auto" w:fill="auto"/>
            <w:noWrap/>
            <w:vAlign w:val="center"/>
            <w:hideMark/>
          </w:tcPr>
          <w:p w14:paraId="7B3BCE1B"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Hacienda Pública, Monetario y Supervisión Financiera</w:t>
            </w:r>
          </w:p>
        </w:tc>
        <w:tc>
          <w:tcPr>
            <w:tcW w:w="699" w:type="dxa"/>
            <w:tcBorders>
              <w:top w:val="nil"/>
              <w:left w:val="nil"/>
              <w:bottom w:val="single" w:sz="8" w:space="0" w:color="auto"/>
              <w:right w:val="nil"/>
            </w:tcBorders>
            <w:shd w:val="clear" w:color="auto" w:fill="auto"/>
            <w:noWrap/>
            <w:vAlign w:val="center"/>
            <w:hideMark/>
          </w:tcPr>
          <w:p w14:paraId="405ED87F"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c>
          <w:tcPr>
            <w:tcW w:w="1203" w:type="dxa"/>
            <w:tcBorders>
              <w:top w:val="nil"/>
              <w:left w:val="nil"/>
              <w:bottom w:val="single" w:sz="8" w:space="0" w:color="auto"/>
              <w:right w:val="nil"/>
            </w:tcBorders>
            <w:shd w:val="clear" w:color="auto" w:fill="auto"/>
            <w:noWrap/>
            <w:vAlign w:val="center"/>
            <w:hideMark/>
          </w:tcPr>
          <w:p w14:paraId="11A44F30"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r>
      <w:tr w:rsidR="00110644" w:rsidRPr="00BA3674" w14:paraId="2B47F592" w14:textId="77777777" w:rsidTr="00BD7DB6">
        <w:trPr>
          <w:trHeight w:val="264"/>
        </w:trPr>
        <w:tc>
          <w:tcPr>
            <w:tcW w:w="5823"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23733E9"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Ministro(a) Rector(a)</w:t>
            </w:r>
          </w:p>
        </w:tc>
        <w:tc>
          <w:tcPr>
            <w:tcW w:w="3354" w:type="dxa"/>
            <w:gridSpan w:val="3"/>
            <w:tcBorders>
              <w:top w:val="nil"/>
              <w:left w:val="nil"/>
              <w:bottom w:val="single" w:sz="8" w:space="0" w:color="auto"/>
              <w:right w:val="nil"/>
            </w:tcBorders>
            <w:shd w:val="clear" w:color="auto" w:fill="auto"/>
            <w:noWrap/>
            <w:vAlign w:val="bottom"/>
            <w:hideMark/>
          </w:tcPr>
          <w:p w14:paraId="1ACF304A"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Helio Fallas V.</w:t>
            </w:r>
          </w:p>
        </w:tc>
        <w:tc>
          <w:tcPr>
            <w:tcW w:w="615" w:type="dxa"/>
            <w:tcBorders>
              <w:top w:val="nil"/>
              <w:left w:val="nil"/>
              <w:bottom w:val="single" w:sz="8" w:space="0" w:color="auto"/>
              <w:right w:val="nil"/>
            </w:tcBorders>
            <w:shd w:val="clear" w:color="auto" w:fill="auto"/>
            <w:noWrap/>
            <w:vAlign w:val="bottom"/>
            <w:hideMark/>
          </w:tcPr>
          <w:p w14:paraId="197C34AB"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c>
          <w:tcPr>
            <w:tcW w:w="708" w:type="dxa"/>
            <w:tcBorders>
              <w:top w:val="nil"/>
              <w:left w:val="nil"/>
              <w:bottom w:val="single" w:sz="8" w:space="0" w:color="auto"/>
              <w:right w:val="nil"/>
            </w:tcBorders>
            <w:shd w:val="clear" w:color="auto" w:fill="auto"/>
            <w:noWrap/>
            <w:vAlign w:val="bottom"/>
            <w:hideMark/>
          </w:tcPr>
          <w:p w14:paraId="4CFD4DED"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c>
          <w:tcPr>
            <w:tcW w:w="699" w:type="dxa"/>
            <w:tcBorders>
              <w:top w:val="nil"/>
              <w:left w:val="nil"/>
              <w:bottom w:val="single" w:sz="8" w:space="0" w:color="auto"/>
              <w:right w:val="nil"/>
            </w:tcBorders>
            <w:shd w:val="clear" w:color="auto" w:fill="auto"/>
            <w:noWrap/>
            <w:vAlign w:val="bottom"/>
            <w:hideMark/>
          </w:tcPr>
          <w:p w14:paraId="2CA353B7"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c>
          <w:tcPr>
            <w:tcW w:w="699" w:type="dxa"/>
            <w:tcBorders>
              <w:top w:val="nil"/>
              <w:left w:val="nil"/>
              <w:bottom w:val="single" w:sz="8" w:space="0" w:color="auto"/>
              <w:right w:val="nil"/>
            </w:tcBorders>
            <w:shd w:val="clear" w:color="auto" w:fill="auto"/>
            <w:noWrap/>
            <w:vAlign w:val="bottom"/>
            <w:hideMark/>
          </w:tcPr>
          <w:p w14:paraId="10CF6C6C"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c>
          <w:tcPr>
            <w:tcW w:w="1203" w:type="dxa"/>
            <w:tcBorders>
              <w:top w:val="nil"/>
              <w:left w:val="nil"/>
              <w:bottom w:val="single" w:sz="8" w:space="0" w:color="auto"/>
              <w:right w:val="nil"/>
            </w:tcBorders>
            <w:shd w:val="clear" w:color="auto" w:fill="auto"/>
            <w:noWrap/>
            <w:vAlign w:val="bottom"/>
            <w:hideMark/>
          </w:tcPr>
          <w:p w14:paraId="007F3604"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r>
      <w:tr w:rsidR="00110644" w:rsidRPr="00BA3674" w14:paraId="025E7FB9" w14:textId="77777777" w:rsidTr="00BD7DB6">
        <w:trPr>
          <w:trHeight w:val="386"/>
        </w:trPr>
        <w:tc>
          <w:tcPr>
            <w:tcW w:w="13101" w:type="dxa"/>
            <w:gridSpan w:val="12"/>
            <w:tcBorders>
              <w:top w:val="single" w:sz="12" w:space="0" w:color="FFFFFF"/>
              <w:left w:val="nil"/>
              <w:bottom w:val="single" w:sz="12" w:space="0" w:color="FFFFFF"/>
              <w:right w:val="single" w:sz="12" w:space="0" w:color="FFFFFF"/>
            </w:tcBorders>
            <w:shd w:val="clear" w:color="000000" w:fill="16365C"/>
            <w:noWrap/>
            <w:vAlign w:val="center"/>
            <w:hideMark/>
          </w:tcPr>
          <w:p w14:paraId="02A4ABC6" w14:textId="77777777" w:rsidR="00110644" w:rsidRPr="00BA3674" w:rsidRDefault="00110644" w:rsidP="00385A02">
            <w:pPr>
              <w:jc w:val="center"/>
              <w:rPr>
                <w:rFonts w:asciiTheme="minorHAnsi" w:hAnsiTheme="minorHAnsi" w:cs="Arial"/>
                <w:b/>
                <w:bCs/>
                <w:color w:val="FFFFFF"/>
                <w:sz w:val="16"/>
                <w:szCs w:val="16"/>
              </w:rPr>
            </w:pPr>
            <w:r w:rsidRPr="00BA3674">
              <w:rPr>
                <w:rFonts w:asciiTheme="minorHAnsi" w:hAnsiTheme="minorHAnsi" w:cs="Arial"/>
                <w:b/>
                <w:bCs/>
                <w:color w:val="FFFFFF"/>
                <w:sz w:val="16"/>
                <w:szCs w:val="16"/>
              </w:rPr>
              <w:t>PLAN NACIONAL DESARROLLO</w:t>
            </w:r>
          </w:p>
        </w:tc>
      </w:tr>
      <w:tr w:rsidR="00110644" w:rsidRPr="00BA3674" w14:paraId="05A3DFAB" w14:textId="77777777" w:rsidTr="00BD7DB6">
        <w:trPr>
          <w:trHeight w:val="510"/>
        </w:trPr>
        <w:tc>
          <w:tcPr>
            <w:tcW w:w="1267"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7E567B30"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PILARES Y/O ELEMENTOS TRANSVERSALES  DEL PND (2015-2018)</w:t>
            </w:r>
          </w:p>
        </w:tc>
        <w:tc>
          <w:tcPr>
            <w:tcW w:w="1568"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56C0E89D"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OBJETIVOSECTORIAL(ES) /AFIN (ES) O TRANSVERSALES AFINES</w:t>
            </w:r>
          </w:p>
        </w:tc>
        <w:tc>
          <w:tcPr>
            <w:tcW w:w="1262"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41A8B982"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CODIGO Y NOMBRE DEL PROGRAMA/ PROYECTO  SECTORIAL PND</w:t>
            </w:r>
          </w:p>
        </w:tc>
        <w:tc>
          <w:tcPr>
            <w:tcW w:w="1726"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00E18E57"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 xml:space="preserve"> RESULTADOS DEL PROGRAMA O PROYECTO</w:t>
            </w:r>
          </w:p>
        </w:tc>
        <w:tc>
          <w:tcPr>
            <w:tcW w:w="1228"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681E5879"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INDICADORES DEL PROGRAMA O PROYECTO</w:t>
            </w:r>
          </w:p>
        </w:tc>
        <w:tc>
          <w:tcPr>
            <w:tcW w:w="992"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6F3514FD"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LINEA BASE DEL INDICADOR</w:t>
            </w:r>
          </w:p>
        </w:tc>
        <w:tc>
          <w:tcPr>
            <w:tcW w:w="1134"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62731CF4"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META DEL INDICADOR DEL PROGRAMA O PROYECTO DEL PERIODO</w:t>
            </w:r>
          </w:p>
        </w:tc>
        <w:tc>
          <w:tcPr>
            <w:tcW w:w="2721" w:type="dxa"/>
            <w:gridSpan w:val="4"/>
            <w:vMerge w:val="restart"/>
            <w:tcBorders>
              <w:top w:val="single" w:sz="12" w:space="0" w:color="FFFFFF"/>
              <w:left w:val="single" w:sz="12" w:space="0" w:color="FFFFFF"/>
              <w:bottom w:val="single" w:sz="12" w:space="0" w:color="FFFFFF"/>
              <w:right w:val="single" w:sz="12" w:space="0" w:color="FFFFFF"/>
            </w:tcBorders>
            <w:shd w:val="clear" w:color="000000" w:fill="C5D9F1"/>
            <w:vAlign w:val="center"/>
            <w:hideMark/>
          </w:tcPr>
          <w:p w14:paraId="752A9DF8"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METAS ANUALES DEL PND</w:t>
            </w:r>
          </w:p>
        </w:tc>
        <w:tc>
          <w:tcPr>
            <w:tcW w:w="1203" w:type="dxa"/>
            <w:vMerge w:val="restart"/>
            <w:tcBorders>
              <w:top w:val="nil"/>
              <w:left w:val="single" w:sz="12" w:space="0" w:color="FFFFFF"/>
              <w:bottom w:val="single" w:sz="12" w:space="0" w:color="FFFFFF"/>
              <w:right w:val="single" w:sz="12" w:space="0" w:color="FFFFFF"/>
            </w:tcBorders>
            <w:shd w:val="clear" w:color="000000" w:fill="8DB4E2"/>
            <w:vAlign w:val="center"/>
            <w:hideMark/>
          </w:tcPr>
          <w:p w14:paraId="7EFB316B"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COBERTURA GEOGRAFICA POR REGION</w:t>
            </w:r>
          </w:p>
        </w:tc>
      </w:tr>
      <w:tr w:rsidR="00110644" w:rsidRPr="00BA3674" w14:paraId="300E88E5" w14:textId="77777777" w:rsidTr="00BD7DB6">
        <w:trPr>
          <w:trHeight w:val="1080"/>
        </w:trPr>
        <w:tc>
          <w:tcPr>
            <w:tcW w:w="1267" w:type="dxa"/>
            <w:vMerge/>
            <w:tcBorders>
              <w:top w:val="nil"/>
              <w:left w:val="single" w:sz="12" w:space="0" w:color="FFFFFF"/>
              <w:bottom w:val="single" w:sz="12" w:space="0" w:color="FFFFFF"/>
              <w:right w:val="single" w:sz="12" w:space="0" w:color="FFFFFF"/>
            </w:tcBorders>
            <w:vAlign w:val="center"/>
            <w:hideMark/>
          </w:tcPr>
          <w:p w14:paraId="7AC85818" w14:textId="77777777" w:rsidR="00110644" w:rsidRPr="00BA3674" w:rsidRDefault="00110644" w:rsidP="00385A02">
            <w:pPr>
              <w:rPr>
                <w:rFonts w:asciiTheme="minorHAnsi" w:hAnsiTheme="minorHAnsi" w:cs="Arial"/>
                <w:b/>
                <w:bCs/>
                <w:sz w:val="16"/>
                <w:szCs w:val="16"/>
              </w:rPr>
            </w:pPr>
          </w:p>
        </w:tc>
        <w:tc>
          <w:tcPr>
            <w:tcW w:w="1568" w:type="dxa"/>
            <w:vMerge/>
            <w:tcBorders>
              <w:top w:val="nil"/>
              <w:left w:val="single" w:sz="12" w:space="0" w:color="FFFFFF"/>
              <w:bottom w:val="single" w:sz="12" w:space="0" w:color="FFFFFF"/>
              <w:right w:val="single" w:sz="12" w:space="0" w:color="FFFFFF"/>
            </w:tcBorders>
            <w:vAlign w:val="center"/>
            <w:hideMark/>
          </w:tcPr>
          <w:p w14:paraId="72E87AAA" w14:textId="77777777" w:rsidR="00110644" w:rsidRPr="00BA3674" w:rsidRDefault="00110644" w:rsidP="00385A02">
            <w:pPr>
              <w:rPr>
                <w:rFonts w:asciiTheme="minorHAnsi" w:hAnsiTheme="minorHAnsi" w:cs="Arial"/>
                <w:b/>
                <w:bCs/>
                <w:sz w:val="16"/>
                <w:szCs w:val="16"/>
              </w:rPr>
            </w:pPr>
          </w:p>
        </w:tc>
        <w:tc>
          <w:tcPr>
            <w:tcW w:w="1262" w:type="dxa"/>
            <w:vMerge/>
            <w:tcBorders>
              <w:top w:val="nil"/>
              <w:left w:val="single" w:sz="12" w:space="0" w:color="FFFFFF"/>
              <w:bottom w:val="single" w:sz="12" w:space="0" w:color="FFFFFF"/>
              <w:right w:val="single" w:sz="12" w:space="0" w:color="FFFFFF"/>
            </w:tcBorders>
            <w:vAlign w:val="center"/>
            <w:hideMark/>
          </w:tcPr>
          <w:p w14:paraId="5BB6C5F7" w14:textId="77777777" w:rsidR="00110644" w:rsidRPr="00BA3674" w:rsidRDefault="00110644" w:rsidP="00385A02">
            <w:pPr>
              <w:rPr>
                <w:rFonts w:asciiTheme="minorHAnsi" w:hAnsiTheme="minorHAnsi" w:cs="Arial"/>
                <w:b/>
                <w:bCs/>
                <w:sz w:val="16"/>
                <w:szCs w:val="16"/>
              </w:rPr>
            </w:pPr>
          </w:p>
        </w:tc>
        <w:tc>
          <w:tcPr>
            <w:tcW w:w="1726" w:type="dxa"/>
            <w:vMerge/>
            <w:tcBorders>
              <w:top w:val="nil"/>
              <w:left w:val="single" w:sz="12" w:space="0" w:color="FFFFFF"/>
              <w:bottom w:val="single" w:sz="12" w:space="0" w:color="FFFFFF"/>
              <w:right w:val="single" w:sz="12" w:space="0" w:color="FFFFFF"/>
            </w:tcBorders>
            <w:vAlign w:val="center"/>
            <w:hideMark/>
          </w:tcPr>
          <w:p w14:paraId="0DD57877" w14:textId="77777777" w:rsidR="00110644" w:rsidRPr="00BA3674" w:rsidRDefault="00110644" w:rsidP="00385A02">
            <w:pPr>
              <w:rPr>
                <w:rFonts w:asciiTheme="minorHAnsi" w:hAnsiTheme="minorHAnsi" w:cs="Arial"/>
                <w:b/>
                <w:bCs/>
                <w:sz w:val="16"/>
                <w:szCs w:val="16"/>
              </w:rPr>
            </w:pPr>
          </w:p>
        </w:tc>
        <w:tc>
          <w:tcPr>
            <w:tcW w:w="1228" w:type="dxa"/>
            <w:vMerge/>
            <w:tcBorders>
              <w:top w:val="nil"/>
              <w:left w:val="single" w:sz="12" w:space="0" w:color="FFFFFF"/>
              <w:bottom w:val="single" w:sz="12" w:space="0" w:color="FFFFFF"/>
              <w:right w:val="single" w:sz="12" w:space="0" w:color="FFFFFF"/>
            </w:tcBorders>
            <w:vAlign w:val="center"/>
            <w:hideMark/>
          </w:tcPr>
          <w:p w14:paraId="517B17A4" w14:textId="77777777" w:rsidR="00110644" w:rsidRPr="00BA3674" w:rsidRDefault="00110644" w:rsidP="00385A02">
            <w:pPr>
              <w:rPr>
                <w:rFonts w:asciiTheme="minorHAnsi" w:hAnsiTheme="minorHAnsi" w:cs="Arial"/>
                <w:b/>
                <w:bCs/>
                <w:sz w:val="16"/>
                <w:szCs w:val="16"/>
              </w:rPr>
            </w:pPr>
          </w:p>
        </w:tc>
        <w:tc>
          <w:tcPr>
            <w:tcW w:w="992" w:type="dxa"/>
            <w:vMerge/>
            <w:tcBorders>
              <w:top w:val="nil"/>
              <w:left w:val="single" w:sz="12" w:space="0" w:color="FFFFFF"/>
              <w:bottom w:val="single" w:sz="12" w:space="0" w:color="FFFFFF"/>
              <w:right w:val="single" w:sz="12" w:space="0" w:color="FFFFFF"/>
            </w:tcBorders>
            <w:vAlign w:val="center"/>
            <w:hideMark/>
          </w:tcPr>
          <w:p w14:paraId="7A46C112" w14:textId="77777777" w:rsidR="00110644" w:rsidRPr="00BA3674" w:rsidRDefault="00110644" w:rsidP="00385A02">
            <w:pPr>
              <w:rPr>
                <w:rFonts w:asciiTheme="minorHAnsi" w:hAnsiTheme="minorHAnsi" w:cs="Arial"/>
                <w:b/>
                <w:bCs/>
                <w:sz w:val="16"/>
                <w:szCs w:val="16"/>
              </w:rPr>
            </w:pPr>
          </w:p>
        </w:tc>
        <w:tc>
          <w:tcPr>
            <w:tcW w:w="1134" w:type="dxa"/>
            <w:vMerge/>
            <w:tcBorders>
              <w:top w:val="nil"/>
              <w:left w:val="single" w:sz="12" w:space="0" w:color="FFFFFF"/>
              <w:bottom w:val="single" w:sz="12" w:space="0" w:color="FFFFFF"/>
              <w:right w:val="single" w:sz="12" w:space="0" w:color="FFFFFF"/>
            </w:tcBorders>
            <w:vAlign w:val="center"/>
            <w:hideMark/>
          </w:tcPr>
          <w:p w14:paraId="0769CF38" w14:textId="77777777" w:rsidR="00110644" w:rsidRPr="00BA3674" w:rsidRDefault="00110644" w:rsidP="00385A02">
            <w:pPr>
              <w:rPr>
                <w:rFonts w:asciiTheme="minorHAnsi" w:hAnsiTheme="minorHAnsi" w:cs="Arial"/>
                <w:b/>
                <w:bCs/>
                <w:sz w:val="16"/>
                <w:szCs w:val="16"/>
              </w:rPr>
            </w:pPr>
          </w:p>
        </w:tc>
        <w:tc>
          <w:tcPr>
            <w:tcW w:w="2721" w:type="dxa"/>
            <w:gridSpan w:val="4"/>
            <w:vMerge/>
            <w:tcBorders>
              <w:top w:val="single" w:sz="12" w:space="0" w:color="FFFFFF"/>
              <w:left w:val="single" w:sz="12" w:space="0" w:color="FFFFFF"/>
              <w:bottom w:val="single" w:sz="12" w:space="0" w:color="FFFFFF"/>
              <w:right w:val="single" w:sz="12" w:space="0" w:color="FFFFFF"/>
            </w:tcBorders>
            <w:vAlign w:val="center"/>
            <w:hideMark/>
          </w:tcPr>
          <w:p w14:paraId="013F5E9B" w14:textId="77777777" w:rsidR="00110644" w:rsidRPr="00BA3674" w:rsidRDefault="00110644" w:rsidP="00385A02">
            <w:pPr>
              <w:rPr>
                <w:rFonts w:asciiTheme="minorHAnsi" w:hAnsiTheme="minorHAnsi" w:cs="Arial"/>
                <w:b/>
                <w:bCs/>
                <w:sz w:val="16"/>
                <w:szCs w:val="16"/>
              </w:rPr>
            </w:pPr>
          </w:p>
        </w:tc>
        <w:tc>
          <w:tcPr>
            <w:tcW w:w="1203" w:type="dxa"/>
            <w:vMerge/>
            <w:tcBorders>
              <w:top w:val="nil"/>
              <w:left w:val="single" w:sz="12" w:space="0" w:color="FFFFFF"/>
              <w:bottom w:val="single" w:sz="12" w:space="0" w:color="FFFFFF"/>
              <w:right w:val="single" w:sz="12" w:space="0" w:color="FFFFFF"/>
            </w:tcBorders>
            <w:vAlign w:val="center"/>
            <w:hideMark/>
          </w:tcPr>
          <w:p w14:paraId="771D09D1" w14:textId="77777777" w:rsidR="00110644" w:rsidRPr="00BA3674" w:rsidRDefault="00110644" w:rsidP="00385A02">
            <w:pPr>
              <w:rPr>
                <w:rFonts w:asciiTheme="minorHAnsi" w:hAnsiTheme="minorHAnsi" w:cs="Arial"/>
                <w:b/>
                <w:bCs/>
                <w:sz w:val="16"/>
                <w:szCs w:val="16"/>
              </w:rPr>
            </w:pPr>
          </w:p>
        </w:tc>
      </w:tr>
      <w:tr w:rsidR="00110644" w:rsidRPr="00BA3674" w14:paraId="6342B90A" w14:textId="77777777" w:rsidTr="00BD7DB6">
        <w:trPr>
          <w:trHeight w:val="330"/>
        </w:trPr>
        <w:tc>
          <w:tcPr>
            <w:tcW w:w="1267" w:type="dxa"/>
            <w:vMerge/>
            <w:tcBorders>
              <w:top w:val="nil"/>
              <w:left w:val="single" w:sz="12" w:space="0" w:color="FFFFFF"/>
              <w:bottom w:val="single" w:sz="12" w:space="0" w:color="FFFFFF"/>
              <w:right w:val="single" w:sz="12" w:space="0" w:color="FFFFFF"/>
            </w:tcBorders>
            <w:vAlign w:val="center"/>
            <w:hideMark/>
          </w:tcPr>
          <w:p w14:paraId="38A682D9" w14:textId="77777777" w:rsidR="00110644" w:rsidRPr="00BA3674" w:rsidRDefault="00110644" w:rsidP="00385A02">
            <w:pPr>
              <w:rPr>
                <w:rFonts w:asciiTheme="minorHAnsi" w:hAnsiTheme="minorHAnsi" w:cs="Arial"/>
                <w:b/>
                <w:bCs/>
                <w:sz w:val="16"/>
                <w:szCs w:val="16"/>
              </w:rPr>
            </w:pPr>
          </w:p>
        </w:tc>
        <w:tc>
          <w:tcPr>
            <w:tcW w:w="1568" w:type="dxa"/>
            <w:vMerge/>
            <w:tcBorders>
              <w:top w:val="nil"/>
              <w:left w:val="single" w:sz="12" w:space="0" w:color="FFFFFF"/>
              <w:bottom w:val="single" w:sz="12" w:space="0" w:color="FFFFFF"/>
              <w:right w:val="single" w:sz="12" w:space="0" w:color="FFFFFF"/>
            </w:tcBorders>
            <w:vAlign w:val="center"/>
            <w:hideMark/>
          </w:tcPr>
          <w:p w14:paraId="66F68783" w14:textId="77777777" w:rsidR="00110644" w:rsidRPr="00BA3674" w:rsidRDefault="00110644" w:rsidP="00385A02">
            <w:pPr>
              <w:rPr>
                <w:rFonts w:asciiTheme="minorHAnsi" w:hAnsiTheme="minorHAnsi" w:cs="Arial"/>
                <w:b/>
                <w:bCs/>
                <w:sz w:val="16"/>
                <w:szCs w:val="16"/>
              </w:rPr>
            </w:pPr>
          </w:p>
        </w:tc>
        <w:tc>
          <w:tcPr>
            <w:tcW w:w="1262" w:type="dxa"/>
            <w:vMerge/>
            <w:tcBorders>
              <w:top w:val="nil"/>
              <w:left w:val="single" w:sz="12" w:space="0" w:color="FFFFFF"/>
              <w:bottom w:val="single" w:sz="12" w:space="0" w:color="FFFFFF"/>
              <w:right w:val="single" w:sz="12" w:space="0" w:color="FFFFFF"/>
            </w:tcBorders>
            <w:vAlign w:val="center"/>
            <w:hideMark/>
          </w:tcPr>
          <w:p w14:paraId="1AB98DC6" w14:textId="77777777" w:rsidR="00110644" w:rsidRPr="00BA3674" w:rsidRDefault="00110644" w:rsidP="00385A02">
            <w:pPr>
              <w:rPr>
                <w:rFonts w:asciiTheme="minorHAnsi" w:hAnsiTheme="minorHAnsi" w:cs="Arial"/>
                <w:b/>
                <w:bCs/>
                <w:sz w:val="16"/>
                <w:szCs w:val="16"/>
              </w:rPr>
            </w:pPr>
          </w:p>
        </w:tc>
        <w:tc>
          <w:tcPr>
            <w:tcW w:w="1726" w:type="dxa"/>
            <w:vMerge/>
            <w:tcBorders>
              <w:top w:val="nil"/>
              <w:left w:val="single" w:sz="12" w:space="0" w:color="FFFFFF"/>
              <w:bottom w:val="single" w:sz="12" w:space="0" w:color="FFFFFF"/>
              <w:right w:val="single" w:sz="12" w:space="0" w:color="FFFFFF"/>
            </w:tcBorders>
            <w:vAlign w:val="center"/>
            <w:hideMark/>
          </w:tcPr>
          <w:p w14:paraId="5B80AEF5" w14:textId="77777777" w:rsidR="00110644" w:rsidRPr="00BA3674" w:rsidRDefault="00110644" w:rsidP="00385A02">
            <w:pPr>
              <w:rPr>
                <w:rFonts w:asciiTheme="minorHAnsi" w:hAnsiTheme="minorHAnsi" w:cs="Arial"/>
                <w:b/>
                <w:bCs/>
                <w:sz w:val="16"/>
                <w:szCs w:val="16"/>
              </w:rPr>
            </w:pPr>
          </w:p>
        </w:tc>
        <w:tc>
          <w:tcPr>
            <w:tcW w:w="1228" w:type="dxa"/>
            <w:vMerge/>
            <w:tcBorders>
              <w:top w:val="nil"/>
              <w:left w:val="single" w:sz="12" w:space="0" w:color="FFFFFF"/>
              <w:bottom w:val="single" w:sz="12" w:space="0" w:color="FFFFFF"/>
              <w:right w:val="single" w:sz="12" w:space="0" w:color="FFFFFF"/>
            </w:tcBorders>
            <w:vAlign w:val="center"/>
            <w:hideMark/>
          </w:tcPr>
          <w:p w14:paraId="72C4D886" w14:textId="77777777" w:rsidR="00110644" w:rsidRPr="00BA3674" w:rsidRDefault="00110644" w:rsidP="00385A02">
            <w:pPr>
              <w:rPr>
                <w:rFonts w:asciiTheme="minorHAnsi" w:hAnsiTheme="minorHAnsi" w:cs="Arial"/>
                <w:b/>
                <w:bCs/>
                <w:sz w:val="16"/>
                <w:szCs w:val="16"/>
              </w:rPr>
            </w:pPr>
          </w:p>
        </w:tc>
        <w:tc>
          <w:tcPr>
            <w:tcW w:w="992" w:type="dxa"/>
            <w:vMerge/>
            <w:tcBorders>
              <w:top w:val="nil"/>
              <w:left w:val="single" w:sz="12" w:space="0" w:color="FFFFFF"/>
              <w:bottom w:val="single" w:sz="12" w:space="0" w:color="FFFFFF"/>
              <w:right w:val="single" w:sz="12" w:space="0" w:color="FFFFFF"/>
            </w:tcBorders>
            <w:vAlign w:val="center"/>
            <w:hideMark/>
          </w:tcPr>
          <w:p w14:paraId="04B37FA0" w14:textId="77777777" w:rsidR="00110644" w:rsidRPr="00BA3674" w:rsidRDefault="00110644" w:rsidP="00385A02">
            <w:pPr>
              <w:rPr>
                <w:rFonts w:asciiTheme="minorHAnsi" w:hAnsiTheme="minorHAnsi" w:cs="Arial"/>
                <w:b/>
                <w:bCs/>
                <w:sz w:val="16"/>
                <w:szCs w:val="16"/>
              </w:rPr>
            </w:pPr>
          </w:p>
        </w:tc>
        <w:tc>
          <w:tcPr>
            <w:tcW w:w="1134" w:type="dxa"/>
            <w:vMerge/>
            <w:tcBorders>
              <w:top w:val="nil"/>
              <w:left w:val="single" w:sz="12" w:space="0" w:color="FFFFFF"/>
              <w:bottom w:val="single" w:sz="12" w:space="0" w:color="FFFFFF"/>
              <w:right w:val="single" w:sz="12" w:space="0" w:color="FFFFFF"/>
            </w:tcBorders>
            <w:vAlign w:val="center"/>
            <w:hideMark/>
          </w:tcPr>
          <w:p w14:paraId="7533C2D0" w14:textId="77777777" w:rsidR="00110644" w:rsidRPr="00BA3674" w:rsidRDefault="00110644" w:rsidP="00385A02">
            <w:pPr>
              <w:rPr>
                <w:rFonts w:asciiTheme="minorHAnsi" w:hAnsiTheme="minorHAnsi" w:cs="Arial"/>
                <w:b/>
                <w:bCs/>
                <w:sz w:val="16"/>
                <w:szCs w:val="16"/>
              </w:rPr>
            </w:pPr>
          </w:p>
        </w:tc>
        <w:tc>
          <w:tcPr>
            <w:tcW w:w="2721" w:type="dxa"/>
            <w:gridSpan w:val="4"/>
            <w:vMerge/>
            <w:tcBorders>
              <w:top w:val="single" w:sz="12" w:space="0" w:color="FFFFFF"/>
              <w:left w:val="single" w:sz="12" w:space="0" w:color="FFFFFF"/>
              <w:bottom w:val="single" w:sz="12" w:space="0" w:color="FFFFFF"/>
              <w:right w:val="single" w:sz="12" w:space="0" w:color="FFFFFF"/>
            </w:tcBorders>
            <w:vAlign w:val="center"/>
            <w:hideMark/>
          </w:tcPr>
          <w:p w14:paraId="5DC58D69" w14:textId="77777777" w:rsidR="00110644" w:rsidRPr="00BA3674" w:rsidRDefault="00110644" w:rsidP="00385A02">
            <w:pPr>
              <w:rPr>
                <w:rFonts w:asciiTheme="minorHAnsi" w:hAnsiTheme="minorHAnsi" w:cs="Arial"/>
                <w:b/>
                <w:bCs/>
                <w:sz w:val="16"/>
                <w:szCs w:val="16"/>
              </w:rPr>
            </w:pPr>
          </w:p>
        </w:tc>
        <w:tc>
          <w:tcPr>
            <w:tcW w:w="1203" w:type="dxa"/>
            <w:vMerge/>
            <w:tcBorders>
              <w:top w:val="nil"/>
              <w:left w:val="single" w:sz="12" w:space="0" w:color="FFFFFF"/>
              <w:bottom w:val="single" w:sz="12" w:space="0" w:color="FFFFFF"/>
              <w:right w:val="single" w:sz="12" w:space="0" w:color="FFFFFF"/>
            </w:tcBorders>
            <w:vAlign w:val="center"/>
            <w:hideMark/>
          </w:tcPr>
          <w:p w14:paraId="7ECEEC0D" w14:textId="77777777" w:rsidR="00110644" w:rsidRPr="00BA3674" w:rsidRDefault="00110644" w:rsidP="00385A02">
            <w:pPr>
              <w:rPr>
                <w:rFonts w:asciiTheme="minorHAnsi" w:hAnsiTheme="minorHAnsi" w:cs="Arial"/>
                <w:b/>
                <w:bCs/>
                <w:sz w:val="16"/>
                <w:szCs w:val="16"/>
              </w:rPr>
            </w:pPr>
          </w:p>
        </w:tc>
      </w:tr>
      <w:tr w:rsidR="00110644" w:rsidRPr="00BA3674" w14:paraId="1A8B89D3" w14:textId="77777777" w:rsidTr="00BD7DB6">
        <w:trPr>
          <w:trHeight w:val="195"/>
        </w:trPr>
        <w:tc>
          <w:tcPr>
            <w:tcW w:w="1267" w:type="dxa"/>
            <w:vMerge/>
            <w:tcBorders>
              <w:top w:val="nil"/>
              <w:left w:val="single" w:sz="12" w:space="0" w:color="FFFFFF"/>
              <w:bottom w:val="single" w:sz="12" w:space="0" w:color="FFFFFF"/>
              <w:right w:val="single" w:sz="12" w:space="0" w:color="FFFFFF"/>
            </w:tcBorders>
            <w:vAlign w:val="center"/>
            <w:hideMark/>
          </w:tcPr>
          <w:p w14:paraId="11C19A77" w14:textId="77777777" w:rsidR="00110644" w:rsidRPr="00BA3674" w:rsidRDefault="00110644" w:rsidP="00385A02">
            <w:pPr>
              <w:rPr>
                <w:rFonts w:asciiTheme="minorHAnsi" w:hAnsiTheme="minorHAnsi" w:cs="Arial"/>
                <w:b/>
                <w:bCs/>
                <w:sz w:val="16"/>
                <w:szCs w:val="16"/>
              </w:rPr>
            </w:pPr>
          </w:p>
        </w:tc>
        <w:tc>
          <w:tcPr>
            <w:tcW w:w="1568" w:type="dxa"/>
            <w:vMerge/>
            <w:tcBorders>
              <w:top w:val="nil"/>
              <w:left w:val="single" w:sz="12" w:space="0" w:color="FFFFFF"/>
              <w:bottom w:val="single" w:sz="12" w:space="0" w:color="FFFFFF"/>
              <w:right w:val="single" w:sz="12" w:space="0" w:color="FFFFFF"/>
            </w:tcBorders>
            <w:vAlign w:val="center"/>
            <w:hideMark/>
          </w:tcPr>
          <w:p w14:paraId="4B4F74F0" w14:textId="77777777" w:rsidR="00110644" w:rsidRPr="00BA3674" w:rsidRDefault="00110644" w:rsidP="00385A02">
            <w:pPr>
              <w:rPr>
                <w:rFonts w:asciiTheme="minorHAnsi" w:hAnsiTheme="minorHAnsi" w:cs="Arial"/>
                <w:b/>
                <w:bCs/>
                <w:sz w:val="16"/>
                <w:szCs w:val="16"/>
              </w:rPr>
            </w:pPr>
          </w:p>
        </w:tc>
        <w:tc>
          <w:tcPr>
            <w:tcW w:w="1262" w:type="dxa"/>
            <w:vMerge/>
            <w:tcBorders>
              <w:top w:val="nil"/>
              <w:left w:val="single" w:sz="12" w:space="0" w:color="FFFFFF"/>
              <w:bottom w:val="single" w:sz="12" w:space="0" w:color="FFFFFF"/>
              <w:right w:val="single" w:sz="12" w:space="0" w:color="FFFFFF"/>
            </w:tcBorders>
            <w:vAlign w:val="center"/>
            <w:hideMark/>
          </w:tcPr>
          <w:p w14:paraId="4245ED62" w14:textId="77777777" w:rsidR="00110644" w:rsidRPr="00BA3674" w:rsidRDefault="00110644" w:rsidP="00385A02">
            <w:pPr>
              <w:rPr>
                <w:rFonts w:asciiTheme="minorHAnsi" w:hAnsiTheme="minorHAnsi" w:cs="Arial"/>
                <w:b/>
                <w:bCs/>
                <w:sz w:val="16"/>
                <w:szCs w:val="16"/>
              </w:rPr>
            </w:pPr>
          </w:p>
        </w:tc>
        <w:tc>
          <w:tcPr>
            <w:tcW w:w="1726" w:type="dxa"/>
            <w:vMerge/>
            <w:tcBorders>
              <w:top w:val="nil"/>
              <w:left w:val="single" w:sz="12" w:space="0" w:color="FFFFFF"/>
              <w:bottom w:val="single" w:sz="12" w:space="0" w:color="FFFFFF"/>
              <w:right w:val="single" w:sz="12" w:space="0" w:color="FFFFFF"/>
            </w:tcBorders>
            <w:vAlign w:val="center"/>
            <w:hideMark/>
          </w:tcPr>
          <w:p w14:paraId="0FB0AC69" w14:textId="77777777" w:rsidR="00110644" w:rsidRPr="00BA3674" w:rsidRDefault="00110644" w:rsidP="00385A02">
            <w:pPr>
              <w:rPr>
                <w:rFonts w:asciiTheme="minorHAnsi" w:hAnsiTheme="minorHAnsi" w:cs="Arial"/>
                <w:b/>
                <w:bCs/>
                <w:sz w:val="16"/>
                <w:szCs w:val="16"/>
              </w:rPr>
            </w:pPr>
          </w:p>
        </w:tc>
        <w:tc>
          <w:tcPr>
            <w:tcW w:w="1228" w:type="dxa"/>
            <w:vMerge/>
            <w:tcBorders>
              <w:top w:val="nil"/>
              <w:left w:val="single" w:sz="12" w:space="0" w:color="FFFFFF"/>
              <w:bottom w:val="single" w:sz="12" w:space="0" w:color="FFFFFF"/>
              <w:right w:val="single" w:sz="12" w:space="0" w:color="FFFFFF"/>
            </w:tcBorders>
            <w:vAlign w:val="center"/>
            <w:hideMark/>
          </w:tcPr>
          <w:p w14:paraId="07D2E987" w14:textId="77777777" w:rsidR="00110644" w:rsidRPr="00BA3674" w:rsidRDefault="00110644" w:rsidP="00385A02">
            <w:pPr>
              <w:rPr>
                <w:rFonts w:asciiTheme="minorHAnsi" w:hAnsiTheme="minorHAnsi" w:cs="Arial"/>
                <w:b/>
                <w:bCs/>
                <w:sz w:val="16"/>
                <w:szCs w:val="16"/>
              </w:rPr>
            </w:pPr>
          </w:p>
        </w:tc>
        <w:tc>
          <w:tcPr>
            <w:tcW w:w="992" w:type="dxa"/>
            <w:vMerge/>
            <w:tcBorders>
              <w:top w:val="nil"/>
              <w:left w:val="single" w:sz="12" w:space="0" w:color="FFFFFF"/>
              <w:bottom w:val="single" w:sz="12" w:space="0" w:color="FFFFFF"/>
              <w:right w:val="single" w:sz="12" w:space="0" w:color="FFFFFF"/>
            </w:tcBorders>
            <w:vAlign w:val="center"/>
            <w:hideMark/>
          </w:tcPr>
          <w:p w14:paraId="4155880E" w14:textId="77777777" w:rsidR="00110644" w:rsidRPr="00BA3674" w:rsidRDefault="00110644" w:rsidP="00385A02">
            <w:pPr>
              <w:rPr>
                <w:rFonts w:asciiTheme="minorHAnsi" w:hAnsiTheme="minorHAnsi" w:cs="Arial"/>
                <w:b/>
                <w:bCs/>
                <w:sz w:val="16"/>
                <w:szCs w:val="16"/>
              </w:rPr>
            </w:pPr>
          </w:p>
        </w:tc>
        <w:tc>
          <w:tcPr>
            <w:tcW w:w="1134" w:type="dxa"/>
            <w:vMerge/>
            <w:tcBorders>
              <w:top w:val="nil"/>
              <w:left w:val="single" w:sz="12" w:space="0" w:color="FFFFFF"/>
              <w:bottom w:val="single" w:sz="12" w:space="0" w:color="FFFFFF"/>
              <w:right w:val="single" w:sz="12" w:space="0" w:color="FFFFFF"/>
            </w:tcBorders>
            <w:vAlign w:val="center"/>
            <w:hideMark/>
          </w:tcPr>
          <w:p w14:paraId="09515AC7" w14:textId="77777777" w:rsidR="00110644" w:rsidRPr="00BA3674" w:rsidRDefault="00110644" w:rsidP="00385A02">
            <w:pPr>
              <w:rPr>
                <w:rFonts w:asciiTheme="minorHAnsi" w:hAnsiTheme="minorHAnsi" w:cs="Arial"/>
                <w:b/>
                <w:bCs/>
                <w:sz w:val="16"/>
                <w:szCs w:val="16"/>
              </w:rPr>
            </w:pPr>
          </w:p>
        </w:tc>
        <w:tc>
          <w:tcPr>
            <w:tcW w:w="2721" w:type="dxa"/>
            <w:gridSpan w:val="4"/>
            <w:vMerge/>
            <w:tcBorders>
              <w:top w:val="single" w:sz="12" w:space="0" w:color="FFFFFF"/>
              <w:left w:val="single" w:sz="12" w:space="0" w:color="FFFFFF"/>
              <w:bottom w:val="single" w:sz="12" w:space="0" w:color="FFFFFF"/>
              <w:right w:val="single" w:sz="12" w:space="0" w:color="FFFFFF"/>
            </w:tcBorders>
            <w:vAlign w:val="center"/>
            <w:hideMark/>
          </w:tcPr>
          <w:p w14:paraId="11144808" w14:textId="77777777" w:rsidR="00110644" w:rsidRPr="00BA3674" w:rsidRDefault="00110644" w:rsidP="00385A02">
            <w:pPr>
              <w:rPr>
                <w:rFonts w:asciiTheme="minorHAnsi" w:hAnsiTheme="minorHAnsi" w:cs="Arial"/>
                <w:b/>
                <w:bCs/>
                <w:sz w:val="16"/>
                <w:szCs w:val="16"/>
              </w:rPr>
            </w:pPr>
          </w:p>
        </w:tc>
        <w:tc>
          <w:tcPr>
            <w:tcW w:w="1203" w:type="dxa"/>
            <w:vMerge/>
            <w:tcBorders>
              <w:top w:val="nil"/>
              <w:left w:val="single" w:sz="12" w:space="0" w:color="FFFFFF"/>
              <w:bottom w:val="single" w:sz="12" w:space="0" w:color="FFFFFF"/>
              <w:right w:val="single" w:sz="12" w:space="0" w:color="FFFFFF"/>
            </w:tcBorders>
            <w:vAlign w:val="center"/>
            <w:hideMark/>
          </w:tcPr>
          <w:p w14:paraId="521C162C" w14:textId="77777777" w:rsidR="00110644" w:rsidRPr="00BA3674" w:rsidRDefault="00110644" w:rsidP="00385A02">
            <w:pPr>
              <w:rPr>
                <w:rFonts w:asciiTheme="minorHAnsi" w:hAnsiTheme="minorHAnsi" w:cs="Arial"/>
                <w:b/>
                <w:bCs/>
                <w:sz w:val="16"/>
                <w:szCs w:val="16"/>
              </w:rPr>
            </w:pPr>
          </w:p>
        </w:tc>
      </w:tr>
      <w:tr w:rsidR="00110644" w:rsidRPr="00BA3674" w14:paraId="27192093" w14:textId="77777777" w:rsidTr="00BD7DB6">
        <w:trPr>
          <w:trHeight w:val="403"/>
        </w:trPr>
        <w:tc>
          <w:tcPr>
            <w:tcW w:w="1267" w:type="dxa"/>
            <w:vMerge/>
            <w:tcBorders>
              <w:top w:val="nil"/>
              <w:left w:val="single" w:sz="12" w:space="0" w:color="FFFFFF"/>
              <w:bottom w:val="single" w:sz="12" w:space="0" w:color="FFFFFF"/>
              <w:right w:val="single" w:sz="12" w:space="0" w:color="FFFFFF"/>
            </w:tcBorders>
            <w:vAlign w:val="center"/>
            <w:hideMark/>
          </w:tcPr>
          <w:p w14:paraId="76333672" w14:textId="77777777" w:rsidR="00110644" w:rsidRPr="00BA3674" w:rsidRDefault="00110644" w:rsidP="00385A02">
            <w:pPr>
              <w:rPr>
                <w:rFonts w:asciiTheme="minorHAnsi" w:hAnsiTheme="minorHAnsi" w:cs="Arial"/>
                <w:b/>
                <w:bCs/>
                <w:sz w:val="16"/>
                <w:szCs w:val="16"/>
              </w:rPr>
            </w:pPr>
          </w:p>
        </w:tc>
        <w:tc>
          <w:tcPr>
            <w:tcW w:w="1568" w:type="dxa"/>
            <w:vMerge/>
            <w:tcBorders>
              <w:top w:val="nil"/>
              <w:left w:val="single" w:sz="12" w:space="0" w:color="FFFFFF"/>
              <w:bottom w:val="single" w:sz="12" w:space="0" w:color="FFFFFF"/>
              <w:right w:val="single" w:sz="12" w:space="0" w:color="FFFFFF"/>
            </w:tcBorders>
            <w:vAlign w:val="center"/>
            <w:hideMark/>
          </w:tcPr>
          <w:p w14:paraId="25BCA89B" w14:textId="77777777" w:rsidR="00110644" w:rsidRPr="00BA3674" w:rsidRDefault="00110644" w:rsidP="00385A02">
            <w:pPr>
              <w:rPr>
                <w:rFonts w:asciiTheme="minorHAnsi" w:hAnsiTheme="minorHAnsi" w:cs="Arial"/>
                <w:b/>
                <w:bCs/>
                <w:sz w:val="16"/>
                <w:szCs w:val="16"/>
              </w:rPr>
            </w:pPr>
          </w:p>
        </w:tc>
        <w:tc>
          <w:tcPr>
            <w:tcW w:w="1262" w:type="dxa"/>
            <w:vMerge/>
            <w:tcBorders>
              <w:top w:val="nil"/>
              <w:left w:val="single" w:sz="12" w:space="0" w:color="FFFFFF"/>
              <w:bottom w:val="single" w:sz="12" w:space="0" w:color="FFFFFF"/>
              <w:right w:val="single" w:sz="12" w:space="0" w:color="FFFFFF"/>
            </w:tcBorders>
            <w:vAlign w:val="center"/>
            <w:hideMark/>
          </w:tcPr>
          <w:p w14:paraId="519CF915" w14:textId="77777777" w:rsidR="00110644" w:rsidRPr="00BA3674" w:rsidRDefault="00110644" w:rsidP="00385A02">
            <w:pPr>
              <w:rPr>
                <w:rFonts w:asciiTheme="minorHAnsi" w:hAnsiTheme="minorHAnsi" w:cs="Arial"/>
                <w:b/>
                <w:bCs/>
                <w:sz w:val="16"/>
                <w:szCs w:val="16"/>
              </w:rPr>
            </w:pPr>
          </w:p>
        </w:tc>
        <w:tc>
          <w:tcPr>
            <w:tcW w:w="1726" w:type="dxa"/>
            <w:vMerge/>
            <w:tcBorders>
              <w:top w:val="nil"/>
              <w:left w:val="single" w:sz="12" w:space="0" w:color="FFFFFF"/>
              <w:bottom w:val="single" w:sz="12" w:space="0" w:color="FFFFFF"/>
              <w:right w:val="single" w:sz="12" w:space="0" w:color="FFFFFF"/>
            </w:tcBorders>
            <w:vAlign w:val="center"/>
            <w:hideMark/>
          </w:tcPr>
          <w:p w14:paraId="0E0C6C01" w14:textId="77777777" w:rsidR="00110644" w:rsidRPr="00BA3674" w:rsidRDefault="00110644" w:rsidP="00385A02">
            <w:pPr>
              <w:rPr>
                <w:rFonts w:asciiTheme="minorHAnsi" w:hAnsiTheme="minorHAnsi" w:cs="Arial"/>
                <w:b/>
                <w:bCs/>
                <w:sz w:val="16"/>
                <w:szCs w:val="16"/>
              </w:rPr>
            </w:pPr>
          </w:p>
        </w:tc>
        <w:tc>
          <w:tcPr>
            <w:tcW w:w="1228" w:type="dxa"/>
            <w:vMerge/>
            <w:tcBorders>
              <w:top w:val="nil"/>
              <w:left w:val="single" w:sz="12" w:space="0" w:color="FFFFFF"/>
              <w:bottom w:val="single" w:sz="12" w:space="0" w:color="FFFFFF"/>
              <w:right w:val="single" w:sz="12" w:space="0" w:color="FFFFFF"/>
            </w:tcBorders>
            <w:vAlign w:val="center"/>
            <w:hideMark/>
          </w:tcPr>
          <w:p w14:paraId="0D981FE2" w14:textId="77777777" w:rsidR="00110644" w:rsidRPr="00BA3674" w:rsidRDefault="00110644" w:rsidP="00385A02">
            <w:pPr>
              <w:rPr>
                <w:rFonts w:asciiTheme="minorHAnsi" w:hAnsiTheme="minorHAnsi" w:cs="Arial"/>
                <w:b/>
                <w:bCs/>
                <w:sz w:val="16"/>
                <w:szCs w:val="16"/>
              </w:rPr>
            </w:pPr>
          </w:p>
        </w:tc>
        <w:tc>
          <w:tcPr>
            <w:tcW w:w="992" w:type="dxa"/>
            <w:vMerge/>
            <w:tcBorders>
              <w:top w:val="nil"/>
              <w:left w:val="single" w:sz="12" w:space="0" w:color="FFFFFF"/>
              <w:bottom w:val="single" w:sz="12" w:space="0" w:color="FFFFFF"/>
              <w:right w:val="single" w:sz="12" w:space="0" w:color="FFFFFF"/>
            </w:tcBorders>
            <w:vAlign w:val="center"/>
            <w:hideMark/>
          </w:tcPr>
          <w:p w14:paraId="200BD973" w14:textId="77777777" w:rsidR="00110644" w:rsidRPr="00BA3674" w:rsidRDefault="00110644" w:rsidP="00385A02">
            <w:pPr>
              <w:rPr>
                <w:rFonts w:asciiTheme="minorHAnsi" w:hAnsiTheme="minorHAnsi" w:cs="Arial"/>
                <w:b/>
                <w:bCs/>
                <w:sz w:val="16"/>
                <w:szCs w:val="16"/>
              </w:rPr>
            </w:pPr>
          </w:p>
        </w:tc>
        <w:tc>
          <w:tcPr>
            <w:tcW w:w="1134" w:type="dxa"/>
            <w:vMerge/>
            <w:tcBorders>
              <w:top w:val="nil"/>
              <w:left w:val="single" w:sz="12" w:space="0" w:color="FFFFFF"/>
              <w:bottom w:val="single" w:sz="12" w:space="0" w:color="FFFFFF"/>
              <w:right w:val="single" w:sz="12" w:space="0" w:color="FFFFFF"/>
            </w:tcBorders>
            <w:vAlign w:val="center"/>
            <w:hideMark/>
          </w:tcPr>
          <w:p w14:paraId="01A1DB09" w14:textId="77777777" w:rsidR="00110644" w:rsidRPr="00BA3674" w:rsidRDefault="00110644" w:rsidP="00385A02">
            <w:pPr>
              <w:rPr>
                <w:rFonts w:asciiTheme="minorHAnsi" w:hAnsiTheme="minorHAnsi" w:cs="Arial"/>
                <w:b/>
                <w:bCs/>
                <w:sz w:val="16"/>
                <w:szCs w:val="16"/>
              </w:rPr>
            </w:pPr>
          </w:p>
        </w:tc>
        <w:tc>
          <w:tcPr>
            <w:tcW w:w="615" w:type="dxa"/>
            <w:tcBorders>
              <w:top w:val="nil"/>
              <w:left w:val="nil"/>
              <w:bottom w:val="nil"/>
              <w:right w:val="single" w:sz="12" w:space="0" w:color="FFFFFF"/>
            </w:tcBorders>
            <w:shd w:val="clear" w:color="000000" w:fill="95B3D7"/>
            <w:vAlign w:val="center"/>
            <w:hideMark/>
          </w:tcPr>
          <w:p w14:paraId="395C9BF9"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2015</w:t>
            </w:r>
          </w:p>
        </w:tc>
        <w:tc>
          <w:tcPr>
            <w:tcW w:w="708" w:type="dxa"/>
            <w:tcBorders>
              <w:top w:val="nil"/>
              <w:left w:val="nil"/>
              <w:bottom w:val="single" w:sz="12" w:space="0" w:color="FFFFFF"/>
              <w:right w:val="single" w:sz="12" w:space="0" w:color="FFFFFF"/>
            </w:tcBorders>
            <w:shd w:val="clear" w:color="000000" w:fill="95B3D7"/>
            <w:vAlign w:val="center"/>
            <w:hideMark/>
          </w:tcPr>
          <w:p w14:paraId="30D85FAC"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2016</w:t>
            </w:r>
          </w:p>
        </w:tc>
        <w:tc>
          <w:tcPr>
            <w:tcW w:w="699" w:type="dxa"/>
            <w:tcBorders>
              <w:top w:val="nil"/>
              <w:left w:val="nil"/>
              <w:bottom w:val="single" w:sz="12" w:space="0" w:color="FFFFFF"/>
              <w:right w:val="single" w:sz="12" w:space="0" w:color="FFFFFF"/>
            </w:tcBorders>
            <w:shd w:val="clear" w:color="000000" w:fill="95B3D7"/>
            <w:vAlign w:val="center"/>
            <w:hideMark/>
          </w:tcPr>
          <w:p w14:paraId="77DB21F9"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2017</w:t>
            </w:r>
          </w:p>
        </w:tc>
        <w:tc>
          <w:tcPr>
            <w:tcW w:w="699" w:type="dxa"/>
            <w:tcBorders>
              <w:top w:val="nil"/>
              <w:left w:val="nil"/>
              <w:bottom w:val="single" w:sz="12" w:space="0" w:color="FFFFFF"/>
              <w:right w:val="single" w:sz="12" w:space="0" w:color="FFFFFF"/>
            </w:tcBorders>
            <w:shd w:val="clear" w:color="000000" w:fill="95B3D7"/>
            <w:vAlign w:val="center"/>
            <w:hideMark/>
          </w:tcPr>
          <w:p w14:paraId="2CB33B27"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2018</w:t>
            </w:r>
          </w:p>
        </w:tc>
        <w:tc>
          <w:tcPr>
            <w:tcW w:w="1203" w:type="dxa"/>
            <w:vMerge/>
            <w:tcBorders>
              <w:top w:val="nil"/>
              <w:left w:val="single" w:sz="12" w:space="0" w:color="FFFFFF"/>
              <w:bottom w:val="single" w:sz="12" w:space="0" w:color="FFFFFF"/>
              <w:right w:val="single" w:sz="12" w:space="0" w:color="FFFFFF"/>
            </w:tcBorders>
            <w:vAlign w:val="center"/>
            <w:hideMark/>
          </w:tcPr>
          <w:p w14:paraId="72F11E02" w14:textId="77777777" w:rsidR="00110644" w:rsidRPr="00BA3674" w:rsidRDefault="00110644" w:rsidP="00385A02">
            <w:pPr>
              <w:rPr>
                <w:rFonts w:asciiTheme="minorHAnsi" w:hAnsiTheme="minorHAnsi" w:cs="Arial"/>
                <w:b/>
                <w:bCs/>
                <w:sz w:val="16"/>
                <w:szCs w:val="16"/>
              </w:rPr>
            </w:pPr>
          </w:p>
        </w:tc>
      </w:tr>
      <w:tr w:rsidR="00110644" w:rsidRPr="00BA3674" w14:paraId="40F647B2" w14:textId="77777777" w:rsidTr="00BD7DB6">
        <w:trPr>
          <w:trHeight w:val="1650"/>
        </w:trPr>
        <w:tc>
          <w:tcPr>
            <w:tcW w:w="1267" w:type="dxa"/>
            <w:tcBorders>
              <w:top w:val="nil"/>
              <w:left w:val="single" w:sz="12" w:space="0" w:color="FFFFFF"/>
              <w:bottom w:val="nil"/>
              <w:right w:val="single" w:sz="12" w:space="0" w:color="FFFFFF"/>
            </w:tcBorders>
            <w:shd w:val="clear" w:color="000000" w:fill="D9D9D9"/>
            <w:vAlign w:val="center"/>
            <w:hideMark/>
          </w:tcPr>
          <w:p w14:paraId="0A0365F9" w14:textId="77777777" w:rsidR="00110644" w:rsidRPr="00BA3674" w:rsidRDefault="00110644" w:rsidP="00385A02">
            <w:pPr>
              <w:jc w:val="center"/>
              <w:rPr>
                <w:rFonts w:asciiTheme="minorHAnsi" w:hAnsiTheme="minorHAnsi" w:cs="Arial"/>
                <w:sz w:val="16"/>
                <w:szCs w:val="16"/>
              </w:rPr>
            </w:pPr>
            <w:r w:rsidRPr="00BA3674">
              <w:rPr>
                <w:rFonts w:asciiTheme="minorHAnsi" w:hAnsiTheme="minorHAnsi" w:cs="Arial"/>
                <w:sz w:val="16"/>
                <w:szCs w:val="16"/>
              </w:rPr>
              <w:t>Impulsar el crecimiento económico y generar empleo de calidad.</w:t>
            </w:r>
          </w:p>
        </w:tc>
        <w:tc>
          <w:tcPr>
            <w:tcW w:w="1568" w:type="dxa"/>
            <w:tcBorders>
              <w:top w:val="nil"/>
              <w:left w:val="nil"/>
              <w:bottom w:val="nil"/>
              <w:right w:val="single" w:sz="12" w:space="0" w:color="FFFFFF"/>
            </w:tcBorders>
            <w:shd w:val="clear" w:color="000000" w:fill="D9D9D9"/>
            <w:vAlign w:val="center"/>
            <w:hideMark/>
          </w:tcPr>
          <w:p w14:paraId="5756E4C6" w14:textId="77777777" w:rsidR="00110644" w:rsidRDefault="00110644" w:rsidP="00385A02">
            <w:pPr>
              <w:jc w:val="center"/>
              <w:rPr>
                <w:rFonts w:asciiTheme="minorHAnsi" w:hAnsiTheme="minorHAnsi" w:cs="Arial"/>
                <w:sz w:val="16"/>
                <w:szCs w:val="16"/>
              </w:rPr>
            </w:pPr>
            <w:r w:rsidRPr="00BA3674">
              <w:rPr>
                <w:rFonts w:asciiTheme="minorHAnsi" w:hAnsiTheme="minorHAnsi" w:cs="Arial"/>
                <w:sz w:val="16"/>
                <w:szCs w:val="16"/>
              </w:rPr>
              <w:t>1. Asegurar una política económica coherente y apropiada entre los participantes del Sector que coadyuve al crecimiento y estabilidad económica del país.</w:t>
            </w:r>
          </w:p>
          <w:p w14:paraId="3F6BA845" w14:textId="77777777" w:rsidR="00110644" w:rsidRPr="00BA3674" w:rsidRDefault="00110644" w:rsidP="00385A02">
            <w:pPr>
              <w:jc w:val="center"/>
              <w:rPr>
                <w:rFonts w:asciiTheme="minorHAnsi" w:hAnsiTheme="minorHAnsi" w:cs="Arial"/>
                <w:sz w:val="16"/>
                <w:szCs w:val="16"/>
              </w:rPr>
            </w:pPr>
          </w:p>
        </w:tc>
        <w:tc>
          <w:tcPr>
            <w:tcW w:w="1262" w:type="dxa"/>
            <w:tcBorders>
              <w:top w:val="nil"/>
              <w:left w:val="nil"/>
              <w:bottom w:val="nil"/>
              <w:right w:val="single" w:sz="12" w:space="0" w:color="FFFFFF"/>
            </w:tcBorders>
            <w:shd w:val="clear" w:color="000000" w:fill="D9D9D9"/>
            <w:vAlign w:val="center"/>
            <w:hideMark/>
          </w:tcPr>
          <w:p w14:paraId="20233C5B" w14:textId="576C4DAE" w:rsidR="00110644" w:rsidRPr="00BA3674" w:rsidRDefault="00110644" w:rsidP="00385A02">
            <w:pPr>
              <w:jc w:val="center"/>
              <w:rPr>
                <w:rFonts w:asciiTheme="minorHAnsi" w:hAnsiTheme="minorHAnsi" w:cs="Arial"/>
                <w:sz w:val="16"/>
                <w:szCs w:val="16"/>
              </w:rPr>
            </w:pPr>
            <w:r w:rsidRPr="00BA3674">
              <w:rPr>
                <w:rFonts w:asciiTheme="minorHAnsi" w:hAnsiTheme="minorHAnsi" w:cs="Arial"/>
                <w:sz w:val="16"/>
                <w:szCs w:val="16"/>
              </w:rPr>
              <w:t>1.3. Fortalecimiento de la regulación y supervisión micro</w:t>
            </w:r>
            <w:r w:rsidR="00BD7DB6">
              <w:rPr>
                <w:rFonts w:asciiTheme="minorHAnsi" w:hAnsiTheme="minorHAnsi" w:cs="Arial"/>
                <w:sz w:val="16"/>
                <w:szCs w:val="16"/>
              </w:rPr>
              <w:t>-</w:t>
            </w:r>
            <w:r w:rsidRPr="00BA3674">
              <w:rPr>
                <w:rFonts w:asciiTheme="minorHAnsi" w:hAnsiTheme="minorHAnsi" w:cs="Arial"/>
                <w:sz w:val="16"/>
                <w:szCs w:val="16"/>
              </w:rPr>
              <w:t>prudencial.</w:t>
            </w:r>
          </w:p>
        </w:tc>
        <w:tc>
          <w:tcPr>
            <w:tcW w:w="1726" w:type="dxa"/>
            <w:tcBorders>
              <w:top w:val="nil"/>
              <w:left w:val="nil"/>
              <w:bottom w:val="nil"/>
              <w:right w:val="single" w:sz="12" w:space="0" w:color="FFFFFF"/>
            </w:tcBorders>
            <w:shd w:val="clear" w:color="000000" w:fill="D9D9D9"/>
            <w:vAlign w:val="center"/>
            <w:hideMark/>
          </w:tcPr>
          <w:p w14:paraId="02CF2802" w14:textId="191FE8FD" w:rsidR="00110644" w:rsidRPr="00BA3674" w:rsidRDefault="00110644" w:rsidP="00385A02">
            <w:pPr>
              <w:jc w:val="center"/>
              <w:rPr>
                <w:rFonts w:asciiTheme="minorHAnsi" w:hAnsiTheme="minorHAnsi" w:cs="Arial"/>
                <w:sz w:val="16"/>
                <w:szCs w:val="16"/>
              </w:rPr>
            </w:pPr>
            <w:r w:rsidRPr="00BA3674">
              <w:rPr>
                <w:rFonts w:asciiTheme="minorHAnsi" w:hAnsiTheme="minorHAnsi" w:cs="Arial"/>
                <w:sz w:val="16"/>
                <w:szCs w:val="16"/>
              </w:rPr>
              <w:t>Coadyuvar a mantener la estabilidad del Sistema Financiero mediante el fortalecimiento de la supervisión y regulación micro</w:t>
            </w:r>
            <w:r w:rsidR="00BD7DB6">
              <w:rPr>
                <w:rFonts w:asciiTheme="minorHAnsi" w:hAnsiTheme="minorHAnsi" w:cs="Arial"/>
                <w:sz w:val="16"/>
                <w:szCs w:val="16"/>
              </w:rPr>
              <w:t>-</w:t>
            </w:r>
            <w:r w:rsidRPr="00BA3674">
              <w:rPr>
                <w:rFonts w:asciiTheme="minorHAnsi" w:hAnsiTheme="minorHAnsi" w:cs="Arial"/>
                <w:sz w:val="16"/>
                <w:szCs w:val="16"/>
              </w:rPr>
              <w:t>prudencial</w:t>
            </w:r>
          </w:p>
        </w:tc>
        <w:tc>
          <w:tcPr>
            <w:tcW w:w="1228" w:type="dxa"/>
            <w:tcBorders>
              <w:top w:val="nil"/>
              <w:left w:val="nil"/>
              <w:bottom w:val="nil"/>
              <w:right w:val="single" w:sz="12" w:space="0" w:color="FFFFFF"/>
            </w:tcBorders>
            <w:shd w:val="clear" w:color="000000" w:fill="D9D9D9"/>
            <w:vAlign w:val="center"/>
            <w:hideMark/>
          </w:tcPr>
          <w:p w14:paraId="603E8A00" w14:textId="77777777" w:rsidR="00110644" w:rsidRPr="00BA3674" w:rsidRDefault="00110644" w:rsidP="00385A02">
            <w:pPr>
              <w:jc w:val="center"/>
              <w:rPr>
                <w:rFonts w:asciiTheme="minorHAnsi" w:hAnsiTheme="minorHAnsi" w:cs="Arial"/>
                <w:sz w:val="16"/>
                <w:szCs w:val="16"/>
              </w:rPr>
            </w:pPr>
            <w:r w:rsidRPr="00BA3674">
              <w:rPr>
                <w:rFonts w:asciiTheme="minorHAnsi" w:hAnsiTheme="minorHAnsi" w:cs="Arial"/>
                <w:sz w:val="16"/>
                <w:szCs w:val="16"/>
              </w:rPr>
              <w:t>Aplicación de la supervisión basada en riesgos (SBR)</w:t>
            </w:r>
          </w:p>
        </w:tc>
        <w:tc>
          <w:tcPr>
            <w:tcW w:w="992" w:type="dxa"/>
            <w:tcBorders>
              <w:top w:val="nil"/>
              <w:left w:val="nil"/>
              <w:bottom w:val="nil"/>
              <w:right w:val="single" w:sz="12" w:space="0" w:color="FFFFFF"/>
            </w:tcBorders>
            <w:shd w:val="clear" w:color="000000" w:fill="D9D9D9"/>
            <w:vAlign w:val="center"/>
            <w:hideMark/>
          </w:tcPr>
          <w:p w14:paraId="5A410176" w14:textId="77777777" w:rsidR="00110644" w:rsidRPr="00BA3674" w:rsidRDefault="00110644" w:rsidP="00385A02">
            <w:pPr>
              <w:jc w:val="center"/>
              <w:rPr>
                <w:rFonts w:asciiTheme="minorHAnsi" w:hAnsiTheme="minorHAnsi" w:cs="Arial"/>
                <w:sz w:val="16"/>
                <w:szCs w:val="16"/>
              </w:rPr>
            </w:pPr>
            <w:r w:rsidRPr="00BA3674">
              <w:rPr>
                <w:rFonts w:asciiTheme="minorHAnsi" w:hAnsiTheme="minorHAnsi" w:cs="Arial"/>
                <w:sz w:val="16"/>
                <w:szCs w:val="16"/>
              </w:rPr>
              <w:t>0%</w:t>
            </w:r>
          </w:p>
        </w:tc>
        <w:tc>
          <w:tcPr>
            <w:tcW w:w="1134" w:type="dxa"/>
            <w:tcBorders>
              <w:top w:val="nil"/>
              <w:left w:val="nil"/>
              <w:bottom w:val="nil"/>
              <w:right w:val="single" w:sz="12" w:space="0" w:color="FFFFFF"/>
            </w:tcBorders>
            <w:shd w:val="clear" w:color="000000" w:fill="D9D9D9"/>
            <w:vAlign w:val="center"/>
            <w:hideMark/>
          </w:tcPr>
          <w:p w14:paraId="0AE1E616" w14:textId="77777777" w:rsidR="00110644" w:rsidRPr="00BA3674" w:rsidRDefault="00110644" w:rsidP="00385A02">
            <w:pPr>
              <w:jc w:val="center"/>
              <w:rPr>
                <w:rFonts w:asciiTheme="minorHAnsi" w:hAnsiTheme="minorHAnsi" w:cs="Arial"/>
                <w:sz w:val="16"/>
                <w:szCs w:val="16"/>
              </w:rPr>
            </w:pPr>
            <w:r w:rsidRPr="00BA3674">
              <w:rPr>
                <w:rFonts w:asciiTheme="minorHAnsi" w:hAnsiTheme="minorHAnsi" w:cs="Arial"/>
                <w:sz w:val="16"/>
                <w:szCs w:val="16"/>
              </w:rPr>
              <w:t>100%</w:t>
            </w:r>
          </w:p>
        </w:tc>
        <w:tc>
          <w:tcPr>
            <w:tcW w:w="615" w:type="dxa"/>
            <w:tcBorders>
              <w:top w:val="single" w:sz="12" w:space="0" w:color="FFFFFF"/>
              <w:left w:val="nil"/>
              <w:bottom w:val="nil"/>
              <w:right w:val="single" w:sz="12" w:space="0" w:color="FFFFFF"/>
            </w:tcBorders>
            <w:shd w:val="clear" w:color="000000" w:fill="D9D9D9"/>
            <w:vAlign w:val="center"/>
            <w:hideMark/>
          </w:tcPr>
          <w:p w14:paraId="174481C8" w14:textId="77777777" w:rsidR="00110644" w:rsidRPr="00BA3674" w:rsidRDefault="00110644" w:rsidP="00385A02">
            <w:pPr>
              <w:jc w:val="center"/>
              <w:rPr>
                <w:rFonts w:asciiTheme="minorHAnsi" w:hAnsiTheme="minorHAnsi" w:cs="Arial"/>
                <w:sz w:val="16"/>
                <w:szCs w:val="16"/>
              </w:rPr>
            </w:pPr>
            <w:r w:rsidRPr="00BA3674">
              <w:rPr>
                <w:rFonts w:asciiTheme="minorHAnsi" w:hAnsiTheme="minorHAnsi" w:cs="Arial"/>
                <w:sz w:val="16"/>
                <w:szCs w:val="16"/>
              </w:rPr>
              <w:t>0%</w:t>
            </w:r>
          </w:p>
        </w:tc>
        <w:tc>
          <w:tcPr>
            <w:tcW w:w="708" w:type="dxa"/>
            <w:tcBorders>
              <w:top w:val="nil"/>
              <w:left w:val="nil"/>
              <w:bottom w:val="nil"/>
              <w:right w:val="single" w:sz="12" w:space="0" w:color="FFFFFF"/>
            </w:tcBorders>
            <w:shd w:val="clear" w:color="000000" w:fill="D9D9D9"/>
            <w:vAlign w:val="center"/>
            <w:hideMark/>
          </w:tcPr>
          <w:p w14:paraId="3A339A71" w14:textId="77777777" w:rsidR="00110644" w:rsidRPr="00BA3674" w:rsidRDefault="00110644" w:rsidP="00385A02">
            <w:pPr>
              <w:jc w:val="center"/>
              <w:rPr>
                <w:rFonts w:asciiTheme="minorHAnsi" w:hAnsiTheme="minorHAnsi" w:cs="Arial"/>
                <w:sz w:val="16"/>
                <w:szCs w:val="16"/>
              </w:rPr>
            </w:pPr>
            <w:r w:rsidRPr="00BA3674">
              <w:rPr>
                <w:rFonts w:asciiTheme="minorHAnsi" w:hAnsiTheme="minorHAnsi" w:cs="Arial"/>
                <w:sz w:val="16"/>
                <w:szCs w:val="16"/>
              </w:rPr>
              <w:t>25%</w:t>
            </w:r>
          </w:p>
        </w:tc>
        <w:tc>
          <w:tcPr>
            <w:tcW w:w="699" w:type="dxa"/>
            <w:tcBorders>
              <w:top w:val="nil"/>
              <w:left w:val="nil"/>
              <w:bottom w:val="nil"/>
              <w:right w:val="single" w:sz="12" w:space="0" w:color="FFFFFF"/>
            </w:tcBorders>
            <w:shd w:val="clear" w:color="000000" w:fill="D9D9D9"/>
            <w:vAlign w:val="center"/>
            <w:hideMark/>
          </w:tcPr>
          <w:p w14:paraId="68B8B126" w14:textId="77777777" w:rsidR="00110644" w:rsidRPr="00BA3674" w:rsidRDefault="00110644" w:rsidP="00385A02">
            <w:pPr>
              <w:jc w:val="center"/>
              <w:rPr>
                <w:rFonts w:asciiTheme="minorHAnsi" w:hAnsiTheme="minorHAnsi" w:cs="Arial"/>
                <w:sz w:val="16"/>
                <w:szCs w:val="16"/>
              </w:rPr>
            </w:pPr>
            <w:r w:rsidRPr="00BA3674">
              <w:rPr>
                <w:rFonts w:asciiTheme="minorHAnsi" w:hAnsiTheme="minorHAnsi" w:cs="Arial"/>
                <w:sz w:val="16"/>
                <w:szCs w:val="16"/>
              </w:rPr>
              <w:t>50%</w:t>
            </w:r>
          </w:p>
        </w:tc>
        <w:tc>
          <w:tcPr>
            <w:tcW w:w="699" w:type="dxa"/>
            <w:tcBorders>
              <w:top w:val="nil"/>
              <w:left w:val="nil"/>
              <w:bottom w:val="nil"/>
              <w:right w:val="single" w:sz="12" w:space="0" w:color="FFFFFF"/>
            </w:tcBorders>
            <w:shd w:val="clear" w:color="000000" w:fill="D9D9D9"/>
            <w:vAlign w:val="center"/>
            <w:hideMark/>
          </w:tcPr>
          <w:p w14:paraId="1070DF51" w14:textId="77777777" w:rsidR="00110644" w:rsidRPr="00BA3674" w:rsidRDefault="00110644" w:rsidP="00385A02">
            <w:pPr>
              <w:jc w:val="center"/>
              <w:rPr>
                <w:rFonts w:asciiTheme="minorHAnsi" w:hAnsiTheme="minorHAnsi" w:cs="Arial"/>
                <w:sz w:val="16"/>
                <w:szCs w:val="16"/>
              </w:rPr>
            </w:pPr>
            <w:r w:rsidRPr="00BA3674">
              <w:rPr>
                <w:rFonts w:asciiTheme="minorHAnsi" w:hAnsiTheme="minorHAnsi" w:cs="Arial"/>
                <w:sz w:val="16"/>
                <w:szCs w:val="16"/>
              </w:rPr>
              <w:t>100%</w:t>
            </w:r>
          </w:p>
        </w:tc>
        <w:tc>
          <w:tcPr>
            <w:tcW w:w="1203" w:type="dxa"/>
            <w:tcBorders>
              <w:top w:val="nil"/>
              <w:left w:val="nil"/>
              <w:bottom w:val="nil"/>
              <w:right w:val="single" w:sz="12" w:space="0" w:color="FFFFFF"/>
            </w:tcBorders>
            <w:shd w:val="clear" w:color="000000" w:fill="D9D9D9"/>
            <w:vAlign w:val="center"/>
            <w:hideMark/>
          </w:tcPr>
          <w:p w14:paraId="5533D81A" w14:textId="77777777" w:rsidR="00110644" w:rsidRPr="00BA3674" w:rsidRDefault="00110644" w:rsidP="00385A02">
            <w:pPr>
              <w:jc w:val="center"/>
              <w:rPr>
                <w:rFonts w:asciiTheme="minorHAnsi" w:hAnsiTheme="minorHAnsi" w:cs="Arial"/>
                <w:sz w:val="16"/>
                <w:szCs w:val="16"/>
              </w:rPr>
            </w:pPr>
            <w:r w:rsidRPr="00BA3674">
              <w:rPr>
                <w:rFonts w:asciiTheme="minorHAnsi" w:hAnsiTheme="minorHAnsi" w:cs="Arial"/>
                <w:sz w:val="16"/>
                <w:szCs w:val="16"/>
              </w:rPr>
              <w:t>Nacional</w:t>
            </w:r>
          </w:p>
        </w:tc>
      </w:tr>
    </w:tbl>
    <w:p w14:paraId="432940DE" w14:textId="77777777" w:rsidR="00110644" w:rsidRPr="00BA3674" w:rsidRDefault="00110644" w:rsidP="00110644">
      <w:pPr>
        <w:rPr>
          <w:rFonts w:asciiTheme="minorHAnsi" w:hAnsiTheme="minorHAnsi"/>
          <w:color w:val="000000"/>
          <w:sz w:val="16"/>
          <w:szCs w:val="16"/>
        </w:rPr>
      </w:pPr>
    </w:p>
    <w:p w14:paraId="20AA703F" w14:textId="77777777" w:rsidR="00110644" w:rsidRPr="00BA3674" w:rsidRDefault="00110644" w:rsidP="00110644">
      <w:pPr>
        <w:rPr>
          <w:rFonts w:asciiTheme="minorHAnsi" w:hAnsiTheme="minorHAnsi"/>
          <w:color w:val="000000"/>
          <w:sz w:val="16"/>
          <w:szCs w:val="16"/>
        </w:rPr>
      </w:pPr>
    </w:p>
    <w:p w14:paraId="45A0F46F" w14:textId="1723C9B6" w:rsidR="00110644" w:rsidRDefault="00110644">
      <w:pPr>
        <w:rPr>
          <w:rFonts w:asciiTheme="minorHAnsi" w:hAnsiTheme="minorHAnsi"/>
          <w:color w:val="000000"/>
          <w:sz w:val="16"/>
          <w:szCs w:val="16"/>
        </w:rPr>
      </w:pPr>
      <w:r>
        <w:rPr>
          <w:rFonts w:asciiTheme="minorHAnsi" w:hAnsiTheme="minorHAnsi"/>
          <w:color w:val="000000"/>
          <w:sz w:val="16"/>
          <w:szCs w:val="16"/>
        </w:rPr>
        <w:br w:type="page"/>
      </w:r>
    </w:p>
    <w:p w14:paraId="52FE051C" w14:textId="77777777" w:rsidR="00110644" w:rsidRPr="00BA3674" w:rsidRDefault="00110644" w:rsidP="00110644">
      <w:pPr>
        <w:rPr>
          <w:rFonts w:asciiTheme="minorHAnsi" w:hAnsiTheme="minorHAnsi"/>
          <w:color w:val="000000"/>
          <w:sz w:val="16"/>
          <w:szCs w:val="16"/>
        </w:rPr>
      </w:pPr>
    </w:p>
    <w:tbl>
      <w:tblPr>
        <w:tblW w:w="13120" w:type="dxa"/>
        <w:tblLayout w:type="fixed"/>
        <w:tblCellMar>
          <w:left w:w="70" w:type="dxa"/>
          <w:right w:w="70" w:type="dxa"/>
        </w:tblCellMar>
        <w:tblLook w:val="04A0" w:firstRow="1" w:lastRow="0" w:firstColumn="1" w:lastColumn="0" w:noHBand="0" w:noVBand="1"/>
      </w:tblPr>
      <w:tblGrid>
        <w:gridCol w:w="2962"/>
        <w:gridCol w:w="1376"/>
        <w:gridCol w:w="1459"/>
        <w:gridCol w:w="1349"/>
        <w:gridCol w:w="1134"/>
        <w:gridCol w:w="1440"/>
        <w:gridCol w:w="1600"/>
        <w:gridCol w:w="1800"/>
      </w:tblGrid>
      <w:tr w:rsidR="00BD7DB6" w14:paraId="0763C571" w14:textId="77777777" w:rsidTr="00BD7DB6">
        <w:trPr>
          <w:trHeight w:val="448"/>
          <w:tblHeader/>
        </w:trPr>
        <w:tc>
          <w:tcPr>
            <w:tcW w:w="9720" w:type="dxa"/>
            <w:gridSpan w:val="6"/>
            <w:tcBorders>
              <w:top w:val="single" w:sz="12" w:space="0" w:color="FFFFFF"/>
              <w:left w:val="single" w:sz="12" w:space="0" w:color="FFFFFF"/>
              <w:bottom w:val="single" w:sz="12" w:space="0" w:color="FFFFFF"/>
              <w:right w:val="nil"/>
            </w:tcBorders>
            <w:shd w:val="clear" w:color="000000" w:fill="31869B"/>
            <w:noWrap/>
            <w:vAlign w:val="center"/>
            <w:hideMark/>
          </w:tcPr>
          <w:p w14:paraId="4192F54C" w14:textId="7B13E8AE" w:rsidR="00BD7DB6" w:rsidRDefault="00BD7DB6">
            <w:pPr>
              <w:rPr>
                <w:rFonts w:ascii="Arial" w:hAnsi="Arial" w:cs="Arial"/>
                <w:b/>
                <w:bCs/>
                <w:color w:val="FFFFFF"/>
                <w:sz w:val="16"/>
                <w:szCs w:val="16"/>
              </w:rPr>
            </w:pPr>
            <w:r>
              <w:rPr>
                <w:rFonts w:ascii="Arial" w:hAnsi="Arial" w:cs="Arial"/>
                <w:b/>
                <w:bCs/>
                <w:color w:val="FFFFFF"/>
                <w:sz w:val="16"/>
                <w:szCs w:val="16"/>
              </w:rPr>
              <w:t>PROGRAMACIÓN ESTRATÉGICA PRESUPUESTARIA 2015</w:t>
            </w:r>
          </w:p>
        </w:tc>
        <w:tc>
          <w:tcPr>
            <w:tcW w:w="1600" w:type="dxa"/>
            <w:tcBorders>
              <w:top w:val="single" w:sz="12" w:space="0" w:color="FFFFFF"/>
              <w:left w:val="nil"/>
              <w:bottom w:val="single" w:sz="12" w:space="0" w:color="FFFFFF"/>
              <w:right w:val="nil"/>
            </w:tcBorders>
            <w:shd w:val="clear" w:color="000000" w:fill="31869B"/>
            <w:noWrap/>
            <w:vAlign w:val="center"/>
            <w:hideMark/>
          </w:tcPr>
          <w:p w14:paraId="3DD949EA" w14:textId="77777777" w:rsidR="00BD7DB6" w:rsidRDefault="00BD7DB6">
            <w:pPr>
              <w:rPr>
                <w:rFonts w:ascii="Arial" w:hAnsi="Arial" w:cs="Arial"/>
                <w:b/>
                <w:bCs/>
                <w:color w:val="FFFFFF"/>
                <w:sz w:val="16"/>
                <w:szCs w:val="16"/>
              </w:rPr>
            </w:pPr>
            <w:r>
              <w:rPr>
                <w:rFonts w:ascii="Arial" w:hAnsi="Arial" w:cs="Arial"/>
                <w:b/>
                <w:bCs/>
                <w:color w:val="FFFFFF"/>
                <w:sz w:val="16"/>
                <w:szCs w:val="16"/>
              </w:rPr>
              <w:t> </w:t>
            </w:r>
          </w:p>
        </w:tc>
        <w:tc>
          <w:tcPr>
            <w:tcW w:w="1800" w:type="dxa"/>
            <w:tcBorders>
              <w:top w:val="single" w:sz="12" w:space="0" w:color="FFFFFF"/>
              <w:left w:val="nil"/>
              <w:bottom w:val="single" w:sz="12" w:space="0" w:color="FFFFFF"/>
              <w:right w:val="nil"/>
            </w:tcBorders>
            <w:shd w:val="clear" w:color="000000" w:fill="31869B"/>
            <w:noWrap/>
            <w:vAlign w:val="center"/>
            <w:hideMark/>
          </w:tcPr>
          <w:p w14:paraId="53F55FA9" w14:textId="77777777" w:rsidR="00BD7DB6" w:rsidRDefault="00BD7DB6">
            <w:pPr>
              <w:rPr>
                <w:rFonts w:ascii="Arial" w:hAnsi="Arial" w:cs="Arial"/>
                <w:b/>
                <w:bCs/>
                <w:color w:val="FFFFFF"/>
                <w:sz w:val="16"/>
                <w:szCs w:val="16"/>
              </w:rPr>
            </w:pPr>
            <w:r>
              <w:rPr>
                <w:rFonts w:ascii="Arial" w:hAnsi="Arial" w:cs="Arial"/>
                <w:b/>
                <w:bCs/>
                <w:color w:val="FFFFFF"/>
                <w:sz w:val="16"/>
                <w:szCs w:val="16"/>
              </w:rPr>
              <w:t> </w:t>
            </w:r>
          </w:p>
        </w:tc>
      </w:tr>
      <w:tr w:rsidR="00BD7DB6" w14:paraId="6CD44F90" w14:textId="77777777" w:rsidTr="00BD7DB6">
        <w:trPr>
          <w:trHeight w:val="398"/>
          <w:tblHeader/>
        </w:trPr>
        <w:tc>
          <w:tcPr>
            <w:tcW w:w="2962"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199A3ADF" w14:textId="77777777" w:rsidR="003F283D" w:rsidRDefault="003F283D">
            <w:pPr>
              <w:jc w:val="center"/>
              <w:rPr>
                <w:rFonts w:ascii="Arial" w:hAnsi="Arial" w:cs="Arial"/>
                <w:b/>
                <w:bCs/>
                <w:sz w:val="16"/>
                <w:szCs w:val="16"/>
              </w:rPr>
            </w:pPr>
            <w:r>
              <w:rPr>
                <w:rFonts w:ascii="Arial" w:hAnsi="Arial" w:cs="Arial"/>
                <w:b/>
                <w:bCs/>
                <w:sz w:val="16"/>
                <w:szCs w:val="16"/>
              </w:rPr>
              <w:t>OBJETIVOS ESTRATÉGICOS DEL PROGRAMA O PROYECTO DEL PND Y/O INSTITUCIONALES</w:t>
            </w:r>
          </w:p>
        </w:tc>
        <w:tc>
          <w:tcPr>
            <w:tcW w:w="1376"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4CD1470A" w14:textId="77777777" w:rsidR="003F283D" w:rsidRDefault="003F283D">
            <w:pPr>
              <w:jc w:val="center"/>
              <w:rPr>
                <w:rFonts w:ascii="Arial" w:hAnsi="Arial" w:cs="Arial"/>
                <w:b/>
                <w:bCs/>
                <w:sz w:val="16"/>
                <w:szCs w:val="16"/>
              </w:rPr>
            </w:pPr>
            <w:r>
              <w:rPr>
                <w:rFonts w:ascii="Arial" w:hAnsi="Arial" w:cs="Arial"/>
                <w:b/>
                <w:bCs/>
                <w:sz w:val="16"/>
                <w:szCs w:val="16"/>
              </w:rPr>
              <w:t>NOMBRE DEL PROGRAMA O PROYECTO INSTITUCIONAL</w:t>
            </w:r>
          </w:p>
        </w:tc>
        <w:tc>
          <w:tcPr>
            <w:tcW w:w="1459"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139F3628" w14:textId="77777777" w:rsidR="003F283D" w:rsidRDefault="003F283D">
            <w:pPr>
              <w:jc w:val="center"/>
              <w:rPr>
                <w:rFonts w:ascii="Arial" w:hAnsi="Arial" w:cs="Arial"/>
                <w:b/>
                <w:bCs/>
                <w:sz w:val="16"/>
                <w:szCs w:val="16"/>
              </w:rPr>
            </w:pPr>
            <w:r>
              <w:rPr>
                <w:rFonts w:ascii="Arial" w:hAnsi="Arial" w:cs="Arial"/>
                <w:b/>
                <w:bCs/>
                <w:sz w:val="16"/>
                <w:szCs w:val="16"/>
              </w:rPr>
              <w:t>CODIGO Y NOMBRE DEL  PROGRAMA O SUBPROGRAMA PRESUPUESTARIO</w:t>
            </w:r>
          </w:p>
        </w:tc>
        <w:tc>
          <w:tcPr>
            <w:tcW w:w="1349"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5DED691B" w14:textId="77777777" w:rsidR="003F283D" w:rsidRDefault="003F283D">
            <w:pPr>
              <w:jc w:val="center"/>
              <w:rPr>
                <w:rFonts w:ascii="Arial" w:hAnsi="Arial" w:cs="Arial"/>
                <w:b/>
                <w:bCs/>
                <w:sz w:val="16"/>
                <w:szCs w:val="16"/>
              </w:rPr>
            </w:pPr>
            <w:r>
              <w:rPr>
                <w:rFonts w:ascii="Arial" w:hAnsi="Arial" w:cs="Arial"/>
                <w:b/>
                <w:bCs/>
                <w:sz w:val="16"/>
                <w:szCs w:val="16"/>
              </w:rPr>
              <w:t>PRODUCTO FINAL (BIENES/</w:t>
            </w:r>
            <w:r>
              <w:rPr>
                <w:rFonts w:ascii="Arial" w:hAnsi="Arial" w:cs="Arial"/>
                <w:b/>
                <w:bCs/>
                <w:sz w:val="16"/>
                <w:szCs w:val="16"/>
              </w:rPr>
              <w:br/>
              <w:t>SERVICIOS)</w:t>
            </w:r>
          </w:p>
        </w:tc>
        <w:tc>
          <w:tcPr>
            <w:tcW w:w="1134"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77E62312" w14:textId="77777777" w:rsidR="003F283D" w:rsidRDefault="003F283D">
            <w:pPr>
              <w:jc w:val="center"/>
              <w:rPr>
                <w:rFonts w:ascii="Arial" w:hAnsi="Arial" w:cs="Arial"/>
                <w:b/>
                <w:bCs/>
                <w:sz w:val="16"/>
                <w:szCs w:val="16"/>
              </w:rPr>
            </w:pPr>
            <w:r>
              <w:rPr>
                <w:rFonts w:ascii="Arial" w:hAnsi="Arial" w:cs="Arial"/>
                <w:b/>
                <w:bCs/>
                <w:sz w:val="16"/>
                <w:szCs w:val="16"/>
              </w:rPr>
              <w:t>UNIDAD DE MEDIDA DEL PRODUCTO</w:t>
            </w:r>
          </w:p>
        </w:tc>
        <w:tc>
          <w:tcPr>
            <w:tcW w:w="4840" w:type="dxa"/>
            <w:gridSpan w:val="3"/>
            <w:tcBorders>
              <w:top w:val="single" w:sz="12" w:space="0" w:color="FFFFFF"/>
              <w:left w:val="nil"/>
              <w:bottom w:val="nil"/>
              <w:right w:val="nil"/>
            </w:tcBorders>
            <w:shd w:val="clear" w:color="000000" w:fill="16365C"/>
            <w:vAlign w:val="center"/>
            <w:hideMark/>
          </w:tcPr>
          <w:p w14:paraId="52DC69D1" w14:textId="77777777" w:rsidR="003F283D" w:rsidRDefault="003F283D">
            <w:pPr>
              <w:jc w:val="center"/>
              <w:rPr>
                <w:rFonts w:ascii="Arial" w:hAnsi="Arial" w:cs="Arial"/>
                <w:b/>
                <w:bCs/>
                <w:color w:val="FFFFFF"/>
                <w:sz w:val="16"/>
                <w:szCs w:val="16"/>
              </w:rPr>
            </w:pPr>
            <w:r>
              <w:rPr>
                <w:rFonts w:ascii="Arial" w:hAnsi="Arial" w:cs="Arial"/>
                <w:b/>
                <w:bCs/>
                <w:color w:val="FFFFFF"/>
                <w:sz w:val="16"/>
                <w:szCs w:val="16"/>
              </w:rPr>
              <w:t>POBLACIÓN META</w:t>
            </w:r>
          </w:p>
        </w:tc>
      </w:tr>
      <w:tr w:rsidR="003F283D" w14:paraId="4436133C" w14:textId="77777777" w:rsidTr="00BD7DB6">
        <w:trPr>
          <w:trHeight w:val="343"/>
          <w:tblHeader/>
        </w:trPr>
        <w:tc>
          <w:tcPr>
            <w:tcW w:w="2962" w:type="dxa"/>
            <w:vMerge/>
            <w:tcBorders>
              <w:top w:val="nil"/>
              <w:left w:val="single" w:sz="12" w:space="0" w:color="FFFFFF"/>
              <w:bottom w:val="single" w:sz="12" w:space="0" w:color="FFFFFF"/>
              <w:right w:val="single" w:sz="12" w:space="0" w:color="FFFFFF"/>
            </w:tcBorders>
            <w:vAlign w:val="center"/>
            <w:hideMark/>
          </w:tcPr>
          <w:p w14:paraId="27FD42F2" w14:textId="77777777" w:rsidR="003F283D" w:rsidRDefault="003F283D">
            <w:pPr>
              <w:rPr>
                <w:rFonts w:ascii="Arial" w:hAnsi="Arial" w:cs="Arial"/>
                <w:b/>
                <w:bCs/>
                <w:sz w:val="16"/>
                <w:szCs w:val="16"/>
              </w:rPr>
            </w:pPr>
          </w:p>
        </w:tc>
        <w:tc>
          <w:tcPr>
            <w:tcW w:w="1376" w:type="dxa"/>
            <w:vMerge/>
            <w:tcBorders>
              <w:top w:val="nil"/>
              <w:left w:val="single" w:sz="12" w:space="0" w:color="FFFFFF"/>
              <w:bottom w:val="single" w:sz="12" w:space="0" w:color="FFFFFF"/>
              <w:right w:val="single" w:sz="12" w:space="0" w:color="FFFFFF"/>
            </w:tcBorders>
            <w:vAlign w:val="center"/>
            <w:hideMark/>
          </w:tcPr>
          <w:p w14:paraId="39FE0CAA" w14:textId="77777777" w:rsidR="003F283D" w:rsidRDefault="003F283D">
            <w:pPr>
              <w:rPr>
                <w:rFonts w:ascii="Arial" w:hAnsi="Arial" w:cs="Arial"/>
                <w:b/>
                <w:bCs/>
                <w:sz w:val="16"/>
                <w:szCs w:val="16"/>
              </w:rPr>
            </w:pPr>
          </w:p>
        </w:tc>
        <w:tc>
          <w:tcPr>
            <w:tcW w:w="1459" w:type="dxa"/>
            <w:vMerge/>
            <w:tcBorders>
              <w:top w:val="nil"/>
              <w:left w:val="single" w:sz="12" w:space="0" w:color="FFFFFF"/>
              <w:bottom w:val="single" w:sz="12" w:space="0" w:color="FFFFFF"/>
              <w:right w:val="single" w:sz="12" w:space="0" w:color="FFFFFF"/>
            </w:tcBorders>
            <w:vAlign w:val="center"/>
            <w:hideMark/>
          </w:tcPr>
          <w:p w14:paraId="6238ABEC" w14:textId="77777777" w:rsidR="003F283D" w:rsidRDefault="003F283D">
            <w:pPr>
              <w:rPr>
                <w:rFonts w:ascii="Arial" w:hAnsi="Arial" w:cs="Arial"/>
                <w:b/>
                <w:bCs/>
                <w:sz w:val="16"/>
                <w:szCs w:val="16"/>
              </w:rPr>
            </w:pPr>
          </w:p>
        </w:tc>
        <w:tc>
          <w:tcPr>
            <w:tcW w:w="1349" w:type="dxa"/>
            <w:vMerge/>
            <w:tcBorders>
              <w:top w:val="nil"/>
              <w:left w:val="single" w:sz="12" w:space="0" w:color="FFFFFF"/>
              <w:bottom w:val="single" w:sz="12" w:space="0" w:color="FFFFFF"/>
              <w:right w:val="single" w:sz="12" w:space="0" w:color="FFFFFF"/>
            </w:tcBorders>
            <w:vAlign w:val="center"/>
            <w:hideMark/>
          </w:tcPr>
          <w:p w14:paraId="33287898" w14:textId="77777777" w:rsidR="003F283D" w:rsidRDefault="003F283D">
            <w:pPr>
              <w:rPr>
                <w:rFonts w:ascii="Arial" w:hAnsi="Arial" w:cs="Arial"/>
                <w:b/>
                <w:bCs/>
                <w:sz w:val="16"/>
                <w:szCs w:val="16"/>
              </w:rPr>
            </w:pPr>
          </w:p>
        </w:tc>
        <w:tc>
          <w:tcPr>
            <w:tcW w:w="1134" w:type="dxa"/>
            <w:vMerge/>
            <w:tcBorders>
              <w:top w:val="nil"/>
              <w:left w:val="single" w:sz="12" w:space="0" w:color="FFFFFF"/>
              <w:bottom w:val="single" w:sz="12" w:space="0" w:color="FFFFFF"/>
              <w:right w:val="single" w:sz="12" w:space="0" w:color="FFFFFF"/>
            </w:tcBorders>
            <w:vAlign w:val="center"/>
            <w:hideMark/>
          </w:tcPr>
          <w:p w14:paraId="32A71C5D" w14:textId="77777777" w:rsidR="003F283D" w:rsidRDefault="003F283D">
            <w:pPr>
              <w:rPr>
                <w:rFonts w:ascii="Arial" w:hAnsi="Arial" w:cs="Arial"/>
                <w:b/>
                <w:bCs/>
                <w:sz w:val="16"/>
                <w:szCs w:val="16"/>
              </w:rPr>
            </w:pPr>
          </w:p>
        </w:tc>
        <w:tc>
          <w:tcPr>
            <w:tcW w:w="1440" w:type="dxa"/>
            <w:vMerge w:val="restart"/>
            <w:tcBorders>
              <w:top w:val="single" w:sz="12" w:space="0" w:color="FFFFFF"/>
              <w:left w:val="single" w:sz="12" w:space="0" w:color="FFFFFF"/>
              <w:bottom w:val="single" w:sz="12" w:space="0" w:color="FFFFFF"/>
              <w:right w:val="single" w:sz="12" w:space="0" w:color="FFFFFF"/>
            </w:tcBorders>
            <w:shd w:val="clear" w:color="000000" w:fill="95B3D7"/>
            <w:vAlign w:val="center"/>
            <w:hideMark/>
          </w:tcPr>
          <w:p w14:paraId="4FF7D7A7" w14:textId="77777777" w:rsidR="003F283D" w:rsidRDefault="003F283D">
            <w:pPr>
              <w:jc w:val="center"/>
              <w:rPr>
                <w:rFonts w:ascii="Arial" w:hAnsi="Arial" w:cs="Arial"/>
                <w:b/>
                <w:bCs/>
                <w:sz w:val="16"/>
                <w:szCs w:val="16"/>
              </w:rPr>
            </w:pPr>
            <w:r>
              <w:rPr>
                <w:rFonts w:ascii="Arial" w:hAnsi="Arial" w:cs="Arial"/>
                <w:b/>
                <w:bCs/>
                <w:sz w:val="16"/>
                <w:szCs w:val="16"/>
              </w:rPr>
              <w:t>USUARIO (A)</w:t>
            </w:r>
          </w:p>
        </w:tc>
        <w:tc>
          <w:tcPr>
            <w:tcW w:w="3400" w:type="dxa"/>
            <w:gridSpan w:val="2"/>
            <w:tcBorders>
              <w:top w:val="single" w:sz="12" w:space="0" w:color="FFFFFF"/>
              <w:left w:val="nil"/>
              <w:bottom w:val="single" w:sz="12" w:space="0" w:color="FFFFFF"/>
              <w:right w:val="nil"/>
            </w:tcBorders>
            <w:shd w:val="clear" w:color="000000" w:fill="95B3D7"/>
            <w:vAlign w:val="center"/>
            <w:hideMark/>
          </w:tcPr>
          <w:p w14:paraId="72190086" w14:textId="77777777" w:rsidR="003F283D" w:rsidRDefault="003F283D">
            <w:pPr>
              <w:jc w:val="center"/>
              <w:rPr>
                <w:rFonts w:ascii="Arial" w:hAnsi="Arial" w:cs="Arial"/>
                <w:b/>
                <w:bCs/>
                <w:sz w:val="16"/>
                <w:szCs w:val="16"/>
              </w:rPr>
            </w:pPr>
            <w:r>
              <w:rPr>
                <w:rFonts w:ascii="Arial" w:hAnsi="Arial" w:cs="Arial"/>
                <w:b/>
                <w:bCs/>
                <w:sz w:val="16"/>
                <w:szCs w:val="16"/>
              </w:rPr>
              <w:t>CANTIDAD</w:t>
            </w:r>
          </w:p>
        </w:tc>
      </w:tr>
      <w:tr w:rsidR="003F283D" w14:paraId="7D9EEA3C" w14:textId="77777777" w:rsidTr="00BD7DB6">
        <w:trPr>
          <w:trHeight w:val="330"/>
          <w:tblHeader/>
        </w:trPr>
        <w:tc>
          <w:tcPr>
            <w:tcW w:w="2962" w:type="dxa"/>
            <w:vMerge/>
            <w:tcBorders>
              <w:top w:val="nil"/>
              <w:left w:val="single" w:sz="12" w:space="0" w:color="FFFFFF"/>
              <w:bottom w:val="single" w:sz="12" w:space="0" w:color="FFFFFF"/>
              <w:right w:val="single" w:sz="12" w:space="0" w:color="FFFFFF"/>
            </w:tcBorders>
            <w:vAlign w:val="center"/>
            <w:hideMark/>
          </w:tcPr>
          <w:p w14:paraId="698CB6B1" w14:textId="77777777" w:rsidR="003F283D" w:rsidRDefault="003F283D">
            <w:pPr>
              <w:rPr>
                <w:rFonts w:ascii="Arial" w:hAnsi="Arial" w:cs="Arial"/>
                <w:b/>
                <w:bCs/>
                <w:sz w:val="16"/>
                <w:szCs w:val="16"/>
              </w:rPr>
            </w:pPr>
          </w:p>
        </w:tc>
        <w:tc>
          <w:tcPr>
            <w:tcW w:w="1376" w:type="dxa"/>
            <w:vMerge/>
            <w:tcBorders>
              <w:top w:val="nil"/>
              <w:left w:val="single" w:sz="12" w:space="0" w:color="FFFFFF"/>
              <w:bottom w:val="single" w:sz="12" w:space="0" w:color="FFFFFF"/>
              <w:right w:val="single" w:sz="12" w:space="0" w:color="FFFFFF"/>
            </w:tcBorders>
            <w:vAlign w:val="center"/>
            <w:hideMark/>
          </w:tcPr>
          <w:p w14:paraId="56499298" w14:textId="77777777" w:rsidR="003F283D" w:rsidRDefault="003F283D">
            <w:pPr>
              <w:rPr>
                <w:rFonts w:ascii="Arial" w:hAnsi="Arial" w:cs="Arial"/>
                <w:b/>
                <w:bCs/>
                <w:sz w:val="16"/>
                <w:szCs w:val="16"/>
              </w:rPr>
            </w:pPr>
          </w:p>
        </w:tc>
        <w:tc>
          <w:tcPr>
            <w:tcW w:w="1459" w:type="dxa"/>
            <w:vMerge/>
            <w:tcBorders>
              <w:top w:val="nil"/>
              <w:left w:val="single" w:sz="12" w:space="0" w:color="FFFFFF"/>
              <w:bottom w:val="single" w:sz="12" w:space="0" w:color="FFFFFF"/>
              <w:right w:val="single" w:sz="12" w:space="0" w:color="FFFFFF"/>
            </w:tcBorders>
            <w:vAlign w:val="center"/>
            <w:hideMark/>
          </w:tcPr>
          <w:p w14:paraId="5F89B971" w14:textId="77777777" w:rsidR="003F283D" w:rsidRDefault="003F283D">
            <w:pPr>
              <w:rPr>
                <w:rFonts w:ascii="Arial" w:hAnsi="Arial" w:cs="Arial"/>
                <w:b/>
                <w:bCs/>
                <w:sz w:val="16"/>
                <w:szCs w:val="16"/>
              </w:rPr>
            </w:pPr>
          </w:p>
        </w:tc>
        <w:tc>
          <w:tcPr>
            <w:tcW w:w="1349" w:type="dxa"/>
            <w:vMerge/>
            <w:tcBorders>
              <w:top w:val="nil"/>
              <w:left w:val="single" w:sz="12" w:space="0" w:color="FFFFFF"/>
              <w:bottom w:val="single" w:sz="12" w:space="0" w:color="FFFFFF"/>
              <w:right w:val="single" w:sz="12" w:space="0" w:color="FFFFFF"/>
            </w:tcBorders>
            <w:vAlign w:val="center"/>
            <w:hideMark/>
          </w:tcPr>
          <w:p w14:paraId="419C174A" w14:textId="77777777" w:rsidR="003F283D" w:rsidRDefault="003F283D">
            <w:pPr>
              <w:rPr>
                <w:rFonts w:ascii="Arial" w:hAnsi="Arial" w:cs="Arial"/>
                <w:b/>
                <w:bCs/>
                <w:sz w:val="16"/>
                <w:szCs w:val="16"/>
              </w:rPr>
            </w:pPr>
          </w:p>
        </w:tc>
        <w:tc>
          <w:tcPr>
            <w:tcW w:w="1134" w:type="dxa"/>
            <w:vMerge/>
            <w:tcBorders>
              <w:top w:val="nil"/>
              <w:left w:val="single" w:sz="12" w:space="0" w:color="FFFFFF"/>
              <w:bottom w:val="single" w:sz="12" w:space="0" w:color="FFFFFF"/>
              <w:right w:val="single" w:sz="12" w:space="0" w:color="FFFFFF"/>
            </w:tcBorders>
            <w:vAlign w:val="center"/>
            <w:hideMark/>
          </w:tcPr>
          <w:p w14:paraId="1C3659A9" w14:textId="77777777" w:rsidR="003F283D" w:rsidRDefault="003F283D">
            <w:pPr>
              <w:rPr>
                <w:rFonts w:ascii="Arial" w:hAnsi="Arial" w:cs="Arial"/>
                <w:b/>
                <w:bCs/>
                <w:sz w:val="16"/>
                <w:szCs w:val="16"/>
              </w:rPr>
            </w:pPr>
          </w:p>
        </w:tc>
        <w:tc>
          <w:tcPr>
            <w:tcW w:w="1440" w:type="dxa"/>
            <w:vMerge/>
            <w:tcBorders>
              <w:top w:val="single" w:sz="12" w:space="0" w:color="FFFFFF"/>
              <w:left w:val="single" w:sz="12" w:space="0" w:color="FFFFFF"/>
              <w:bottom w:val="single" w:sz="12" w:space="0" w:color="FFFFFF"/>
              <w:right w:val="single" w:sz="12" w:space="0" w:color="FFFFFF"/>
            </w:tcBorders>
            <w:vAlign w:val="center"/>
            <w:hideMark/>
          </w:tcPr>
          <w:p w14:paraId="6C1A71D2" w14:textId="77777777" w:rsidR="003F283D" w:rsidRDefault="003F283D">
            <w:pPr>
              <w:rPr>
                <w:rFonts w:ascii="Arial" w:hAnsi="Arial" w:cs="Arial"/>
                <w:b/>
                <w:bCs/>
                <w:sz w:val="16"/>
                <w:szCs w:val="16"/>
              </w:rPr>
            </w:pPr>
          </w:p>
        </w:tc>
        <w:tc>
          <w:tcPr>
            <w:tcW w:w="1600"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4D8D85CA" w14:textId="77777777" w:rsidR="003F283D" w:rsidRDefault="003F283D">
            <w:pPr>
              <w:jc w:val="center"/>
              <w:rPr>
                <w:rFonts w:ascii="Arial" w:hAnsi="Arial" w:cs="Arial"/>
                <w:b/>
                <w:bCs/>
                <w:sz w:val="16"/>
                <w:szCs w:val="16"/>
              </w:rPr>
            </w:pPr>
            <w:r>
              <w:rPr>
                <w:rFonts w:ascii="Arial" w:hAnsi="Arial" w:cs="Arial"/>
                <w:b/>
                <w:bCs/>
                <w:sz w:val="16"/>
                <w:szCs w:val="16"/>
              </w:rPr>
              <w:t>HOMBRES</w:t>
            </w:r>
          </w:p>
        </w:tc>
        <w:tc>
          <w:tcPr>
            <w:tcW w:w="1800" w:type="dxa"/>
            <w:vMerge w:val="restart"/>
            <w:tcBorders>
              <w:top w:val="nil"/>
              <w:left w:val="single" w:sz="12" w:space="0" w:color="FFFFFF"/>
              <w:bottom w:val="single" w:sz="12" w:space="0" w:color="FFFFFF"/>
              <w:right w:val="nil"/>
            </w:tcBorders>
            <w:shd w:val="clear" w:color="000000" w:fill="95B3D7"/>
            <w:vAlign w:val="center"/>
            <w:hideMark/>
          </w:tcPr>
          <w:p w14:paraId="49528401" w14:textId="77777777" w:rsidR="003F283D" w:rsidRDefault="003F283D">
            <w:pPr>
              <w:jc w:val="center"/>
              <w:rPr>
                <w:rFonts w:ascii="Arial" w:hAnsi="Arial" w:cs="Arial"/>
                <w:b/>
                <w:bCs/>
                <w:sz w:val="16"/>
                <w:szCs w:val="16"/>
              </w:rPr>
            </w:pPr>
            <w:r>
              <w:rPr>
                <w:rFonts w:ascii="Arial" w:hAnsi="Arial" w:cs="Arial"/>
                <w:b/>
                <w:bCs/>
                <w:sz w:val="16"/>
                <w:szCs w:val="16"/>
              </w:rPr>
              <w:t>MUJERES</w:t>
            </w:r>
          </w:p>
        </w:tc>
      </w:tr>
      <w:tr w:rsidR="003F283D" w14:paraId="2C056EC8" w14:textId="77777777" w:rsidTr="00BD7DB6">
        <w:trPr>
          <w:trHeight w:val="570"/>
        </w:trPr>
        <w:tc>
          <w:tcPr>
            <w:tcW w:w="2962" w:type="dxa"/>
            <w:vMerge/>
            <w:tcBorders>
              <w:top w:val="nil"/>
              <w:left w:val="single" w:sz="12" w:space="0" w:color="FFFFFF"/>
              <w:bottom w:val="single" w:sz="12" w:space="0" w:color="FFFFFF"/>
              <w:right w:val="single" w:sz="12" w:space="0" w:color="FFFFFF"/>
            </w:tcBorders>
            <w:vAlign w:val="center"/>
            <w:hideMark/>
          </w:tcPr>
          <w:p w14:paraId="548CF1C3" w14:textId="77777777" w:rsidR="003F283D" w:rsidRDefault="003F283D">
            <w:pPr>
              <w:rPr>
                <w:rFonts w:ascii="Arial" w:hAnsi="Arial" w:cs="Arial"/>
                <w:b/>
                <w:bCs/>
                <w:sz w:val="16"/>
                <w:szCs w:val="16"/>
              </w:rPr>
            </w:pPr>
          </w:p>
        </w:tc>
        <w:tc>
          <w:tcPr>
            <w:tcW w:w="1376" w:type="dxa"/>
            <w:vMerge/>
            <w:tcBorders>
              <w:top w:val="nil"/>
              <w:left w:val="single" w:sz="12" w:space="0" w:color="FFFFFF"/>
              <w:bottom w:val="single" w:sz="12" w:space="0" w:color="FFFFFF"/>
              <w:right w:val="single" w:sz="12" w:space="0" w:color="FFFFFF"/>
            </w:tcBorders>
            <w:vAlign w:val="center"/>
            <w:hideMark/>
          </w:tcPr>
          <w:p w14:paraId="3E23AA52" w14:textId="77777777" w:rsidR="003F283D" w:rsidRDefault="003F283D">
            <w:pPr>
              <w:rPr>
                <w:rFonts w:ascii="Arial" w:hAnsi="Arial" w:cs="Arial"/>
                <w:b/>
                <w:bCs/>
                <w:sz w:val="16"/>
                <w:szCs w:val="16"/>
              </w:rPr>
            </w:pPr>
          </w:p>
        </w:tc>
        <w:tc>
          <w:tcPr>
            <w:tcW w:w="1459" w:type="dxa"/>
            <w:vMerge/>
            <w:tcBorders>
              <w:top w:val="nil"/>
              <w:left w:val="single" w:sz="12" w:space="0" w:color="FFFFFF"/>
              <w:bottom w:val="single" w:sz="12" w:space="0" w:color="FFFFFF"/>
              <w:right w:val="single" w:sz="12" w:space="0" w:color="FFFFFF"/>
            </w:tcBorders>
            <w:vAlign w:val="center"/>
            <w:hideMark/>
          </w:tcPr>
          <w:p w14:paraId="7949D584" w14:textId="77777777" w:rsidR="003F283D" w:rsidRDefault="003F283D">
            <w:pPr>
              <w:rPr>
                <w:rFonts w:ascii="Arial" w:hAnsi="Arial" w:cs="Arial"/>
                <w:b/>
                <w:bCs/>
                <w:sz w:val="16"/>
                <w:szCs w:val="16"/>
              </w:rPr>
            </w:pPr>
          </w:p>
        </w:tc>
        <w:tc>
          <w:tcPr>
            <w:tcW w:w="1349" w:type="dxa"/>
            <w:vMerge/>
            <w:tcBorders>
              <w:top w:val="nil"/>
              <w:left w:val="single" w:sz="12" w:space="0" w:color="FFFFFF"/>
              <w:bottom w:val="single" w:sz="12" w:space="0" w:color="FFFFFF"/>
              <w:right w:val="single" w:sz="12" w:space="0" w:color="FFFFFF"/>
            </w:tcBorders>
            <w:vAlign w:val="center"/>
            <w:hideMark/>
          </w:tcPr>
          <w:p w14:paraId="20911EF8" w14:textId="77777777" w:rsidR="003F283D" w:rsidRDefault="003F283D">
            <w:pPr>
              <w:rPr>
                <w:rFonts w:ascii="Arial" w:hAnsi="Arial" w:cs="Arial"/>
                <w:b/>
                <w:bCs/>
                <w:sz w:val="16"/>
                <w:szCs w:val="16"/>
              </w:rPr>
            </w:pPr>
          </w:p>
        </w:tc>
        <w:tc>
          <w:tcPr>
            <w:tcW w:w="1134" w:type="dxa"/>
            <w:vMerge/>
            <w:tcBorders>
              <w:top w:val="nil"/>
              <w:left w:val="single" w:sz="12" w:space="0" w:color="FFFFFF"/>
              <w:bottom w:val="single" w:sz="12" w:space="0" w:color="FFFFFF"/>
              <w:right w:val="single" w:sz="12" w:space="0" w:color="FFFFFF"/>
            </w:tcBorders>
            <w:vAlign w:val="center"/>
            <w:hideMark/>
          </w:tcPr>
          <w:p w14:paraId="7A5DC6DD" w14:textId="77777777" w:rsidR="003F283D" w:rsidRDefault="003F283D">
            <w:pPr>
              <w:rPr>
                <w:rFonts w:ascii="Arial" w:hAnsi="Arial" w:cs="Arial"/>
                <w:b/>
                <w:bCs/>
                <w:sz w:val="16"/>
                <w:szCs w:val="16"/>
              </w:rPr>
            </w:pPr>
          </w:p>
        </w:tc>
        <w:tc>
          <w:tcPr>
            <w:tcW w:w="1440" w:type="dxa"/>
            <w:vMerge/>
            <w:tcBorders>
              <w:top w:val="single" w:sz="12" w:space="0" w:color="FFFFFF"/>
              <w:left w:val="single" w:sz="12" w:space="0" w:color="FFFFFF"/>
              <w:bottom w:val="single" w:sz="12" w:space="0" w:color="FFFFFF"/>
              <w:right w:val="single" w:sz="12" w:space="0" w:color="FFFFFF"/>
            </w:tcBorders>
            <w:vAlign w:val="center"/>
            <w:hideMark/>
          </w:tcPr>
          <w:p w14:paraId="7AA30404" w14:textId="77777777" w:rsidR="003F283D" w:rsidRDefault="003F283D">
            <w:pPr>
              <w:rPr>
                <w:rFonts w:ascii="Arial" w:hAnsi="Arial" w:cs="Arial"/>
                <w:b/>
                <w:bCs/>
                <w:sz w:val="16"/>
                <w:szCs w:val="16"/>
              </w:rPr>
            </w:pPr>
          </w:p>
        </w:tc>
        <w:tc>
          <w:tcPr>
            <w:tcW w:w="1600" w:type="dxa"/>
            <w:vMerge/>
            <w:tcBorders>
              <w:top w:val="nil"/>
              <w:left w:val="single" w:sz="12" w:space="0" w:color="FFFFFF"/>
              <w:bottom w:val="single" w:sz="12" w:space="0" w:color="FFFFFF"/>
              <w:right w:val="single" w:sz="12" w:space="0" w:color="FFFFFF"/>
            </w:tcBorders>
            <w:vAlign w:val="center"/>
            <w:hideMark/>
          </w:tcPr>
          <w:p w14:paraId="5ADE17D8" w14:textId="77777777" w:rsidR="003F283D" w:rsidRDefault="003F283D">
            <w:pPr>
              <w:rPr>
                <w:rFonts w:ascii="Arial" w:hAnsi="Arial" w:cs="Arial"/>
                <w:b/>
                <w:bCs/>
                <w:sz w:val="16"/>
                <w:szCs w:val="16"/>
              </w:rPr>
            </w:pPr>
          </w:p>
        </w:tc>
        <w:tc>
          <w:tcPr>
            <w:tcW w:w="1800" w:type="dxa"/>
            <w:vMerge/>
            <w:tcBorders>
              <w:top w:val="nil"/>
              <w:left w:val="single" w:sz="12" w:space="0" w:color="FFFFFF"/>
              <w:bottom w:val="single" w:sz="12" w:space="0" w:color="FFFFFF"/>
              <w:right w:val="nil"/>
            </w:tcBorders>
            <w:vAlign w:val="center"/>
            <w:hideMark/>
          </w:tcPr>
          <w:p w14:paraId="1545A631" w14:textId="77777777" w:rsidR="003F283D" w:rsidRDefault="003F283D">
            <w:pPr>
              <w:rPr>
                <w:rFonts w:ascii="Arial" w:hAnsi="Arial" w:cs="Arial"/>
                <w:b/>
                <w:bCs/>
                <w:sz w:val="16"/>
                <w:szCs w:val="16"/>
              </w:rPr>
            </w:pPr>
          </w:p>
        </w:tc>
      </w:tr>
      <w:tr w:rsidR="003F283D" w14:paraId="53083ED8" w14:textId="77777777" w:rsidTr="00BD7DB6">
        <w:trPr>
          <w:trHeight w:val="184"/>
        </w:trPr>
        <w:tc>
          <w:tcPr>
            <w:tcW w:w="2962" w:type="dxa"/>
            <w:vMerge/>
            <w:tcBorders>
              <w:top w:val="nil"/>
              <w:left w:val="single" w:sz="12" w:space="0" w:color="FFFFFF"/>
              <w:bottom w:val="single" w:sz="12" w:space="0" w:color="FFFFFF"/>
              <w:right w:val="single" w:sz="12" w:space="0" w:color="FFFFFF"/>
            </w:tcBorders>
            <w:vAlign w:val="center"/>
            <w:hideMark/>
          </w:tcPr>
          <w:p w14:paraId="6777C559" w14:textId="77777777" w:rsidR="003F283D" w:rsidRDefault="003F283D">
            <w:pPr>
              <w:rPr>
                <w:rFonts w:ascii="Arial" w:hAnsi="Arial" w:cs="Arial"/>
                <w:b/>
                <w:bCs/>
                <w:sz w:val="16"/>
                <w:szCs w:val="16"/>
              </w:rPr>
            </w:pPr>
          </w:p>
        </w:tc>
        <w:tc>
          <w:tcPr>
            <w:tcW w:w="1376" w:type="dxa"/>
            <w:vMerge/>
            <w:tcBorders>
              <w:top w:val="nil"/>
              <w:left w:val="single" w:sz="12" w:space="0" w:color="FFFFFF"/>
              <w:bottom w:val="single" w:sz="12" w:space="0" w:color="FFFFFF"/>
              <w:right w:val="single" w:sz="12" w:space="0" w:color="FFFFFF"/>
            </w:tcBorders>
            <w:vAlign w:val="center"/>
            <w:hideMark/>
          </w:tcPr>
          <w:p w14:paraId="78DAC73D" w14:textId="77777777" w:rsidR="003F283D" w:rsidRDefault="003F283D">
            <w:pPr>
              <w:rPr>
                <w:rFonts w:ascii="Arial" w:hAnsi="Arial" w:cs="Arial"/>
                <w:b/>
                <w:bCs/>
                <w:sz w:val="16"/>
                <w:szCs w:val="16"/>
              </w:rPr>
            </w:pPr>
          </w:p>
        </w:tc>
        <w:tc>
          <w:tcPr>
            <w:tcW w:w="1459" w:type="dxa"/>
            <w:vMerge/>
            <w:tcBorders>
              <w:top w:val="nil"/>
              <w:left w:val="single" w:sz="12" w:space="0" w:color="FFFFFF"/>
              <w:bottom w:val="single" w:sz="12" w:space="0" w:color="FFFFFF"/>
              <w:right w:val="single" w:sz="12" w:space="0" w:color="FFFFFF"/>
            </w:tcBorders>
            <w:vAlign w:val="center"/>
            <w:hideMark/>
          </w:tcPr>
          <w:p w14:paraId="7C1A5C2D" w14:textId="77777777" w:rsidR="003F283D" w:rsidRDefault="003F283D">
            <w:pPr>
              <w:rPr>
                <w:rFonts w:ascii="Arial" w:hAnsi="Arial" w:cs="Arial"/>
                <w:b/>
                <w:bCs/>
                <w:sz w:val="16"/>
                <w:szCs w:val="16"/>
              </w:rPr>
            </w:pPr>
          </w:p>
        </w:tc>
        <w:tc>
          <w:tcPr>
            <w:tcW w:w="1349" w:type="dxa"/>
            <w:vMerge/>
            <w:tcBorders>
              <w:top w:val="nil"/>
              <w:left w:val="single" w:sz="12" w:space="0" w:color="FFFFFF"/>
              <w:bottom w:val="single" w:sz="12" w:space="0" w:color="FFFFFF"/>
              <w:right w:val="single" w:sz="12" w:space="0" w:color="FFFFFF"/>
            </w:tcBorders>
            <w:vAlign w:val="center"/>
            <w:hideMark/>
          </w:tcPr>
          <w:p w14:paraId="1A4F35A4" w14:textId="77777777" w:rsidR="003F283D" w:rsidRDefault="003F283D">
            <w:pPr>
              <w:rPr>
                <w:rFonts w:ascii="Arial" w:hAnsi="Arial" w:cs="Arial"/>
                <w:b/>
                <w:bCs/>
                <w:sz w:val="16"/>
                <w:szCs w:val="16"/>
              </w:rPr>
            </w:pPr>
          </w:p>
        </w:tc>
        <w:tc>
          <w:tcPr>
            <w:tcW w:w="1134" w:type="dxa"/>
            <w:vMerge/>
            <w:tcBorders>
              <w:top w:val="nil"/>
              <w:left w:val="single" w:sz="12" w:space="0" w:color="FFFFFF"/>
              <w:bottom w:val="single" w:sz="12" w:space="0" w:color="FFFFFF"/>
              <w:right w:val="single" w:sz="12" w:space="0" w:color="FFFFFF"/>
            </w:tcBorders>
            <w:vAlign w:val="center"/>
            <w:hideMark/>
          </w:tcPr>
          <w:p w14:paraId="6BC9A1D4" w14:textId="77777777" w:rsidR="003F283D" w:rsidRDefault="003F283D">
            <w:pPr>
              <w:rPr>
                <w:rFonts w:ascii="Arial" w:hAnsi="Arial" w:cs="Arial"/>
                <w:b/>
                <w:bCs/>
                <w:sz w:val="16"/>
                <w:szCs w:val="16"/>
              </w:rPr>
            </w:pPr>
          </w:p>
        </w:tc>
        <w:tc>
          <w:tcPr>
            <w:tcW w:w="1440" w:type="dxa"/>
            <w:vMerge/>
            <w:tcBorders>
              <w:top w:val="single" w:sz="12" w:space="0" w:color="FFFFFF"/>
              <w:left w:val="single" w:sz="12" w:space="0" w:color="FFFFFF"/>
              <w:bottom w:val="single" w:sz="12" w:space="0" w:color="FFFFFF"/>
              <w:right w:val="single" w:sz="12" w:space="0" w:color="FFFFFF"/>
            </w:tcBorders>
            <w:vAlign w:val="center"/>
            <w:hideMark/>
          </w:tcPr>
          <w:p w14:paraId="31522645" w14:textId="77777777" w:rsidR="003F283D" w:rsidRDefault="003F283D">
            <w:pPr>
              <w:rPr>
                <w:rFonts w:ascii="Arial" w:hAnsi="Arial" w:cs="Arial"/>
                <w:b/>
                <w:bCs/>
                <w:sz w:val="16"/>
                <w:szCs w:val="16"/>
              </w:rPr>
            </w:pPr>
          </w:p>
        </w:tc>
        <w:tc>
          <w:tcPr>
            <w:tcW w:w="1600" w:type="dxa"/>
            <w:vMerge/>
            <w:tcBorders>
              <w:top w:val="nil"/>
              <w:left w:val="single" w:sz="12" w:space="0" w:color="FFFFFF"/>
              <w:bottom w:val="single" w:sz="12" w:space="0" w:color="FFFFFF"/>
              <w:right w:val="single" w:sz="12" w:space="0" w:color="FFFFFF"/>
            </w:tcBorders>
            <w:vAlign w:val="center"/>
            <w:hideMark/>
          </w:tcPr>
          <w:p w14:paraId="37930068" w14:textId="77777777" w:rsidR="003F283D" w:rsidRDefault="003F283D">
            <w:pPr>
              <w:rPr>
                <w:rFonts w:ascii="Arial" w:hAnsi="Arial" w:cs="Arial"/>
                <w:b/>
                <w:bCs/>
                <w:sz w:val="16"/>
                <w:szCs w:val="16"/>
              </w:rPr>
            </w:pPr>
          </w:p>
        </w:tc>
        <w:tc>
          <w:tcPr>
            <w:tcW w:w="1800" w:type="dxa"/>
            <w:vMerge/>
            <w:tcBorders>
              <w:top w:val="nil"/>
              <w:left w:val="single" w:sz="12" w:space="0" w:color="FFFFFF"/>
              <w:bottom w:val="single" w:sz="12" w:space="0" w:color="FFFFFF"/>
              <w:right w:val="nil"/>
            </w:tcBorders>
            <w:vAlign w:val="center"/>
            <w:hideMark/>
          </w:tcPr>
          <w:p w14:paraId="1D83595E" w14:textId="77777777" w:rsidR="003F283D" w:rsidRDefault="003F283D">
            <w:pPr>
              <w:rPr>
                <w:rFonts w:ascii="Arial" w:hAnsi="Arial" w:cs="Arial"/>
                <w:b/>
                <w:bCs/>
                <w:sz w:val="16"/>
                <w:szCs w:val="16"/>
              </w:rPr>
            </w:pPr>
          </w:p>
        </w:tc>
      </w:tr>
      <w:tr w:rsidR="00BD7DB6" w14:paraId="2DB6CD96" w14:textId="77777777" w:rsidTr="00BD7DB6">
        <w:trPr>
          <w:trHeight w:val="1247"/>
        </w:trPr>
        <w:tc>
          <w:tcPr>
            <w:tcW w:w="2962" w:type="dxa"/>
            <w:tcBorders>
              <w:top w:val="nil"/>
              <w:left w:val="single" w:sz="12" w:space="0" w:color="FFFFFF"/>
              <w:bottom w:val="nil"/>
              <w:right w:val="single" w:sz="12" w:space="0" w:color="FFFFFF"/>
            </w:tcBorders>
            <w:shd w:val="clear" w:color="000000" w:fill="D9D9D9"/>
            <w:vAlign w:val="center"/>
            <w:hideMark/>
          </w:tcPr>
          <w:p w14:paraId="7E5FBA2F" w14:textId="77777777" w:rsidR="003F283D" w:rsidRDefault="003F283D">
            <w:pPr>
              <w:rPr>
                <w:rFonts w:ascii="Arial" w:hAnsi="Arial" w:cs="Arial"/>
                <w:sz w:val="16"/>
                <w:szCs w:val="16"/>
              </w:rPr>
            </w:pPr>
            <w:r>
              <w:rPr>
                <w:rFonts w:ascii="Arial" w:hAnsi="Arial" w:cs="Arial"/>
                <w:sz w:val="16"/>
                <w:szCs w:val="16"/>
              </w:rPr>
              <w:t>Promover que las entidades supervisadas identifiquen y gestionen los riesgos basadas en criterios prudenciales con el fin de proteger los intereses de los afiliados.</w:t>
            </w:r>
          </w:p>
        </w:tc>
        <w:tc>
          <w:tcPr>
            <w:tcW w:w="1376" w:type="dxa"/>
            <w:tcBorders>
              <w:top w:val="nil"/>
              <w:left w:val="nil"/>
              <w:bottom w:val="nil"/>
              <w:right w:val="single" w:sz="12" w:space="0" w:color="FFFFFF"/>
            </w:tcBorders>
            <w:shd w:val="clear" w:color="000000" w:fill="D9D9D9"/>
            <w:vAlign w:val="center"/>
            <w:hideMark/>
          </w:tcPr>
          <w:p w14:paraId="3976957C" w14:textId="77777777" w:rsidR="003F283D" w:rsidRDefault="003F283D">
            <w:pPr>
              <w:jc w:val="center"/>
              <w:rPr>
                <w:rFonts w:ascii="Arial" w:hAnsi="Arial" w:cs="Arial"/>
                <w:sz w:val="16"/>
                <w:szCs w:val="16"/>
              </w:rPr>
            </w:pPr>
            <w:r>
              <w:rPr>
                <w:rFonts w:ascii="Arial" w:hAnsi="Arial" w:cs="Arial"/>
                <w:sz w:val="16"/>
                <w:szCs w:val="16"/>
              </w:rPr>
              <w:t>Modelo de supervisión basado en Riesgo (MSBR)</w:t>
            </w:r>
          </w:p>
        </w:tc>
        <w:tc>
          <w:tcPr>
            <w:tcW w:w="1459" w:type="dxa"/>
            <w:tcBorders>
              <w:top w:val="nil"/>
              <w:left w:val="nil"/>
              <w:bottom w:val="nil"/>
              <w:right w:val="single" w:sz="12" w:space="0" w:color="FFFFFF"/>
            </w:tcBorders>
            <w:shd w:val="clear" w:color="000000" w:fill="D9D9D9"/>
            <w:vAlign w:val="center"/>
            <w:hideMark/>
          </w:tcPr>
          <w:p w14:paraId="15518BFE" w14:textId="77777777" w:rsidR="003F283D" w:rsidRDefault="003F283D">
            <w:pPr>
              <w:jc w:val="center"/>
              <w:rPr>
                <w:rFonts w:ascii="Arial" w:hAnsi="Arial" w:cs="Arial"/>
                <w:sz w:val="16"/>
                <w:szCs w:val="16"/>
              </w:rPr>
            </w:pPr>
            <w:r>
              <w:rPr>
                <w:rFonts w:ascii="Arial" w:hAnsi="Arial" w:cs="Arial"/>
                <w:sz w:val="16"/>
                <w:szCs w:val="16"/>
              </w:rPr>
              <w:t>N.A</w:t>
            </w:r>
          </w:p>
        </w:tc>
        <w:tc>
          <w:tcPr>
            <w:tcW w:w="1349" w:type="dxa"/>
            <w:tcBorders>
              <w:top w:val="nil"/>
              <w:left w:val="nil"/>
              <w:bottom w:val="nil"/>
              <w:right w:val="single" w:sz="12" w:space="0" w:color="FFFFFF"/>
            </w:tcBorders>
            <w:shd w:val="clear" w:color="000000" w:fill="D9D9D9"/>
            <w:vAlign w:val="center"/>
            <w:hideMark/>
          </w:tcPr>
          <w:p w14:paraId="74744FDC" w14:textId="77777777" w:rsidR="003F283D" w:rsidRDefault="003F283D">
            <w:pPr>
              <w:jc w:val="center"/>
              <w:rPr>
                <w:rFonts w:ascii="Arial" w:hAnsi="Arial" w:cs="Arial"/>
                <w:sz w:val="16"/>
                <w:szCs w:val="16"/>
              </w:rPr>
            </w:pPr>
            <w:r>
              <w:rPr>
                <w:rFonts w:ascii="Arial" w:hAnsi="Arial" w:cs="Arial"/>
                <w:sz w:val="16"/>
                <w:szCs w:val="16"/>
              </w:rPr>
              <w:t>Modelo de Supervisión</w:t>
            </w:r>
          </w:p>
        </w:tc>
        <w:tc>
          <w:tcPr>
            <w:tcW w:w="1134" w:type="dxa"/>
            <w:tcBorders>
              <w:top w:val="nil"/>
              <w:left w:val="nil"/>
              <w:bottom w:val="nil"/>
              <w:right w:val="single" w:sz="12" w:space="0" w:color="FFFFFF"/>
            </w:tcBorders>
            <w:shd w:val="clear" w:color="000000" w:fill="D9D9D9"/>
            <w:vAlign w:val="center"/>
            <w:hideMark/>
          </w:tcPr>
          <w:p w14:paraId="2D289ACB" w14:textId="77777777" w:rsidR="003F283D" w:rsidRDefault="003F283D">
            <w:pPr>
              <w:jc w:val="center"/>
              <w:rPr>
                <w:rFonts w:ascii="Arial" w:hAnsi="Arial" w:cs="Arial"/>
                <w:sz w:val="16"/>
                <w:szCs w:val="16"/>
              </w:rPr>
            </w:pPr>
            <w:r>
              <w:rPr>
                <w:rFonts w:ascii="Arial" w:hAnsi="Arial" w:cs="Arial"/>
                <w:sz w:val="16"/>
                <w:szCs w:val="16"/>
              </w:rPr>
              <w:t>Documento de Principios y Guías</w:t>
            </w:r>
          </w:p>
        </w:tc>
        <w:tc>
          <w:tcPr>
            <w:tcW w:w="1440" w:type="dxa"/>
            <w:tcBorders>
              <w:top w:val="nil"/>
              <w:left w:val="nil"/>
              <w:bottom w:val="nil"/>
              <w:right w:val="single" w:sz="12" w:space="0" w:color="FFFFFF"/>
            </w:tcBorders>
            <w:shd w:val="clear" w:color="000000" w:fill="D9D9D9"/>
            <w:vAlign w:val="center"/>
            <w:hideMark/>
          </w:tcPr>
          <w:p w14:paraId="09C71892" w14:textId="77777777" w:rsidR="003F283D" w:rsidRDefault="003F283D">
            <w:pPr>
              <w:jc w:val="center"/>
              <w:rPr>
                <w:rFonts w:ascii="Arial" w:hAnsi="Arial" w:cs="Arial"/>
                <w:sz w:val="16"/>
                <w:szCs w:val="16"/>
              </w:rPr>
            </w:pPr>
            <w:r>
              <w:rPr>
                <w:rFonts w:ascii="Arial" w:hAnsi="Arial" w:cs="Arial"/>
                <w:sz w:val="16"/>
                <w:szCs w:val="16"/>
              </w:rPr>
              <w:t>Afiliados</w:t>
            </w:r>
          </w:p>
        </w:tc>
        <w:tc>
          <w:tcPr>
            <w:tcW w:w="1600" w:type="dxa"/>
            <w:tcBorders>
              <w:top w:val="nil"/>
              <w:left w:val="nil"/>
              <w:bottom w:val="nil"/>
              <w:right w:val="single" w:sz="12" w:space="0" w:color="FFFFFF"/>
            </w:tcBorders>
            <w:shd w:val="clear" w:color="000000" w:fill="D9D9D9"/>
            <w:vAlign w:val="center"/>
            <w:hideMark/>
          </w:tcPr>
          <w:p w14:paraId="36063CB5" w14:textId="744D1356" w:rsidR="003F283D" w:rsidRDefault="003F283D">
            <w:pPr>
              <w:jc w:val="center"/>
              <w:rPr>
                <w:rFonts w:ascii="Arial" w:hAnsi="Arial" w:cs="Arial"/>
                <w:sz w:val="16"/>
                <w:szCs w:val="16"/>
              </w:rPr>
            </w:pPr>
            <w:r>
              <w:rPr>
                <w:rFonts w:ascii="Arial" w:hAnsi="Arial" w:cs="Arial"/>
                <w:sz w:val="16"/>
                <w:szCs w:val="16"/>
              </w:rPr>
              <w:t xml:space="preserve">1,451,213 </w:t>
            </w:r>
          </w:p>
        </w:tc>
        <w:tc>
          <w:tcPr>
            <w:tcW w:w="1800" w:type="dxa"/>
            <w:tcBorders>
              <w:top w:val="nil"/>
              <w:left w:val="nil"/>
              <w:bottom w:val="nil"/>
              <w:right w:val="single" w:sz="12" w:space="0" w:color="FFFFFF"/>
            </w:tcBorders>
            <w:shd w:val="clear" w:color="000000" w:fill="D9D9D9"/>
            <w:vAlign w:val="center"/>
            <w:hideMark/>
          </w:tcPr>
          <w:p w14:paraId="2853B0EA" w14:textId="4BEBC32D" w:rsidR="003F283D" w:rsidRDefault="003F283D">
            <w:pPr>
              <w:jc w:val="center"/>
              <w:rPr>
                <w:rFonts w:ascii="Arial" w:hAnsi="Arial" w:cs="Arial"/>
                <w:sz w:val="16"/>
                <w:szCs w:val="16"/>
              </w:rPr>
            </w:pPr>
            <w:r>
              <w:rPr>
                <w:rFonts w:ascii="Arial" w:hAnsi="Arial" w:cs="Arial"/>
                <w:sz w:val="16"/>
                <w:szCs w:val="16"/>
              </w:rPr>
              <w:t xml:space="preserve">  901,454 </w:t>
            </w:r>
          </w:p>
        </w:tc>
      </w:tr>
      <w:tr w:rsidR="00BD7DB6" w14:paraId="1B142F56" w14:textId="77777777" w:rsidTr="00BD7DB6">
        <w:trPr>
          <w:trHeight w:val="968"/>
        </w:trPr>
        <w:tc>
          <w:tcPr>
            <w:tcW w:w="2962" w:type="dxa"/>
            <w:tcBorders>
              <w:top w:val="single" w:sz="12" w:space="0" w:color="FFFFFF"/>
              <w:left w:val="single" w:sz="12" w:space="0" w:color="FFFFFF"/>
              <w:bottom w:val="nil"/>
              <w:right w:val="single" w:sz="12" w:space="0" w:color="FFFFFF"/>
            </w:tcBorders>
            <w:shd w:val="clear" w:color="000000" w:fill="D9D9D9"/>
            <w:vAlign w:val="center"/>
            <w:hideMark/>
          </w:tcPr>
          <w:p w14:paraId="58F9BF65" w14:textId="77777777" w:rsidR="003F283D" w:rsidRDefault="003F283D">
            <w:pPr>
              <w:rPr>
                <w:rFonts w:ascii="Arial" w:hAnsi="Arial" w:cs="Arial"/>
                <w:sz w:val="16"/>
                <w:szCs w:val="16"/>
              </w:rPr>
            </w:pPr>
            <w:r>
              <w:rPr>
                <w:rFonts w:ascii="Arial" w:hAnsi="Arial" w:cs="Arial"/>
                <w:sz w:val="16"/>
                <w:szCs w:val="16"/>
              </w:rPr>
              <w:t xml:space="preserve">Propiciar una mejor gestión de los regímenes en la atención al cliente.  </w:t>
            </w:r>
          </w:p>
        </w:tc>
        <w:tc>
          <w:tcPr>
            <w:tcW w:w="1376" w:type="dxa"/>
            <w:tcBorders>
              <w:top w:val="single" w:sz="12" w:space="0" w:color="FFFFFF"/>
              <w:left w:val="nil"/>
              <w:bottom w:val="nil"/>
              <w:right w:val="single" w:sz="12" w:space="0" w:color="FFFFFF"/>
            </w:tcBorders>
            <w:shd w:val="clear" w:color="000000" w:fill="D9D9D9"/>
            <w:vAlign w:val="center"/>
            <w:hideMark/>
          </w:tcPr>
          <w:p w14:paraId="00305F9C"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Normativa de Disciplina de Mercado</w:t>
            </w:r>
          </w:p>
        </w:tc>
        <w:tc>
          <w:tcPr>
            <w:tcW w:w="1459" w:type="dxa"/>
            <w:tcBorders>
              <w:top w:val="single" w:sz="12" w:space="0" w:color="FFFFFF"/>
              <w:left w:val="nil"/>
              <w:bottom w:val="nil"/>
              <w:right w:val="single" w:sz="12" w:space="0" w:color="FFFFFF"/>
            </w:tcBorders>
            <w:shd w:val="clear" w:color="000000" w:fill="D9D9D9"/>
            <w:vAlign w:val="center"/>
            <w:hideMark/>
          </w:tcPr>
          <w:p w14:paraId="5AD095F3" w14:textId="77777777" w:rsidR="003F283D" w:rsidRDefault="003F283D">
            <w:pPr>
              <w:jc w:val="center"/>
              <w:rPr>
                <w:rFonts w:ascii="Arial" w:hAnsi="Arial" w:cs="Arial"/>
                <w:sz w:val="16"/>
                <w:szCs w:val="16"/>
              </w:rPr>
            </w:pPr>
            <w:r>
              <w:rPr>
                <w:rFonts w:ascii="Arial" w:hAnsi="Arial" w:cs="Arial"/>
                <w:sz w:val="16"/>
                <w:szCs w:val="16"/>
              </w:rPr>
              <w:t>N.A</w:t>
            </w:r>
          </w:p>
        </w:tc>
        <w:tc>
          <w:tcPr>
            <w:tcW w:w="1349" w:type="dxa"/>
            <w:tcBorders>
              <w:top w:val="single" w:sz="12" w:space="0" w:color="FFFFFF"/>
              <w:left w:val="nil"/>
              <w:bottom w:val="nil"/>
              <w:right w:val="single" w:sz="12" w:space="0" w:color="FFFFFF"/>
            </w:tcBorders>
            <w:shd w:val="clear" w:color="000000" w:fill="D9D9D9"/>
            <w:vAlign w:val="center"/>
            <w:hideMark/>
          </w:tcPr>
          <w:p w14:paraId="0F15608D"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Normativa de Disciplina de Mercado</w:t>
            </w:r>
          </w:p>
        </w:tc>
        <w:tc>
          <w:tcPr>
            <w:tcW w:w="1134" w:type="dxa"/>
            <w:tcBorders>
              <w:top w:val="single" w:sz="12" w:space="0" w:color="FFFFFF"/>
              <w:left w:val="nil"/>
              <w:bottom w:val="nil"/>
              <w:right w:val="single" w:sz="12" w:space="0" w:color="FFFFFF"/>
            </w:tcBorders>
            <w:shd w:val="clear" w:color="000000" w:fill="D9D9D9"/>
            <w:vAlign w:val="center"/>
            <w:hideMark/>
          </w:tcPr>
          <w:p w14:paraId="4225B7D8" w14:textId="77777777" w:rsidR="003F283D" w:rsidRDefault="003F283D">
            <w:pPr>
              <w:jc w:val="center"/>
              <w:rPr>
                <w:rFonts w:ascii="Arial" w:hAnsi="Arial" w:cs="Arial"/>
                <w:sz w:val="16"/>
                <w:szCs w:val="16"/>
              </w:rPr>
            </w:pPr>
            <w:r>
              <w:rPr>
                <w:rFonts w:ascii="Arial" w:hAnsi="Arial" w:cs="Arial"/>
                <w:sz w:val="16"/>
                <w:szCs w:val="16"/>
              </w:rPr>
              <w:t>Borrador de Reglamento</w:t>
            </w:r>
          </w:p>
        </w:tc>
        <w:tc>
          <w:tcPr>
            <w:tcW w:w="1440" w:type="dxa"/>
            <w:tcBorders>
              <w:top w:val="single" w:sz="12" w:space="0" w:color="FFFFFF"/>
              <w:left w:val="nil"/>
              <w:bottom w:val="nil"/>
              <w:right w:val="single" w:sz="12" w:space="0" w:color="FFFFFF"/>
            </w:tcBorders>
            <w:shd w:val="clear" w:color="000000" w:fill="D9D9D9"/>
            <w:vAlign w:val="center"/>
            <w:hideMark/>
          </w:tcPr>
          <w:p w14:paraId="3C0AC345" w14:textId="77777777" w:rsidR="003F283D" w:rsidRDefault="003F283D">
            <w:pPr>
              <w:jc w:val="center"/>
              <w:rPr>
                <w:rFonts w:ascii="Arial" w:hAnsi="Arial" w:cs="Arial"/>
                <w:sz w:val="16"/>
                <w:szCs w:val="16"/>
              </w:rPr>
            </w:pPr>
            <w:r>
              <w:rPr>
                <w:rFonts w:ascii="Arial" w:hAnsi="Arial" w:cs="Arial"/>
                <w:sz w:val="16"/>
                <w:szCs w:val="16"/>
              </w:rPr>
              <w:t>Afiliados</w:t>
            </w:r>
          </w:p>
        </w:tc>
        <w:tc>
          <w:tcPr>
            <w:tcW w:w="1600" w:type="dxa"/>
            <w:tcBorders>
              <w:top w:val="single" w:sz="12" w:space="0" w:color="FFFFFF"/>
              <w:left w:val="nil"/>
              <w:bottom w:val="nil"/>
              <w:right w:val="single" w:sz="12" w:space="0" w:color="FFFFFF"/>
            </w:tcBorders>
            <w:shd w:val="clear" w:color="000000" w:fill="D9D9D9"/>
            <w:vAlign w:val="center"/>
            <w:hideMark/>
          </w:tcPr>
          <w:p w14:paraId="03F1F3D4" w14:textId="2EAB75C8" w:rsidR="003F283D" w:rsidRDefault="003F283D">
            <w:pPr>
              <w:jc w:val="center"/>
              <w:rPr>
                <w:rFonts w:ascii="Arial" w:hAnsi="Arial" w:cs="Arial"/>
                <w:sz w:val="16"/>
                <w:szCs w:val="16"/>
              </w:rPr>
            </w:pPr>
            <w:r>
              <w:rPr>
                <w:rFonts w:ascii="Arial" w:hAnsi="Arial" w:cs="Arial"/>
                <w:sz w:val="16"/>
                <w:szCs w:val="16"/>
              </w:rPr>
              <w:t xml:space="preserve">1,451,213 </w:t>
            </w:r>
          </w:p>
        </w:tc>
        <w:tc>
          <w:tcPr>
            <w:tcW w:w="1800" w:type="dxa"/>
            <w:tcBorders>
              <w:top w:val="single" w:sz="12" w:space="0" w:color="FFFFFF"/>
              <w:left w:val="nil"/>
              <w:bottom w:val="nil"/>
              <w:right w:val="single" w:sz="12" w:space="0" w:color="FFFFFF"/>
            </w:tcBorders>
            <w:shd w:val="clear" w:color="000000" w:fill="D9D9D9"/>
            <w:vAlign w:val="center"/>
            <w:hideMark/>
          </w:tcPr>
          <w:p w14:paraId="7423C39C" w14:textId="02D24ABC" w:rsidR="003F283D" w:rsidRDefault="003F283D">
            <w:pPr>
              <w:jc w:val="center"/>
              <w:rPr>
                <w:rFonts w:ascii="Arial" w:hAnsi="Arial" w:cs="Arial"/>
                <w:sz w:val="16"/>
                <w:szCs w:val="16"/>
              </w:rPr>
            </w:pPr>
            <w:r>
              <w:rPr>
                <w:rFonts w:ascii="Arial" w:hAnsi="Arial" w:cs="Arial"/>
                <w:sz w:val="16"/>
                <w:szCs w:val="16"/>
              </w:rPr>
              <w:t xml:space="preserve">   901,454 </w:t>
            </w:r>
          </w:p>
        </w:tc>
      </w:tr>
      <w:tr w:rsidR="00BD7DB6" w14:paraId="6DF32172" w14:textId="77777777" w:rsidTr="00BD7DB6">
        <w:trPr>
          <w:trHeight w:val="1097"/>
        </w:trPr>
        <w:tc>
          <w:tcPr>
            <w:tcW w:w="2962" w:type="dxa"/>
            <w:tcBorders>
              <w:top w:val="single" w:sz="12" w:space="0" w:color="FFFFFF"/>
              <w:left w:val="single" w:sz="12" w:space="0" w:color="FFFFFF"/>
              <w:bottom w:val="nil"/>
              <w:right w:val="single" w:sz="12" w:space="0" w:color="FFFFFF"/>
            </w:tcBorders>
            <w:shd w:val="clear" w:color="000000" w:fill="D9D9D9"/>
            <w:vAlign w:val="center"/>
            <w:hideMark/>
          </w:tcPr>
          <w:p w14:paraId="7068ACDD" w14:textId="5730A78E" w:rsidR="003F283D" w:rsidRDefault="00BD7DB6">
            <w:pPr>
              <w:rPr>
                <w:rFonts w:ascii="Century Gothic" w:hAnsi="Century Gothic"/>
                <w:color w:val="000000"/>
                <w:sz w:val="16"/>
                <w:szCs w:val="16"/>
              </w:rPr>
            </w:pPr>
            <w:r>
              <w:rPr>
                <w:rFonts w:ascii="Century Gothic" w:hAnsi="Century Gothic"/>
                <w:color w:val="000000"/>
                <w:sz w:val="16"/>
                <w:szCs w:val="16"/>
              </w:rPr>
              <w:t>Ampliar la oferta de Pro</w:t>
            </w:r>
            <w:r w:rsidR="003F283D">
              <w:rPr>
                <w:rFonts w:ascii="Century Gothic" w:hAnsi="Century Gothic"/>
                <w:color w:val="000000"/>
                <w:sz w:val="16"/>
                <w:szCs w:val="16"/>
              </w:rPr>
              <w:t xml:space="preserve">ductos en el </w:t>
            </w:r>
            <w:r>
              <w:rPr>
                <w:rFonts w:ascii="Century Gothic" w:hAnsi="Century Gothic"/>
                <w:color w:val="000000"/>
                <w:sz w:val="16"/>
                <w:szCs w:val="16"/>
              </w:rPr>
              <w:t>Régimen</w:t>
            </w:r>
            <w:r w:rsidR="003F283D">
              <w:rPr>
                <w:rFonts w:ascii="Century Gothic" w:hAnsi="Century Gothic"/>
                <w:color w:val="000000"/>
                <w:sz w:val="16"/>
                <w:szCs w:val="16"/>
              </w:rPr>
              <w:t xml:space="preserve"> Complementario de Pensiones</w:t>
            </w:r>
          </w:p>
        </w:tc>
        <w:tc>
          <w:tcPr>
            <w:tcW w:w="1376" w:type="dxa"/>
            <w:tcBorders>
              <w:top w:val="single" w:sz="12" w:space="0" w:color="FFFFFF"/>
              <w:left w:val="nil"/>
              <w:bottom w:val="nil"/>
              <w:right w:val="single" w:sz="12" w:space="0" w:color="FFFFFF"/>
            </w:tcBorders>
            <w:shd w:val="clear" w:color="000000" w:fill="D9D9D9"/>
            <w:vAlign w:val="center"/>
            <w:hideMark/>
          </w:tcPr>
          <w:p w14:paraId="7ABC8415"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Normativa de Productos autorizados</w:t>
            </w:r>
          </w:p>
        </w:tc>
        <w:tc>
          <w:tcPr>
            <w:tcW w:w="1459" w:type="dxa"/>
            <w:tcBorders>
              <w:top w:val="single" w:sz="12" w:space="0" w:color="FFFFFF"/>
              <w:left w:val="nil"/>
              <w:bottom w:val="nil"/>
              <w:right w:val="single" w:sz="12" w:space="0" w:color="FFFFFF"/>
            </w:tcBorders>
            <w:shd w:val="clear" w:color="000000" w:fill="D9D9D9"/>
            <w:vAlign w:val="center"/>
            <w:hideMark/>
          </w:tcPr>
          <w:p w14:paraId="2D2405C0" w14:textId="77777777" w:rsidR="003F283D" w:rsidRDefault="003F283D">
            <w:pPr>
              <w:jc w:val="center"/>
              <w:rPr>
                <w:rFonts w:ascii="Arial" w:hAnsi="Arial" w:cs="Arial"/>
                <w:sz w:val="16"/>
                <w:szCs w:val="16"/>
              </w:rPr>
            </w:pPr>
            <w:r>
              <w:rPr>
                <w:rFonts w:ascii="Arial" w:hAnsi="Arial" w:cs="Arial"/>
                <w:sz w:val="16"/>
                <w:szCs w:val="16"/>
              </w:rPr>
              <w:t>N.A</w:t>
            </w:r>
          </w:p>
        </w:tc>
        <w:tc>
          <w:tcPr>
            <w:tcW w:w="1349" w:type="dxa"/>
            <w:tcBorders>
              <w:top w:val="single" w:sz="12" w:space="0" w:color="FFFFFF"/>
              <w:left w:val="nil"/>
              <w:bottom w:val="nil"/>
              <w:right w:val="single" w:sz="12" w:space="0" w:color="FFFFFF"/>
            </w:tcBorders>
            <w:shd w:val="clear" w:color="000000" w:fill="D9D9D9"/>
            <w:vAlign w:val="center"/>
            <w:hideMark/>
          </w:tcPr>
          <w:p w14:paraId="59FD74C9"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Normativa de Productos autorizados</w:t>
            </w:r>
          </w:p>
        </w:tc>
        <w:tc>
          <w:tcPr>
            <w:tcW w:w="1134" w:type="dxa"/>
            <w:tcBorders>
              <w:top w:val="single" w:sz="12" w:space="0" w:color="FFFFFF"/>
              <w:left w:val="nil"/>
              <w:bottom w:val="nil"/>
              <w:right w:val="single" w:sz="12" w:space="0" w:color="FFFFFF"/>
            </w:tcBorders>
            <w:shd w:val="clear" w:color="000000" w:fill="D9D9D9"/>
            <w:vAlign w:val="center"/>
            <w:hideMark/>
          </w:tcPr>
          <w:p w14:paraId="6B761B48"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Borrador de Reglamento</w:t>
            </w:r>
          </w:p>
        </w:tc>
        <w:tc>
          <w:tcPr>
            <w:tcW w:w="1440" w:type="dxa"/>
            <w:tcBorders>
              <w:top w:val="single" w:sz="12" w:space="0" w:color="FFFFFF"/>
              <w:left w:val="nil"/>
              <w:bottom w:val="nil"/>
              <w:right w:val="single" w:sz="12" w:space="0" w:color="FFFFFF"/>
            </w:tcBorders>
            <w:shd w:val="clear" w:color="000000" w:fill="D9D9D9"/>
            <w:vAlign w:val="center"/>
            <w:hideMark/>
          </w:tcPr>
          <w:p w14:paraId="2D019850"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Regulados</w:t>
            </w:r>
          </w:p>
        </w:tc>
        <w:tc>
          <w:tcPr>
            <w:tcW w:w="1600" w:type="dxa"/>
            <w:tcBorders>
              <w:top w:val="single" w:sz="12" w:space="0" w:color="FFFFFF"/>
              <w:left w:val="nil"/>
              <w:bottom w:val="nil"/>
              <w:right w:val="single" w:sz="12" w:space="0" w:color="FFFFFF"/>
            </w:tcBorders>
            <w:shd w:val="clear" w:color="000000" w:fill="D9D9D9"/>
            <w:vAlign w:val="center"/>
            <w:hideMark/>
          </w:tcPr>
          <w:p w14:paraId="313CF1FB"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6</w:t>
            </w:r>
          </w:p>
        </w:tc>
        <w:tc>
          <w:tcPr>
            <w:tcW w:w="1800" w:type="dxa"/>
            <w:tcBorders>
              <w:top w:val="single" w:sz="12" w:space="0" w:color="FFFFFF"/>
              <w:left w:val="nil"/>
              <w:bottom w:val="nil"/>
              <w:right w:val="single" w:sz="12" w:space="0" w:color="FFFFFF"/>
            </w:tcBorders>
            <w:shd w:val="clear" w:color="000000" w:fill="D9D9D9"/>
            <w:vAlign w:val="center"/>
            <w:hideMark/>
          </w:tcPr>
          <w:p w14:paraId="0A1BF783"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 xml:space="preserve"> </w:t>
            </w:r>
          </w:p>
        </w:tc>
      </w:tr>
      <w:tr w:rsidR="00BD7DB6" w14:paraId="4B22ED1E" w14:textId="77777777" w:rsidTr="00BD7DB6">
        <w:trPr>
          <w:trHeight w:val="1170"/>
        </w:trPr>
        <w:tc>
          <w:tcPr>
            <w:tcW w:w="2962" w:type="dxa"/>
            <w:tcBorders>
              <w:top w:val="single" w:sz="12" w:space="0" w:color="FFFFFF"/>
              <w:left w:val="single" w:sz="12" w:space="0" w:color="FFFFFF"/>
              <w:bottom w:val="nil"/>
              <w:right w:val="single" w:sz="12" w:space="0" w:color="FFFFFF"/>
            </w:tcBorders>
            <w:shd w:val="clear" w:color="000000" w:fill="D9D9D9"/>
            <w:vAlign w:val="center"/>
            <w:hideMark/>
          </w:tcPr>
          <w:p w14:paraId="23570FD9" w14:textId="77777777" w:rsidR="003F283D" w:rsidRDefault="003F283D">
            <w:pPr>
              <w:rPr>
                <w:rFonts w:ascii="Century Gothic" w:hAnsi="Century Gothic"/>
                <w:color w:val="000000"/>
                <w:sz w:val="16"/>
                <w:szCs w:val="16"/>
              </w:rPr>
            </w:pPr>
            <w:r>
              <w:rPr>
                <w:rFonts w:ascii="Century Gothic" w:hAnsi="Century Gothic"/>
                <w:color w:val="000000"/>
                <w:sz w:val="16"/>
                <w:szCs w:val="16"/>
              </w:rPr>
              <w:t>Favorecer los procesos de diversificación de las inversiones en los gestores</w:t>
            </w:r>
          </w:p>
        </w:tc>
        <w:tc>
          <w:tcPr>
            <w:tcW w:w="1376" w:type="dxa"/>
            <w:tcBorders>
              <w:top w:val="single" w:sz="12" w:space="0" w:color="FFFFFF"/>
              <w:left w:val="nil"/>
              <w:bottom w:val="nil"/>
              <w:right w:val="single" w:sz="12" w:space="0" w:color="FFFFFF"/>
            </w:tcBorders>
            <w:shd w:val="clear" w:color="000000" w:fill="D9D9D9"/>
            <w:vAlign w:val="center"/>
            <w:hideMark/>
          </w:tcPr>
          <w:p w14:paraId="5E07AE01"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Normativa de Inversiones</w:t>
            </w:r>
          </w:p>
        </w:tc>
        <w:tc>
          <w:tcPr>
            <w:tcW w:w="1459" w:type="dxa"/>
            <w:tcBorders>
              <w:top w:val="single" w:sz="12" w:space="0" w:color="FFFFFF"/>
              <w:left w:val="nil"/>
              <w:bottom w:val="nil"/>
              <w:right w:val="single" w:sz="12" w:space="0" w:color="FFFFFF"/>
            </w:tcBorders>
            <w:shd w:val="clear" w:color="000000" w:fill="D9D9D9"/>
            <w:vAlign w:val="center"/>
            <w:hideMark/>
          </w:tcPr>
          <w:p w14:paraId="67AB42B7" w14:textId="77777777" w:rsidR="003F283D" w:rsidRDefault="003F283D">
            <w:pPr>
              <w:jc w:val="center"/>
              <w:rPr>
                <w:rFonts w:ascii="Arial" w:hAnsi="Arial" w:cs="Arial"/>
                <w:sz w:val="16"/>
                <w:szCs w:val="16"/>
              </w:rPr>
            </w:pPr>
            <w:r>
              <w:rPr>
                <w:rFonts w:ascii="Arial" w:hAnsi="Arial" w:cs="Arial"/>
                <w:sz w:val="16"/>
                <w:szCs w:val="16"/>
              </w:rPr>
              <w:t>N.A</w:t>
            </w:r>
          </w:p>
        </w:tc>
        <w:tc>
          <w:tcPr>
            <w:tcW w:w="1349" w:type="dxa"/>
            <w:tcBorders>
              <w:top w:val="single" w:sz="12" w:space="0" w:color="FFFFFF"/>
              <w:left w:val="nil"/>
              <w:bottom w:val="nil"/>
              <w:right w:val="single" w:sz="12" w:space="0" w:color="FFFFFF"/>
            </w:tcBorders>
            <w:shd w:val="clear" w:color="000000" w:fill="D9D9D9"/>
            <w:vAlign w:val="center"/>
            <w:hideMark/>
          </w:tcPr>
          <w:p w14:paraId="302B44F7"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Normativa de Inversiones</w:t>
            </w:r>
          </w:p>
        </w:tc>
        <w:tc>
          <w:tcPr>
            <w:tcW w:w="1134" w:type="dxa"/>
            <w:tcBorders>
              <w:top w:val="single" w:sz="12" w:space="0" w:color="FFFFFF"/>
              <w:left w:val="nil"/>
              <w:bottom w:val="nil"/>
              <w:right w:val="single" w:sz="12" w:space="0" w:color="FFFFFF"/>
            </w:tcBorders>
            <w:shd w:val="clear" w:color="000000" w:fill="D9D9D9"/>
            <w:vAlign w:val="center"/>
            <w:hideMark/>
          </w:tcPr>
          <w:p w14:paraId="07019372"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Borrador de Reglamento</w:t>
            </w:r>
          </w:p>
        </w:tc>
        <w:tc>
          <w:tcPr>
            <w:tcW w:w="1440" w:type="dxa"/>
            <w:tcBorders>
              <w:top w:val="single" w:sz="12" w:space="0" w:color="FFFFFF"/>
              <w:left w:val="nil"/>
              <w:bottom w:val="nil"/>
              <w:right w:val="single" w:sz="12" w:space="0" w:color="FFFFFF"/>
            </w:tcBorders>
            <w:shd w:val="clear" w:color="000000" w:fill="D9D9D9"/>
            <w:vAlign w:val="center"/>
            <w:hideMark/>
          </w:tcPr>
          <w:p w14:paraId="62823C7A"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Afiliados</w:t>
            </w:r>
          </w:p>
        </w:tc>
        <w:tc>
          <w:tcPr>
            <w:tcW w:w="1600" w:type="dxa"/>
            <w:tcBorders>
              <w:top w:val="single" w:sz="12" w:space="0" w:color="FFFFFF"/>
              <w:left w:val="nil"/>
              <w:bottom w:val="nil"/>
              <w:right w:val="single" w:sz="12" w:space="0" w:color="FFFFFF"/>
            </w:tcBorders>
            <w:shd w:val="clear" w:color="000000" w:fill="D9D9D9"/>
            <w:vAlign w:val="center"/>
            <w:hideMark/>
          </w:tcPr>
          <w:p w14:paraId="3956F9C6"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6</w:t>
            </w:r>
          </w:p>
        </w:tc>
        <w:tc>
          <w:tcPr>
            <w:tcW w:w="1800" w:type="dxa"/>
            <w:tcBorders>
              <w:top w:val="single" w:sz="12" w:space="0" w:color="FFFFFF"/>
              <w:left w:val="nil"/>
              <w:bottom w:val="nil"/>
              <w:right w:val="single" w:sz="12" w:space="0" w:color="FFFFFF"/>
            </w:tcBorders>
            <w:shd w:val="clear" w:color="000000" w:fill="D9D9D9"/>
            <w:vAlign w:val="center"/>
            <w:hideMark/>
          </w:tcPr>
          <w:p w14:paraId="58B8F885"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 xml:space="preserve"> </w:t>
            </w:r>
          </w:p>
        </w:tc>
      </w:tr>
      <w:tr w:rsidR="00BD7DB6" w14:paraId="530B8A62" w14:textId="77777777" w:rsidTr="00BD7DB6">
        <w:trPr>
          <w:trHeight w:val="2010"/>
        </w:trPr>
        <w:tc>
          <w:tcPr>
            <w:tcW w:w="2962" w:type="dxa"/>
            <w:tcBorders>
              <w:top w:val="single" w:sz="12" w:space="0" w:color="FFFFFF"/>
              <w:left w:val="single" w:sz="12" w:space="0" w:color="FFFFFF"/>
              <w:bottom w:val="nil"/>
              <w:right w:val="single" w:sz="12" w:space="0" w:color="FFFFFF"/>
            </w:tcBorders>
            <w:shd w:val="clear" w:color="000000" w:fill="DAEEF3"/>
            <w:vAlign w:val="center"/>
            <w:hideMark/>
          </w:tcPr>
          <w:p w14:paraId="15EF79D5" w14:textId="77777777" w:rsidR="003F283D" w:rsidRDefault="003F283D">
            <w:pPr>
              <w:rPr>
                <w:rFonts w:ascii="Century Gothic" w:hAnsi="Century Gothic"/>
                <w:color w:val="000000"/>
                <w:sz w:val="16"/>
                <w:szCs w:val="16"/>
              </w:rPr>
            </w:pPr>
            <w:r>
              <w:rPr>
                <w:rFonts w:ascii="Century Gothic" w:hAnsi="Century Gothic"/>
                <w:color w:val="000000"/>
                <w:sz w:val="16"/>
                <w:szCs w:val="16"/>
              </w:rPr>
              <w:t xml:space="preserve">Identificar los riesgos del Sistema Nacional de Pensiones, y ejecutar oportunamente las acciones necesarias para que sean mitigados. </w:t>
            </w:r>
          </w:p>
        </w:tc>
        <w:tc>
          <w:tcPr>
            <w:tcW w:w="1376" w:type="dxa"/>
            <w:tcBorders>
              <w:top w:val="single" w:sz="12" w:space="0" w:color="FFFFFF"/>
              <w:left w:val="nil"/>
              <w:bottom w:val="nil"/>
              <w:right w:val="single" w:sz="12" w:space="0" w:color="FFFFFF"/>
            </w:tcBorders>
            <w:shd w:val="clear" w:color="000000" w:fill="DAEEF3"/>
            <w:vAlign w:val="center"/>
            <w:hideMark/>
          </w:tcPr>
          <w:p w14:paraId="1F21A35E"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Proceso de Supervisión</w:t>
            </w:r>
          </w:p>
        </w:tc>
        <w:tc>
          <w:tcPr>
            <w:tcW w:w="1459" w:type="dxa"/>
            <w:tcBorders>
              <w:top w:val="single" w:sz="12" w:space="0" w:color="FFFFFF"/>
              <w:left w:val="nil"/>
              <w:bottom w:val="nil"/>
              <w:right w:val="single" w:sz="12" w:space="0" w:color="FFFFFF"/>
            </w:tcBorders>
            <w:shd w:val="clear" w:color="000000" w:fill="DAEEF3"/>
            <w:vAlign w:val="center"/>
            <w:hideMark/>
          </w:tcPr>
          <w:p w14:paraId="68850F75"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N.A</w:t>
            </w:r>
          </w:p>
        </w:tc>
        <w:tc>
          <w:tcPr>
            <w:tcW w:w="1349" w:type="dxa"/>
            <w:tcBorders>
              <w:top w:val="single" w:sz="12" w:space="0" w:color="FFFFFF"/>
              <w:left w:val="nil"/>
              <w:bottom w:val="nil"/>
              <w:right w:val="single" w:sz="12" w:space="0" w:color="FFFFFF"/>
            </w:tcBorders>
            <w:shd w:val="clear" w:color="000000" w:fill="DAEEF3"/>
            <w:vAlign w:val="center"/>
            <w:hideMark/>
          </w:tcPr>
          <w:p w14:paraId="53AEF230"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Supervisión</w:t>
            </w:r>
          </w:p>
        </w:tc>
        <w:tc>
          <w:tcPr>
            <w:tcW w:w="1134" w:type="dxa"/>
            <w:tcBorders>
              <w:top w:val="single" w:sz="12" w:space="0" w:color="FFFFFF"/>
              <w:left w:val="nil"/>
              <w:bottom w:val="nil"/>
              <w:right w:val="single" w:sz="12" w:space="0" w:color="FFFFFF"/>
            </w:tcBorders>
            <w:shd w:val="clear" w:color="000000" w:fill="DAEEF3"/>
            <w:vAlign w:val="center"/>
            <w:hideMark/>
          </w:tcPr>
          <w:p w14:paraId="798E10D9"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Supervisión</w:t>
            </w:r>
          </w:p>
        </w:tc>
        <w:tc>
          <w:tcPr>
            <w:tcW w:w="1440" w:type="dxa"/>
            <w:tcBorders>
              <w:top w:val="single" w:sz="12" w:space="0" w:color="FFFFFF"/>
              <w:left w:val="nil"/>
              <w:bottom w:val="nil"/>
              <w:right w:val="single" w:sz="12" w:space="0" w:color="FFFFFF"/>
            </w:tcBorders>
            <w:shd w:val="clear" w:color="000000" w:fill="DAEEF3"/>
            <w:vAlign w:val="center"/>
            <w:hideMark/>
          </w:tcPr>
          <w:p w14:paraId="5A2946DF"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Afiliados</w:t>
            </w:r>
          </w:p>
        </w:tc>
        <w:tc>
          <w:tcPr>
            <w:tcW w:w="1600" w:type="dxa"/>
            <w:tcBorders>
              <w:top w:val="single" w:sz="12" w:space="0" w:color="FFFFFF"/>
              <w:left w:val="nil"/>
              <w:bottom w:val="nil"/>
              <w:right w:val="single" w:sz="12" w:space="0" w:color="FFFFFF"/>
            </w:tcBorders>
            <w:shd w:val="clear" w:color="000000" w:fill="DAEEF3"/>
            <w:vAlign w:val="center"/>
            <w:hideMark/>
          </w:tcPr>
          <w:p w14:paraId="7C90C488"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1,451,213</w:t>
            </w:r>
          </w:p>
        </w:tc>
        <w:tc>
          <w:tcPr>
            <w:tcW w:w="1800" w:type="dxa"/>
            <w:tcBorders>
              <w:top w:val="single" w:sz="12" w:space="0" w:color="FFFFFF"/>
              <w:left w:val="nil"/>
              <w:bottom w:val="nil"/>
              <w:right w:val="single" w:sz="12" w:space="0" w:color="FFFFFF"/>
            </w:tcBorders>
            <w:shd w:val="clear" w:color="000000" w:fill="DAEEF3"/>
            <w:vAlign w:val="center"/>
            <w:hideMark/>
          </w:tcPr>
          <w:p w14:paraId="58D08858"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901,454</w:t>
            </w:r>
          </w:p>
        </w:tc>
      </w:tr>
      <w:tr w:rsidR="00BD7DB6" w14:paraId="491F8AD7" w14:textId="77777777" w:rsidTr="009F5479">
        <w:trPr>
          <w:trHeight w:val="2861"/>
        </w:trPr>
        <w:tc>
          <w:tcPr>
            <w:tcW w:w="2962" w:type="dxa"/>
            <w:tcBorders>
              <w:top w:val="single" w:sz="12" w:space="0" w:color="FFFFFF"/>
              <w:left w:val="single" w:sz="12" w:space="0" w:color="FFFFFF"/>
              <w:bottom w:val="nil"/>
              <w:right w:val="single" w:sz="12" w:space="0" w:color="FFFFFF"/>
            </w:tcBorders>
            <w:shd w:val="clear" w:color="000000" w:fill="DAEEF3"/>
            <w:vAlign w:val="center"/>
            <w:hideMark/>
          </w:tcPr>
          <w:p w14:paraId="7CC8B973" w14:textId="77777777" w:rsidR="003F283D" w:rsidRDefault="003F283D">
            <w:pPr>
              <w:rPr>
                <w:rFonts w:ascii="Century Gothic" w:hAnsi="Century Gothic"/>
                <w:color w:val="000000"/>
                <w:sz w:val="16"/>
                <w:szCs w:val="16"/>
              </w:rPr>
            </w:pPr>
            <w:r>
              <w:rPr>
                <w:rFonts w:ascii="Century Gothic" w:hAnsi="Century Gothic"/>
                <w:color w:val="000000"/>
                <w:sz w:val="16"/>
                <w:szCs w:val="16"/>
              </w:rPr>
              <w:lastRenderedPageBreak/>
              <w:t xml:space="preserve">1. Mantener el marco regulatorio del Sistema Nacional de Pensiones alineado con La protección de  los intereses de los afiliados,  la adecuada gestión de  los riesgos del Sistema Nacional de Pensiones, la aplicación de las mejores prácticas de gestión en los participantes. </w:t>
            </w:r>
            <w:r>
              <w:rPr>
                <w:rFonts w:ascii="Century Gothic" w:hAnsi="Century Gothic"/>
                <w:color w:val="000000"/>
                <w:sz w:val="16"/>
                <w:szCs w:val="16"/>
              </w:rPr>
              <w:br/>
              <w:t xml:space="preserve">2. Tramitar oportunamente las solicitudes de aprobación y autorización requeridas por los participantes del Sistema Nacional de Pensiones. </w:t>
            </w:r>
          </w:p>
        </w:tc>
        <w:tc>
          <w:tcPr>
            <w:tcW w:w="1376" w:type="dxa"/>
            <w:tcBorders>
              <w:top w:val="single" w:sz="12" w:space="0" w:color="FFFFFF"/>
              <w:left w:val="nil"/>
              <w:bottom w:val="nil"/>
              <w:right w:val="single" w:sz="12" w:space="0" w:color="FFFFFF"/>
            </w:tcBorders>
            <w:shd w:val="clear" w:color="000000" w:fill="DAEEF3"/>
            <w:vAlign w:val="center"/>
            <w:hideMark/>
          </w:tcPr>
          <w:p w14:paraId="3B7F678A"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Proceso de Normativa</w:t>
            </w:r>
          </w:p>
        </w:tc>
        <w:tc>
          <w:tcPr>
            <w:tcW w:w="1459" w:type="dxa"/>
            <w:tcBorders>
              <w:top w:val="single" w:sz="12" w:space="0" w:color="FFFFFF"/>
              <w:left w:val="nil"/>
              <w:bottom w:val="nil"/>
              <w:right w:val="single" w:sz="12" w:space="0" w:color="FFFFFF"/>
            </w:tcBorders>
            <w:shd w:val="clear" w:color="000000" w:fill="DAEEF3"/>
            <w:vAlign w:val="center"/>
            <w:hideMark/>
          </w:tcPr>
          <w:p w14:paraId="21B3EF3A"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N.A</w:t>
            </w:r>
          </w:p>
        </w:tc>
        <w:tc>
          <w:tcPr>
            <w:tcW w:w="1349" w:type="dxa"/>
            <w:tcBorders>
              <w:top w:val="single" w:sz="12" w:space="0" w:color="FFFFFF"/>
              <w:left w:val="nil"/>
              <w:bottom w:val="nil"/>
              <w:right w:val="single" w:sz="12" w:space="0" w:color="FFFFFF"/>
            </w:tcBorders>
            <w:shd w:val="clear" w:color="000000" w:fill="DAEEF3"/>
            <w:vAlign w:val="center"/>
            <w:hideMark/>
          </w:tcPr>
          <w:p w14:paraId="0EED5299"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Autorizaciones</w:t>
            </w:r>
          </w:p>
        </w:tc>
        <w:tc>
          <w:tcPr>
            <w:tcW w:w="1134" w:type="dxa"/>
            <w:tcBorders>
              <w:top w:val="single" w:sz="12" w:space="0" w:color="FFFFFF"/>
              <w:left w:val="nil"/>
              <w:bottom w:val="nil"/>
              <w:right w:val="single" w:sz="12" w:space="0" w:color="FFFFFF"/>
            </w:tcBorders>
            <w:shd w:val="clear" w:color="000000" w:fill="DAEEF3"/>
            <w:vAlign w:val="center"/>
            <w:hideMark/>
          </w:tcPr>
          <w:p w14:paraId="418678D8"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Trámites Gestionados</w:t>
            </w:r>
          </w:p>
        </w:tc>
        <w:tc>
          <w:tcPr>
            <w:tcW w:w="1440" w:type="dxa"/>
            <w:tcBorders>
              <w:top w:val="single" w:sz="12" w:space="0" w:color="FFFFFF"/>
              <w:left w:val="nil"/>
              <w:bottom w:val="nil"/>
              <w:right w:val="single" w:sz="12" w:space="0" w:color="FFFFFF"/>
            </w:tcBorders>
            <w:shd w:val="clear" w:color="000000" w:fill="DAEEF3"/>
            <w:vAlign w:val="center"/>
            <w:hideMark/>
          </w:tcPr>
          <w:p w14:paraId="5ED6D853"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Regulados</w:t>
            </w:r>
          </w:p>
        </w:tc>
        <w:tc>
          <w:tcPr>
            <w:tcW w:w="1600" w:type="dxa"/>
            <w:tcBorders>
              <w:top w:val="single" w:sz="12" w:space="0" w:color="FFFFFF"/>
              <w:left w:val="nil"/>
              <w:bottom w:val="nil"/>
              <w:right w:val="single" w:sz="12" w:space="0" w:color="FFFFFF"/>
            </w:tcBorders>
            <w:shd w:val="clear" w:color="000000" w:fill="DAEEF3"/>
            <w:vAlign w:val="center"/>
            <w:hideMark/>
          </w:tcPr>
          <w:p w14:paraId="7335CA88"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16</w:t>
            </w:r>
          </w:p>
        </w:tc>
        <w:tc>
          <w:tcPr>
            <w:tcW w:w="1800" w:type="dxa"/>
            <w:tcBorders>
              <w:top w:val="single" w:sz="12" w:space="0" w:color="FFFFFF"/>
              <w:left w:val="nil"/>
              <w:bottom w:val="nil"/>
              <w:right w:val="single" w:sz="12" w:space="0" w:color="FFFFFF"/>
            </w:tcBorders>
            <w:shd w:val="clear" w:color="000000" w:fill="DAEEF3"/>
            <w:vAlign w:val="center"/>
            <w:hideMark/>
          </w:tcPr>
          <w:p w14:paraId="71A7B033"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 xml:space="preserve"> </w:t>
            </w:r>
          </w:p>
        </w:tc>
      </w:tr>
      <w:tr w:rsidR="00BD7DB6" w14:paraId="51297307" w14:textId="77777777" w:rsidTr="009F5479">
        <w:trPr>
          <w:trHeight w:val="1653"/>
        </w:trPr>
        <w:tc>
          <w:tcPr>
            <w:tcW w:w="2962" w:type="dxa"/>
            <w:tcBorders>
              <w:top w:val="single" w:sz="12" w:space="0" w:color="FFFFFF"/>
              <w:left w:val="single" w:sz="12" w:space="0" w:color="FFFFFF"/>
              <w:bottom w:val="nil"/>
              <w:right w:val="single" w:sz="12" w:space="0" w:color="FFFFFF"/>
            </w:tcBorders>
            <w:shd w:val="clear" w:color="000000" w:fill="DAEEF3"/>
            <w:vAlign w:val="center"/>
            <w:hideMark/>
          </w:tcPr>
          <w:p w14:paraId="5A1E2CC0" w14:textId="77777777" w:rsidR="003F283D" w:rsidRDefault="003F283D">
            <w:pPr>
              <w:rPr>
                <w:rFonts w:ascii="Century Gothic" w:hAnsi="Century Gothic"/>
                <w:color w:val="000000"/>
                <w:sz w:val="16"/>
                <w:szCs w:val="16"/>
              </w:rPr>
            </w:pPr>
            <w:r>
              <w:rPr>
                <w:rFonts w:ascii="Century Gothic" w:hAnsi="Century Gothic"/>
                <w:color w:val="000000"/>
                <w:sz w:val="16"/>
                <w:szCs w:val="16"/>
              </w:rPr>
              <w:t xml:space="preserve">Fomentar en la población el desarrollo de una cultura previsional con el propósito de crear conciencia de la importancia de la pensión.  </w:t>
            </w:r>
          </w:p>
        </w:tc>
        <w:tc>
          <w:tcPr>
            <w:tcW w:w="1376" w:type="dxa"/>
            <w:tcBorders>
              <w:top w:val="single" w:sz="12" w:space="0" w:color="FFFFFF"/>
              <w:left w:val="nil"/>
              <w:bottom w:val="nil"/>
              <w:right w:val="single" w:sz="12" w:space="0" w:color="FFFFFF"/>
            </w:tcBorders>
            <w:shd w:val="clear" w:color="000000" w:fill="DAEEF3"/>
            <w:vAlign w:val="center"/>
            <w:hideMark/>
          </w:tcPr>
          <w:p w14:paraId="52A7A900" w14:textId="7600FF25" w:rsidR="003F283D" w:rsidRDefault="003F283D" w:rsidP="00BD7DB6">
            <w:pPr>
              <w:jc w:val="center"/>
              <w:rPr>
                <w:rFonts w:ascii="Century Gothic" w:hAnsi="Century Gothic"/>
                <w:color w:val="000000"/>
                <w:sz w:val="16"/>
                <w:szCs w:val="16"/>
              </w:rPr>
            </w:pPr>
            <w:r>
              <w:rPr>
                <w:rFonts w:ascii="Century Gothic" w:hAnsi="Century Gothic"/>
                <w:color w:val="000000"/>
                <w:sz w:val="16"/>
                <w:szCs w:val="16"/>
              </w:rPr>
              <w:t>Proceso de Comunicación</w:t>
            </w:r>
          </w:p>
        </w:tc>
        <w:tc>
          <w:tcPr>
            <w:tcW w:w="1459" w:type="dxa"/>
            <w:tcBorders>
              <w:top w:val="single" w:sz="12" w:space="0" w:color="FFFFFF"/>
              <w:left w:val="nil"/>
              <w:bottom w:val="nil"/>
              <w:right w:val="single" w:sz="12" w:space="0" w:color="FFFFFF"/>
            </w:tcBorders>
            <w:shd w:val="clear" w:color="000000" w:fill="DAEEF3"/>
            <w:vAlign w:val="center"/>
            <w:hideMark/>
          </w:tcPr>
          <w:p w14:paraId="050B4A62"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N.A</w:t>
            </w:r>
          </w:p>
        </w:tc>
        <w:tc>
          <w:tcPr>
            <w:tcW w:w="1349" w:type="dxa"/>
            <w:tcBorders>
              <w:top w:val="single" w:sz="12" w:space="0" w:color="FFFFFF"/>
              <w:left w:val="nil"/>
              <w:bottom w:val="nil"/>
              <w:right w:val="single" w:sz="12" w:space="0" w:color="FFFFFF"/>
            </w:tcBorders>
            <w:shd w:val="clear" w:color="000000" w:fill="DAEEF3"/>
            <w:vAlign w:val="center"/>
            <w:hideMark/>
          </w:tcPr>
          <w:p w14:paraId="1D313BDD"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Actividades de Comunicación</w:t>
            </w:r>
          </w:p>
        </w:tc>
        <w:tc>
          <w:tcPr>
            <w:tcW w:w="1134" w:type="dxa"/>
            <w:tcBorders>
              <w:top w:val="single" w:sz="12" w:space="0" w:color="FFFFFF"/>
              <w:left w:val="nil"/>
              <w:bottom w:val="nil"/>
              <w:right w:val="single" w:sz="12" w:space="0" w:color="FFFFFF"/>
            </w:tcBorders>
            <w:shd w:val="clear" w:color="000000" w:fill="DAEEF3"/>
            <w:vAlign w:val="center"/>
            <w:hideMark/>
          </w:tcPr>
          <w:p w14:paraId="04D251D9" w14:textId="535BDB09" w:rsidR="003F283D" w:rsidRDefault="00BD7DB6">
            <w:pPr>
              <w:jc w:val="center"/>
              <w:rPr>
                <w:rFonts w:ascii="Century Gothic" w:hAnsi="Century Gothic"/>
                <w:color w:val="000000"/>
                <w:sz w:val="16"/>
                <w:szCs w:val="16"/>
              </w:rPr>
            </w:pPr>
            <w:r>
              <w:rPr>
                <w:rFonts w:ascii="Century Gothic" w:hAnsi="Century Gothic"/>
                <w:color w:val="000000"/>
                <w:sz w:val="16"/>
                <w:szCs w:val="16"/>
              </w:rPr>
              <w:t>Activi</w:t>
            </w:r>
            <w:r w:rsidR="003F283D">
              <w:rPr>
                <w:rFonts w:ascii="Century Gothic" w:hAnsi="Century Gothic"/>
                <w:color w:val="000000"/>
                <w:sz w:val="16"/>
                <w:szCs w:val="16"/>
              </w:rPr>
              <w:t>dades Realizadas</w:t>
            </w:r>
          </w:p>
        </w:tc>
        <w:tc>
          <w:tcPr>
            <w:tcW w:w="1440" w:type="dxa"/>
            <w:tcBorders>
              <w:top w:val="single" w:sz="12" w:space="0" w:color="FFFFFF"/>
              <w:left w:val="nil"/>
              <w:bottom w:val="nil"/>
              <w:right w:val="single" w:sz="12" w:space="0" w:color="FFFFFF"/>
            </w:tcBorders>
            <w:shd w:val="clear" w:color="000000" w:fill="DAEEF3"/>
            <w:vAlign w:val="center"/>
            <w:hideMark/>
          </w:tcPr>
          <w:p w14:paraId="139AAD07"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Regulados</w:t>
            </w:r>
          </w:p>
        </w:tc>
        <w:tc>
          <w:tcPr>
            <w:tcW w:w="1600" w:type="dxa"/>
            <w:tcBorders>
              <w:top w:val="single" w:sz="12" w:space="0" w:color="FFFFFF"/>
              <w:left w:val="nil"/>
              <w:bottom w:val="nil"/>
              <w:right w:val="single" w:sz="12" w:space="0" w:color="FFFFFF"/>
            </w:tcBorders>
            <w:shd w:val="clear" w:color="000000" w:fill="DAEEF3"/>
            <w:vAlign w:val="center"/>
            <w:hideMark/>
          </w:tcPr>
          <w:p w14:paraId="2FECAC0D" w14:textId="77777777" w:rsidR="003F283D" w:rsidRDefault="003F283D">
            <w:pPr>
              <w:jc w:val="center"/>
              <w:rPr>
                <w:rFonts w:ascii="Century Gothic" w:hAnsi="Century Gothic"/>
                <w:color w:val="000000"/>
                <w:sz w:val="16"/>
                <w:szCs w:val="16"/>
              </w:rPr>
            </w:pPr>
            <w:r>
              <w:rPr>
                <w:rFonts w:ascii="Century Gothic" w:hAnsi="Century Gothic"/>
                <w:color w:val="000000"/>
                <w:sz w:val="16"/>
                <w:szCs w:val="16"/>
              </w:rPr>
              <w:t>16</w:t>
            </w:r>
          </w:p>
        </w:tc>
        <w:tc>
          <w:tcPr>
            <w:tcW w:w="1800" w:type="dxa"/>
            <w:tcBorders>
              <w:top w:val="single" w:sz="12" w:space="0" w:color="FFFFFF"/>
              <w:left w:val="nil"/>
              <w:bottom w:val="nil"/>
              <w:right w:val="single" w:sz="12" w:space="0" w:color="FFFFFF"/>
            </w:tcBorders>
            <w:shd w:val="clear" w:color="000000" w:fill="DAEEF3"/>
            <w:vAlign w:val="center"/>
            <w:hideMark/>
          </w:tcPr>
          <w:p w14:paraId="259145A4" w14:textId="634ABCE7" w:rsidR="003F283D" w:rsidRDefault="003F283D">
            <w:pPr>
              <w:jc w:val="center"/>
              <w:rPr>
                <w:rFonts w:ascii="Century Gothic" w:hAnsi="Century Gothic"/>
                <w:color w:val="000000"/>
                <w:sz w:val="16"/>
                <w:szCs w:val="16"/>
              </w:rPr>
            </w:pPr>
            <w:r>
              <w:rPr>
                <w:rFonts w:ascii="Century Gothic" w:hAnsi="Century Gothic"/>
                <w:color w:val="000000"/>
                <w:sz w:val="16"/>
                <w:szCs w:val="16"/>
              </w:rPr>
              <w:t xml:space="preserve"> </w:t>
            </w:r>
          </w:p>
        </w:tc>
      </w:tr>
    </w:tbl>
    <w:p w14:paraId="4ACE0E1B" w14:textId="77777777" w:rsidR="00110644" w:rsidRDefault="00110644" w:rsidP="00110644">
      <w:pPr>
        <w:rPr>
          <w:rFonts w:asciiTheme="minorHAnsi" w:hAnsiTheme="minorHAnsi"/>
          <w:color w:val="000000"/>
          <w:sz w:val="16"/>
          <w:szCs w:val="16"/>
        </w:rPr>
      </w:pPr>
    </w:p>
    <w:p w14:paraId="0D1DF9CF" w14:textId="31870FD6" w:rsidR="003F283D" w:rsidRDefault="003F283D" w:rsidP="00110644">
      <w:pPr>
        <w:rPr>
          <w:rFonts w:asciiTheme="minorHAnsi" w:hAnsiTheme="minorHAnsi"/>
          <w:color w:val="000000"/>
          <w:sz w:val="16"/>
          <w:szCs w:val="16"/>
        </w:rPr>
      </w:pPr>
    </w:p>
    <w:p w14:paraId="59ABDE96" w14:textId="77777777" w:rsidR="003F283D" w:rsidRDefault="003F283D" w:rsidP="00110644">
      <w:pPr>
        <w:rPr>
          <w:rFonts w:asciiTheme="minorHAnsi" w:hAnsiTheme="minorHAnsi"/>
          <w:color w:val="000000"/>
          <w:sz w:val="16"/>
          <w:szCs w:val="16"/>
        </w:rPr>
      </w:pPr>
    </w:p>
    <w:p w14:paraId="793A1838" w14:textId="77777777" w:rsidR="009F5479" w:rsidRDefault="009F5479" w:rsidP="00110644">
      <w:pPr>
        <w:rPr>
          <w:rFonts w:asciiTheme="minorHAnsi" w:hAnsiTheme="minorHAnsi"/>
          <w:color w:val="000000"/>
          <w:sz w:val="16"/>
          <w:szCs w:val="16"/>
        </w:rPr>
      </w:pPr>
    </w:p>
    <w:p w14:paraId="1A7588C7" w14:textId="77777777" w:rsidR="009F5479" w:rsidRDefault="009F5479">
      <w:pPr>
        <w:rPr>
          <w:rFonts w:asciiTheme="minorHAnsi" w:hAnsiTheme="minorHAnsi"/>
          <w:color w:val="000000"/>
          <w:sz w:val="16"/>
          <w:szCs w:val="16"/>
        </w:rPr>
      </w:pPr>
      <w:r>
        <w:rPr>
          <w:rFonts w:asciiTheme="minorHAnsi" w:hAnsiTheme="minorHAnsi"/>
          <w:color w:val="000000"/>
          <w:sz w:val="16"/>
          <w:szCs w:val="16"/>
        </w:rPr>
        <w:br w:type="page"/>
      </w:r>
    </w:p>
    <w:p w14:paraId="2A0CF317" w14:textId="77777777" w:rsidR="009F5479" w:rsidRDefault="009F5479" w:rsidP="00110644">
      <w:pPr>
        <w:rPr>
          <w:rFonts w:asciiTheme="minorHAnsi" w:hAnsiTheme="minorHAnsi"/>
          <w:color w:val="000000"/>
          <w:sz w:val="16"/>
          <w:szCs w:val="16"/>
        </w:rPr>
      </w:pPr>
    </w:p>
    <w:tbl>
      <w:tblPr>
        <w:tblW w:w="12758" w:type="dxa"/>
        <w:tblCellMar>
          <w:left w:w="70" w:type="dxa"/>
          <w:right w:w="70" w:type="dxa"/>
        </w:tblCellMar>
        <w:tblLook w:val="04A0" w:firstRow="1" w:lastRow="0" w:firstColumn="1" w:lastColumn="0" w:noHBand="0" w:noVBand="1"/>
      </w:tblPr>
      <w:tblGrid>
        <w:gridCol w:w="1740"/>
        <w:gridCol w:w="1120"/>
        <w:gridCol w:w="1280"/>
        <w:gridCol w:w="1200"/>
        <w:gridCol w:w="1140"/>
        <w:gridCol w:w="1040"/>
        <w:gridCol w:w="985"/>
        <w:gridCol w:w="1776"/>
        <w:gridCol w:w="2477"/>
      </w:tblGrid>
      <w:tr w:rsidR="009F5479" w14:paraId="07764658" w14:textId="77777777" w:rsidTr="009F5479">
        <w:trPr>
          <w:trHeight w:val="306"/>
        </w:trPr>
        <w:tc>
          <w:tcPr>
            <w:tcW w:w="1740" w:type="dxa"/>
            <w:tcBorders>
              <w:top w:val="single" w:sz="12" w:space="0" w:color="FFFFFF"/>
              <w:left w:val="nil"/>
              <w:bottom w:val="single" w:sz="12" w:space="0" w:color="FFFFFF"/>
              <w:right w:val="nil"/>
            </w:tcBorders>
            <w:shd w:val="clear" w:color="000000" w:fill="31869B"/>
            <w:noWrap/>
            <w:vAlign w:val="center"/>
            <w:hideMark/>
          </w:tcPr>
          <w:p w14:paraId="0FB4D64B" w14:textId="77777777" w:rsidR="009F5479" w:rsidRDefault="009F5479">
            <w:pPr>
              <w:rPr>
                <w:rFonts w:ascii="Calibri" w:hAnsi="Calibri"/>
                <w:b/>
                <w:bCs/>
                <w:color w:val="FFFFFF"/>
                <w:sz w:val="16"/>
                <w:szCs w:val="16"/>
              </w:rPr>
            </w:pPr>
            <w:r>
              <w:rPr>
                <w:rFonts w:ascii="Calibri" w:hAnsi="Calibri"/>
                <w:b/>
                <w:bCs/>
                <w:color w:val="FFFFFF"/>
                <w:sz w:val="16"/>
                <w:szCs w:val="16"/>
              </w:rPr>
              <w:t> </w:t>
            </w:r>
          </w:p>
        </w:tc>
        <w:tc>
          <w:tcPr>
            <w:tcW w:w="1120" w:type="dxa"/>
            <w:tcBorders>
              <w:top w:val="single" w:sz="12" w:space="0" w:color="FFFFFF"/>
              <w:left w:val="nil"/>
              <w:bottom w:val="single" w:sz="12" w:space="0" w:color="FFFFFF"/>
              <w:right w:val="nil"/>
            </w:tcBorders>
            <w:shd w:val="clear" w:color="000000" w:fill="31869B"/>
            <w:noWrap/>
            <w:vAlign w:val="center"/>
            <w:hideMark/>
          </w:tcPr>
          <w:p w14:paraId="278DBDB6" w14:textId="77777777" w:rsidR="009F5479" w:rsidRDefault="009F5479">
            <w:pPr>
              <w:rPr>
                <w:rFonts w:ascii="Calibri" w:hAnsi="Calibri"/>
                <w:b/>
                <w:bCs/>
                <w:color w:val="FFFFFF"/>
                <w:sz w:val="16"/>
                <w:szCs w:val="16"/>
              </w:rPr>
            </w:pPr>
            <w:r>
              <w:rPr>
                <w:rFonts w:ascii="Calibri" w:hAnsi="Calibri"/>
                <w:b/>
                <w:bCs/>
                <w:color w:val="FFFFFF"/>
                <w:sz w:val="16"/>
                <w:szCs w:val="16"/>
              </w:rPr>
              <w:t> </w:t>
            </w:r>
          </w:p>
        </w:tc>
        <w:tc>
          <w:tcPr>
            <w:tcW w:w="1280" w:type="dxa"/>
            <w:tcBorders>
              <w:top w:val="single" w:sz="12" w:space="0" w:color="FFFFFF"/>
              <w:left w:val="nil"/>
              <w:bottom w:val="single" w:sz="12" w:space="0" w:color="FFFFFF"/>
              <w:right w:val="nil"/>
            </w:tcBorders>
            <w:shd w:val="clear" w:color="000000" w:fill="31869B"/>
            <w:noWrap/>
            <w:vAlign w:val="center"/>
            <w:hideMark/>
          </w:tcPr>
          <w:p w14:paraId="03B3A705" w14:textId="77777777" w:rsidR="009F5479" w:rsidRDefault="009F5479">
            <w:pPr>
              <w:rPr>
                <w:rFonts w:ascii="Calibri" w:hAnsi="Calibri"/>
                <w:b/>
                <w:bCs/>
                <w:color w:val="FFFFFF"/>
                <w:sz w:val="16"/>
                <w:szCs w:val="16"/>
              </w:rPr>
            </w:pPr>
            <w:r>
              <w:rPr>
                <w:rFonts w:ascii="Calibri" w:hAnsi="Calibri"/>
                <w:b/>
                <w:bCs/>
                <w:color w:val="FFFFFF"/>
                <w:sz w:val="16"/>
                <w:szCs w:val="16"/>
              </w:rPr>
              <w:t> </w:t>
            </w:r>
          </w:p>
        </w:tc>
        <w:tc>
          <w:tcPr>
            <w:tcW w:w="1200" w:type="dxa"/>
            <w:tcBorders>
              <w:top w:val="single" w:sz="12" w:space="0" w:color="FFFFFF"/>
              <w:left w:val="nil"/>
              <w:bottom w:val="single" w:sz="12" w:space="0" w:color="FFFFFF"/>
              <w:right w:val="nil"/>
            </w:tcBorders>
            <w:shd w:val="clear" w:color="000000" w:fill="31869B"/>
            <w:noWrap/>
            <w:vAlign w:val="center"/>
            <w:hideMark/>
          </w:tcPr>
          <w:p w14:paraId="1E1B0B43" w14:textId="77777777" w:rsidR="009F5479" w:rsidRDefault="009F5479">
            <w:pPr>
              <w:rPr>
                <w:rFonts w:ascii="Calibri" w:hAnsi="Calibri"/>
                <w:b/>
                <w:bCs/>
                <w:color w:val="FFFFFF"/>
                <w:sz w:val="16"/>
                <w:szCs w:val="16"/>
              </w:rPr>
            </w:pPr>
            <w:r>
              <w:rPr>
                <w:rFonts w:ascii="Calibri" w:hAnsi="Calibri"/>
                <w:b/>
                <w:bCs/>
                <w:color w:val="FFFFFF"/>
                <w:sz w:val="16"/>
                <w:szCs w:val="16"/>
              </w:rPr>
              <w:t> </w:t>
            </w:r>
          </w:p>
        </w:tc>
        <w:tc>
          <w:tcPr>
            <w:tcW w:w="1140" w:type="dxa"/>
            <w:tcBorders>
              <w:top w:val="single" w:sz="12" w:space="0" w:color="FFFFFF"/>
              <w:left w:val="nil"/>
              <w:bottom w:val="single" w:sz="12" w:space="0" w:color="FFFFFF"/>
              <w:right w:val="nil"/>
            </w:tcBorders>
            <w:shd w:val="clear" w:color="000000" w:fill="31869B"/>
            <w:noWrap/>
            <w:vAlign w:val="center"/>
            <w:hideMark/>
          </w:tcPr>
          <w:p w14:paraId="0E8BD5C5" w14:textId="77777777" w:rsidR="009F5479" w:rsidRDefault="009F5479">
            <w:pPr>
              <w:rPr>
                <w:rFonts w:ascii="Calibri" w:hAnsi="Calibri"/>
                <w:b/>
                <w:bCs/>
                <w:color w:val="FFFFFF"/>
                <w:sz w:val="16"/>
                <w:szCs w:val="16"/>
              </w:rPr>
            </w:pPr>
            <w:r>
              <w:rPr>
                <w:rFonts w:ascii="Calibri" w:hAnsi="Calibri"/>
                <w:b/>
                <w:bCs/>
                <w:color w:val="FFFFFF"/>
                <w:sz w:val="16"/>
                <w:szCs w:val="16"/>
              </w:rPr>
              <w:t> </w:t>
            </w:r>
          </w:p>
        </w:tc>
        <w:tc>
          <w:tcPr>
            <w:tcW w:w="1040" w:type="dxa"/>
            <w:tcBorders>
              <w:top w:val="single" w:sz="12" w:space="0" w:color="FFFFFF"/>
              <w:left w:val="nil"/>
              <w:bottom w:val="single" w:sz="12" w:space="0" w:color="FFFFFF"/>
              <w:right w:val="nil"/>
            </w:tcBorders>
            <w:shd w:val="clear" w:color="000000" w:fill="31869B"/>
            <w:noWrap/>
            <w:vAlign w:val="center"/>
            <w:hideMark/>
          </w:tcPr>
          <w:p w14:paraId="2594A489" w14:textId="77777777" w:rsidR="009F5479" w:rsidRDefault="009F5479">
            <w:pPr>
              <w:rPr>
                <w:rFonts w:ascii="Calibri" w:hAnsi="Calibri"/>
                <w:b/>
                <w:bCs/>
                <w:color w:val="FFFFFF"/>
                <w:sz w:val="16"/>
                <w:szCs w:val="16"/>
              </w:rPr>
            </w:pPr>
            <w:r>
              <w:rPr>
                <w:rFonts w:ascii="Calibri" w:hAnsi="Calibri"/>
                <w:b/>
                <w:bCs/>
                <w:color w:val="FFFFFF"/>
                <w:sz w:val="16"/>
                <w:szCs w:val="16"/>
              </w:rPr>
              <w:t> </w:t>
            </w:r>
          </w:p>
        </w:tc>
        <w:tc>
          <w:tcPr>
            <w:tcW w:w="985" w:type="dxa"/>
            <w:tcBorders>
              <w:top w:val="single" w:sz="12" w:space="0" w:color="FFFFFF"/>
              <w:left w:val="nil"/>
              <w:bottom w:val="single" w:sz="12" w:space="0" w:color="FFFFFF"/>
              <w:right w:val="nil"/>
            </w:tcBorders>
            <w:shd w:val="clear" w:color="000000" w:fill="31869B"/>
            <w:noWrap/>
            <w:vAlign w:val="center"/>
            <w:hideMark/>
          </w:tcPr>
          <w:p w14:paraId="5278D790" w14:textId="77777777" w:rsidR="009F5479" w:rsidRDefault="009F5479">
            <w:pPr>
              <w:rPr>
                <w:rFonts w:ascii="Calibri" w:hAnsi="Calibri"/>
                <w:b/>
                <w:bCs/>
                <w:color w:val="FFFFFF"/>
                <w:sz w:val="16"/>
                <w:szCs w:val="16"/>
              </w:rPr>
            </w:pPr>
            <w:r>
              <w:rPr>
                <w:rFonts w:ascii="Calibri" w:hAnsi="Calibri"/>
                <w:b/>
                <w:bCs/>
                <w:color w:val="FFFFFF"/>
                <w:sz w:val="16"/>
                <w:szCs w:val="16"/>
              </w:rPr>
              <w:t> </w:t>
            </w:r>
          </w:p>
        </w:tc>
        <w:tc>
          <w:tcPr>
            <w:tcW w:w="1776" w:type="dxa"/>
            <w:tcBorders>
              <w:top w:val="single" w:sz="12" w:space="0" w:color="FFFFFF"/>
              <w:left w:val="nil"/>
              <w:bottom w:val="single" w:sz="12" w:space="0" w:color="FFFFFF"/>
              <w:right w:val="nil"/>
            </w:tcBorders>
            <w:shd w:val="clear" w:color="000000" w:fill="31869B"/>
            <w:noWrap/>
            <w:vAlign w:val="center"/>
            <w:hideMark/>
          </w:tcPr>
          <w:p w14:paraId="00F28735" w14:textId="77777777" w:rsidR="009F5479" w:rsidRDefault="009F5479">
            <w:pPr>
              <w:rPr>
                <w:rFonts w:ascii="Calibri" w:hAnsi="Calibri"/>
                <w:b/>
                <w:bCs/>
                <w:color w:val="FFFFFF"/>
                <w:sz w:val="16"/>
                <w:szCs w:val="16"/>
              </w:rPr>
            </w:pPr>
            <w:r>
              <w:rPr>
                <w:rFonts w:ascii="Calibri" w:hAnsi="Calibri"/>
                <w:b/>
                <w:bCs/>
                <w:color w:val="FFFFFF"/>
                <w:sz w:val="16"/>
                <w:szCs w:val="16"/>
              </w:rPr>
              <w:t> </w:t>
            </w:r>
          </w:p>
        </w:tc>
        <w:tc>
          <w:tcPr>
            <w:tcW w:w="2477" w:type="dxa"/>
            <w:tcBorders>
              <w:top w:val="single" w:sz="12" w:space="0" w:color="FFFFFF"/>
              <w:left w:val="nil"/>
              <w:bottom w:val="single" w:sz="12" w:space="0" w:color="FFFFFF"/>
              <w:right w:val="single" w:sz="12" w:space="0" w:color="FFFFFF"/>
            </w:tcBorders>
            <w:shd w:val="clear" w:color="000000" w:fill="31869B"/>
            <w:noWrap/>
            <w:vAlign w:val="center"/>
            <w:hideMark/>
          </w:tcPr>
          <w:p w14:paraId="7339B233" w14:textId="77777777" w:rsidR="009F5479" w:rsidRDefault="009F5479">
            <w:pPr>
              <w:rPr>
                <w:rFonts w:ascii="Calibri" w:hAnsi="Calibri"/>
                <w:b/>
                <w:bCs/>
                <w:color w:val="FFFFFF"/>
                <w:sz w:val="16"/>
                <w:szCs w:val="16"/>
              </w:rPr>
            </w:pPr>
            <w:r>
              <w:rPr>
                <w:rFonts w:ascii="Calibri" w:hAnsi="Calibri"/>
                <w:b/>
                <w:bCs/>
                <w:color w:val="FFFFFF"/>
                <w:sz w:val="16"/>
                <w:szCs w:val="16"/>
              </w:rPr>
              <w:t> </w:t>
            </w:r>
          </w:p>
        </w:tc>
      </w:tr>
      <w:tr w:rsidR="009F5479" w14:paraId="6E5619B4" w14:textId="77777777" w:rsidTr="009F5479">
        <w:trPr>
          <w:trHeight w:val="1140"/>
        </w:trPr>
        <w:tc>
          <w:tcPr>
            <w:tcW w:w="1740"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5F7547B4" w14:textId="77777777" w:rsidR="009F5479" w:rsidRDefault="009F5479">
            <w:pPr>
              <w:jc w:val="center"/>
              <w:rPr>
                <w:rFonts w:ascii="Calibri" w:hAnsi="Calibri"/>
                <w:b/>
                <w:bCs/>
                <w:sz w:val="16"/>
                <w:szCs w:val="16"/>
              </w:rPr>
            </w:pPr>
            <w:r>
              <w:rPr>
                <w:rFonts w:ascii="Calibri" w:hAnsi="Calibri"/>
                <w:b/>
                <w:bCs/>
                <w:sz w:val="16"/>
                <w:szCs w:val="16"/>
              </w:rPr>
              <w:t xml:space="preserve">INDICADORES DE PRODUCTO  </w:t>
            </w:r>
          </w:p>
        </w:tc>
        <w:tc>
          <w:tcPr>
            <w:tcW w:w="1120"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314CA4E6" w14:textId="77777777" w:rsidR="009F5479" w:rsidRDefault="009F5479">
            <w:pPr>
              <w:jc w:val="center"/>
              <w:rPr>
                <w:rFonts w:ascii="Calibri" w:hAnsi="Calibri"/>
                <w:b/>
                <w:bCs/>
                <w:sz w:val="16"/>
                <w:szCs w:val="16"/>
              </w:rPr>
            </w:pPr>
            <w:r>
              <w:rPr>
                <w:rFonts w:ascii="Calibri" w:hAnsi="Calibri"/>
                <w:b/>
                <w:bCs/>
                <w:sz w:val="16"/>
                <w:szCs w:val="16"/>
              </w:rPr>
              <w:t>LÍNEA BASE</w:t>
            </w:r>
          </w:p>
        </w:tc>
        <w:tc>
          <w:tcPr>
            <w:tcW w:w="4660" w:type="dxa"/>
            <w:gridSpan w:val="4"/>
            <w:vMerge w:val="restart"/>
            <w:tcBorders>
              <w:top w:val="single" w:sz="12" w:space="0" w:color="FFFFFF"/>
              <w:left w:val="single" w:sz="12" w:space="0" w:color="FFFFFF"/>
              <w:bottom w:val="single" w:sz="12" w:space="0" w:color="FFFFFF"/>
              <w:right w:val="single" w:sz="12" w:space="0" w:color="FFFFFF"/>
            </w:tcBorders>
            <w:shd w:val="clear" w:color="000000" w:fill="95B3D7"/>
            <w:vAlign w:val="center"/>
            <w:hideMark/>
          </w:tcPr>
          <w:p w14:paraId="645EE398" w14:textId="77777777" w:rsidR="009F5479" w:rsidRDefault="009F5479">
            <w:pPr>
              <w:jc w:val="center"/>
              <w:rPr>
                <w:rFonts w:ascii="Calibri" w:hAnsi="Calibri"/>
                <w:b/>
                <w:bCs/>
                <w:sz w:val="16"/>
                <w:szCs w:val="16"/>
              </w:rPr>
            </w:pPr>
            <w:r>
              <w:rPr>
                <w:rFonts w:ascii="Calibri" w:hAnsi="Calibri"/>
                <w:b/>
                <w:bCs/>
                <w:sz w:val="16"/>
                <w:szCs w:val="16"/>
              </w:rPr>
              <w:t xml:space="preserve">METAS DEL INDICADOR </w:t>
            </w:r>
          </w:p>
        </w:tc>
        <w:tc>
          <w:tcPr>
            <w:tcW w:w="2761" w:type="dxa"/>
            <w:gridSpan w:val="2"/>
            <w:vMerge w:val="restart"/>
            <w:tcBorders>
              <w:top w:val="single" w:sz="12" w:space="0" w:color="FFFFFF"/>
              <w:left w:val="single" w:sz="12" w:space="0" w:color="FFFFFF"/>
              <w:bottom w:val="single" w:sz="12" w:space="0" w:color="FFFFFF"/>
              <w:right w:val="single" w:sz="12" w:space="0" w:color="FFFFFF"/>
            </w:tcBorders>
            <w:shd w:val="clear" w:color="000000" w:fill="95B3D7"/>
            <w:vAlign w:val="center"/>
            <w:hideMark/>
          </w:tcPr>
          <w:p w14:paraId="274E2878" w14:textId="77777777" w:rsidR="009F5479" w:rsidRDefault="009F5479">
            <w:pPr>
              <w:jc w:val="center"/>
              <w:rPr>
                <w:rFonts w:ascii="Calibri" w:hAnsi="Calibri"/>
                <w:b/>
                <w:bCs/>
                <w:sz w:val="16"/>
                <w:szCs w:val="16"/>
              </w:rPr>
            </w:pPr>
            <w:r>
              <w:rPr>
                <w:rFonts w:ascii="Calibri" w:hAnsi="Calibri"/>
                <w:b/>
                <w:bCs/>
                <w:sz w:val="16"/>
                <w:szCs w:val="16"/>
              </w:rPr>
              <w:t>ESTIMACIÓN ANUAL DE RECURSOS PRESUPUESTARIOS</w:t>
            </w:r>
            <w:r>
              <w:rPr>
                <w:rFonts w:ascii="Calibri" w:hAnsi="Calibri"/>
                <w:b/>
                <w:bCs/>
                <w:sz w:val="16"/>
                <w:szCs w:val="16"/>
              </w:rPr>
              <w:br/>
              <w:t xml:space="preserve"> (en millones de colones)</w:t>
            </w:r>
          </w:p>
        </w:tc>
        <w:tc>
          <w:tcPr>
            <w:tcW w:w="2477"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7C734CCC" w14:textId="77777777" w:rsidR="009F5479" w:rsidRDefault="009F5479">
            <w:pPr>
              <w:jc w:val="center"/>
              <w:rPr>
                <w:rFonts w:ascii="Calibri" w:hAnsi="Calibri"/>
                <w:b/>
                <w:bCs/>
                <w:sz w:val="16"/>
                <w:szCs w:val="16"/>
              </w:rPr>
            </w:pPr>
            <w:r>
              <w:rPr>
                <w:rFonts w:ascii="Calibri" w:hAnsi="Calibri"/>
                <w:b/>
                <w:bCs/>
                <w:sz w:val="16"/>
                <w:szCs w:val="16"/>
              </w:rPr>
              <w:t>SUPUESTOS, NOTAS TÉCNICAS Y OBSERVACIONES</w:t>
            </w:r>
          </w:p>
        </w:tc>
      </w:tr>
      <w:tr w:rsidR="009F5479" w14:paraId="1A114B28" w14:textId="77777777" w:rsidTr="009F5479">
        <w:trPr>
          <w:trHeight w:val="195"/>
        </w:trPr>
        <w:tc>
          <w:tcPr>
            <w:tcW w:w="1740" w:type="dxa"/>
            <w:vMerge/>
            <w:tcBorders>
              <w:top w:val="nil"/>
              <w:left w:val="single" w:sz="12" w:space="0" w:color="FFFFFF"/>
              <w:bottom w:val="single" w:sz="12" w:space="0" w:color="FFFFFF"/>
              <w:right w:val="single" w:sz="12" w:space="0" w:color="FFFFFF"/>
            </w:tcBorders>
            <w:vAlign w:val="center"/>
            <w:hideMark/>
          </w:tcPr>
          <w:p w14:paraId="7825084C" w14:textId="77777777" w:rsidR="009F5479" w:rsidRDefault="009F5479">
            <w:pPr>
              <w:rPr>
                <w:rFonts w:ascii="Calibri" w:hAnsi="Calibri"/>
                <w:b/>
                <w:bCs/>
                <w:sz w:val="16"/>
                <w:szCs w:val="16"/>
              </w:rPr>
            </w:pPr>
          </w:p>
        </w:tc>
        <w:tc>
          <w:tcPr>
            <w:tcW w:w="1120" w:type="dxa"/>
            <w:vMerge/>
            <w:tcBorders>
              <w:top w:val="nil"/>
              <w:left w:val="single" w:sz="12" w:space="0" w:color="FFFFFF"/>
              <w:bottom w:val="single" w:sz="12" w:space="0" w:color="FFFFFF"/>
              <w:right w:val="single" w:sz="12" w:space="0" w:color="FFFFFF"/>
            </w:tcBorders>
            <w:vAlign w:val="center"/>
            <w:hideMark/>
          </w:tcPr>
          <w:p w14:paraId="3FBC39D4" w14:textId="77777777" w:rsidR="009F5479" w:rsidRDefault="009F5479">
            <w:pPr>
              <w:rPr>
                <w:rFonts w:ascii="Calibri" w:hAnsi="Calibri"/>
                <w:b/>
                <w:bCs/>
                <w:sz w:val="16"/>
                <w:szCs w:val="16"/>
              </w:rPr>
            </w:pPr>
          </w:p>
        </w:tc>
        <w:tc>
          <w:tcPr>
            <w:tcW w:w="4660" w:type="dxa"/>
            <w:gridSpan w:val="4"/>
            <w:vMerge/>
            <w:tcBorders>
              <w:top w:val="single" w:sz="12" w:space="0" w:color="FFFFFF"/>
              <w:left w:val="single" w:sz="12" w:space="0" w:color="FFFFFF"/>
              <w:bottom w:val="single" w:sz="12" w:space="0" w:color="FFFFFF"/>
              <w:right w:val="single" w:sz="12" w:space="0" w:color="FFFFFF"/>
            </w:tcBorders>
            <w:vAlign w:val="center"/>
            <w:hideMark/>
          </w:tcPr>
          <w:p w14:paraId="33035B59" w14:textId="77777777" w:rsidR="009F5479" w:rsidRDefault="009F5479">
            <w:pPr>
              <w:rPr>
                <w:rFonts w:ascii="Calibri" w:hAnsi="Calibri"/>
                <w:b/>
                <w:bCs/>
                <w:sz w:val="16"/>
                <w:szCs w:val="16"/>
              </w:rPr>
            </w:pPr>
          </w:p>
        </w:tc>
        <w:tc>
          <w:tcPr>
            <w:tcW w:w="2761" w:type="dxa"/>
            <w:gridSpan w:val="2"/>
            <w:vMerge/>
            <w:tcBorders>
              <w:top w:val="single" w:sz="12" w:space="0" w:color="FFFFFF"/>
              <w:left w:val="single" w:sz="12" w:space="0" w:color="FFFFFF"/>
              <w:bottom w:val="single" w:sz="12" w:space="0" w:color="FFFFFF"/>
              <w:right w:val="single" w:sz="12" w:space="0" w:color="FFFFFF"/>
            </w:tcBorders>
            <w:vAlign w:val="center"/>
            <w:hideMark/>
          </w:tcPr>
          <w:p w14:paraId="22D43D4D" w14:textId="77777777" w:rsidR="009F5479" w:rsidRDefault="009F5479">
            <w:pPr>
              <w:rPr>
                <w:rFonts w:ascii="Calibri" w:hAnsi="Calibri"/>
                <w:b/>
                <w:bCs/>
                <w:sz w:val="16"/>
                <w:szCs w:val="16"/>
              </w:rPr>
            </w:pPr>
          </w:p>
        </w:tc>
        <w:tc>
          <w:tcPr>
            <w:tcW w:w="2477" w:type="dxa"/>
            <w:vMerge/>
            <w:tcBorders>
              <w:top w:val="nil"/>
              <w:left w:val="single" w:sz="12" w:space="0" w:color="FFFFFF"/>
              <w:bottom w:val="single" w:sz="12" w:space="0" w:color="FFFFFF"/>
              <w:right w:val="single" w:sz="12" w:space="0" w:color="FFFFFF"/>
            </w:tcBorders>
            <w:vAlign w:val="center"/>
            <w:hideMark/>
          </w:tcPr>
          <w:p w14:paraId="43406FE4" w14:textId="77777777" w:rsidR="009F5479" w:rsidRDefault="009F5479">
            <w:pPr>
              <w:rPr>
                <w:rFonts w:ascii="Calibri" w:hAnsi="Calibri"/>
                <w:b/>
                <w:bCs/>
                <w:sz w:val="16"/>
                <w:szCs w:val="16"/>
              </w:rPr>
            </w:pPr>
          </w:p>
        </w:tc>
      </w:tr>
      <w:tr w:rsidR="009F5479" w14:paraId="1BFCA57C" w14:textId="77777777" w:rsidTr="009F5479">
        <w:trPr>
          <w:trHeight w:val="330"/>
        </w:trPr>
        <w:tc>
          <w:tcPr>
            <w:tcW w:w="1740" w:type="dxa"/>
            <w:vMerge/>
            <w:tcBorders>
              <w:top w:val="nil"/>
              <w:left w:val="single" w:sz="12" w:space="0" w:color="FFFFFF"/>
              <w:bottom w:val="single" w:sz="12" w:space="0" w:color="FFFFFF"/>
              <w:right w:val="single" w:sz="12" w:space="0" w:color="FFFFFF"/>
            </w:tcBorders>
            <w:vAlign w:val="center"/>
            <w:hideMark/>
          </w:tcPr>
          <w:p w14:paraId="247D0264" w14:textId="77777777" w:rsidR="009F5479" w:rsidRDefault="009F5479">
            <w:pPr>
              <w:rPr>
                <w:rFonts w:ascii="Calibri" w:hAnsi="Calibri"/>
                <w:b/>
                <w:bCs/>
                <w:sz w:val="16"/>
                <w:szCs w:val="16"/>
              </w:rPr>
            </w:pPr>
          </w:p>
        </w:tc>
        <w:tc>
          <w:tcPr>
            <w:tcW w:w="1120" w:type="dxa"/>
            <w:vMerge/>
            <w:tcBorders>
              <w:top w:val="nil"/>
              <w:left w:val="single" w:sz="12" w:space="0" w:color="FFFFFF"/>
              <w:bottom w:val="single" w:sz="12" w:space="0" w:color="FFFFFF"/>
              <w:right w:val="single" w:sz="12" w:space="0" w:color="FFFFFF"/>
            </w:tcBorders>
            <w:vAlign w:val="center"/>
            <w:hideMark/>
          </w:tcPr>
          <w:p w14:paraId="6AD18D64" w14:textId="77777777" w:rsidR="009F5479" w:rsidRDefault="009F5479">
            <w:pPr>
              <w:rPr>
                <w:rFonts w:ascii="Calibri" w:hAnsi="Calibri"/>
                <w:b/>
                <w:bCs/>
                <w:sz w:val="16"/>
                <w:szCs w:val="16"/>
              </w:rPr>
            </w:pPr>
          </w:p>
        </w:tc>
        <w:tc>
          <w:tcPr>
            <w:tcW w:w="4660" w:type="dxa"/>
            <w:gridSpan w:val="4"/>
            <w:vMerge/>
            <w:tcBorders>
              <w:top w:val="single" w:sz="12" w:space="0" w:color="FFFFFF"/>
              <w:left w:val="single" w:sz="12" w:space="0" w:color="FFFFFF"/>
              <w:bottom w:val="single" w:sz="12" w:space="0" w:color="FFFFFF"/>
              <w:right w:val="single" w:sz="12" w:space="0" w:color="FFFFFF"/>
            </w:tcBorders>
            <w:vAlign w:val="center"/>
            <w:hideMark/>
          </w:tcPr>
          <w:p w14:paraId="042A3815" w14:textId="77777777" w:rsidR="009F5479" w:rsidRDefault="009F5479">
            <w:pPr>
              <w:rPr>
                <w:rFonts w:ascii="Calibri" w:hAnsi="Calibri"/>
                <w:b/>
                <w:bCs/>
                <w:sz w:val="16"/>
                <w:szCs w:val="16"/>
              </w:rPr>
            </w:pPr>
          </w:p>
        </w:tc>
        <w:tc>
          <w:tcPr>
            <w:tcW w:w="985"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62B62FC1" w14:textId="77777777" w:rsidR="009F5479" w:rsidRDefault="009F5479">
            <w:pPr>
              <w:jc w:val="center"/>
              <w:rPr>
                <w:rFonts w:ascii="Calibri" w:hAnsi="Calibri"/>
                <w:b/>
                <w:bCs/>
                <w:sz w:val="16"/>
                <w:szCs w:val="16"/>
              </w:rPr>
            </w:pPr>
            <w:r>
              <w:rPr>
                <w:rFonts w:ascii="Calibri" w:hAnsi="Calibri"/>
                <w:b/>
                <w:bCs/>
                <w:sz w:val="16"/>
                <w:szCs w:val="16"/>
              </w:rPr>
              <w:t>MONTO</w:t>
            </w:r>
          </w:p>
        </w:tc>
        <w:tc>
          <w:tcPr>
            <w:tcW w:w="1776"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0252ECD0" w14:textId="77777777" w:rsidR="009F5479" w:rsidRDefault="009F5479">
            <w:pPr>
              <w:jc w:val="center"/>
              <w:rPr>
                <w:rFonts w:ascii="Calibri" w:hAnsi="Calibri"/>
                <w:b/>
                <w:bCs/>
                <w:sz w:val="16"/>
                <w:szCs w:val="16"/>
              </w:rPr>
            </w:pPr>
            <w:r>
              <w:rPr>
                <w:rFonts w:ascii="Calibri" w:hAnsi="Calibri"/>
                <w:b/>
                <w:bCs/>
                <w:sz w:val="16"/>
                <w:szCs w:val="16"/>
              </w:rPr>
              <w:t>FUENTE DE FINANCIAMIENTO</w:t>
            </w:r>
          </w:p>
        </w:tc>
        <w:tc>
          <w:tcPr>
            <w:tcW w:w="2477" w:type="dxa"/>
            <w:vMerge/>
            <w:tcBorders>
              <w:top w:val="nil"/>
              <w:left w:val="single" w:sz="12" w:space="0" w:color="FFFFFF"/>
              <w:bottom w:val="single" w:sz="12" w:space="0" w:color="FFFFFF"/>
              <w:right w:val="single" w:sz="12" w:space="0" w:color="FFFFFF"/>
            </w:tcBorders>
            <w:vAlign w:val="center"/>
            <w:hideMark/>
          </w:tcPr>
          <w:p w14:paraId="4253980B" w14:textId="77777777" w:rsidR="009F5479" w:rsidRDefault="009F5479">
            <w:pPr>
              <w:rPr>
                <w:rFonts w:ascii="Calibri" w:hAnsi="Calibri"/>
                <w:b/>
                <w:bCs/>
                <w:sz w:val="16"/>
                <w:szCs w:val="16"/>
              </w:rPr>
            </w:pPr>
          </w:p>
        </w:tc>
      </w:tr>
      <w:tr w:rsidR="009F5479" w14:paraId="4CADB523" w14:textId="77777777" w:rsidTr="009F5479">
        <w:trPr>
          <w:trHeight w:val="300"/>
        </w:trPr>
        <w:tc>
          <w:tcPr>
            <w:tcW w:w="1740" w:type="dxa"/>
            <w:vMerge/>
            <w:tcBorders>
              <w:top w:val="nil"/>
              <w:left w:val="single" w:sz="12" w:space="0" w:color="FFFFFF"/>
              <w:bottom w:val="single" w:sz="12" w:space="0" w:color="FFFFFF"/>
              <w:right w:val="single" w:sz="12" w:space="0" w:color="FFFFFF"/>
            </w:tcBorders>
            <w:vAlign w:val="center"/>
            <w:hideMark/>
          </w:tcPr>
          <w:p w14:paraId="4665351A" w14:textId="77777777" w:rsidR="009F5479" w:rsidRDefault="009F5479">
            <w:pPr>
              <w:rPr>
                <w:rFonts w:ascii="Calibri" w:hAnsi="Calibri"/>
                <w:b/>
                <w:bCs/>
                <w:sz w:val="16"/>
                <w:szCs w:val="16"/>
              </w:rPr>
            </w:pPr>
          </w:p>
        </w:tc>
        <w:tc>
          <w:tcPr>
            <w:tcW w:w="1120" w:type="dxa"/>
            <w:vMerge/>
            <w:tcBorders>
              <w:top w:val="nil"/>
              <w:left w:val="single" w:sz="12" w:space="0" w:color="FFFFFF"/>
              <w:bottom w:val="single" w:sz="12" w:space="0" w:color="FFFFFF"/>
              <w:right w:val="single" w:sz="12" w:space="0" w:color="FFFFFF"/>
            </w:tcBorders>
            <w:vAlign w:val="center"/>
            <w:hideMark/>
          </w:tcPr>
          <w:p w14:paraId="33B302FC" w14:textId="77777777" w:rsidR="009F5479" w:rsidRDefault="009F5479">
            <w:pPr>
              <w:rPr>
                <w:rFonts w:ascii="Calibri" w:hAnsi="Calibri"/>
                <w:b/>
                <w:bCs/>
                <w:sz w:val="16"/>
                <w:szCs w:val="16"/>
              </w:rPr>
            </w:pPr>
          </w:p>
        </w:tc>
        <w:tc>
          <w:tcPr>
            <w:tcW w:w="1280" w:type="dxa"/>
            <w:tcBorders>
              <w:top w:val="nil"/>
              <w:left w:val="nil"/>
              <w:bottom w:val="single" w:sz="12" w:space="0" w:color="FFFFFF"/>
              <w:right w:val="single" w:sz="8" w:space="0" w:color="FFFFFF"/>
            </w:tcBorders>
            <w:shd w:val="clear" w:color="000000" w:fill="C5D9F1"/>
            <w:vAlign w:val="center"/>
            <w:hideMark/>
          </w:tcPr>
          <w:p w14:paraId="75863D88" w14:textId="77777777" w:rsidR="009F5479" w:rsidRDefault="009F5479">
            <w:pPr>
              <w:jc w:val="center"/>
              <w:rPr>
                <w:rFonts w:ascii="Calibri" w:hAnsi="Calibri"/>
                <w:b/>
                <w:bCs/>
                <w:sz w:val="16"/>
                <w:szCs w:val="16"/>
              </w:rPr>
            </w:pPr>
            <w:r>
              <w:rPr>
                <w:rFonts w:ascii="Calibri" w:hAnsi="Calibri"/>
                <w:b/>
                <w:bCs/>
                <w:sz w:val="16"/>
                <w:szCs w:val="16"/>
              </w:rPr>
              <w:t>t</w:t>
            </w:r>
          </w:p>
        </w:tc>
        <w:tc>
          <w:tcPr>
            <w:tcW w:w="3380" w:type="dxa"/>
            <w:gridSpan w:val="3"/>
            <w:tcBorders>
              <w:top w:val="single" w:sz="12" w:space="0" w:color="FFFFFF"/>
              <w:left w:val="nil"/>
              <w:bottom w:val="single" w:sz="12" w:space="0" w:color="FFFFFF"/>
              <w:right w:val="single" w:sz="8" w:space="0" w:color="FFFFFF"/>
            </w:tcBorders>
            <w:shd w:val="clear" w:color="000000" w:fill="16365C"/>
            <w:vAlign w:val="center"/>
            <w:hideMark/>
          </w:tcPr>
          <w:p w14:paraId="39F38F41" w14:textId="77777777" w:rsidR="009F5479" w:rsidRDefault="009F5479">
            <w:pPr>
              <w:jc w:val="center"/>
              <w:rPr>
                <w:rFonts w:ascii="Calibri" w:hAnsi="Calibri"/>
                <w:b/>
                <w:bCs/>
                <w:color w:val="FFFFFF"/>
                <w:sz w:val="16"/>
                <w:szCs w:val="16"/>
              </w:rPr>
            </w:pPr>
            <w:r>
              <w:rPr>
                <w:rFonts w:ascii="Calibri" w:hAnsi="Calibri"/>
                <w:b/>
                <w:bCs/>
                <w:color w:val="FFFFFF"/>
                <w:sz w:val="16"/>
                <w:szCs w:val="16"/>
              </w:rPr>
              <w:t>DESEMPEÑO PROYECTADO</w:t>
            </w:r>
          </w:p>
        </w:tc>
        <w:tc>
          <w:tcPr>
            <w:tcW w:w="985" w:type="dxa"/>
            <w:vMerge/>
            <w:tcBorders>
              <w:top w:val="nil"/>
              <w:left w:val="single" w:sz="12" w:space="0" w:color="FFFFFF"/>
              <w:bottom w:val="single" w:sz="12" w:space="0" w:color="FFFFFF"/>
              <w:right w:val="single" w:sz="12" w:space="0" w:color="FFFFFF"/>
            </w:tcBorders>
            <w:vAlign w:val="center"/>
            <w:hideMark/>
          </w:tcPr>
          <w:p w14:paraId="4FCB8C66" w14:textId="77777777" w:rsidR="009F5479" w:rsidRDefault="009F5479">
            <w:pPr>
              <w:rPr>
                <w:rFonts w:ascii="Calibri" w:hAnsi="Calibri"/>
                <w:b/>
                <w:bCs/>
                <w:sz w:val="16"/>
                <w:szCs w:val="16"/>
              </w:rPr>
            </w:pPr>
          </w:p>
        </w:tc>
        <w:tc>
          <w:tcPr>
            <w:tcW w:w="1776" w:type="dxa"/>
            <w:vMerge/>
            <w:tcBorders>
              <w:top w:val="nil"/>
              <w:left w:val="single" w:sz="12" w:space="0" w:color="FFFFFF"/>
              <w:bottom w:val="single" w:sz="12" w:space="0" w:color="FFFFFF"/>
              <w:right w:val="single" w:sz="12" w:space="0" w:color="FFFFFF"/>
            </w:tcBorders>
            <w:vAlign w:val="center"/>
            <w:hideMark/>
          </w:tcPr>
          <w:p w14:paraId="4ED61273" w14:textId="77777777" w:rsidR="009F5479" w:rsidRDefault="009F5479">
            <w:pPr>
              <w:rPr>
                <w:rFonts w:ascii="Calibri" w:hAnsi="Calibri"/>
                <w:b/>
                <w:bCs/>
                <w:sz w:val="16"/>
                <w:szCs w:val="16"/>
              </w:rPr>
            </w:pPr>
          </w:p>
        </w:tc>
        <w:tc>
          <w:tcPr>
            <w:tcW w:w="2477" w:type="dxa"/>
            <w:vMerge/>
            <w:tcBorders>
              <w:top w:val="nil"/>
              <w:left w:val="single" w:sz="12" w:space="0" w:color="FFFFFF"/>
              <w:bottom w:val="single" w:sz="12" w:space="0" w:color="FFFFFF"/>
              <w:right w:val="single" w:sz="12" w:space="0" w:color="FFFFFF"/>
            </w:tcBorders>
            <w:vAlign w:val="center"/>
            <w:hideMark/>
          </w:tcPr>
          <w:p w14:paraId="058EA71D" w14:textId="77777777" w:rsidR="009F5479" w:rsidRDefault="009F5479">
            <w:pPr>
              <w:rPr>
                <w:rFonts w:ascii="Calibri" w:hAnsi="Calibri"/>
                <w:b/>
                <w:bCs/>
                <w:sz w:val="16"/>
                <w:szCs w:val="16"/>
              </w:rPr>
            </w:pPr>
          </w:p>
        </w:tc>
      </w:tr>
      <w:tr w:rsidR="009F5479" w14:paraId="1774CC30" w14:textId="77777777" w:rsidTr="009F5479">
        <w:trPr>
          <w:trHeight w:val="40"/>
        </w:trPr>
        <w:tc>
          <w:tcPr>
            <w:tcW w:w="1740" w:type="dxa"/>
            <w:vMerge/>
            <w:tcBorders>
              <w:top w:val="nil"/>
              <w:left w:val="single" w:sz="12" w:space="0" w:color="FFFFFF"/>
              <w:bottom w:val="single" w:sz="12" w:space="0" w:color="FFFFFF"/>
              <w:right w:val="single" w:sz="12" w:space="0" w:color="FFFFFF"/>
            </w:tcBorders>
            <w:vAlign w:val="center"/>
            <w:hideMark/>
          </w:tcPr>
          <w:p w14:paraId="3F0AE2FF" w14:textId="77777777" w:rsidR="009F5479" w:rsidRDefault="009F5479">
            <w:pPr>
              <w:rPr>
                <w:rFonts w:ascii="Calibri" w:hAnsi="Calibri"/>
                <w:b/>
                <w:bCs/>
                <w:sz w:val="16"/>
                <w:szCs w:val="16"/>
              </w:rPr>
            </w:pPr>
          </w:p>
        </w:tc>
        <w:tc>
          <w:tcPr>
            <w:tcW w:w="1120" w:type="dxa"/>
            <w:vMerge/>
            <w:tcBorders>
              <w:top w:val="nil"/>
              <w:left w:val="single" w:sz="12" w:space="0" w:color="FFFFFF"/>
              <w:bottom w:val="single" w:sz="12" w:space="0" w:color="FFFFFF"/>
              <w:right w:val="single" w:sz="12" w:space="0" w:color="FFFFFF"/>
            </w:tcBorders>
            <w:vAlign w:val="center"/>
            <w:hideMark/>
          </w:tcPr>
          <w:p w14:paraId="1FB31DF7" w14:textId="77777777" w:rsidR="009F5479" w:rsidRDefault="009F5479">
            <w:pPr>
              <w:rPr>
                <w:rFonts w:ascii="Calibri" w:hAnsi="Calibri"/>
                <w:b/>
                <w:bCs/>
                <w:sz w:val="16"/>
                <w:szCs w:val="16"/>
              </w:rPr>
            </w:pPr>
          </w:p>
        </w:tc>
        <w:tc>
          <w:tcPr>
            <w:tcW w:w="1280" w:type="dxa"/>
            <w:tcBorders>
              <w:top w:val="nil"/>
              <w:left w:val="single" w:sz="8" w:space="0" w:color="FFFFFF"/>
              <w:bottom w:val="single" w:sz="8" w:space="0" w:color="FFFFFF"/>
              <w:right w:val="single" w:sz="12" w:space="0" w:color="FFFFFF"/>
            </w:tcBorders>
            <w:shd w:val="clear" w:color="000000" w:fill="95B3D7"/>
            <w:vAlign w:val="center"/>
            <w:hideMark/>
          </w:tcPr>
          <w:p w14:paraId="35915197" w14:textId="77777777" w:rsidR="009F5479" w:rsidRDefault="009F5479">
            <w:pPr>
              <w:jc w:val="center"/>
              <w:rPr>
                <w:rFonts w:ascii="Calibri" w:hAnsi="Calibri"/>
                <w:b/>
                <w:bCs/>
                <w:sz w:val="16"/>
                <w:szCs w:val="16"/>
              </w:rPr>
            </w:pPr>
            <w:r>
              <w:rPr>
                <w:rFonts w:ascii="Calibri" w:hAnsi="Calibri"/>
                <w:b/>
                <w:bCs/>
                <w:sz w:val="16"/>
                <w:szCs w:val="16"/>
              </w:rPr>
              <w:t>ANUAL</w:t>
            </w:r>
          </w:p>
        </w:tc>
        <w:tc>
          <w:tcPr>
            <w:tcW w:w="1200" w:type="dxa"/>
            <w:tcBorders>
              <w:top w:val="nil"/>
              <w:left w:val="nil"/>
              <w:bottom w:val="single" w:sz="8" w:space="0" w:color="FFFFFF"/>
              <w:right w:val="nil"/>
            </w:tcBorders>
            <w:shd w:val="clear" w:color="000000" w:fill="95B3D7"/>
            <w:vAlign w:val="center"/>
            <w:hideMark/>
          </w:tcPr>
          <w:p w14:paraId="22F3E4ED" w14:textId="77777777" w:rsidR="009F5479" w:rsidRDefault="009F5479">
            <w:pPr>
              <w:jc w:val="center"/>
              <w:rPr>
                <w:rFonts w:ascii="Calibri" w:hAnsi="Calibri"/>
                <w:b/>
                <w:bCs/>
                <w:sz w:val="16"/>
                <w:szCs w:val="16"/>
              </w:rPr>
            </w:pPr>
            <w:r>
              <w:rPr>
                <w:rFonts w:ascii="Calibri" w:hAnsi="Calibri"/>
                <w:b/>
                <w:bCs/>
                <w:sz w:val="16"/>
                <w:szCs w:val="16"/>
              </w:rPr>
              <w:t>t+1</w:t>
            </w:r>
          </w:p>
        </w:tc>
        <w:tc>
          <w:tcPr>
            <w:tcW w:w="1140" w:type="dxa"/>
            <w:tcBorders>
              <w:top w:val="nil"/>
              <w:left w:val="single" w:sz="12" w:space="0" w:color="FFFFFF"/>
              <w:bottom w:val="single" w:sz="8" w:space="0" w:color="FFFFFF"/>
              <w:right w:val="nil"/>
            </w:tcBorders>
            <w:shd w:val="clear" w:color="000000" w:fill="95B3D7"/>
            <w:vAlign w:val="center"/>
            <w:hideMark/>
          </w:tcPr>
          <w:p w14:paraId="01A20E20" w14:textId="77777777" w:rsidR="009F5479" w:rsidRDefault="009F5479">
            <w:pPr>
              <w:jc w:val="center"/>
              <w:rPr>
                <w:rFonts w:ascii="Calibri" w:hAnsi="Calibri"/>
                <w:b/>
                <w:bCs/>
                <w:sz w:val="16"/>
                <w:szCs w:val="16"/>
              </w:rPr>
            </w:pPr>
            <w:r>
              <w:rPr>
                <w:rFonts w:ascii="Calibri" w:hAnsi="Calibri"/>
                <w:b/>
                <w:bCs/>
                <w:sz w:val="16"/>
                <w:szCs w:val="16"/>
              </w:rPr>
              <w:t>t+2</w:t>
            </w:r>
          </w:p>
        </w:tc>
        <w:tc>
          <w:tcPr>
            <w:tcW w:w="1040" w:type="dxa"/>
            <w:tcBorders>
              <w:top w:val="nil"/>
              <w:left w:val="single" w:sz="12" w:space="0" w:color="FFFFFF"/>
              <w:bottom w:val="single" w:sz="12" w:space="0" w:color="FFFFFF"/>
              <w:right w:val="single" w:sz="12" w:space="0" w:color="FFFFFF"/>
            </w:tcBorders>
            <w:shd w:val="clear" w:color="000000" w:fill="95B3D7"/>
            <w:vAlign w:val="center"/>
            <w:hideMark/>
          </w:tcPr>
          <w:p w14:paraId="410493AD" w14:textId="77777777" w:rsidR="009F5479" w:rsidRDefault="009F5479">
            <w:pPr>
              <w:jc w:val="center"/>
              <w:rPr>
                <w:rFonts w:ascii="Calibri" w:hAnsi="Calibri"/>
                <w:b/>
                <w:bCs/>
                <w:sz w:val="16"/>
                <w:szCs w:val="16"/>
              </w:rPr>
            </w:pPr>
            <w:r>
              <w:rPr>
                <w:rFonts w:ascii="Calibri" w:hAnsi="Calibri"/>
                <w:b/>
                <w:bCs/>
                <w:sz w:val="16"/>
                <w:szCs w:val="16"/>
              </w:rPr>
              <w:t>t+3</w:t>
            </w:r>
          </w:p>
        </w:tc>
        <w:tc>
          <w:tcPr>
            <w:tcW w:w="985" w:type="dxa"/>
            <w:vMerge/>
            <w:tcBorders>
              <w:top w:val="nil"/>
              <w:left w:val="single" w:sz="12" w:space="0" w:color="FFFFFF"/>
              <w:bottom w:val="single" w:sz="12" w:space="0" w:color="FFFFFF"/>
              <w:right w:val="single" w:sz="12" w:space="0" w:color="FFFFFF"/>
            </w:tcBorders>
            <w:vAlign w:val="center"/>
            <w:hideMark/>
          </w:tcPr>
          <w:p w14:paraId="67A23A93" w14:textId="77777777" w:rsidR="009F5479" w:rsidRDefault="009F5479">
            <w:pPr>
              <w:rPr>
                <w:rFonts w:ascii="Calibri" w:hAnsi="Calibri"/>
                <w:b/>
                <w:bCs/>
                <w:sz w:val="16"/>
                <w:szCs w:val="16"/>
              </w:rPr>
            </w:pPr>
          </w:p>
        </w:tc>
        <w:tc>
          <w:tcPr>
            <w:tcW w:w="1776" w:type="dxa"/>
            <w:vMerge/>
            <w:tcBorders>
              <w:top w:val="nil"/>
              <w:left w:val="single" w:sz="12" w:space="0" w:color="FFFFFF"/>
              <w:bottom w:val="single" w:sz="12" w:space="0" w:color="FFFFFF"/>
              <w:right w:val="single" w:sz="12" w:space="0" w:color="FFFFFF"/>
            </w:tcBorders>
            <w:vAlign w:val="center"/>
            <w:hideMark/>
          </w:tcPr>
          <w:p w14:paraId="55ADFFD4" w14:textId="77777777" w:rsidR="009F5479" w:rsidRDefault="009F5479">
            <w:pPr>
              <w:rPr>
                <w:rFonts w:ascii="Calibri" w:hAnsi="Calibri"/>
                <w:b/>
                <w:bCs/>
                <w:sz w:val="16"/>
                <w:szCs w:val="16"/>
              </w:rPr>
            </w:pPr>
          </w:p>
        </w:tc>
        <w:tc>
          <w:tcPr>
            <w:tcW w:w="2477" w:type="dxa"/>
            <w:vMerge/>
            <w:tcBorders>
              <w:top w:val="nil"/>
              <w:left w:val="single" w:sz="12" w:space="0" w:color="FFFFFF"/>
              <w:bottom w:val="single" w:sz="12" w:space="0" w:color="FFFFFF"/>
              <w:right w:val="single" w:sz="12" w:space="0" w:color="FFFFFF"/>
            </w:tcBorders>
            <w:vAlign w:val="center"/>
            <w:hideMark/>
          </w:tcPr>
          <w:p w14:paraId="0F3C4D79" w14:textId="77777777" w:rsidR="009F5479" w:rsidRDefault="009F5479">
            <w:pPr>
              <w:rPr>
                <w:rFonts w:ascii="Calibri" w:hAnsi="Calibri"/>
                <w:b/>
                <w:bCs/>
                <w:sz w:val="16"/>
                <w:szCs w:val="16"/>
              </w:rPr>
            </w:pPr>
          </w:p>
        </w:tc>
      </w:tr>
      <w:tr w:rsidR="009F5479" w14:paraId="6C54D862" w14:textId="77777777" w:rsidTr="009F5479">
        <w:trPr>
          <w:trHeight w:val="308"/>
        </w:trPr>
        <w:tc>
          <w:tcPr>
            <w:tcW w:w="1740" w:type="dxa"/>
            <w:tcBorders>
              <w:top w:val="nil"/>
              <w:left w:val="single" w:sz="12" w:space="0" w:color="FFFFFF"/>
              <w:bottom w:val="nil"/>
              <w:right w:val="single" w:sz="12" w:space="0" w:color="FFFFFF"/>
            </w:tcBorders>
            <w:shd w:val="clear" w:color="000000" w:fill="D9D9D9"/>
            <w:vAlign w:val="center"/>
            <w:hideMark/>
          </w:tcPr>
          <w:p w14:paraId="76CA0DDF" w14:textId="77777777" w:rsidR="009F5479" w:rsidRDefault="009F5479">
            <w:pPr>
              <w:jc w:val="center"/>
              <w:rPr>
                <w:rFonts w:ascii="Calibri" w:hAnsi="Calibri"/>
                <w:sz w:val="16"/>
                <w:szCs w:val="16"/>
              </w:rPr>
            </w:pPr>
            <w:r>
              <w:rPr>
                <w:rFonts w:ascii="Calibri" w:hAnsi="Calibri"/>
                <w:sz w:val="16"/>
                <w:szCs w:val="16"/>
              </w:rPr>
              <w:t>Implementación SBR</w:t>
            </w:r>
          </w:p>
        </w:tc>
        <w:tc>
          <w:tcPr>
            <w:tcW w:w="1120" w:type="dxa"/>
            <w:tcBorders>
              <w:top w:val="nil"/>
              <w:left w:val="nil"/>
              <w:bottom w:val="nil"/>
              <w:right w:val="single" w:sz="12" w:space="0" w:color="FFFFFF"/>
            </w:tcBorders>
            <w:shd w:val="clear" w:color="000000" w:fill="D9D9D9"/>
            <w:vAlign w:val="center"/>
            <w:hideMark/>
          </w:tcPr>
          <w:p w14:paraId="40832C4E" w14:textId="77777777" w:rsidR="009F5479" w:rsidRDefault="009F5479">
            <w:pPr>
              <w:jc w:val="center"/>
              <w:rPr>
                <w:rFonts w:ascii="Calibri" w:hAnsi="Calibri"/>
                <w:sz w:val="16"/>
                <w:szCs w:val="16"/>
              </w:rPr>
            </w:pPr>
            <w:r>
              <w:rPr>
                <w:rFonts w:ascii="Calibri" w:hAnsi="Calibri"/>
                <w:sz w:val="16"/>
                <w:szCs w:val="16"/>
              </w:rPr>
              <w:t>0%</w:t>
            </w:r>
          </w:p>
        </w:tc>
        <w:tc>
          <w:tcPr>
            <w:tcW w:w="1280" w:type="dxa"/>
            <w:tcBorders>
              <w:top w:val="single" w:sz="12" w:space="0" w:color="FFFFFF"/>
              <w:left w:val="nil"/>
              <w:bottom w:val="nil"/>
              <w:right w:val="single" w:sz="12" w:space="0" w:color="FFFFFF"/>
            </w:tcBorders>
            <w:shd w:val="clear" w:color="000000" w:fill="D9D9D9"/>
            <w:vAlign w:val="center"/>
            <w:hideMark/>
          </w:tcPr>
          <w:p w14:paraId="034795C4" w14:textId="77777777" w:rsidR="009F5479" w:rsidRDefault="009F5479">
            <w:pPr>
              <w:jc w:val="center"/>
              <w:rPr>
                <w:rFonts w:ascii="Calibri" w:hAnsi="Calibri"/>
                <w:sz w:val="16"/>
                <w:szCs w:val="16"/>
              </w:rPr>
            </w:pPr>
            <w:r>
              <w:rPr>
                <w:rFonts w:ascii="Calibri" w:hAnsi="Calibri"/>
                <w:sz w:val="16"/>
                <w:szCs w:val="16"/>
              </w:rPr>
              <w:t>25%</w:t>
            </w:r>
          </w:p>
        </w:tc>
        <w:tc>
          <w:tcPr>
            <w:tcW w:w="1200" w:type="dxa"/>
            <w:tcBorders>
              <w:top w:val="single" w:sz="12" w:space="0" w:color="FFFFFF"/>
              <w:left w:val="nil"/>
              <w:bottom w:val="nil"/>
              <w:right w:val="single" w:sz="12" w:space="0" w:color="FFFFFF"/>
            </w:tcBorders>
            <w:shd w:val="clear" w:color="000000" w:fill="D9D9D9"/>
            <w:vAlign w:val="center"/>
            <w:hideMark/>
          </w:tcPr>
          <w:p w14:paraId="6C49231E" w14:textId="77777777" w:rsidR="009F5479" w:rsidRDefault="009F5479">
            <w:pPr>
              <w:jc w:val="center"/>
              <w:rPr>
                <w:rFonts w:ascii="Calibri" w:hAnsi="Calibri"/>
                <w:sz w:val="16"/>
                <w:szCs w:val="16"/>
              </w:rPr>
            </w:pPr>
            <w:r>
              <w:rPr>
                <w:rFonts w:ascii="Calibri" w:hAnsi="Calibri"/>
                <w:sz w:val="16"/>
                <w:szCs w:val="16"/>
              </w:rPr>
              <w:t>50%</w:t>
            </w:r>
          </w:p>
        </w:tc>
        <w:tc>
          <w:tcPr>
            <w:tcW w:w="1140" w:type="dxa"/>
            <w:tcBorders>
              <w:top w:val="single" w:sz="12" w:space="0" w:color="FFFFFF"/>
              <w:left w:val="nil"/>
              <w:bottom w:val="nil"/>
              <w:right w:val="single" w:sz="12" w:space="0" w:color="FFFFFF"/>
            </w:tcBorders>
            <w:shd w:val="clear" w:color="000000" w:fill="D9D9D9"/>
            <w:vAlign w:val="center"/>
            <w:hideMark/>
          </w:tcPr>
          <w:p w14:paraId="4CD52877" w14:textId="77777777" w:rsidR="009F5479" w:rsidRDefault="009F5479">
            <w:pPr>
              <w:jc w:val="center"/>
              <w:rPr>
                <w:rFonts w:ascii="Calibri" w:hAnsi="Calibri"/>
                <w:sz w:val="16"/>
                <w:szCs w:val="16"/>
              </w:rPr>
            </w:pPr>
            <w:r>
              <w:rPr>
                <w:rFonts w:ascii="Calibri" w:hAnsi="Calibri"/>
                <w:sz w:val="16"/>
                <w:szCs w:val="16"/>
              </w:rPr>
              <w:t>100%</w:t>
            </w:r>
          </w:p>
        </w:tc>
        <w:tc>
          <w:tcPr>
            <w:tcW w:w="1040" w:type="dxa"/>
            <w:tcBorders>
              <w:top w:val="nil"/>
              <w:left w:val="nil"/>
              <w:bottom w:val="nil"/>
              <w:right w:val="single" w:sz="12" w:space="0" w:color="FFFFFF"/>
            </w:tcBorders>
            <w:shd w:val="clear" w:color="000000" w:fill="D9D9D9"/>
            <w:vAlign w:val="center"/>
            <w:hideMark/>
          </w:tcPr>
          <w:p w14:paraId="287E43A9" w14:textId="77777777" w:rsidR="009F5479" w:rsidRDefault="009F5479">
            <w:pPr>
              <w:jc w:val="center"/>
              <w:rPr>
                <w:rFonts w:ascii="Calibri" w:hAnsi="Calibri"/>
                <w:sz w:val="16"/>
                <w:szCs w:val="16"/>
              </w:rPr>
            </w:pPr>
            <w:r>
              <w:rPr>
                <w:rFonts w:ascii="Calibri" w:hAnsi="Calibri"/>
                <w:sz w:val="16"/>
                <w:szCs w:val="16"/>
              </w:rPr>
              <w:t>N.D</w:t>
            </w:r>
          </w:p>
        </w:tc>
        <w:tc>
          <w:tcPr>
            <w:tcW w:w="985" w:type="dxa"/>
            <w:tcBorders>
              <w:top w:val="nil"/>
              <w:left w:val="nil"/>
              <w:bottom w:val="nil"/>
              <w:right w:val="single" w:sz="12" w:space="0" w:color="FFFFFF"/>
            </w:tcBorders>
            <w:shd w:val="clear" w:color="000000" w:fill="D9D9D9"/>
            <w:vAlign w:val="center"/>
            <w:hideMark/>
          </w:tcPr>
          <w:p w14:paraId="0EF6697D" w14:textId="77777777" w:rsidR="009F5479" w:rsidRDefault="009F5479">
            <w:pPr>
              <w:jc w:val="center"/>
              <w:rPr>
                <w:rFonts w:ascii="Calibri" w:hAnsi="Calibri"/>
                <w:sz w:val="16"/>
                <w:szCs w:val="16"/>
              </w:rPr>
            </w:pPr>
            <w:r>
              <w:rPr>
                <w:rFonts w:ascii="Calibri" w:hAnsi="Calibri"/>
                <w:sz w:val="16"/>
                <w:szCs w:val="16"/>
              </w:rPr>
              <w:t>₡770.4</w:t>
            </w:r>
          </w:p>
        </w:tc>
        <w:tc>
          <w:tcPr>
            <w:tcW w:w="1776" w:type="dxa"/>
            <w:tcBorders>
              <w:top w:val="nil"/>
              <w:left w:val="nil"/>
              <w:bottom w:val="nil"/>
              <w:right w:val="single" w:sz="12" w:space="0" w:color="FFFFFF"/>
            </w:tcBorders>
            <w:shd w:val="clear" w:color="000000" w:fill="D9D9D9"/>
            <w:vAlign w:val="center"/>
            <w:hideMark/>
          </w:tcPr>
          <w:p w14:paraId="1E3991A4" w14:textId="77777777" w:rsidR="009F5479" w:rsidRDefault="009F5479">
            <w:pPr>
              <w:jc w:val="center"/>
              <w:rPr>
                <w:rFonts w:ascii="Calibri" w:hAnsi="Calibri"/>
                <w:sz w:val="16"/>
                <w:szCs w:val="16"/>
              </w:rPr>
            </w:pPr>
            <w:r>
              <w:rPr>
                <w:rFonts w:ascii="Calibri" w:hAnsi="Calibri"/>
                <w:sz w:val="16"/>
                <w:szCs w:val="16"/>
              </w:rPr>
              <w:t>Recursos propios</w:t>
            </w:r>
          </w:p>
        </w:tc>
        <w:tc>
          <w:tcPr>
            <w:tcW w:w="2477" w:type="dxa"/>
            <w:tcBorders>
              <w:top w:val="nil"/>
              <w:left w:val="nil"/>
              <w:bottom w:val="nil"/>
              <w:right w:val="nil"/>
            </w:tcBorders>
            <w:shd w:val="clear" w:color="000000" w:fill="D9D9D9"/>
            <w:vAlign w:val="center"/>
            <w:hideMark/>
          </w:tcPr>
          <w:p w14:paraId="21950105" w14:textId="77777777" w:rsidR="009F5479" w:rsidRDefault="009F5479">
            <w:pPr>
              <w:jc w:val="center"/>
              <w:rPr>
                <w:rFonts w:ascii="Calibri" w:hAnsi="Calibri"/>
                <w:sz w:val="16"/>
                <w:szCs w:val="16"/>
              </w:rPr>
            </w:pPr>
            <w:r>
              <w:rPr>
                <w:rFonts w:ascii="Calibri" w:hAnsi="Calibri"/>
                <w:sz w:val="16"/>
                <w:szCs w:val="16"/>
              </w:rPr>
              <w:t> </w:t>
            </w:r>
          </w:p>
        </w:tc>
      </w:tr>
      <w:tr w:rsidR="009F5479" w14:paraId="510F42DB" w14:textId="77777777" w:rsidTr="009F5479">
        <w:trPr>
          <w:trHeight w:val="399"/>
        </w:trPr>
        <w:tc>
          <w:tcPr>
            <w:tcW w:w="1740" w:type="dxa"/>
            <w:tcBorders>
              <w:top w:val="single" w:sz="12" w:space="0" w:color="FFFFFF"/>
              <w:left w:val="single" w:sz="12" w:space="0" w:color="FFFFFF"/>
              <w:bottom w:val="nil"/>
              <w:right w:val="single" w:sz="12" w:space="0" w:color="FFFFFF"/>
            </w:tcBorders>
            <w:shd w:val="clear" w:color="000000" w:fill="D9D9D9"/>
            <w:vAlign w:val="center"/>
            <w:hideMark/>
          </w:tcPr>
          <w:p w14:paraId="0DFE10F4" w14:textId="77777777" w:rsidR="009F5479" w:rsidRDefault="009F5479">
            <w:pPr>
              <w:jc w:val="center"/>
              <w:rPr>
                <w:rFonts w:ascii="Calibri" w:hAnsi="Calibri"/>
                <w:sz w:val="16"/>
                <w:szCs w:val="16"/>
              </w:rPr>
            </w:pPr>
            <w:r>
              <w:rPr>
                <w:rFonts w:ascii="Calibri" w:hAnsi="Calibri"/>
                <w:sz w:val="16"/>
                <w:szCs w:val="16"/>
              </w:rPr>
              <w:t>Cronograma</w:t>
            </w:r>
          </w:p>
        </w:tc>
        <w:tc>
          <w:tcPr>
            <w:tcW w:w="1120" w:type="dxa"/>
            <w:tcBorders>
              <w:top w:val="single" w:sz="12" w:space="0" w:color="FFFFFF"/>
              <w:left w:val="nil"/>
              <w:bottom w:val="nil"/>
              <w:right w:val="single" w:sz="12" w:space="0" w:color="FFFFFF"/>
            </w:tcBorders>
            <w:shd w:val="clear" w:color="000000" w:fill="D9D9D9"/>
            <w:vAlign w:val="center"/>
            <w:hideMark/>
          </w:tcPr>
          <w:p w14:paraId="66DD231A" w14:textId="77777777" w:rsidR="009F5479" w:rsidRDefault="009F5479">
            <w:pPr>
              <w:jc w:val="center"/>
              <w:rPr>
                <w:rFonts w:ascii="Calibri" w:hAnsi="Calibri"/>
                <w:sz w:val="16"/>
                <w:szCs w:val="16"/>
              </w:rPr>
            </w:pPr>
            <w:r>
              <w:rPr>
                <w:rFonts w:ascii="Calibri" w:hAnsi="Calibri"/>
                <w:sz w:val="16"/>
                <w:szCs w:val="16"/>
              </w:rPr>
              <w:t>40%</w:t>
            </w:r>
          </w:p>
        </w:tc>
        <w:tc>
          <w:tcPr>
            <w:tcW w:w="1280" w:type="dxa"/>
            <w:tcBorders>
              <w:top w:val="single" w:sz="12" w:space="0" w:color="FFFFFF"/>
              <w:left w:val="nil"/>
              <w:bottom w:val="nil"/>
              <w:right w:val="single" w:sz="12" w:space="0" w:color="FFFFFF"/>
            </w:tcBorders>
            <w:shd w:val="clear" w:color="000000" w:fill="D9D9D9"/>
            <w:vAlign w:val="center"/>
            <w:hideMark/>
          </w:tcPr>
          <w:p w14:paraId="4C987AB4" w14:textId="77777777" w:rsidR="009F5479" w:rsidRDefault="009F5479">
            <w:pPr>
              <w:jc w:val="center"/>
              <w:rPr>
                <w:rFonts w:ascii="Calibri" w:hAnsi="Calibri"/>
                <w:sz w:val="16"/>
                <w:szCs w:val="16"/>
              </w:rPr>
            </w:pPr>
            <w:r>
              <w:rPr>
                <w:rFonts w:ascii="Calibri" w:hAnsi="Calibri"/>
                <w:sz w:val="16"/>
                <w:szCs w:val="16"/>
              </w:rPr>
              <w:t>80%</w:t>
            </w:r>
          </w:p>
        </w:tc>
        <w:tc>
          <w:tcPr>
            <w:tcW w:w="1200" w:type="dxa"/>
            <w:tcBorders>
              <w:top w:val="single" w:sz="12" w:space="0" w:color="FFFFFF"/>
              <w:left w:val="nil"/>
              <w:bottom w:val="nil"/>
              <w:right w:val="single" w:sz="12" w:space="0" w:color="FFFFFF"/>
            </w:tcBorders>
            <w:shd w:val="clear" w:color="000000" w:fill="D9D9D9"/>
            <w:vAlign w:val="center"/>
            <w:hideMark/>
          </w:tcPr>
          <w:p w14:paraId="10A83890" w14:textId="77777777" w:rsidR="009F5479" w:rsidRDefault="009F5479">
            <w:pPr>
              <w:jc w:val="center"/>
              <w:rPr>
                <w:rFonts w:ascii="Calibri" w:hAnsi="Calibri"/>
                <w:sz w:val="16"/>
                <w:szCs w:val="16"/>
              </w:rPr>
            </w:pPr>
            <w:r>
              <w:rPr>
                <w:rFonts w:ascii="Calibri" w:hAnsi="Calibri"/>
                <w:sz w:val="16"/>
                <w:szCs w:val="16"/>
              </w:rPr>
              <w:t>100%</w:t>
            </w:r>
          </w:p>
        </w:tc>
        <w:tc>
          <w:tcPr>
            <w:tcW w:w="1140" w:type="dxa"/>
            <w:tcBorders>
              <w:top w:val="single" w:sz="12" w:space="0" w:color="FFFFFF"/>
              <w:left w:val="nil"/>
              <w:bottom w:val="nil"/>
              <w:right w:val="single" w:sz="12" w:space="0" w:color="FFFFFF"/>
            </w:tcBorders>
            <w:shd w:val="clear" w:color="000000" w:fill="D9D9D9"/>
            <w:vAlign w:val="center"/>
            <w:hideMark/>
          </w:tcPr>
          <w:p w14:paraId="208EB8BE" w14:textId="77777777" w:rsidR="009F5479" w:rsidRDefault="009F5479">
            <w:pPr>
              <w:jc w:val="center"/>
              <w:rPr>
                <w:rFonts w:ascii="Calibri" w:hAnsi="Calibri"/>
                <w:sz w:val="16"/>
                <w:szCs w:val="16"/>
              </w:rPr>
            </w:pPr>
            <w:r>
              <w:rPr>
                <w:rFonts w:ascii="Calibri" w:hAnsi="Calibri"/>
                <w:sz w:val="16"/>
                <w:szCs w:val="16"/>
              </w:rPr>
              <w:t>N.D</w:t>
            </w:r>
          </w:p>
        </w:tc>
        <w:tc>
          <w:tcPr>
            <w:tcW w:w="1040" w:type="dxa"/>
            <w:tcBorders>
              <w:top w:val="single" w:sz="12" w:space="0" w:color="FFFFFF"/>
              <w:left w:val="nil"/>
              <w:bottom w:val="nil"/>
              <w:right w:val="single" w:sz="12" w:space="0" w:color="FFFFFF"/>
            </w:tcBorders>
            <w:shd w:val="clear" w:color="000000" w:fill="D9D9D9"/>
            <w:vAlign w:val="center"/>
            <w:hideMark/>
          </w:tcPr>
          <w:p w14:paraId="1E520EFE" w14:textId="77777777" w:rsidR="009F5479" w:rsidRDefault="009F5479">
            <w:pPr>
              <w:jc w:val="center"/>
              <w:rPr>
                <w:rFonts w:ascii="Calibri" w:hAnsi="Calibri"/>
                <w:sz w:val="16"/>
                <w:szCs w:val="16"/>
              </w:rPr>
            </w:pPr>
            <w:r>
              <w:rPr>
                <w:rFonts w:ascii="Calibri" w:hAnsi="Calibri"/>
                <w:sz w:val="16"/>
                <w:szCs w:val="16"/>
              </w:rPr>
              <w:t>N.D</w:t>
            </w:r>
          </w:p>
        </w:tc>
        <w:tc>
          <w:tcPr>
            <w:tcW w:w="985" w:type="dxa"/>
            <w:tcBorders>
              <w:top w:val="single" w:sz="12" w:space="0" w:color="FFFFFF"/>
              <w:left w:val="nil"/>
              <w:bottom w:val="nil"/>
              <w:right w:val="single" w:sz="12" w:space="0" w:color="FFFFFF"/>
            </w:tcBorders>
            <w:shd w:val="clear" w:color="000000" w:fill="D9D9D9"/>
            <w:vAlign w:val="center"/>
            <w:hideMark/>
          </w:tcPr>
          <w:p w14:paraId="4D15E211" w14:textId="77777777" w:rsidR="009F5479" w:rsidRDefault="009F5479">
            <w:pPr>
              <w:jc w:val="center"/>
              <w:rPr>
                <w:rFonts w:ascii="Calibri" w:hAnsi="Calibri"/>
                <w:sz w:val="16"/>
                <w:szCs w:val="16"/>
              </w:rPr>
            </w:pPr>
            <w:r>
              <w:rPr>
                <w:rFonts w:ascii="Calibri" w:hAnsi="Calibri"/>
                <w:sz w:val="16"/>
                <w:szCs w:val="16"/>
              </w:rPr>
              <w:t>₡67.1</w:t>
            </w:r>
          </w:p>
        </w:tc>
        <w:tc>
          <w:tcPr>
            <w:tcW w:w="1776" w:type="dxa"/>
            <w:tcBorders>
              <w:top w:val="single" w:sz="12" w:space="0" w:color="FFFFFF"/>
              <w:left w:val="nil"/>
              <w:bottom w:val="nil"/>
              <w:right w:val="single" w:sz="12" w:space="0" w:color="FFFFFF"/>
            </w:tcBorders>
            <w:shd w:val="clear" w:color="000000" w:fill="D9D9D9"/>
            <w:vAlign w:val="center"/>
            <w:hideMark/>
          </w:tcPr>
          <w:p w14:paraId="5B8E7E11" w14:textId="77777777" w:rsidR="009F5479" w:rsidRDefault="009F5479">
            <w:pPr>
              <w:jc w:val="center"/>
              <w:rPr>
                <w:rFonts w:ascii="Calibri" w:hAnsi="Calibri"/>
                <w:sz w:val="16"/>
                <w:szCs w:val="16"/>
              </w:rPr>
            </w:pPr>
            <w:r>
              <w:rPr>
                <w:rFonts w:ascii="Calibri" w:hAnsi="Calibri"/>
                <w:sz w:val="16"/>
                <w:szCs w:val="16"/>
              </w:rPr>
              <w:t>Recursos propios</w:t>
            </w:r>
          </w:p>
        </w:tc>
        <w:tc>
          <w:tcPr>
            <w:tcW w:w="2477" w:type="dxa"/>
            <w:tcBorders>
              <w:top w:val="single" w:sz="12" w:space="0" w:color="FFFFFF"/>
              <w:left w:val="nil"/>
              <w:bottom w:val="nil"/>
              <w:right w:val="nil"/>
            </w:tcBorders>
            <w:shd w:val="clear" w:color="000000" w:fill="D9D9D9"/>
            <w:vAlign w:val="center"/>
            <w:hideMark/>
          </w:tcPr>
          <w:p w14:paraId="04872E7E" w14:textId="77777777" w:rsidR="009F5479" w:rsidRDefault="009F5479">
            <w:pPr>
              <w:jc w:val="center"/>
              <w:rPr>
                <w:rFonts w:ascii="Calibri" w:hAnsi="Calibri"/>
                <w:sz w:val="16"/>
                <w:szCs w:val="16"/>
              </w:rPr>
            </w:pPr>
            <w:r>
              <w:rPr>
                <w:rFonts w:ascii="Calibri" w:hAnsi="Calibri"/>
                <w:sz w:val="16"/>
                <w:szCs w:val="16"/>
              </w:rPr>
              <w:t> </w:t>
            </w:r>
          </w:p>
        </w:tc>
      </w:tr>
      <w:tr w:rsidR="009F5479" w14:paraId="30463A4E" w14:textId="77777777" w:rsidTr="009F5479">
        <w:trPr>
          <w:trHeight w:val="391"/>
        </w:trPr>
        <w:tc>
          <w:tcPr>
            <w:tcW w:w="1740" w:type="dxa"/>
            <w:tcBorders>
              <w:top w:val="single" w:sz="12" w:space="0" w:color="FFFFFF"/>
              <w:left w:val="single" w:sz="12" w:space="0" w:color="FFFFFF"/>
              <w:bottom w:val="nil"/>
              <w:right w:val="single" w:sz="12" w:space="0" w:color="FFFFFF"/>
            </w:tcBorders>
            <w:shd w:val="clear" w:color="000000" w:fill="D9D9D9"/>
            <w:vAlign w:val="center"/>
            <w:hideMark/>
          </w:tcPr>
          <w:p w14:paraId="5184B668" w14:textId="77777777" w:rsidR="009F5479" w:rsidRDefault="009F5479">
            <w:pPr>
              <w:jc w:val="center"/>
              <w:rPr>
                <w:rFonts w:ascii="Calibri" w:hAnsi="Calibri"/>
                <w:color w:val="000000"/>
                <w:sz w:val="16"/>
                <w:szCs w:val="16"/>
              </w:rPr>
            </w:pPr>
            <w:r>
              <w:rPr>
                <w:rFonts w:ascii="Calibri" w:hAnsi="Calibri"/>
                <w:color w:val="000000"/>
                <w:sz w:val="16"/>
                <w:szCs w:val="16"/>
              </w:rPr>
              <w:t>Cronograma</w:t>
            </w:r>
          </w:p>
        </w:tc>
        <w:tc>
          <w:tcPr>
            <w:tcW w:w="1120" w:type="dxa"/>
            <w:tcBorders>
              <w:top w:val="single" w:sz="12" w:space="0" w:color="FFFFFF"/>
              <w:left w:val="nil"/>
              <w:bottom w:val="nil"/>
              <w:right w:val="single" w:sz="12" w:space="0" w:color="FFFFFF"/>
            </w:tcBorders>
            <w:shd w:val="clear" w:color="000000" w:fill="D9D9D9"/>
            <w:vAlign w:val="center"/>
            <w:hideMark/>
          </w:tcPr>
          <w:p w14:paraId="6B568E5E" w14:textId="77777777" w:rsidR="009F5479" w:rsidRDefault="009F5479">
            <w:pPr>
              <w:jc w:val="center"/>
              <w:rPr>
                <w:rFonts w:ascii="Calibri" w:hAnsi="Calibri"/>
                <w:sz w:val="16"/>
                <w:szCs w:val="16"/>
              </w:rPr>
            </w:pPr>
            <w:r>
              <w:rPr>
                <w:rFonts w:ascii="Calibri" w:hAnsi="Calibri"/>
                <w:sz w:val="16"/>
                <w:szCs w:val="16"/>
              </w:rPr>
              <w:t>40%</w:t>
            </w:r>
          </w:p>
        </w:tc>
        <w:tc>
          <w:tcPr>
            <w:tcW w:w="1280" w:type="dxa"/>
            <w:tcBorders>
              <w:top w:val="single" w:sz="12" w:space="0" w:color="FFFFFF"/>
              <w:left w:val="nil"/>
              <w:bottom w:val="nil"/>
              <w:right w:val="single" w:sz="12" w:space="0" w:color="FFFFFF"/>
            </w:tcBorders>
            <w:shd w:val="clear" w:color="000000" w:fill="D9D9D9"/>
            <w:vAlign w:val="center"/>
            <w:hideMark/>
          </w:tcPr>
          <w:p w14:paraId="72A09D23" w14:textId="77777777" w:rsidR="009F5479" w:rsidRDefault="009F5479">
            <w:pPr>
              <w:jc w:val="center"/>
              <w:rPr>
                <w:rFonts w:ascii="Calibri" w:hAnsi="Calibri"/>
                <w:sz w:val="16"/>
                <w:szCs w:val="16"/>
              </w:rPr>
            </w:pPr>
            <w:r>
              <w:rPr>
                <w:rFonts w:ascii="Calibri" w:hAnsi="Calibri"/>
                <w:sz w:val="16"/>
                <w:szCs w:val="16"/>
              </w:rPr>
              <w:t>80%</w:t>
            </w:r>
          </w:p>
        </w:tc>
        <w:tc>
          <w:tcPr>
            <w:tcW w:w="1200" w:type="dxa"/>
            <w:tcBorders>
              <w:top w:val="single" w:sz="12" w:space="0" w:color="FFFFFF"/>
              <w:left w:val="nil"/>
              <w:bottom w:val="nil"/>
              <w:right w:val="single" w:sz="12" w:space="0" w:color="FFFFFF"/>
            </w:tcBorders>
            <w:shd w:val="clear" w:color="000000" w:fill="D9D9D9"/>
            <w:vAlign w:val="center"/>
            <w:hideMark/>
          </w:tcPr>
          <w:p w14:paraId="16B944A0" w14:textId="77777777" w:rsidR="009F5479" w:rsidRDefault="009F5479">
            <w:pPr>
              <w:jc w:val="center"/>
              <w:rPr>
                <w:rFonts w:ascii="Calibri" w:hAnsi="Calibri"/>
                <w:sz w:val="16"/>
                <w:szCs w:val="16"/>
              </w:rPr>
            </w:pPr>
            <w:r>
              <w:rPr>
                <w:rFonts w:ascii="Calibri" w:hAnsi="Calibri"/>
                <w:sz w:val="16"/>
                <w:szCs w:val="16"/>
              </w:rPr>
              <w:t>100%</w:t>
            </w:r>
          </w:p>
        </w:tc>
        <w:tc>
          <w:tcPr>
            <w:tcW w:w="1140" w:type="dxa"/>
            <w:tcBorders>
              <w:top w:val="single" w:sz="12" w:space="0" w:color="FFFFFF"/>
              <w:left w:val="nil"/>
              <w:bottom w:val="nil"/>
              <w:right w:val="single" w:sz="12" w:space="0" w:color="FFFFFF"/>
            </w:tcBorders>
            <w:shd w:val="clear" w:color="000000" w:fill="D9D9D9"/>
            <w:vAlign w:val="center"/>
            <w:hideMark/>
          </w:tcPr>
          <w:p w14:paraId="5C8A59CF" w14:textId="77777777" w:rsidR="009F5479" w:rsidRDefault="009F5479">
            <w:pPr>
              <w:jc w:val="center"/>
              <w:rPr>
                <w:rFonts w:ascii="Calibri" w:hAnsi="Calibri"/>
                <w:sz w:val="16"/>
                <w:szCs w:val="16"/>
              </w:rPr>
            </w:pPr>
            <w:r>
              <w:rPr>
                <w:rFonts w:ascii="Calibri" w:hAnsi="Calibri"/>
                <w:sz w:val="16"/>
                <w:szCs w:val="16"/>
              </w:rPr>
              <w:t>N.D</w:t>
            </w:r>
          </w:p>
        </w:tc>
        <w:tc>
          <w:tcPr>
            <w:tcW w:w="1040" w:type="dxa"/>
            <w:tcBorders>
              <w:top w:val="single" w:sz="12" w:space="0" w:color="FFFFFF"/>
              <w:left w:val="nil"/>
              <w:bottom w:val="nil"/>
              <w:right w:val="single" w:sz="12" w:space="0" w:color="FFFFFF"/>
            </w:tcBorders>
            <w:shd w:val="clear" w:color="000000" w:fill="D9D9D9"/>
            <w:vAlign w:val="center"/>
            <w:hideMark/>
          </w:tcPr>
          <w:p w14:paraId="42A43011" w14:textId="77777777" w:rsidR="009F5479" w:rsidRDefault="009F5479">
            <w:pPr>
              <w:jc w:val="center"/>
              <w:rPr>
                <w:rFonts w:ascii="Calibri" w:hAnsi="Calibri"/>
                <w:sz w:val="16"/>
                <w:szCs w:val="16"/>
              </w:rPr>
            </w:pPr>
            <w:r>
              <w:rPr>
                <w:rFonts w:ascii="Calibri" w:hAnsi="Calibri"/>
                <w:sz w:val="16"/>
                <w:szCs w:val="16"/>
              </w:rPr>
              <w:t>N.D</w:t>
            </w:r>
          </w:p>
        </w:tc>
        <w:tc>
          <w:tcPr>
            <w:tcW w:w="985" w:type="dxa"/>
            <w:tcBorders>
              <w:top w:val="single" w:sz="12" w:space="0" w:color="FFFFFF"/>
              <w:left w:val="nil"/>
              <w:bottom w:val="nil"/>
              <w:right w:val="single" w:sz="12" w:space="0" w:color="FFFFFF"/>
            </w:tcBorders>
            <w:shd w:val="clear" w:color="000000" w:fill="D9D9D9"/>
            <w:vAlign w:val="center"/>
            <w:hideMark/>
          </w:tcPr>
          <w:p w14:paraId="2FD4DC29" w14:textId="77777777" w:rsidR="009F5479" w:rsidRDefault="009F5479">
            <w:pPr>
              <w:jc w:val="center"/>
              <w:rPr>
                <w:rFonts w:ascii="Calibri" w:hAnsi="Calibri"/>
                <w:sz w:val="16"/>
                <w:szCs w:val="16"/>
              </w:rPr>
            </w:pPr>
            <w:r>
              <w:rPr>
                <w:rFonts w:ascii="Calibri" w:hAnsi="Calibri"/>
                <w:sz w:val="16"/>
                <w:szCs w:val="16"/>
              </w:rPr>
              <w:t>₡69.3</w:t>
            </w:r>
          </w:p>
        </w:tc>
        <w:tc>
          <w:tcPr>
            <w:tcW w:w="1776" w:type="dxa"/>
            <w:tcBorders>
              <w:top w:val="single" w:sz="12" w:space="0" w:color="FFFFFF"/>
              <w:left w:val="nil"/>
              <w:bottom w:val="nil"/>
              <w:right w:val="single" w:sz="12" w:space="0" w:color="FFFFFF"/>
            </w:tcBorders>
            <w:shd w:val="clear" w:color="000000" w:fill="D9D9D9"/>
            <w:vAlign w:val="center"/>
            <w:hideMark/>
          </w:tcPr>
          <w:p w14:paraId="140EDE86" w14:textId="77777777" w:rsidR="009F5479" w:rsidRDefault="009F5479">
            <w:pPr>
              <w:jc w:val="center"/>
              <w:rPr>
                <w:rFonts w:ascii="Calibri" w:hAnsi="Calibri"/>
                <w:sz w:val="16"/>
                <w:szCs w:val="16"/>
              </w:rPr>
            </w:pPr>
            <w:r>
              <w:rPr>
                <w:rFonts w:ascii="Calibri" w:hAnsi="Calibri"/>
                <w:sz w:val="16"/>
                <w:szCs w:val="16"/>
              </w:rPr>
              <w:t>Recursos propios</w:t>
            </w:r>
          </w:p>
        </w:tc>
        <w:tc>
          <w:tcPr>
            <w:tcW w:w="2477" w:type="dxa"/>
            <w:tcBorders>
              <w:top w:val="single" w:sz="12" w:space="0" w:color="FFFFFF"/>
              <w:left w:val="nil"/>
              <w:bottom w:val="nil"/>
              <w:right w:val="single" w:sz="12" w:space="0" w:color="FFFFFF"/>
            </w:tcBorders>
            <w:shd w:val="clear" w:color="000000" w:fill="D9D9D9"/>
            <w:vAlign w:val="center"/>
            <w:hideMark/>
          </w:tcPr>
          <w:p w14:paraId="197B750D" w14:textId="77777777" w:rsidR="009F5479" w:rsidRDefault="009F5479">
            <w:pPr>
              <w:jc w:val="center"/>
              <w:rPr>
                <w:rFonts w:ascii="Calibri" w:hAnsi="Calibri"/>
                <w:color w:val="000000"/>
                <w:sz w:val="16"/>
                <w:szCs w:val="16"/>
              </w:rPr>
            </w:pPr>
            <w:r>
              <w:rPr>
                <w:rFonts w:ascii="Calibri" w:hAnsi="Calibri"/>
                <w:color w:val="000000"/>
                <w:sz w:val="16"/>
                <w:szCs w:val="16"/>
              </w:rPr>
              <w:t> </w:t>
            </w:r>
          </w:p>
        </w:tc>
      </w:tr>
      <w:tr w:rsidR="009F5479" w14:paraId="7655BA14" w14:textId="77777777" w:rsidTr="009F5479">
        <w:trPr>
          <w:trHeight w:val="269"/>
        </w:trPr>
        <w:tc>
          <w:tcPr>
            <w:tcW w:w="1740" w:type="dxa"/>
            <w:tcBorders>
              <w:top w:val="single" w:sz="12" w:space="0" w:color="FFFFFF"/>
              <w:left w:val="single" w:sz="12" w:space="0" w:color="FFFFFF"/>
              <w:bottom w:val="nil"/>
              <w:right w:val="single" w:sz="12" w:space="0" w:color="FFFFFF"/>
            </w:tcBorders>
            <w:shd w:val="clear" w:color="000000" w:fill="D9D9D9"/>
            <w:vAlign w:val="center"/>
            <w:hideMark/>
          </w:tcPr>
          <w:p w14:paraId="1137A039" w14:textId="77777777" w:rsidR="009F5479" w:rsidRDefault="009F5479">
            <w:pPr>
              <w:jc w:val="center"/>
              <w:rPr>
                <w:rFonts w:ascii="Calibri" w:hAnsi="Calibri"/>
                <w:color w:val="000000"/>
                <w:sz w:val="16"/>
                <w:szCs w:val="16"/>
              </w:rPr>
            </w:pPr>
            <w:r>
              <w:rPr>
                <w:rFonts w:ascii="Calibri" w:hAnsi="Calibri"/>
                <w:color w:val="000000"/>
                <w:sz w:val="16"/>
                <w:szCs w:val="16"/>
              </w:rPr>
              <w:t>Cronograma</w:t>
            </w:r>
          </w:p>
        </w:tc>
        <w:tc>
          <w:tcPr>
            <w:tcW w:w="1120" w:type="dxa"/>
            <w:tcBorders>
              <w:top w:val="single" w:sz="12" w:space="0" w:color="FFFFFF"/>
              <w:left w:val="nil"/>
              <w:bottom w:val="nil"/>
              <w:right w:val="single" w:sz="12" w:space="0" w:color="FFFFFF"/>
            </w:tcBorders>
            <w:shd w:val="clear" w:color="000000" w:fill="D9D9D9"/>
            <w:vAlign w:val="center"/>
            <w:hideMark/>
          </w:tcPr>
          <w:p w14:paraId="1E0A750A" w14:textId="77777777" w:rsidR="009F5479" w:rsidRDefault="009F5479">
            <w:pPr>
              <w:jc w:val="center"/>
              <w:rPr>
                <w:rFonts w:ascii="Calibri" w:hAnsi="Calibri"/>
                <w:sz w:val="16"/>
                <w:szCs w:val="16"/>
              </w:rPr>
            </w:pPr>
            <w:r>
              <w:rPr>
                <w:rFonts w:ascii="Calibri" w:hAnsi="Calibri"/>
                <w:sz w:val="16"/>
                <w:szCs w:val="16"/>
              </w:rPr>
              <w:t>5%</w:t>
            </w:r>
          </w:p>
        </w:tc>
        <w:tc>
          <w:tcPr>
            <w:tcW w:w="1280" w:type="dxa"/>
            <w:tcBorders>
              <w:top w:val="single" w:sz="12" w:space="0" w:color="FFFFFF"/>
              <w:left w:val="nil"/>
              <w:bottom w:val="nil"/>
              <w:right w:val="single" w:sz="12" w:space="0" w:color="FFFFFF"/>
            </w:tcBorders>
            <w:shd w:val="clear" w:color="000000" w:fill="D9D9D9"/>
            <w:vAlign w:val="center"/>
            <w:hideMark/>
          </w:tcPr>
          <w:p w14:paraId="1238BB4E" w14:textId="77777777" w:rsidR="009F5479" w:rsidRDefault="009F5479">
            <w:pPr>
              <w:jc w:val="center"/>
              <w:rPr>
                <w:rFonts w:ascii="Calibri" w:hAnsi="Calibri"/>
                <w:sz w:val="16"/>
                <w:szCs w:val="16"/>
              </w:rPr>
            </w:pPr>
            <w:r>
              <w:rPr>
                <w:rFonts w:ascii="Calibri" w:hAnsi="Calibri"/>
                <w:sz w:val="16"/>
                <w:szCs w:val="16"/>
              </w:rPr>
              <w:t>80%</w:t>
            </w:r>
          </w:p>
        </w:tc>
        <w:tc>
          <w:tcPr>
            <w:tcW w:w="1200" w:type="dxa"/>
            <w:tcBorders>
              <w:top w:val="single" w:sz="12" w:space="0" w:color="FFFFFF"/>
              <w:left w:val="nil"/>
              <w:bottom w:val="nil"/>
              <w:right w:val="single" w:sz="12" w:space="0" w:color="FFFFFF"/>
            </w:tcBorders>
            <w:shd w:val="clear" w:color="000000" w:fill="D9D9D9"/>
            <w:vAlign w:val="center"/>
            <w:hideMark/>
          </w:tcPr>
          <w:p w14:paraId="25765B6E" w14:textId="77777777" w:rsidR="009F5479" w:rsidRDefault="009F5479">
            <w:pPr>
              <w:jc w:val="center"/>
              <w:rPr>
                <w:rFonts w:ascii="Calibri" w:hAnsi="Calibri"/>
                <w:sz w:val="16"/>
                <w:szCs w:val="16"/>
              </w:rPr>
            </w:pPr>
            <w:r>
              <w:rPr>
                <w:rFonts w:ascii="Calibri" w:hAnsi="Calibri"/>
                <w:sz w:val="16"/>
                <w:szCs w:val="16"/>
              </w:rPr>
              <w:t>100%</w:t>
            </w:r>
          </w:p>
        </w:tc>
        <w:tc>
          <w:tcPr>
            <w:tcW w:w="1140" w:type="dxa"/>
            <w:tcBorders>
              <w:top w:val="single" w:sz="12" w:space="0" w:color="FFFFFF"/>
              <w:left w:val="nil"/>
              <w:bottom w:val="nil"/>
              <w:right w:val="single" w:sz="12" w:space="0" w:color="FFFFFF"/>
            </w:tcBorders>
            <w:shd w:val="clear" w:color="000000" w:fill="D9D9D9"/>
            <w:vAlign w:val="center"/>
            <w:hideMark/>
          </w:tcPr>
          <w:p w14:paraId="489E585D" w14:textId="77777777" w:rsidR="009F5479" w:rsidRDefault="009F5479">
            <w:pPr>
              <w:jc w:val="center"/>
              <w:rPr>
                <w:rFonts w:ascii="Calibri" w:hAnsi="Calibri"/>
                <w:sz w:val="16"/>
                <w:szCs w:val="16"/>
              </w:rPr>
            </w:pPr>
            <w:r>
              <w:rPr>
                <w:rFonts w:ascii="Calibri" w:hAnsi="Calibri"/>
                <w:sz w:val="16"/>
                <w:szCs w:val="16"/>
              </w:rPr>
              <w:t>N.D</w:t>
            </w:r>
          </w:p>
        </w:tc>
        <w:tc>
          <w:tcPr>
            <w:tcW w:w="1040" w:type="dxa"/>
            <w:tcBorders>
              <w:top w:val="single" w:sz="12" w:space="0" w:color="FFFFFF"/>
              <w:left w:val="nil"/>
              <w:bottom w:val="nil"/>
              <w:right w:val="single" w:sz="12" w:space="0" w:color="FFFFFF"/>
            </w:tcBorders>
            <w:shd w:val="clear" w:color="000000" w:fill="D9D9D9"/>
            <w:vAlign w:val="center"/>
            <w:hideMark/>
          </w:tcPr>
          <w:p w14:paraId="7DB0B39C" w14:textId="77777777" w:rsidR="009F5479" w:rsidRDefault="009F5479">
            <w:pPr>
              <w:jc w:val="center"/>
              <w:rPr>
                <w:rFonts w:ascii="Calibri" w:hAnsi="Calibri"/>
                <w:sz w:val="16"/>
                <w:szCs w:val="16"/>
              </w:rPr>
            </w:pPr>
            <w:r>
              <w:rPr>
                <w:rFonts w:ascii="Calibri" w:hAnsi="Calibri"/>
                <w:sz w:val="16"/>
                <w:szCs w:val="16"/>
              </w:rPr>
              <w:t>N.D</w:t>
            </w:r>
          </w:p>
        </w:tc>
        <w:tc>
          <w:tcPr>
            <w:tcW w:w="985" w:type="dxa"/>
            <w:tcBorders>
              <w:top w:val="single" w:sz="12" w:space="0" w:color="FFFFFF"/>
              <w:left w:val="nil"/>
              <w:bottom w:val="nil"/>
              <w:right w:val="single" w:sz="12" w:space="0" w:color="FFFFFF"/>
            </w:tcBorders>
            <w:shd w:val="clear" w:color="000000" w:fill="D9D9D9"/>
            <w:vAlign w:val="center"/>
            <w:hideMark/>
          </w:tcPr>
          <w:p w14:paraId="7EE760FA" w14:textId="77777777" w:rsidR="009F5479" w:rsidRDefault="009F5479">
            <w:pPr>
              <w:jc w:val="center"/>
              <w:rPr>
                <w:rFonts w:ascii="Calibri" w:hAnsi="Calibri"/>
                <w:sz w:val="16"/>
                <w:szCs w:val="16"/>
              </w:rPr>
            </w:pPr>
            <w:r>
              <w:rPr>
                <w:rFonts w:ascii="Calibri" w:hAnsi="Calibri"/>
                <w:sz w:val="16"/>
                <w:szCs w:val="16"/>
              </w:rPr>
              <w:t>₡125.8</w:t>
            </w:r>
          </w:p>
        </w:tc>
        <w:tc>
          <w:tcPr>
            <w:tcW w:w="1776" w:type="dxa"/>
            <w:tcBorders>
              <w:top w:val="single" w:sz="12" w:space="0" w:color="FFFFFF"/>
              <w:left w:val="nil"/>
              <w:bottom w:val="nil"/>
              <w:right w:val="single" w:sz="12" w:space="0" w:color="FFFFFF"/>
            </w:tcBorders>
            <w:shd w:val="clear" w:color="000000" w:fill="D9D9D9"/>
            <w:vAlign w:val="center"/>
            <w:hideMark/>
          </w:tcPr>
          <w:p w14:paraId="0D805A06" w14:textId="77777777" w:rsidR="009F5479" w:rsidRDefault="009F5479">
            <w:pPr>
              <w:jc w:val="center"/>
              <w:rPr>
                <w:rFonts w:ascii="Calibri" w:hAnsi="Calibri"/>
                <w:sz w:val="16"/>
                <w:szCs w:val="16"/>
              </w:rPr>
            </w:pPr>
            <w:r>
              <w:rPr>
                <w:rFonts w:ascii="Calibri" w:hAnsi="Calibri"/>
                <w:sz w:val="16"/>
                <w:szCs w:val="16"/>
              </w:rPr>
              <w:t>Recursos propios</w:t>
            </w:r>
          </w:p>
        </w:tc>
        <w:tc>
          <w:tcPr>
            <w:tcW w:w="2477" w:type="dxa"/>
            <w:tcBorders>
              <w:top w:val="single" w:sz="12" w:space="0" w:color="FFFFFF"/>
              <w:left w:val="nil"/>
              <w:bottom w:val="nil"/>
              <w:right w:val="single" w:sz="12" w:space="0" w:color="FFFFFF"/>
            </w:tcBorders>
            <w:shd w:val="clear" w:color="000000" w:fill="D9D9D9"/>
            <w:vAlign w:val="center"/>
            <w:hideMark/>
          </w:tcPr>
          <w:p w14:paraId="100A4DC2" w14:textId="77777777" w:rsidR="009F5479" w:rsidRDefault="009F5479">
            <w:pPr>
              <w:jc w:val="center"/>
              <w:rPr>
                <w:rFonts w:ascii="Calibri" w:hAnsi="Calibri"/>
                <w:color w:val="000000"/>
                <w:sz w:val="16"/>
                <w:szCs w:val="16"/>
              </w:rPr>
            </w:pPr>
            <w:r>
              <w:rPr>
                <w:rFonts w:ascii="Calibri" w:hAnsi="Calibri"/>
                <w:color w:val="000000"/>
                <w:sz w:val="16"/>
                <w:szCs w:val="16"/>
              </w:rPr>
              <w:t> </w:t>
            </w:r>
          </w:p>
        </w:tc>
      </w:tr>
      <w:tr w:rsidR="009F5479" w14:paraId="3B438577" w14:textId="77777777" w:rsidTr="009F5479">
        <w:trPr>
          <w:trHeight w:val="385"/>
        </w:trPr>
        <w:tc>
          <w:tcPr>
            <w:tcW w:w="1740" w:type="dxa"/>
            <w:tcBorders>
              <w:top w:val="single" w:sz="12" w:space="0" w:color="FFFFFF"/>
              <w:left w:val="single" w:sz="12" w:space="0" w:color="FFFFFF"/>
              <w:bottom w:val="nil"/>
              <w:right w:val="single" w:sz="12" w:space="0" w:color="FFFFFF"/>
            </w:tcBorders>
            <w:shd w:val="clear" w:color="000000" w:fill="DAEEF3"/>
            <w:vAlign w:val="center"/>
            <w:hideMark/>
          </w:tcPr>
          <w:p w14:paraId="51D090B8" w14:textId="77777777" w:rsidR="009F5479" w:rsidRDefault="009F5479">
            <w:pPr>
              <w:jc w:val="center"/>
              <w:rPr>
                <w:rFonts w:ascii="Calibri" w:hAnsi="Calibri"/>
                <w:color w:val="000000"/>
                <w:sz w:val="16"/>
                <w:szCs w:val="16"/>
              </w:rPr>
            </w:pPr>
            <w:r>
              <w:rPr>
                <w:rFonts w:ascii="Calibri" w:hAnsi="Calibri"/>
                <w:color w:val="000000"/>
                <w:sz w:val="16"/>
                <w:szCs w:val="16"/>
              </w:rPr>
              <w:t>Mapas de riesgos</w:t>
            </w:r>
          </w:p>
        </w:tc>
        <w:tc>
          <w:tcPr>
            <w:tcW w:w="1120" w:type="dxa"/>
            <w:tcBorders>
              <w:top w:val="single" w:sz="12" w:space="0" w:color="FFFFFF"/>
              <w:left w:val="nil"/>
              <w:bottom w:val="nil"/>
              <w:right w:val="single" w:sz="12" w:space="0" w:color="FFFFFF"/>
            </w:tcBorders>
            <w:shd w:val="clear" w:color="000000" w:fill="DAEEF3"/>
            <w:vAlign w:val="center"/>
            <w:hideMark/>
          </w:tcPr>
          <w:p w14:paraId="494CBBA2" w14:textId="77777777" w:rsidR="009F5479" w:rsidRDefault="009F5479">
            <w:pPr>
              <w:jc w:val="center"/>
              <w:rPr>
                <w:rFonts w:ascii="Calibri" w:hAnsi="Calibri"/>
                <w:color w:val="000000"/>
                <w:sz w:val="16"/>
                <w:szCs w:val="16"/>
              </w:rPr>
            </w:pPr>
            <w:r>
              <w:rPr>
                <w:rFonts w:ascii="Calibri" w:hAnsi="Calibri"/>
                <w:color w:val="000000"/>
                <w:sz w:val="16"/>
                <w:szCs w:val="16"/>
              </w:rPr>
              <w:t>0%</w:t>
            </w:r>
          </w:p>
        </w:tc>
        <w:tc>
          <w:tcPr>
            <w:tcW w:w="1280" w:type="dxa"/>
            <w:tcBorders>
              <w:top w:val="single" w:sz="12" w:space="0" w:color="FFFFFF"/>
              <w:left w:val="nil"/>
              <w:bottom w:val="nil"/>
              <w:right w:val="single" w:sz="12" w:space="0" w:color="FFFFFF"/>
            </w:tcBorders>
            <w:shd w:val="clear" w:color="000000" w:fill="DAEEF3"/>
            <w:vAlign w:val="center"/>
            <w:hideMark/>
          </w:tcPr>
          <w:p w14:paraId="1FC7190F" w14:textId="77777777" w:rsidR="009F5479" w:rsidRDefault="009F5479">
            <w:pPr>
              <w:jc w:val="center"/>
              <w:rPr>
                <w:rFonts w:ascii="Calibri" w:hAnsi="Calibri"/>
                <w:color w:val="000000"/>
                <w:sz w:val="16"/>
                <w:szCs w:val="16"/>
              </w:rPr>
            </w:pPr>
            <w:r>
              <w:rPr>
                <w:rFonts w:ascii="Calibri" w:hAnsi="Calibri"/>
                <w:color w:val="000000"/>
                <w:sz w:val="16"/>
                <w:szCs w:val="16"/>
              </w:rPr>
              <w:t>100%</w:t>
            </w:r>
          </w:p>
        </w:tc>
        <w:tc>
          <w:tcPr>
            <w:tcW w:w="1200" w:type="dxa"/>
            <w:tcBorders>
              <w:top w:val="single" w:sz="12" w:space="0" w:color="FFFFFF"/>
              <w:left w:val="nil"/>
              <w:bottom w:val="nil"/>
              <w:right w:val="single" w:sz="12" w:space="0" w:color="FFFFFF"/>
            </w:tcBorders>
            <w:shd w:val="clear" w:color="000000" w:fill="DAEEF3"/>
            <w:vAlign w:val="center"/>
            <w:hideMark/>
          </w:tcPr>
          <w:p w14:paraId="34191ACF" w14:textId="77777777" w:rsidR="009F5479" w:rsidRDefault="009F5479">
            <w:pPr>
              <w:jc w:val="center"/>
              <w:rPr>
                <w:rFonts w:ascii="Calibri" w:hAnsi="Calibri"/>
                <w:color w:val="000000"/>
                <w:sz w:val="16"/>
                <w:szCs w:val="16"/>
              </w:rPr>
            </w:pPr>
            <w:r>
              <w:rPr>
                <w:rFonts w:ascii="Calibri" w:hAnsi="Calibri"/>
                <w:color w:val="000000"/>
                <w:sz w:val="16"/>
                <w:szCs w:val="16"/>
              </w:rPr>
              <w:t>N.D</w:t>
            </w:r>
          </w:p>
        </w:tc>
        <w:tc>
          <w:tcPr>
            <w:tcW w:w="1140" w:type="dxa"/>
            <w:tcBorders>
              <w:top w:val="single" w:sz="12" w:space="0" w:color="FFFFFF"/>
              <w:left w:val="nil"/>
              <w:bottom w:val="nil"/>
              <w:right w:val="single" w:sz="12" w:space="0" w:color="FFFFFF"/>
            </w:tcBorders>
            <w:shd w:val="clear" w:color="000000" w:fill="DAEEF3"/>
            <w:vAlign w:val="center"/>
            <w:hideMark/>
          </w:tcPr>
          <w:p w14:paraId="4226402E" w14:textId="77777777" w:rsidR="009F5479" w:rsidRDefault="009F5479">
            <w:pPr>
              <w:jc w:val="center"/>
              <w:rPr>
                <w:rFonts w:ascii="Calibri" w:hAnsi="Calibri"/>
                <w:color w:val="000000"/>
                <w:sz w:val="16"/>
                <w:szCs w:val="16"/>
              </w:rPr>
            </w:pPr>
            <w:r>
              <w:rPr>
                <w:rFonts w:ascii="Calibri" w:hAnsi="Calibri"/>
                <w:color w:val="000000"/>
                <w:sz w:val="16"/>
                <w:szCs w:val="16"/>
              </w:rPr>
              <w:t>N.D</w:t>
            </w:r>
          </w:p>
        </w:tc>
        <w:tc>
          <w:tcPr>
            <w:tcW w:w="1040" w:type="dxa"/>
            <w:tcBorders>
              <w:top w:val="single" w:sz="12" w:space="0" w:color="FFFFFF"/>
              <w:left w:val="nil"/>
              <w:bottom w:val="nil"/>
              <w:right w:val="single" w:sz="12" w:space="0" w:color="FFFFFF"/>
            </w:tcBorders>
            <w:shd w:val="clear" w:color="000000" w:fill="DAEEF3"/>
            <w:vAlign w:val="center"/>
            <w:hideMark/>
          </w:tcPr>
          <w:p w14:paraId="5078FB67" w14:textId="77777777" w:rsidR="009F5479" w:rsidRDefault="009F5479">
            <w:pPr>
              <w:jc w:val="center"/>
              <w:rPr>
                <w:rFonts w:ascii="Calibri" w:hAnsi="Calibri"/>
                <w:color w:val="000000"/>
                <w:sz w:val="16"/>
                <w:szCs w:val="16"/>
              </w:rPr>
            </w:pPr>
            <w:r>
              <w:rPr>
                <w:rFonts w:ascii="Calibri" w:hAnsi="Calibri"/>
                <w:color w:val="000000"/>
                <w:sz w:val="16"/>
                <w:szCs w:val="16"/>
              </w:rPr>
              <w:t>N.D</w:t>
            </w:r>
          </w:p>
        </w:tc>
        <w:tc>
          <w:tcPr>
            <w:tcW w:w="985" w:type="dxa"/>
            <w:tcBorders>
              <w:top w:val="single" w:sz="12" w:space="0" w:color="FFFFFF"/>
              <w:left w:val="nil"/>
              <w:bottom w:val="nil"/>
              <w:right w:val="single" w:sz="12" w:space="0" w:color="FFFFFF"/>
            </w:tcBorders>
            <w:shd w:val="clear" w:color="000000" w:fill="DAEEF3"/>
            <w:vAlign w:val="center"/>
            <w:hideMark/>
          </w:tcPr>
          <w:p w14:paraId="4C517E53" w14:textId="77777777" w:rsidR="009F5479" w:rsidRDefault="009F5479">
            <w:pPr>
              <w:jc w:val="center"/>
              <w:rPr>
                <w:rFonts w:ascii="Calibri" w:hAnsi="Calibri"/>
                <w:sz w:val="16"/>
                <w:szCs w:val="16"/>
              </w:rPr>
            </w:pPr>
            <w:r>
              <w:rPr>
                <w:rFonts w:ascii="Calibri" w:hAnsi="Calibri"/>
                <w:sz w:val="16"/>
                <w:szCs w:val="16"/>
              </w:rPr>
              <w:t>₡3,520.8</w:t>
            </w:r>
          </w:p>
        </w:tc>
        <w:tc>
          <w:tcPr>
            <w:tcW w:w="1776" w:type="dxa"/>
            <w:tcBorders>
              <w:top w:val="single" w:sz="12" w:space="0" w:color="FFFFFF"/>
              <w:left w:val="nil"/>
              <w:bottom w:val="nil"/>
              <w:right w:val="single" w:sz="12" w:space="0" w:color="FFFFFF"/>
            </w:tcBorders>
            <w:shd w:val="clear" w:color="000000" w:fill="DAEEF3"/>
            <w:vAlign w:val="center"/>
            <w:hideMark/>
          </w:tcPr>
          <w:p w14:paraId="6D68232C" w14:textId="77777777" w:rsidR="009F5479" w:rsidRDefault="009F5479">
            <w:pPr>
              <w:jc w:val="center"/>
              <w:rPr>
                <w:rFonts w:ascii="Calibri" w:hAnsi="Calibri"/>
                <w:color w:val="000000"/>
                <w:sz w:val="16"/>
                <w:szCs w:val="16"/>
              </w:rPr>
            </w:pPr>
            <w:r>
              <w:rPr>
                <w:rFonts w:ascii="Calibri" w:hAnsi="Calibri"/>
                <w:color w:val="000000"/>
                <w:sz w:val="16"/>
                <w:szCs w:val="16"/>
              </w:rPr>
              <w:t>Recursos propios</w:t>
            </w:r>
          </w:p>
        </w:tc>
        <w:tc>
          <w:tcPr>
            <w:tcW w:w="2477" w:type="dxa"/>
            <w:tcBorders>
              <w:top w:val="single" w:sz="12" w:space="0" w:color="FFFFFF"/>
              <w:left w:val="nil"/>
              <w:bottom w:val="nil"/>
              <w:right w:val="single" w:sz="12" w:space="0" w:color="FFFFFF"/>
            </w:tcBorders>
            <w:shd w:val="clear" w:color="000000" w:fill="DAEEF3"/>
            <w:vAlign w:val="center"/>
            <w:hideMark/>
          </w:tcPr>
          <w:p w14:paraId="4F1A33D6" w14:textId="77777777" w:rsidR="009F5479" w:rsidRDefault="009F5479">
            <w:pPr>
              <w:jc w:val="center"/>
              <w:rPr>
                <w:rFonts w:ascii="Calibri" w:hAnsi="Calibri"/>
                <w:color w:val="000000"/>
                <w:sz w:val="16"/>
                <w:szCs w:val="16"/>
              </w:rPr>
            </w:pPr>
            <w:r>
              <w:rPr>
                <w:rFonts w:ascii="Calibri" w:hAnsi="Calibri"/>
                <w:color w:val="000000"/>
                <w:sz w:val="16"/>
                <w:szCs w:val="16"/>
              </w:rPr>
              <w:t> </w:t>
            </w:r>
          </w:p>
        </w:tc>
      </w:tr>
      <w:tr w:rsidR="009F5479" w14:paraId="531456A6" w14:textId="77777777" w:rsidTr="009F5479">
        <w:trPr>
          <w:trHeight w:val="391"/>
        </w:trPr>
        <w:tc>
          <w:tcPr>
            <w:tcW w:w="1740" w:type="dxa"/>
            <w:tcBorders>
              <w:top w:val="single" w:sz="12" w:space="0" w:color="FFFFFF"/>
              <w:left w:val="single" w:sz="12" w:space="0" w:color="FFFFFF"/>
              <w:bottom w:val="nil"/>
              <w:right w:val="single" w:sz="12" w:space="0" w:color="FFFFFF"/>
            </w:tcBorders>
            <w:shd w:val="clear" w:color="000000" w:fill="DAEEF3"/>
            <w:vAlign w:val="center"/>
            <w:hideMark/>
          </w:tcPr>
          <w:p w14:paraId="2863EF36" w14:textId="77777777" w:rsidR="009F5479" w:rsidRDefault="009F5479">
            <w:pPr>
              <w:jc w:val="center"/>
              <w:rPr>
                <w:rFonts w:ascii="Calibri" w:hAnsi="Calibri"/>
                <w:color w:val="000000"/>
                <w:sz w:val="16"/>
                <w:szCs w:val="16"/>
              </w:rPr>
            </w:pPr>
            <w:r>
              <w:rPr>
                <w:rFonts w:ascii="Calibri" w:hAnsi="Calibri"/>
                <w:color w:val="000000"/>
                <w:sz w:val="16"/>
                <w:szCs w:val="16"/>
              </w:rPr>
              <w:t>Atención de plazos</w:t>
            </w:r>
          </w:p>
        </w:tc>
        <w:tc>
          <w:tcPr>
            <w:tcW w:w="1120" w:type="dxa"/>
            <w:tcBorders>
              <w:top w:val="single" w:sz="12" w:space="0" w:color="FFFFFF"/>
              <w:left w:val="nil"/>
              <w:bottom w:val="nil"/>
              <w:right w:val="single" w:sz="12" w:space="0" w:color="FFFFFF"/>
            </w:tcBorders>
            <w:shd w:val="clear" w:color="000000" w:fill="DAEEF3"/>
            <w:vAlign w:val="center"/>
            <w:hideMark/>
          </w:tcPr>
          <w:p w14:paraId="1CDCC150" w14:textId="77777777" w:rsidR="009F5479" w:rsidRDefault="009F5479">
            <w:pPr>
              <w:jc w:val="center"/>
              <w:rPr>
                <w:rFonts w:ascii="Calibri" w:hAnsi="Calibri"/>
                <w:color w:val="000000"/>
                <w:sz w:val="16"/>
                <w:szCs w:val="16"/>
              </w:rPr>
            </w:pPr>
            <w:r>
              <w:rPr>
                <w:rFonts w:ascii="Calibri" w:hAnsi="Calibri"/>
                <w:color w:val="000000"/>
                <w:sz w:val="16"/>
                <w:szCs w:val="16"/>
              </w:rPr>
              <w:t>0%</w:t>
            </w:r>
          </w:p>
        </w:tc>
        <w:tc>
          <w:tcPr>
            <w:tcW w:w="1280" w:type="dxa"/>
            <w:tcBorders>
              <w:top w:val="single" w:sz="12" w:space="0" w:color="FFFFFF"/>
              <w:left w:val="nil"/>
              <w:bottom w:val="nil"/>
              <w:right w:val="single" w:sz="12" w:space="0" w:color="FFFFFF"/>
            </w:tcBorders>
            <w:shd w:val="clear" w:color="000000" w:fill="DAEEF3"/>
            <w:vAlign w:val="center"/>
            <w:hideMark/>
          </w:tcPr>
          <w:p w14:paraId="5BF0D39B" w14:textId="77777777" w:rsidR="009F5479" w:rsidRDefault="009F5479">
            <w:pPr>
              <w:jc w:val="center"/>
              <w:rPr>
                <w:rFonts w:ascii="Calibri" w:hAnsi="Calibri"/>
                <w:color w:val="000000"/>
                <w:sz w:val="16"/>
                <w:szCs w:val="16"/>
              </w:rPr>
            </w:pPr>
            <w:r>
              <w:rPr>
                <w:rFonts w:ascii="Calibri" w:hAnsi="Calibri"/>
                <w:color w:val="000000"/>
                <w:sz w:val="16"/>
                <w:szCs w:val="16"/>
              </w:rPr>
              <w:t>100%</w:t>
            </w:r>
          </w:p>
        </w:tc>
        <w:tc>
          <w:tcPr>
            <w:tcW w:w="1200" w:type="dxa"/>
            <w:tcBorders>
              <w:top w:val="single" w:sz="12" w:space="0" w:color="FFFFFF"/>
              <w:left w:val="nil"/>
              <w:bottom w:val="nil"/>
              <w:right w:val="single" w:sz="12" w:space="0" w:color="FFFFFF"/>
            </w:tcBorders>
            <w:shd w:val="clear" w:color="000000" w:fill="DAEEF3"/>
            <w:vAlign w:val="center"/>
            <w:hideMark/>
          </w:tcPr>
          <w:p w14:paraId="40F2CE54" w14:textId="77777777" w:rsidR="009F5479" w:rsidRDefault="009F5479">
            <w:pPr>
              <w:jc w:val="center"/>
              <w:rPr>
                <w:rFonts w:ascii="Calibri" w:hAnsi="Calibri"/>
                <w:color w:val="000000"/>
                <w:sz w:val="16"/>
                <w:szCs w:val="16"/>
              </w:rPr>
            </w:pPr>
            <w:r>
              <w:rPr>
                <w:rFonts w:ascii="Calibri" w:hAnsi="Calibri"/>
                <w:color w:val="000000"/>
                <w:sz w:val="16"/>
                <w:szCs w:val="16"/>
              </w:rPr>
              <w:t>N.D</w:t>
            </w:r>
          </w:p>
        </w:tc>
        <w:tc>
          <w:tcPr>
            <w:tcW w:w="1140" w:type="dxa"/>
            <w:tcBorders>
              <w:top w:val="single" w:sz="12" w:space="0" w:color="FFFFFF"/>
              <w:left w:val="nil"/>
              <w:bottom w:val="nil"/>
              <w:right w:val="single" w:sz="12" w:space="0" w:color="FFFFFF"/>
            </w:tcBorders>
            <w:shd w:val="clear" w:color="000000" w:fill="DAEEF3"/>
            <w:vAlign w:val="center"/>
            <w:hideMark/>
          </w:tcPr>
          <w:p w14:paraId="3DE2515F" w14:textId="77777777" w:rsidR="009F5479" w:rsidRDefault="009F5479">
            <w:pPr>
              <w:jc w:val="center"/>
              <w:rPr>
                <w:rFonts w:ascii="Calibri" w:hAnsi="Calibri"/>
                <w:color w:val="000000"/>
                <w:sz w:val="16"/>
                <w:szCs w:val="16"/>
              </w:rPr>
            </w:pPr>
            <w:r>
              <w:rPr>
                <w:rFonts w:ascii="Calibri" w:hAnsi="Calibri"/>
                <w:color w:val="000000"/>
                <w:sz w:val="16"/>
                <w:szCs w:val="16"/>
              </w:rPr>
              <w:t>N.D</w:t>
            </w:r>
          </w:p>
        </w:tc>
        <w:tc>
          <w:tcPr>
            <w:tcW w:w="1040" w:type="dxa"/>
            <w:tcBorders>
              <w:top w:val="single" w:sz="12" w:space="0" w:color="FFFFFF"/>
              <w:left w:val="nil"/>
              <w:bottom w:val="nil"/>
              <w:right w:val="single" w:sz="12" w:space="0" w:color="FFFFFF"/>
            </w:tcBorders>
            <w:shd w:val="clear" w:color="000000" w:fill="DAEEF3"/>
            <w:vAlign w:val="center"/>
            <w:hideMark/>
          </w:tcPr>
          <w:p w14:paraId="2E586FB9" w14:textId="77777777" w:rsidR="009F5479" w:rsidRDefault="009F5479">
            <w:pPr>
              <w:jc w:val="center"/>
              <w:rPr>
                <w:rFonts w:ascii="Calibri" w:hAnsi="Calibri"/>
                <w:color w:val="000000"/>
                <w:sz w:val="16"/>
                <w:szCs w:val="16"/>
              </w:rPr>
            </w:pPr>
            <w:r>
              <w:rPr>
                <w:rFonts w:ascii="Calibri" w:hAnsi="Calibri"/>
                <w:color w:val="000000"/>
                <w:sz w:val="16"/>
                <w:szCs w:val="16"/>
              </w:rPr>
              <w:t>N.D</w:t>
            </w:r>
          </w:p>
        </w:tc>
        <w:tc>
          <w:tcPr>
            <w:tcW w:w="985" w:type="dxa"/>
            <w:tcBorders>
              <w:top w:val="single" w:sz="12" w:space="0" w:color="FFFFFF"/>
              <w:left w:val="nil"/>
              <w:bottom w:val="nil"/>
              <w:right w:val="single" w:sz="12" w:space="0" w:color="FFFFFF"/>
            </w:tcBorders>
            <w:shd w:val="clear" w:color="000000" w:fill="DAEEF3"/>
            <w:vAlign w:val="center"/>
            <w:hideMark/>
          </w:tcPr>
          <w:p w14:paraId="11C2C741" w14:textId="77777777" w:rsidR="009F5479" w:rsidRDefault="009F5479">
            <w:pPr>
              <w:jc w:val="center"/>
              <w:rPr>
                <w:rFonts w:ascii="Calibri" w:hAnsi="Calibri"/>
                <w:sz w:val="16"/>
                <w:szCs w:val="16"/>
              </w:rPr>
            </w:pPr>
            <w:r>
              <w:rPr>
                <w:rFonts w:ascii="Calibri" w:hAnsi="Calibri"/>
                <w:sz w:val="16"/>
                <w:szCs w:val="16"/>
              </w:rPr>
              <w:t>₡244.8</w:t>
            </w:r>
          </w:p>
        </w:tc>
        <w:tc>
          <w:tcPr>
            <w:tcW w:w="1776" w:type="dxa"/>
            <w:tcBorders>
              <w:top w:val="single" w:sz="12" w:space="0" w:color="FFFFFF"/>
              <w:left w:val="nil"/>
              <w:bottom w:val="nil"/>
              <w:right w:val="single" w:sz="12" w:space="0" w:color="FFFFFF"/>
            </w:tcBorders>
            <w:shd w:val="clear" w:color="000000" w:fill="DAEEF3"/>
            <w:vAlign w:val="center"/>
            <w:hideMark/>
          </w:tcPr>
          <w:p w14:paraId="7862C12E" w14:textId="77777777" w:rsidR="009F5479" w:rsidRDefault="009F5479">
            <w:pPr>
              <w:jc w:val="center"/>
              <w:rPr>
                <w:rFonts w:ascii="Calibri" w:hAnsi="Calibri"/>
                <w:color w:val="000000"/>
                <w:sz w:val="16"/>
                <w:szCs w:val="16"/>
              </w:rPr>
            </w:pPr>
            <w:r>
              <w:rPr>
                <w:rFonts w:ascii="Calibri" w:hAnsi="Calibri"/>
                <w:color w:val="000000"/>
                <w:sz w:val="16"/>
                <w:szCs w:val="16"/>
              </w:rPr>
              <w:t>Recursos propios</w:t>
            </w:r>
          </w:p>
        </w:tc>
        <w:tc>
          <w:tcPr>
            <w:tcW w:w="2477" w:type="dxa"/>
            <w:tcBorders>
              <w:top w:val="single" w:sz="12" w:space="0" w:color="FFFFFF"/>
              <w:left w:val="nil"/>
              <w:bottom w:val="nil"/>
              <w:right w:val="single" w:sz="12" w:space="0" w:color="FFFFFF"/>
            </w:tcBorders>
            <w:shd w:val="clear" w:color="000000" w:fill="DAEEF3"/>
            <w:vAlign w:val="center"/>
            <w:hideMark/>
          </w:tcPr>
          <w:p w14:paraId="7F9A073B" w14:textId="77777777" w:rsidR="009F5479" w:rsidRDefault="009F5479">
            <w:pPr>
              <w:jc w:val="center"/>
              <w:rPr>
                <w:rFonts w:ascii="Calibri" w:hAnsi="Calibri"/>
                <w:color w:val="000000"/>
                <w:sz w:val="16"/>
                <w:szCs w:val="16"/>
              </w:rPr>
            </w:pPr>
            <w:r>
              <w:rPr>
                <w:rFonts w:ascii="Calibri" w:hAnsi="Calibri"/>
                <w:color w:val="000000"/>
                <w:sz w:val="16"/>
                <w:szCs w:val="16"/>
              </w:rPr>
              <w:t> </w:t>
            </w:r>
          </w:p>
        </w:tc>
      </w:tr>
      <w:tr w:rsidR="009F5479" w14:paraId="0193744A" w14:textId="77777777" w:rsidTr="009F5479">
        <w:trPr>
          <w:trHeight w:val="390"/>
        </w:trPr>
        <w:tc>
          <w:tcPr>
            <w:tcW w:w="1740" w:type="dxa"/>
            <w:tcBorders>
              <w:top w:val="single" w:sz="12" w:space="0" w:color="FFFFFF"/>
              <w:left w:val="single" w:sz="12" w:space="0" w:color="FFFFFF"/>
              <w:bottom w:val="nil"/>
              <w:right w:val="single" w:sz="12" w:space="0" w:color="FFFFFF"/>
            </w:tcBorders>
            <w:shd w:val="clear" w:color="000000" w:fill="DAEEF3"/>
            <w:vAlign w:val="center"/>
            <w:hideMark/>
          </w:tcPr>
          <w:p w14:paraId="4E4CEDA7" w14:textId="77777777" w:rsidR="009F5479" w:rsidRDefault="009F5479">
            <w:pPr>
              <w:jc w:val="center"/>
              <w:rPr>
                <w:rFonts w:ascii="Calibri" w:hAnsi="Calibri"/>
                <w:color w:val="000000"/>
                <w:sz w:val="16"/>
                <w:szCs w:val="16"/>
              </w:rPr>
            </w:pPr>
            <w:r>
              <w:rPr>
                <w:rFonts w:ascii="Calibri" w:hAnsi="Calibri"/>
                <w:color w:val="000000"/>
                <w:sz w:val="16"/>
                <w:szCs w:val="16"/>
              </w:rPr>
              <w:t>Plan comunicación</w:t>
            </w:r>
          </w:p>
        </w:tc>
        <w:tc>
          <w:tcPr>
            <w:tcW w:w="1120" w:type="dxa"/>
            <w:tcBorders>
              <w:top w:val="single" w:sz="12" w:space="0" w:color="FFFFFF"/>
              <w:left w:val="nil"/>
              <w:bottom w:val="nil"/>
              <w:right w:val="single" w:sz="12" w:space="0" w:color="FFFFFF"/>
            </w:tcBorders>
            <w:shd w:val="clear" w:color="000000" w:fill="DAEEF3"/>
            <w:vAlign w:val="center"/>
            <w:hideMark/>
          </w:tcPr>
          <w:p w14:paraId="78460737" w14:textId="77777777" w:rsidR="009F5479" w:rsidRDefault="009F5479">
            <w:pPr>
              <w:jc w:val="center"/>
              <w:rPr>
                <w:rFonts w:ascii="Calibri" w:hAnsi="Calibri"/>
                <w:color w:val="000000"/>
                <w:sz w:val="16"/>
                <w:szCs w:val="16"/>
              </w:rPr>
            </w:pPr>
            <w:r>
              <w:rPr>
                <w:rFonts w:ascii="Calibri" w:hAnsi="Calibri"/>
                <w:color w:val="000000"/>
                <w:sz w:val="16"/>
                <w:szCs w:val="16"/>
              </w:rPr>
              <w:t>0%</w:t>
            </w:r>
          </w:p>
        </w:tc>
        <w:tc>
          <w:tcPr>
            <w:tcW w:w="1280" w:type="dxa"/>
            <w:tcBorders>
              <w:top w:val="single" w:sz="12" w:space="0" w:color="FFFFFF"/>
              <w:left w:val="nil"/>
              <w:bottom w:val="nil"/>
              <w:right w:val="single" w:sz="12" w:space="0" w:color="FFFFFF"/>
            </w:tcBorders>
            <w:shd w:val="clear" w:color="000000" w:fill="DAEEF3"/>
            <w:vAlign w:val="center"/>
            <w:hideMark/>
          </w:tcPr>
          <w:p w14:paraId="318FCA3C" w14:textId="77777777" w:rsidR="009F5479" w:rsidRDefault="009F5479">
            <w:pPr>
              <w:jc w:val="center"/>
              <w:rPr>
                <w:rFonts w:ascii="Calibri" w:hAnsi="Calibri"/>
                <w:color w:val="000000"/>
                <w:sz w:val="16"/>
                <w:szCs w:val="16"/>
              </w:rPr>
            </w:pPr>
            <w:r>
              <w:rPr>
                <w:rFonts w:ascii="Calibri" w:hAnsi="Calibri"/>
                <w:color w:val="000000"/>
                <w:sz w:val="16"/>
                <w:szCs w:val="16"/>
              </w:rPr>
              <w:t>100%</w:t>
            </w:r>
          </w:p>
        </w:tc>
        <w:tc>
          <w:tcPr>
            <w:tcW w:w="1200" w:type="dxa"/>
            <w:tcBorders>
              <w:top w:val="single" w:sz="12" w:space="0" w:color="FFFFFF"/>
              <w:left w:val="nil"/>
              <w:bottom w:val="nil"/>
              <w:right w:val="single" w:sz="12" w:space="0" w:color="FFFFFF"/>
            </w:tcBorders>
            <w:shd w:val="clear" w:color="000000" w:fill="DAEEF3"/>
            <w:vAlign w:val="center"/>
            <w:hideMark/>
          </w:tcPr>
          <w:p w14:paraId="744E2002" w14:textId="77777777" w:rsidR="009F5479" w:rsidRDefault="009F5479">
            <w:pPr>
              <w:jc w:val="center"/>
              <w:rPr>
                <w:rFonts w:ascii="Calibri" w:hAnsi="Calibri"/>
                <w:color w:val="000000"/>
                <w:sz w:val="16"/>
                <w:szCs w:val="16"/>
              </w:rPr>
            </w:pPr>
            <w:r>
              <w:rPr>
                <w:rFonts w:ascii="Calibri" w:hAnsi="Calibri"/>
                <w:color w:val="000000"/>
                <w:sz w:val="16"/>
                <w:szCs w:val="16"/>
              </w:rPr>
              <w:t>N.D</w:t>
            </w:r>
          </w:p>
        </w:tc>
        <w:tc>
          <w:tcPr>
            <w:tcW w:w="1140" w:type="dxa"/>
            <w:tcBorders>
              <w:top w:val="single" w:sz="12" w:space="0" w:color="FFFFFF"/>
              <w:left w:val="nil"/>
              <w:bottom w:val="nil"/>
              <w:right w:val="single" w:sz="12" w:space="0" w:color="FFFFFF"/>
            </w:tcBorders>
            <w:shd w:val="clear" w:color="000000" w:fill="DAEEF3"/>
            <w:vAlign w:val="center"/>
            <w:hideMark/>
          </w:tcPr>
          <w:p w14:paraId="742EE01D" w14:textId="77777777" w:rsidR="009F5479" w:rsidRDefault="009F5479">
            <w:pPr>
              <w:jc w:val="center"/>
              <w:rPr>
                <w:rFonts w:ascii="Calibri" w:hAnsi="Calibri"/>
                <w:color w:val="000000"/>
                <w:sz w:val="16"/>
                <w:szCs w:val="16"/>
              </w:rPr>
            </w:pPr>
            <w:r>
              <w:rPr>
                <w:rFonts w:ascii="Calibri" w:hAnsi="Calibri"/>
                <w:color w:val="000000"/>
                <w:sz w:val="16"/>
                <w:szCs w:val="16"/>
              </w:rPr>
              <w:t>N.D</w:t>
            </w:r>
          </w:p>
        </w:tc>
        <w:tc>
          <w:tcPr>
            <w:tcW w:w="1040" w:type="dxa"/>
            <w:tcBorders>
              <w:top w:val="single" w:sz="12" w:space="0" w:color="FFFFFF"/>
              <w:left w:val="nil"/>
              <w:bottom w:val="nil"/>
              <w:right w:val="single" w:sz="12" w:space="0" w:color="FFFFFF"/>
            </w:tcBorders>
            <w:shd w:val="clear" w:color="000000" w:fill="DAEEF3"/>
            <w:vAlign w:val="center"/>
            <w:hideMark/>
          </w:tcPr>
          <w:p w14:paraId="4558AE3F" w14:textId="77777777" w:rsidR="009F5479" w:rsidRDefault="009F5479">
            <w:pPr>
              <w:jc w:val="center"/>
              <w:rPr>
                <w:rFonts w:ascii="Calibri" w:hAnsi="Calibri"/>
                <w:color w:val="000000"/>
                <w:sz w:val="16"/>
                <w:szCs w:val="16"/>
              </w:rPr>
            </w:pPr>
            <w:r>
              <w:rPr>
                <w:rFonts w:ascii="Calibri" w:hAnsi="Calibri"/>
                <w:color w:val="000000"/>
                <w:sz w:val="16"/>
                <w:szCs w:val="16"/>
              </w:rPr>
              <w:t>N.D</w:t>
            </w:r>
          </w:p>
        </w:tc>
        <w:tc>
          <w:tcPr>
            <w:tcW w:w="985" w:type="dxa"/>
            <w:tcBorders>
              <w:top w:val="single" w:sz="12" w:space="0" w:color="FFFFFF"/>
              <w:left w:val="nil"/>
              <w:bottom w:val="nil"/>
              <w:right w:val="single" w:sz="12" w:space="0" w:color="FFFFFF"/>
            </w:tcBorders>
            <w:shd w:val="clear" w:color="000000" w:fill="DAEEF3"/>
            <w:vAlign w:val="center"/>
            <w:hideMark/>
          </w:tcPr>
          <w:p w14:paraId="76218E82" w14:textId="77777777" w:rsidR="009F5479" w:rsidRDefault="009F5479">
            <w:pPr>
              <w:jc w:val="center"/>
              <w:rPr>
                <w:rFonts w:ascii="Calibri" w:hAnsi="Calibri"/>
                <w:sz w:val="16"/>
                <w:szCs w:val="16"/>
              </w:rPr>
            </w:pPr>
            <w:r>
              <w:rPr>
                <w:rFonts w:ascii="Calibri" w:hAnsi="Calibri"/>
                <w:sz w:val="16"/>
                <w:szCs w:val="16"/>
              </w:rPr>
              <w:t>₡399.7</w:t>
            </w:r>
          </w:p>
        </w:tc>
        <w:tc>
          <w:tcPr>
            <w:tcW w:w="1776" w:type="dxa"/>
            <w:tcBorders>
              <w:top w:val="single" w:sz="12" w:space="0" w:color="FFFFFF"/>
              <w:left w:val="nil"/>
              <w:bottom w:val="nil"/>
              <w:right w:val="single" w:sz="12" w:space="0" w:color="FFFFFF"/>
            </w:tcBorders>
            <w:shd w:val="clear" w:color="000000" w:fill="DAEEF3"/>
            <w:vAlign w:val="center"/>
            <w:hideMark/>
          </w:tcPr>
          <w:p w14:paraId="00651973" w14:textId="77777777" w:rsidR="009F5479" w:rsidRDefault="009F5479">
            <w:pPr>
              <w:jc w:val="center"/>
              <w:rPr>
                <w:rFonts w:ascii="Calibri" w:hAnsi="Calibri"/>
                <w:color w:val="000000"/>
                <w:sz w:val="16"/>
                <w:szCs w:val="16"/>
              </w:rPr>
            </w:pPr>
            <w:r>
              <w:rPr>
                <w:rFonts w:ascii="Calibri" w:hAnsi="Calibri"/>
                <w:color w:val="000000"/>
                <w:sz w:val="16"/>
                <w:szCs w:val="16"/>
              </w:rPr>
              <w:t>Recursos propios</w:t>
            </w:r>
          </w:p>
        </w:tc>
        <w:tc>
          <w:tcPr>
            <w:tcW w:w="2477" w:type="dxa"/>
            <w:tcBorders>
              <w:top w:val="single" w:sz="12" w:space="0" w:color="FFFFFF"/>
              <w:left w:val="nil"/>
              <w:bottom w:val="nil"/>
              <w:right w:val="single" w:sz="12" w:space="0" w:color="FFFFFF"/>
            </w:tcBorders>
            <w:shd w:val="clear" w:color="000000" w:fill="DAEEF3"/>
            <w:vAlign w:val="center"/>
            <w:hideMark/>
          </w:tcPr>
          <w:p w14:paraId="418E0CF2" w14:textId="77777777" w:rsidR="009F5479" w:rsidRDefault="009F5479">
            <w:pPr>
              <w:jc w:val="center"/>
              <w:rPr>
                <w:rFonts w:ascii="Calibri" w:hAnsi="Calibri"/>
                <w:color w:val="000000"/>
                <w:sz w:val="16"/>
                <w:szCs w:val="16"/>
              </w:rPr>
            </w:pPr>
            <w:r>
              <w:rPr>
                <w:rFonts w:ascii="Calibri" w:hAnsi="Calibri"/>
                <w:color w:val="000000"/>
                <w:sz w:val="16"/>
                <w:szCs w:val="16"/>
              </w:rPr>
              <w:t> </w:t>
            </w:r>
          </w:p>
        </w:tc>
      </w:tr>
      <w:tr w:rsidR="009F5479" w14:paraId="2173C60C" w14:textId="77777777" w:rsidTr="009F5479">
        <w:trPr>
          <w:trHeight w:val="249"/>
        </w:trPr>
        <w:tc>
          <w:tcPr>
            <w:tcW w:w="1740" w:type="dxa"/>
            <w:tcBorders>
              <w:top w:val="nil"/>
              <w:left w:val="nil"/>
              <w:bottom w:val="nil"/>
              <w:right w:val="nil"/>
            </w:tcBorders>
            <w:shd w:val="clear" w:color="auto" w:fill="auto"/>
            <w:noWrap/>
            <w:vAlign w:val="bottom"/>
            <w:hideMark/>
          </w:tcPr>
          <w:p w14:paraId="10E0EA9E" w14:textId="77777777" w:rsidR="009F5479" w:rsidRDefault="009F5479">
            <w:pPr>
              <w:jc w:val="center"/>
              <w:rPr>
                <w:rFonts w:ascii="Calibri" w:hAnsi="Calibri"/>
                <w:color w:val="000000"/>
                <w:sz w:val="16"/>
                <w:szCs w:val="16"/>
              </w:rPr>
            </w:pPr>
          </w:p>
        </w:tc>
        <w:tc>
          <w:tcPr>
            <w:tcW w:w="5780" w:type="dxa"/>
            <w:gridSpan w:val="5"/>
            <w:tcBorders>
              <w:top w:val="nil"/>
              <w:left w:val="nil"/>
              <w:bottom w:val="nil"/>
              <w:right w:val="nil"/>
            </w:tcBorders>
            <w:shd w:val="clear" w:color="auto" w:fill="auto"/>
            <w:noWrap/>
            <w:vAlign w:val="center"/>
            <w:hideMark/>
          </w:tcPr>
          <w:p w14:paraId="1F955790" w14:textId="77777777" w:rsidR="009F5479" w:rsidRDefault="009F5479">
            <w:pPr>
              <w:jc w:val="center"/>
              <w:rPr>
                <w:rFonts w:ascii="Calibri" w:hAnsi="Calibri"/>
                <w:b/>
                <w:bCs/>
                <w:color w:val="000000"/>
                <w:sz w:val="16"/>
                <w:szCs w:val="16"/>
              </w:rPr>
            </w:pPr>
            <w:r>
              <w:rPr>
                <w:rFonts w:ascii="Calibri" w:hAnsi="Calibri"/>
                <w:b/>
                <w:bCs/>
                <w:color w:val="000000"/>
                <w:sz w:val="16"/>
                <w:szCs w:val="16"/>
              </w:rPr>
              <w:t>Total del Presupuesto</w:t>
            </w:r>
          </w:p>
        </w:tc>
        <w:tc>
          <w:tcPr>
            <w:tcW w:w="985" w:type="dxa"/>
            <w:tcBorders>
              <w:top w:val="nil"/>
              <w:left w:val="nil"/>
              <w:bottom w:val="nil"/>
              <w:right w:val="nil"/>
            </w:tcBorders>
            <w:shd w:val="clear" w:color="000000" w:fill="FDE9D9"/>
            <w:noWrap/>
            <w:vAlign w:val="center"/>
            <w:hideMark/>
          </w:tcPr>
          <w:p w14:paraId="3F4CFC14" w14:textId="05B88A60" w:rsidR="009F5479" w:rsidRDefault="001F2E88">
            <w:pPr>
              <w:jc w:val="center"/>
              <w:rPr>
                <w:rFonts w:ascii="Calibri" w:hAnsi="Calibri"/>
                <w:b/>
                <w:bCs/>
                <w:sz w:val="16"/>
                <w:szCs w:val="16"/>
              </w:rPr>
            </w:pPr>
            <w:r w:rsidRPr="001F2E88">
              <w:rPr>
                <w:rFonts w:ascii="Calibri" w:hAnsi="Calibri"/>
                <w:b/>
                <w:bCs/>
                <w:sz w:val="16"/>
                <w:szCs w:val="16"/>
              </w:rPr>
              <w:t>₡</w:t>
            </w:r>
            <w:r w:rsidR="009F5479">
              <w:rPr>
                <w:rFonts w:ascii="Calibri" w:hAnsi="Calibri"/>
                <w:b/>
                <w:bCs/>
                <w:sz w:val="16"/>
                <w:szCs w:val="16"/>
              </w:rPr>
              <w:t xml:space="preserve"> 5,197.89 </w:t>
            </w:r>
          </w:p>
        </w:tc>
        <w:tc>
          <w:tcPr>
            <w:tcW w:w="1776" w:type="dxa"/>
            <w:tcBorders>
              <w:top w:val="nil"/>
              <w:left w:val="nil"/>
              <w:bottom w:val="nil"/>
              <w:right w:val="nil"/>
            </w:tcBorders>
            <w:shd w:val="clear" w:color="auto" w:fill="auto"/>
            <w:noWrap/>
            <w:vAlign w:val="bottom"/>
            <w:hideMark/>
          </w:tcPr>
          <w:p w14:paraId="076F5569" w14:textId="77777777" w:rsidR="009F5479" w:rsidRDefault="009F5479">
            <w:pPr>
              <w:jc w:val="center"/>
              <w:rPr>
                <w:rFonts w:ascii="Calibri" w:hAnsi="Calibri"/>
                <w:b/>
                <w:bCs/>
                <w:sz w:val="16"/>
                <w:szCs w:val="16"/>
              </w:rPr>
            </w:pPr>
          </w:p>
        </w:tc>
        <w:tc>
          <w:tcPr>
            <w:tcW w:w="2477" w:type="dxa"/>
            <w:tcBorders>
              <w:top w:val="nil"/>
              <w:left w:val="nil"/>
              <w:bottom w:val="nil"/>
              <w:right w:val="nil"/>
            </w:tcBorders>
            <w:shd w:val="clear" w:color="auto" w:fill="auto"/>
            <w:noWrap/>
            <w:vAlign w:val="bottom"/>
            <w:hideMark/>
          </w:tcPr>
          <w:p w14:paraId="552C5989" w14:textId="77777777" w:rsidR="009F5479" w:rsidRDefault="009F5479">
            <w:pPr>
              <w:rPr>
                <w:sz w:val="20"/>
                <w:szCs w:val="20"/>
              </w:rPr>
            </w:pPr>
          </w:p>
        </w:tc>
      </w:tr>
    </w:tbl>
    <w:p w14:paraId="61B906D8" w14:textId="77777777" w:rsidR="009F5479" w:rsidRPr="00BA3674" w:rsidRDefault="009F5479" w:rsidP="00110644">
      <w:pPr>
        <w:rPr>
          <w:rFonts w:asciiTheme="minorHAnsi" w:hAnsiTheme="minorHAnsi"/>
          <w:color w:val="000000"/>
          <w:sz w:val="16"/>
          <w:szCs w:val="16"/>
        </w:rPr>
      </w:pPr>
    </w:p>
    <w:p w14:paraId="3D29B207" w14:textId="77777777" w:rsidR="00E55D83" w:rsidRDefault="00E55D83" w:rsidP="004A2776">
      <w:pPr>
        <w:rPr>
          <w:lang w:val="es-ES_tradnl" w:eastAsia="es-ES_tradnl"/>
        </w:rPr>
      </w:pPr>
    </w:p>
    <w:p w14:paraId="1D649160" w14:textId="48A36CA7" w:rsidR="00110644" w:rsidRDefault="00110644" w:rsidP="004A2776">
      <w:pPr>
        <w:rPr>
          <w:lang w:val="es-ES_tradnl" w:eastAsia="es-ES_tradnl"/>
        </w:rPr>
      </w:pPr>
    </w:p>
    <w:p w14:paraId="29FF77CB" w14:textId="77777777" w:rsidR="00110644" w:rsidRDefault="00110644" w:rsidP="004A2776">
      <w:pPr>
        <w:rPr>
          <w:lang w:val="es-ES_tradnl" w:eastAsia="es-ES_tradnl"/>
        </w:rPr>
      </w:pPr>
    </w:p>
    <w:p w14:paraId="4103A799" w14:textId="6D07AB31" w:rsidR="00110644" w:rsidRDefault="00110644" w:rsidP="004A2776">
      <w:pPr>
        <w:rPr>
          <w:lang w:val="es-ES_tradnl" w:eastAsia="es-ES_tradnl"/>
        </w:rPr>
      </w:pPr>
    </w:p>
    <w:p w14:paraId="1B67828A" w14:textId="77777777" w:rsidR="00110644" w:rsidRDefault="00110644" w:rsidP="004A2776">
      <w:pPr>
        <w:rPr>
          <w:lang w:val="es-ES_tradnl" w:eastAsia="es-ES_tradnl"/>
        </w:rPr>
        <w:sectPr w:rsidR="00110644" w:rsidSect="00710882">
          <w:pgSz w:w="15842" w:h="12242" w:orient="landscape" w:code="1"/>
          <w:pgMar w:top="1701" w:right="1418" w:bottom="476" w:left="1418" w:header="709" w:footer="709" w:gutter="0"/>
          <w:cols w:space="708"/>
          <w:docGrid w:linePitch="360"/>
        </w:sectPr>
      </w:pPr>
    </w:p>
    <w:p w14:paraId="43E15EAF" w14:textId="37FA35E4" w:rsidR="00360736" w:rsidRDefault="00360736" w:rsidP="004A2776">
      <w:pPr>
        <w:rPr>
          <w:lang w:val="es-ES_tradnl" w:eastAsia="es-ES_tradnl"/>
        </w:rPr>
      </w:pPr>
    </w:p>
    <w:p w14:paraId="3E59F898" w14:textId="77777777" w:rsidR="00710882" w:rsidRDefault="00710882" w:rsidP="004A2776">
      <w:pPr>
        <w:rPr>
          <w:lang w:val="es-ES_tradnl" w:eastAsia="es-ES_tradnl"/>
        </w:rPr>
      </w:pPr>
    </w:p>
    <w:p w14:paraId="6EECA4AF" w14:textId="77777777" w:rsidR="00910DA5" w:rsidRDefault="00910DA5" w:rsidP="004A2776">
      <w:pPr>
        <w:rPr>
          <w:lang w:val="es-ES_tradnl" w:eastAsia="es-ES_tradnl"/>
        </w:rPr>
      </w:pPr>
    </w:p>
    <w:p w14:paraId="10480667" w14:textId="77777777" w:rsidR="00910DA5" w:rsidRDefault="00910DA5" w:rsidP="004A2776">
      <w:pPr>
        <w:rPr>
          <w:lang w:val="es-ES_tradnl" w:eastAsia="es-ES_tradnl"/>
        </w:rPr>
      </w:pPr>
    </w:p>
    <w:p w14:paraId="4D55B808" w14:textId="77777777" w:rsidR="0023798F" w:rsidRDefault="0023798F" w:rsidP="004A2776">
      <w:pPr>
        <w:rPr>
          <w:lang w:val="es-ES_tradnl" w:eastAsia="es-ES_tradnl"/>
        </w:rPr>
      </w:pPr>
    </w:p>
    <w:p w14:paraId="0F597ED6" w14:textId="77777777" w:rsidR="0023798F" w:rsidRDefault="0023798F" w:rsidP="004A2776">
      <w:pPr>
        <w:rPr>
          <w:lang w:val="es-ES_tradnl" w:eastAsia="es-ES_tradnl"/>
        </w:rPr>
      </w:pPr>
    </w:p>
    <w:p w14:paraId="390B4B27" w14:textId="77777777" w:rsidR="0023798F" w:rsidRDefault="0023798F" w:rsidP="004A2776">
      <w:pPr>
        <w:rPr>
          <w:lang w:val="es-ES_tradnl" w:eastAsia="es-ES_tradnl"/>
        </w:rPr>
      </w:pPr>
    </w:p>
    <w:p w14:paraId="014ED750" w14:textId="77777777" w:rsidR="0023798F" w:rsidRDefault="0023798F" w:rsidP="004A2776">
      <w:pPr>
        <w:rPr>
          <w:lang w:val="es-ES_tradnl" w:eastAsia="es-ES_tradnl"/>
        </w:rPr>
      </w:pPr>
    </w:p>
    <w:p w14:paraId="48A6B7C2" w14:textId="77777777" w:rsidR="0023798F" w:rsidRDefault="0023798F" w:rsidP="004A2776">
      <w:pPr>
        <w:rPr>
          <w:lang w:val="es-ES_tradnl" w:eastAsia="es-ES_tradnl"/>
        </w:rPr>
      </w:pPr>
    </w:p>
    <w:p w14:paraId="776380BA" w14:textId="77777777" w:rsidR="0023798F" w:rsidRDefault="0023798F" w:rsidP="004A2776">
      <w:pPr>
        <w:rPr>
          <w:lang w:val="es-ES_tradnl" w:eastAsia="es-ES_tradnl"/>
        </w:rPr>
      </w:pPr>
    </w:p>
    <w:p w14:paraId="3F4E471F" w14:textId="77777777" w:rsidR="0023798F" w:rsidRDefault="0023798F" w:rsidP="004A2776">
      <w:pPr>
        <w:rPr>
          <w:lang w:val="es-ES_tradnl" w:eastAsia="es-ES_tradnl"/>
        </w:rPr>
      </w:pPr>
    </w:p>
    <w:p w14:paraId="6C81EB90" w14:textId="12F30026" w:rsidR="0023798F" w:rsidRDefault="0023798F" w:rsidP="00AF3E26">
      <w:pPr>
        <w:rPr>
          <w:lang w:val="es-ES_tradnl" w:eastAsia="es-ES_tradnl"/>
        </w:rPr>
      </w:pPr>
      <w:r>
        <w:rPr>
          <w:rFonts w:asciiTheme="majorHAnsi" w:hAnsiTheme="majorHAnsi"/>
          <w:sz w:val="56"/>
          <w:szCs w:val="56"/>
        </w:rPr>
        <w:t>Documentos</w:t>
      </w:r>
    </w:p>
    <w:p w14:paraId="362A59F6" w14:textId="77777777" w:rsidR="00910DA5" w:rsidRDefault="00910DA5" w:rsidP="004A2776">
      <w:pPr>
        <w:rPr>
          <w:lang w:val="es-ES_tradnl" w:eastAsia="es-ES_tradnl"/>
        </w:rPr>
      </w:pPr>
    </w:p>
    <w:p w14:paraId="5790B8FD" w14:textId="77777777" w:rsidR="00563B93" w:rsidRDefault="00563B93" w:rsidP="004A2776">
      <w:pPr>
        <w:rPr>
          <w:lang w:val="es-ES_tradnl" w:eastAsia="es-ES_tradnl"/>
        </w:rPr>
      </w:pPr>
    </w:p>
    <w:p w14:paraId="69B4A0E4" w14:textId="77777777" w:rsidR="00563B93" w:rsidRDefault="00563B93" w:rsidP="004A2776">
      <w:pPr>
        <w:rPr>
          <w:lang w:val="es-ES_tradnl" w:eastAsia="es-ES_tradnl"/>
        </w:rPr>
        <w:sectPr w:rsidR="00563B93" w:rsidSect="004E39A1">
          <w:pgSz w:w="12242" w:h="15842" w:code="1"/>
          <w:pgMar w:top="1418" w:right="1701" w:bottom="1418" w:left="1701" w:header="709" w:footer="709" w:gutter="0"/>
          <w:cols w:space="708"/>
          <w:docGrid w:linePitch="360"/>
        </w:sectPr>
      </w:pPr>
    </w:p>
    <w:p w14:paraId="2ECC7CBC" w14:textId="415FA39A" w:rsidR="00A964FD" w:rsidRDefault="00A964FD">
      <w:pPr>
        <w:rPr>
          <w:rFonts w:ascii="Century Gothic" w:hAnsi="Century Gothic"/>
          <w:b/>
          <w:sz w:val="20"/>
          <w:szCs w:val="20"/>
        </w:rPr>
      </w:pPr>
    </w:p>
    <w:p w14:paraId="6EB4DD7B" w14:textId="7D456732" w:rsidR="00563B93" w:rsidRPr="002830C4" w:rsidRDefault="001C3E10" w:rsidP="00563B93">
      <w:pPr>
        <w:pStyle w:val="NormalWeb"/>
        <w:tabs>
          <w:tab w:val="left" w:pos="567"/>
        </w:tabs>
        <w:outlineLvl w:val="0"/>
        <w:rPr>
          <w:rFonts w:asciiTheme="majorHAnsi" w:hAnsiTheme="majorHAnsi" w:cs="Tahoma"/>
          <w:b/>
          <w:bCs/>
          <w:smallCaps/>
          <w:sz w:val="28"/>
        </w:rPr>
      </w:pPr>
      <w:bookmarkStart w:id="53" w:name="_Toc442253223"/>
      <w:r w:rsidRPr="002830C4">
        <w:rPr>
          <w:noProof/>
        </w:rPr>
        <w:drawing>
          <wp:anchor distT="0" distB="0" distL="114300" distR="114300" simplePos="0" relativeHeight="251723776" behindDoc="1" locked="0" layoutInCell="1" allowOverlap="1" wp14:anchorId="56E4103E" wp14:editId="5BF910DD">
            <wp:simplePos x="0" y="0"/>
            <wp:positionH relativeFrom="column">
              <wp:posOffset>-203835</wp:posOffset>
            </wp:positionH>
            <wp:positionV relativeFrom="paragraph">
              <wp:posOffset>461011</wp:posOffset>
            </wp:positionV>
            <wp:extent cx="5607050" cy="7252974"/>
            <wp:effectExtent l="0" t="0" r="0" b="5080"/>
            <wp:wrapNone/>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rabajos\Identidad BCCR\portadaDocumentos-2011.jpg"/>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5607050" cy="7252974"/>
                    </a:xfrm>
                    <a:prstGeom prst="rect">
                      <a:avLst/>
                    </a:prstGeom>
                    <a:noFill/>
                    <a:ln>
                      <a:noFill/>
                    </a:ln>
                  </pic:spPr>
                </pic:pic>
              </a:graphicData>
            </a:graphic>
            <wp14:sizeRelH relativeFrom="page">
              <wp14:pctWidth>0</wp14:pctWidth>
            </wp14:sizeRelH>
            <wp14:sizeRelV relativeFrom="page">
              <wp14:pctHeight>0</wp14:pctHeight>
            </wp14:sizeRelV>
          </wp:anchor>
        </w:drawing>
      </w:r>
      <w:r w:rsidR="00CF6C16">
        <w:rPr>
          <w:rFonts w:asciiTheme="majorHAnsi" w:hAnsiTheme="majorHAnsi" w:cs="Tahoma"/>
          <w:b/>
          <w:bCs/>
          <w:smallCaps/>
          <w:sz w:val="28"/>
        </w:rPr>
        <w:t>4</w:t>
      </w:r>
      <w:r w:rsidR="00563B93" w:rsidRPr="002830C4">
        <w:rPr>
          <w:rFonts w:asciiTheme="majorHAnsi" w:hAnsiTheme="majorHAnsi" w:cs="Tahoma"/>
          <w:b/>
          <w:bCs/>
          <w:smallCaps/>
          <w:sz w:val="28"/>
        </w:rPr>
        <w:t xml:space="preserve">. </w:t>
      </w:r>
      <w:r w:rsidR="00563B93" w:rsidRPr="002830C4">
        <w:rPr>
          <w:rFonts w:asciiTheme="majorHAnsi" w:hAnsiTheme="majorHAnsi" w:cs="Tahoma"/>
          <w:b/>
          <w:bCs/>
          <w:smallCaps/>
          <w:sz w:val="28"/>
        </w:rPr>
        <w:tab/>
        <w:t>Plan Estratégico Informático</w:t>
      </w:r>
      <w:bookmarkEnd w:id="53"/>
    </w:p>
    <w:p w14:paraId="7684CB7D" w14:textId="31BEC920" w:rsidR="001C3E10" w:rsidRDefault="001C3E10" w:rsidP="001C3E10">
      <w:pPr>
        <w:pStyle w:val="TtuloInicial"/>
        <w:ind w:left="2124" w:hanging="2124"/>
      </w:pPr>
      <w:r>
        <w:rPr>
          <w:noProof/>
          <w:lang w:val="es-ES" w:eastAsia="es-ES"/>
        </w:rPr>
        <mc:AlternateContent>
          <mc:Choice Requires="wps">
            <w:drawing>
              <wp:anchor distT="0" distB="0" distL="114300" distR="114300" simplePos="0" relativeHeight="251724800" behindDoc="0" locked="0" layoutInCell="1" allowOverlap="1" wp14:anchorId="27A54F3E" wp14:editId="1EC952BF">
                <wp:simplePos x="0" y="0"/>
                <wp:positionH relativeFrom="column">
                  <wp:posOffset>-102235</wp:posOffset>
                </wp:positionH>
                <wp:positionV relativeFrom="paragraph">
                  <wp:posOffset>3084830</wp:posOffset>
                </wp:positionV>
                <wp:extent cx="5267960" cy="1625600"/>
                <wp:effectExtent l="0" t="0" r="0" b="0"/>
                <wp:wrapNone/>
                <wp:docPr id="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960" cy="162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BAE92" w14:textId="77777777" w:rsidR="00157B1A" w:rsidRPr="00D1226D" w:rsidRDefault="00157B1A" w:rsidP="001C3E10">
                            <w:pPr>
                              <w:pStyle w:val="TtuloInicial"/>
                              <w:rPr>
                                <w:b/>
                              </w:rPr>
                            </w:pPr>
                            <w:r w:rsidRPr="00D1226D">
                              <w:rPr>
                                <w:b/>
                              </w:rPr>
                              <w:t>Estrat</w:t>
                            </w:r>
                            <w:r>
                              <w:rPr>
                                <w:b/>
                              </w:rPr>
                              <w:t>egia de Tecnología de la Información</w:t>
                            </w:r>
                          </w:p>
                          <w:p w14:paraId="7CE4E7E2" w14:textId="77777777" w:rsidR="00157B1A" w:rsidRPr="001C3E10" w:rsidRDefault="00157B1A" w:rsidP="001C3E10">
                            <w:pPr>
                              <w:pStyle w:val="Subttulo"/>
                              <w:rPr>
                                <w:lang w:val="es-CR"/>
                              </w:rPr>
                            </w:pPr>
                            <w:r w:rsidRPr="001C3E10">
                              <w:rPr>
                                <w:lang w:val="es-CR"/>
                              </w:rPr>
                              <w:t>División de Servicios Tecnológicos</w:t>
                            </w:r>
                          </w:p>
                          <w:p w14:paraId="74A0C8ED" w14:textId="77777777" w:rsidR="00157B1A" w:rsidRPr="001C3E10" w:rsidRDefault="00157B1A" w:rsidP="001C3E10">
                            <w:pPr>
                              <w:rPr>
                                <w:rFonts w:asciiTheme="majorHAnsi" w:hAnsiTheme="majorHAnsi"/>
                                <w:sz w:val="28"/>
                                <w:szCs w:val="28"/>
                                <w:lang w:val="es-CR"/>
                              </w:rPr>
                            </w:pPr>
                          </w:p>
                          <w:p w14:paraId="574927CE" w14:textId="77777777" w:rsidR="00157B1A" w:rsidRPr="001C3E10" w:rsidRDefault="00157B1A" w:rsidP="001C3E10">
                            <w:pPr>
                              <w:rPr>
                                <w:rFonts w:asciiTheme="majorHAnsi" w:hAnsiTheme="majorHAnsi"/>
                                <w:sz w:val="28"/>
                                <w:szCs w:val="28"/>
                                <w:lang w:val="es-CR"/>
                              </w:rPr>
                            </w:pPr>
                          </w:p>
                          <w:p w14:paraId="2C88DF7B" w14:textId="77777777" w:rsidR="00157B1A" w:rsidRDefault="00157B1A" w:rsidP="001C3E10">
                            <w:pPr>
                              <w:rPr>
                                <w:rFonts w:asciiTheme="majorHAnsi" w:hAnsiTheme="majorHAnsi"/>
                                <w:sz w:val="28"/>
                                <w:szCs w:val="28"/>
                                <w:lang w:val="en-US"/>
                              </w:rPr>
                            </w:pPr>
                          </w:p>
                          <w:p w14:paraId="19F23CC4" w14:textId="77777777" w:rsidR="00157B1A" w:rsidRDefault="00157B1A" w:rsidP="001C3E10">
                            <w:pPr>
                              <w:rPr>
                                <w:rFonts w:asciiTheme="majorHAnsi" w:hAnsiTheme="majorHAnsi"/>
                                <w:sz w:val="28"/>
                                <w:szCs w:val="28"/>
                                <w:lang w:val="en-US"/>
                              </w:rPr>
                            </w:pPr>
                          </w:p>
                          <w:p w14:paraId="7D11DED3" w14:textId="77777777" w:rsidR="00157B1A" w:rsidRDefault="00157B1A" w:rsidP="001C3E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54F3E" id="Text Box 5" o:spid="_x0000_s1030" type="#_x0000_t202" style="position:absolute;left:0;text-align:left;margin-left:-8.05pt;margin-top:242.9pt;width:414.8pt;height:12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6BQugIAAMI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TrH&#10;M4KRoD3U6JHtDbqTexTb9IyDzkDrYQA9s4dnKLMLVQ/3svqmkZDLlooNu1VKji2jNbgX2p/+xdcJ&#10;R1uQ9fhR1mCGbo10QPtG9TZ3kA0E6FCmp1NprCsVPMZRMksTEFUgC5MoTgJXPJ9mx++D0uY9kz2y&#10;hxwrqL2Dp7t7baw7NDuqWGtClrzrXP078ewBFKcXMA5frcy64cr5Mw3S1Xw1Jx6JkpVHgqLwbssl&#10;8ZIynMXFu2K5LMJf1m5IspbXNRPWzJFaIfmz0h1IPpHiRC4tO15bOOuSVpv1slNoR4HapVsu6SA5&#10;q/nP3XBJgFhehBRGJLiLUq9M5jOPlCT20lkw94IwvYOck5QU5fOQ7rlg/x4SGnOcxlE8sens9IvY&#10;Ardex0aznhsYHh3vczw/KdHMcnAlaldaQ3k3nS9SYd0/pwLKfSy0Y6wl6URXs1/vXW9Ex0ZYy/oJ&#10;KKwkEAzICIMPDq1UPzAaYYjkWH/fUsUw6j4IaIM0JMROHXch8SyCi7qUrC8lVFQAlWOD0XRcmmlS&#10;bQfFNy1YmhpPyFtonYY7Utsem7w6NBwMChfbYajZSXR5d1rn0bv4DQAA//8DAFBLAwQUAAYACAAA&#10;ACEA0x+qxN8AAAALAQAADwAAAGRycy9kb3ducmV2LnhtbEyPwU7DMBBE70j8g7VI3FrbkJQQ4lQI&#10;xBXUQitxc5NtEhGvo9htwt+znOC42qeZN8V6dr044xg6Twb0UoFAqnzdUWPg4/1lkYEI0VJte09o&#10;4BsDrMvLi8LmtZ9og+dtbASHUMitgTbGIZcyVC06G5Z+QOLf0Y/ORj7HRtajnTjc9fJGqZV0tiNu&#10;aO2ATy1WX9uTM7B7PX7uE/XWPLt0mPysJLl7acz11fz4ACLiHP9g+NVndSjZ6eBPVAfRG1jolWbU&#10;QJKlvIGJTN+mIA4G7hKdgSwL+X9D+QMAAP//AwBQSwECLQAUAAYACAAAACEAtoM4kv4AAADhAQAA&#10;EwAAAAAAAAAAAAAAAAAAAAAAW0NvbnRlbnRfVHlwZXNdLnhtbFBLAQItABQABgAIAAAAIQA4/SH/&#10;1gAAAJQBAAALAAAAAAAAAAAAAAAAAC8BAABfcmVscy8ucmVsc1BLAQItABQABgAIAAAAIQDbf6BQ&#10;ugIAAMIFAAAOAAAAAAAAAAAAAAAAAC4CAABkcnMvZTJvRG9jLnhtbFBLAQItABQABgAIAAAAIQDT&#10;H6rE3wAAAAsBAAAPAAAAAAAAAAAAAAAAABQFAABkcnMvZG93bnJldi54bWxQSwUGAAAAAAQABADz&#10;AAAAIAYAAAAA&#10;" filled="f" stroked="f">
                <v:textbox>
                  <w:txbxContent>
                    <w:p w14:paraId="2D7BAE92" w14:textId="77777777" w:rsidR="00157B1A" w:rsidRPr="00D1226D" w:rsidRDefault="00157B1A" w:rsidP="001C3E10">
                      <w:pPr>
                        <w:pStyle w:val="TtuloInicial"/>
                        <w:rPr>
                          <w:b/>
                        </w:rPr>
                      </w:pPr>
                      <w:r w:rsidRPr="00D1226D">
                        <w:rPr>
                          <w:b/>
                        </w:rPr>
                        <w:t>Estrat</w:t>
                      </w:r>
                      <w:r>
                        <w:rPr>
                          <w:b/>
                        </w:rPr>
                        <w:t>egia de Tecnología de la Información</w:t>
                      </w:r>
                    </w:p>
                    <w:p w14:paraId="7CE4E7E2" w14:textId="77777777" w:rsidR="00157B1A" w:rsidRPr="001C3E10" w:rsidRDefault="00157B1A" w:rsidP="001C3E10">
                      <w:pPr>
                        <w:pStyle w:val="Subttulo"/>
                        <w:rPr>
                          <w:lang w:val="es-CR"/>
                        </w:rPr>
                      </w:pPr>
                      <w:r w:rsidRPr="001C3E10">
                        <w:rPr>
                          <w:lang w:val="es-CR"/>
                        </w:rPr>
                        <w:t>División de Servicios Tecnológicos</w:t>
                      </w:r>
                    </w:p>
                    <w:p w14:paraId="74A0C8ED" w14:textId="77777777" w:rsidR="00157B1A" w:rsidRPr="001C3E10" w:rsidRDefault="00157B1A" w:rsidP="001C3E10">
                      <w:pPr>
                        <w:rPr>
                          <w:rFonts w:asciiTheme="majorHAnsi" w:hAnsiTheme="majorHAnsi"/>
                          <w:sz w:val="28"/>
                          <w:szCs w:val="28"/>
                          <w:lang w:val="es-CR"/>
                        </w:rPr>
                      </w:pPr>
                    </w:p>
                    <w:p w14:paraId="574927CE" w14:textId="77777777" w:rsidR="00157B1A" w:rsidRPr="001C3E10" w:rsidRDefault="00157B1A" w:rsidP="001C3E10">
                      <w:pPr>
                        <w:rPr>
                          <w:rFonts w:asciiTheme="majorHAnsi" w:hAnsiTheme="majorHAnsi"/>
                          <w:sz w:val="28"/>
                          <w:szCs w:val="28"/>
                          <w:lang w:val="es-CR"/>
                        </w:rPr>
                      </w:pPr>
                    </w:p>
                    <w:p w14:paraId="2C88DF7B" w14:textId="77777777" w:rsidR="00157B1A" w:rsidRDefault="00157B1A" w:rsidP="001C3E10">
                      <w:pPr>
                        <w:rPr>
                          <w:rFonts w:asciiTheme="majorHAnsi" w:hAnsiTheme="majorHAnsi"/>
                          <w:sz w:val="28"/>
                          <w:szCs w:val="28"/>
                          <w:lang w:val="en-US"/>
                        </w:rPr>
                      </w:pPr>
                    </w:p>
                    <w:p w14:paraId="19F23CC4" w14:textId="77777777" w:rsidR="00157B1A" w:rsidRDefault="00157B1A" w:rsidP="001C3E10">
                      <w:pPr>
                        <w:rPr>
                          <w:rFonts w:asciiTheme="majorHAnsi" w:hAnsiTheme="majorHAnsi"/>
                          <w:sz w:val="28"/>
                          <w:szCs w:val="28"/>
                          <w:lang w:val="en-US"/>
                        </w:rPr>
                      </w:pPr>
                    </w:p>
                    <w:p w14:paraId="7D11DED3" w14:textId="77777777" w:rsidR="00157B1A" w:rsidRDefault="00157B1A" w:rsidP="001C3E10"/>
                  </w:txbxContent>
                </v:textbox>
              </v:shape>
            </w:pict>
          </mc:Fallback>
        </mc:AlternateContent>
      </w:r>
      <w:r>
        <w:rPr>
          <w:noProof/>
          <w:lang w:val="es-ES" w:eastAsia="es-ES"/>
        </w:rPr>
        <mc:AlternateContent>
          <mc:Choice Requires="wps">
            <w:drawing>
              <wp:anchor distT="0" distB="0" distL="114300" distR="114300" simplePos="0" relativeHeight="251725824" behindDoc="0" locked="0" layoutInCell="1" allowOverlap="1" wp14:anchorId="46CE2965" wp14:editId="6E16D52A">
                <wp:simplePos x="0" y="0"/>
                <wp:positionH relativeFrom="column">
                  <wp:posOffset>-266436</wp:posOffset>
                </wp:positionH>
                <wp:positionV relativeFrom="paragraph">
                  <wp:posOffset>8223250</wp:posOffset>
                </wp:positionV>
                <wp:extent cx="2717165" cy="456565"/>
                <wp:effectExtent l="0" t="0" r="0" b="635"/>
                <wp:wrapNone/>
                <wp:docPr id="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165"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1AD46" w14:textId="77777777" w:rsidR="00157B1A" w:rsidRPr="00C42BCB" w:rsidRDefault="00157B1A" w:rsidP="001C3E10">
                            <w:pPr>
                              <w:pStyle w:val="Fecha"/>
                              <w:rPr>
                                <w:lang w:val="en-US"/>
                              </w:rPr>
                            </w:pPr>
                            <w:proofErr w:type="spellStart"/>
                            <w:r>
                              <w:rPr>
                                <w:lang w:val="en-US"/>
                              </w:rPr>
                              <w:t>Marzo</w:t>
                            </w:r>
                            <w:proofErr w:type="spellEnd"/>
                            <w:r>
                              <w:rPr>
                                <w:lang w:val="en-US"/>
                              </w:rPr>
                              <w:t xml:space="preserv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E2965" id="_x0000_s1031" type="#_x0000_t202" style="position:absolute;left:0;text-align:left;margin-left:-21pt;margin-top:647.5pt;width:213.95pt;height:35.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RbiuAIAAMEFAAAOAAAAZHJzL2Uyb0RvYy54bWysVG1vmzAQ/j5p/8Hyd8pLDQmopGpDmCZ1&#10;L1K7H+CACdbAZrYT0k377zubJE1bTZq2gWT55fzcc3eP7+p633dox5TmUuQ4vAgwYqKSNRebHH95&#10;KL05RtpQUdNOCpbjR6bx9eLtm6txyFgkW9nVTCEAETobhxy3xgyZ7+uqZT3VF3JgAg4bqXpqYKk2&#10;fq3oCOh950dBkPijVPWgZMW0ht1iOsQLh980rDKfmkYzg7ocAzfjRuXGtR39xRXNNooOLa8ONOhf&#10;sOgpF+D0BFVQQ9FW8VdQPa+U1LIxF5Xsfdk0vGIuBogmDF5Ec9/SgblYIDl6OKVJ/z/Y6uPus0K8&#10;zvEsxkjQHmr0wPYG3co9im16xkFnYHU/gJ3ZwzaU2YWqhztZfdVIyGVLxYbdKCXHltEa6IX2pn92&#10;dcLRFmQ9fpA1uKFbIx3QvlG9zR1kAwE6lOnxVBpLpYLNaBbOwgQoVnBG4gR+54Jmx9uD0uYdkz2y&#10;kxwrKL1Dp7s7bSwbmh1NrDMhS951rvydeLYBhtMO+Iar9syycNX8kQbpar6aE49EycojQVF4N+WS&#10;eEkZzuLislgui/Cn9RuSrOV1zYR1c1RWSP6scgeNT5o4aUvLjtcWzlLSarNedgrtKCi7dN8hIWdm&#10;/nMaLgkQy4uQwogEt1Hqlcl85pGSxF46C+ZeEKa3aRKQlBTl85DuuGD/HhIac5zGUTyJ6bexBe57&#10;HRvNem6gd3S8z/H8ZEQzK8GVqF1pDeXdND9LhaX/lAoo97HQTrBWo5NazX69d0/j0nq3Yl7L+hEU&#10;rCQIDGQKfQ8mrVTfMRqhh+RYf9tSxTDq3gt4BWlIiG06bkHiWQQLdX6yPj+hogKoHBuMpunSTI1q&#10;Oyi+acHT9O6EvIGX03An6idWh/cGfcLFduhpthGdr53VU+dd/AIAAP//AwBQSwMEFAAGAAgAAAAh&#10;APmHj9ngAAAADQEAAA8AAABkcnMvZG93bnJldi54bWxMj0FPwzAMhe9I/IfISNy2hG6t1tJ0QiCu&#10;IAZM2i1rvLaicaomW8u/x5zgZvs9PX+v3M6uFxccQ+dJw91SgUCqve2o0fDx/rzYgAjRkDW9J9Tw&#10;jQG21fVVaQrrJ3rDyy42gkMoFEZDG+NQSBnqFp0JSz8gsXbyozOR17GRdjQTh7teJkpl0pmO+ENr&#10;Bnxssf7anZ2Gz5fTYb9Wr82TS4fJz0qSy6XWtzfzwz2IiHP8M8MvPqNDxUxHfyYbRK9hsU64S2Qh&#10;yVOe2LLapDmII59WWZaDrEr5v0X1AwAA//8DAFBLAQItABQABgAIAAAAIQC2gziS/gAAAOEBAAAT&#10;AAAAAAAAAAAAAAAAAAAAAABbQ29udGVudF9UeXBlc10ueG1sUEsBAi0AFAAGAAgAAAAhADj9If/W&#10;AAAAlAEAAAsAAAAAAAAAAAAAAAAALwEAAF9yZWxzLy5yZWxzUEsBAi0AFAAGAAgAAAAhAIUpFuK4&#10;AgAAwQUAAA4AAAAAAAAAAAAAAAAALgIAAGRycy9lMm9Eb2MueG1sUEsBAi0AFAAGAAgAAAAhAPmH&#10;j9ngAAAADQEAAA8AAAAAAAAAAAAAAAAAEgUAAGRycy9kb3ducmV2LnhtbFBLBQYAAAAABAAEAPMA&#10;AAAfBgAAAAA=&#10;" filled="f" stroked="f">
                <v:textbox>
                  <w:txbxContent>
                    <w:p w14:paraId="20A1AD46" w14:textId="77777777" w:rsidR="00157B1A" w:rsidRPr="00C42BCB" w:rsidRDefault="00157B1A" w:rsidP="001C3E10">
                      <w:pPr>
                        <w:pStyle w:val="Fecha"/>
                        <w:rPr>
                          <w:lang w:val="en-US"/>
                        </w:rPr>
                      </w:pPr>
                      <w:r>
                        <w:rPr>
                          <w:lang w:val="en-US"/>
                        </w:rPr>
                        <w:t>Marzo 2015.</w:t>
                      </w:r>
                    </w:p>
                  </w:txbxContent>
                </v:textbox>
              </v:shape>
            </w:pict>
          </mc:Fallback>
        </mc:AlternateContent>
      </w:r>
      <w:r>
        <w:br w:type="page"/>
      </w:r>
    </w:p>
    <w:sdt>
      <w:sdtPr>
        <w:rPr>
          <w:rFonts w:asciiTheme="minorHAnsi" w:eastAsiaTheme="minorHAnsi" w:hAnsiTheme="minorHAnsi" w:cstheme="minorBidi"/>
          <w:b w:val="0"/>
          <w:bCs w:val="0"/>
          <w:color w:val="auto"/>
          <w:sz w:val="22"/>
          <w:szCs w:val="22"/>
          <w:lang w:eastAsia="en-US"/>
        </w:rPr>
        <w:id w:val="1701907048"/>
        <w:docPartObj>
          <w:docPartGallery w:val="Table of Contents"/>
          <w:docPartUnique/>
        </w:docPartObj>
      </w:sdtPr>
      <w:sdtEndPr>
        <w:rPr>
          <w:rFonts w:ascii="Times New Roman" w:eastAsia="Times New Roman" w:hAnsi="Times New Roman" w:cs="Times New Roman"/>
          <w:sz w:val="24"/>
          <w:szCs w:val="24"/>
          <w:lang w:eastAsia="es-ES"/>
        </w:rPr>
      </w:sdtEndPr>
      <w:sdtContent>
        <w:p w14:paraId="5F7F69FA" w14:textId="77777777" w:rsidR="001C3E10" w:rsidRDefault="001C3E10" w:rsidP="001C3E10">
          <w:pPr>
            <w:pStyle w:val="TtulodeTDC"/>
          </w:pPr>
          <w:r>
            <w:t>Tabla de contenido</w:t>
          </w:r>
        </w:p>
        <w:p w14:paraId="3611877E" w14:textId="77777777" w:rsidR="001C3E10" w:rsidRDefault="001C3E10" w:rsidP="0043587E">
          <w:pPr>
            <w:pStyle w:val="TDC1"/>
            <w:rPr>
              <w:lang w:eastAsia="es-CR"/>
            </w:rPr>
          </w:pPr>
          <w:r>
            <w:fldChar w:fldCharType="begin"/>
          </w:r>
          <w:r>
            <w:instrText xml:space="preserve"> TOC \o "1-2" \h \z \u </w:instrText>
          </w:r>
          <w:r>
            <w:fldChar w:fldCharType="separate"/>
          </w:r>
          <w:hyperlink w:anchor="_Toc414532006" w:history="1">
            <w:r w:rsidRPr="00337DCF">
              <w:rPr>
                <w:rStyle w:val="Hipervnculo"/>
              </w:rPr>
              <w:t>1.</w:t>
            </w:r>
            <w:r>
              <w:rPr>
                <w:lang w:eastAsia="es-CR"/>
              </w:rPr>
              <w:tab/>
            </w:r>
            <w:r w:rsidRPr="00337DCF">
              <w:rPr>
                <w:rStyle w:val="Hipervnculo"/>
              </w:rPr>
              <w:t>Resumen ejecutivo</w:t>
            </w:r>
            <w:r>
              <w:rPr>
                <w:webHidden/>
              </w:rPr>
              <w:tab/>
            </w:r>
            <w:r>
              <w:rPr>
                <w:webHidden/>
              </w:rPr>
              <w:fldChar w:fldCharType="begin"/>
            </w:r>
            <w:r>
              <w:rPr>
                <w:webHidden/>
              </w:rPr>
              <w:instrText xml:space="preserve"> PAGEREF _Toc414532006 \h </w:instrText>
            </w:r>
            <w:r>
              <w:rPr>
                <w:webHidden/>
              </w:rPr>
            </w:r>
            <w:r>
              <w:rPr>
                <w:webHidden/>
              </w:rPr>
              <w:fldChar w:fldCharType="separate"/>
            </w:r>
            <w:r w:rsidR="00D81356">
              <w:rPr>
                <w:webHidden/>
              </w:rPr>
              <w:t>90</w:t>
            </w:r>
            <w:r>
              <w:rPr>
                <w:webHidden/>
              </w:rPr>
              <w:fldChar w:fldCharType="end"/>
            </w:r>
          </w:hyperlink>
        </w:p>
        <w:p w14:paraId="5987C749" w14:textId="77777777" w:rsidR="001C3E10" w:rsidRDefault="00516453" w:rsidP="0043587E">
          <w:pPr>
            <w:pStyle w:val="TDC1"/>
            <w:rPr>
              <w:lang w:eastAsia="es-CR"/>
            </w:rPr>
          </w:pPr>
          <w:hyperlink w:anchor="_Toc414532007" w:history="1">
            <w:r w:rsidR="001C3E10" w:rsidRPr="00337DCF">
              <w:rPr>
                <w:rStyle w:val="Hipervnculo"/>
              </w:rPr>
              <w:t>2.</w:t>
            </w:r>
            <w:r w:rsidR="001C3E10">
              <w:rPr>
                <w:lang w:eastAsia="es-CR"/>
              </w:rPr>
              <w:tab/>
            </w:r>
            <w:r w:rsidR="001C3E10" w:rsidRPr="00337DCF">
              <w:rPr>
                <w:rStyle w:val="Hipervnculo"/>
              </w:rPr>
              <w:t>Introducción</w:t>
            </w:r>
            <w:r w:rsidR="001C3E10">
              <w:rPr>
                <w:webHidden/>
              </w:rPr>
              <w:tab/>
            </w:r>
            <w:r w:rsidR="001C3E10">
              <w:rPr>
                <w:webHidden/>
              </w:rPr>
              <w:fldChar w:fldCharType="begin"/>
            </w:r>
            <w:r w:rsidR="001C3E10">
              <w:rPr>
                <w:webHidden/>
              </w:rPr>
              <w:instrText xml:space="preserve"> PAGEREF _Toc414532007 \h </w:instrText>
            </w:r>
            <w:r w:rsidR="001C3E10">
              <w:rPr>
                <w:webHidden/>
              </w:rPr>
            </w:r>
            <w:r w:rsidR="001C3E10">
              <w:rPr>
                <w:webHidden/>
              </w:rPr>
              <w:fldChar w:fldCharType="separate"/>
            </w:r>
            <w:r w:rsidR="00D81356">
              <w:rPr>
                <w:webHidden/>
              </w:rPr>
              <w:t>91</w:t>
            </w:r>
            <w:r w:rsidR="001C3E10">
              <w:rPr>
                <w:webHidden/>
              </w:rPr>
              <w:fldChar w:fldCharType="end"/>
            </w:r>
          </w:hyperlink>
        </w:p>
        <w:p w14:paraId="48F5258B" w14:textId="77777777" w:rsidR="001C3E10" w:rsidRDefault="00516453" w:rsidP="0043587E">
          <w:pPr>
            <w:pStyle w:val="TDC1"/>
            <w:rPr>
              <w:lang w:eastAsia="es-CR"/>
            </w:rPr>
          </w:pPr>
          <w:hyperlink w:anchor="_Toc414532008" w:history="1">
            <w:r w:rsidR="001C3E10" w:rsidRPr="00337DCF">
              <w:rPr>
                <w:rStyle w:val="Hipervnculo"/>
              </w:rPr>
              <w:t>3.</w:t>
            </w:r>
            <w:r w:rsidR="001C3E10">
              <w:rPr>
                <w:lang w:eastAsia="es-CR"/>
              </w:rPr>
              <w:tab/>
            </w:r>
            <w:r w:rsidR="001C3E10" w:rsidRPr="00337DCF">
              <w:rPr>
                <w:rStyle w:val="Hipervnculo"/>
              </w:rPr>
              <w:t>Demanda</w:t>
            </w:r>
            <w:r w:rsidR="001C3E10">
              <w:rPr>
                <w:webHidden/>
              </w:rPr>
              <w:tab/>
            </w:r>
            <w:r w:rsidR="001C3E10">
              <w:rPr>
                <w:webHidden/>
              </w:rPr>
              <w:fldChar w:fldCharType="begin"/>
            </w:r>
            <w:r w:rsidR="001C3E10">
              <w:rPr>
                <w:webHidden/>
              </w:rPr>
              <w:instrText xml:space="preserve"> PAGEREF _Toc414532008 \h </w:instrText>
            </w:r>
            <w:r w:rsidR="001C3E10">
              <w:rPr>
                <w:webHidden/>
              </w:rPr>
            </w:r>
            <w:r w:rsidR="001C3E10">
              <w:rPr>
                <w:webHidden/>
              </w:rPr>
              <w:fldChar w:fldCharType="separate"/>
            </w:r>
            <w:r w:rsidR="00D81356">
              <w:rPr>
                <w:webHidden/>
              </w:rPr>
              <w:t>92</w:t>
            </w:r>
            <w:r w:rsidR="001C3E10">
              <w:rPr>
                <w:webHidden/>
              </w:rPr>
              <w:fldChar w:fldCharType="end"/>
            </w:r>
          </w:hyperlink>
        </w:p>
        <w:p w14:paraId="7FAE2028" w14:textId="77777777" w:rsidR="001C3E10" w:rsidRDefault="00516453" w:rsidP="003A637D">
          <w:pPr>
            <w:pStyle w:val="TDC2"/>
            <w:rPr>
              <w:rFonts w:eastAsiaTheme="minorEastAsia"/>
              <w:lang w:eastAsia="es-CR"/>
            </w:rPr>
          </w:pPr>
          <w:hyperlink w:anchor="_Toc414532009" w:history="1">
            <w:r w:rsidR="001C3E10" w:rsidRPr="00337DCF">
              <w:rPr>
                <w:rStyle w:val="Hipervnculo"/>
                <w14:scene3d>
                  <w14:camera w14:prst="orthographicFront"/>
                  <w14:lightRig w14:rig="threePt" w14:dir="t">
                    <w14:rot w14:lat="0" w14:lon="0" w14:rev="0"/>
                  </w14:lightRig>
                </w14:scene3d>
              </w:rPr>
              <w:t>3.1</w:t>
            </w:r>
            <w:r w:rsidR="001C3E10">
              <w:rPr>
                <w:rFonts w:eastAsiaTheme="minorEastAsia"/>
                <w:lang w:eastAsia="es-CR"/>
              </w:rPr>
              <w:tab/>
            </w:r>
            <w:r w:rsidR="001C3E10" w:rsidRPr="00337DCF">
              <w:rPr>
                <w:rStyle w:val="Hipervnculo"/>
              </w:rPr>
              <w:t>Contexto de la organización</w:t>
            </w:r>
            <w:r w:rsidR="001C3E10">
              <w:rPr>
                <w:webHidden/>
              </w:rPr>
              <w:tab/>
            </w:r>
            <w:r w:rsidR="001C3E10">
              <w:rPr>
                <w:webHidden/>
              </w:rPr>
              <w:fldChar w:fldCharType="begin"/>
            </w:r>
            <w:r w:rsidR="001C3E10">
              <w:rPr>
                <w:webHidden/>
              </w:rPr>
              <w:instrText xml:space="preserve"> PAGEREF _Toc414532009 \h </w:instrText>
            </w:r>
            <w:r w:rsidR="001C3E10">
              <w:rPr>
                <w:webHidden/>
              </w:rPr>
            </w:r>
            <w:r w:rsidR="001C3E10">
              <w:rPr>
                <w:webHidden/>
              </w:rPr>
              <w:fldChar w:fldCharType="separate"/>
            </w:r>
            <w:r w:rsidR="00D81356">
              <w:rPr>
                <w:webHidden/>
              </w:rPr>
              <w:t>92</w:t>
            </w:r>
            <w:r w:rsidR="001C3E10">
              <w:rPr>
                <w:webHidden/>
              </w:rPr>
              <w:fldChar w:fldCharType="end"/>
            </w:r>
          </w:hyperlink>
        </w:p>
        <w:p w14:paraId="5614967E" w14:textId="77777777" w:rsidR="001C3E10" w:rsidRDefault="00516453" w:rsidP="003A637D">
          <w:pPr>
            <w:pStyle w:val="TDC2"/>
            <w:rPr>
              <w:rFonts w:eastAsiaTheme="minorEastAsia"/>
              <w:lang w:eastAsia="es-CR"/>
            </w:rPr>
          </w:pPr>
          <w:hyperlink w:anchor="_Toc414532010" w:history="1">
            <w:r w:rsidR="001C3E10" w:rsidRPr="00337DCF">
              <w:rPr>
                <w:rStyle w:val="Hipervnculo"/>
                <w14:scene3d>
                  <w14:camera w14:prst="orthographicFront"/>
                  <w14:lightRig w14:rig="threePt" w14:dir="t">
                    <w14:rot w14:lat="0" w14:lon="0" w14:rev="0"/>
                  </w14:lightRig>
                </w14:scene3d>
              </w:rPr>
              <w:t>3.2</w:t>
            </w:r>
            <w:r w:rsidR="001C3E10">
              <w:rPr>
                <w:rFonts w:eastAsiaTheme="minorEastAsia"/>
                <w:lang w:eastAsia="es-CR"/>
              </w:rPr>
              <w:tab/>
            </w:r>
            <w:r w:rsidR="001C3E10" w:rsidRPr="00337DCF">
              <w:rPr>
                <w:rStyle w:val="Hipervnculo"/>
              </w:rPr>
              <w:t>Criterios de éxito de la organización</w:t>
            </w:r>
            <w:r w:rsidR="001C3E10">
              <w:rPr>
                <w:webHidden/>
              </w:rPr>
              <w:tab/>
            </w:r>
            <w:r w:rsidR="001C3E10">
              <w:rPr>
                <w:webHidden/>
              </w:rPr>
              <w:fldChar w:fldCharType="begin"/>
            </w:r>
            <w:r w:rsidR="001C3E10">
              <w:rPr>
                <w:webHidden/>
              </w:rPr>
              <w:instrText xml:space="preserve"> PAGEREF _Toc414532010 \h </w:instrText>
            </w:r>
            <w:r w:rsidR="001C3E10">
              <w:rPr>
                <w:webHidden/>
              </w:rPr>
            </w:r>
            <w:r w:rsidR="001C3E10">
              <w:rPr>
                <w:webHidden/>
              </w:rPr>
              <w:fldChar w:fldCharType="separate"/>
            </w:r>
            <w:r w:rsidR="00D81356">
              <w:rPr>
                <w:webHidden/>
              </w:rPr>
              <w:t>93</w:t>
            </w:r>
            <w:r w:rsidR="001C3E10">
              <w:rPr>
                <w:webHidden/>
              </w:rPr>
              <w:fldChar w:fldCharType="end"/>
            </w:r>
          </w:hyperlink>
        </w:p>
        <w:p w14:paraId="6EDE3244" w14:textId="77777777" w:rsidR="001C3E10" w:rsidRDefault="00516453" w:rsidP="003A637D">
          <w:pPr>
            <w:pStyle w:val="TDC2"/>
            <w:rPr>
              <w:rFonts w:eastAsiaTheme="minorEastAsia"/>
              <w:lang w:eastAsia="es-CR"/>
            </w:rPr>
          </w:pPr>
          <w:hyperlink w:anchor="_Toc414532011" w:history="1">
            <w:r w:rsidR="001C3E10" w:rsidRPr="00337DCF">
              <w:rPr>
                <w:rStyle w:val="Hipervnculo"/>
                <w14:scene3d>
                  <w14:camera w14:prst="orthographicFront"/>
                  <w14:lightRig w14:rig="threePt" w14:dir="t">
                    <w14:rot w14:lat="0" w14:lon="0" w14:rev="0"/>
                  </w14:lightRig>
                </w14:scene3d>
              </w:rPr>
              <w:t>3.3</w:t>
            </w:r>
            <w:r w:rsidR="001C3E10">
              <w:rPr>
                <w:rFonts w:eastAsiaTheme="minorEastAsia"/>
                <w:lang w:eastAsia="es-CR"/>
              </w:rPr>
              <w:tab/>
            </w:r>
            <w:r w:rsidR="001C3E10" w:rsidRPr="00337DCF">
              <w:rPr>
                <w:rStyle w:val="Hipervnculo"/>
              </w:rPr>
              <w:t>Capacidades de la organización</w:t>
            </w:r>
            <w:r w:rsidR="001C3E10">
              <w:rPr>
                <w:webHidden/>
              </w:rPr>
              <w:tab/>
            </w:r>
            <w:r w:rsidR="001C3E10">
              <w:rPr>
                <w:webHidden/>
              </w:rPr>
              <w:fldChar w:fldCharType="begin"/>
            </w:r>
            <w:r w:rsidR="001C3E10">
              <w:rPr>
                <w:webHidden/>
              </w:rPr>
              <w:instrText xml:space="preserve"> PAGEREF _Toc414532011 \h </w:instrText>
            </w:r>
            <w:r w:rsidR="001C3E10">
              <w:rPr>
                <w:webHidden/>
              </w:rPr>
            </w:r>
            <w:r w:rsidR="001C3E10">
              <w:rPr>
                <w:webHidden/>
              </w:rPr>
              <w:fldChar w:fldCharType="separate"/>
            </w:r>
            <w:r w:rsidR="00D81356">
              <w:rPr>
                <w:webHidden/>
              </w:rPr>
              <w:t>97</w:t>
            </w:r>
            <w:r w:rsidR="001C3E10">
              <w:rPr>
                <w:webHidden/>
              </w:rPr>
              <w:fldChar w:fldCharType="end"/>
            </w:r>
          </w:hyperlink>
        </w:p>
        <w:p w14:paraId="5D3B5A61" w14:textId="77777777" w:rsidR="001C3E10" w:rsidRDefault="00516453" w:rsidP="003A637D">
          <w:pPr>
            <w:pStyle w:val="TDC2"/>
            <w:rPr>
              <w:rFonts w:eastAsiaTheme="minorEastAsia"/>
              <w:lang w:eastAsia="es-CR"/>
            </w:rPr>
          </w:pPr>
          <w:hyperlink w:anchor="_Toc414532012" w:history="1">
            <w:r w:rsidR="001C3E10" w:rsidRPr="00337DCF">
              <w:rPr>
                <w:rStyle w:val="Hipervnculo"/>
                <w14:scene3d>
                  <w14:camera w14:prst="orthographicFront"/>
                  <w14:lightRig w14:rig="threePt" w14:dir="t">
                    <w14:rot w14:lat="0" w14:lon="0" w14:rev="0"/>
                  </w14:lightRig>
                </w14:scene3d>
              </w:rPr>
              <w:t>3.4</w:t>
            </w:r>
            <w:r w:rsidR="001C3E10">
              <w:rPr>
                <w:rFonts w:eastAsiaTheme="minorEastAsia"/>
                <w:lang w:eastAsia="es-CR"/>
              </w:rPr>
              <w:tab/>
            </w:r>
            <w:r w:rsidR="001C3E10" w:rsidRPr="00337DCF">
              <w:rPr>
                <w:rStyle w:val="Hipervnculo"/>
              </w:rPr>
              <w:t>Contribución de TI</w:t>
            </w:r>
            <w:r w:rsidR="001C3E10">
              <w:rPr>
                <w:webHidden/>
              </w:rPr>
              <w:tab/>
            </w:r>
            <w:r w:rsidR="001C3E10">
              <w:rPr>
                <w:webHidden/>
              </w:rPr>
              <w:fldChar w:fldCharType="begin"/>
            </w:r>
            <w:r w:rsidR="001C3E10">
              <w:rPr>
                <w:webHidden/>
              </w:rPr>
              <w:instrText xml:space="preserve"> PAGEREF _Toc414532012 \h </w:instrText>
            </w:r>
            <w:r w:rsidR="001C3E10">
              <w:rPr>
                <w:webHidden/>
              </w:rPr>
            </w:r>
            <w:r w:rsidR="001C3E10">
              <w:rPr>
                <w:webHidden/>
              </w:rPr>
              <w:fldChar w:fldCharType="separate"/>
            </w:r>
            <w:r w:rsidR="00D81356">
              <w:rPr>
                <w:webHidden/>
              </w:rPr>
              <w:t>99</w:t>
            </w:r>
            <w:r w:rsidR="001C3E10">
              <w:rPr>
                <w:webHidden/>
              </w:rPr>
              <w:fldChar w:fldCharType="end"/>
            </w:r>
          </w:hyperlink>
        </w:p>
        <w:p w14:paraId="490728DC" w14:textId="77777777" w:rsidR="001C3E10" w:rsidRDefault="00516453" w:rsidP="0043587E">
          <w:pPr>
            <w:pStyle w:val="TDC1"/>
            <w:rPr>
              <w:lang w:eastAsia="es-CR"/>
            </w:rPr>
          </w:pPr>
          <w:hyperlink w:anchor="_Toc414532013" w:history="1">
            <w:r w:rsidR="001C3E10" w:rsidRPr="00337DCF">
              <w:rPr>
                <w:rStyle w:val="Hipervnculo"/>
              </w:rPr>
              <w:t>4.</w:t>
            </w:r>
            <w:r w:rsidR="001C3E10">
              <w:rPr>
                <w:lang w:eastAsia="es-CR"/>
              </w:rPr>
              <w:tab/>
            </w:r>
            <w:r w:rsidR="001C3E10" w:rsidRPr="00337DCF">
              <w:rPr>
                <w:rStyle w:val="Hipervnculo"/>
              </w:rPr>
              <w:t>Control</w:t>
            </w:r>
            <w:r w:rsidR="001C3E10">
              <w:rPr>
                <w:webHidden/>
              </w:rPr>
              <w:tab/>
            </w:r>
            <w:r w:rsidR="001C3E10">
              <w:rPr>
                <w:webHidden/>
              </w:rPr>
              <w:fldChar w:fldCharType="begin"/>
            </w:r>
            <w:r w:rsidR="001C3E10">
              <w:rPr>
                <w:webHidden/>
              </w:rPr>
              <w:instrText xml:space="preserve"> PAGEREF _Toc414532013 \h </w:instrText>
            </w:r>
            <w:r w:rsidR="001C3E10">
              <w:rPr>
                <w:webHidden/>
              </w:rPr>
            </w:r>
            <w:r w:rsidR="001C3E10">
              <w:rPr>
                <w:webHidden/>
              </w:rPr>
              <w:fldChar w:fldCharType="separate"/>
            </w:r>
            <w:r w:rsidR="00D81356">
              <w:rPr>
                <w:webHidden/>
              </w:rPr>
              <w:t>102</w:t>
            </w:r>
            <w:r w:rsidR="001C3E10">
              <w:rPr>
                <w:webHidden/>
              </w:rPr>
              <w:fldChar w:fldCharType="end"/>
            </w:r>
          </w:hyperlink>
        </w:p>
        <w:p w14:paraId="32B74FCC" w14:textId="77777777" w:rsidR="001C3E10" w:rsidRDefault="00516453" w:rsidP="003A637D">
          <w:pPr>
            <w:pStyle w:val="TDC2"/>
            <w:rPr>
              <w:rFonts w:eastAsiaTheme="minorEastAsia"/>
              <w:lang w:eastAsia="es-CR"/>
            </w:rPr>
          </w:pPr>
          <w:hyperlink w:anchor="_Toc414532014" w:history="1">
            <w:r w:rsidR="001C3E10" w:rsidRPr="00337DCF">
              <w:rPr>
                <w:rStyle w:val="Hipervnculo"/>
                <w14:scene3d>
                  <w14:camera w14:prst="orthographicFront"/>
                  <w14:lightRig w14:rig="threePt" w14:dir="t">
                    <w14:rot w14:lat="0" w14:lon="0" w14:rev="0"/>
                  </w14:lightRig>
                </w14:scene3d>
              </w:rPr>
              <w:t>4.1</w:t>
            </w:r>
            <w:r w:rsidR="001C3E10">
              <w:rPr>
                <w:rFonts w:eastAsiaTheme="minorEastAsia"/>
                <w:lang w:eastAsia="es-CR"/>
              </w:rPr>
              <w:tab/>
            </w:r>
            <w:r w:rsidR="001C3E10" w:rsidRPr="00337DCF">
              <w:rPr>
                <w:rStyle w:val="Hipervnculo"/>
              </w:rPr>
              <w:t>Principios de TI</w:t>
            </w:r>
            <w:r w:rsidR="001C3E10">
              <w:rPr>
                <w:webHidden/>
              </w:rPr>
              <w:tab/>
            </w:r>
            <w:r w:rsidR="001C3E10">
              <w:rPr>
                <w:webHidden/>
              </w:rPr>
              <w:fldChar w:fldCharType="begin"/>
            </w:r>
            <w:r w:rsidR="001C3E10">
              <w:rPr>
                <w:webHidden/>
              </w:rPr>
              <w:instrText xml:space="preserve"> PAGEREF _Toc414532014 \h </w:instrText>
            </w:r>
            <w:r w:rsidR="001C3E10">
              <w:rPr>
                <w:webHidden/>
              </w:rPr>
            </w:r>
            <w:r w:rsidR="001C3E10">
              <w:rPr>
                <w:webHidden/>
              </w:rPr>
              <w:fldChar w:fldCharType="separate"/>
            </w:r>
            <w:r w:rsidR="00D81356">
              <w:rPr>
                <w:webHidden/>
              </w:rPr>
              <w:t>102</w:t>
            </w:r>
            <w:r w:rsidR="001C3E10">
              <w:rPr>
                <w:webHidden/>
              </w:rPr>
              <w:fldChar w:fldCharType="end"/>
            </w:r>
          </w:hyperlink>
        </w:p>
        <w:p w14:paraId="3D7D10B6" w14:textId="77777777" w:rsidR="001C3E10" w:rsidRDefault="00516453" w:rsidP="003A637D">
          <w:pPr>
            <w:pStyle w:val="TDC2"/>
            <w:rPr>
              <w:rFonts w:eastAsiaTheme="minorEastAsia"/>
              <w:lang w:eastAsia="es-CR"/>
            </w:rPr>
          </w:pPr>
          <w:hyperlink w:anchor="_Toc414532015" w:history="1">
            <w:r w:rsidR="001C3E10" w:rsidRPr="00337DCF">
              <w:rPr>
                <w:rStyle w:val="Hipervnculo"/>
                <w14:scene3d>
                  <w14:camera w14:prst="orthographicFront"/>
                  <w14:lightRig w14:rig="threePt" w14:dir="t">
                    <w14:rot w14:lat="0" w14:lon="0" w14:rev="0"/>
                  </w14:lightRig>
                </w14:scene3d>
              </w:rPr>
              <w:t>4.2</w:t>
            </w:r>
            <w:r w:rsidR="001C3E10">
              <w:rPr>
                <w:rFonts w:eastAsiaTheme="minorEastAsia"/>
                <w:lang w:eastAsia="es-CR"/>
              </w:rPr>
              <w:tab/>
            </w:r>
            <w:r w:rsidR="001C3E10" w:rsidRPr="00337DCF">
              <w:rPr>
                <w:rStyle w:val="Hipervnculo"/>
              </w:rPr>
              <w:t>Gobernanza de TI</w:t>
            </w:r>
            <w:r w:rsidR="001C3E10">
              <w:rPr>
                <w:webHidden/>
              </w:rPr>
              <w:tab/>
            </w:r>
            <w:r w:rsidR="001C3E10">
              <w:rPr>
                <w:webHidden/>
              </w:rPr>
              <w:fldChar w:fldCharType="begin"/>
            </w:r>
            <w:r w:rsidR="001C3E10">
              <w:rPr>
                <w:webHidden/>
              </w:rPr>
              <w:instrText xml:space="preserve"> PAGEREF _Toc414532015 \h </w:instrText>
            </w:r>
            <w:r w:rsidR="001C3E10">
              <w:rPr>
                <w:webHidden/>
              </w:rPr>
            </w:r>
            <w:r w:rsidR="001C3E10">
              <w:rPr>
                <w:webHidden/>
              </w:rPr>
              <w:fldChar w:fldCharType="separate"/>
            </w:r>
            <w:r w:rsidR="00D81356">
              <w:rPr>
                <w:webHidden/>
              </w:rPr>
              <w:t>102</w:t>
            </w:r>
            <w:r w:rsidR="001C3E10">
              <w:rPr>
                <w:webHidden/>
              </w:rPr>
              <w:fldChar w:fldCharType="end"/>
            </w:r>
          </w:hyperlink>
        </w:p>
        <w:p w14:paraId="01F6FA86" w14:textId="77777777" w:rsidR="001C3E10" w:rsidRDefault="00516453" w:rsidP="003A637D">
          <w:pPr>
            <w:pStyle w:val="TDC2"/>
            <w:rPr>
              <w:rFonts w:eastAsiaTheme="minorEastAsia"/>
              <w:lang w:eastAsia="es-CR"/>
            </w:rPr>
          </w:pPr>
          <w:hyperlink w:anchor="_Toc414532016" w:history="1">
            <w:r w:rsidR="001C3E10" w:rsidRPr="00337DCF">
              <w:rPr>
                <w:rStyle w:val="Hipervnculo"/>
                <w14:scene3d>
                  <w14:camera w14:prst="orthographicFront"/>
                  <w14:lightRig w14:rig="threePt" w14:dir="t">
                    <w14:rot w14:lat="0" w14:lon="0" w14:rev="0"/>
                  </w14:lightRig>
                </w14:scene3d>
              </w:rPr>
              <w:t>4.3</w:t>
            </w:r>
            <w:r w:rsidR="001C3E10">
              <w:rPr>
                <w:rFonts w:eastAsiaTheme="minorEastAsia"/>
                <w:lang w:eastAsia="es-CR"/>
              </w:rPr>
              <w:tab/>
            </w:r>
            <w:r w:rsidR="001C3E10" w:rsidRPr="00337DCF">
              <w:rPr>
                <w:rStyle w:val="Hipervnculo"/>
              </w:rPr>
              <w:t>Gestión financiera de TI</w:t>
            </w:r>
            <w:r w:rsidR="001C3E10">
              <w:rPr>
                <w:webHidden/>
              </w:rPr>
              <w:tab/>
            </w:r>
            <w:r w:rsidR="001C3E10">
              <w:rPr>
                <w:webHidden/>
              </w:rPr>
              <w:fldChar w:fldCharType="begin"/>
            </w:r>
            <w:r w:rsidR="001C3E10">
              <w:rPr>
                <w:webHidden/>
              </w:rPr>
              <w:instrText xml:space="preserve"> PAGEREF _Toc414532016 \h </w:instrText>
            </w:r>
            <w:r w:rsidR="001C3E10">
              <w:rPr>
                <w:webHidden/>
              </w:rPr>
            </w:r>
            <w:r w:rsidR="001C3E10">
              <w:rPr>
                <w:webHidden/>
              </w:rPr>
              <w:fldChar w:fldCharType="separate"/>
            </w:r>
            <w:r w:rsidR="00D81356">
              <w:rPr>
                <w:webHidden/>
              </w:rPr>
              <w:t>103</w:t>
            </w:r>
            <w:r w:rsidR="001C3E10">
              <w:rPr>
                <w:webHidden/>
              </w:rPr>
              <w:fldChar w:fldCharType="end"/>
            </w:r>
          </w:hyperlink>
        </w:p>
        <w:p w14:paraId="7AF5A970" w14:textId="77777777" w:rsidR="001C3E10" w:rsidRDefault="00516453" w:rsidP="003A637D">
          <w:pPr>
            <w:pStyle w:val="TDC2"/>
            <w:rPr>
              <w:rFonts w:eastAsiaTheme="minorEastAsia"/>
              <w:lang w:eastAsia="es-CR"/>
            </w:rPr>
          </w:pPr>
          <w:hyperlink w:anchor="_Toc414532017" w:history="1">
            <w:r w:rsidR="001C3E10" w:rsidRPr="00337DCF">
              <w:rPr>
                <w:rStyle w:val="Hipervnculo"/>
                <w14:scene3d>
                  <w14:camera w14:prst="orthographicFront"/>
                  <w14:lightRig w14:rig="threePt" w14:dir="t">
                    <w14:rot w14:lat="0" w14:lon="0" w14:rev="0"/>
                  </w14:lightRig>
                </w14:scene3d>
              </w:rPr>
              <w:t>4.4</w:t>
            </w:r>
            <w:r w:rsidR="001C3E10">
              <w:rPr>
                <w:rFonts w:eastAsiaTheme="minorEastAsia"/>
                <w:lang w:eastAsia="es-CR"/>
              </w:rPr>
              <w:tab/>
            </w:r>
            <w:r w:rsidR="001C3E10" w:rsidRPr="00337DCF">
              <w:rPr>
                <w:rStyle w:val="Hipervnculo"/>
              </w:rPr>
              <w:t>Métricas</w:t>
            </w:r>
            <w:r w:rsidR="001C3E10">
              <w:rPr>
                <w:webHidden/>
              </w:rPr>
              <w:tab/>
            </w:r>
            <w:r w:rsidR="001C3E10">
              <w:rPr>
                <w:webHidden/>
              </w:rPr>
              <w:fldChar w:fldCharType="begin"/>
            </w:r>
            <w:r w:rsidR="001C3E10">
              <w:rPr>
                <w:webHidden/>
              </w:rPr>
              <w:instrText xml:space="preserve"> PAGEREF _Toc414532017 \h </w:instrText>
            </w:r>
            <w:r w:rsidR="001C3E10">
              <w:rPr>
                <w:webHidden/>
              </w:rPr>
            </w:r>
            <w:r w:rsidR="001C3E10">
              <w:rPr>
                <w:webHidden/>
              </w:rPr>
              <w:fldChar w:fldCharType="separate"/>
            </w:r>
            <w:r w:rsidR="00D81356">
              <w:rPr>
                <w:webHidden/>
              </w:rPr>
              <w:t>104</w:t>
            </w:r>
            <w:r w:rsidR="001C3E10">
              <w:rPr>
                <w:webHidden/>
              </w:rPr>
              <w:fldChar w:fldCharType="end"/>
            </w:r>
          </w:hyperlink>
        </w:p>
        <w:p w14:paraId="3D7227D3" w14:textId="77777777" w:rsidR="001C3E10" w:rsidRDefault="00516453" w:rsidP="0043587E">
          <w:pPr>
            <w:pStyle w:val="TDC1"/>
            <w:rPr>
              <w:lang w:eastAsia="es-CR"/>
            </w:rPr>
          </w:pPr>
          <w:hyperlink w:anchor="_Toc414532018" w:history="1">
            <w:r w:rsidR="001C3E10" w:rsidRPr="00337DCF">
              <w:rPr>
                <w:rStyle w:val="Hipervnculo"/>
              </w:rPr>
              <w:t>5.</w:t>
            </w:r>
            <w:r w:rsidR="001C3E10">
              <w:rPr>
                <w:lang w:eastAsia="es-CR"/>
              </w:rPr>
              <w:tab/>
            </w:r>
            <w:r w:rsidR="001C3E10" w:rsidRPr="00337DCF">
              <w:rPr>
                <w:rStyle w:val="Hipervnculo"/>
              </w:rPr>
              <w:t>Aprovisionamiento</w:t>
            </w:r>
            <w:r w:rsidR="001C3E10">
              <w:rPr>
                <w:webHidden/>
              </w:rPr>
              <w:tab/>
            </w:r>
            <w:r w:rsidR="001C3E10">
              <w:rPr>
                <w:webHidden/>
              </w:rPr>
              <w:fldChar w:fldCharType="begin"/>
            </w:r>
            <w:r w:rsidR="001C3E10">
              <w:rPr>
                <w:webHidden/>
              </w:rPr>
              <w:instrText xml:space="preserve"> PAGEREF _Toc414532018 \h </w:instrText>
            </w:r>
            <w:r w:rsidR="001C3E10">
              <w:rPr>
                <w:webHidden/>
              </w:rPr>
            </w:r>
            <w:r w:rsidR="001C3E10">
              <w:rPr>
                <w:webHidden/>
              </w:rPr>
              <w:fldChar w:fldCharType="separate"/>
            </w:r>
            <w:r w:rsidR="00D81356">
              <w:rPr>
                <w:webHidden/>
              </w:rPr>
              <w:t>106</w:t>
            </w:r>
            <w:r w:rsidR="001C3E10">
              <w:rPr>
                <w:webHidden/>
              </w:rPr>
              <w:fldChar w:fldCharType="end"/>
            </w:r>
          </w:hyperlink>
        </w:p>
        <w:p w14:paraId="5F6E970D" w14:textId="77777777" w:rsidR="001C3E10" w:rsidRDefault="00516453" w:rsidP="003A637D">
          <w:pPr>
            <w:pStyle w:val="TDC2"/>
            <w:rPr>
              <w:rFonts w:eastAsiaTheme="minorEastAsia"/>
              <w:lang w:eastAsia="es-CR"/>
            </w:rPr>
          </w:pPr>
          <w:hyperlink w:anchor="_Toc414532019" w:history="1">
            <w:r w:rsidR="001C3E10" w:rsidRPr="00337DCF">
              <w:rPr>
                <w:rStyle w:val="Hipervnculo"/>
                <w14:scene3d>
                  <w14:camera w14:prst="orthographicFront"/>
                  <w14:lightRig w14:rig="threePt" w14:dir="t">
                    <w14:rot w14:lat="0" w14:lon="0" w14:rev="0"/>
                  </w14:lightRig>
                </w14:scene3d>
              </w:rPr>
              <w:t>5.1</w:t>
            </w:r>
            <w:r w:rsidR="001C3E10">
              <w:rPr>
                <w:rFonts w:eastAsiaTheme="minorEastAsia"/>
                <w:lang w:eastAsia="es-CR"/>
              </w:rPr>
              <w:tab/>
            </w:r>
            <w:r w:rsidR="001C3E10" w:rsidRPr="00337DCF">
              <w:rPr>
                <w:rStyle w:val="Hipervnculo"/>
              </w:rPr>
              <w:t>Servicios de TI</w:t>
            </w:r>
            <w:r w:rsidR="001C3E10">
              <w:rPr>
                <w:webHidden/>
              </w:rPr>
              <w:tab/>
            </w:r>
            <w:r w:rsidR="001C3E10">
              <w:rPr>
                <w:webHidden/>
              </w:rPr>
              <w:fldChar w:fldCharType="begin"/>
            </w:r>
            <w:r w:rsidR="001C3E10">
              <w:rPr>
                <w:webHidden/>
              </w:rPr>
              <w:instrText xml:space="preserve"> PAGEREF _Toc414532019 \h </w:instrText>
            </w:r>
            <w:r w:rsidR="001C3E10">
              <w:rPr>
                <w:webHidden/>
              </w:rPr>
            </w:r>
            <w:r w:rsidR="001C3E10">
              <w:rPr>
                <w:webHidden/>
              </w:rPr>
              <w:fldChar w:fldCharType="separate"/>
            </w:r>
            <w:r w:rsidR="00D81356">
              <w:rPr>
                <w:webHidden/>
              </w:rPr>
              <w:t>106</w:t>
            </w:r>
            <w:r w:rsidR="001C3E10">
              <w:rPr>
                <w:webHidden/>
              </w:rPr>
              <w:fldChar w:fldCharType="end"/>
            </w:r>
          </w:hyperlink>
        </w:p>
        <w:p w14:paraId="30A5BFEA" w14:textId="77777777" w:rsidR="001C3E10" w:rsidRDefault="00516453" w:rsidP="003A637D">
          <w:pPr>
            <w:pStyle w:val="TDC2"/>
            <w:rPr>
              <w:rFonts w:eastAsiaTheme="minorEastAsia"/>
              <w:lang w:eastAsia="es-CR"/>
            </w:rPr>
          </w:pPr>
          <w:hyperlink w:anchor="_Toc414532020" w:history="1">
            <w:r w:rsidR="001C3E10" w:rsidRPr="00337DCF">
              <w:rPr>
                <w:rStyle w:val="Hipervnculo"/>
                <w14:scene3d>
                  <w14:camera w14:prst="orthographicFront"/>
                  <w14:lightRig w14:rig="threePt" w14:dir="t">
                    <w14:rot w14:lat="0" w14:lon="0" w14:rev="0"/>
                  </w14:lightRig>
                </w14:scene3d>
              </w:rPr>
              <w:t>5.2</w:t>
            </w:r>
            <w:r w:rsidR="001C3E10">
              <w:rPr>
                <w:rFonts w:eastAsiaTheme="minorEastAsia"/>
                <w:lang w:eastAsia="es-CR"/>
              </w:rPr>
              <w:tab/>
            </w:r>
            <w:r w:rsidR="001C3E10" w:rsidRPr="00337DCF">
              <w:rPr>
                <w:rStyle w:val="Hipervnculo"/>
              </w:rPr>
              <w:t>Arquitectura</w:t>
            </w:r>
            <w:r w:rsidR="001C3E10">
              <w:rPr>
                <w:webHidden/>
              </w:rPr>
              <w:tab/>
            </w:r>
            <w:r w:rsidR="001C3E10">
              <w:rPr>
                <w:webHidden/>
              </w:rPr>
              <w:fldChar w:fldCharType="begin"/>
            </w:r>
            <w:r w:rsidR="001C3E10">
              <w:rPr>
                <w:webHidden/>
              </w:rPr>
              <w:instrText xml:space="preserve"> PAGEREF _Toc414532020 \h </w:instrText>
            </w:r>
            <w:r w:rsidR="001C3E10">
              <w:rPr>
                <w:webHidden/>
              </w:rPr>
            </w:r>
            <w:r w:rsidR="001C3E10">
              <w:rPr>
                <w:webHidden/>
              </w:rPr>
              <w:fldChar w:fldCharType="separate"/>
            </w:r>
            <w:r w:rsidR="00D81356">
              <w:rPr>
                <w:webHidden/>
              </w:rPr>
              <w:t>108</w:t>
            </w:r>
            <w:r w:rsidR="001C3E10">
              <w:rPr>
                <w:webHidden/>
              </w:rPr>
              <w:fldChar w:fldCharType="end"/>
            </w:r>
          </w:hyperlink>
        </w:p>
        <w:p w14:paraId="61C046F4" w14:textId="77777777" w:rsidR="001C3E10" w:rsidRDefault="00516453" w:rsidP="003A637D">
          <w:pPr>
            <w:pStyle w:val="TDC2"/>
            <w:rPr>
              <w:rFonts w:eastAsiaTheme="minorEastAsia"/>
              <w:lang w:eastAsia="es-CR"/>
            </w:rPr>
          </w:pPr>
          <w:hyperlink w:anchor="_Toc414532021" w:history="1">
            <w:r w:rsidR="001C3E10" w:rsidRPr="00337DCF">
              <w:rPr>
                <w:rStyle w:val="Hipervnculo"/>
                <w14:scene3d>
                  <w14:camera w14:prst="orthographicFront"/>
                  <w14:lightRig w14:rig="threePt" w14:dir="t">
                    <w14:rot w14:lat="0" w14:lon="0" w14:rev="0"/>
                  </w14:lightRig>
                </w14:scene3d>
              </w:rPr>
              <w:t>5.3</w:t>
            </w:r>
            <w:r w:rsidR="001C3E10">
              <w:rPr>
                <w:rFonts w:eastAsiaTheme="minorEastAsia"/>
                <w:lang w:eastAsia="es-CR"/>
              </w:rPr>
              <w:tab/>
            </w:r>
            <w:r w:rsidR="001C3E10" w:rsidRPr="00337DCF">
              <w:rPr>
                <w:rStyle w:val="Hipervnculo"/>
              </w:rPr>
              <w:t>Personas</w:t>
            </w:r>
            <w:r w:rsidR="001C3E10">
              <w:rPr>
                <w:webHidden/>
              </w:rPr>
              <w:tab/>
            </w:r>
            <w:r w:rsidR="001C3E10">
              <w:rPr>
                <w:webHidden/>
              </w:rPr>
              <w:fldChar w:fldCharType="begin"/>
            </w:r>
            <w:r w:rsidR="001C3E10">
              <w:rPr>
                <w:webHidden/>
              </w:rPr>
              <w:instrText xml:space="preserve"> PAGEREF _Toc414532021 \h </w:instrText>
            </w:r>
            <w:r w:rsidR="001C3E10">
              <w:rPr>
                <w:webHidden/>
              </w:rPr>
            </w:r>
            <w:r w:rsidR="001C3E10">
              <w:rPr>
                <w:webHidden/>
              </w:rPr>
              <w:fldChar w:fldCharType="separate"/>
            </w:r>
            <w:r w:rsidR="00D81356">
              <w:rPr>
                <w:webHidden/>
              </w:rPr>
              <w:t>110</w:t>
            </w:r>
            <w:r w:rsidR="001C3E10">
              <w:rPr>
                <w:webHidden/>
              </w:rPr>
              <w:fldChar w:fldCharType="end"/>
            </w:r>
          </w:hyperlink>
        </w:p>
        <w:p w14:paraId="286EDB67" w14:textId="77777777" w:rsidR="001C3E10" w:rsidRDefault="00516453" w:rsidP="003A637D">
          <w:pPr>
            <w:pStyle w:val="TDC2"/>
            <w:rPr>
              <w:rFonts w:eastAsiaTheme="minorEastAsia"/>
              <w:lang w:eastAsia="es-CR"/>
            </w:rPr>
          </w:pPr>
          <w:hyperlink w:anchor="_Toc414532022" w:history="1">
            <w:r w:rsidR="001C3E10" w:rsidRPr="00337DCF">
              <w:rPr>
                <w:rStyle w:val="Hipervnculo"/>
                <w14:scene3d>
                  <w14:camera w14:prst="orthographicFront"/>
                  <w14:lightRig w14:rig="threePt" w14:dir="t">
                    <w14:rot w14:lat="0" w14:lon="0" w14:rev="0"/>
                  </w14:lightRig>
                </w14:scene3d>
              </w:rPr>
              <w:t>5.4</w:t>
            </w:r>
            <w:r w:rsidR="001C3E10">
              <w:rPr>
                <w:rFonts w:eastAsiaTheme="minorEastAsia"/>
                <w:lang w:eastAsia="es-CR"/>
              </w:rPr>
              <w:tab/>
            </w:r>
            <w:r w:rsidR="001C3E10" w:rsidRPr="00337DCF">
              <w:rPr>
                <w:rStyle w:val="Hipervnculo"/>
              </w:rPr>
              <w:t>Fuentes de aprovisionamiento</w:t>
            </w:r>
            <w:r w:rsidR="001C3E10">
              <w:rPr>
                <w:webHidden/>
              </w:rPr>
              <w:tab/>
            </w:r>
            <w:r w:rsidR="001C3E10">
              <w:rPr>
                <w:webHidden/>
              </w:rPr>
              <w:fldChar w:fldCharType="begin"/>
            </w:r>
            <w:r w:rsidR="001C3E10">
              <w:rPr>
                <w:webHidden/>
              </w:rPr>
              <w:instrText xml:space="preserve"> PAGEREF _Toc414532022 \h </w:instrText>
            </w:r>
            <w:r w:rsidR="001C3E10">
              <w:rPr>
                <w:webHidden/>
              </w:rPr>
            </w:r>
            <w:r w:rsidR="001C3E10">
              <w:rPr>
                <w:webHidden/>
              </w:rPr>
              <w:fldChar w:fldCharType="separate"/>
            </w:r>
            <w:r w:rsidR="00D81356">
              <w:rPr>
                <w:webHidden/>
              </w:rPr>
              <w:t>110</w:t>
            </w:r>
            <w:r w:rsidR="001C3E10">
              <w:rPr>
                <w:webHidden/>
              </w:rPr>
              <w:fldChar w:fldCharType="end"/>
            </w:r>
          </w:hyperlink>
        </w:p>
        <w:p w14:paraId="3FE3D350" w14:textId="77777777" w:rsidR="001C3E10" w:rsidRDefault="00516453" w:rsidP="0043587E">
          <w:pPr>
            <w:pStyle w:val="TDC1"/>
            <w:rPr>
              <w:lang w:eastAsia="es-CR"/>
            </w:rPr>
          </w:pPr>
          <w:hyperlink w:anchor="_Toc414532023" w:history="1">
            <w:r w:rsidR="001C3E10" w:rsidRPr="00337DCF">
              <w:rPr>
                <w:rStyle w:val="Hipervnculo"/>
              </w:rPr>
              <w:t>6.</w:t>
            </w:r>
            <w:r w:rsidR="001C3E10">
              <w:rPr>
                <w:lang w:eastAsia="es-CR"/>
              </w:rPr>
              <w:tab/>
            </w:r>
            <w:r w:rsidR="001C3E10" w:rsidRPr="00337DCF">
              <w:rPr>
                <w:rStyle w:val="Hipervnculo"/>
              </w:rPr>
              <w:t>Riesgos</w:t>
            </w:r>
            <w:r w:rsidR="001C3E10">
              <w:rPr>
                <w:webHidden/>
              </w:rPr>
              <w:tab/>
            </w:r>
            <w:r w:rsidR="001C3E10">
              <w:rPr>
                <w:webHidden/>
              </w:rPr>
              <w:fldChar w:fldCharType="begin"/>
            </w:r>
            <w:r w:rsidR="001C3E10">
              <w:rPr>
                <w:webHidden/>
              </w:rPr>
              <w:instrText xml:space="preserve"> PAGEREF _Toc414532023 \h </w:instrText>
            </w:r>
            <w:r w:rsidR="001C3E10">
              <w:rPr>
                <w:webHidden/>
              </w:rPr>
            </w:r>
            <w:r w:rsidR="001C3E10">
              <w:rPr>
                <w:webHidden/>
              </w:rPr>
              <w:fldChar w:fldCharType="separate"/>
            </w:r>
            <w:r w:rsidR="00D81356">
              <w:rPr>
                <w:webHidden/>
              </w:rPr>
              <w:t>112</w:t>
            </w:r>
            <w:r w:rsidR="001C3E10">
              <w:rPr>
                <w:webHidden/>
              </w:rPr>
              <w:fldChar w:fldCharType="end"/>
            </w:r>
          </w:hyperlink>
        </w:p>
        <w:p w14:paraId="222E7630" w14:textId="77777777" w:rsidR="001C3E10" w:rsidRDefault="00516453" w:rsidP="0043587E">
          <w:pPr>
            <w:pStyle w:val="TDC1"/>
            <w:rPr>
              <w:lang w:eastAsia="es-CR"/>
            </w:rPr>
          </w:pPr>
          <w:hyperlink w:anchor="_Toc414532024" w:history="1">
            <w:r w:rsidR="001C3E10" w:rsidRPr="00337DCF">
              <w:rPr>
                <w:rStyle w:val="Hipervnculo"/>
              </w:rPr>
              <w:t>7.</w:t>
            </w:r>
            <w:r w:rsidR="001C3E10">
              <w:rPr>
                <w:lang w:eastAsia="es-CR"/>
              </w:rPr>
              <w:tab/>
            </w:r>
            <w:r w:rsidR="001C3E10" w:rsidRPr="00337DCF">
              <w:rPr>
                <w:rStyle w:val="Hipervnculo"/>
              </w:rPr>
              <w:t>Apéndices</w:t>
            </w:r>
            <w:r w:rsidR="001C3E10">
              <w:rPr>
                <w:webHidden/>
              </w:rPr>
              <w:tab/>
            </w:r>
            <w:r w:rsidR="001C3E10">
              <w:rPr>
                <w:webHidden/>
              </w:rPr>
              <w:fldChar w:fldCharType="begin"/>
            </w:r>
            <w:r w:rsidR="001C3E10">
              <w:rPr>
                <w:webHidden/>
              </w:rPr>
              <w:instrText xml:space="preserve"> PAGEREF _Toc414532024 \h </w:instrText>
            </w:r>
            <w:r w:rsidR="001C3E10">
              <w:rPr>
                <w:webHidden/>
              </w:rPr>
            </w:r>
            <w:r w:rsidR="001C3E10">
              <w:rPr>
                <w:webHidden/>
              </w:rPr>
              <w:fldChar w:fldCharType="separate"/>
            </w:r>
            <w:r w:rsidR="00D81356">
              <w:rPr>
                <w:webHidden/>
              </w:rPr>
              <w:t>113</w:t>
            </w:r>
            <w:r w:rsidR="001C3E10">
              <w:rPr>
                <w:webHidden/>
              </w:rPr>
              <w:fldChar w:fldCharType="end"/>
            </w:r>
          </w:hyperlink>
        </w:p>
        <w:p w14:paraId="6B78C5E8" w14:textId="77777777" w:rsidR="001C3E10" w:rsidRDefault="00516453" w:rsidP="003A637D">
          <w:pPr>
            <w:pStyle w:val="TDC2"/>
            <w:rPr>
              <w:rFonts w:eastAsiaTheme="minorEastAsia"/>
              <w:lang w:eastAsia="es-CR"/>
            </w:rPr>
          </w:pPr>
          <w:hyperlink w:anchor="_Toc414532025" w:history="1">
            <w:r w:rsidR="001C3E10" w:rsidRPr="00337DCF">
              <w:rPr>
                <w:rStyle w:val="Hipervnculo"/>
                <w14:scene3d>
                  <w14:camera w14:prst="orthographicFront"/>
                  <w14:lightRig w14:rig="threePt" w14:dir="t">
                    <w14:rot w14:lat="0" w14:lon="0" w14:rev="0"/>
                  </w14:lightRig>
                </w14:scene3d>
              </w:rPr>
              <w:t>7.1</w:t>
            </w:r>
            <w:r w:rsidR="001C3E10">
              <w:rPr>
                <w:rFonts w:eastAsiaTheme="minorEastAsia"/>
                <w:lang w:eastAsia="es-CR"/>
              </w:rPr>
              <w:tab/>
            </w:r>
            <w:r w:rsidR="001C3E10" w:rsidRPr="00337DCF">
              <w:rPr>
                <w:rStyle w:val="Hipervnculo"/>
              </w:rPr>
              <w:t>Análisis del entorno</w:t>
            </w:r>
            <w:r w:rsidR="001C3E10">
              <w:rPr>
                <w:webHidden/>
              </w:rPr>
              <w:tab/>
            </w:r>
            <w:r w:rsidR="001C3E10">
              <w:rPr>
                <w:webHidden/>
              </w:rPr>
              <w:fldChar w:fldCharType="begin"/>
            </w:r>
            <w:r w:rsidR="001C3E10">
              <w:rPr>
                <w:webHidden/>
              </w:rPr>
              <w:instrText xml:space="preserve"> PAGEREF _Toc414532025 \h </w:instrText>
            </w:r>
            <w:r w:rsidR="001C3E10">
              <w:rPr>
                <w:webHidden/>
              </w:rPr>
            </w:r>
            <w:r w:rsidR="001C3E10">
              <w:rPr>
                <w:webHidden/>
              </w:rPr>
              <w:fldChar w:fldCharType="separate"/>
            </w:r>
            <w:r w:rsidR="00D81356">
              <w:rPr>
                <w:webHidden/>
              </w:rPr>
              <w:t>113</w:t>
            </w:r>
            <w:r w:rsidR="001C3E10">
              <w:rPr>
                <w:webHidden/>
              </w:rPr>
              <w:fldChar w:fldCharType="end"/>
            </w:r>
          </w:hyperlink>
        </w:p>
        <w:p w14:paraId="134D5782" w14:textId="77777777" w:rsidR="001C3E10" w:rsidRDefault="00516453" w:rsidP="003A637D">
          <w:pPr>
            <w:pStyle w:val="TDC2"/>
            <w:rPr>
              <w:rFonts w:eastAsiaTheme="minorEastAsia"/>
              <w:lang w:eastAsia="es-CR"/>
            </w:rPr>
          </w:pPr>
          <w:hyperlink w:anchor="_Toc414532026" w:history="1">
            <w:r w:rsidR="001C3E10" w:rsidRPr="00337DCF">
              <w:rPr>
                <w:rStyle w:val="Hipervnculo"/>
                <w14:scene3d>
                  <w14:camera w14:prst="orthographicFront"/>
                  <w14:lightRig w14:rig="threePt" w14:dir="t">
                    <w14:rot w14:lat="0" w14:lon="0" w14:rev="0"/>
                  </w14:lightRig>
                </w14:scene3d>
              </w:rPr>
              <w:t>7.2</w:t>
            </w:r>
            <w:r w:rsidR="001C3E10">
              <w:rPr>
                <w:rFonts w:eastAsiaTheme="minorEastAsia"/>
                <w:lang w:eastAsia="es-CR"/>
              </w:rPr>
              <w:tab/>
            </w:r>
            <w:r w:rsidR="001C3E10" w:rsidRPr="00337DCF">
              <w:rPr>
                <w:rStyle w:val="Hipervnculo"/>
              </w:rPr>
              <w:t>Modelo de capacidades</w:t>
            </w:r>
            <w:r w:rsidR="001C3E10">
              <w:rPr>
                <w:webHidden/>
              </w:rPr>
              <w:tab/>
            </w:r>
            <w:r w:rsidR="001C3E10">
              <w:rPr>
                <w:webHidden/>
              </w:rPr>
              <w:fldChar w:fldCharType="begin"/>
            </w:r>
            <w:r w:rsidR="001C3E10">
              <w:rPr>
                <w:webHidden/>
              </w:rPr>
              <w:instrText xml:space="preserve"> PAGEREF _Toc414532026 \h </w:instrText>
            </w:r>
            <w:r w:rsidR="001C3E10">
              <w:rPr>
                <w:webHidden/>
              </w:rPr>
            </w:r>
            <w:r w:rsidR="001C3E10">
              <w:rPr>
                <w:webHidden/>
              </w:rPr>
              <w:fldChar w:fldCharType="separate"/>
            </w:r>
            <w:r w:rsidR="00D81356">
              <w:rPr>
                <w:webHidden/>
              </w:rPr>
              <w:t>113</w:t>
            </w:r>
            <w:r w:rsidR="001C3E10">
              <w:rPr>
                <w:webHidden/>
              </w:rPr>
              <w:fldChar w:fldCharType="end"/>
            </w:r>
          </w:hyperlink>
        </w:p>
        <w:p w14:paraId="1922E461" w14:textId="77777777" w:rsidR="001C3E10" w:rsidRDefault="00516453" w:rsidP="003A637D">
          <w:pPr>
            <w:pStyle w:val="TDC2"/>
            <w:rPr>
              <w:rFonts w:eastAsiaTheme="minorEastAsia"/>
              <w:lang w:eastAsia="es-CR"/>
            </w:rPr>
          </w:pPr>
          <w:hyperlink w:anchor="_Toc414532027" w:history="1">
            <w:r w:rsidR="001C3E10" w:rsidRPr="00337DCF">
              <w:rPr>
                <w:rStyle w:val="Hipervnculo"/>
                <w14:scene3d>
                  <w14:camera w14:prst="orthographicFront"/>
                  <w14:lightRig w14:rig="threePt" w14:dir="t">
                    <w14:rot w14:lat="0" w14:lon="0" w14:rev="0"/>
                  </w14:lightRig>
                </w14:scene3d>
              </w:rPr>
              <w:t>7.3</w:t>
            </w:r>
            <w:r w:rsidR="001C3E10">
              <w:rPr>
                <w:rFonts w:eastAsiaTheme="minorEastAsia"/>
                <w:lang w:eastAsia="es-CR"/>
              </w:rPr>
              <w:tab/>
            </w:r>
            <w:r w:rsidR="001C3E10" w:rsidRPr="00337DCF">
              <w:rPr>
                <w:rStyle w:val="Hipervnculo"/>
              </w:rPr>
              <w:t>IT Score de Gartner sobre Arquitectura Empresarial</w:t>
            </w:r>
            <w:r w:rsidR="001C3E10">
              <w:rPr>
                <w:webHidden/>
              </w:rPr>
              <w:tab/>
            </w:r>
            <w:r w:rsidR="001C3E10">
              <w:rPr>
                <w:webHidden/>
              </w:rPr>
              <w:fldChar w:fldCharType="begin"/>
            </w:r>
            <w:r w:rsidR="001C3E10">
              <w:rPr>
                <w:webHidden/>
              </w:rPr>
              <w:instrText xml:space="preserve"> PAGEREF _Toc414532027 \h </w:instrText>
            </w:r>
            <w:r w:rsidR="001C3E10">
              <w:rPr>
                <w:webHidden/>
              </w:rPr>
            </w:r>
            <w:r w:rsidR="001C3E10">
              <w:rPr>
                <w:webHidden/>
              </w:rPr>
              <w:fldChar w:fldCharType="separate"/>
            </w:r>
            <w:r w:rsidR="00D81356">
              <w:rPr>
                <w:webHidden/>
              </w:rPr>
              <w:t>122</w:t>
            </w:r>
            <w:r w:rsidR="001C3E10">
              <w:rPr>
                <w:webHidden/>
              </w:rPr>
              <w:fldChar w:fldCharType="end"/>
            </w:r>
          </w:hyperlink>
        </w:p>
        <w:p w14:paraId="6AA02205" w14:textId="77777777" w:rsidR="001C3E10" w:rsidRDefault="00516453" w:rsidP="003A637D">
          <w:pPr>
            <w:pStyle w:val="TDC2"/>
            <w:rPr>
              <w:rFonts w:eastAsiaTheme="minorEastAsia"/>
              <w:lang w:eastAsia="es-CR"/>
            </w:rPr>
          </w:pPr>
          <w:hyperlink w:anchor="_Toc414532028" w:history="1">
            <w:r w:rsidR="001C3E10" w:rsidRPr="00337DCF">
              <w:rPr>
                <w:rStyle w:val="Hipervnculo"/>
                <w14:scene3d>
                  <w14:camera w14:prst="orthographicFront"/>
                  <w14:lightRig w14:rig="threePt" w14:dir="t">
                    <w14:rot w14:lat="0" w14:lon="0" w14:rev="0"/>
                  </w14:lightRig>
                </w14:scene3d>
              </w:rPr>
              <w:t>7.4</w:t>
            </w:r>
            <w:r w:rsidR="001C3E10">
              <w:rPr>
                <w:rFonts w:eastAsiaTheme="minorEastAsia"/>
                <w:lang w:eastAsia="es-CR"/>
              </w:rPr>
              <w:tab/>
            </w:r>
            <w:r w:rsidR="001C3E10" w:rsidRPr="00337DCF">
              <w:rPr>
                <w:rStyle w:val="Hipervnculo"/>
              </w:rPr>
              <w:t>Gestión del portafolio de aplicaciones de software</w:t>
            </w:r>
            <w:r w:rsidR="001C3E10">
              <w:rPr>
                <w:webHidden/>
              </w:rPr>
              <w:tab/>
            </w:r>
            <w:r w:rsidR="001C3E10">
              <w:rPr>
                <w:webHidden/>
              </w:rPr>
              <w:fldChar w:fldCharType="begin"/>
            </w:r>
            <w:r w:rsidR="001C3E10">
              <w:rPr>
                <w:webHidden/>
              </w:rPr>
              <w:instrText xml:space="preserve"> PAGEREF _Toc414532028 \h </w:instrText>
            </w:r>
            <w:r w:rsidR="001C3E10">
              <w:rPr>
                <w:webHidden/>
              </w:rPr>
            </w:r>
            <w:r w:rsidR="001C3E10">
              <w:rPr>
                <w:webHidden/>
              </w:rPr>
              <w:fldChar w:fldCharType="separate"/>
            </w:r>
            <w:r w:rsidR="00D81356">
              <w:rPr>
                <w:webHidden/>
              </w:rPr>
              <w:t>125</w:t>
            </w:r>
            <w:r w:rsidR="001C3E10">
              <w:rPr>
                <w:webHidden/>
              </w:rPr>
              <w:fldChar w:fldCharType="end"/>
            </w:r>
          </w:hyperlink>
        </w:p>
        <w:p w14:paraId="1C461048" w14:textId="77777777" w:rsidR="001C3E10" w:rsidRDefault="00516453" w:rsidP="003A637D">
          <w:pPr>
            <w:pStyle w:val="TDC2"/>
            <w:rPr>
              <w:rFonts w:eastAsiaTheme="minorEastAsia"/>
              <w:lang w:eastAsia="es-CR"/>
            </w:rPr>
          </w:pPr>
          <w:hyperlink w:anchor="_Toc414532029" w:history="1">
            <w:r w:rsidR="001C3E10" w:rsidRPr="00337DCF">
              <w:rPr>
                <w:rStyle w:val="Hipervnculo"/>
                <w14:scene3d>
                  <w14:camera w14:prst="orthographicFront"/>
                  <w14:lightRig w14:rig="threePt" w14:dir="t">
                    <w14:rot w14:lat="0" w14:lon="0" w14:rev="0"/>
                  </w14:lightRig>
                </w14:scene3d>
              </w:rPr>
              <w:t>7.5</w:t>
            </w:r>
            <w:r w:rsidR="001C3E10">
              <w:rPr>
                <w:rFonts w:eastAsiaTheme="minorEastAsia"/>
                <w:lang w:eastAsia="es-CR"/>
              </w:rPr>
              <w:tab/>
            </w:r>
            <w:r w:rsidR="001C3E10" w:rsidRPr="00337DCF">
              <w:rPr>
                <w:rStyle w:val="Hipervnculo"/>
              </w:rPr>
              <w:t>Glosario</w:t>
            </w:r>
            <w:r w:rsidR="001C3E10">
              <w:rPr>
                <w:webHidden/>
              </w:rPr>
              <w:tab/>
            </w:r>
            <w:r w:rsidR="001C3E10">
              <w:rPr>
                <w:webHidden/>
              </w:rPr>
              <w:fldChar w:fldCharType="begin"/>
            </w:r>
            <w:r w:rsidR="001C3E10">
              <w:rPr>
                <w:webHidden/>
              </w:rPr>
              <w:instrText xml:space="preserve"> PAGEREF _Toc414532029 \h </w:instrText>
            </w:r>
            <w:r w:rsidR="001C3E10">
              <w:rPr>
                <w:webHidden/>
              </w:rPr>
            </w:r>
            <w:r w:rsidR="001C3E10">
              <w:rPr>
                <w:webHidden/>
              </w:rPr>
              <w:fldChar w:fldCharType="separate"/>
            </w:r>
            <w:r w:rsidR="00D81356">
              <w:rPr>
                <w:webHidden/>
              </w:rPr>
              <w:t>129</w:t>
            </w:r>
            <w:r w:rsidR="001C3E10">
              <w:rPr>
                <w:webHidden/>
              </w:rPr>
              <w:fldChar w:fldCharType="end"/>
            </w:r>
          </w:hyperlink>
        </w:p>
        <w:p w14:paraId="46EB544D" w14:textId="77777777" w:rsidR="001C3E10" w:rsidRDefault="00516453" w:rsidP="003A637D">
          <w:pPr>
            <w:pStyle w:val="TDC2"/>
            <w:rPr>
              <w:rFonts w:eastAsiaTheme="minorEastAsia"/>
              <w:lang w:eastAsia="es-CR"/>
            </w:rPr>
          </w:pPr>
          <w:hyperlink w:anchor="_Toc414532030" w:history="1">
            <w:r w:rsidR="001C3E10" w:rsidRPr="00337DCF">
              <w:rPr>
                <w:rStyle w:val="Hipervnculo"/>
                <w14:scene3d>
                  <w14:camera w14:prst="orthographicFront"/>
                  <w14:lightRig w14:rig="threePt" w14:dir="t">
                    <w14:rot w14:lat="0" w14:lon="0" w14:rev="0"/>
                  </w14:lightRig>
                </w14:scene3d>
              </w:rPr>
              <w:t>7.6</w:t>
            </w:r>
            <w:r w:rsidR="001C3E10">
              <w:rPr>
                <w:rFonts w:eastAsiaTheme="minorEastAsia"/>
                <w:lang w:eastAsia="es-CR"/>
              </w:rPr>
              <w:tab/>
            </w:r>
            <w:r w:rsidR="001C3E10" w:rsidRPr="00337DCF">
              <w:rPr>
                <w:rStyle w:val="Hipervnculo"/>
              </w:rPr>
              <w:t>Bibliografía</w:t>
            </w:r>
            <w:r w:rsidR="001C3E10">
              <w:rPr>
                <w:webHidden/>
              </w:rPr>
              <w:tab/>
            </w:r>
            <w:r w:rsidR="001C3E10">
              <w:rPr>
                <w:webHidden/>
              </w:rPr>
              <w:fldChar w:fldCharType="begin"/>
            </w:r>
            <w:r w:rsidR="001C3E10">
              <w:rPr>
                <w:webHidden/>
              </w:rPr>
              <w:instrText xml:space="preserve"> PAGEREF _Toc414532030 \h </w:instrText>
            </w:r>
            <w:r w:rsidR="001C3E10">
              <w:rPr>
                <w:webHidden/>
              </w:rPr>
            </w:r>
            <w:r w:rsidR="001C3E10">
              <w:rPr>
                <w:webHidden/>
              </w:rPr>
              <w:fldChar w:fldCharType="separate"/>
            </w:r>
            <w:r w:rsidR="00D81356">
              <w:rPr>
                <w:webHidden/>
              </w:rPr>
              <w:t>132</w:t>
            </w:r>
            <w:r w:rsidR="001C3E10">
              <w:rPr>
                <w:webHidden/>
              </w:rPr>
              <w:fldChar w:fldCharType="end"/>
            </w:r>
          </w:hyperlink>
        </w:p>
        <w:p w14:paraId="4D0DE603" w14:textId="77777777" w:rsidR="001C3E10" w:rsidRDefault="001C3E10" w:rsidP="001C3E10">
          <w:r>
            <w:fldChar w:fldCharType="end"/>
          </w:r>
        </w:p>
      </w:sdtContent>
    </w:sdt>
    <w:p w14:paraId="293DEB57" w14:textId="77777777" w:rsidR="001C3E10" w:rsidRPr="001C3E10" w:rsidRDefault="001C3E10" w:rsidP="00547B19">
      <w:pPr>
        <w:pStyle w:val="Ttulo1"/>
        <w:keepLines/>
        <w:numPr>
          <w:ilvl w:val="0"/>
          <w:numId w:val="45"/>
        </w:numPr>
        <w:spacing w:before="480" w:after="0" w:line="276" w:lineRule="auto"/>
        <w:jc w:val="both"/>
        <w:rPr>
          <w:rFonts w:asciiTheme="minorHAnsi" w:hAnsiTheme="minorHAnsi"/>
          <w:sz w:val="22"/>
          <w:szCs w:val="22"/>
        </w:rPr>
      </w:pPr>
      <w:r>
        <w:br w:type="page"/>
      </w:r>
      <w:bookmarkStart w:id="54" w:name="_Toc414532006"/>
      <w:bookmarkStart w:id="55" w:name="_Toc429555135"/>
      <w:bookmarkStart w:id="56" w:name="_Toc429562777"/>
      <w:bookmarkStart w:id="57" w:name="_Toc429563087"/>
      <w:bookmarkStart w:id="58" w:name="_Toc429563242"/>
      <w:bookmarkStart w:id="59" w:name="_Toc442253224"/>
      <w:r w:rsidRPr="001C3E10">
        <w:rPr>
          <w:rFonts w:asciiTheme="minorHAnsi" w:hAnsiTheme="minorHAnsi"/>
          <w:sz w:val="22"/>
          <w:szCs w:val="22"/>
        </w:rPr>
        <w:lastRenderedPageBreak/>
        <w:t>Resumen ejecutivo</w:t>
      </w:r>
      <w:bookmarkEnd w:id="54"/>
      <w:bookmarkEnd w:id="55"/>
      <w:bookmarkEnd w:id="56"/>
      <w:bookmarkEnd w:id="57"/>
      <w:bookmarkEnd w:id="58"/>
      <w:bookmarkEnd w:id="59"/>
    </w:p>
    <w:p w14:paraId="477A31CF" w14:textId="2DAA74B2" w:rsid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La </w:t>
      </w:r>
      <w:r w:rsidRPr="004D7122">
        <w:rPr>
          <w:rFonts w:asciiTheme="minorHAnsi" w:hAnsiTheme="minorHAnsi"/>
          <w:sz w:val="22"/>
          <w:szCs w:val="22"/>
        </w:rPr>
        <w:t>Tecnología de la Información</w:t>
      </w:r>
      <w:r w:rsidRPr="001C3E10">
        <w:rPr>
          <w:rFonts w:asciiTheme="minorHAnsi" w:hAnsiTheme="minorHAnsi"/>
          <w:sz w:val="22"/>
          <w:szCs w:val="22"/>
        </w:rPr>
        <w:t xml:space="preserve"> (TI) busca aportar valor y facilitar la forma en la que las organizaciones puedan cumplir sus objetivos. El soporte en las operaciones diarias, las mejoras realizadas a la tecnología que apoya a la </w:t>
      </w:r>
      <w:r w:rsidRPr="004D7122">
        <w:rPr>
          <w:rFonts w:asciiTheme="minorHAnsi" w:hAnsiTheme="minorHAnsi"/>
          <w:sz w:val="22"/>
          <w:szCs w:val="22"/>
        </w:rPr>
        <w:t>Corporación</w:t>
      </w:r>
      <w:r w:rsidRPr="001C3E10">
        <w:rPr>
          <w:rFonts w:asciiTheme="minorHAnsi" w:hAnsiTheme="minorHAnsi"/>
          <w:sz w:val="22"/>
          <w:szCs w:val="22"/>
        </w:rPr>
        <w:t xml:space="preserve"> y el desarrollo de nuevos proyectos por medio de los cuales se logre la transformación de la organización, son las áreas puntuales en las que la TI apoya a las organizaciones para el cumplimiento de sus objetivos.</w:t>
      </w:r>
    </w:p>
    <w:p w14:paraId="51AB5DCB" w14:textId="77777777" w:rsidR="002830C4" w:rsidRPr="001C3E10" w:rsidRDefault="002830C4" w:rsidP="001C3E10">
      <w:pPr>
        <w:spacing w:line="276" w:lineRule="auto"/>
        <w:jc w:val="both"/>
        <w:rPr>
          <w:rFonts w:asciiTheme="minorHAnsi" w:hAnsiTheme="minorHAnsi"/>
          <w:sz w:val="22"/>
          <w:szCs w:val="22"/>
        </w:rPr>
      </w:pPr>
    </w:p>
    <w:p w14:paraId="35D5BDCC" w14:textId="314683CF"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La División de Servicios Tecnológicos (DST), para el periodo 2015 al 2018, como proveedora de todos los </w:t>
      </w:r>
      <w:r w:rsidRPr="004D7122">
        <w:rPr>
          <w:rFonts w:asciiTheme="minorHAnsi" w:hAnsiTheme="minorHAnsi"/>
          <w:sz w:val="22"/>
          <w:szCs w:val="22"/>
        </w:rPr>
        <w:t>servicios de TI</w:t>
      </w:r>
      <w:r w:rsidRPr="001C3E10">
        <w:rPr>
          <w:rFonts w:asciiTheme="minorHAnsi" w:hAnsiTheme="minorHAnsi"/>
          <w:sz w:val="22"/>
          <w:szCs w:val="22"/>
        </w:rPr>
        <w:t xml:space="preserve"> del Banco Central de Costa Rica (BCCR) y sus </w:t>
      </w:r>
      <w:r w:rsidRPr="004D7122">
        <w:rPr>
          <w:rFonts w:asciiTheme="minorHAnsi" w:hAnsiTheme="minorHAnsi"/>
          <w:sz w:val="22"/>
          <w:szCs w:val="22"/>
        </w:rPr>
        <w:t>Órganos de Desconcentración Máxima</w:t>
      </w:r>
      <w:r w:rsidRPr="001C3E10">
        <w:rPr>
          <w:rFonts w:asciiTheme="minorHAnsi" w:hAnsiTheme="minorHAnsi"/>
          <w:sz w:val="22"/>
          <w:szCs w:val="22"/>
        </w:rPr>
        <w:t xml:space="preserve"> (ODM), plantea su aporte de valor a través de cuatro objetivos: </w:t>
      </w:r>
    </w:p>
    <w:p w14:paraId="2C782DF3" w14:textId="77777777" w:rsidR="001C3E10" w:rsidRPr="001C3E10" w:rsidRDefault="001C3E10" w:rsidP="001C3E10">
      <w:pPr>
        <w:spacing w:line="276" w:lineRule="auto"/>
        <w:jc w:val="both"/>
        <w:rPr>
          <w:rFonts w:asciiTheme="minorHAnsi" w:hAnsiTheme="minorHAnsi"/>
          <w:sz w:val="22"/>
          <w:szCs w:val="22"/>
        </w:rPr>
      </w:pPr>
    </w:p>
    <w:p w14:paraId="63DF0EA7" w14:textId="753E1C91" w:rsidR="001C3E10" w:rsidRPr="001C3E10" w:rsidRDefault="001C3E10" w:rsidP="00547B19">
      <w:pPr>
        <w:pStyle w:val="Prrafodelista"/>
        <w:numPr>
          <w:ilvl w:val="0"/>
          <w:numId w:val="30"/>
        </w:numPr>
        <w:spacing w:after="200" w:line="276" w:lineRule="auto"/>
        <w:ind w:left="708"/>
        <w:rPr>
          <w:rFonts w:asciiTheme="minorHAnsi" w:hAnsiTheme="minorHAnsi"/>
          <w:sz w:val="22"/>
        </w:rPr>
      </w:pPr>
      <w:r w:rsidRPr="001C3E10">
        <w:rPr>
          <w:rFonts w:asciiTheme="minorHAnsi" w:hAnsiTheme="minorHAnsi"/>
          <w:sz w:val="22"/>
        </w:rPr>
        <w:t xml:space="preserve">Fortalecer la operación de los servicios críticos, incorporando a los </w:t>
      </w:r>
      <w:r w:rsidRPr="004D7122">
        <w:rPr>
          <w:rFonts w:asciiTheme="minorHAnsi" w:hAnsiTheme="minorHAnsi"/>
          <w:sz w:val="22"/>
        </w:rPr>
        <w:t>Acuerdos de Nivel de Servicio</w:t>
      </w:r>
      <w:r w:rsidRPr="001C3E10">
        <w:rPr>
          <w:rFonts w:asciiTheme="minorHAnsi" w:hAnsiTheme="minorHAnsi"/>
          <w:sz w:val="22"/>
        </w:rPr>
        <w:t xml:space="preserve"> (ANS) que la División tiene suscritos con las áreas a las que provee tecnología, compromisos sobre nuevos atributos de calidad (Disponibilidad, Eficiencia, Seguridad, Riesgo y Costo) de las soluciones y lograr un nivel de cumplimiento del 90% de estos acuerdos, antes de finalizar el año 2018. </w:t>
      </w:r>
    </w:p>
    <w:p w14:paraId="7F420ACF" w14:textId="77777777" w:rsidR="001C3E10" w:rsidRPr="001C3E10" w:rsidRDefault="001C3E10" w:rsidP="001C3E10">
      <w:pPr>
        <w:pStyle w:val="Prrafodelista"/>
        <w:spacing w:line="276" w:lineRule="auto"/>
        <w:ind w:left="708"/>
        <w:rPr>
          <w:rFonts w:asciiTheme="minorHAnsi" w:hAnsiTheme="minorHAnsi"/>
          <w:sz w:val="22"/>
        </w:rPr>
      </w:pPr>
    </w:p>
    <w:p w14:paraId="23A5A7DA" w14:textId="6876B2E6" w:rsidR="001C3E10" w:rsidRPr="001C3E10" w:rsidRDefault="001C3E10" w:rsidP="00547B19">
      <w:pPr>
        <w:pStyle w:val="Prrafodelista"/>
        <w:numPr>
          <w:ilvl w:val="0"/>
          <w:numId w:val="30"/>
        </w:numPr>
        <w:spacing w:after="200" w:line="276" w:lineRule="auto"/>
        <w:rPr>
          <w:rFonts w:asciiTheme="minorHAnsi" w:hAnsiTheme="minorHAnsi"/>
          <w:sz w:val="22"/>
        </w:rPr>
      </w:pPr>
      <w:r w:rsidRPr="001C3E10">
        <w:rPr>
          <w:rFonts w:asciiTheme="minorHAnsi" w:hAnsiTheme="minorHAnsi"/>
          <w:sz w:val="22"/>
        </w:rPr>
        <w:t xml:space="preserve">Entregar el 90% de las </w:t>
      </w:r>
      <w:r w:rsidRPr="004D7122">
        <w:rPr>
          <w:rFonts w:asciiTheme="minorHAnsi" w:hAnsiTheme="minorHAnsi"/>
          <w:sz w:val="22"/>
        </w:rPr>
        <w:t>mejoras</w:t>
      </w:r>
      <w:r w:rsidRPr="001C3E10">
        <w:rPr>
          <w:rFonts w:asciiTheme="minorHAnsi" w:hAnsiTheme="minorHAnsi"/>
          <w:sz w:val="22"/>
        </w:rPr>
        <w:t xml:space="preserve"> que impactan a los servicios críticos con una desviación menor al 10% en el tiempo, presupuesto y requerimientos definidos, con el propósito de apoyar el crecimiento de las áreas sustantivas de la Corporación, antes de finalizar el año 2018.</w:t>
      </w:r>
    </w:p>
    <w:p w14:paraId="25252B64" w14:textId="77777777" w:rsidR="001C3E10" w:rsidRPr="001C3E10" w:rsidRDefault="001C3E10" w:rsidP="001C3E10">
      <w:pPr>
        <w:pStyle w:val="Prrafodelista"/>
        <w:spacing w:line="276" w:lineRule="auto"/>
        <w:rPr>
          <w:rFonts w:asciiTheme="minorHAnsi" w:hAnsiTheme="minorHAnsi"/>
          <w:sz w:val="22"/>
        </w:rPr>
      </w:pPr>
    </w:p>
    <w:p w14:paraId="1DFE62F6" w14:textId="77777777" w:rsidR="001C3E10" w:rsidRPr="001C3E10" w:rsidRDefault="001C3E10" w:rsidP="00547B19">
      <w:pPr>
        <w:pStyle w:val="Prrafodelista"/>
        <w:numPr>
          <w:ilvl w:val="0"/>
          <w:numId w:val="30"/>
        </w:numPr>
        <w:spacing w:after="200" w:line="276" w:lineRule="auto"/>
        <w:rPr>
          <w:rFonts w:asciiTheme="minorHAnsi" w:hAnsiTheme="minorHAnsi"/>
          <w:sz w:val="22"/>
        </w:rPr>
      </w:pPr>
      <w:r w:rsidRPr="001C3E10">
        <w:rPr>
          <w:rFonts w:asciiTheme="minorHAnsi" w:hAnsiTheme="minorHAnsi"/>
          <w:sz w:val="22"/>
        </w:rPr>
        <w:t xml:space="preserve">Apoyar la transformación de las áreas sustantivas a través del cumplimiento de los atributos de calidad que propone la gestión moderna de proyectos (Presupuesto, Alcance, Tiempo, Liderazgo, Gestión del cambio y Administración del proyecto) y lograr un 90% en el nivel de cumplimiento de los esfuerzos de transformación, antes de finalizar el año 2018. </w:t>
      </w:r>
    </w:p>
    <w:p w14:paraId="432743B8" w14:textId="77777777" w:rsidR="001C3E10" w:rsidRPr="001C3E10" w:rsidRDefault="001C3E10" w:rsidP="001C3E10">
      <w:pPr>
        <w:pStyle w:val="Prrafodelista"/>
        <w:spacing w:line="276" w:lineRule="auto"/>
        <w:rPr>
          <w:rFonts w:asciiTheme="minorHAnsi" w:hAnsiTheme="minorHAnsi"/>
          <w:sz w:val="22"/>
        </w:rPr>
      </w:pPr>
    </w:p>
    <w:p w14:paraId="545DC734" w14:textId="77777777" w:rsidR="001C3E10" w:rsidRPr="001C3E10" w:rsidRDefault="001C3E10" w:rsidP="00547B19">
      <w:pPr>
        <w:pStyle w:val="Prrafodelista"/>
        <w:numPr>
          <w:ilvl w:val="0"/>
          <w:numId w:val="30"/>
        </w:numPr>
        <w:spacing w:after="200" w:line="276" w:lineRule="auto"/>
        <w:rPr>
          <w:rFonts w:asciiTheme="minorHAnsi" w:hAnsiTheme="minorHAnsi"/>
          <w:sz w:val="22"/>
        </w:rPr>
      </w:pPr>
      <w:r w:rsidRPr="001C3E10">
        <w:rPr>
          <w:rFonts w:asciiTheme="minorHAnsi" w:hAnsiTheme="minorHAnsi"/>
          <w:sz w:val="22"/>
        </w:rPr>
        <w:t>Brindar los servicios de TI a todas las dependencias de la Corporación utilizando los mismos procesos, herramientas y competencias en el personal de TI, antes de finalizar el año 2018.</w:t>
      </w:r>
    </w:p>
    <w:p w14:paraId="2CAFFC2B"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El cumplimiento de los mismos se logrará realizando esfuerzos en tres principales pilares: personas, herramientas y procesos, mismos que permitirán lograr la excelencia operacional tanto de TI como de las áreas de la organización que utilicen las herramientas y los procesos relacionados con la tecnología.</w:t>
      </w:r>
    </w:p>
    <w:p w14:paraId="7669D522"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br w:type="page"/>
      </w:r>
    </w:p>
    <w:p w14:paraId="55227F8C" w14:textId="77777777" w:rsidR="001C3E10" w:rsidRDefault="001C3E10" w:rsidP="00547B19">
      <w:pPr>
        <w:pStyle w:val="Ttulo1"/>
        <w:keepLines/>
        <w:numPr>
          <w:ilvl w:val="0"/>
          <w:numId w:val="45"/>
        </w:numPr>
        <w:spacing w:before="480" w:after="0" w:line="276" w:lineRule="auto"/>
        <w:jc w:val="both"/>
        <w:rPr>
          <w:rFonts w:asciiTheme="minorHAnsi" w:hAnsiTheme="minorHAnsi"/>
          <w:sz w:val="22"/>
          <w:szCs w:val="22"/>
        </w:rPr>
      </w:pPr>
      <w:bookmarkStart w:id="60" w:name="_Toc414532007"/>
      <w:bookmarkStart w:id="61" w:name="_Toc429555136"/>
      <w:bookmarkStart w:id="62" w:name="_Toc429562778"/>
      <w:bookmarkStart w:id="63" w:name="_Toc429563088"/>
      <w:bookmarkStart w:id="64" w:name="_Toc429563243"/>
      <w:bookmarkStart w:id="65" w:name="_Toc442253225"/>
      <w:r w:rsidRPr="001C3E10">
        <w:rPr>
          <w:rFonts w:asciiTheme="minorHAnsi" w:hAnsiTheme="minorHAnsi"/>
          <w:sz w:val="22"/>
          <w:szCs w:val="22"/>
        </w:rPr>
        <w:lastRenderedPageBreak/>
        <w:t>Introducción</w:t>
      </w:r>
      <w:bookmarkEnd w:id="60"/>
      <w:bookmarkEnd w:id="61"/>
      <w:bookmarkEnd w:id="62"/>
      <w:bookmarkEnd w:id="63"/>
      <w:bookmarkEnd w:id="64"/>
      <w:bookmarkEnd w:id="65"/>
    </w:p>
    <w:p w14:paraId="3B905DD5" w14:textId="77777777" w:rsidR="00B30C48" w:rsidRPr="00B30C48" w:rsidRDefault="00B30C48" w:rsidP="00B30C48"/>
    <w:p w14:paraId="278403FD"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Las organizaciones definen a través de la estrategia la dirección que seguirán durante un periodo determinado, esto en respuesta a la realidad que les rodea. La estrategia de una organización requiere del correcto alineamiento de su estructura, toma de decisiones, arquitectura, procesos, cultura y métricas para ser efectiva. La Estrategia de TI es la respuesta que los equipos de Tecnología de la Información desarrollan para lograr el correcto alineamiento y contribuir con el éxito de la organización, es decir, apoyar la consecución de la estrategia de la organización.</w:t>
      </w:r>
    </w:p>
    <w:p w14:paraId="0E99CA7E" w14:textId="77777777" w:rsid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Esta estrategia comprende dos documentos, el primero de ellos, nombrado “Estrategia de TI”, desarrolla la esencia misma de la estrategia, mientras que el segundo documento, llamado “Plan Estratégico de TI”, describe la planificación del conjunto de iniciativas a través de las cuales se busca cumplir con la estrategia definida.</w:t>
      </w:r>
    </w:p>
    <w:p w14:paraId="6B01B52D" w14:textId="77777777" w:rsidR="00B30C48" w:rsidRPr="001C3E10" w:rsidRDefault="00B30C48" w:rsidP="001C3E10">
      <w:pPr>
        <w:spacing w:line="276" w:lineRule="auto"/>
        <w:jc w:val="both"/>
        <w:rPr>
          <w:rFonts w:asciiTheme="minorHAnsi" w:hAnsiTheme="minorHAnsi"/>
          <w:sz w:val="22"/>
          <w:szCs w:val="22"/>
        </w:rPr>
      </w:pPr>
    </w:p>
    <w:p w14:paraId="3CFA057C"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La estructura de este documento tiene su fundamento en el conjunto de buenas prácticas que en materia de Planificación Estratégica de TI ha desarrollado desde hace muchos años la empresa </w:t>
      </w:r>
      <w:proofErr w:type="spellStart"/>
      <w:r w:rsidRPr="001C3E10">
        <w:rPr>
          <w:rFonts w:asciiTheme="minorHAnsi" w:hAnsiTheme="minorHAnsi"/>
          <w:sz w:val="22"/>
          <w:szCs w:val="22"/>
        </w:rPr>
        <w:t>Gartner</w:t>
      </w:r>
      <w:proofErr w:type="spellEnd"/>
      <w:r w:rsidRPr="001C3E10">
        <w:rPr>
          <w:rFonts w:asciiTheme="minorHAnsi" w:hAnsiTheme="minorHAnsi"/>
          <w:sz w:val="22"/>
          <w:szCs w:val="22"/>
        </w:rPr>
        <w:t xml:space="preserve">, una de las principales firmas de asesoría y consultoría en TI a nivel mundial. En esta guía, se desarrolla la Estrategia de TI alrededor de tres ejes principales: </w:t>
      </w:r>
      <w:r w:rsidRPr="001C3E10">
        <w:rPr>
          <w:rFonts w:asciiTheme="minorHAnsi" w:hAnsiTheme="minorHAnsi"/>
          <w:i/>
          <w:sz w:val="22"/>
          <w:szCs w:val="22"/>
        </w:rPr>
        <w:fldChar w:fldCharType="begin"/>
      </w:r>
      <w:r w:rsidRPr="001C3E10">
        <w:rPr>
          <w:rFonts w:asciiTheme="minorHAnsi" w:hAnsiTheme="minorHAnsi"/>
          <w:i/>
          <w:sz w:val="22"/>
          <w:szCs w:val="22"/>
        </w:rPr>
        <w:instrText xml:space="preserve"> REF _Ref408236343 \h  \* MERGEFORMAT </w:instrText>
      </w:r>
      <w:r w:rsidRPr="001C3E10">
        <w:rPr>
          <w:rFonts w:asciiTheme="minorHAnsi" w:hAnsiTheme="minorHAnsi"/>
          <w:i/>
          <w:sz w:val="22"/>
          <w:szCs w:val="22"/>
        </w:rPr>
      </w:r>
      <w:r w:rsidRPr="001C3E10">
        <w:rPr>
          <w:rFonts w:asciiTheme="minorHAnsi" w:hAnsiTheme="minorHAnsi"/>
          <w:i/>
          <w:sz w:val="22"/>
          <w:szCs w:val="22"/>
        </w:rPr>
        <w:fldChar w:fldCharType="separate"/>
      </w:r>
      <w:r w:rsidR="00D81356" w:rsidRPr="00D81356">
        <w:rPr>
          <w:rFonts w:asciiTheme="minorHAnsi" w:hAnsiTheme="minorHAnsi"/>
          <w:i/>
          <w:sz w:val="22"/>
          <w:szCs w:val="22"/>
        </w:rPr>
        <w:t>Demanda</w:t>
      </w:r>
      <w:r w:rsidRPr="001C3E10">
        <w:rPr>
          <w:rFonts w:asciiTheme="minorHAnsi" w:hAnsiTheme="minorHAnsi"/>
          <w:i/>
          <w:sz w:val="22"/>
          <w:szCs w:val="22"/>
        </w:rPr>
        <w:fldChar w:fldCharType="end"/>
      </w:r>
      <w:r w:rsidRPr="001C3E10">
        <w:rPr>
          <w:rFonts w:asciiTheme="minorHAnsi" w:hAnsiTheme="minorHAnsi"/>
          <w:sz w:val="22"/>
          <w:szCs w:val="22"/>
        </w:rPr>
        <w:t xml:space="preserve">, donde se resume lo que para la organización significa alcanzar el éxito y cómo la TI contribuirá con ello; </w:t>
      </w:r>
      <w:r w:rsidRPr="001C3E10">
        <w:rPr>
          <w:rFonts w:asciiTheme="minorHAnsi" w:hAnsiTheme="minorHAnsi"/>
          <w:i/>
          <w:sz w:val="22"/>
          <w:szCs w:val="22"/>
        </w:rPr>
        <w:fldChar w:fldCharType="begin"/>
      </w:r>
      <w:r w:rsidRPr="001C3E10">
        <w:rPr>
          <w:rFonts w:asciiTheme="minorHAnsi" w:hAnsiTheme="minorHAnsi"/>
          <w:i/>
          <w:sz w:val="22"/>
          <w:szCs w:val="22"/>
        </w:rPr>
        <w:instrText xml:space="preserve"> REF _Ref410915368 \h  \* MERGEFORMAT </w:instrText>
      </w:r>
      <w:r w:rsidRPr="001C3E10">
        <w:rPr>
          <w:rFonts w:asciiTheme="minorHAnsi" w:hAnsiTheme="minorHAnsi"/>
          <w:i/>
          <w:sz w:val="22"/>
          <w:szCs w:val="22"/>
        </w:rPr>
      </w:r>
      <w:r w:rsidRPr="001C3E10">
        <w:rPr>
          <w:rFonts w:asciiTheme="minorHAnsi" w:hAnsiTheme="minorHAnsi"/>
          <w:i/>
          <w:sz w:val="22"/>
          <w:szCs w:val="22"/>
        </w:rPr>
        <w:fldChar w:fldCharType="separate"/>
      </w:r>
      <w:r w:rsidR="00D81356" w:rsidRPr="00D81356">
        <w:rPr>
          <w:rFonts w:asciiTheme="minorHAnsi" w:hAnsiTheme="minorHAnsi"/>
          <w:i/>
          <w:sz w:val="22"/>
          <w:szCs w:val="22"/>
        </w:rPr>
        <w:t>Control</w:t>
      </w:r>
      <w:r w:rsidRPr="001C3E10">
        <w:rPr>
          <w:rFonts w:asciiTheme="minorHAnsi" w:hAnsiTheme="minorHAnsi"/>
          <w:i/>
          <w:sz w:val="22"/>
          <w:szCs w:val="22"/>
        </w:rPr>
        <w:fldChar w:fldCharType="end"/>
      </w:r>
      <w:r w:rsidRPr="001C3E10">
        <w:rPr>
          <w:rFonts w:asciiTheme="minorHAnsi" w:hAnsiTheme="minorHAnsi"/>
          <w:sz w:val="22"/>
          <w:szCs w:val="22"/>
        </w:rPr>
        <w:t xml:space="preserve"> que define los mecanismos de control necesarios para que la gestión de TI se realice acorde con lo requerido por la organización; y </w:t>
      </w:r>
      <w:r w:rsidRPr="001C3E10">
        <w:rPr>
          <w:rFonts w:asciiTheme="minorHAnsi" w:hAnsiTheme="minorHAnsi"/>
          <w:i/>
          <w:sz w:val="22"/>
          <w:szCs w:val="22"/>
        </w:rPr>
        <w:fldChar w:fldCharType="begin"/>
      </w:r>
      <w:r w:rsidRPr="001C3E10">
        <w:rPr>
          <w:rFonts w:asciiTheme="minorHAnsi" w:hAnsiTheme="minorHAnsi"/>
          <w:i/>
          <w:sz w:val="22"/>
          <w:szCs w:val="22"/>
        </w:rPr>
        <w:instrText xml:space="preserve"> REF _Ref410915384 \h  \* MERGEFORMAT </w:instrText>
      </w:r>
      <w:r w:rsidRPr="001C3E10">
        <w:rPr>
          <w:rFonts w:asciiTheme="minorHAnsi" w:hAnsiTheme="minorHAnsi"/>
          <w:i/>
          <w:sz w:val="22"/>
          <w:szCs w:val="22"/>
        </w:rPr>
      </w:r>
      <w:r w:rsidRPr="001C3E10">
        <w:rPr>
          <w:rFonts w:asciiTheme="minorHAnsi" w:hAnsiTheme="minorHAnsi"/>
          <w:i/>
          <w:sz w:val="22"/>
          <w:szCs w:val="22"/>
        </w:rPr>
        <w:fldChar w:fldCharType="separate"/>
      </w:r>
      <w:r w:rsidR="00D81356" w:rsidRPr="00D81356">
        <w:rPr>
          <w:rFonts w:asciiTheme="minorHAnsi" w:hAnsiTheme="minorHAnsi"/>
          <w:i/>
          <w:sz w:val="22"/>
          <w:szCs w:val="22"/>
        </w:rPr>
        <w:t>Aprovisionamiento</w:t>
      </w:r>
      <w:r w:rsidRPr="001C3E10">
        <w:rPr>
          <w:rFonts w:asciiTheme="minorHAnsi" w:hAnsiTheme="minorHAnsi"/>
          <w:i/>
          <w:sz w:val="22"/>
          <w:szCs w:val="22"/>
        </w:rPr>
        <w:fldChar w:fldCharType="end"/>
      </w:r>
      <w:r w:rsidRPr="001C3E10">
        <w:rPr>
          <w:rFonts w:asciiTheme="minorHAnsi" w:hAnsiTheme="minorHAnsi"/>
          <w:sz w:val="22"/>
          <w:szCs w:val="22"/>
        </w:rPr>
        <w:t>, donde se esquematiza la forma en la que la TI cumplirá con la contribución establecida.</w:t>
      </w:r>
    </w:p>
    <w:p w14:paraId="2C6C902B" w14:textId="77777777" w:rsidR="00B30C48" w:rsidRDefault="00B30C48" w:rsidP="001C3E10">
      <w:pPr>
        <w:spacing w:line="276" w:lineRule="auto"/>
        <w:jc w:val="both"/>
        <w:rPr>
          <w:rFonts w:asciiTheme="minorHAnsi" w:hAnsiTheme="minorHAnsi"/>
          <w:sz w:val="22"/>
          <w:szCs w:val="22"/>
        </w:rPr>
      </w:pPr>
    </w:p>
    <w:p w14:paraId="5EB14B5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Cada una de las tres secciones principales se subdivide a su vez en cuatro partes. La sección </w:t>
      </w:r>
      <w:r w:rsidRPr="001C3E10">
        <w:rPr>
          <w:rFonts w:asciiTheme="minorHAnsi" w:hAnsiTheme="minorHAnsi"/>
          <w:i/>
          <w:sz w:val="22"/>
          <w:szCs w:val="22"/>
        </w:rPr>
        <w:fldChar w:fldCharType="begin"/>
      </w:r>
      <w:r w:rsidRPr="001C3E10">
        <w:rPr>
          <w:rFonts w:asciiTheme="minorHAnsi" w:hAnsiTheme="minorHAnsi"/>
          <w:i/>
          <w:sz w:val="22"/>
          <w:szCs w:val="22"/>
        </w:rPr>
        <w:instrText xml:space="preserve"> REF _Ref408236343 \h  \* MERGEFORMAT </w:instrText>
      </w:r>
      <w:r w:rsidRPr="001C3E10">
        <w:rPr>
          <w:rFonts w:asciiTheme="minorHAnsi" w:hAnsiTheme="minorHAnsi"/>
          <w:i/>
          <w:sz w:val="22"/>
          <w:szCs w:val="22"/>
        </w:rPr>
      </w:r>
      <w:r w:rsidRPr="001C3E10">
        <w:rPr>
          <w:rFonts w:asciiTheme="minorHAnsi" w:hAnsiTheme="minorHAnsi"/>
          <w:i/>
          <w:sz w:val="22"/>
          <w:szCs w:val="22"/>
        </w:rPr>
        <w:fldChar w:fldCharType="separate"/>
      </w:r>
      <w:r w:rsidR="00D81356" w:rsidRPr="00D81356">
        <w:rPr>
          <w:rFonts w:asciiTheme="minorHAnsi" w:hAnsiTheme="minorHAnsi"/>
          <w:i/>
          <w:sz w:val="22"/>
          <w:szCs w:val="22"/>
        </w:rPr>
        <w:t>Demanda</w:t>
      </w:r>
      <w:r w:rsidRPr="001C3E10">
        <w:rPr>
          <w:rFonts w:asciiTheme="minorHAnsi" w:hAnsiTheme="minorHAnsi"/>
          <w:i/>
          <w:sz w:val="22"/>
          <w:szCs w:val="22"/>
        </w:rPr>
        <w:fldChar w:fldCharType="end"/>
      </w:r>
      <w:r w:rsidRPr="001C3E10">
        <w:rPr>
          <w:rFonts w:asciiTheme="minorHAnsi" w:hAnsiTheme="minorHAnsi"/>
          <w:i/>
          <w:sz w:val="22"/>
          <w:szCs w:val="22"/>
        </w:rPr>
        <w:t xml:space="preserve"> </w:t>
      </w:r>
      <w:r w:rsidRPr="001C3E10">
        <w:rPr>
          <w:rFonts w:asciiTheme="minorHAnsi" w:hAnsiTheme="minorHAnsi"/>
          <w:sz w:val="22"/>
          <w:szCs w:val="22"/>
        </w:rPr>
        <w:t>se desarrolla a través de las siguientes:</w:t>
      </w:r>
    </w:p>
    <w:p w14:paraId="52A48559" w14:textId="77777777"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fldChar w:fldCharType="begin"/>
      </w:r>
      <w:r w:rsidRPr="001C3E10">
        <w:rPr>
          <w:rFonts w:asciiTheme="minorHAnsi" w:hAnsiTheme="minorHAnsi"/>
          <w:i/>
          <w:sz w:val="22"/>
        </w:rPr>
        <w:instrText xml:space="preserve"> REF _Ref406443576 \h  \* MERGEFORMAT </w:instrText>
      </w:r>
      <w:r w:rsidRPr="001C3E10">
        <w:rPr>
          <w:rFonts w:asciiTheme="minorHAnsi" w:hAnsiTheme="minorHAnsi"/>
          <w:i/>
          <w:sz w:val="22"/>
        </w:rPr>
      </w:r>
      <w:r w:rsidRPr="001C3E10">
        <w:rPr>
          <w:rFonts w:asciiTheme="minorHAnsi" w:hAnsiTheme="minorHAnsi"/>
          <w:i/>
          <w:sz w:val="22"/>
        </w:rPr>
        <w:fldChar w:fldCharType="separate"/>
      </w:r>
      <w:r w:rsidR="00D81356" w:rsidRPr="00D81356">
        <w:rPr>
          <w:rFonts w:asciiTheme="minorHAnsi" w:hAnsiTheme="minorHAnsi"/>
          <w:i/>
          <w:sz w:val="22"/>
        </w:rPr>
        <w:t>Contexto de la organización</w:t>
      </w:r>
      <w:r w:rsidRPr="001C3E10">
        <w:rPr>
          <w:rFonts w:asciiTheme="minorHAnsi" w:hAnsiTheme="minorHAnsi"/>
          <w:i/>
          <w:sz w:val="22"/>
        </w:rPr>
        <w:fldChar w:fldCharType="end"/>
      </w:r>
      <w:r w:rsidRPr="001C3E10">
        <w:rPr>
          <w:rFonts w:asciiTheme="minorHAnsi" w:hAnsiTheme="minorHAnsi"/>
          <w:sz w:val="22"/>
        </w:rPr>
        <w:t>, que resume la principal razón de ser de la organización.</w:t>
      </w:r>
    </w:p>
    <w:p w14:paraId="0C9C9661" w14:textId="77777777"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fldChar w:fldCharType="begin"/>
      </w:r>
      <w:r w:rsidRPr="001C3E10">
        <w:rPr>
          <w:rFonts w:asciiTheme="minorHAnsi" w:hAnsiTheme="minorHAnsi"/>
          <w:i/>
          <w:sz w:val="22"/>
        </w:rPr>
        <w:instrText xml:space="preserve"> REF _Ref405280852 \h  \* MERGEFORMAT </w:instrText>
      </w:r>
      <w:r w:rsidRPr="001C3E10">
        <w:rPr>
          <w:rFonts w:asciiTheme="minorHAnsi" w:hAnsiTheme="minorHAnsi"/>
          <w:i/>
          <w:sz w:val="22"/>
        </w:rPr>
      </w:r>
      <w:r w:rsidRPr="001C3E10">
        <w:rPr>
          <w:rFonts w:asciiTheme="minorHAnsi" w:hAnsiTheme="minorHAnsi"/>
          <w:i/>
          <w:sz w:val="22"/>
        </w:rPr>
        <w:fldChar w:fldCharType="separate"/>
      </w:r>
      <w:r w:rsidR="00D81356" w:rsidRPr="00D81356">
        <w:rPr>
          <w:rFonts w:asciiTheme="minorHAnsi" w:hAnsiTheme="minorHAnsi"/>
          <w:i/>
          <w:sz w:val="22"/>
        </w:rPr>
        <w:t>Criterios de éxito de la organización</w:t>
      </w:r>
      <w:r w:rsidRPr="001C3E10">
        <w:rPr>
          <w:rFonts w:asciiTheme="minorHAnsi" w:hAnsiTheme="minorHAnsi"/>
          <w:i/>
          <w:sz w:val="22"/>
        </w:rPr>
        <w:fldChar w:fldCharType="end"/>
      </w:r>
      <w:r w:rsidRPr="001C3E10">
        <w:rPr>
          <w:rFonts w:asciiTheme="minorHAnsi" w:hAnsiTheme="minorHAnsi"/>
          <w:sz w:val="22"/>
        </w:rPr>
        <w:t>, donde se presenta de manera concreta la estrategia de la organización.</w:t>
      </w:r>
    </w:p>
    <w:p w14:paraId="6E41C20E" w14:textId="7B5D64C4"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fldChar w:fldCharType="begin"/>
      </w:r>
      <w:r w:rsidRPr="001C3E10">
        <w:rPr>
          <w:rFonts w:asciiTheme="minorHAnsi" w:hAnsiTheme="minorHAnsi"/>
          <w:i/>
          <w:sz w:val="22"/>
        </w:rPr>
        <w:instrText xml:space="preserve"> REF _Ref406443581 \h  \* MERGEFORMAT </w:instrText>
      </w:r>
      <w:r w:rsidRPr="001C3E10">
        <w:rPr>
          <w:rFonts w:asciiTheme="minorHAnsi" w:hAnsiTheme="minorHAnsi"/>
          <w:i/>
          <w:sz w:val="22"/>
        </w:rPr>
      </w:r>
      <w:r w:rsidRPr="001C3E10">
        <w:rPr>
          <w:rFonts w:asciiTheme="minorHAnsi" w:hAnsiTheme="minorHAnsi"/>
          <w:i/>
          <w:sz w:val="22"/>
        </w:rPr>
        <w:fldChar w:fldCharType="separate"/>
      </w:r>
      <w:r w:rsidR="00D81356" w:rsidRPr="00D81356">
        <w:rPr>
          <w:rFonts w:asciiTheme="minorHAnsi" w:hAnsiTheme="minorHAnsi"/>
          <w:i/>
          <w:sz w:val="22"/>
        </w:rPr>
        <w:t>Capacidades de la organización</w:t>
      </w:r>
      <w:r w:rsidRPr="001C3E10">
        <w:rPr>
          <w:rFonts w:asciiTheme="minorHAnsi" w:hAnsiTheme="minorHAnsi"/>
          <w:i/>
          <w:sz w:val="22"/>
        </w:rPr>
        <w:fldChar w:fldCharType="end"/>
      </w:r>
      <w:r w:rsidRPr="001C3E10">
        <w:rPr>
          <w:rFonts w:asciiTheme="minorHAnsi" w:hAnsiTheme="minorHAnsi"/>
          <w:sz w:val="22"/>
        </w:rPr>
        <w:t xml:space="preserve">, muestra las habilidades organizacionales necesarias para que la Corporación pueda lograr lo planteado en la estrategia. </w:t>
      </w:r>
    </w:p>
    <w:p w14:paraId="6BBE837A" w14:textId="77777777"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fldChar w:fldCharType="begin"/>
      </w:r>
      <w:r w:rsidRPr="001C3E10">
        <w:rPr>
          <w:rFonts w:asciiTheme="minorHAnsi" w:hAnsiTheme="minorHAnsi"/>
          <w:i/>
          <w:sz w:val="22"/>
        </w:rPr>
        <w:instrText xml:space="preserve"> REF _Ref406424620 \h  \* MERGEFORMAT </w:instrText>
      </w:r>
      <w:r w:rsidRPr="001C3E10">
        <w:rPr>
          <w:rFonts w:asciiTheme="minorHAnsi" w:hAnsiTheme="minorHAnsi"/>
          <w:i/>
          <w:sz w:val="22"/>
        </w:rPr>
      </w:r>
      <w:r w:rsidRPr="001C3E10">
        <w:rPr>
          <w:rFonts w:asciiTheme="minorHAnsi" w:hAnsiTheme="minorHAnsi"/>
          <w:i/>
          <w:sz w:val="22"/>
        </w:rPr>
        <w:fldChar w:fldCharType="separate"/>
      </w:r>
      <w:r w:rsidR="00D81356" w:rsidRPr="00D81356">
        <w:rPr>
          <w:rFonts w:asciiTheme="minorHAnsi" w:hAnsiTheme="minorHAnsi"/>
          <w:i/>
          <w:sz w:val="22"/>
        </w:rPr>
        <w:t>Contribución de TI</w:t>
      </w:r>
      <w:r w:rsidRPr="001C3E10">
        <w:rPr>
          <w:rFonts w:asciiTheme="minorHAnsi" w:hAnsiTheme="minorHAnsi"/>
          <w:i/>
          <w:sz w:val="22"/>
        </w:rPr>
        <w:fldChar w:fldCharType="end"/>
      </w:r>
      <w:r w:rsidRPr="001C3E10">
        <w:rPr>
          <w:rFonts w:asciiTheme="minorHAnsi" w:hAnsiTheme="minorHAnsi"/>
          <w:sz w:val="22"/>
        </w:rPr>
        <w:t>, donde se describe en general la forma en la que TI apoyará a la organización en la consecución de su estrategia con base en las subsecciones anteriores.</w:t>
      </w:r>
    </w:p>
    <w:p w14:paraId="06C6CAD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La sección </w:t>
      </w:r>
      <w:r w:rsidRPr="001C3E10">
        <w:rPr>
          <w:rFonts w:asciiTheme="minorHAnsi" w:hAnsiTheme="minorHAnsi"/>
          <w:i/>
          <w:sz w:val="22"/>
          <w:szCs w:val="22"/>
        </w:rPr>
        <w:fldChar w:fldCharType="begin"/>
      </w:r>
      <w:r w:rsidRPr="001C3E10">
        <w:rPr>
          <w:rFonts w:asciiTheme="minorHAnsi" w:hAnsiTheme="minorHAnsi"/>
          <w:i/>
          <w:sz w:val="22"/>
          <w:szCs w:val="22"/>
        </w:rPr>
        <w:instrText xml:space="preserve"> REF _Ref406443697 \h  \* MERGEFORMAT </w:instrText>
      </w:r>
      <w:r w:rsidRPr="001C3E10">
        <w:rPr>
          <w:rFonts w:asciiTheme="minorHAnsi" w:hAnsiTheme="minorHAnsi"/>
          <w:i/>
          <w:sz w:val="22"/>
          <w:szCs w:val="22"/>
        </w:rPr>
      </w:r>
      <w:r w:rsidRPr="001C3E10">
        <w:rPr>
          <w:rFonts w:asciiTheme="minorHAnsi" w:hAnsiTheme="minorHAnsi"/>
          <w:i/>
          <w:sz w:val="22"/>
          <w:szCs w:val="22"/>
        </w:rPr>
        <w:fldChar w:fldCharType="separate"/>
      </w:r>
      <w:r w:rsidR="00D81356" w:rsidRPr="001C3E10">
        <w:rPr>
          <w:rFonts w:asciiTheme="minorHAnsi" w:hAnsiTheme="minorHAnsi"/>
          <w:sz w:val="22"/>
          <w:szCs w:val="22"/>
        </w:rPr>
        <w:t>Control</w:t>
      </w:r>
      <w:r w:rsidRPr="001C3E10">
        <w:rPr>
          <w:rFonts w:asciiTheme="minorHAnsi" w:hAnsiTheme="minorHAnsi"/>
          <w:i/>
          <w:sz w:val="22"/>
          <w:szCs w:val="22"/>
        </w:rPr>
        <w:fldChar w:fldCharType="end"/>
      </w:r>
      <w:r w:rsidRPr="001C3E10">
        <w:rPr>
          <w:rFonts w:asciiTheme="minorHAnsi" w:hAnsiTheme="minorHAnsi"/>
          <w:sz w:val="22"/>
          <w:szCs w:val="22"/>
        </w:rPr>
        <w:t xml:space="preserve"> consta de los siguientes apartados:</w:t>
      </w:r>
    </w:p>
    <w:p w14:paraId="13608D20" w14:textId="77777777"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fldChar w:fldCharType="begin"/>
      </w:r>
      <w:r w:rsidRPr="001C3E10">
        <w:rPr>
          <w:rFonts w:asciiTheme="minorHAnsi" w:hAnsiTheme="minorHAnsi"/>
          <w:i/>
          <w:sz w:val="22"/>
        </w:rPr>
        <w:instrText xml:space="preserve"> REF _Ref406443612 \h  \* MERGEFORMAT </w:instrText>
      </w:r>
      <w:r w:rsidRPr="001C3E10">
        <w:rPr>
          <w:rFonts w:asciiTheme="minorHAnsi" w:hAnsiTheme="minorHAnsi"/>
          <w:i/>
          <w:sz w:val="22"/>
        </w:rPr>
      </w:r>
      <w:r w:rsidRPr="001C3E10">
        <w:rPr>
          <w:rFonts w:asciiTheme="minorHAnsi" w:hAnsiTheme="minorHAnsi"/>
          <w:i/>
          <w:sz w:val="22"/>
        </w:rPr>
        <w:fldChar w:fldCharType="separate"/>
      </w:r>
      <w:r w:rsidR="00D81356" w:rsidRPr="00D81356">
        <w:rPr>
          <w:rFonts w:asciiTheme="minorHAnsi" w:hAnsiTheme="minorHAnsi"/>
          <w:i/>
          <w:sz w:val="22"/>
        </w:rPr>
        <w:t>Principios de TI</w:t>
      </w:r>
      <w:r w:rsidRPr="001C3E10">
        <w:rPr>
          <w:rFonts w:asciiTheme="minorHAnsi" w:hAnsiTheme="minorHAnsi"/>
          <w:i/>
          <w:sz w:val="22"/>
        </w:rPr>
        <w:fldChar w:fldCharType="end"/>
      </w:r>
      <w:r w:rsidRPr="001C3E10">
        <w:rPr>
          <w:rFonts w:asciiTheme="minorHAnsi" w:hAnsiTheme="minorHAnsi"/>
          <w:sz w:val="22"/>
        </w:rPr>
        <w:t>, contiene los principales lineamientos que pueden ser utilizados para guiar el comportamiento y las decisiones del personal de TI, acorde con la estrategia planteada.</w:t>
      </w:r>
    </w:p>
    <w:p w14:paraId="7A12B121" w14:textId="77777777"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fldChar w:fldCharType="begin"/>
      </w:r>
      <w:r w:rsidRPr="001C3E10">
        <w:rPr>
          <w:rFonts w:asciiTheme="minorHAnsi" w:hAnsiTheme="minorHAnsi"/>
          <w:i/>
          <w:sz w:val="22"/>
        </w:rPr>
        <w:instrText xml:space="preserve"> REF _Ref406443614 \h  \* MERGEFORMAT </w:instrText>
      </w:r>
      <w:r w:rsidRPr="001C3E10">
        <w:rPr>
          <w:rFonts w:asciiTheme="minorHAnsi" w:hAnsiTheme="minorHAnsi"/>
          <w:i/>
          <w:sz w:val="22"/>
        </w:rPr>
      </w:r>
      <w:r w:rsidRPr="001C3E10">
        <w:rPr>
          <w:rFonts w:asciiTheme="minorHAnsi" w:hAnsiTheme="minorHAnsi"/>
          <w:i/>
          <w:sz w:val="22"/>
        </w:rPr>
        <w:fldChar w:fldCharType="separate"/>
      </w:r>
      <w:r w:rsidR="00D81356" w:rsidRPr="00D81356">
        <w:rPr>
          <w:rFonts w:asciiTheme="minorHAnsi" w:hAnsiTheme="minorHAnsi"/>
          <w:i/>
          <w:sz w:val="22"/>
        </w:rPr>
        <w:t>Gobernanza de TI</w:t>
      </w:r>
      <w:r w:rsidRPr="001C3E10">
        <w:rPr>
          <w:rFonts w:asciiTheme="minorHAnsi" w:hAnsiTheme="minorHAnsi"/>
          <w:i/>
          <w:sz w:val="22"/>
        </w:rPr>
        <w:fldChar w:fldCharType="end"/>
      </w:r>
      <w:r w:rsidRPr="001C3E10">
        <w:rPr>
          <w:rFonts w:asciiTheme="minorHAnsi" w:hAnsiTheme="minorHAnsi"/>
          <w:sz w:val="22"/>
        </w:rPr>
        <w:t>, resume los procesos, las personas y las herramientas requeridas para la toma de los distintos tipos de decisiones relacionadas con la gestión de la TI en la Corporación.</w:t>
      </w:r>
    </w:p>
    <w:p w14:paraId="3A223B25" w14:textId="2EBCAECA"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lastRenderedPageBreak/>
        <w:fldChar w:fldCharType="begin"/>
      </w:r>
      <w:r w:rsidRPr="001C3E10">
        <w:rPr>
          <w:rFonts w:asciiTheme="minorHAnsi" w:hAnsiTheme="minorHAnsi"/>
          <w:i/>
          <w:sz w:val="22"/>
        </w:rPr>
        <w:instrText xml:space="preserve"> REF _Ref406443616 \h  \* MERGEFORMAT </w:instrText>
      </w:r>
      <w:r w:rsidRPr="001C3E10">
        <w:rPr>
          <w:rFonts w:asciiTheme="minorHAnsi" w:hAnsiTheme="minorHAnsi"/>
          <w:i/>
          <w:sz w:val="22"/>
        </w:rPr>
      </w:r>
      <w:r w:rsidRPr="001C3E10">
        <w:rPr>
          <w:rFonts w:asciiTheme="minorHAnsi" w:hAnsiTheme="minorHAnsi"/>
          <w:i/>
          <w:sz w:val="22"/>
        </w:rPr>
        <w:fldChar w:fldCharType="separate"/>
      </w:r>
      <w:r w:rsidR="00D81356" w:rsidRPr="00D81356">
        <w:rPr>
          <w:rFonts w:asciiTheme="minorHAnsi" w:hAnsiTheme="minorHAnsi"/>
          <w:i/>
          <w:sz w:val="22"/>
        </w:rPr>
        <w:t>Gestión financiera de TI</w:t>
      </w:r>
      <w:r w:rsidRPr="001C3E10">
        <w:rPr>
          <w:rFonts w:asciiTheme="minorHAnsi" w:hAnsiTheme="minorHAnsi"/>
          <w:i/>
          <w:sz w:val="22"/>
        </w:rPr>
        <w:fldChar w:fldCharType="end"/>
      </w:r>
      <w:r w:rsidRPr="001C3E10">
        <w:rPr>
          <w:rFonts w:asciiTheme="minorHAnsi" w:hAnsiTheme="minorHAnsi"/>
          <w:sz w:val="22"/>
        </w:rPr>
        <w:t xml:space="preserve">, describe la forma en la que es obtenido el financiamiento requerido para la operación y el desarrollo de la TI, además de la forma en la que los </w:t>
      </w:r>
      <w:r w:rsidRPr="004D7122">
        <w:rPr>
          <w:rFonts w:asciiTheme="minorHAnsi" w:hAnsiTheme="minorHAnsi"/>
          <w:sz w:val="22"/>
        </w:rPr>
        <w:t>costos</w:t>
      </w:r>
      <w:r w:rsidRPr="001C3E10">
        <w:rPr>
          <w:rFonts w:asciiTheme="minorHAnsi" w:hAnsiTheme="minorHAnsi"/>
          <w:sz w:val="22"/>
        </w:rPr>
        <w:t xml:space="preserve"> asociados con la TI son distribuidos.</w:t>
      </w:r>
    </w:p>
    <w:p w14:paraId="4E43D388" w14:textId="77777777"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t>Métricas</w:t>
      </w:r>
      <w:r w:rsidRPr="001C3E10">
        <w:rPr>
          <w:rFonts w:asciiTheme="minorHAnsi" w:hAnsiTheme="minorHAnsi"/>
          <w:sz w:val="22"/>
        </w:rPr>
        <w:t xml:space="preserve">, esenciales para lograr transparencia y control, elementos necesarios para demostrar el aporte de valor que brinda TI. </w:t>
      </w:r>
    </w:p>
    <w:p w14:paraId="1B16E120" w14:textId="77777777" w:rsidR="001C3E10" w:rsidRPr="001C3E10" w:rsidRDefault="001C3E10" w:rsidP="001C3E10">
      <w:pPr>
        <w:spacing w:line="276" w:lineRule="auto"/>
        <w:jc w:val="both"/>
        <w:rPr>
          <w:rFonts w:asciiTheme="minorHAnsi" w:eastAsiaTheme="majorEastAsia" w:hAnsiTheme="minorHAnsi" w:cstheme="majorBidi"/>
          <w:b/>
          <w:bCs/>
          <w:color w:val="365F91" w:themeColor="accent1" w:themeShade="BF"/>
          <w:sz w:val="22"/>
          <w:szCs w:val="22"/>
        </w:rPr>
      </w:pPr>
      <w:r w:rsidRPr="001C3E10">
        <w:rPr>
          <w:rFonts w:asciiTheme="minorHAnsi" w:hAnsiTheme="minorHAnsi"/>
          <w:sz w:val="22"/>
          <w:szCs w:val="22"/>
        </w:rPr>
        <w:t xml:space="preserve">Cada parte comprendida en la sección </w:t>
      </w:r>
      <w:r w:rsidRPr="001C3E10">
        <w:rPr>
          <w:rFonts w:asciiTheme="minorHAnsi" w:hAnsiTheme="minorHAnsi"/>
          <w:i/>
          <w:sz w:val="22"/>
          <w:szCs w:val="22"/>
        </w:rPr>
        <w:fldChar w:fldCharType="begin"/>
      </w:r>
      <w:r w:rsidRPr="001C3E10">
        <w:rPr>
          <w:rFonts w:asciiTheme="minorHAnsi" w:hAnsiTheme="minorHAnsi"/>
          <w:i/>
          <w:sz w:val="22"/>
          <w:szCs w:val="22"/>
        </w:rPr>
        <w:instrText xml:space="preserve"> REF _Ref406537297 \h  \* MERGEFORMAT </w:instrText>
      </w:r>
      <w:r w:rsidRPr="001C3E10">
        <w:rPr>
          <w:rFonts w:asciiTheme="minorHAnsi" w:hAnsiTheme="minorHAnsi"/>
          <w:i/>
          <w:sz w:val="22"/>
          <w:szCs w:val="22"/>
        </w:rPr>
      </w:r>
      <w:r w:rsidRPr="001C3E10">
        <w:rPr>
          <w:rFonts w:asciiTheme="minorHAnsi" w:hAnsiTheme="minorHAnsi"/>
          <w:i/>
          <w:sz w:val="22"/>
          <w:szCs w:val="22"/>
        </w:rPr>
        <w:fldChar w:fldCharType="separate"/>
      </w:r>
      <w:r w:rsidR="00D81356" w:rsidRPr="001C3E10">
        <w:rPr>
          <w:rFonts w:asciiTheme="minorHAnsi" w:hAnsiTheme="minorHAnsi"/>
          <w:sz w:val="22"/>
          <w:szCs w:val="22"/>
        </w:rPr>
        <w:t>Aprovisionamiento</w:t>
      </w:r>
      <w:r w:rsidRPr="001C3E10">
        <w:rPr>
          <w:rFonts w:asciiTheme="minorHAnsi" w:hAnsiTheme="minorHAnsi"/>
          <w:i/>
          <w:sz w:val="22"/>
          <w:szCs w:val="22"/>
        </w:rPr>
        <w:fldChar w:fldCharType="end"/>
      </w:r>
      <w:r w:rsidRPr="001C3E10">
        <w:rPr>
          <w:rFonts w:asciiTheme="minorHAnsi" w:hAnsiTheme="minorHAnsi"/>
          <w:sz w:val="22"/>
          <w:szCs w:val="22"/>
        </w:rPr>
        <w:t xml:space="preserve"> resume la situación que en la actualidad se presenta y las estrategias formuladas para colaborar con el alcance de los objetivos estratégicos de la Corporación. Lo descrito en esta sección refleja las estrategias que TI desarrollará a lo largo del periodo:</w:t>
      </w:r>
    </w:p>
    <w:p w14:paraId="57C73E7F" w14:textId="77777777"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fldChar w:fldCharType="begin"/>
      </w:r>
      <w:r w:rsidRPr="001C3E10">
        <w:rPr>
          <w:rFonts w:asciiTheme="minorHAnsi" w:hAnsiTheme="minorHAnsi"/>
          <w:i/>
          <w:sz w:val="22"/>
        </w:rPr>
        <w:instrText xml:space="preserve"> REF _Ref406443623 \h  \* MERGEFORMAT </w:instrText>
      </w:r>
      <w:r w:rsidRPr="001C3E10">
        <w:rPr>
          <w:rFonts w:asciiTheme="minorHAnsi" w:hAnsiTheme="minorHAnsi"/>
          <w:i/>
          <w:sz w:val="22"/>
        </w:rPr>
      </w:r>
      <w:r w:rsidRPr="001C3E10">
        <w:rPr>
          <w:rFonts w:asciiTheme="minorHAnsi" w:hAnsiTheme="minorHAnsi"/>
          <w:i/>
          <w:sz w:val="22"/>
        </w:rPr>
        <w:fldChar w:fldCharType="separate"/>
      </w:r>
      <w:r w:rsidR="00D81356" w:rsidRPr="00D81356">
        <w:rPr>
          <w:rFonts w:asciiTheme="minorHAnsi" w:hAnsiTheme="minorHAnsi"/>
          <w:i/>
          <w:sz w:val="22"/>
        </w:rPr>
        <w:t>Servicios de TI</w:t>
      </w:r>
      <w:r w:rsidRPr="001C3E10">
        <w:rPr>
          <w:rFonts w:asciiTheme="minorHAnsi" w:hAnsiTheme="minorHAnsi"/>
          <w:i/>
          <w:sz w:val="22"/>
        </w:rPr>
        <w:fldChar w:fldCharType="end"/>
      </w:r>
      <w:r w:rsidRPr="001C3E10">
        <w:rPr>
          <w:rFonts w:asciiTheme="minorHAnsi" w:hAnsiTheme="minorHAnsi"/>
          <w:sz w:val="22"/>
        </w:rPr>
        <w:t>, descripción básica de los servicios que TI brinda a la Corporación.</w:t>
      </w:r>
    </w:p>
    <w:p w14:paraId="11B57EFB" w14:textId="77777777"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fldChar w:fldCharType="begin"/>
      </w:r>
      <w:r w:rsidRPr="001C3E10">
        <w:rPr>
          <w:rFonts w:asciiTheme="minorHAnsi" w:hAnsiTheme="minorHAnsi"/>
          <w:i/>
          <w:sz w:val="22"/>
        </w:rPr>
        <w:instrText xml:space="preserve"> REF _Ref406443629 \h  \* MERGEFORMAT </w:instrText>
      </w:r>
      <w:r w:rsidRPr="001C3E10">
        <w:rPr>
          <w:rFonts w:asciiTheme="minorHAnsi" w:hAnsiTheme="minorHAnsi"/>
          <w:i/>
          <w:sz w:val="22"/>
        </w:rPr>
      </w:r>
      <w:r w:rsidRPr="001C3E10">
        <w:rPr>
          <w:rFonts w:asciiTheme="minorHAnsi" w:hAnsiTheme="minorHAnsi"/>
          <w:i/>
          <w:sz w:val="22"/>
        </w:rPr>
        <w:fldChar w:fldCharType="separate"/>
      </w:r>
      <w:r w:rsidR="00D81356" w:rsidRPr="00D81356">
        <w:rPr>
          <w:rFonts w:asciiTheme="minorHAnsi" w:hAnsiTheme="minorHAnsi"/>
          <w:i/>
          <w:sz w:val="22"/>
        </w:rPr>
        <w:t>Arquitectura</w:t>
      </w:r>
      <w:r w:rsidRPr="001C3E10">
        <w:rPr>
          <w:rFonts w:asciiTheme="minorHAnsi" w:hAnsiTheme="minorHAnsi"/>
          <w:i/>
          <w:sz w:val="22"/>
        </w:rPr>
        <w:fldChar w:fldCharType="end"/>
      </w:r>
      <w:r w:rsidRPr="001C3E10">
        <w:rPr>
          <w:rFonts w:asciiTheme="minorHAnsi" w:hAnsiTheme="minorHAnsi"/>
          <w:sz w:val="22"/>
        </w:rPr>
        <w:t>, síntesis del diseño de los servicios de TI y los principales cambios que sobre el mismo deberán realizarse para cubrir las brechas existentes en las capacidades de la organización.</w:t>
      </w:r>
    </w:p>
    <w:p w14:paraId="7AD52BC9" w14:textId="77777777"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fldChar w:fldCharType="begin"/>
      </w:r>
      <w:r w:rsidRPr="001C3E10">
        <w:rPr>
          <w:rFonts w:asciiTheme="minorHAnsi" w:hAnsiTheme="minorHAnsi"/>
          <w:i/>
          <w:sz w:val="22"/>
        </w:rPr>
        <w:instrText xml:space="preserve"> REF _Ref410915519 \h  \* MERGEFORMAT </w:instrText>
      </w:r>
      <w:r w:rsidRPr="001C3E10">
        <w:rPr>
          <w:rFonts w:asciiTheme="minorHAnsi" w:hAnsiTheme="minorHAnsi"/>
          <w:i/>
          <w:sz w:val="22"/>
        </w:rPr>
      </w:r>
      <w:r w:rsidRPr="001C3E10">
        <w:rPr>
          <w:rFonts w:asciiTheme="minorHAnsi" w:hAnsiTheme="minorHAnsi"/>
          <w:i/>
          <w:sz w:val="22"/>
        </w:rPr>
        <w:fldChar w:fldCharType="separate"/>
      </w:r>
      <w:r w:rsidR="00D81356" w:rsidRPr="00D81356">
        <w:rPr>
          <w:rFonts w:asciiTheme="minorHAnsi" w:hAnsiTheme="minorHAnsi"/>
          <w:i/>
          <w:sz w:val="22"/>
        </w:rPr>
        <w:t>Personas</w:t>
      </w:r>
      <w:r w:rsidRPr="001C3E10">
        <w:rPr>
          <w:rFonts w:asciiTheme="minorHAnsi" w:hAnsiTheme="minorHAnsi"/>
          <w:i/>
          <w:sz w:val="22"/>
        </w:rPr>
        <w:fldChar w:fldCharType="end"/>
      </w:r>
      <w:r w:rsidRPr="001C3E10">
        <w:rPr>
          <w:rFonts w:asciiTheme="minorHAnsi" w:hAnsiTheme="minorHAnsi"/>
          <w:sz w:val="22"/>
        </w:rPr>
        <w:t>, resume la estructura, las habilidades y las prácticas que existen en la organización de TI y que se requerirán para cubrir las necesidades institucionales del periodo.</w:t>
      </w:r>
    </w:p>
    <w:p w14:paraId="5EFDBE98" w14:textId="77777777"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fldChar w:fldCharType="begin"/>
      </w:r>
      <w:r w:rsidRPr="001C3E10">
        <w:rPr>
          <w:rFonts w:asciiTheme="minorHAnsi" w:hAnsiTheme="minorHAnsi"/>
          <w:i/>
          <w:sz w:val="22"/>
        </w:rPr>
        <w:instrText xml:space="preserve"> REF _Ref406443635 \h  \* MERGEFORMAT </w:instrText>
      </w:r>
      <w:r w:rsidRPr="001C3E10">
        <w:rPr>
          <w:rFonts w:asciiTheme="minorHAnsi" w:hAnsiTheme="minorHAnsi"/>
          <w:i/>
          <w:sz w:val="22"/>
        </w:rPr>
      </w:r>
      <w:r w:rsidRPr="001C3E10">
        <w:rPr>
          <w:rFonts w:asciiTheme="minorHAnsi" w:hAnsiTheme="minorHAnsi"/>
          <w:i/>
          <w:sz w:val="22"/>
        </w:rPr>
        <w:fldChar w:fldCharType="separate"/>
      </w:r>
      <w:r w:rsidR="00D81356" w:rsidRPr="00D81356">
        <w:rPr>
          <w:rFonts w:asciiTheme="minorHAnsi" w:hAnsiTheme="minorHAnsi"/>
          <w:i/>
          <w:sz w:val="22"/>
        </w:rPr>
        <w:t>Fuentes</w:t>
      </w:r>
      <w:r w:rsidR="00D81356" w:rsidRPr="001C3E10">
        <w:rPr>
          <w:rFonts w:asciiTheme="minorHAnsi" w:hAnsiTheme="minorHAnsi"/>
          <w:sz w:val="22"/>
        </w:rPr>
        <w:t xml:space="preserve"> de aprovisionamiento</w:t>
      </w:r>
      <w:r w:rsidRPr="001C3E10">
        <w:rPr>
          <w:rFonts w:asciiTheme="minorHAnsi" w:hAnsiTheme="minorHAnsi"/>
          <w:i/>
          <w:sz w:val="22"/>
        </w:rPr>
        <w:fldChar w:fldCharType="end"/>
      </w:r>
      <w:r w:rsidRPr="001C3E10">
        <w:rPr>
          <w:rFonts w:asciiTheme="minorHAnsi" w:hAnsiTheme="minorHAnsi"/>
          <w:sz w:val="22"/>
        </w:rPr>
        <w:t>, los modelos de aprovisionamiento, gestión de proveedores y selección de tecnología que serán utilizados por TI.</w:t>
      </w:r>
    </w:p>
    <w:p w14:paraId="4785C1BB" w14:textId="4DA3E9B9"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Algunos temas tratados en esta estrategia requieren de mayores detalles para que se logre profundizar en ellos e interpretar de una mejor manera lo expuesto. Es por esto que se incorpora en la sección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_Ref410917361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D81356" w:rsidRPr="001C3E10">
        <w:rPr>
          <w:rFonts w:asciiTheme="minorHAnsi" w:hAnsiTheme="minorHAnsi"/>
          <w:sz w:val="22"/>
          <w:szCs w:val="22"/>
        </w:rPr>
        <w:t>Apéndices</w:t>
      </w:r>
      <w:r w:rsidRPr="001C3E10">
        <w:rPr>
          <w:rFonts w:asciiTheme="minorHAnsi" w:hAnsiTheme="minorHAnsi"/>
          <w:sz w:val="22"/>
          <w:szCs w:val="22"/>
        </w:rPr>
        <w:fldChar w:fldCharType="end"/>
      </w:r>
      <w:r w:rsidRPr="001C3E10">
        <w:rPr>
          <w:rFonts w:asciiTheme="minorHAnsi" w:hAnsiTheme="minorHAnsi"/>
          <w:sz w:val="22"/>
          <w:szCs w:val="22"/>
        </w:rPr>
        <w:t xml:space="preserve"> un conjunto de ampliaciones que facilitan la lectura de esta estrategia.</w:t>
      </w:r>
    </w:p>
    <w:p w14:paraId="71660E14" w14:textId="77777777" w:rsidR="001C3E10" w:rsidRPr="001C3E10" w:rsidRDefault="001C3E10" w:rsidP="00547B19">
      <w:pPr>
        <w:pStyle w:val="Ttulo1"/>
        <w:keepLines/>
        <w:numPr>
          <w:ilvl w:val="0"/>
          <w:numId w:val="45"/>
        </w:numPr>
        <w:spacing w:before="480" w:after="0" w:line="276" w:lineRule="auto"/>
        <w:jc w:val="both"/>
        <w:rPr>
          <w:rFonts w:asciiTheme="minorHAnsi" w:hAnsiTheme="minorHAnsi"/>
          <w:sz w:val="22"/>
          <w:szCs w:val="22"/>
        </w:rPr>
      </w:pPr>
      <w:bookmarkStart w:id="66" w:name="_Ref408236343"/>
      <w:bookmarkStart w:id="67" w:name="_Toc414532008"/>
      <w:bookmarkStart w:id="68" w:name="_Toc429555137"/>
      <w:bookmarkStart w:id="69" w:name="_Toc429562779"/>
      <w:bookmarkStart w:id="70" w:name="_Toc429563089"/>
      <w:bookmarkStart w:id="71" w:name="_Toc429563244"/>
      <w:bookmarkStart w:id="72" w:name="_Toc442253226"/>
      <w:r w:rsidRPr="001C3E10">
        <w:rPr>
          <w:rFonts w:asciiTheme="minorHAnsi" w:hAnsiTheme="minorHAnsi"/>
          <w:sz w:val="22"/>
          <w:szCs w:val="22"/>
        </w:rPr>
        <w:t>Demanda</w:t>
      </w:r>
      <w:bookmarkEnd w:id="66"/>
      <w:bookmarkEnd w:id="67"/>
      <w:bookmarkEnd w:id="68"/>
      <w:bookmarkEnd w:id="69"/>
      <w:bookmarkEnd w:id="70"/>
      <w:bookmarkEnd w:id="71"/>
      <w:bookmarkEnd w:id="72"/>
    </w:p>
    <w:p w14:paraId="73370BB9"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73" w:name="_Ref406443576"/>
      <w:bookmarkStart w:id="74" w:name="_Toc414532009"/>
      <w:bookmarkStart w:id="75" w:name="_Toc429555138"/>
      <w:bookmarkStart w:id="76" w:name="_Toc429562780"/>
      <w:bookmarkStart w:id="77" w:name="_Toc429563090"/>
      <w:bookmarkStart w:id="78" w:name="_Toc429563245"/>
      <w:bookmarkStart w:id="79" w:name="_Toc442253227"/>
      <w:r w:rsidRPr="001C3E10">
        <w:rPr>
          <w:rFonts w:asciiTheme="minorHAnsi" w:hAnsiTheme="minorHAnsi"/>
          <w:sz w:val="22"/>
          <w:szCs w:val="22"/>
        </w:rPr>
        <w:t>Contexto de la organización</w:t>
      </w:r>
      <w:bookmarkEnd w:id="73"/>
      <w:bookmarkEnd w:id="74"/>
      <w:bookmarkEnd w:id="75"/>
      <w:bookmarkEnd w:id="76"/>
      <w:bookmarkEnd w:id="77"/>
      <w:bookmarkEnd w:id="78"/>
      <w:bookmarkEnd w:id="79"/>
    </w:p>
    <w:p w14:paraId="5BE388A7" w14:textId="77777777" w:rsidR="00B30C48" w:rsidRDefault="00B30C48" w:rsidP="001C3E10">
      <w:pPr>
        <w:spacing w:line="276" w:lineRule="auto"/>
        <w:jc w:val="both"/>
        <w:rPr>
          <w:rFonts w:asciiTheme="minorHAnsi" w:hAnsiTheme="minorHAnsi"/>
          <w:sz w:val="22"/>
          <w:szCs w:val="22"/>
        </w:rPr>
      </w:pPr>
    </w:p>
    <w:p w14:paraId="21C9BF28"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La Corporación </w:t>
      </w:r>
      <w:r w:rsidRPr="001C3E10">
        <w:rPr>
          <w:rFonts w:asciiTheme="minorHAnsi" w:hAnsiTheme="minorHAnsi"/>
          <w:b/>
          <w:sz w:val="22"/>
          <w:szCs w:val="22"/>
        </w:rPr>
        <w:t>Banco Central de Costa Rica</w:t>
      </w:r>
      <w:r w:rsidRPr="001C3E10">
        <w:rPr>
          <w:rFonts w:asciiTheme="minorHAnsi" w:hAnsiTheme="minorHAnsi"/>
          <w:sz w:val="22"/>
          <w:szCs w:val="22"/>
        </w:rPr>
        <w:t xml:space="preserve"> forma parte del Sistema Bancario Nacional, cuyo principal objetivo es el controlar la inflación y mantener la estabilidad interna y externa de la moneda nacional,  asegurando su conversión a otras monedas. </w:t>
      </w:r>
    </w:p>
    <w:p w14:paraId="42FE5000" w14:textId="77777777" w:rsidR="00B30C48" w:rsidRDefault="00B30C48" w:rsidP="001C3E10">
      <w:pPr>
        <w:spacing w:line="276" w:lineRule="auto"/>
        <w:jc w:val="both"/>
        <w:rPr>
          <w:rFonts w:asciiTheme="minorHAnsi" w:hAnsiTheme="minorHAnsi"/>
          <w:sz w:val="22"/>
          <w:szCs w:val="22"/>
        </w:rPr>
      </w:pPr>
    </w:p>
    <w:p w14:paraId="53B71A40"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Sumados a este objetivo principal se encuentran además los siguientes objetivos subsidiarios:</w:t>
      </w:r>
    </w:p>
    <w:p w14:paraId="3276F659" w14:textId="77777777" w:rsidR="001C3E10" w:rsidRPr="001C3E10" w:rsidRDefault="001C3E10" w:rsidP="00547B19">
      <w:pPr>
        <w:pStyle w:val="Prrafodelista"/>
        <w:numPr>
          <w:ilvl w:val="0"/>
          <w:numId w:val="34"/>
        </w:numPr>
        <w:spacing w:after="200" w:line="276" w:lineRule="auto"/>
        <w:rPr>
          <w:rFonts w:asciiTheme="minorHAnsi" w:hAnsiTheme="minorHAnsi"/>
          <w:sz w:val="22"/>
        </w:rPr>
      </w:pPr>
      <w:r w:rsidRPr="001C3E10">
        <w:rPr>
          <w:rFonts w:asciiTheme="minorHAnsi" w:hAnsiTheme="minorHAnsi"/>
          <w:sz w:val="22"/>
        </w:rPr>
        <w:t>Promover el ordenado desarrollo de la economía costarricense, a fin de lograr la ocupación plena de los recursos productivos de la Nación, procurando evitar o moderar las tendencias inflacionistas o deflacionistas que puedan surgir en el mercado monetario y crediticio.</w:t>
      </w:r>
    </w:p>
    <w:p w14:paraId="18D579CB" w14:textId="77777777" w:rsidR="001C3E10" w:rsidRPr="001C3E10" w:rsidRDefault="001C3E10" w:rsidP="00547B19">
      <w:pPr>
        <w:pStyle w:val="Prrafodelista"/>
        <w:numPr>
          <w:ilvl w:val="0"/>
          <w:numId w:val="34"/>
        </w:numPr>
        <w:spacing w:after="200" w:line="276" w:lineRule="auto"/>
        <w:rPr>
          <w:rFonts w:asciiTheme="minorHAnsi" w:hAnsiTheme="minorHAnsi"/>
          <w:sz w:val="22"/>
        </w:rPr>
      </w:pPr>
      <w:r w:rsidRPr="001C3E10">
        <w:rPr>
          <w:rFonts w:asciiTheme="minorHAnsi" w:hAnsiTheme="minorHAnsi"/>
          <w:sz w:val="22"/>
        </w:rPr>
        <w:t>Velar por el buen uso de las reservas monetarias internacionales de la Nación para el logro de la estabilidad económica general.</w:t>
      </w:r>
    </w:p>
    <w:p w14:paraId="50AE22D5" w14:textId="77777777" w:rsidR="001C3E10" w:rsidRPr="001C3E10" w:rsidRDefault="001C3E10" w:rsidP="00547B19">
      <w:pPr>
        <w:pStyle w:val="Prrafodelista"/>
        <w:numPr>
          <w:ilvl w:val="0"/>
          <w:numId w:val="34"/>
        </w:numPr>
        <w:spacing w:after="200" w:line="276" w:lineRule="auto"/>
        <w:rPr>
          <w:rFonts w:asciiTheme="minorHAnsi" w:hAnsiTheme="minorHAnsi"/>
          <w:sz w:val="22"/>
        </w:rPr>
      </w:pPr>
      <w:r w:rsidRPr="001C3E10">
        <w:rPr>
          <w:rFonts w:asciiTheme="minorHAnsi" w:hAnsiTheme="minorHAnsi"/>
          <w:sz w:val="22"/>
        </w:rPr>
        <w:t>Promover la eficiencia del sistema de pagos internos y externos y mantener su normal funcionamiento.</w:t>
      </w:r>
    </w:p>
    <w:p w14:paraId="437B2729" w14:textId="77777777" w:rsidR="001C3E10" w:rsidRPr="001C3E10" w:rsidRDefault="001C3E10" w:rsidP="00547B19">
      <w:pPr>
        <w:pStyle w:val="Prrafodelista"/>
        <w:numPr>
          <w:ilvl w:val="0"/>
          <w:numId w:val="34"/>
        </w:numPr>
        <w:spacing w:after="200" w:line="276" w:lineRule="auto"/>
        <w:rPr>
          <w:rFonts w:asciiTheme="minorHAnsi" w:hAnsiTheme="minorHAnsi"/>
          <w:sz w:val="22"/>
        </w:rPr>
      </w:pPr>
      <w:r w:rsidRPr="001C3E10">
        <w:rPr>
          <w:rFonts w:asciiTheme="minorHAnsi" w:hAnsiTheme="minorHAnsi"/>
          <w:sz w:val="22"/>
        </w:rPr>
        <w:t>Promover un sistema de intermediación financiera estable, eficiente y competitivo.</w:t>
      </w:r>
    </w:p>
    <w:p w14:paraId="669A2B4E"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lastRenderedPageBreak/>
        <w:t xml:space="preserve">El </w:t>
      </w:r>
      <w:r w:rsidRPr="001C3E10">
        <w:rPr>
          <w:rFonts w:asciiTheme="minorHAnsi" w:hAnsiTheme="minorHAnsi"/>
          <w:b/>
          <w:sz w:val="22"/>
          <w:szCs w:val="22"/>
        </w:rPr>
        <w:t>Consejo Nacional de Supervisión del Sistema Financiero</w:t>
      </w:r>
      <w:r w:rsidRPr="001C3E10">
        <w:rPr>
          <w:rFonts w:asciiTheme="minorHAnsi" w:hAnsiTheme="minorHAnsi"/>
          <w:sz w:val="22"/>
          <w:szCs w:val="22"/>
        </w:rPr>
        <w:t xml:space="preserve"> (CONASSIF) es un órgano colegiado de dirección superior cuyo principal objetivo es dictar los lineamientos y políticas relativas al marco regulatorio de las cuatro Superintendencias del Sistema Financiero: </w:t>
      </w:r>
    </w:p>
    <w:p w14:paraId="437C4041" w14:textId="77777777" w:rsidR="001C3E10" w:rsidRPr="001C3E10" w:rsidRDefault="001C3E10" w:rsidP="00547B19">
      <w:pPr>
        <w:pStyle w:val="Prrafodelista"/>
        <w:numPr>
          <w:ilvl w:val="0"/>
          <w:numId w:val="53"/>
        </w:numPr>
        <w:spacing w:after="200" w:line="276" w:lineRule="auto"/>
        <w:rPr>
          <w:rFonts w:asciiTheme="minorHAnsi" w:hAnsiTheme="minorHAnsi"/>
          <w:sz w:val="22"/>
        </w:rPr>
      </w:pPr>
      <w:r w:rsidRPr="001C3E10">
        <w:rPr>
          <w:rFonts w:asciiTheme="minorHAnsi" w:hAnsiTheme="minorHAnsi"/>
          <w:b/>
          <w:sz w:val="22"/>
        </w:rPr>
        <w:t>SUGEF.</w:t>
      </w:r>
      <w:r w:rsidRPr="001C3E10">
        <w:rPr>
          <w:rFonts w:asciiTheme="minorHAnsi" w:hAnsiTheme="minorHAnsi"/>
          <w:sz w:val="22"/>
        </w:rPr>
        <w:t xml:space="preserve"> Vela por la estabilidad, la solidez y el funcionamiento eficiente del sistema financiero nacional, con estricto apego a las disposiciones legales y reglamentarias y de conformidad con las normas, directrices y resoluciones que dicte la propia Corporación, en defensa de los intereses de los habitantes.</w:t>
      </w:r>
    </w:p>
    <w:p w14:paraId="10B9CD31" w14:textId="77777777" w:rsidR="001C3E10" w:rsidRPr="001C3E10" w:rsidRDefault="001C3E10" w:rsidP="00547B19">
      <w:pPr>
        <w:pStyle w:val="Prrafodelista"/>
        <w:numPr>
          <w:ilvl w:val="0"/>
          <w:numId w:val="53"/>
        </w:numPr>
        <w:spacing w:after="200" w:line="276" w:lineRule="auto"/>
        <w:rPr>
          <w:rFonts w:asciiTheme="minorHAnsi" w:hAnsiTheme="minorHAnsi"/>
          <w:sz w:val="22"/>
        </w:rPr>
      </w:pPr>
      <w:r w:rsidRPr="001C3E10">
        <w:rPr>
          <w:rFonts w:asciiTheme="minorHAnsi" w:hAnsiTheme="minorHAnsi"/>
          <w:b/>
          <w:sz w:val="22"/>
        </w:rPr>
        <w:t>SUGEVAL.</w:t>
      </w:r>
      <w:r w:rsidRPr="001C3E10">
        <w:rPr>
          <w:rFonts w:asciiTheme="minorHAnsi" w:hAnsiTheme="minorHAnsi"/>
          <w:sz w:val="22"/>
        </w:rPr>
        <w:t xml:space="preserve"> Vela por la transparencia de los mercados de valores, la formación correcta de precios en ellos, la protección de los inversionistas, y la difusión de la información necesaria para la consecución de estos fines. </w:t>
      </w:r>
    </w:p>
    <w:p w14:paraId="43018088" w14:textId="77777777" w:rsidR="001C3E10" w:rsidRPr="001C3E10" w:rsidRDefault="001C3E10" w:rsidP="00547B19">
      <w:pPr>
        <w:pStyle w:val="Prrafodelista"/>
        <w:numPr>
          <w:ilvl w:val="0"/>
          <w:numId w:val="53"/>
        </w:numPr>
        <w:spacing w:after="200" w:line="276" w:lineRule="auto"/>
        <w:rPr>
          <w:rFonts w:asciiTheme="minorHAnsi" w:hAnsiTheme="minorHAnsi"/>
          <w:sz w:val="22"/>
        </w:rPr>
      </w:pPr>
      <w:r w:rsidRPr="001C3E10">
        <w:rPr>
          <w:rFonts w:asciiTheme="minorHAnsi" w:hAnsiTheme="minorHAnsi"/>
          <w:b/>
          <w:sz w:val="22"/>
        </w:rPr>
        <w:t>SUPEN.</w:t>
      </w:r>
      <w:r w:rsidRPr="001C3E10">
        <w:rPr>
          <w:rFonts w:asciiTheme="minorHAnsi" w:hAnsiTheme="minorHAnsi"/>
          <w:sz w:val="22"/>
        </w:rPr>
        <w:t xml:space="preserve"> Encargada de supervisar y regular lo relacionado al Sistema Nacional de Pensiones costarricense, mediante el soporte jurídico que le otorgan diversas leyes y reglamentos. Además, regula y supervisa los nuevos regímenes creados por la Ley de Protección al Trabajador (Régimen Obligatorio de Pensiones Complementarias, Fondos de Capitalización Laboral y el Régimen Voluntario de Pensiones Complementarias).</w:t>
      </w:r>
    </w:p>
    <w:p w14:paraId="2BACAFEF" w14:textId="77777777" w:rsidR="001C3E10" w:rsidRPr="001C3E10" w:rsidRDefault="001C3E10" w:rsidP="00547B19">
      <w:pPr>
        <w:pStyle w:val="Prrafodelista"/>
        <w:numPr>
          <w:ilvl w:val="0"/>
          <w:numId w:val="53"/>
        </w:numPr>
        <w:spacing w:after="200" w:line="276" w:lineRule="auto"/>
        <w:rPr>
          <w:rFonts w:asciiTheme="minorHAnsi" w:hAnsiTheme="minorHAnsi"/>
          <w:sz w:val="22"/>
        </w:rPr>
      </w:pPr>
      <w:r w:rsidRPr="001C3E10">
        <w:rPr>
          <w:rFonts w:asciiTheme="minorHAnsi" w:hAnsiTheme="minorHAnsi"/>
          <w:b/>
          <w:sz w:val="22"/>
        </w:rPr>
        <w:t>SUGESE.</w:t>
      </w:r>
      <w:r w:rsidRPr="001C3E10">
        <w:rPr>
          <w:rFonts w:asciiTheme="minorHAnsi" w:hAnsiTheme="minorHAnsi"/>
          <w:sz w:val="22"/>
        </w:rPr>
        <w:t xml:space="preserve"> Autoriza, regula y supervisa a las personas físicas o jurídicas que intervengan en los actos o contratos relacionados con la actividad aseguradora, reaseguradora, la oferta pública y la realización de negocios de seguros. Vela por la estabilidad y el eficiente funcionamiento del mercado de seguros, así como entregar la más amplia información a los asegurados. </w:t>
      </w:r>
    </w:p>
    <w:p w14:paraId="1AE62517"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trike/>
          <w:sz w:val="22"/>
          <w:szCs w:val="22"/>
        </w:rPr>
      </w:pPr>
      <w:bookmarkStart w:id="80" w:name="_Ref405280852"/>
      <w:bookmarkStart w:id="81" w:name="_Toc414532010"/>
      <w:bookmarkStart w:id="82" w:name="_Toc429555139"/>
      <w:bookmarkStart w:id="83" w:name="_Toc429562781"/>
      <w:bookmarkStart w:id="84" w:name="_Toc429563091"/>
      <w:bookmarkStart w:id="85" w:name="_Toc429563246"/>
      <w:bookmarkStart w:id="86" w:name="_Toc442253228"/>
      <w:r w:rsidRPr="001C3E10">
        <w:rPr>
          <w:rFonts w:asciiTheme="minorHAnsi" w:hAnsiTheme="minorHAnsi"/>
          <w:sz w:val="22"/>
          <w:szCs w:val="22"/>
        </w:rPr>
        <w:t>Criterios de éxito de la organización</w:t>
      </w:r>
      <w:bookmarkEnd w:id="80"/>
      <w:bookmarkEnd w:id="81"/>
      <w:bookmarkEnd w:id="82"/>
      <w:bookmarkEnd w:id="83"/>
      <w:bookmarkEnd w:id="84"/>
      <w:bookmarkEnd w:id="85"/>
      <w:bookmarkEnd w:id="86"/>
    </w:p>
    <w:p w14:paraId="0A299EDA"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De acuerdo con el Plan Estratégico del Banco Central de Costa Rica, para el periodo 2015 – 2018 el Banco Central de Costa Rica concentrará sus esfuerzos en los siguientes objetivos estratégicos, agrupados según el fin último que se persigue a través de los mismos:</w:t>
      </w:r>
    </w:p>
    <w:p w14:paraId="79BFCD36"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b/>
          <w:sz w:val="22"/>
        </w:rPr>
        <w:t>Valor público</w:t>
      </w:r>
      <w:r w:rsidRPr="001C3E10">
        <w:rPr>
          <w:rFonts w:asciiTheme="minorHAnsi" w:hAnsiTheme="minorHAnsi"/>
          <w:sz w:val="22"/>
        </w:rPr>
        <w:t>: conjunto de objetivos por medio de los cuales el Banco Central buscará “contribuir con el bienestar de la sociedad costarricense al mantener la estabilidad interna y externa de la moneda, su conversión a otras monedas y coadyuvar al pleno empleo de los recursos productivos”. A través de estos objetivos se busca la generación del mayor valor para la sociedad costarricense:</w:t>
      </w:r>
    </w:p>
    <w:p w14:paraId="4E307D6A" w14:textId="77777777" w:rsidR="001C3E10" w:rsidRPr="001C3E10" w:rsidRDefault="001C3E10" w:rsidP="00547B19">
      <w:pPr>
        <w:pStyle w:val="Prrafodelista"/>
        <w:numPr>
          <w:ilvl w:val="0"/>
          <w:numId w:val="37"/>
        </w:numPr>
        <w:spacing w:after="200" w:line="276" w:lineRule="auto"/>
        <w:rPr>
          <w:rFonts w:asciiTheme="minorHAnsi" w:hAnsiTheme="minorHAnsi"/>
          <w:sz w:val="22"/>
        </w:rPr>
      </w:pPr>
      <w:r w:rsidRPr="001C3E10">
        <w:rPr>
          <w:rFonts w:asciiTheme="minorHAnsi" w:hAnsiTheme="minorHAnsi"/>
          <w:sz w:val="22"/>
        </w:rPr>
        <w:t>Lograr que la tasa de inflación interanual local se ubique dentro del rango meta definido en el Programa Macroeconómico, congruente a su vez con el proceso de convergencia hacia la inflación de largo plazo de los principales socios comerciales. (Objetivo estratégico 1.1)</w:t>
      </w:r>
    </w:p>
    <w:p w14:paraId="35481B75" w14:textId="77777777" w:rsidR="001C3E10" w:rsidRPr="001C3E10" w:rsidRDefault="001C3E10" w:rsidP="00547B19">
      <w:pPr>
        <w:pStyle w:val="Prrafodelista"/>
        <w:numPr>
          <w:ilvl w:val="0"/>
          <w:numId w:val="37"/>
        </w:numPr>
        <w:spacing w:after="200" w:line="276" w:lineRule="auto"/>
        <w:rPr>
          <w:rFonts w:asciiTheme="minorHAnsi" w:hAnsiTheme="minorHAnsi"/>
          <w:sz w:val="22"/>
        </w:rPr>
      </w:pPr>
      <w:r w:rsidRPr="001C3E10">
        <w:rPr>
          <w:rFonts w:asciiTheme="minorHAnsi" w:hAnsiTheme="minorHAnsi"/>
          <w:sz w:val="22"/>
        </w:rPr>
        <w:t>Mantener un nivel de reservas internacionales acorde con las condiciones de la economía, que reduzca su vulnerabilidad frente a choques externos. (Objetivo estratégico 2.1)</w:t>
      </w:r>
    </w:p>
    <w:p w14:paraId="2A522A14" w14:textId="77777777" w:rsidR="001C3E10" w:rsidRPr="001C3E10" w:rsidRDefault="001C3E10" w:rsidP="00547B19">
      <w:pPr>
        <w:pStyle w:val="Prrafodelista"/>
        <w:numPr>
          <w:ilvl w:val="0"/>
          <w:numId w:val="37"/>
        </w:numPr>
        <w:spacing w:after="200" w:line="276" w:lineRule="auto"/>
        <w:rPr>
          <w:rFonts w:asciiTheme="minorHAnsi" w:hAnsiTheme="minorHAnsi"/>
          <w:sz w:val="22"/>
        </w:rPr>
      </w:pPr>
      <w:r w:rsidRPr="001C3E10">
        <w:rPr>
          <w:rFonts w:asciiTheme="minorHAnsi" w:hAnsiTheme="minorHAnsi"/>
          <w:sz w:val="22"/>
        </w:rPr>
        <w:t>Prevenir el riesgo de que el país incurra en una crisis de balanza de pagos, estableciendo condiciones favorables para que los flujos de capital de largo plazo financien el déficit de cuenta corriente. (Objetivo estratégico 2.2)</w:t>
      </w:r>
    </w:p>
    <w:p w14:paraId="2D24FB30" w14:textId="77777777" w:rsidR="001C3E10" w:rsidRPr="001C3E10" w:rsidRDefault="001C3E10" w:rsidP="00547B19">
      <w:pPr>
        <w:pStyle w:val="Prrafodelista"/>
        <w:numPr>
          <w:ilvl w:val="0"/>
          <w:numId w:val="37"/>
        </w:numPr>
        <w:spacing w:after="200" w:line="276" w:lineRule="auto"/>
        <w:rPr>
          <w:rFonts w:asciiTheme="minorHAnsi" w:hAnsiTheme="minorHAnsi"/>
          <w:sz w:val="22"/>
        </w:rPr>
      </w:pPr>
      <w:r w:rsidRPr="001C3E10">
        <w:rPr>
          <w:rFonts w:asciiTheme="minorHAnsi" w:hAnsiTheme="minorHAnsi"/>
          <w:sz w:val="22"/>
        </w:rPr>
        <w:lastRenderedPageBreak/>
        <w:t>Moderar apreciaciones o depreciaciones excesivas de la moneda nacional que pongan en peligro el logro de las metas de inflación futuras. (Objetivo estratégico 2.3)</w:t>
      </w:r>
    </w:p>
    <w:p w14:paraId="7EC52392" w14:textId="77777777" w:rsidR="001C3E10" w:rsidRPr="001C3E10" w:rsidRDefault="001C3E10" w:rsidP="00547B19">
      <w:pPr>
        <w:pStyle w:val="Prrafodelista"/>
        <w:numPr>
          <w:ilvl w:val="0"/>
          <w:numId w:val="37"/>
        </w:numPr>
        <w:spacing w:after="200" w:line="276" w:lineRule="auto"/>
        <w:rPr>
          <w:rFonts w:asciiTheme="minorHAnsi" w:hAnsiTheme="minorHAnsi"/>
          <w:sz w:val="22"/>
        </w:rPr>
      </w:pPr>
      <w:r w:rsidRPr="001C3E10">
        <w:rPr>
          <w:rFonts w:asciiTheme="minorHAnsi" w:hAnsiTheme="minorHAnsi"/>
          <w:sz w:val="22"/>
        </w:rPr>
        <w:t>Limitar la volatilidad excesiva del tipo de cambio en el muy corto plazo. (Objetivo estratégico 2.4)</w:t>
      </w:r>
    </w:p>
    <w:p w14:paraId="6BF28EA6" w14:textId="77777777" w:rsidR="001C3E10" w:rsidRPr="001C3E10" w:rsidRDefault="001C3E10" w:rsidP="00547B19">
      <w:pPr>
        <w:pStyle w:val="Prrafodelista"/>
        <w:numPr>
          <w:ilvl w:val="0"/>
          <w:numId w:val="37"/>
        </w:numPr>
        <w:spacing w:after="200" w:line="276" w:lineRule="auto"/>
        <w:rPr>
          <w:rFonts w:asciiTheme="minorHAnsi" w:hAnsiTheme="minorHAnsi"/>
          <w:sz w:val="22"/>
        </w:rPr>
      </w:pPr>
      <w:r w:rsidRPr="001C3E10">
        <w:rPr>
          <w:rFonts w:asciiTheme="minorHAnsi" w:hAnsiTheme="minorHAnsi"/>
          <w:sz w:val="22"/>
        </w:rPr>
        <w:t>Profundizar en el análisis de los determinantes de la capacidad de crecimiento potencial de la economía, a fin de medir el impacto de las políticas macroeconómicas del Banco Central y de las demás políticas públicas. (Objetivo estratégico 3.1)</w:t>
      </w:r>
    </w:p>
    <w:p w14:paraId="535764D3" w14:textId="77777777" w:rsidR="001C3E10" w:rsidRPr="001C3E10" w:rsidRDefault="001C3E10" w:rsidP="00547B19">
      <w:pPr>
        <w:pStyle w:val="Prrafodelista"/>
        <w:numPr>
          <w:ilvl w:val="0"/>
          <w:numId w:val="37"/>
        </w:numPr>
        <w:spacing w:after="200" w:line="276" w:lineRule="auto"/>
        <w:rPr>
          <w:rFonts w:asciiTheme="minorHAnsi" w:hAnsiTheme="minorHAnsi"/>
          <w:sz w:val="22"/>
        </w:rPr>
      </w:pPr>
      <w:r w:rsidRPr="001C3E10">
        <w:rPr>
          <w:rFonts w:asciiTheme="minorHAnsi" w:hAnsiTheme="minorHAnsi"/>
          <w:sz w:val="22"/>
        </w:rPr>
        <w:t>Promover un sistema financiero estable, eficiente y competitivo. (Objetivo estratégico 4.1)</w:t>
      </w:r>
    </w:p>
    <w:p w14:paraId="5AC3C97E" w14:textId="77777777" w:rsidR="001C3E10" w:rsidRPr="001C3E10" w:rsidRDefault="001C3E10" w:rsidP="00547B19">
      <w:pPr>
        <w:pStyle w:val="Prrafodelista"/>
        <w:numPr>
          <w:ilvl w:val="0"/>
          <w:numId w:val="37"/>
        </w:numPr>
        <w:spacing w:after="200" w:line="276" w:lineRule="auto"/>
        <w:rPr>
          <w:rFonts w:asciiTheme="minorHAnsi" w:hAnsiTheme="minorHAnsi"/>
          <w:sz w:val="22"/>
        </w:rPr>
      </w:pPr>
      <w:r w:rsidRPr="001C3E10">
        <w:rPr>
          <w:rFonts w:asciiTheme="minorHAnsi" w:hAnsiTheme="minorHAnsi"/>
          <w:sz w:val="22"/>
        </w:rPr>
        <w:t>Reducir el costo que representa para la economía la satisfacción de sus necesidades de transacción. (Objetivo estratégico 5.1)</w:t>
      </w:r>
    </w:p>
    <w:p w14:paraId="2415D49F" w14:textId="77777777" w:rsidR="001C3E10" w:rsidRPr="001C3E10" w:rsidRDefault="001C3E10" w:rsidP="001C3E10">
      <w:pPr>
        <w:pStyle w:val="Prrafodelista"/>
        <w:spacing w:line="276" w:lineRule="auto"/>
        <w:ind w:left="1068"/>
        <w:rPr>
          <w:rFonts w:asciiTheme="minorHAnsi" w:hAnsiTheme="minorHAnsi"/>
          <w:sz w:val="22"/>
        </w:rPr>
      </w:pPr>
    </w:p>
    <w:p w14:paraId="748A962D"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b/>
          <w:sz w:val="22"/>
        </w:rPr>
        <w:t>Excelencia operacional</w:t>
      </w:r>
      <w:r w:rsidRPr="001C3E10">
        <w:rPr>
          <w:rFonts w:asciiTheme="minorHAnsi" w:hAnsiTheme="minorHAnsi"/>
          <w:sz w:val="22"/>
        </w:rPr>
        <w:t>: con este objetivo se busca la mejora continua, la innovación en los procesos y la aplicación de buenas prácticas en la Corporación, todo ello con el fin de mejorar la asignación de los recursos y la calidad de los servicios que el Banco Central proporciona:</w:t>
      </w:r>
    </w:p>
    <w:p w14:paraId="03B021F4" w14:textId="77777777" w:rsidR="001C3E10" w:rsidRPr="001C3E10" w:rsidRDefault="001C3E10" w:rsidP="001C3E10">
      <w:pPr>
        <w:pStyle w:val="Prrafodelista"/>
        <w:spacing w:line="276" w:lineRule="auto"/>
        <w:rPr>
          <w:rFonts w:asciiTheme="minorHAnsi" w:hAnsiTheme="minorHAnsi"/>
          <w:sz w:val="22"/>
        </w:rPr>
      </w:pPr>
    </w:p>
    <w:p w14:paraId="17134CCF" w14:textId="77777777" w:rsidR="001C3E10" w:rsidRPr="001C3E10" w:rsidRDefault="001C3E10" w:rsidP="00547B19">
      <w:pPr>
        <w:pStyle w:val="Prrafodelista"/>
        <w:numPr>
          <w:ilvl w:val="0"/>
          <w:numId w:val="33"/>
        </w:numPr>
        <w:spacing w:after="200" w:line="276" w:lineRule="auto"/>
        <w:rPr>
          <w:rFonts w:asciiTheme="minorHAnsi" w:hAnsiTheme="minorHAnsi"/>
          <w:sz w:val="22"/>
        </w:rPr>
      </w:pPr>
      <w:r w:rsidRPr="001C3E10">
        <w:rPr>
          <w:rFonts w:asciiTheme="minorHAnsi" w:hAnsiTheme="minorHAnsi"/>
          <w:sz w:val="22"/>
        </w:rPr>
        <w:t>Alinear la estructura interna, la gestión integral del recurso humano, procesos, tecnología y riesgos, para el cumplimiento de los objetivos estratégicos institucionales. (Objetivo estratégico 6.1)</w:t>
      </w:r>
    </w:p>
    <w:p w14:paraId="5A765965"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Por su parte, el marco estratégico institucional para el periodo 2014-2018 del CONASIFF se encuentra definido por los siguientes objetivos:</w:t>
      </w:r>
    </w:p>
    <w:p w14:paraId="09505A60" w14:textId="43E6AF79"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Fortalecer la Regulación y Supervisión micro</w:t>
      </w:r>
      <w:r>
        <w:rPr>
          <w:rFonts w:asciiTheme="minorHAnsi" w:hAnsiTheme="minorHAnsi"/>
          <w:sz w:val="22"/>
        </w:rPr>
        <w:t xml:space="preserve"> </w:t>
      </w:r>
      <w:r w:rsidRPr="001C3E10">
        <w:rPr>
          <w:rFonts w:asciiTheme="minorHAnsi" w:hAnsiTheme="minorHAnsi"/>
          <w:sz w:val="22"/>
        </w:rPr>
        <w:t>prudencial.</w:t>
      </w:r>
    </w:p>
    <w:p w14:paraId="6AA7D0D1" w14:textId="03E69FCF"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Introducir en la Regulación y Supervisión el enfoque macro</w:t>
      </w:r>
      <w:r>
        <w:rPr>
          <w:rFonts w:asciiTheme="minorHAnsi" w:hAnsiTheme="minorHAnsi"/>
          <w:sz w:val="22"/>
        </w:rPr>
        <w:t xml:space="preserve"> </w:t>
      </w:r>
      <w:r w:rsidRPr="001C3E10">
        <w:rPr>
          <w:rFonts w:asciiTheme="minorHAnsi" w:hAnsiTheme="minorHAnsi"/>
          <w:sz w:val="22"/>
        </w:rPr>
        <w:t>prudencial.</w:t>
      </w:r>
    </w:p>
    <w:p w14:paraId="4302C7C1"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Proteger y educar a los consumidores de servicios y productos financieros.</w:t>
      </w:r>
    </w:p>
    <w:p w14:paraId="5CB60B2E"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Promover la integración institucional del sistema de supervisión.</w:t>
      </w:r>
    </w:p>
    <w:p w14:paraId="4ED7DC45"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 SUGEF, para el quinquenio 2013-2017 dispuso como parte de su estrategia los siguientes cuatro objetivos estratégicos:</w:t>
      </w:r>
    </w:p>
    <w:p w14:paraId="4A2A26DF"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Establecer las condiciones necesarias para el funcionamiento eficiente del enfoque de Supervisión Basada en Riesgos.</w:t>
      </w:r>
    </w:p>
    <w:p w14:paraId="4E2210C1"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Adoptar un modelo de supervisión consolidada, resolución bancaria y seguro de depósitos, considerando las mejores prácticas internacionales en la materia.</w:t>
      </w:r>
    </w:p>
    <w:p w14:paraId="0BE98A7E"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Dotar a la SUGEF de una estructura organizativa apropiada, del personal idóneo y de un enfoque de procesos con base tecnológica, para una gestión general más eficaz y eficiente, que promueva el crecimiento profesional de sus colaboradores.</w:t>
      </w:r>
    </w:p>
    <w:p w14:paraId="1972B71A"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Propiciar una intermediación financiera transparente que promueva la estabilidad del sistema, que fomenten el respeto por los derechos de los usuarios, así como la toma de consciencia por parte del fiscalizado, por servicios financieros de alta calidad.</w:t>
      </w:r>
    </w:p>
    <w:p w14:paraId="60E7242E"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lastRenderedPageBreak/>
        <w:t>La SUGEVAL ha definido los siguientes objetivos estratégicos para el periodo 2014-2017:</w:t>
      </w:r>
    </w:p>
    <w:p w14:paraId="1E63DA58"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Contribuir al fortalecimiento y confianza del mercado de valores costarricense, mediante el mejoramiento continuo y sostenido de los procesos de regulación, autorización, supervisión y cumplimiento en términos de calidad, eficiencia y eficacia.</w:t>
      </w:r>
    </w:p>
    <w:p w14:paraId="77BC2F71"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Promover la comunicación asertiva, el trabajo en equipo y las capacidades de liderazgo efectivo con el fin de optimizar el clima de la Corporación</w:t>
      </w:r>
    </w:p>
    <w:p w14:paraId="0974FB37"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Racionalizar la elaboración de la normativa para adaptarla a las necesidades locales y a las mejores prácticas y principios internacionales.</w:t>
      </w:r>
    </w:p>
    <w:p w14:paraId="67D61584"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Adoptar un enfoque de Supervisión Basado en Riesgos con el fin de priorizar la asignación de recursos en el proceso de supervisión para lograr una mejor gestión de los riesgos de las entidades reguladas, productos y mercados.</w:t>
      </w:r>
    </w:p>
    <w:p w14:paraId="1B044D0F"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Promover la cultura financiera y el conocimiento del mercado de valores en Costa Rica por medio de programas de educación dirigidos a distintos segmentos meta y al público en general esto en el marco de la Estrategia Nacional de Educación Financiera (ENEF).</w:t>
      </w:r>
    </w:p>
    <w:p w14:paraId="0F0D05B4"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Mejorar integralmente el mecanismo de captura y difusión de la información relevante y oportuna para la toma de decisiones de los distintos públicos que atiende la Corporación.</w:t>
      </w:r>
    </w:p>
    <w:p w14:paraId="01A08849"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Fortalecer la cultura de rendición de cuentas a lo interno y externo de la Corporación y diseñar mecanismos que promuevan la transparencia, visibilizando la ejecución y avance del plan estratégico y proyectos institucionales a los públicos interesados.</w:t>
      </w:r>
    </w:p>
    <w:p w14:paraId="06990D59"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Fortalecer la gestión de los procesos de tecnología de la información para garantizar la entrega de servicios alineados con los objetivos estratégicos de la Corporación.</w:t>
      </w:r>
    </w:p>
    <w:p w14:paraId="38A1C4FC"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 SUGESE, por su parte, ha establecido tres objetivos estratégicos para el periodo 2014-2018:</w:t>
      </w:r>
    </w:p>
    <w:p w14:paraId="310EB89E"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 xml:space="preserve">Avanzar en el cumplimiento de los estándares de supervisión y regulación de la </w:t>
      </w:r>
      <w:hyperlink w:anchor="IAIS" w:history="1">
        <w:r w:rsidRPr="001C3E10">
          <w:rPr>
            <w:rStyle w:val="Hipervnculo"/>
            <w:rFonts w:asciiTheme="minorHAnsi" w:hAnsiTheme="minorHAnsi"/>
            <w:sz w:val="22"/>
          </w:rPr>
          <w:t>IAIS</w:t>
        </w:r>
      </w:hyperlink>
      <w:r w:rsidRPr="001C3E10">
        <w:rPr>
          <w:rFonts w:asciiTheme="minorHAnsi" w:hAnsiTheme="minorHAnsi"/>
          <w:sz w:val="22"/>
        </w:rPr>
        <w:t>.</w:t>
      </w:r>
    </w:p>
    <w:p w14:paraId="1CCD616A"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Mejorar el conocimiento y acceso al seguro de los consumidores a efecto de potenciar el respeto a los derechos del asegurado y la disciplina de mercado.</w:t>
      </w:r>
    </w:p>
    <w:p w14:paraId="0E1ED516"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Implementar sistemas de control interno que garanticen el cumplimiento de la SUGESE del marco regulatorio y de los estándares de aplicables.</w:t>
      </w:r>
    </w:p>
    <w:p w14:paraId="4FE15B9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 SUPEN, para el quinquenio 2016-2020 definió como parte de su estrategia los siguientes cuatro objetivos estratégicos:</w:t>
      </w:r>
    </w:p>
    <w:p w14:paraId="1383D5AD" w14:textId="77777777" w:rsidR="001C3E10" w:rsidRPr="001C3E10" w:rsidRDefault="001C3E10" w:rsidP="001C3E10">
      <w:pPr>
        <w:tabs>
          <w:tab w:val="left" w:pos="3261"/>
        </w:tabs>
        <w:spacing w:line="276" w:lineRule="auto"/>
        <w:ind w:left="3119" w:hanging="3119"/>
        <w:jc w:val="both"/>
        <w:rPr>
          <w:rFonts w:asciiTheme="minorHAnsi" w:hAnsiTheme="minorHAnsi"/>
          <w:sz w:val="22"/>
          <w:szCs w:val="22"/>
        </w:rPr>
      </w:pPr>
      <w:r w:rsidRPr="001C3E10">
        <w:rPr>
          <w:rFonts w:asciiTheme="minorHAnsi" w:hAnsiTheme="minorHAnsi"/>
          <w:b/>
          <w:bCs/>
          <w:sz w:val="22"/>
          <w:szCs w:val="22"/>
        </w:rPr>
        <w:t>Objetivo estratégico 1:</w:t>
      </w:r>
      <w:r w:rsidRPr="001C3E10">
        <w:rPr>
          <w:rFonts w:asciiTheme="minorHAnsi" w:hAnsiTheme="minorHAnsi"/>
          <w:sz w:val="22"/>
          <w:szCs w:val="22"/>
        </w:rPr>
        <w:tab/>
        <w:t>Vigilar a los participantes en el Sistema Nacional de Pensiones</w:t>
      </w:r>
    </w:p>
    <w:p w14:paraId="43A90033" w14:textId="77777777" w:rsidR="001C3E10" w:rsidRPr="001C3E10" w:rsidRDefault="001C3E10" w:rsidP="001C3E10">
      <w:pPr>
        <w:spacing w:line="276" w:lineRule="auto"/>
        <w:ind w:left="3119"/>
        <w:jc w:val="both"/>
        <w:rPr>
          <w:rFonts w:asciiTheme="minorHAnsi" w:hAnsiTheme="minorHAnsi"/>
          <w:sz w:val="22"/>
          <w:szCs w:val="22"/>
        </w:rPr>
      </w:pPr>
      <w:r w:rsidRPr="001C3E10">
        <w:rPr>
          <w:rFonts w:asciiTheme="minorHAnsi" w:hAnsiTheme="minorHAnsi"/>
          <w:sz w:val="22"/>
          <w:szCs w:val="22"/>
        </w:rPr>
        <w:t xml:space="preserve">La SUPEN es la institución encargada de supervisar el SNP, específicamente tiene la función social de vigilar el desempeño de este sistema con el propósito de resguardar los intereses de los afiliados, quienes dan en administración sus re-cursos a los gestores de pensiones con la esperanza de tener acceso a una etapa de retiro que les permita mantener la calidad de vida. Para cumplir con esta tarea la SUPEN tiene el compromiso de identificar y evaluar los diferentes riesgos a que pueden ser expuestos los distintos regímenes de pensiones establecidos por </w:t>
      </w:r>
      <w:r w:rsidRPr="001C3E10">
        <w:rPr>
          <w:rFonts w:asciiTheme="minorHAnsi" w:hAnsiTheme="minorHAnsi"/>
          <w:sz w:val="22"/>
          <w:szCs w:val="22"/>
        </w:rPr>
        <w:lastRenderedPageBreak/>
        <w:t xml:space="preserve">ley, que pudieran afectar la administración de los recursos de los afiliados y por ende menoscabar el disfrute de los beneficios ofrecidos. A través de asesoría y la formulación de normativa la SUPEN propone los cambios que deben llevarse a cabo en el mercado. La visión del supervisor es integral y le permite balancear las pretensiones de los diferentes participantes desde una perspectiva técnica, la cual es la base para proponer el debate entre las partes interesadas de los </w:t>
      </w:r>
      <w:proofErr w:type="spellStart"/>
      <w:r w:rsidRPr="001C3E10">
        <w:rPr>
          <w:rFonts w:asciiTheme="minorHAnsi" w:hAnsiTheme="minorHAnsi"/>
          <w:sz w:val="22"/>
          <w:szCs w:val="22"/>
        </w:rPr>
        <w:t>cam-bios</w:t>
      </w:r>
      <w:proofErr w:type="spellEnd"/>
      <w:r w:rsidRPr="001C3E10">
        <w:rPr>
          <w:rFonts w:asciiTheme="minorHAnsi" w:hAnsiTheme="minorHAnsi"/>
          <w:sz w:val="22"/>
          <w:szCs w:val="22"/>
        </w:rPr>
        <w:t xml:space="preserve"> que deben implantarse.</w:t>
      </w:r>
    </w:p>
    <w:p w14:paraId="457980C4" w14:textId="77777777" w:rsidR="001C3E10" w:rsidRPr="001C3E10" w:rsidRDefault="001C3E10" w:rsidP="001C3E10">
      <w:pPr>
        <w:spacing w:line="276" w:lineRule="auto"/>
        <w:ind w:left="3119" w:hanging="3119"/>
        <w:jc w:val="both"/>
        <w:rPr>
          <w:rFonts w:asciiTheme="minorHAnsi" w:hAnsiTheme="minorHAnsi"/>
          <w:sz w:val="22"/>
          <w:szCs w:val="22"/>
        </w:rPr>
      </w:pPr>
      <w:r w:rsidRPr="001C3E10">
        <w:rPr>
          <w:rFonts w:asciiTheme="minorHAnsi" w:hAnsiTheme="minorHAnsi"/>
          <w:b/>
          <w:bCs/>
          <w:sz w:val="22"/>
          <w:szCs w:val="22"/>
        </w:rPr>
        <w:t>Objetivo estratégico 2:</w:t>
      </w:r>
      <w:r w:rsidRPr="001C3E10">
        <w:rPr>
          <w:rFonts w:asciiTheme="minorHAnsi" w:hAnsiTheme="minorHAnsi"/>
          <w:sz w:val="22"/>
          <w:szCs w:val="22"/>
        </w:rPr>
        <w:tab/>
        <w:t>Fortalecer el sistema de pensiones y ahorro laboral.</w:t>
      </w:r>
    </w:p>
    <w:p w14:paraId="614DA9AE" w14:textId="77777777" w:rsidR="001C3E10" w:rsidRPr="001C3E10" w:rsidRDefault="001C3E10" w:rsidP="001C3E10">
      <w:pPr>
        <w:spacing w:line="276" w:lineRule="auto"/>
        <w:ind w:left="3119"/>
        <w:jc w:val="both"/>
        <w:rPr>
          <w:rFonts w:asciiTheme="minorHAnsi" w:hAnsiTheme="minorHAnsi"/>
          <w:sz w:val="22"/>
          <w:szCs w:val="22"/>
        </w:rPr>
      </w:pPr>
      <w:r w:rsidRPr="001C3E10">
        <w:rPr>
          <w:rFonts w:asciiTheme="minorHAnsi" w:hAnsiTheme="minorHAnsi"/>
          <w:sz w:val="22"/>
          <w:szCs w:val="22"/>
        </w:rPr>
        <w:t xml:space="preserve">La SUPEN es la institución que enmarca la totalidad del Sistema de Pensiones Costarricense desde todas sus dimensiones, tanto a nivel de afiliado como de gestores. Este contexto la faculta y la empodera a ser la principal proponente de la modernización de los procesos asociados a la acumulación y a la prestación de beneficios, en todos y cada uno de los gestores que operan en el país. </w:t>
      </w:r>
    </w:p>
    <w:p w14:paraId="7B73672D" w14:textId="77777777" w:rsidR="001C3E10" w:rsidRPr="001C3E10" w:rsidRDefault="001C3E10" w:rsidP="001C3E10">
      <w:pPr>
        <w:spacing w:line="276" w:lineRule="auto"/>
        <w:ind w:left="3119"/>
        <w:jc w:val="both"/>
        <w:rPr>
          <w:rFonts w:asciiTheme="minorHAnsi" w:hAnsiTheme="minorHAnsi"/>
          <w:sz w:val="22"/>
          <w:szCs w:val="22"/>
        </w:rPr>
      </w:pPr>
      <w:r w:rsidRPr="001C3E10">
        <w:rPr>
          <w:rFonts w:asciiTheme="minorHAnsi" w:hAnsiTheme="minorHAnsi"/>
          <w:sz w:val="22"/>
          <w:szCs w:val="22"/>
        </w:rPr>
        <w:t xml:space="preserve">Para el presente ciclo de planificación, la SUPEN procura formular una serie de cambios o adiciones a las reglas que operan en el SNP, para ampliar las posibilidades de ahorro y crear consensos en los cambios que al 2020 deban generarse para asegurar el futuro de los trabajadores. </w:t>
      </w:r>
    </w:p>
    <w:p w14:paraId="154A29ED" w14:textId="77777777" w:rsidR="001C3E10" w:rsidRPr="001C3E10" w:rsidRDefault="001C3E10" w:rsidP="001C3E10">
      <w:pPr>
        <w:spacing w:line="276" w:lineRule="auto"/>
        <w:ind w:left="3119"/>
        <w:jc w:val="both"/>
        <w:rPr>
          <w:rFonts w:asciiTheme="minorHAnsi" w:hAnsiTheme="minorHAnsi"/>
          <w:sz w:val="22"/>
          <w:szCs w:val="22"/>
        </w:rPr>
      </w:pPr>
      <w:r w:rsidRPr="001C3E10">
        <w:rPr>
          <w:rFonts w:asciiTheme="minorHAnsi" w:hAnsiTheme="minorHAnsi"/>
          <w:sz w:val="22"/>
          <w:szCs w:val="22"/>
        </w:rPr>
        <w:t>Este objetivo parte de la necesidad de crear un dialogo nacional mediante el cual se propongan los cambios que trasciendan el campo de acción del supervisor, pero en el que pueda ser un facilitador, desde su perspectiva técnica. De tal manera que los diferentes agentes que representan a los gestores, al estado, a los patronos y a los trabajadores, en donde todos puedan compartir y diseñar con suficiente tiempo los cambios que eviten problemas futuros al sistema como un todo.</w:t>
      </w:r>
    </w:p>
    <w:p w14:paraId="5937373F" w14:textId="77777777" w:rsidR="001C3E10" w:rsidRPr="001C3E10" w:rsidRDefault="001C3E10" w:rsidP="001C3E10">
      <w:pPr>
        <w:tabs>
          <w:tab w:val="left" w:pos="3119"/>
        </w:tabs>
        <w:spacing w:line="276" w:lineRule="auto"/>
        <w:jc w:val="both"/>
        <w:rPr>
          <w:rFonts w:asciiTheme="minorHAnsi" w:hAnsiTheme="minorHAnsi"/>
          <w:b/>
          <w:sz w:val="22"/>
          <w:szCs w:val="22"/>
        </w:rPr>
      </w:pPr>
      <w:r w:rsidRPr="001C3E10">
        <w:rPr>
          <w:rFonts w:asciiTheme="minorHAnsi" w:hAnsiTheme="minorHAnsi"/>
          <w:b/>
          <w:bCs/>
          <w:sz w:val="22"/>
          <w:szCs w:val="22"/>
        </w:rPr>
        <w:t>Objetivo estratégico 3:</w:t>
      </w:r>
      <w:r w:rsidRPr="001C3E10">
        <w:rPr>
          <w:rFonts w:asciiTheme="minorHAnsi" w:hAnsiTheme="minorHAnsi"/>
          <w:sz w:val="22"/>
          <w:szCs w:val="22"/>
        </w:rPr>
        <w:tab/>
        <w:t>Empoderar al afiliado.</w:t>
      </w:r>
    </w:p>
    <w:p w14:paraId="364F5709" w14:textId="77777777" w:rsidR="001C3E10" w:rsidRPr="001C3E10" w:rsidRDefault="001C3E10" w:rsidP="001C3E10">
      <w:pPr>
        <w:spacing w:line="276" w:lineRule="auto"/>
        <w:ind w:left="3119"/>
        <w:jc w:val="both"/>
        <w:rPr>
          <w:rFonts w:asciiTheme="minorHAnsi" w:hAnsiTheme="minorHAnsi"/>
          <w:sz w:val="22"/>
          <w:szCs w:val="22"/>
        </w:rPr>
      </w:pPr>
      <w:r w:rsidRPr="001C3E10">
        <w:rPr>
          <w:rFonts w:asciiTheme="minorHAnsi" w:hAnsiTheme="minorHAnsi"/>
          <w:sz w:val="22"/>
          <w:szCs w:val="22"/>
        </w:rPr>
        <w:t xml:space="preserve">Este plan estratégico propone un eje que apunte hacia la mejora de los procesos del SNP de cara al afiliado. En este caso la SUPEN ha identificado varios cambios que mejorarían significativamente la calidad de los servicios que se brindan. Como visión estratégica se pretende volcar el énfasis del manejo de la supervisión y trasladarlo no solamente al fondo de pensiones sino a las personas, promoviendo el entendimiento en los afiliados de todos los productos que se les ofrecen los administradores, procurando en todo momento que este </w:t>
      </w:r>
      <w:r w:rsidRPr="001C3E10">
        <w:rPr>
          <w:rFonts w:asciiTheme="minorHAnsi" w:hAnsiTheme="minorHAnsi"/>
          <w:sz w:val="22"/>
          <w:szCs w:val="22"/>
        </w:rPr>
        <w:lastRenderedPageBreak/>
        <w:t>conocimiento del afiliado le permita la toma de mejores decisiones y la demanda por servicios de mayor calidad, las cuales deben adaptarse a las necesidades siempre cambiantes de los afiliados.</w:t>
      </w:r>
    </w:p>
    <w:p w14:paraId="1CCAC45F" w14:textId="77777777" w:rsidR="001C3E10" w:rsidRPr="001C3E10" w:rsidRDefault="001C3E10" w:rsidP="001C3E10">
      <w:pPr>
        <w:spacing w:line="276" w:lineRule="auto"/>
        <w:jc w:val="both"/>
        <w:rPr>
          <w:rFonts w:asciiTheme="minorHAnsi" w:hAnsiTheme="minorHAnsi"/>
          <w:sz w:val="22"/>
          <w:szCs w:val="22"/>
        </w:rPr>
      </w:pPr>
    </w:p>
    <w:p w14:paraId="29DC2AA8"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87" w:name="_Ref406443581"/>
      <w:bookmarkStart w:id="88" w:name="_Toc414532011"/>
      <w:bookmarkStart w:id="89" w:name="_Toc429555140"/>
      <w:bookmarkStart w:id="90" w:name="_Toc429562782"/>
      <w:bookmarkStart w:id="91" w:name="_Toc429563092"/>
      <w:bookmarkStart w:id="92" w:name="_Toc429563247"/>
      <w:bookmarkStart w:id="93" w:name="_Toc442253229"/>
      <w:r w:rsidRPr="001C3E10">
        <w:rPr>
          <w:rFonts w:asciiTheme="minorHAnsi" w:hAnsiTheme="minorHAnsi"/>
          <w:sz w:val="22"/>
          <w:szCs w:val="22"/>
        </w:rPr>
        <w:t>Capacidades de la organización</w:t>
      </w:r>
      <w:bookmarkEnd w:id="87"/>
      <w:bookmarkEnd w:id="88"/>
      <w:bookmarkEnd w:id="89"/>
      <w:bookmarkEnd w:id="90"/>
      <w:bookmarkEnd w:id="91"/>
      <w:bookmarkEnd w:id="92"/>
      <w:bookmarkEnd w:id="93"/>
    </w:p>
    <w:p w14:paraId="6182D202" w14:textId="77777777" w:rsidR="00B30C48" w:rsidRDefault="00B30C48" w:rsidP="001C3E10">
      <w:pPr>
        <w:spacing w:line="276" w:lineRule="auto"/>
        <w:jc w:val="both"/>
        <w:rPr>
          <w:rFonts w:asciiTheme="minorHAnsi" w:hAnsiTheme="minorHAnsi"/>
          <w:sz w:val="22"/>
          <w:szCs w:val="22"/>
        </w:rPr>
      </w:pPr>
    </w:p>
    <w:p w14:paraId="7E5D4712" w14:textId="2D6AC61E"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Un </w:t>
      </w:r>
      <w:r w:rsidRPr="004D7122">
        <w:rPr>
          <w:rFonts w:asciiTheme="minorHAnsi" w:hAnsiTheme="minorHAnsi"/>
          <w:sz w:val="22"/>
          <w:szCs w:val="22"/>
        </w:rPr>
        <w:t>modelo de capacidades</w:t>
      </w:r>
      <w:r w:rsidRPr="001C3E10">
        <w:rPr>
          <w:rFonts w:asciiTheme="minorHAnsi" w:hAnsiTheme="minorHAnsi"/>
          <w:sz w:val="22"/>
          <w:szCs w:val="22"/>
        </w:rPr>
        <w:t xml:space="preserve"> le permite a una organización traducir más fácilmente la estrategia en acciones concretas que permitan hacerla realidad. En la sección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_Ref411014699 \r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D81356">
        <w:rPr>
          <w:rFonts w:asciiTheme="minorHAnsi" w:hAnsiTheme="minorHAnsi"/>
          <w:sz w:val="22"/>
          <w:szCs w:val="22"/>
        </w:rPr>
        <w:t>7.2</w:t>
      </w:r>
      <w:r w:rsidRPr="001C3E10">
        <w:rPr>
          <w:rFonts w:asciiTheme="minorHAnsi" w:hAnsiTheme="minorHAnsi"/>
          <w:sz w:val="22"/>
          <w:szCs w:val="22"/>
        </w:rPr>
        <w:fldChar w:fldCharType="end"/>
      </w:r>
      <w:r w:rsidRPr="001C3E10">
        <w:rPr>
          <w:rFonts w:asciiTheme="minorHAnsi" w:hAnsiTheme="minorHAnsi"/>
          <w:sz w:val="22"/>
          <w:szCs w:val="22"/>
        </w:rPr>
        <w:t xml:space="preserve">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_Ref411014702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D81356" w:rsidRPr="001C3E10">
        <w:rPr>
          <w:rFonts w:asciiTheme="minorHAnsi" w:hAnsiTheme="minorHAnsi"/>
          <w:sz w:val="22"/>
          <w:szCs w:val="22"/>
        </w:rPr>
        <w:t>Modelo de capacidades</w:t>
      </w:r>
      <w:r w:rsidRPr="001C3E10">
        <w:rPr>
          <w:rFonts w:asciiTheme="minorHAnsi" w:hAnsiTheme="minorHAnsi"/>
          <w:sz w:val="22"/>
          <w:szCs w:val="22"/>
        </w:rPr>
        <w:fldChar w:fldCharType="end"/>
      </w:r>
      <w:r w:rsidRPr="001C3E10">
        <w:rPr>
          <w:rFonts w:asciiTheme="minorHAnsi" w:hAnsiTheme="minorHAnsi"/>
          <w:sz w:val="22"/>
          <w:szCs w:val="22"/>
        </w:rPr>
        <w:t>, se describe con mayor detalle este concepto.</w:t>
      </w:r>
    </w:p>
    <w:p w14:paraId="314FE7F8" w14:textId="77777777" w:rsidR="00B30C48" w:rsidRDefault="00B30C48" w:rsidP="001C3E10">
      <w:pPr>
        <w:spacing w:line="276" w:lineRule="auto"/>
        <w:jc w:val="both"/>
        <w:rPr>
          <w:rFonts w:asciiTheme="minorHAnsi" w:hAnsiTheme="minorHAnsi"/>
          <w:sz w:val="22"/>
          <w:szCs w:val="22"/>
        </w:rPr>
      </w:pPr>
    </w:p>
    <w:p w14:paraId="5B7C67C9" w14:textId="65A82EF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Basados en la estructura funcional del BCCR y de los ODM, así como en el Plan Estratégico del Banco Central, la DST ha desarrollado un modelo de las capacidades actuales de la organización, con el fin de facilitar la traducción de la estrategia de la Corporación en acciones concretas que puedan ser emprendidas a través de la TI. La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_Ref406537695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D81356" w:rsidRPr="001C3E10">
        <w:rPr>
          <w:rFonts w:asciiTheme="minorHAnsi" w:hAnsiTheme="minorHAnsi"/>
          <w:sz w:val="22"/>
          <w:szCs w:val="22"/>
        </w:rPr>
        <w:t xml:space="preserve">Figura </w:t>
      </w:r>
      <w:r w:rsidR="00D81356">
        <w:rPr>
          <w:rFonts w:asciiTheme="minorHAnsi" w:hAnsiTheme="minorHAnsi"/>
          <w:noProof/>
          <w:sz w:val="22"/>
          <w:szCs w:val="22"/>
        </w:rPr>
        <w:t>1</w:t>
      </w:r>
      <w:r w:rsidRPr="001C3E10">
        <w:rPr>
          <w:rFonts w:asciiTheme="minorHAnsi" w:hAnsiTheme="minorHAnsi"/>
          <w:sz w:val="22"/>
          <w:szCs w:val="22"/>
        </w:rPr>
        <w:fldChar w:fldCharType="end"/>
      </w:r>
      <w:r w:rsidRPr="001C3E10">
        <w:rPr>
          <w:rFonts w:asciiTheme="minorHAnsi" w:hAnsiTheme="minorHAnsi"/>
          <w:sz w:val="22"/>
          <w:szCs w:val="22"/>
        </w:rPr>
        <w:t xml:space="preserve"> muestra los primeros niveles de este modelo. </w:t>
      </w:r>
    </w:p>
    <w:p w14:paraId="4EA679BD" w14:textId="77777777" w:rsidR="001C3E10" w:rsidRPr="001C3E10" w:rsidRDefault="001C3E10" w:rsidP="001C3E10">
      <w:pPr>
        <w:keepNext/>
        <w:spacing w:line="276" w:lineRule="auto"/>
        <w:jc w:val="both"/>
        <w:rPr>
          <w:rFonts w:asciiTheme="minorHAnsi" w:hAnsiTheme="minorHAnsi"/>
          <w:sz w:val="22"/>
          <w:szCs w:val="22"/>
        </w:rPr>
      </w:pPr>
      <w:r w:rsidRPr="001C3E10">
        <w:rPr>
          <w:rFonts w:asciiTheme="minorHAnsi" w:hAnsiTheme="minorHAnsi"/>
          <w:sz w:val="22"/>
          <w:szCs w:val="22"/>
        </w:rPr>
        <w:object w:dxaOrig="23534" w:dyaOrig="12537" w14:anchorId="20BF5C4D">
          <v:shape id="_x0000_i1026" type="#_x0000_t75" style="width:467pt;height:249pt" o:ole="">
            <v:imagedata r:id="rId45" o:title=""/>
          </v:shape>
          <o:OLEObject Type="Embed" ProgID="Visio.Drawing.11" ShapeID="_x0000_i1026" DrawAspect="Content" ObjectID="_1515995131" r:id="rId46"/>
        </w:object>
      </w:r>
    </w:p>
    <w:p w14:paraId="63991AD4" w14:textId="77777777" w:rsidR="001C3E10" w:rsidRPr="001C3E10" w:rsidRDefault="001C3E10" w:rsidP="001C3E10">
      <w:pPr>
        <w:pStyle w:val="Descripcin"/>
        <w:spacing w:line="276" w:lineRule="auto"/>
        <w:jc w:val="both"/>
        <w:rPr>
          <w:rFonts w:asciiTheme="minorHAnsi" w:hAnsiTheme="minorHAnsi"/>
          <w:sz w:val="22"/>
          <w:szCs w:val="22"/>
        </w:rPr>
      </w:pPr>
      <w:bookmarkStart w:id="94" w:name="_Ref406537695"/>
      <w:r w:rsidRPr="001C3E10">
        <w:rPr>
          <w:rFonts w:asciiTheme="minorHAnsi" w:hAnsiTheme="minorHAnsi"/>
          <w:sz w:val="22"/>
          <w:szCs w:val="22"/>
        </w:rPr>
        <w:t xml:space="preserve">Figura </w:t>
      </w:r>
      <w:r w:rsidRPr="001C3E10">
        <w:rPr>
          <w:rFonts w:asciiTheme="minorHAnsi" w:hAnsiTheme="minorHAnsi"/>
          <w:sz w:val="22"/>
          <w:szCs w:val="22"/>
        </w:rPr>
        <w:fldChar w:fldCharType="begin"/>
      </w:r>
      <w:r w:rsidRPr="001C3E10">
        <w:rPr>
          <w:rFonts w:asciiTheme="minorHAnsi" w:hAnsiTheme="minorHAnsi"/>
          <w:sz w:val="22"/>
          <w:szCs w:val="22"/>
        </w:rPr>
        <w:instrText xml:space="preserve"> SEQ Figura \* ARABIC </w:instrText>
      </w:r>
      <w:r w:rsidRPr="001C3E10">
        <w:rPr>
          <w:rFonts w:asciiTheme="minorHAnsi" w:hAnsiTheme="minorHAnsi"/>
          <w:sz w:val="22"/>
          <w:szCs w:val="22"/>
        </w:rPr>
        <w:fldChar w:fldCharType="separate"/>
      </w:r>
      <w:r w:rsidR="00D81356">
        <w:rPr>
          <w:rFonts w:asciiTheme="minorHAnsi" w:hAnsiTheme="minorHAnsi"/>
          <w:noProof/>
          <w:sz w:val="22"/>
          <w:szCs w:val="22"/>
        </w:rPr>
        <w:t>1</w:t>
      </w:r>
      <w:r w:rsidRPr="001C3E10">
        <w:rPr>
          <w:rFonts w:asciiTheme="minorHAnsi" w:hAnsiTheme="minorHAnsi"/>
          <w:noProof/>
          <w:sz w:val="22"/>
          <w:szCs w:val="22"/>
        </w:rPr>
        <w:fldChar w:fldCharType="end"/>
      </w:r>
      <w:bookmarkEnd w:id="94"/>
      <w:r w:rsidRPr="001C3E10">
        <w:rPr>
          <w:rFonts w:asciiTheme="minorHAnsi" w:hAnsiTheme="minorHAnsi"/>
          <w:sz w:val="22"/>
          <w:szCs w:val="22"/>
        </w:rPr>
        <w:t>: Modelo de capacidades del BCCR.</w:t>
      </w:r>
    </w:p>
    <w:p w14:paraId="03A728B0"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En este modelo, el quehacer de la Corporación se divide en 7 capacidades: </w:t>
      </w:r>
    </w:p>
    <w:p w14:paraId="3ED08A1B" w14:textId="77777777" w:rsidR="001C3E10" w:rsidRPr="001C3E10" w:rsidRDefault="001C3E10" w:rsidP="00547B19">
      <w:pPr>
        <w:pStyle w:val="Prrafodelista"/>
        <w:numPr>
          <w:ilvl w:val="0"/>
          <w:numId w:val="38"/>
        </w:numPr>
        <w:spacing w:after="200" w:line="276" w:lineRule="auto"/>
        <w:rPr>
          <w:rFonts w:asciiTheme="minorHAnsi" w:hAnsiTheme="minorHAnsi"/>
          <w:sz w:val="22"/>
        </w:rPr>
      </w:pPr>
      <w:r w:rsidRPr="001C3E10">
        <w:rPr>
          <w:rFonts w:asciiTheme="minorHAnsi" w:hAnsiTheme="minorHAnsi"/>
          <w:b/>
          <w:sz w:val="22"/>
        </w:rPr>
        <w:t>Gestión estratégica.</w:t>
      </w:r>
      <w:r w:rsidRPr="001C3E10">
        <w:rPr>
          <w:rFonts w:asciiTheme="minorHAnsi" w:hAnsiTheme="minorHAnsi"/>
          <w:sz w:val="22"/>
        </w:rPr>
        <w:t xml:space="preserve"> Concentra todas aquellas actividades que si bien no son necesarias para el desarrollo diario de las labores de la Corporación, sí son indispensables para el funcionamiento de ésta, desde una perspectiva de dirección y alineamiento estratégico, no operativo.</w:t>
      </w:r>
    </w:p>
    <w:p w14:paraId="614F010D" w14:textId="77777777" w:rsidR="001C3E10" w:rsidRPr="001C3E10" w:rsidRDefault="001C3E10" w:rsidP="00547B19">
      <w:pPr>
        <w:pStyle w:val="Prrafodelista"/>
        <w:numPr>
          <w:ilvl w:val="0"/>
          <w:numId w:val="38"/>
        </w:numPr>
        <w:spacing w:after="200" w:line="276" w:lineRule="auto"/>
        <w:rPr>
          <w:rFonts w:asciiTheme="minorHAnsi" w:hAnsiTheme="minorHAnsi"/>
          <w:sz w:val="22"/>
        </w:rPr>
      </w:pPr>
      <w:r w:rsidRPr="001C3E10">
        <w:rPr>
          <w:rFonts w:asciiTheme="minorHAnsi" w:hAnsiTheme="minorHAnsi"/>
          <w:b/>
          <w:sz w:val="22"/>
        </w:rPr>
        <w:lastRenderedPageBreak/>
        <w:t>Definición de la política monetaria y cambiaria</w:t>
      </w:r>
      <w:r w:rsidRPr="001C3E10">
        <w:rPr>
          <w:rFonts w:asciiTheme="minorHAnsi" w:hAnsiTheme="minorHAnsi"/>
          <w:sz w:val="22"/>
        </w:rPr>
        <w:t>. Como su nombre lo indica, en esta capacidad se ubican todas aquellas actividades ligadas con la recolección de información de la economía local así como las recomendaciones en materia de política monetaria y cambiaria.</w:t>
      </w:r>
    </w:p>
    <w:p w14:paraId="2EE8485C" w14:textId="77777777" w:rsidR="001C3E10" w:rsidRPr="001C3E10" w:rsidRDefault="001C3E10" w:rsidP="00547B19">
      <w:pPr>
        <w:pStyle w:val="Prrafodelista"/>
        <w:numPr>
          <w:ilvl w:val="0"/>
          <w:numId w:val="38"/>
        </w:numPr>
        <w:spacing w:after="200" w:line="276" w:lineRule="auto"/>
        <w:rPr>
          <w:rFonts w:asciiTheme="minorHAnsi" w:hAnsiTheme="minorHAnsi"/>
          <w:sz w:val="22"/>
        </w:rPr>
      </w:pPr>
      <w:r w:rsidRPr="001C3E10">
        <w:rPr>
          <w:rFonts w:asciiTheme="minorHAnsi" w:hAnsiTheme="minorHAnsi"/>
          <w:b/>
          <w:sz w:val="22"/>
        </w:rPr>
        <w:t>Gestión de activos y pasivos financieros</w:t>
      </w:r>
      <w:r w:rsidRPr="001C3E10">
        <w:rPr>
          <w:rFonts w:asciiTheme="minorHAnsi" w:hAnsiTheme="minorHAnsi"/>
          <w:sz w:val="22"/>
        </w:rPr>
        <w:t>. Por medio de esta capacidad se hace una gestión de las reservas monetarias internacionales que el Banco maneja y se monitorea el desempeño de los activos financieros que tiene el Banco, entre otros.</w:t>
      </w:r>
    </w:p>
    <w:p w14:paraId="202CB5D5" w14:textId="77777777" w:rsidR="001C3E10" w:rsidRPr="001C3E10" w:rsidRDefault="001C3E10" w:rsidP="00547B19">
      <w:pPr>
        <w:pStyle w:val="Prrafodelista"/>
        <w:numPr>
          <w:ilvl w:val="0"/>
          <w:numId w:val="38"/>
        </w:numPr>
        <w:spacing w:after="200" w:line="276" w:lineRule="auto"/>
        <w:rPr>
          <w:rFonts w:asciiTheme="minorHAnsi" w:hAnsiTheme="minorHAnsi"/>
          <w:sz w:val="22"/>
        </w:rPr>
      </w:pPr>
      <w:r w:rsidRPr="001C3E10">
        <w:rPr>
          <w:rFonts w:asciiTheme="minorHAnsi" w:hAnsiTheme="minorHAnsi"/>
          <w:b/>
          <w:sz w:val="22"/>
        </w:rPr>
        <w:t>Gestión del Sistema de Pagos</w:t>
      </w:r>
      <w:r w:rsidRPr="001C3E10">
        <w:rPr>
          <w:rFonts w:asciiTheme="minorHAnsi" w:hAnsiTheme="minorHAnsi"/>
          <w:sz w:val="22"/>
        </w:rPr>
        <w:t>. Las actividades relacionadas con el control y manejo del numerario, la custodia de valores, la dirección y operación del SINPE así como el monitoreo de actividades sospechosas están concentradas en esta capacidad.</w:t>
      </w:r>
    </w:p>
    <w:p w14:paraId="6E487FFF" w14:textId="418D7C6D" w:rsidR="001C3E10" w:rsidRPr="001C3E10" w:rsidRDefault="001C3E10" w:rsidP="00547B19">
      <w:pPr>
        <w:pStyle w:val="Prrafodelista"/>
        <w:numPr>
          <w:ilvl w:val="0"/>
          <w:numId w:val="38"/>
        </w:numPr>
        <w:spacing w:after="200" w:line="276" w:lineRule="auto"/>
        <w:rPr>
          <w:rFonts w:asciiTheme="minorHAnsi" w:hAnsiTheme="minorHAnsi"/>
          <w:sz w:val="22"/>
        </w:rPr>
      </w:pPr>
      <w:r w:rsidRPr="001C3E10">
        <w:rPr>
          <w:rFonts w:asciiTheme="minorHAnsi" w:hAnsiTheme="minorHAnsi"/>
          <w:b/>
          <w:sz w:val="22"/>
        </w:rPr>
        <w:t>Supervisión de Mercados Financieros</w:t>
      </w:r>
      <w:r w:rsidRPr="001C3E10">
        <w:rPr>
          <w:rFonts w:asciiTheme="minorHAnsi" w:hAnsiTheme="minorHAnsi"/>
          <w:sz w:val="22"/>
        </w:rPr>
        <w:t>. Esta capacidad contiene aquellas actividades alrededor de la supervisión de los diferentes mercados financieros que existen en el país. Además, incluye también la supervisión macro</w:t>
      </w:r>
      <w:r>
        <w:rPr>
          <w:rFonts w:asciiTheme="minorHAnsi" w:hAnsiTheme="minorHAnsi"/>
          <w:sz w:val="22"/>
        </w:rPr>
        <w:t xml:space="preserve"> </w:t>
      </w:r>
      <w:r w:rsidRPr="001C3E10">
        <w:rPr>
          <w:rFonts w:asciiTheme="minorHAnsi" w:hAnsiTheme="minorHAnsi"/>
          <w:sz w:val="22"/>
        </w:rPr>
        <w:t>prudencial.</w:t>
      </w:r>
    </w:p>
    <w:p w14:paraId="6E634EBF" w14:textId="77777777" w:rsidR="001C3E10" w:rsidRPr="001C3E10" w:rsidRDefault="001C3E10" w:rsidP="00547B19">
      <w:pPr>
        <w:pStyle w:val="Prrafodelista"/>
        <w:numPr>
          <w:ilvl w:val="0"/>
          <w:numId w:val="38"/>
        </w:numPr>
        <w:spacing w:after="200" w:line="276" w:lineRule="auto"/>
        <w:rPr>
          <w:rFonts w:asciiTheme="minorHAnsi" w:hAnsiTheme="minorHAnsi"/>
          <w:sz w:val="22"/>
        </w:rPr>
      </w:pPr>
      <w:r w:rsidRPr="001C3E10">
        <w:rPr>
          <w:rFonts w:asciiTheme="minorHAnsi" w:hAnsiTheme="minorHAnsi"/>
          <w:b/>
          <w:sz w:val="22"/>
        </w:rPr>
        <w:t>Control Interno</w:t>
      </w:r>
      <w:r w:rsidRPr="001C3E10">
        <w:rPr>
          <w:rFonts w:asciiTheme="minorHAnsi" w:hAnsiTheme="minorHAnsi"/>
          <w:sz w:val="22"/>
        </w:rPr>
        <w:t>. Las actividades relacionadas con el planeamiento y la ejecución del control interno y la rendición de cuentas están ubicadas en esta capacidad.</w:t>
      </w:r>
    </w:p>
    <w:p w14:paraId="72D0F1FD" w14:textId="77777777" w:rsidR="001C3E10" w:rsidRPr="001C3E10" w:rsidRDefault="001C3E10" w:rsidP="00547B19">
      <w:pPr>
        <w:pStyle w:val="Prrafodelista"/>
        <w:numPr>
          <w:ilvl w:val="0"/>
          <w:numId w:val="38"/>
        </w:numPr>
        <w:spacing w:after="200" w:line="276" w:lineRule="auto"/>
        <w:rPr>
          <w:rFonts w:asciiTheme="minorHAnsi" w:hAnsiTheme="minorHAnsi"/>
          <w:sz w:val="22"/>
        </w:rPr>
      </w:pPr>
      <w:r w:rsidRPr="001C3E10">
        <w:rPr>
          <w:rFonts w:asciiTheme="minorHAnsi" w:hAnsiTheme="minorHAnsi"/>
          <w:b/>
          <w:sz w:val="22"/>
        </w:rPr>
        <w:t>Apoyo a la gestión</w:t>
      </w:r>
      <w:r w:rsidRPr="001C3E10">
        <w:rPr>
          <w:rFonts w:asciiTheme="minorHAnsi" w:hAnsiTheme="minorHAnsi"/>
          <w:sz w:val="22"/>
        </w:rPr>
        <w:t xml:space="preserve">. Se ubican acá aquellas actividades que le dan apoyo a toda la organización. La gestión del factor humano, la asesoría legal, la adquisición y contratación de bienes y servicios así como la gestión de la tecnología son algunas de estas. </w:t>
      </w:r>
    </w:p>
    <w:p w14:paraId="54E079CF"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Un modelo de capacidades es realmente útil en la medida en que presente el mayor detalle de las capacidades que requerirá una organización para alcanzar su estrategia. Especialmente cuando se enfrentan cambios importantes con algún nivel de incertidumbre. </w:t>
      </w:r>
    </w:p>
    <w:p w14:paraId="72BF8A6A" w14:textId="77777777" w:rsidR="00B30C48" w:rsidRDefault="00B30C48" w:rsidP="001C3E10">
      <w:pPr>
        <w:spacing w:line="276" w:lineRule="auto"/>
        <w:jc w:val="both"/>
        <w:rPr>
          <w:rFonts w:asciiTheme="minorHAnsi" w:hAnsiTheme="minorHAnsi"/>
          <w:sz w:val="22"/>
          <w:szCs w:val="22"/>
        </w:rPr>
      </w:pPr>
    </w:p>
    <w:p w14:paraId="42ADE0A0" w14:textId="001E9778"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Dada la inexistencia de un modelo de este tipo desarrollado oficialmente en la Corporación, la DST se dio a la tarea de documentar lo que a su criterio es el estado actual de las principales capacidades con las que cuenta el Banco Central. De manera particular la capacidad </w:t>
      </w:r>
      <w:r w:rsidRPr="001C3E10">
        <w:rPr>
          <w:rFonts w:asciiTheme="minorHAnsi" w:hAnsiTheme="minorHAnsi"/>
          <w:i/>
          <w:sz w:val="22"/>
          <w:szCs w:val="22"/>
        </w:rPr>
        <w:t>Apoyo a la gestión</w:t>
      </w:r>
      <w:r w:rsidRPr="001C3E10">
        <w:rPr>
          <w:rFonts w:asciiTheme="minorHAnsi" w:hAnsiTheme="minorHAnsi"/>
          <w:sz w:val="22"/>
          <w:szCs w:val="22"/>
        </w:rPr>
        <w:t xml:space="preserve">, específicamente la actividad </w:t>
      </w:r>
      <w:r w:rsidRPr="001C3E10">
        <w:rPr>
          <w:rFonts w:asciiTheme="minorHAnsi" w:hAnsiTheme="minorHAnsi"/>
          <w:i/>
          <w:sz w:val="22"/>
          <w:szCs w:val="22"/>
        </w:rPr>
        <w:t>Gestión de la tecnología</w:t>
      </w:r>
      <w:r w:rsidRPr="001C3E10">
        <w:rPr>
          <w:rFonts w:asciiTheme="minorHAnsi" w:hAnsiTheme="minorHAnsi"/>
          <w:sz w:val="22"/>
          <w:szCs w:val="22"/>
        </w:rPr>
        <w:t xml:space="preserve">, se ha desglosado aún más de forma que se logre un mayor entendimiento de la misma, tal y como se muestra en el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_Ref408236667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D81356" w:rsidRPr="001C3E10">
        <w:rPr>
          <w:rFonts w:asciiTheme="minorHAnsi" w:hAnsiTheme="minorHAnsi"/>
          <w:sz w:val="22"/>
          <w:szCs w:val="22"/>
        </w:rPr>
        <w:t>Modelo de capacidades asociado con la capacidad Gestión de la TI</w:t>
      </w:r>
      <w:r w:rsidRPr="001C3E10">
        <w:rPr>
          <w:rFonts w:asciiTheme="minorHAnsi" w:hAnsiTheme="minorHAnsi"/>
          <w:sz w:val="22"/>
          <w:szCs w:val="22"/>
        </w:rPr>
        <w:fldChar w:fldCharType="end"/>
      </w:r>
      <w:r w:rsidRPr="001C3E10">
        <w:rPr>
          <w:rFonts w:asciiTheme="minorHAnsi" w:hAnsiTheme="minorHAnsi"/>
          <w:sz w:val="22"/>
          <w:szCs w:val="22"/>
        </w:rPr>
        <w:t>, sin que este pretenda ser el modelo final:</w:t>
      </w:r>
    </w:p>
    <w:p w14:paraId="238F3F94" w14:textId="77777777" w:rsidR="001C3E10" w:rsidRPr="001C3E10" w:rsidRDefault="001C3E10" w:rsidP="001C3E10">
      <w:pPr>
        <w:pStyle w:val="Descripcin"/>
        <w:spacing w:line="276" w:lineRule="auto"/>
        <w:jc w:val="both"/>
        <w:rPr>
          <w:rFonts w:asciiTheme="minorHAnsi" w:hAnsiTheme="minorHAnsi"/>
          <w:sz w:val="22"/>
          <w:szCs w:val="22"/>
        </w:rPr>
      </w:pPr>
      <w:r w:rsidRPr="001C3E10">
        <w:rPr>
          <w:rFonts w:asciiTheme="minorHAnsi" w:hAnsiTheme="minorHAnsi"/>
          <w:sz w:val="22"/>
          <w:szCs w:val="22"/>
        </w:rPr>
        <w:object w:dxaOrig="23787" w:dyaOrig="13651" w14:anchorId="6844ABB2">
          <v:shape id="_x0000_i1027" type="#_x0000_t75" style="width:480.5pt;height:274.5pt" o:ole="">
            <v:imagedata r:id="rId47" o:title=""/>
          </v:shape>
          <o:OLEObject Type="Embed" ProgID="Visio.Drawing.11" ShapeID="_x0000_i1027" DrawAspect="Content" ObjectID="_1515995132" r:id="rId48"/>
        </w:object>
      </w:r>
      <w:r w:rsidRPr="001C3E10">
        <w:rPr>
          <w:rFonts w:asciiTheme="minorHAnsi" w:hAnsiTheme="minorHAnsi"/>
          <w:sz w:val="22"/>
          <w:szCs w:val="22"/>
        </w:rPr>
        <w:t xml:space="preserve">Figura </w:t>
      </w:r>
      <w:r w:rsidRPr="001C3E10">
        <w:rPr>
          <w:rFonts w:asciiTheme="minorHAnsi" w:hAnsiTheme="minorHAnsi"/>
          <w:sz w:val="22"/>
          <w:szCs w:val="22"/>
        </w:rPr>
        <w:fldChar w:fldCharType="begin"/>
      </w:r>
      <w:r w:rsidRPr="001C3E10">
        <w:rPr>
          <w:rFonts w:asciiTheme="minorHAnsi" w:hAnsiTheme="minorHAnsi"/>
          <w:sz w:val="22"/>
          <w:szCs w:val="22"/>
        </w:rPr>
        <w:instrText xml:space="preserve"> SEQ Figura \* ARABIC </w:instrText>
      </w:r>
      <w:r w:rsidRPr="001C3E10">
        <w:rPr>
          <w:rFonts w:asciiTheme="minorHAnsi" w:hAnsiTheme="minorHAnsi"/>
          <w:sz w:val="22"/>
          <w:szCs w:val="22"/>
        </w:rPr>
        <w:fldChar w:fldCharType="separate"/>
      </w:r>
      <w:r w:rsidR="00D81356">
        <w:rPr>
          <w:rFonts w:asciiTheme="minorHAnsi" w:hAnsiTheme="minorHAnsi"/>
          <w:noProof/>
          <w:sz w:val="22"/>
          <w:szCs w:val="22"/>
        </w:rPr>
        <w:t>2</w:t>
      </w:r>
      <w:r w:rsidRPr="001C3E10">
        <w:rPr>
          <w:rFonts w:asciiTheme="minorHAnsi" w:hAnsiTheme="minorHAnsi"/>
          <w:sz w:val="22"/>
          <w:szCs w:val="22"/>
        </w:rPr>
        <w:fldChar w:fldCharType="end"/>
      </w:r>
      <w:r w:rsidRPr="001C3E10">
        <w:rPr>
          <w:rFonts w:asciiTheme="minorHAnsi" w:hAnsiTheme="minorHAnsi"/>
          <w:sz w:val="22"/>
          <w:szCs w:val="22"/>
        </w:rPr>
        <w:t xml:space="preserve">: </w:t>
      </w:r>
      <w:bookmarkStart w:id="95" w:name="_Ref408236667"/>
      <w:r w:rsidRPr="001C3E10">
        <w:rPr>
          <w:rFonts w:asciiTheme="minorHAnsi" w:hAnsiTheme="minorHAnsi"/>
          <w:sz w:val="22"/>
          <w:szCs w:val="22"/>
        </w:rPr>
        <w:t>Modelo de capacidades asociado con la capacidad Gestión de la TI</w:t>
      </w:r>
      <w:bookmarkEnd w:id="95"/>
    </w:p>
    <w:p w14:paraId="4986E85B"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96" w:name="_Ref406424620"/>
      <w:bookmarkStart w:id="97" w:name="_Toc414532012"/>
      <w:bookmarkStart w:id="98" w:name="_Toc429555141"/>
      <w:bookmarkStart w:id="99" w:name="_Toc429562783"/>
      <w:bookmarkStart w:id="100" w:name="_Toc429563093"/>
      <w:bookmarkStart w:id="101" w:name="_Toc429563248"/>
      <w:bookmarkStart w:id="102" w:name="_Toc442253230"/>
      <w:r w:rsidRPr="001C3E10">
        <w:rPr>
          <w:rFonts w:asciiTheme="minorHAnsi" w:hAnsiTheme="minorHAnsi"/>
          <w:sz w:val="22"/>
          <w:szCs w:val="22"/>
        </w:rPr>
        <w:t>Contribución de TI</w:t>
      </w:r>
      <w:bookmarkEnd w:id="96"/>
      <w:bookmarkEnd w:id="97"/>
      <w:bookmarkEnd w:id="98"/>
      <w:bookmarkEnd w:id="99"/>
      <w:bookmarkEnd w:id="100"/>
      <w:bookmarkEnd w:id="101"/>
      <w:bookmarkEnd w:id="102"/>
    </w:p>
    <w:p w14:paraId="578CD1DC"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 contribución de TI a la Corporación se puede resumir a través del enunciado:</w:t>
      </w:r>
    </w:p>
    <w:p w14:paraId="505BC6DA" w14:textId="380C839D" w:rsidR="001C3E10" w:rsidRPr="001C3E10" w:rsidRDefault="001C3E10" w:rsidP="001C3E10">
      <w:pPr>
        <w:spacing w:line="276" w:lineRule="auto"/>
        <w:ind w:left="567" w:right="996"/>
        <w:jc w:val="both"/>
        <w:rPr>
          <w:rFonts w:asciiTheme="minorHAnsi" w:hAnsiTheme="minorHAnsi"/>
          <w:i/>
          <w:sz w:val="22"/>
          <w:szCs w:val="22"/>
        </w:rPr>
      </w:pPr>
      <w:r w:rsidRPr="001C3E10">
        <w:rPr>
          <w:rFonts w:asciiTheme="minorHAnsi" w:hAnsiTheme="minorHAnsi"/>
          <w:i/>
          <w:sz w:val="22"/>
          <w:szCs w:val="22"/>
        </w:rPr>
        <w:t>La Corporación tendrá éxito en su gestión en la medida en la que logre mantener la estabilidad interna y externa de la moneda, su conversión a otras monedas y colaborar en el pleno uso de los recursos productivos. Desde la perspectiva de regulación y supervisión del sistema financiero costarricense, el éxito se alcanzará en la medida en que se logre la introducción de un sistema de supervisión basado en riesgo (enfoque micro</w:t>
      </w:r>
      <w:r>
        <w:rPr>
          <w:rFonts w:asciiTheme="minorHAnsi" w:hAnsiTheme="minorHAnsi"/>
          <w:i/>
          <w:sz w:val="22"/>
          <w:szCs w:val="22"/>
        </w:rPr>
        <w:t xml:space="preserve"> </w:t>
      </w:r>
      <w:r w:rsidRPr="001C3E10">
        <w:rPr>
          <w:rFonts w:asciiTheme="minorHAnsi" w:hAnsiTheme="minorHAnsi"/>
          <w:i/>
          <w:sz w:val="22"/>
          <w:szCs w:val="22"/>
        </w:rPr>
        <w:t>prudencial), la evaluación de los potenciales riesgos a nivel de todo el sistema financiero (enfoque macro</w:t>
      </w:r>
      <w:r>
        <w:rPr>
          <w:rFonts w:asciiTheme="minorHAnsi" w:hAnsiTheme="minorHAnsi"/>
          <w:i/>
          <w:sz w:val="22"/>
          <w:szCs w:val="22"/>
        </w:rPr>
        <w:t xml:space="preserve"> </w:t>
      </w:r>
      <w:r w:rsidRPr="001C3E10">
        <w:rPr>
          <w:rFonts w:asciiTheme="minorHAnsi" w:hAnsiTheme="minorHAnsi"/>
          <w:i/>
          <w:sz w:val="22"/>
          <w:szCs w:val="22"/>
        </w:rPr>
        <w:t>prudencial), la protección y educación de los consumidores de servicios y productos financieros y la integración institucional del sistema de supervisión. La Tecnología de la Información le brindará a la Corporación herramientas tecnológicas que funcionen con el nivel de disponibilidad, eficiencia, seguridad, riesgo y costo que necesitan las áreas sustantivas y de apoyo, así como los ODM para lograr sus objetivos. Además, creará nuevas herramientas y mejorará las ya existentes con el nivel de calidad que permita satisfacer las necesidades de la organización.</w:t>
      </w:r>
    </w:p>
    <w:p w14:paraId="392DEFBB" w14:textId="77777777" w:rsidR="00B30C48" w:rsidRDefault="00B30C48" w:rsidP="001C3E10">
      <w:pPr>
        <w:spacing w:line="276" w:lineRule="auto"/>
        <w:jc w:val="both"/>
        <w:rPr>
          <w:rFonts w:asciiTheme="minorHAnsi" w:hAnsiTheme="minorHAnsi"/>
          <w:sz w:val="22"/>
          <w:szCs w:val="22"/>
        </w:rPr>
      </w:pPr>
    </w:p>
    <w:p w14:paraId="6BE8828B" w14:textId="30A592FD"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El anterior enunciado se sustenta en el hecho de que en términos generales la contribución que la Tecnología de la Información brinda a una organización se agrupa en las tres siguientes áreas, mostradas en la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_Ref406536295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D81356" w:rsidRPr="001C3E10">
        <w:rPr>
          <w:rFonts w:asciiTheme="minorHAnsi" w:hAnsiTheme="minorHAnsi"/>
          <w:sz w:val="22"/>
          <w:szCs w:val="22"/>
        </w:rPr>
        <w:t xml:space="preserve">Figura </w:t>
      </w:r>
      <w:r w:rsidR="00D81356">
        <w:rPr>
          <w:rFonts w:asciiTheme="minorHAnsi" w:hAnsiTheme="minorHAnsi"/>
          <w:noProof/>
          <w:sz w:val="22"/>
          <w:szCs w:val="22"/>
        </w:rPr>
        <w:t>3</w:t>
      </w:r>
      <w:r w:rsidRPr="001C3E10">
        <w:rPr>
          <w:rFonts w:asciiTheme="minorHAnsi" w:hAnsiTheme="minorHAnsi"/>
          <w:sz w:val="22"/>
          <w:szCs w:val="22"/>
        </w:rPr>
        <w:fldChar w:fldCharType="end"/>
      </w:r>
      <w:r w:rsidRPr="001C3E10">
        <w:rPr>
          <w:rFonts w:asciiTheme="minorHAnsi" w:hAnsiTheme="minorHAnsi"/>
          <w:sz w:val="22"/>
          <w:szCs w:val="22"/>
        </w:rPr>
        <w:t>:</w:t>
      </w:r>
    </w:p>
    <w:p w14:paraId="51E4F72C" w14:textId="77777777" w:rsidR="001C3E10" w:rsidRPr="001C3E10" w:rsidRDefault="001C3E10" w:rsidP="001C3E10">
      <w:pPr>
        <w:keepNext/>
        <w:spacing w:line="276" w:lineRule="auto"/>
        <w:jc w:val="both"/>
        <w:rPr>
          <w:rFonts w:asciiTheme="minorHAnsi" w:hAnsiTheme="minorHAnsi"/>
          <w:sz w:val="22"/>
          <w:szCs w:val="22"/>
        </w:rPr>
      </w:pPr>
      <w:r w:rsidRPr="001C3E10">
        <w:rPr>
          <w:rFonts w:asciiTheme="minorHAnsi" w:hAnsiTheme="minorHAnsi"/>
          <w:noProof/>
          <w:sz w:val="22"/>
          <w:szCs w:val="22"/>
        </w:rPr>
        <w:lastRenderedPageBreak/>
        <w:drawing>
          <wp:inline distT="0" distB="0" distL="0" distR="0" wp14:anchorId="7CFCA56A" wp14:editId="0362C8C6">
            <wp:extent cx="5612130" cy="3364280"/>
            <wp:effectExtent l="0" t="0" r="7620" b="762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612130" cy="3364280"/>
                    </a:xfrm>
                    <a:prstGeom prst="rect">
                      <a:avLst/>
                    </a:prstGeom>
                  </pic:spPr>
                </pic:pic>
              </a:graphicData>
            </a:graphic>
          </wp:inline>
        </w:drawing>
      </w:r>
    </w:p>
    <w:p w14:paraId="57EB2362" w14:textId="77777777" w:rsidR="001C3E10" w:rsidRPr="001C3E10" w:rsidRDefault="001C3E10" w:rsidP="001C3E10">
      <w:pPr>
        <w:pStyle w:val="Descripcin"/>
        <w:spacing w:line="276" w:lineRule="auto"/>
        <w:jc w:val="both"/>
        <w:rPr>
          <w:rFonts w:asciiTheme="minorHAnsi" w:hAnsiTheme="minorHAnsi"/>
          <w:sz w:val="22"/>
          <w:szCs w:val="22"/>
        </w:rPr>
      </w:pPr>
      <w:bookmarkStart w:id="103" w:name="_Ref406536295"/>
      <w:r w:rsidRPr="001C3E10">
        <w:rPr>
          <w:rFonts w:asciiTheme="minorHAnsi" w:hAnsiTheme="minorHAnsi"/>
          <w:sz w:val="22"/>
          <w:szCs w:val="22"/>
        </w:rPr>
        <w:t xml:space="preserve">Figura </w:t>
      </w:r>
      <w:r w:rsidRPr="001C3E10">
        <w:rPr>
          <w:rFonts w:asciiTheme="minorHAnsi" w:hAnsiTheme="minorHAnsi"/>
          <w:sz w:val="22"/>
          <w:szCs w:val="22"/>
        </w:rPr>
        <w:fldChar w:fldCharType="begin"/>
      </w:r>
      <w:r w:rsidRPr="001C3E10">
        <w:rPr>
          <w:rFonts w:asciiTheme="minorHAnsi" w:hAnsiTheme="minorHAnsi"/>
          <w:sz w:val="22"/>
          <w:szCs w:val="22"/>
        </w:rPr>
        <w:instrText xml:space="preserve"> SEQ Figura \* ARABIC </w:instrText>
      </w:r>
      <w:r w:rsidRPr="001C3E10">
        <w:rPr>
          <w:rFonts w:asciiTheme="minorHAnsi" w:hAnsiTheme="minorHAnsi"/>
          <w:sz w:val="22"/>
          <w:szCs w:val="22"/>
        </w:rPr>
        <w:fldChar w:fldCharType="separate"/>
      </w:r>
      <w:r w:rsidR="00D81356">
        <w:rPr>
          <w:rFonts w:asciiTheme="minorHAnsi" w:hAnsiTheme="minorHAnsi"/>
          <w:noProof/>
          <w:sz w:val="22"/>
          <w:szCs w:val="22"/>
        </w:rPr>
        <w:t>3</w:t>
      </w:r>
      <w:r w:rsidRPr="001C3E10">
        <w:rPr>
          <w:rFonts w:asciiTheme="minorHAnsi" w:hAnsiTheme="minorHAnsi"/>
          <w:noProof/>
          <w:sz w:val="22"/>
          <w:szCs w:val="22"/>
        </w:rPr>
        <w:fldChar w:fldCharType="end"/>
      </w:r>
      <w:bookmarkEnd w:id="103"/>
      <w:r w:rsidRPr="001C3E10">
        <w:rPr>
          <w:rFonts w:asciiTheme="minorHAnsi" w:hAnsiTheme="minorHAnsi"/>
          <w:sz w:val="22"/>
          <w:szCs w:val="22"/>
        </w:rPr>
        <w:t>: Aporte de valor de TI a una organización.</w:t>
      </w:r>
    </w:p>
    <w:p w14:paraId="72B93C9E" w14:textId="77777777" w:rsidR="001C3E10" w:rsidRPr="001C3E10" w:rsidRDefault="001C3E10" w:rsidP="00547B19">
      <w:pPr>
        <w:pStyle w:val="Prrafodelista"/>
        <w:numPr>
          <w:ilvl w:val="0"/>
          <w:numId w:val="30"/>
        </w:numPr>
        <w:spacing w:after="200" w:line="276" w:lineRule="auto"/>
        <w:ind w:left="708"/>
        <w:rPr>
          <w:rFonts w:asciiTheme="minorHAnsi" w:hAnsiTheme="minorHAnsi"/>
          <w:sz w:val="22"/>
        </w:rPr>
      </w:pPr>
      <w:r w:rsidRPr="001C3E10">
        <w:rPr>
          <w:rFonts w:asciiTheme="minorHAnsi" w:hAnsiTheme="minorHAnsi"/>
          <w:b/>
          <w:sz w:val="22"/>
        </w:rPr>
        <w:t xml:space="preserve">Operaciones. </w:t>
      </w:r>
      <w:r w:rsidRPr="001C3E10">
        <w:rPr>
          <w:rFonts w:asciiTheme="minorHAnsi" w:hAnsiTheme="minorHAnsi"/>
          <w:sz w:val="22"/>
        </w:rPr>
        <w:t>Soporte requerido para que las herramientas tecnológicas utilizadas por la organización operen dentro de los  niveles de calidad acordados.</w:t>
      </w:r>
    </w:p>
    <w:p w14:paraId="47576751" w14:textId="77777777" w:rsidR="001C3E10" w:rsidRPr="001C3E10" w:rsidRDefault="001C3E10" w:rsidP="00547B19">
      <w:pPr>
        <w:pStyle w:val="Prrafodelista"/>
        <w:numPr>
          <w:ilvl w:val="0"/>
          <w:numId w:val="30"/>
        </w:numPr>
        <w:spacing w:after="200" w:line="276" w:lineRule="auto"/>
        <w:ind w:left="708"/>
        <w:rPr>
          <w:rFonts w:asciiTheme="minorHAnsi" w:hAnsiTheme="minorHAnsi"/>
          <w:sz w:val="22"/>
        </w:rPr>
      </w:pPr>
      <w:r w:rsidRPr="001C3E10">
        <w:rPr>
          <w:rFonts w:asciiTheme="minorHAnsi" w:hAnsiTheme="minorHAnsi"/>
          <w:b/>
          <w:sz w:val="22"/>
        </w:rPr>
        <w:t xml:space="preserve">Crecimiento. </w:t>
      </w:r>
      <w:r w:rsidRPr="001C3E10">
        <w:rPr>
          <w:rFonts w:asciiTheme="minorHAnsi" w:hAnsiTheme="minorHAnsi"/>
          <w:sz w:val="22"/>
        </w:rPr>
        <w:t>Mejoras realizadas a las herramientas tecnológicas para incorporar o mejorar capacidades en la organización, para brindar sus servicios o productos.</w:t>
      </w:r>
    </w:p>
    <w:p w14:paraId="7F237A3E" w14:textId="77777777" w:rsidR="001C3E10" w:rsidRPr="001C3E10" w:rsidRDefault="001C3E10" w:rsidP="00547B19">
      <w:pPr>
        <w:pStyle w:val="Prrafodelista"/>
        <w:numPr>
          <w:ilvl w:val="0"/>
          <w:numId w:val="30"/>
        </w:numPr>
        <w:spacing w:after="200" w:line="276" w:lineRule="auto"/>
        <w:ind w:left="708"/>
        <w:rPr>
          <w:rFonts w:asciiTheme="minorHAnsi" w:hAnsiTheme="minorHAnsi"/>
          <w:sz w:val="22"/>
        </w:rPr>
      </w:pPr>
      <w:r w:rsidRPr="001C3E10">
        <w:rPr>
          <w:rFonts w:asciiTheme="minorHAnsi" w:hAnsiTheme="minorHAnsi"/>
          <w:b/>
          <w:sz w:val="22"/>
        </w:rPr>
        <w:t xml:space="preserve">Transformación. </w:t>
      </w:r>
      <w:r w:rsidRPr="001C3E10">
        <w:rPr>
          <w:rFonts w:asciiTheme="minorHAnsi" w:hAnsiTheme="minorHAnsi"/>
          <w:sz w:val="22"/>
        </w:rPr>
        <w:t xml:space="preserve">Desarrollo de iniciativas para brindar nuevos servicios o productos, nuevos mercados y nuevos modelos de negocio. </w:t>
      </w:r>
    </w:p>
    <w:p w14:paraId="0F15AB57"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Enfocados en estas  tres áreas, la DST plantea los siguientes objetivos estratégicos para la gestión  de la Tecnología de la Información, a través de los cuales se busca dar cumplimiento a las necesidades del Banco Central de Costa Rica:</w:t>
      </w:r>
    </w:p>
    <w:p w14:paraId="4D5AE42C" w14:textId="77777777" w:rsidR="001C3E10" w:rsidRPr="001C3E10" w:rsidRDefault="001C3E10" w:rsidP="00547B19">
      <w:pPr>
        <w:pStyle w:val="Prrafodelista"/>
        <w:numPr>
          <w:ilvl w:val="0"/>
          <w:numId w:val="30"/>
        </w:numPr>
        <w:spacing w:after="200" w:line="276" w:lineRule="auto"/>
        <w:ind w:left="708"/>
        <w:rPr>
          <w:rFonts w:asciiTheme="minorHAnsi" w:hAnsiTheme="minorHAnsi"/>
          <w:sz w:val="22"/>
        </w:rPr>
      </w:pPr>
      <w:r w:rsidRPr="001C3E10">
        <w:rPr>
          <w:rFonts w:asciiTheme="minorHAnsi" w:hAnsiTheme="minorHAnsi"/>
          <w:b/>
          <w:sz w:val="22"/>
        </w:rPr>
        <w:t>Operaciones</w:t>
      </w:r>
      <w:r w:rsidRPr="001C3E10">
        <w:rPr>
          <w:rFonts w:asciiTheme="minorHAnsi" w:hAnsiTheme="minorHAnsi"/>
          <w:sz w:val="22"/>
        </w:rPr>
        <w:t xml:space="preserve">: Fortalecer la operación de los servicios críticos, incorporando a los Acuerdos de Nivel de Servicio que la DST tiene suscritos con las áreas a las que provee tecnología, compromisos sobre Disponibilidad y Costo de las soluciones tecnológicas y lograr un nivel de cumplimiento del 90% de estos acuerdos, antes de finalizar el año 2018. </w:t>
      </w:r>
    </w:p>
    <w:p w14:paraId="4906868E" w14:textId="77777777" w:rsidR="001C3E10" w:rsidRPr="001C3E10" w:rsidRDefault="001C3E10" w:rsidP="00547B19">
      <w:pPr>
        <w:pStyle w:val="Prrafodelista"/>
        <w:numPr>
          <w:ilvl w:val="0"/>
          <w:numId w:val="30"/>
        </w:numPr>
        <w:spacing w:after="200" w:line="276" w:lineRule="auto"/>
        <w:rPr>
          <w:rFonts w:asciiTheme="minorHAnsi" w:hAnsiTheme="minorHAnsi"/>
          <w:sz w:val="22"/>
        </w:rPr>
      </w:pPr>
      <w:r w:rsidRPr="001C3E10">
        <w:rPr>
          <w:rFonts w:asciiTheme="minorHAnsi" w:hAnsiTheme="minorHAnsi"/>
          <w:b/>
          <w:sz w:val="22"/>
        </w:rPr>
        <w:t>Crecimiento</w:t>
      </w:r>
      <w:r w:rsidRPr="001C3E10">
        <w:rPr>
          <w:rFonts w:asciiTheme="minorHAnsi" w:hAnsiTheme="minorHAnsi"/>
          <w:sz w:val="22"/>
        </w:rPr>
        <w:t>: Entregar el 90% de las mejoras que impactan a los servicios críticos con una desviación menor al 10% en los compromisos adquiridos, con el propósito de apoyar el crecimiento de las áreas sustantivas, antes de finalizar el año 2018.</w:t>
      </w:r>
    </w:p>
    <w:p w14:paraId="27094AB2" w14:textId="77777777" w:rsidR="001C3E10" w:rsidRPr="001C3E10" w:rsidRDefault="001C3E10" w:rsidP="00547B19">
      <w:pPr>
        <w:pStyle w:val="Prrafodelista"/>
        <w:numPr>
          <w:ilvl w:val="0"/>
          <w:numId w:val="30"/>
        </w:numPr>
        <w:spacing w:after="200" w:line="276" w:lineRule="auto"/>
        <w:ind w:left="708"/>
        <w:rPr>
          <w:rFonts w:asciiTheme="minorHAnsi" w:hAnsiTheme="minorHAnsi"/>
          <w:sz w:val="22"/>
        </w:rPr>
      </w:pPr>
      <w:r w:rsidRPr="001C3E10">
        <w:rPr>
          <w:rFonts w:asciiTheme="minorHAnsi" w:hAnsiTheme="minorHAnsi"/>
          <w:b/>
          <w:sz w:val="22"/>
        </w:rPr>
        <w:t>Transformación</w:t>
      </w:r>
      <w:r w:rsidRPr="001C3E10">
        <w:rPr>
          <w:rFonts w:asciiTheme="minorHAnsi" w:hAnsiTheme="minorHAnsi"/>
          <w:sz w:val="22"/>
        </w:rPr>
        <w:t xml:space="preserve">: Apoyar la transformación de las áreas sustantivas a través del cumplimiento de los compromisos adquiridos para cada proyecto y lograr un 90% en el nivel de cumplimiento de los esfuerzos de transformación, antes de finalizar el año 2018. </w:t>
      </w:r>
    </w:p>
    <w:p w14:paraId="2A835A58"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lastRenderedPageBreak/>
        <w:t>A esta propuesta de valor se agrega el dar cumplimiento a la voluntad de las autoridades superiores del Banco Central, en relación con la integración de los departamentos de TI de los ODM con la DST, para lo cual se plantea el objetivo:</w:t>
      </w:r>
    </w:p>
    <w:p w14:paraId="0C2DA6FB" w14:textId="77777777" w:rsidR="001C3E10" w:rsidRPr="001C3E10" w:rsidRDefault="001C3E10" w:rsidP="00547B19">
      <w:pPr>
        <w:pStyle w:val="Prrafodelista"/>
        <w:numPr>
          <w:ilvl w:val="0"/>
          <w:numId w:val="30"/>
        </w:numPr>
        <w:spacing w:after="200" w:line="276" w:lineRule="auto"/>
        <w:ind w:left="708"/>
        <w:rPr>
          <w:rFonts w:asciiTheme="minorHAnsi" w:hAnsiTheme="minorHAnsi"/>
          <w:sz w:val="22"/>
        </w:rPr>
      </w:pPr>
      <w:r w:rsidRPr="001C3E10">
        <w:rPr>
          <w:rFonts w:asciiTheme="minorHAnsi" w:hAnsiTheme="minorHAnsi"/>
          <w:b/>
          <w:sz w:val="22"/>
        </w:rPr>
        <w:t>Integración</w:t>
      </w:r>
      <w:r w:rsidRPr="001C3E10">
        <w:rPr>
          <w:rFonts w:asciiTheme="minorHAnsi" w:hAnsiTheme="minorHAnsi"/>
          <w:sz w:val="22"/>
        </w:rPr>
        <w:t xml:space="preserve">: Brindar los servicios de TI a todas las dependencias de la Corporación utilizando los mismos procesos, herramientas y competencias en el personal de TI, antes de finalizar el año 2018. </w:t>
      </w:r>
    </w:p>
    <w:p w14:paraId="4E6BA9D3" w14:textId="5B04B6D2"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El cumplimiento de los objetivos planteados será posible a través de acciones que se proponen realizar sobre tres elementos de la organización, según se muestra en la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_Ref410990381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D81356" w:rsidRPr="001C3E10">
        <w:rPr>
          <w:rFonts w:asciiTheme="minorHAnsi" w:hAnsiTheme="minorHAnsi"/>
          <w:sz w:val="22"/>
          <w:szCs w:val="22"/>
        </w:rPr>
        <w:t xml:space="preserve">Figura </w:t>
      </w:r>
      <w:r w:rsidR="00D81356">
        <w:rPr>
          <w:rFonts w:asciiTheme="minorHAnsi" w:hAnsiTheme="minorHAnsi"/>
          <w:noProof/>
          <w:sz w:val="22"/>
          <w:szCs w:val="22"/>
        </w:rPr>
        <w:t>4</w:t>
      </w:r>
      <w:r w:rsidRPr="001C3E10">
        <w:rPr>
          <w:rFonts w:asciiTheme="minorHAnsi" w:hAnsiTheme="minorHAnsi"/>
          <w:sz w:val="22"/>
          <w:szCs w:val="22"/>
        </w:rPr>
        <w:fldChar w:fldCharType="end"/>
      </w:r>
      <w:r w:rsidRPr="001C3E10">
        <w:rPr>
          <w:rFonts w:asciiTheme="minorHAnsi" w:hAnsiTheme="minorHAnsi"/>
          <w:sz w:val="22"/>
          <w:szCs w:val="22"/>
        </w:rPr>
        <w:t xml:space="preserve">: </w:t>
      </w:r>
    </w:p>
    <w:p w14:paraId="135ED7CD" w14:textId="77777777" w:rsidR="001C3E10" w:rsidRPr="001C3E10" w:rsidRDefault="001C3E10" w:rsidP="001C3E10">
      <w:pPr>
        <w:keepNext/>
        <w:jc w:val="center"/>
        <w:rPr>
          <w:rFonts w:asciiTheme="minorHAnsi" w:hAnsiTheme="minorHAnsi"/>
          <w:sz w:val="22"/>
          <w:szCs w:val="22"/>
        </w:rPr>
      </w:pPr>
      <w:r w:rsidRPr="001C3E10">
        <w:rPr>
          <w:rFonts w:asciiTheme="minorHAnsi" w:hAnsiTheme="minorHAnsi"/>
          <w:noProof/>
          <w:sz w:val="22"/>
          <w:szCs w:val="22"/>
        </w:rPr>
        <w:drawing>
          <wp:inline distT="0" distB="0" distL="0" distR="0" wp14:anchorId="7FBD11BE" wp14:editId="5C738E48">
            <wp:extent cx="4171950" cy="2604351"/>
            <wp:effectExtent l="0" t="0" r="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4187025" cy="2613762"/>
                    </a:xfrm>
                    <a:prstGeom prst="rect">
                      <a:avLst/>
                    </a:prstGeom>
                  </pic:spPr>
                </pic:pic>
              </a:graphicData>
            </a:graphic>
          </wp:inline>
        </w:drawing>
      </w:r>
    </w:p>
    <w:p w14:paraId="38898646" w14:textId="77777777" w:rsidR="001C3E10" w:rsidRPr="001C3E10" w:rsidRDefault="001C3E10" w:rsidP="001C3E10">
      <w:pPr>
        <w:pStyle w:val="Descripcin"/>
        <w:tabs>
          <w:tab w:val="center" w:pos="4680"/>
          <w:tab w:val="right" w:pos="9360"/>
        </w:tabs>
        <w:jc w:val="both"/>
        <w:rPr>
          <w:rFonts w:asciiTheme="minorHAnsi" w:hAnsiTheme="minorHAnsi"/>
          <w:sz w:val="22"/>
          <w:szCs w:val="22"/>
        </w:rPr>
      </w:pPr>
      <w:bookmarkStart w:id="104" w:name="_Ref406536837"/>
      <w:r w:rsidRPr="001C3E10">
        <w:rPr>
          <w:rFonts w:asciiTheme="minorHAnsi" w:hAnsiTheme="minorHAnsi"/>
          <w:sz w:val="22"/>
          <w:szCs w:val="22"/>
        </w:rPr>
        <w:tab/>
      </w:r>
      <w:bookmarkStart w:id="105" w:name="_Ref410990381"/>
      <w:r w:rsidRPr="001C3E10">
        <w:rPr>
          <w:rFonts w:asciiTheme="minorHAnsi" w:hAnsiTheme="minorHAnsi"/>
          <w:sz w:val="22"/>
          <w:szCs w:val="22"/>
        </w:rPr>
        <w:t xml:space="preserve">Figura </w:t>
      </w:r>
      <w:r w:rsidRPr="001C3E10">
        <w:rPr>
          <w:rFonts w:asciiTheme="minorHAnsi" w:hAnsiTheme="minorHAnsi"/>
          <w:sz w:val="22"/>
          <w:szCs w:val="22"/>
        </w:rPr>
        <w:fldChar w:fldCharType="begin"/>
      </w:r>
      <w:r w:rsidRPr="001C3E10">
        <w:rPr>
          <w:rFonts w:asciiTheme="minorHAnsi" w:hAnsiTheme="minorHAnsi"/>
          <w:sz w:val="22"/>
          <w:szCs w:val="22"/>
        </w:rPr>
        <w:instrText xml:space="preserve"> SEQ Figura \* ARABIC </w:instrText>
      </w:r>
      <w:r w:rsidRPr="001C3E10">
        <w:rPr>
          <w:rFonts w:asciiTheme="minorHAnsi" w:hAnsiTheme="minorHAnsi"/>
          <w:sz w:val="22"/>
          <w:szCs w:val="22"/>
        </w:rPr>
        <w:fldChar w:fldCharType="separate"/>
      </w:r>
      <w:r w:rsidR="00D81356">
        <w:rPr>
          <w:rFonts w:asciiTheme="minorHAnsi" w:hAnsiTheme="minorHAnsi"/>
          <w:noProof/>
          <w:sz w:val="22"/>
          <w:szCs w:val="22"/>
        </w:rPr>
        <w:t>4</w:t>
      </w:r>
      <w:r w:rsidRPr="001C3E10">
        <w:rPr>
          <w:rFonts w:asciiTheme="minorHAnsi" w:hAnsiTheme="minorHAnsi"/>
          <w:noProof/>
          <w:sz w:val="22"/>
          <w:szCs w:val="22"/>
        </w:rPr>
        <w:fldChar w:fldCharType="end"/>
      </w:r>
      <w:bookmarkEnd w:id="104"/>
      <w:bookmarkEnd w:id="105"/>
      <w:r w:rsidRPr="001C3E10">
        <w:rPr>
          <w:rFonts w:asciiTheme="minorHAnsi" w:hAnsiTheme="minorHAnsi"/>
          <w:sz w:val="22"/>
          <w:szCs w:val="22"/>
        </w:rPr>
        <w:t>: Alineamiento de TI con la Estrategia institucional.</w:t>
      </w:r>
    </w:p>
    <w:p w14:paraId="0EF10B1E" w14:textId="77777777" w:rsidR="001C3E10" w:rsidRPr="001C3E10" w:rsidRDefault="001C3E10" w:rsidP="00547B19">
      <w:pPr>
        <w:pStyle w:val="Prrafodelista"/>
        <w:numPr>
          <w:ilvl w:val="0"/>
          <w:numId w:val="36"/>
        </w:numPr>
        <w:spacing w:after="200" w:line="276" w:lineRule="auto"/>
        <w:rPr>
          <w:rFonts w:asciiTheme="minorHAnsi" w:hAnsiTheme="minorHAnsi"/>
          <w:b/>
          <w:sz w:val="22"/>
        </w:rPr>
      </w:pPr>
      <w:r w:rsidRPr="001C3E10">
        <w:rPr>
          <w:rFonts w:asciiTheme="minorHAnsi" w:hAnsiTheme="minorHAnsi"/>
          <w:b/>
          <w:sz w:val="22"/>
        </w:rPr>
        <w:t xml:space="preserve">Personas. </w:t>
      </w:r>
      <w:r w:rsidRPr="001C3E10">
        <w:rPr>
          <w:rFonts w:asciiTheme="minorHAnsi" w:hAnsiTheme="minorHAnsi"/>
          <w:sz w:val="22"/>
        </w:rPr>
        <w:t>Desarrollo de las capacidades del personal que brinda los servicios tecnológicos, de acuerdo con las necesidades de la organización.</w:t>
      </w:r>
    </w:p>
    <w:p w14:paraId="50442FA6" w14:textId="77777777" w:rsidR="001C3E10" w:rsidRPr="001C3E10" w:rsidRDefault="001C3E10" w:rsidP="00547B19">
      <w:pPr>
        <w:pStyle w:val="Prrafodelista"/>
        <w:numPr>
          <w:ilvl w:val="0"/>
          <w:numId w:val="36"/>
        </w:numPr>
        <w:spacing w:after="200" w:line="276" w:lineRule="auto"/>
        <w:rPr>
          <w:rFonts w:asciiTheme="minorHAnsi" w:hAnsiTheme="minorHAnsi"/>
          <w:b/>
          <w:sz w:val="22"/>
        </w:rPr>
      </w:pPr>
      <w:r w:rsidRPr="001C3E10">
        <w:rPr>
          <w:rFonts w:asciiTheme="minorHAnsi" w:hAnsiTheme="minorHAnsi"/>
          <w:b/>
          <w:sz w:val="22"/>
        </w:rPr>
        <w:t>Herramientas.</w:t>
      </w:r>
      <w:r w:rsidRPr="001C3E10">
        <w:rPr>
          <w:rFonts w:asciiTheme="minorHAnsi" w:hAnsiTheme="minorHAnsi"/>
          <w:sz w:val="22"/>
        </w:rPr>
        <w:t xml:space="preserve"> Mejora en las herramientas utilizadas para facilitar el desarrollo de los procesos.</w:t>
      </w:r>
    </w:p>
    <w:p w14:paraId="62E4E485" w14:textId="77777777" w:rsidR="001C3E10" w:rsidRPr="001C3E10" w:rsidRDefault="001C3E10" w:rsidP="00547B19">
      <w:pPr>
        <w:pStyle w:val="Prrafodelista"/>
        <w:numPr>
          <w:ilvl w:val="0"/>
          <w:numId w:val="36"/>
        </w:numPr>
        <w:spacing w:after="200" w:line="276" w:lineRule="auto"/>
        <w:rPr>
          <w:rFonts w:asciiTheme="minorHAnsi" w:hAnsiTheme="minorHAnsi"/>
          <w:b/>
          <w:sz w:val="22"/>
        </w:rPr>
      </w:pPr>
      <w:r w:rsidRPr="001C3E10">
        <w:rPr>
          <w:rFonts w:asciiTheme="minorHAnsi" w:hAnsiTheme="minorHAnsi"/>
          <w:b/>
          <w:sz w:val="22"/>
        </w:rPr>
        <w:t>Procesos.</w:t>
      </w:r>
      <w:r w:rsidRPr="001C3E10">
        <w:rPr>
          <w:rFonts w:asciiTheme="minorHAnsi" w:hAnsiTheme="minorHAnsi"/>
          <w:sz w:val="22"/>
        </w:rPr>
        <w:t xml:space="preserve"> Mejora de los procesos de la Corporación, para permitir la mejora en la eficiencia de la organización y en la agilidad operativa.</w:t>
      </w:r>
    </w:p>
    <w:p w14:paraId="021FADC5" w14:textId="5EE68661"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Estos tres elementos se derivan directamente de lo establecido en el segundo conjunto de mandatos estratégicos de la Corporación, relacionados con la excelencia operacional, descritos en la sección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_Ref405280852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D81356" w:rsidRPr="001C3E10">
        <w:rPr>
          <w:rFonts w:asciiTheme="minorHAnsi" w:hAnsiTheme="minorHAnsi"/>
          <w:sz w:val="22"/>
          <w:szCs w:val="22"/>
        </w:rPr>
        <w:t>Criterios de éxito de la organización</w:t>
      </w:r>
      <w:r w:rsidRPr="001C3E10">
        <w:rPr>
          <w:rFonts w:asciiTheme="minorHAnsi" w:hAnsiTheme="minorHAnsi"/>
          <w:sz w:val="22"/>
          <w:szCs w:val="22"/>
        </w:rPr>
        <w:fldChar w:fldCharType="end"/>
      </w:r>
      <w:r w:rsidRPr="001C3E10">
        <w:rPr>
          <w:rFonts w:asciiTheme="minorHAnsi" w:hAnsiTheme="minorHAnsi"/>
          <w:sz w:val="22"/>
          <w:szCs w:val="22"/>
        </w:rPr>
        <w:t xml:space="preserve"> de este documento. Con un trabajo enfocado en estos elementos, la DST logrará mejorar la excelencia operacional, acorde con lo que la Corporación establece. Consecuentemente con los logros que se obtengan en las dos últimas áreas mencionadas (herramientas y procesos) se apoyará a las Divisiones y ODM de la Corporación en su mejora y en el alcance de su excelencia operacional.</w:t>
      </w:r>
    </w:p>
    <w:p w14:paraId="1459FDD1" w14:textId="77777777" w:rsidR="001C3E10" w:rsidRPr="001C3E10" w:rsidRDefault="001C3E10" w:rsidP="00547B19">
      <w:pPr>
        <w:pStyle w:val="Ttulo1"/>
        <w:keepLines/>
        <w:numPr>
          <w:ilvl w:val="0"/>
          <w:numId w:val="45"/>
        </w:numPr>
        <w:spacing w:before="480" w:after="0" w:line="276" w:lineRule="auto"/>
        <w:jc w:val="both"/>
        <w:rPr>
          <w:rFonts w:asciiTheme="minorHAnsi" w:hAnsiTheme="minorHAnsi"/>
          <w:sz w:val="22"/>
          <w:szCs w:val="22"/>
        </w:rPr>
      </w:pPr>
      <w:bookmarkStart w:id="106" w:name="_Ref406443697"/>
      <w:bookmarkStart w:id="107" w:name="_Ref406443795"/>
      <w:bookmarkStart w:id="108" w:name="_Ref410914477"/>
      <w:bookmarkStart w:id="109" w:name="_Ref410915368"/>
      <w:bookmarkStart w:id="110" w:name="_Toc414532013"/>
      <w:bookmarkStart w:id="111" w:name="_Toc429555142"/>
      <w:bookmarkStart w:id="112" w:name="_Toc429562784"/>
      <w:bookmarkStart w:id="113" w:name="_Toc429563094"/>
      <w:bookmarkStart w:id="114" w:name="_Toc429563249"/>
      <w:bookmarkStart w:id="115" w:name="_Toc442253231"/>
      <w:r w:rsidRPr="001C3E10">
        <w:rPr>
          <w:rFonts w:asciiTheme="minorHAnsi" w:hAnsiTheme="minorHAnsi"/>
          <w:sz w:val="22"/>
          <w:szCs w:val="22"/>
        </w:rPr>
        <w:lastRenderedPageBreak/>
        <w:t>Control</w:t>
      </w:r>
      <w:bookmarkEnd w:id="106"/>
      <w:bookmarkEnd w:id="107"/>
      <w:bookmarkEnd w:id="108"/>
      <w:bookmarkEnd w:id="109"/>
      <w:bookmarkEnd w:id="110"/>
      <w:bookmarkEnd w:id="111"/>
      <w:bookmarkEnd w:id="112"/>
      <w:bookmarkEnd w:id="113"/>
      <w:bookmarkEnd w:id="114"/>
      <w:bookmarkEnd w:id="115"/>
    </w:p>
    <w:p w14:paraId="5B6AE496"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116" w:name="_Ref406443612"/>
      <w:bookmarkStart w:id="117" w:name="_Toc414532014"/>
      <w:bookmarkStart w:id="118" w:name="_Toc429555143"/>
      <w:bookmarkStart w:id="119" w:name="_Toc429562785"/>
      <w:bookmarkStart w:id="120" w:name="_Toc429563095"/>
      <w:bookmarkStart w:id="121" w:name="_Toc429563250"/>
      <w:bookmarkStart w:id="122" w:name="_Toc442253232"/>
      <w:r w:rsidRPr="001C3E10">
        <w:rPr>
          <w:rFonts w:asciiTheme="minorHAnsi" w:hAnsiTheme="minorHAnsi"/>
          <w:sz w:val="22"/>
          <w:szCs w:val="22"/>
        </w:rPr>
        <w:t>Principios de TI</w:t>
      </w:r>
      <w:bookmarkEnd w:id="116"/>
      <w:bookmarkEnd w:id="117"/>
      <w:bookmarkEnd w:id="118"/>
      <w:bookmarkEnd w:id="119"/>
      <w:bookmarkEnd w:id="120"/>
      <w:bookmarkEnd w:id="121"/>
      <w:bookmarkEnd w:id="122"/>
    </w:p>
    <w:p w14:paraId="2ED03F09" w14:textId="77777777" w:rsidR="001C3E10" w:rsidRPr="001C3E10" w:rsidRDefault="001C3E10" w:rsidP="001C3E10">
      <w:pPr>
        <w:pStyle w:val="Prrafodelista"/>
        <w:spacing w:line="276" w:lineRule="auto"/>
        <w:rPr>
          <w:rFonts w:asciiTheme="minorHAnsi" w:hAnsiTheme="minorHAnsi"/>
          <w:i/>
          <w:sz w:val="22"/>
        </w:rPr>
      </w:pPr>
    </w:p>
    <w:p w14:paraId="060F0F5E" w14:textId="77777777" w:rsidR="001C3E10" w:rsidRPr="001C3E10" w:rsidRDefault="001C3E10" w:rsidP="00547B19">
      <w:pPr>
        <w:pStyle w:val="Prrafodelista"/>
        <w:numPr>
          <w:ilvl w:val="0"/>
          <w:numId w:val="31"/>
        </w:numPr>
        <w:spacing w:after="200" w:line="276" w:lineRule="auto"/>
        <w:rPr>
          <w:rFonts w:asciiTheme="minorHAnsi" w:hAnsiTheme="minorHAnsi"/>
          <w:i/>
          <w:sz w:val="22"/>
        </w:rPr>
      </w:pPr>
      <w:r w:rsidRPr="001C3E10">
        <w:rPr>
          <w:rFonts w:asciiTheme="minorHAnsi" w:hAnsiTheme="minorHAnsi"/>
          <w:sz w:val="22"/>
        </w:rPr>
        <w:t xml:space="preserve">El rol de la DST es ser el equipo encargado de la administración de la tecnología de la Corporación, aportando valor a través del soporte a las operaciones, así como en la realización de las mejoras y desarrollo de nuevas soluciones de tecnología requeridas por ella. </w:t>
      </w:r>
    </w:p>
    <w:p w14:paraId="0ACD4D7D" w14:textId="77777777" w:rsidR="001C3E10" w:rsidRPr="001C3E10" w:rsidRDefault="001C3E10" w:rsidP="00547B19">
      <w:pPr>
        <w:pStyle w:val="Prrafodelista"/>
        <w:numPr>
          <w:ilvl w:val="0"/>
          <w:numId w:val="31"/>
        </w:numPr>
        <w:spacing w:after="200" w:line="276" w:lineRule="auto"/>
        <w:rPr>
          <w:rFonts w:asciiTheme="minorHAnsi" w:hAnsiTheme="minorHAnsi"/>
          <w:i/>
          <w:sz w:val="22"/>
        </w:rPr>
      </w:pPr>
      <w:r w:rsidRPr="001C3E10">
        <w:rPr>
          <w:rFonts w:asciiTheme="minorHAnsi" w:hAnsiTheme="minorHAnsi"/>
          <w:sz w:val="22"/>
        </w:rPr>
        <w:t>Las capacidades de gestión de la tecnología requeridas para atender proyectos críticos de la Corporación y coordinar los equipos de trabajo de TI, siempre estarán centralizadas en la DST.</w:t>
      </w:r>
    </w:p>
    <w:p w14:paraId="01225AB4" w14:textId="77777777" w:rsidR="001C3E10" w:rsidRPr="001C3E10" w:rsidRDefault="001C3E10" w:rsidP="00547B19">
      <w:pPr>
        <w:pStyle w:val="Prrafodelista"/>
        <w:numPr>
          <w:ilvl w:val="0"/>
          <w:numId w:val="31"/>
        </w:numPr>
        <w:spacing w:after="200" w:line="276" w:lineRule="auto"/>
        <w:rPr>
          <w:rFonts w:asciiTheme="minorHAnsi" w:hAnsiTheme="minorHAnsi"/>
          <w:sz w:val="22"/>
        </w:rPr>
      </w:pPr>
      <w:r w:rsidRPr="001C3E10">
        <w:rPr>
          <w:rFonts w:asciiTheme="minorHAnsi" w:hAnsiTheme="minorHAnsi"/>
          <w:sz w:val="22"/>
        </w:rPr>
        <w:t>La DST custodia la información digital que la Corporación almacena a través de la utilización de la TI, la autorización del uso que a dicha información se dé le corresponderá exclusivamente a las Divisiones y ODM responsables de dicha información.</w:t>
      </w:r>
    </w:p>
    <w:p w14:paraId="1DFE57E7" w14:textId="77777777" w:rsidR="001C3E10" w:rsidRPr="001C3E10" w:rsidRDefault="001C3E10" w:rsidP="00547B19">
      <w:pPr>
        <w:pStyle w:val="Prrafodelista"/>
        <w:numPr>
          <w:ilvl w:val="0"/>
          <w:numId w:val="31"/>
        </w:numPr>
        <w:spacing w:after="200" w:line="276" w:lineRule="auto"/>
        <w:rPr>
          <w:rFonts w:asciiTheme="minorHAnsi" w:hAnsiTheme="minorHAnsi"/>
          <w:i/>
          <w:sz w:val="22"/>
        </w:rPr>
      </w:pPr>
      <w:r w:rsidRPr="001C3E10">
        <w:rPr>
          <w:rFonts w:asciiTheme="minorHAnsi" w:hAnsiTheme="minorHAnsi"/>
          <w:sz w:val="22"/>
        </w:rPr>
        <w:t>La arquitectura tecnológica deberá ser estandarizada e integrada, de manera que brinde simplicidad y orden en la gestión realizada por la DST, e impacte positivamente la eficiencia de costos y los niveles de riesgo que se generen sobre las Soluciones de Negocio.</w:t>
      </w:r>
    </w:p>
    <w:p w14:paraId="417EE859" w14:textId="77777777" w:rsidR="001C3E10" w:rsidRPr="001C3E10" w:rsidRDefault="001C3E10" w:rsidP="00547B19">
      <w:pPr>
        <w:pStyle w:val="Prrafodelista"/>
        <w:numPr>
          <w:ilvl w:val="0"/>
          <w:numId w:val="31"/>
        </w:numPr>
        <w:spacing w:after="200" w:line="276" w:lineRule="auto"/>
        <w:rPr>
          <w:rFonts w:asciiTheme="minorHAnsi" w:hAnsiTheme="minorHAnsi"/>
          <w:i/>
          <w:sz w:val="22"/>
        </w:rPr>
      </w:pPr>
      <w:r w:rsidRPr="001C3E10">
        <w:rPr>
          <w:rFonts w:asciiTheme="minorHAnsi" w:hAnsiTheme="minorHAnsi"/>
          <w:sz w:val="22"/>
        </w:rPr>
        <w:t>Se fomentará brindar a la Corporación las herramientas y los medios que les permitan obtener beneficios a través del análisis de la información requerida para la toma de decisiones.</w:t>
      </w:r>
    </w:p>
    <w:p w14:paraId="3CA482D9" w14:textId="3989BDD8" w:rsidR="001C3E10" w:rsidRPr="001C3E10" w:rsidRDefault="001C3E10" w:rsidP="00547B19">
      <w:pPr>
        <w:pStyle w:val="Prrafodelista"/>
        <w:numPr>
          <w:ilvl w:val="0"/>
          <w:numId w:val="31"/>
        </w:numPr>
        <w:spacing w:after="200" w:line="276" w:lineRule="auto"/>
        <w:rPr>
          <w:rFonts w:asciiTheme="minorHAnsi" w:hAnsiTheme="minorHAnsi"/>
          <w:i/>
          <w:sz w:val="22"/>
        </w:rPr>
      </w:pPr>
      <w:r w:rsidRPr="001C3E10">
        <w:rPr>
          <w:rFonts w:asciiTheme="minorHAnsi" w:hAnsiTheme="minorHAnsi"/>
          <w:sz w:val="22"/>
        </w:rPr>
        <w:t xml:space="preserve">Cada nueva iniciativa que se proponga realizar deberá fundamentarse en un </w:t>
      </w:r>
      <w:r w:rsidRPr="004D7122">
        <w:rPr>
          <w:rFonts w:asciiTheme="minorHAnsi" w:hAnsiTheme="minorHAnsi"/>
          <w:sz w:val="22"/>
        </w:rPr>
        <w:t>caso de negocio</w:t>
      </w:r>
      <w:r w:rsidRPr="001C3E10">
        <w:rPr>
          <w:rFonts w:asciiTheme="minorHAnsi" w:hAnsiTheme="minorHAnsi"/>
          <w:sz w:val="22"/>
        </w:rPr>
        <w:t xml:space="preserve"> que describa los beneficios que la Corporación alcanzará con su desarrollo, identifique los requerimientos a cubrir, las alternativas de aprovisionamiento (compra, alquiler, desarrollo interno, desarrollo externo), así como el costo y el nivel de riesgo de las alternativas de solución.</w:t>
      </w:r>
    </w:p>
    <w:p w14:paraId="0E3C9F31" w14:textId="0EEF431F" w:rsidR="001C3E10" w:rsidRPr="001C3E10" w:rsidRDefault="001C3E10" w:rsidP="00547B19">
      <w:pPr>
        <w:pStyle w:val="Prrafodelista"/>
        <w:numPr>
          <w:ilvl w:val="0"/>
          <w:numId w:val="31"/>
        </w:numPr>
        <w:spacing w:after="200" w:line="276" w:lineRule="auto"/>
        <w:rPr>
          <w:rFonts w:asciiTheme="minorHAnsi" w:hAnsiTheme="minorHAnsi"/>
          <w:i/>
          <w:sz w:val="22"/>
        </w:rPr>
      </w:pPr>
      <w:r w:rsidRPr="001C3E10">
        <w:rPr>
          <w:rFonts w:asciiTheme="minorHAnsi" w:hAnsiTheme="minorHAnsi"/>
          <w:sz w:val="22"/>
        </w:rPr>
        <w:t xml:space="preserve">Cualquier cambio que se realice sobre un </w:t>
      </w:r>
      <w:r w:rsidRPr="004D7122">
        <w:rPr>
          <w:rFonts w:asciiTheme="minorHAnsi" w:hAnsiTheme="minorHAnsi"/>
          <w:sz w:val="22"/>
        </w:rPr>
        <w:t>servicio de TI</w:t>
      </w:r>
      <w:r w:rsidRPr="001C3E10">
        <w:rPr>
          <w:rFonts w:asciiTheme="minorHAnsi" w:hAnsiTheme="minorHAnsi"/>
          <w:sz w:val="22"/>
        </w:rPr>
        <w:t xml:space="preserve"> en operación siempre deberá contar con la justificación, planificación y comunicación que permitan que el nivel de calidad entregado a las Divisiones y ODM encargadas de la misma no se vea reducido. </w:t>
      </w:r>
    </w:p>
    <w:p w14:paraId="46B3E4E8"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123" w:name="_Ref406443614"/>
      <w:bookmarkStart w:id="124" w:name="_Toc414532015"/>
      <w:bookmarkStart w:id="125" w:name="_Toc429555144"/>
      <w:bookmarkStart w:id="126" w:name="_Toc429562786"/>
      <w:bookmarkStart w:id="127" w:name="_Toc429563096"/>
      <w:bookmarkStart w:id="128" w:name="_Toc429563251"/>
      <w:bookmarkStart w:id="129" w:name="_Toc442253233"/>
      <w:r w:rsidRPr="001C3E10">
        <w:rPr>
          <w:rFonts w:asciiTheme="minorHAnsi" w:hAnsiTheme="minorHAnsi"/>
          <w:sz w:val="22"/>
          <w:szCs w:val="22"/>
        </w:rPr>
        <w:t>Gobernanza de TI</w:t>
      </w:r>
      <w:bookmarkEnd w:id="123"/>
      <w:bookmarkEnd w:id="124"/>
      <w:bookmarkEnd w:id="125"/>
      <w:bookmarkEnd w:id="126"/>
      <w:bookmarkEnd w:id="127"/>
      <w:bookmarkEnd w:id="128"/>
      <w:bookmarkEnd w:id="129"/>
    </w:p>
    <w:p w14:paraId="7E616468"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El BCCR delimita la forma en la que “opera e interactúa con la ciudadanía y con los demás interesados en el negocio” a través de su definición de Gobierno Corporativo. Este marco regulatorio se encuentra conformado por reglamentos internos, políticas (de alto nivel y específicas), controles y lineamientos, todos ellos estructurados de manera que se facilite la toma de decisiones.</w:t>
      </w:r>
    </w:p>
    <w:p w14:paraId="7955D89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De manera particular, la toma de decisiones en materia de TI es realizada en el BCCR en diferentes niveles según sea la trascendencia de la decisión a tomar. </w:t>
      </w:r>
    </w:p>
    <w:p w14:paraId="6D63584B"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El primero de estos niveles es el Comité Estratégico de Tecnologías de Información (CETI), el cual es un grupo interdisciplinario de alto nivel nombrado por la Gerencia, que tiene como principales </w:t>
      </w:r>
      <w:r w:rsidRPr="001C3E10">
        <w:rPr>
          <w:rFonts w:asciiTheme="minorHAnsi" w:hAnsiTheme="minorHAnsi"/>
          <w:sz w:val="22"/>
          <w:szCs w:val="22"/>
        </w:rPr>
        <w:lastRenderedPageBreak/>
        <w:t xml:space="preserve">responsabilidades dar guía y dirección estratégica general en materia de tecnologías de información y apoyar en la traducción de la estrategia del Banco en un conjunto priorizado de proyectos. </w:t>
      </w:r>
    </w:p>
    <w:p w14:paraId="173F390C"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En este Comité se encuentran representadas las áreas responsables de la ejecución de los Planes de Servicio de las divisiones sustantivas de la Corporación y por su posición, se encuentra en la capacidad de analizar, desde el punto de vista estratégico, las propuestas e iniciativas de nuevos proyectos, así como la capacidad de proponer la cantidad de personal de la DST a asignar a cada División para atender la operación de las soluciones tecnológicas que administra, con el objetivo de que la Gerencia cuente con los elementos necesarios para tomar las decisiones al respecto. </w:t>
      </w:r>
    </w:p>
    <w:p w14:paraId="5E3A283E" w14:textId="77777777" w:rsidR="00E7765F" w:rsidRDefault="00E7765F" w:rsidP="001C3E10">
      <w:pPr>
        <w:spacing w:line="276" w:lineRule="auto"/>
        <w:jc w:val="both"/>
        <w:rPr>
          <w:rFonts w:asciiTheme="minorHAnsi" w:hAnsiTheme="minorHAnsi"/>
          <w:sz w:val="22"/>
          <w:szCs w:val="22"/>
        </w:rPr>
      </w:pPr>
    </w:p>
    <w:p w14:paraId="6F7C4850"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De manera complementaria, existe también para cada División y para la SUGESE, un Comité de Control de Cambios (CCC), que es nombrado por la Dirección de cada División (Superintendente en el caso de la SUGESE). Es el equipo responsable de apoyar la ejecución de los Planes de Servicio en materia de TI. De forma similar al CETI, este equipo propone una lista priorizada de proyectos con componente tecnológico que apoyan la estrategia particular de la División. Los CCC se encuentran conformados por personal de las áreas responsables de la administración de las soluciones tecnológicas de cada División y  se encuentra en la capacidad de analizar, desde el punto de vista normativo y técnico, las mejoras propuestas por los usuarios y de proponer la prioridad con que se asigne el personal de la DST, con el objetivo de que la División enfoque los recursos de TI asignados y apoyar así la realización de su Plan de Servicio.</w:t>
      </w:r>
    </w:p>
    <w:p w14:paraId="7826BB0C" w14:textId="77777777" w:rsidR="00E7765F" w:rsidRDefault="00E7765F" w:rsidP="001C3E10">
      <w:pPr>
        <w:spacing w:line="276" w:lineRule="auto"/>
        <w:jc w:val="both"/>
        <w:rPr>
          <w:rFonts w:asciiTheme="minorHAnsi" w:hAnsiTheme="minorHAnsi"/>
          <w:sz w:val="22"/>
          <w:szCs w:val="22"/>
        </w:rPr>
      </w:pPr>
    </w:p>
    <w:p w14:paraId="0DEF25CB"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Una de las tareas por atender durante el proceso de integración de los departamentos de TI es el definir la forma en la que se dará la participación de las Superintendencias en el Comité Estratégico de Tecnologías de Información, así como el funcionamiento de los CCC en dichas organizaciones.</w:t>
      </w:r>
    </w:p>
    <w:p w14:paraId="2A89929F"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130" w:name="_Ref406443616"/>
      <w:bookmarkStart w:id="131" w:name="_Toc414532016"/>
      <w:bookmarkStart w:id="132" w:name="_Toc429555145"/>
      <w:bookmarkStart w:id="133" w:name="_Toc429562787"/>
      <w:bookmarkStart w:id="134" w:name="_Toc429563097"/>
      <w:bookmarkStart w:id="135" w:name="_Toc429563252"/>
      <w:bookmarkStart w:id="136" w:name="_Toc442253234"/>
      <w:r w:rsidRPr="001C3E10">
        <w:rPr>
          <w:rFonts w:asciiTheme="minorHAnsi" w:hAnsiTheme="minorHAnsi"/>
          <w:sz w:val="22"/>
          <w:szCs w:val="22"/>
        </w:rPr>
        <w:t>Gestión financiera de TI</w:t>
      </w:r>
      <w:bookmarkEnd w:id="130"/>
      <w:bookmarkEnd w:id="131"/>
      <w:bookmarkEnd w:id="132"/>
      <w:bookmarkEnd w:id="133"/>
      <w:bookmarkEnd w:id="134"/>
      <w:bookmarkEnd w:id="135"/>
      <w:bookmarkEnd w:id="136"/>
    </w:p>
    <w:p w14:paraId="7ACAA83D"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137" w:name="_Toc429555146"/>
      <w:bookmarkStart w:id="138" w:name="_Toc429562788"/>
      <w:bookmarkStart w:id="139" w:name="_Toc429563098"/>
      <w:bookmarkStart w:id="140" w:name="_Toc429563253"/>
      <w:bookmarkStart w:id="141" w:name="_Toc442253235"/>
      <w:r w:rsidRPr="001C3E10">
        <w:rPr>
          <w:rFonts w:asciiTheme="minorHAnsi" w:hAnsiTheme="minorHAnsi"/>
          <w:sz w:val="22"/>
          <w:szCs w:val="22"/>
        </w:rPr>
        <w:t>Presupuesto de TI</w:t>
      </w:r>
      <w:bookmarkEnd w:id="137"/>
      <w:bookmarkEnd w:id="138"/>
      <w:bookmarkEnd w:id="139"/>
      <w:bookmarkEnd w:id="140"/>
      <w:bookmarkEnd w:id="141"/>
    </w:p>
    <w:p w14:paraId="4BA51B21"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El presupuesto de TI de la Corporación se obtiene a través del proceso de formulación presupuestaria institucional, mismo que es regido por la ley, la normativa de la CGR y las políticas específicas institucionales. Según estos lineamientos, toda la Corporación, incluida la DST, estima y justifica su presupuesto para los siguientes tres años, de manera que cada elemento presupuestado se asocie con una meta del plan estratégico institucional. La Junta Directiva, órgano decisor sobre el presupuesto, lo revisa y aprueba, de acuerdo con las restricciones presupuestarias de la entidad. </w:t>
      </w:r>
    </w:p>
    <w:p w14:paraId="180E9B48"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142" w:name="_Toc429555147"/>
      <w:bookmarkStart w:id="143" w:name="_Toc429562789"/>
      <w:bookmarkStart w:id="144" w:name="_Toc429563099"/>
      <w:bookmarkStart w:id="145" w:name="_Toc429563254"/>
      <w:bookmarkStart w:id="146" w:name="_Toc442253236"/>
      <w:r w:rsidRPr="001C3E10">
        <w:rPr>
          <w:rFonts w:asciiTheme="minorHAnsi" w:hAnsiTheme="minorHAnsi"/>
          <w:sz w:val="22"/>
          <w:szCs w:val="22"/>
        </w:rPr>
        <w:t>Costos de TI</w:t>
      </w:r>
      <w:bookmarkEnd w:id="142"/>
      <w:bookmarkEnd w:id="143"/>
      <w:bookmarkEnd w:id="144"/>
      <w:bookmarkEnd w:id="145"/>
      <w:bookmarkEnd w:id="146"/>
    </w:p>
    <w:p w14:paraId="0367C7EA"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La Corporación administra el costo de sus servicios mediante un modelo de Costeo Basado en Actividades (ABC), a través del cual se logra medir los costos, evaluar la ejecución de las actividades y valorar los procesos, productos y servicios de la Corporación con base en el consumo “real” de los recursos. La información suministrada por los responsables de las actividades, una vez validada y aceptada la factura por los consumidores de los servicios, es utilizada para generar, a través de la </w:t>
      </w:r>
      <w:r w:rsidRPr="001C3E10">
        <w:rPr>
          <w:rFonts w:asciiTheme="minorHAnsi" w:hAnsiTheme="minorHAnsi"/>
          <w:sz w:val="22"/>
          <w:szCs w:val="22"/>
        </w:rPr>
        <w:lastRenderedPageBreak/>
        <w:t xml:space="preserve">División de  Finanzas y Contabilidad, reportes periódicos (mensuales y semestrales) que se envían a las diferentes divisiones del Banco y los ODM para su conocimiento. </w:t>
      </w:r>
    </w:p>
    <w:p w14:paraId="00E2A41D" w14:textId="77777777" w:rsidR="00E7765F" w:rsidRDefault="00E7765F" w:rsidP="001C3E10">
      <w:pPr>
        <w:spacing w:line="276" w:lineRule="auto"/>
        <w:jc w:val="both"/>
        <w:rPr>
          <w:rFonts w:asciiTheme="minorHAnsi" w:hAnsiTheme="minorHAnsi"/>
          <w:sz w:val="22"/>
          <w:szCs w:val="22"/>
        </w:rPr>
      </w:pPr>
    </w:p>
    <w:p w14:paraId="3F6D1CAC" w14:textId="0388AD94"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En el caso de la DST, las actividades que se costean se encuentran agrupadas en cuatro categorías: </w:t>
      </w:r>
      <w:r w:rsidRPr="004D7122">
        <w:rPr>
          <w:rFonts w:asciiTheme="minorHAnsi" w:hAnsiTheme="minorHAnsi"/>
          <w:sz w:val="22"/>
          <w:szCs w:val="22"/>
        </w:rPr>
        <w:t>Hardware</w:t>
      </w:r>
      <w:r w:rsidRPr="001C3E10">
        <w:rPr>
          <w:rFonts w:asciiTheme="minorHAnsi" w:hAnsiTheme="minorHAnsi"/>
          <w:sz w:val="22"/>
          <w:szCs w:val="22"/>
        </w:rPr>
        <w:t xml:space="preserve">, </w:t>
      </w:r>
      <w:r w:rsidRPr="004D7122">
        <w:rPr>
          <w:rFonts w:asciiTheme="minorHAnsi" w:hAnsiTheme="minorHAnsi"/>
          <w:sz w:val="22"/>
          <w:szCs w:val="22"/>
        </w:rPr>
        <w:t>Software</w:t>
      </w:r>
      <w:r w:rsidRPr="001C3E10">
        <w:rPr>
          <w:rFonts w:asciiTheme="minorHAnsi" w:hAnsiTheme="minorHAnsi"/>
          <w:sz w:val="22"/>
          <w:szCs w:val="22"/>
        </w:rPr>
        <w:t xml:space="preserve">, Actividades (o labores del personal) y Contratos. Las dos primeras se basan en la depreciación de los bienes, las Actividades en el registro diario de las labores de todo el personal y los Contratos, en los pagos realizados a proveedores de TI. Esta información permite distribuir los costos de TI utilizando distintos métodos de </w:t>
      </w:r>
      <w:r w:rsidRPr="004D7122">
        <w:rPr>
          <w:rFonts w:asciiTheme="minorHAnsi" w:hAnsiTheme="minorHAnsi"/>
          <w:sz w:val="22"/>
          <w:szCs w:val="22"/>
        </w:rPr>
        <w:t>reembolso</w:t>
      </w:r>
      <w:r w:rsidRPr="001C3E10">
        <w:rPr>
          <w:rFonts w:asciiTheme="minorHAnsi" w:hAnsiTheme="minorHAnsi"/>
          <w:sz w:val="22"/>
          <w:szCs w:val="22"/>
        </w:rPr>
        <w:t xml:space="preserve"> (</w:t>
      </w:r>
      <w:proofErr w:type="spellStart"/>
      <w:r w:rsidRPr="001C3E10">
        <w:rPr>
          <w:rFonts w:asciiTheme="minorHAnsi" w:hAnsiTheme="minorHAnsi"/>
          <w:i/>
          <w:sz w:val="22"/>
          <w:szCs w:val="22"/>
        </w:rPr>
        <w:t>chargeback</w:t>
      </w:r>
      <w:proofErr w:type="spellEnd"/>
      <w:r w:rsidRPr="001C3E10">
        <w:rPr>
          <w:rFonts w:asciiTheme="minorHAnsi" w:hAnsiTheme="minorHAnsi"/>
          <w:sz w:val="22"/>
          <w:szCs w:val="22"/>
        </w:rPr>
        <w:t xml:space="preserve">): </w:t>
      </w:r>
    </w:p>
    <w:p w14:paraId="57F1C2F5" w14:textId="77777777" w:rsidR="001C3E10" w:rsidRPr="001C3E10" w:rsidRDefault="001C3E10" w:rsidP="00547B19">
      <w:pPr>
        <w:pStyle w:val="Prrafodelista"/>
        <w:numPr>
          <w:ilvl w:val="0"/>
          <w:numId w:val="39"/>
        </w:numPr>
        <w:spacing w:after="200" w:line="276" w:lineRule="auto"/>
        <w:rPr>
          <w:rFonts w:asciiTheme="minorHAnsi" w:hAnsiTheme="minorHAnsi"/>
          <w:sz w:val="22"/>
        </w:rPr>
      </w:pPr>
      <w:r w:rsidRPr="001C3E10">
        <w:rPr>
          <w:rFonts w:asciiTheme="minorHAnsi" w:hAnsiTheme="minorHAnsi"/>
          <w:i/>
          <w:sz w:val="22"/>
        </w:rPr>
        <w:t>Costeo directo</w:t>
      </w:r>
      <w:r w:rsidRPr="001C3E10">
        <w:rPr>
          <w:rFonts w:asciiTheme="minorHAnsi" w:hAnsiTheme="minorHAnsi"/>
          <w:sz w:val="22"/>
        </w:rPr>
        <w:t xml:space="preserve"> para aquellas actividades relacionadas con proyectos, mejoras y defectos. </w:t>
      </w:r>
    </w:p>
    <w:p w14:paraId="70D10DFD" w14:textId="77777777" w:rsidR="001C3E10" w:rsidRPr="001C3E10" w:rsidRDefault="001C3E10" w:rsidP="00547B19">
      <w:pPr>
        <w:pStyle w:val="Prrafodelista"/>
        <w:numPr>
          <w:ilvl w:val="0"/>
          <w:numId w:val="39"/>
        </w:numPr>
        <w:spacing w:after="200" w:line="276" w:lineRule="auto"/>
        <w:rPr>
          <w:rFonts w:asciiTheme="minorHAnsi" w:hAnsiTheme="minorHAnsi"/>
          <w:sz w:val="22"/>
        </w:rPr>
      </w:pPr>
      <w:r w:rsidRPr="001C3E10">
        <w:rPr>
          <w:rFonts w:asciiTheme="minorHAnsi" w:hAnsiTheme="minorHAnsi"/>
          <w:sz w:val="22"/>
        </w:rPr>
        <w:t xml:space="preserve">Para lo que corresponde al costo de las estaciones de trabajo, este se asigna mediante un </w:t>
      </w:r>
      <w:r w:rsidRPr="001C3E10">
        <w:rPr>
          <w:rFonts w:asciiTheme="minorHAnsi" w:hAnsiTheme="minorHAnsi"/>
          <w:i/>
          <w:sz w:val="22"/>
        </w:rPr>
        <w:t>porcentaje de uso</w:t>
      </w:r>
      <w:r w:rsidRPr="001C3E10">
        <w:rPr>
          <w:rFonts w:asciiTheme="minorHAnsi" w:hAnsiTheme="minorHAnsi"/>
          <w:sz w:val="22"/>
        </w:rPr>
        <w:t xml:space="preserve"> que se calcula según la cantidad de plazas asignadas a cada división, sin tomar en cuenta las plazas de TI en el total. </w:t>
      </w:r>
    </w:p>
    <w:p w14:paraId="1F128CB6" w14:textId="77777777" w:rsidR="001C3E10" w:rsidRPr="001C3E10" w:rsidRDefault="001C3E10" w:rsidP="00547B19">
      <w:pPr>
        <w:pStyle w:val="Prrafodelista"/>
        <w:numPr>
          <w:ilvl w:val="0"/>
          <w:numId w:val="39"/>
        </w:numPr>
        <w:spacing w:after="200" w:line="276" w:lineRule="auto"/>
        <w:rPr>
          <w:rFonts w:asciiTheme="minorHAnsi" w:hAnsiTheme="minorHAnsi"/>
          <w:sz w:val="22"/>
        </w:rPr>
      </w:pPr>
      <w:r w:rsidRPr="001C3E10">
        <w:rPr>
          <w:rFonts w:asciiTheme="minorHAnsi" w:hAnsiTheme="minorHAnsi"/>
          <w:sz w:val="22"/>
        </w:rPr>
        <w:t xml:space="preserve">Los costos administrativos se distribuyen equitativamente entre todas las Divisiones y ODM de la Corporación, en una especie de </w:t>
      </w:r>
      <w:r w:rsidRPr="001C3E10">
        <w:rPr>
          <w:rFonts w:asciiTheme="minorHAnsi" w:hAnsiTheme="minorHAnsi"/>
          <w:i/>
          <w:sz w:val="22"/>
        </w:rPr>
        <w:t>pago por suscripción</w:t>
      </w:r>
      <w:r w:rsidRPr="001C3E10">
        <w:rPr>
          <w:rFonts w:asciiTheme="minorHAnsi" w:hAnsiTheme="minorHAnsi"/>
          <w:sz w:val="22"/>
        </w:rPr>
        <w:t>.</w:t>
      </w:r>
    </w:p>
    <w:p w14:paraId="25ACE7E1"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Con el objetivo de lograr una medición correcta de los costos y de las economías de escala, es necesario incorporar los costos de la TI de los ODM en el sistema utilizado por la DST, logrando así también que la totalidad de los costos de la TI de la Corporación se administre de manera unificada.</w:t>
      </w:r>
    </w:p>
    <w:p w14:paraId="75485A55"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147" w:name="_Ref406443618"/>
      <w:bookmarkStart w:id="148" w:name="_Toc414532017"/>
      <w:bookmarkStart w:id="149" w:name="_Toc429555148"/>
      <w:bookmarkStart w:id="150" w:name="_Toc429562790"/>
      <w:bookmarkStart w:id="151" w:name="_Toc429563100"/>
      <w:bookmarkStart w:id="152" w:name="_Toc429563255"/>
      <w:bookmarkStart w:id="153" w:name="_Toc442253237"/>
      <w:r w:rsidRPr="001C3E10">
        <w:rPr>
          <w:rFonts w:asciiTheme="minorHAnsi" w:hAnsiTheme="minorHAnsi"/>
          <w:sz w:val="22"/>
          <w:szCs w:val="22"/>
        </w:rPr>
        <w:t>Métricas</w:t>
      </w:r>
      <w:bookmarkEnd w:id="147"/>
      <w:bookmarkEnd w:id="148"/>
      <w:bookmarkEnd w:id="149"/>
      <w:bookmarkEnd w:id="150"/>
      <w:bookmarkEnd w:id="151"/>
      <w:bookmarkEnd w:id="152"/>
      <w:bookmarkEnd w:id="153"/>
    </w:p>
    <w:p w14:paraId="73BE668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Las métricas a utilizar para demostrar el valor que TI aporta al BCCR a través de los objetivos definidos son las siguientes:</w:t>
      </w:r>
    </w:p>
    <w:p w14:paraId="6A70991E" w14:textId="77777777" w:rsidR="001C3E10" w:rsidRPr="001C3E10" w:rsidRDefault="001C3E10" w:rsidP="00547B19">
      <w:pPr>
        <w:pStyle w:val="Prrafodelista"/>
        <w:numPr>
          <w:ilvl w:val="0"/>
          <w:numId w:val="35"/>
        </w:numPr>
        <w:spacing w:line="276" w:lineRule="auto"/>
        <w:rPr>
          <w:rFonts w:asciiTheme="minorHAnsi" w:hAnsiTheme="minorHAnsi"/>
          <w:sz w:val="22"/>
        </w:rPr>
      </w:pPr>
      <w:r w:rsidRPr="001C3E10">
        <w:rPr>
          <w:rFonts w:asciiTheme="minorHAnsi" w:hAnsiTheme="minorHAnsi"/>
          <w:b/>
          <w:sz w:val="22"/>
        </w:rPr>
        <w:t>Operaciones.</w:t>
      </w:r>
      <w:r w:rsidRPr="001C3E10">
        <w:rPr>
          <w:rFonts w:asciiTheme="minorHAnsi" w:hAnsiTheme="minorHAnsi"/>
          <w:sz w:val="22"/>
        </w:rPr>
        <w:t xml:space="preserve"> Porcentaje de cumplimiento de los atributos de calidad establecidos en cada uno de los Acuerdos de Nivel de Servicio. </w:t>
      </w:r>
    </w:p>
    <w:p w14:paraId="7CAEFDC5"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noProof/>
          <w:sz w:val="22"/>
          <w:szCs w:val="22"/>
        </w:rPr>
        <w:drawing>
          <wp:inline distT="0" distB="0" distL="0" distR="0" wp14:anchorId="30443A71" wp14:editId="4482DC9D">
            <wp:extent cx="5165677" cy="2999894"/>
            <wp:effectExtent l="0" t="0" r="0" b="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171764" cy="3003429"/>
                    </a:xfrm>
                    <a:prstGeom prst="rect">
                      <a:avLst/>
                    </a:prstGeom>
                    <a:noFill/>
                  </pic:spPr>
                </pic:pic>
              </a:graphicData>
            </a:graphic>
          </wp:inline>
        </w:drawing>
      </w:r>
    </w:p>
    <w:p w14:paraId="604A61A8" w14:textId="77777777" w:rsidR="001C3E10" w:rsidRPr="001C3E10" w:rsidRDefault="001C3E10" w:rsidP="001C3E10">
      <w:pPr>
        <w:pStyle w:val="Prrafodelista"/>
        <w:spacing w:line="276" w:lineRule="auto"/>
        <w:rPr>
          <w:rFonts w:asciiTheme="minorHAnsi" w:hAnsiTheme="minorHAnsi"/>
          <w:sz w:val="22"/>
        </w:rPr>
      </w:pPr>
    </w:p>
    <w:p w14:paraId="209143DF" w14:textId="77777777" w:rsidR="001C3E10" w:rsidRPr="001C3E10" w:rsidRDefault="001C3E10" w:rsidP="00547B19">
      <w:pPr>
        <w:pStyle w:val="Prrafodelista"/>
        <w:numPr>
          <w:ilvl w:val="0"/>
          <w:numId w:val="35"/>
        </w:numPr>
        <w:spacing w:after="200" w:line="276" w:lineRule="auto"/>
        <w:rPr>
          <w:rFonts w:asciiTheme="minorHAnsi" w:hAnsiTheme="minorHAnsi"/>
          <w:sz w:val="22"/>
        </w:rPr>
      </w:pPr>
      <w:r w:rsidRPr="001C3E10">
        <w:rPr>
          <w:rFonts w:asciiTheme="minorHAnsi" w:hAnsiTheme="minorHAnsi"/>
          <w:b/>
          <w:sz w:val="22"/>
        </w:rPr>
        <w:lastRenderedPageBreak/>
        <w:t>Crecimiento.</w:t>
      </w:r>
      <w:r w:rsidRPr="001C3E10">
        <w:rPr>
          <w:rFonts w:asciiTheme="minorHAnsi" w:hAnsiTheme="minorHAnsi"/>
          <w:sz w:val="22"/>
        </w:rPr>
        <w:t xml:space="preserve"> Porcentaje de cumplimiento de los compromisos acordados con las Divisiones y ODM sobre cada mejora realizada a los Servicios.</w:t>
      </w:r>
    </w:p>
    <w:p w14:paraId="7FE593AE" w14:textId="77777777" w:rsidR="001C3E10" w:rsidRPr="001C3E10" w:rsidRDefault="001C3E10" w:rsidP="001C3E10">
      <w:pPr>
        <w:pStyle w:val="Prrafodelista"/>
        <w:spacing w:line="276" w:lineRule="auto"/>
        <w:rPr>
          <w:rFonts w:asciiTheme="minorHAnsi" w:hAnsiTheme="minorHAnsi"/>
          <w:sz w:val="22"/>
        </w:rPr>
      </w:pPr>
    </w:p>
    <w:p w14:paraId="255F79F7"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noProof/>
          <w:sz w:val="22"/>
          <w:szCs w:val="22"/>
        </w:rPr>
        <w:drawing>
          <wp:inline distT="0" distB="0" distL="0" distR="0" wp14:anchorId="6B564B86" wp14:editId="689C415F">
            <wp:extent cx="5822830" cy="2225859"/>
            <wp:effectExtent l="0" t="0" r="6985" b="3175"/>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40978" cy="2232796"/>
                    </a:xfrm>
                    <a:prstGeom prst="rect">
                      <a:avLst/>
                    </a:prstGeom>
                    <a:noFill/>
                  </pic:spPr>
                </pic:pic>
              </a:graphicData>
            </a:graphic>
          </wp:inline>
        </w:drawing>
      </w:r>
    </w:p>
    <w:p w14:paraId="5AD6C707" w14:textId="77777777" w:rsidR="001C3E10" w:rsidRPr="001C3E10" w:rsidRDefault="001C3E10" w:rsidP="00547B19">
      <w:pPr>
        <w:pStyle w:val="Prrafodelista"/>
        <w:numPr>
          <w:ilvl w:val="0"/>
          <w:numId w:val="35"/>
        </w:numPr>
        <w:spacing w:after="200" w:line="276" w:lineRule="auto"/>
        <w:rPr>
          <w:rFonts w:asciiTheme="minorHAnsi" w:hAnsiTheme="minorHAnsi"/>
          <w:sz w:val="22"/>
        </w:rPr>
      </w:pPr>
      <w:r w:rsidRPr="001C3E10">
        <w:rPr>
          <w:rFonts w:asciiTheme="minorHAnsi" w:hAnsiTheme="minorHAnsi"/>
          <w:b/>
          <w:sz w:val="22"/>
        </w:rPr>
        <w:t>Transformación.</w:t>
      </w:r>
      <w:r w:rsidRPr="001C3E10">
        <w:rPr>
          <w:rFonts w:asciiTheme="minorHAnsi" w:hAnsiTheme="minorHAnsi"/>
          <w:sz w:val="22"/>
        </w:rPr>
        <w:t xml:space="preserve"> Porcentaje de cumplimiento de los compromisos acordados con las Divisiones y ODM (beneficios, costos y riesgos) sobre cada proyecto que desarrolle nuevos Servicios.</w:t>
      </w:r>
    </w:p>
    <w:p w14:paraId="7C9E50A0"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noProof/>
          <w:sz w:val="22"/>
          <w:szCs w:val="22"/>
        </w:rPr>
        <w:drawing>
          <wp:inline distT="0" distB="0" distL="0" distR="0" wp14:anchorId="4D84D6B7" wp14:editId="7C2E1852">
            <wp:extent cx="5684808" cy="2173099"/>
            <wp:effectExtent l="0" t="0" r="0"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02523" cy="2179871"/>
                    </a:xfrm>
                    <a:prstGeom prst="rect">
                      <a:avLst/>
                    </a:prstGeom>
                    <a:noFill/>
                  </pic:spPr>
                </pic:pic>
              </a:graphicData>
            </a:graphic>
          </wp:inline>
        </w:drawing>
      </w:r>
    </w:p>
    <w:p w14:paraId="6087F858" w14:textId="77777777" w:rsidR="001C3E10" w:rsidRPr="001C3E10" w:rsidRDefault="001C3E10" w:rsidP="001C3E10">
      <w:pPr>
        <w:spacing w:line="276" w:lineRule="auto"/>
        <w:jc w:val="both"/>
        <w:rPr>
          <w:rFonts w:asciiTheme="minorHAnsi" w:hAnsiTheme="minorHAnsi"/>
          <w:sz w:val="22"/>
          <w:szCs w:val="22"/>
        </w:rPr>
      </w:pPr>
    </w:p>
    <w:p w14:paraId="5B4F294D" w14:textId="77777777" w:rsidR="001C3E10" w:rsidRPr="001C3E10" w:rsidRDefault="001C3E10" w:rsidP="00547B19">
      <w:pPr>
        <w:pStyle w:val="Prrafodelista"/>
        <w:numPr>
          <w:ilvl w:val="0"/>
          <w:numId w:val="35"/>
        </w:numPr>
        <w:spacing w:after="200" w:line="276" w:lineRule="auto"/>
        <w:rPr>
          <w:rFonts w:asciiTheme="minorHAnsi" w:hAnsiTheme="minorHAnsi"/>
          <w:sz w:val="22"/>
        </w:rPr>
      </w:pPr>
      <w:r w:rsidRPr="001C3E10">
        <w:rPr>
          <w:rFonts w:asciiTheme="minorHAnsi" w:hAnsiTheme="minorHAnsi"/>
          <w:b/>
          <w:sz w:val="22"/>
        </w:rPr>
        <w:t xml:space="preserve">Integración. </w:t>
      </w:r>
      <w:r w:rsidRPr="001C3E10">
        <w:rPr>
          <w:rFonts w:asciiTheme="minorHAnsi" w:hAnsiTheme="minorHAnsi"/>
          <w:sz w:val="22"/>
        </w:rPr>
        <w:t>Porcentaje de avance en la integración de los componentes críticos en la DST y los departamentos de TI de los ODM.</w:t>
      </w:r>
    </w:p>
    <w:p w14:paraId="06F046F1"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noProof/>
          <w:sz w:val="22"/>
          <w:szCs w:val="22"/>
        </w:rPr>
        <w:lastRenderedPageBreak/>
        <w:drawing>
          <wp:inline distT="0" distB="0" distL="0" distR="0" wp14:anchorId="0F680CEF" wp14:editId="25C4EC24">
            <wp:extent cx="5682770" cy="2123012"/>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96040" cy="2127970"/>
                    </a:xfrm>
                    <a:prstGeom prst="rect">
                      <a:avLst/>
                    </a:prstGeom>
                    <a:noFill/>
                  </pic:spPr>
                </pic:pic>
              </a:graphicData>
            </a:graphic>
          </wp:inline>
        </w:drawing>
      </w:r>
    </w:p>
    <w:p w14:paraId="4ADE4878" w14:textId="77777777" w:rsidR="001C3E10" w:rsidRPr="001C3E10" w:rsidRDefault="001C3E10" w:rsidP="00547B19">
      <w:pPr>
        <w:pStyle w:val="Ttulo1"/>
        <w:keepLines/>
        <w:numPr>
          <w:ilvl w:val="0"/>
          <w:numId w:val="45"/>
        </w:numPr>
        <w:spacing w:before="480" w:after="0" w:line="276" w:lineRule="auto"/>
        <w:jc w:val="both"/>
        <w:rPr>
          <w:rFonts w:asciiTheme="minorHAnsi" w:hAnsiTheme="minorHAnsi"/>
          <w:sz w:val="22"/>
          <w:szCs w:val="22"/>
        </w:rPr>
      </w:pPr>
      <w:bookmarkStart w:id="154" w:name="_Ref406443706"/>
      <w:bookmarkStart w:id="155" w:name="_Ref406443825"/>
      <w:bookmarkStart w:id="156" w:name="_Ref406537297"/>
      <w:bookmarkStart w:id="157" w:name="_Ref410914481"/>
      <w:bookmarkStart w:id="158" w:name="_Ref410915384"/>
      <w:bookmarkStart w:id="159" w:name="_Toc414532018"/>
      <w:bookmarkStart w:id="160" w:name="_Toc429555149"/>
      <w:bookmarkStart w:id="161" w:name="_Toc429562791"/>
      <w:bookmarkStart w:id="162" w:name="_Toc429563101"/>
      <w:bookmarkStart w:id="163" w:name="_Toc429563256"/>
      <w:bookmarkStart w:id="164" w:name="_Toc442253238"/>
      <w:r w:rsidRPr="001C3E10">
        <w:rPr>
          <w:rFonts w:asciiTheme="minorHAnsi" w:hAnsiTheme="minorHAnsi"/>
          <w:sz w:val="22"/>
          <w:szCs w:val="22"/>
        </w:rPr>
        <w:t>Aprovisionamiento</w:t>
      </w:r>
      <w:bookmarkEnd w:id="154"/>
      <w:bookmarkEnd w:id="155"/>
      <w:bookmarkEnd w:id="156"/>
      <w:bookmarkEnd w:id="157"/>
      <w:bookmarkEnd w:id="158"/>
      <w:bookmarkEnd w:id="159"/>
      <w:bookmarkEnd w:id="160"/>
      <w:bookmarkEnd w:id="161"/>
      <w:bookmarkEnd w:id="162"/>
      <w:bookmarkEnd w:id="163"/>
      <w:bookmarkEnd w:id="164"/>
    </w:p>
    <w:p w14:paraId="4C8EF0EB"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165" w:name="_Ref406443623"/>
      <w:bookmarkStart w:id="166" w:name="_Toc414532019"/>
      <w:bookmarkStart w:id="167" w:name="_Toc429555150"/>
      <w:bookmarkStart w:id="168" w:name="_Toc429562792"/>
      <w:bookmarkStart w:id="169" w:name="_Toc429563102"/>
      <w:bookmarkStart w:id="170" w:name="_Toc429563257"/>
      <w:bookmarkStart w:id="171" w:name="_Toc442253239"/>
      <w:r w:rsidRPr="001C3E10">
        <w:rPr>
          <w:rFonts w:asciiTheme="minorHAnsi" w:hAnsiTheme="minorHAnsi"/>
          <w:sz w:val="22"/>
          <w:szCs w:val="22"/>
        </w:rPr>
        <w:t>Servicios de TI</w:t>
      </w:r>
      <w:bookmarkEnd w:id="165"/>
      <w:bookmarkEnd w:id="166"/>
      <w:bookmarkEnd w:id="167"/>
      <w:bookmarkEnd w:id="168"/>
      <w:bookmarkEnd w:id="169"/>
      <w:bookmarkEnd w:id="170"/>
      <w:bookmarkEnd w:id="171"/>
    </w:p>
    <w:p w14:paraId="22BD5298"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172" w:name="_Toc429555151"/>
      <w:bookmarkStart w:id="173" w:name="_Toc429562793"/>
      <w:bookmarkStart w:id="174" w:name="_Toc429563103"/>
      <w:bookmarkStart w:id="175" w:name="_Toc429563258"/>
      <w:bookmarkStart w:id="176" w:name="_Toc442253240"/>
      <w:r w:rsidRPr="001C3E10">
        <w:rPr>
          <w:rFonts w:asciiTheme="minorHAnsi" w:hAnsiTheme="minorHAnsi"/>
          <w:sz w:val="22"/>
          <w:szCs w:val="22"/>
        </w:rPr>
        <w:t>Situación actual</w:t>
      </w:r>
      <w:bookmarkEnd w:id="172"/>
      <w:bookmarkEnd w:id="173"/>
      <w:bookmarkEnd w:id="174"/>
      <w:bookmarkEnd w:id="175"/>
      <w:bookmarkEnd w:id="176"/>
    </w:p>
    <w:p w14:paraId="11BE9D77" w14:textId="77777777" w:rsidR="00E7765F" w:rsidRDefault="00E7765F" w:rsidP="001C3E10">
      <w:pPr>
        <w:spacing w:line="276" w:lineRule="auto"/>
        <w:jc w:val="both"/>
        <w:rPr>
          <w:rFonts w:asciiTheme="minorHAnsi" w:hAnsiTheme="minorHAnsi"/>
          <w:sz w:val="22"/>
          <w:szCs w:val="22"/>
        </w:rPr>
      </w:pPr>
    </w:p>
    <w:p w14:paraId="5416684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Diseñado desde el año 2008, el portafolio de servicios actual de la DST se encuentra conformado por los servicios </w:t>
      </w:r>
      <w:r w:rsidRPr="001C3E10">
        <w:rPr>
          <w:rFonts w:asciiTheme="minorHAnsi" w:hAnsiTheme="minorHAnsi"/>
          <w:i/>
          <w:sz w:val="22"/>
          <w:szCs w:val="22"/>
        </w:rPr>
        <w:t>Implementación de Soluciones de Negocio</w:t>
      </w:r>
      <w:r w:rsidRPr="001C3E10">
        <w:rPr>
          <w:rFonts w:asciiTheme="minorHAnsi" w:hAnsiTheme="minorHAnsi"/>
          <w:sz w:val="22"/>
          <w:szCs w:val="22"/>
        </w:rPr>
        <w:t xml:space="preserve"> y </w:t>
      </w:r>
      <w:r w:rsidRPr="001C3E10">
        <w:rPr>
          <w:rFonts w:asciiTheme="minorHAnsi" w:hAnsiTheme="minorHAnsi"/>
          <w:i/>
          <w:sz w:val="22"/>
          <w:szCs w:val="22"/>
        </w:rPr>
        <w:t xml:space="preserve">Gestión de Soluciones de Negocio, </w:t>
      </w:r>
      <w:r w:rsidRPr="001C3E10">
        <w:rPr>
          <w:rFonts w:asciiTheme="minorHAnsi" w:hAnsiTheme="minorHAnsi"/>
          <w:sz w:val="22"/>
          <w:szCs w:val="22"/>
        </w:rPr>
        <w:t xml:space="preserve">enfoque que buscaba estructurar lo que las divisiones podían obtener de TI desde una sencilla perspectiva: solicitar la creación de nuevos servicios de TI y la operación y mejora de los mismos. </w:t>
      </w:r>
    </w:p>
    <w:p w14:paraId="7AAB94E7" w14:textId="62B84AA5"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La TI en el BCCR es gestionada a través de 25 procesos específicos, además de los procesos institucionales definidos para labores generales (p. ej. Gestión de proyectos). Por su parte los departamentos de TI de las Superintendencias utilizan sus propios procesos, lo que provoca que problemas similares se resuelvan de manera distinta en toda la Corporación. Además, existen algunas diferencias en la forma en la que se brindan algunos servicios de TI en la Corporación, un ejemplo es el que la SUPEN aprovisiona algunos servicios en la </w:t>
      </w:r>
      <w:r w:rsidRPr="004D7122">
        <w:rPr>
          <w:rFonts w:asciiTheme="minorHAnsi" w:hAnsiTheme="minorHAnsi"/>
          <w:sz w:val="22"/>
          <w:szCs w:val="22"/>
        </w:rPr>
        <w:t>nube</w:t>
      </w:r>
      <w:r w:rsidRPr="001C3E10">
        <w:rPr>
          <w:rFonts w:asciiTheme="minorHAnsi" w:hAnsiTheme="minorHAnsi"/>
          <w:sz w:val="22"/>
          <w:szCs w:val="22"/>
        </w:rPr>
        <w:t>, mientras que el resto de la organización se encuentra dando sus primeros pasos en el uso de este modelo.</w:t>
      </w:r>
    </w:p>
    <w:p w14:paraId="237C60B3"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177" w:name="_Toc429555152"/>
      <w:bookmarkStart w:id="178" w:name="_Toc429562794"/>
      <w:bookmarkStart w:id="179" w:name="_Toc429563104"/>
      <w:bookmarkStart w:id="180" w:name="_Toc429563259"/>
      <w:bookmarkStart w:id="181" w:name="_Toc442253241"/>
      <w:r w:rsidRPr="001C3E10">
        <w:rPr>
          <w:rFonts w:asciiTheme="minorHAnsi" w:hAnsiTheme="minorHAnsi"/>
          <w:sz w:val="22"/>
          <w:szCs w:val="22"/>
        </w:rPr>
        <w:t>Estrategias</w:t>
      </w:r>
      <w:bookmarkEnd w:id="177"/>
      <w:bookmarkEnd w:id="178"/>
      <w:bookmarkEnd w:id="179"/>
      <w:bookmarkEnd w:id="180"/>
      <w:bookmarkEnd w:id="181"/>
    </w:p>
    <w:p w14:paraId="75967363"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Gestión de Servicios de TI</w:t>
      </w:r>
    </w:p>
    <w:p w14:paraId="58ABA929" w14:textId="77777777" w:rsidR="00E7765F" w:rsidRDefault="00E7765F" w:rsidP="001C3E10">
      <w:pPr>
        <w:spacing w:line="276" w:lineRule="auto"/>
        <w:jc w:val="both"/>
        <w:rPr>
          <w:rFonts w:asciiTheme="minorHAnsi" w:hAnsiTheme="minorHAnsi"/>
          <w:sz w:val="22"/>
          <w:szCs w:val="22"/>
        </w:rPr>
      </w:pPr>
    </w:p>
    <w:p w14:paraId="27D59E4B"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Existe la necesidad de re-estructurar el portafolio de servicios de TI del BCCR, considerando lo que estándares y buenas prácticas de la industria (como las sugeridas por </w:t>
      </w:r>
      <w:hyperlink w:anchor="Information_Techn_Infrast_Library_ITIL" w:history="1">
        <w:r w:rsidRPr="001C3E10">
          <w:rPr>
            <w:rStyle w:val="Hipervnculo"/>
            <w:rFonts w:asciiTheme="minorHAnsi" w:hAnsiTheme="minorHAnsi"/>
            <w:sz w:val="22"/>
            <w:szCs w:val="22"/>
          </w:rPr>
          <w:t>ITIL</w:t>
        </w:r>
      </w:hyperlink>
      <w:r w:rsidRPr="001C3E10">
        <w:rPr>
          <w:rFonts w:asciiTheme="minorHAnsi" w:hAnsiTheme="minorHAnsi"/>
          <w:sz w:val="22"/>
          <w:szCs w:val="22"/>
        </w:rPr>
        <w:t xml:space="preserve">) plantean e incorporando los servicios que los departamentos de TI de los ODM ofrecen. Con esto se espera lograr una mayor claridad en los consumidores de estos servicios y una mayor efectividad en la administración de la tecnología asociada a los mismos, redefiniendo además los Acuerdos de Nivel de Servicio, </w:t>
      </w:r>
      <w:r w:rsidRPr="001C3E10">
        <w:rPr>
          <w:rFonts w:asciiTheme="minorHAnsi" w:hAnsiTheme="minorHAnsi"/>
          <w:sz w:val="22"/>
          <w:szCs w:val="22"/>
        </w:rPr>
        <w:lastRenderedPageBreak/>
        <w:t xml:space="preserve">incorporando en ellos los atributos, características, costos, requerimientos y condiciones particulares asociadas con cada servicio brindado. </w:t>
      </w:r>
    </w:p>
    <w:p w14:paraId="44F8A148" w14:textId="77777777" w:rsidR="0041643D" w:rsidRDefault="0041643D" w:rsidP="001C3E10">
      <w:pPr>
        <w:spacing w:line="276" w:lineRule="auto"/>
        <w:jc w:val="both"/>
        <w:rPr>
          <w:rFonts w:asciiTheme="minorHAnsi" w:hAnsiTheme="minorHAnsi"/>
          <w:sz w:val="22"/>
          <w:szCs w:val="22"/>
        </w:rPr>
      </w:pPr>
    </w:p>
    <w:p w14:paraId="49266A81"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Al igual que con los servicios de TI, los procesos utilizados para gestionar la TI requieren ser revisados,  mejorados e integrados, buscando el apego a las buenas prácticas que plantea la industria. Se busca alinear los servicios de TI y los procesos orientados a la operación de la tecnología con estándares y buenas prácticas de la industria, buscando con esto mejorar los niveles de servicio ofrecidos por TI a los usuarios e incrementar sus niveles de disponibilidad, particularmente para los servicios que son críticos para la organización.</w:t>
      </w:r>
    </w:p>
    <w:p w14:paraId="61D0A6BC"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Gestión de proyectos de TI</w:t>
      </w:r>
    </w:p>
    <w:p w14:paraId="1C996C44"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Además de considerar el presupuesto, alcance y tiempo, la gestión de proyectos hoy día requiere que también se administren otros elementos que impactan la entrega de valor que se pretende alcanzar. El liderazgo en la gestión del cambio y en la administración del proyecto son elementos que necesariamente deben desarrollarse con el fin de aportar valor a la Corporación en los proyectos que los que la DST participa.</w:t>
      </w:r>
    </w:p>
    <w:p w14:paraId="44DB2ABE"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Adaptar la organización de TI a las capacidades requeridas por la Corporación</w:t>
      </w:r>
    </w:p>
    <w:p w14:paraId="2703A426"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La estructura funcional de la DST requiere la aplicación de ajustes que le permitan dar una mejor respuesta a la Corporación, de cara a los cambios que se han realizado en años recientes, así como los cambios venideros, en especial el aprovisionamiento de los servicios de TI a los ODM por parte del BCCR. El desarrollo de estos ajustes conlleva también al fortalecimiento de algunas capacidades en el personal de TI, por las exigencias que en el corto o mediano plazo se visualizan como necesarios: </w:t>
      </w:r>
    </w:p>
    <w:p w14:paraId="51BD1993" w14:textId="77777777" w:rsidR="001C3E10" w:rsidRPr="001C3E10" w:rsidRDefault="001C3E10" w:rsidP="00547B19">
      <w:pPr>
        <w:pStyle w:val="Prrafodelista"/>
        <w:numPr>
          <w:ilvl w:val="0"/>
          <w:numId w:val="41"/>
        </w:numPr>
        <w:spacing w:after="200" w:line="276" w:lineRule="auto"/>
        <w:rPr>
          <w:rFonts w:asciiTheme="minorHAnsi" w:hAnsiTheme="minorHAnsi"/>
          <w:sz w:val="22"/>
        </w:rPr>
      </w:pPr>
      <w:r w:rsidRPr="001C3E10">
        <w:rPr>
          <w:rFonts w:asciiTheme="minorHAnsi" w:hAnsiTheme="minorHAnsi"/>
          <w:b/>
          <w:sz w:val="22"/>
        </w:rPr>
        <w:t>Coordinación de múltiples equipos de trabajo de TI.</w:t>
      </w:r>
      <w:r w:rsidRPr="001C3E10">
        <w:rPr>
          <w:rFonts w:asciiTheme="minorHAnsi" w:hAnsiTheme="minorHAnsi"/>
          <w:sz w:val="22"/>
        </w:rPr>
        <w:t xml:space="preserve"> El crecimiento en la demanda de servicios de TI ha generado también un crecimiento en la cantidad de equipos de trabajo de TI, mismos que deben ser coordinados por personal que cuente con las habilidades adecuadas para tal fin.</w:t>
      </w:r>
    </w:p>
    <w:p w14:paraId="5E8AF916" w14:textId="77777777" w:rsidR="001C3E10" w:rsidRPr="001C3E10" w:rsidRDefault="001C3E10" w:rsidP="00547B19">
      <w:pPr>
        <w:pStyle w:val="Prrafodelista"/>
        <w:numPr>
          <w:ilvl w:val="0"/>
          <w:numId w:val="41"/>
        </w:numPr>
        <w:spacing w:after="200" w:line="276" w:lineRule="auto"/>
        <w:rPr>
          <w:rFonts w:asciiTheme="minorHAnsi" w:hAnsiTheme="minorHAnsi"/>
          <w:sz w:val="22"/>
        </w:rPr>
      </w:pPr>
      <w:r w:rsidRPr="001C3E10">
        <w:rPr>
          <w:rFonts w:asciiTheme="minorHAnsi" w:hAnsiTheme="minorHAnsi"/>
          <w:b/>
          <w:sz w:val="22"/>
        </w:rPr>
        <w:t>Especialización en el conocimiento de las funciones sustantivas de la Corporación.</w:t>
      </w:r>
      <w:r w:rsidRPr="001C3E10">
        <w:rPr>
          <w:rFonts w:asciiTheme="minorHAnsi" w:hAnsiTheme="minorHAnsi"/>
          <w:sz w:val="22"/>
        </w:rPr>
        <w:t xml:space="preserve"> Capacidad indispensable para brindar una asesoría y acompañamiento acorde con las necesidades de la Corporación.</w:t>
      </w:r>
    </w:p>
    <w:p w14:paraId="1482B549" w14:textId="77777777" w:rsidR="001C3E10" w:rsidRPr="001C3E10" w:rsidRDefault="001C3E10" w:rsidP="00547B19">
      <w:pPr>
        <w:pStyle w:val="Prrafodelista"/>
        <w:numPr>
          <w:ilvl w:val="0"/>
          <w:numId w:val="41"/>
        </w:numPr>
        <w:spacing w:after="200" w:line="276" w:lineRule="auto"/>
        <w:rPr>
          <w:rFonts w:asciiTheme="minorHAnsi" w:hAnsiTheme="minorHAnsi"/>
          <w:sz w:val="22"/>
        </w:rPr>
      </w:pPr>
      <w:r w:rsidRPr="001C3E10">
        <w:rPr>
          <w:rFonts w:asciiTheme="minorHAnsi" w:hAnsiTheme="minorHAnsi"/>
          <w:b/>
          <w:sz w:val="22"/>
        </w:rPr>
        <w:t>Conocimiento en plataformas operativas.</w:t>
      </w:r>
      <w:r w:rsidRPr="001C3E10">
        <w:rPr>
          <w:rFonts w:asciiTheme="minorHAnsi" w:hAnsiTheme="minorHAnsi"/>
          <w:sz w:val="22"/>
        </w:rPr>
        <w:t xml:space="preserve"> El uso incremental de dispositivos en múltiples plataformas (Mac, Linux, iOS, Android, entre otros) para acceder recursos de la Corporación, exige del personal de TI un conocimiento que permita dar apoyo efectivo a los usuarios.</w:t>
      </w:r>
    </w:p>
    <w:p w14:paraId="75716165" w14:textId="56896234" w:rsidR="001C3E10" w:rsidRPr="001C3E10" w:rsidRDefault="001C3E10" w:rsidP="00547B19">
      <w:pPr>
        <w:pStyle w:val="Prrafodelista"/>
        <w:numPr>
          <w:ilvl w:val="0"/>
          <w:numId w:val="41"/>
        </w:numPr>
        <w:spacing w:after="200" w:line="276" w:lineRule="auto"/>
        <w:rPr>
          <w:rFonts w:asciiTheme="minorHAnsi" w:hAnsiTheme="minorHAnsi"/>
          <w:sz w:val="22"/>
        </w:rPr>
      </w:pPr>
      <w:r w:rsidRPr="001C3E10">
        <w:rPr>
          <w:rFonts w:asciiTheme="minorHAnsi" w:hAnsiTheme="minorHAnsi"/>
          <w:b/>
          <w:sz w:val="22"/>
        </w:rPr>
        <w:t xml:space="preserve">Diseño, desarrollo y prueba de </w:t>
      </w:r>
      <w:r w:rsidRPr="004D7122">
        <w:rPr>
          <w:rFonts w:asciiTheme="minorHAnsi" w:hAnsiTheme="minorHAnsi"/>
          <w:b/>
          <w:sz w:val="22"/>
        </w:rPr>
        <w:t>aplicaciones móviles</w:t>
      </w:r>
      <w:r w:rsidRPr="001C3E10">
        <w:rPr>
          <w:rFonts w:asciiTheme="minorHAnsi" w:hAnsiTheme="minorHAnsi"/>
          <w:b/>
          <w:sz w:val="22"/>
        </w:rPr>
        <w:t xml:space="preserve"> y soporte a dispositivos móviles.</w:t>
      </w:r>
      <w:r w:rsidRPr="001C3E10">
        <w:rPr>
          <w:rFonts w:asciiTheme="minorHAnsi" w:hAnsiTheme="minorHAnsi"/>
          <w:sz w:val="22"/>
        </w:rPr>
        <w:t xml:space="preserve"> Acorde con las tendencias actuales, en donde el uso de aplicaciones y dispositivos móviles se incrementa considerablemente, motivado por las mejoras en la productividad y colaboración que permiten lograr, se requiere de una preparación del personal de TI que permita responder a este tipo de exigencias.</w:t>
      </w:r>
    </w:p>
    <w:p w14:paraId="19B26285" w14:textId="77777777" w:rsidR="001C3E10" w:rsidRPr="001C3E10" w:rsidRDefault="001C3E10" w:rsidP="00547B19">
      <w:pPr>
        <w:pStyle w:val="Prrafodelista"/>
        <w:numPr>
          <w:ilvl w:val="0"/>
          <w:numId w:val="41"/>
        </w:numPr>
        <w:spacing w:after="200" w:line="276" w:lineRule="auto"/>
        <w:rPr>
          <w:rFonts w:asciiTheme="minorHAnsi" w:hAnsiTheme="minorHAnsi"/>
          <w:b/>
          <w:sz w:val="22"/>
        </w:rPr>
      </w:pPr>
      <w:r w:rsidRPr="001C3E10">
        <w:rPr>
          <w:rFonts w:asciiTheme="minorHAnsi" w:hAnsiTheme="minorHAnsi"/>
          <w:b/>
          <w:sz w:val="22"/>
        </w:rPr>
        <w:t xml:space="preserve">Especialización en herramientas de análisis de datos. </w:t>
      </w:r>
      <w:r w:rsidRPr="001C3E10">
        <w:rPr>
          <w:rFonts w:asciiTheme="minorHAnsi" w:hAnsiTheme="minorHAnsi"/>
          <w:sz w:val="22"/>
        </w:rPr>
        <w:t xml:space="preserve">En una Corporación como el Banco Central en donde el uso y análisis de la información proveniente de múltiples fuentes es </w:t>
      </w:r>
      <w:r w:rsidRPr="001C3E10">
        <w:rPr>
          <w:rFonts w:asciiTheme="minorHAnsi" w:hAnsiTheme="minorHAnsi"/>
          <w:sz w:val="22"/>
        </w:rPr>
        <w:lastRenderedPageBreak/>
        <w:t>indispensable para el desarrollo de sus funciones, pareciera indispensable también que se cuente con el apoyo eficiente a través de herramientas tecnológicas que faciliten esta labor. Para esto, TI debe desarrollar en su personal las capacidades que permitan enfrentar este reto.</w:t>
      </w:r>
    </w:p>
    <w:p w14:paraId="6B7A417C" w14:textId="77777777" w:rsidR="001C3E10" w:rsidRPr="001C3E10" w:rsidRDefault="001C3E10" w:rsidP="00547B19">
      <w:pPr>
        <w:pStyle w:val="Prrafodelista"/>
        <w:numPr>
          <w:ilvl w:val="0"/>
          <w:numId w:val="41"/>
        </w:numPr>
        <w:spacing w:after="200" w:line="276" w:lineRule="auto"/>
        <w:rPr>
          <w:rFonts w:asciiTheme="minorHAnsi" w:hAnsiTheme="minorHAnsi"/>
          <w:b/>
          <w:sz w:val="22"/>
        </w:rPr>
      </w:pPr>
      <w:r w:rsidRPr="001C3E10">
        <w:rPr>
          <w:rFonts w:asciiTheme="minorHAnsi" w:hAnsiTheme="minorHAnsi"/>
          <w:b/>
          <w:sz w:val="22"/>
        </w:rPr>
        <w:t xml:space="preserve">Gestión de aplicaciones, plataforma e infraestructura como servicio. </w:t>
      </w:r>
      <w:r w:rsidRPr="001C3E10">
        <w:rPr>
          <w:rFonts w:asciiTheme="minorHAnsi" w:hAnsiTheme="minorHAnsi"/>
          <w:sz w:val="22"/>
        </w:rPr>
        <w:t>Los nuevos modelos de aprovisionamiento de aplicaciones (software), plataforma (software más hardware) e infraestructura (hardware), presentan nuevos desafíos para la gestión de la TI. Las capacidades actuales en materia de gestión de TI deben ser actualizadas para responder a estos cambios.</w:t>
      </w:r>
    </w:p>
    <w:p w14:paraId="4C2F2297"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182" w:name="_Ref406443629"/>
      <w:bookmarkStart w:id="183" w:name="_Toc414532020"/>
      <w:bookmarkStart w:id="184" w:name="_Toc429555153"/>
      <w:bookmarkStart w:id="185" w:name="_Toc429562795"/>
      <w:bookmarkStart w:id="186" w:name="_Toc429563105"/>
      <w:bookmarkStart w:id="187" w:name="_Toc429563260"/>
      <w:bookmarkStart w:id="188" w:name="_Toc442253242"/>
      <w:r w:rsidRPr="001C3E10">
        <w:rPr>
          <w:rFonts w:asciiTheme="minorHAnsi" w:hAnsiTheme="minorHAnsi"/>
          <w:sz w:val="22"/>
          <w:szCs w:val="22"/>
        </w:rPr>
        <w:t>Arquitectura</w:t>
      </w:r>
      <w:bookmarkEnd w:id="182"/>
      <w:bookmarkEnd w:id="183"/>
      <w:bookmarkEnd w:id="184"/>
      <w:bookmarkEnd w:id="185"/>
      <w:bookmarkEnd w:id="186"/>
      <w:bookmarkEnd w:id="187"/>
      <w:bookmarkEnd w:id="188"/>
      <w:r w:rsidRPr="001C3E10">
        <w:rPr>
          <w:rFonts w:asciiTheme="minorHAnsi" w:hAnsiTheme="minorHAnsi"/>
          <w:sz w:val="22"/>
          <w:szCs w:val="22"/>
        </w:rPr>
        <w:t xml:space="preserve"> </w:t>
      </w:r>
    </w:p>
    <w:p w14:paraId="474ECE1A"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189" w:name="_Toc429555154"/>
      <w:bookmarkStart w:id="190" w:name="_Toc429562796"/>
      <w:bookmarkStart w:id="191" w:name="_Toc429563106"/>
      <w:bookmarkStart w:id="192" w:name="_Toc429563261"/>
      <w:bookmarkStart w:id="193" w:name="_Toc442253243"/>
      <w:r w:rsidRPr="001C3E10">
        <w:rPr>
          <w:rFonts w:asciiTheme="minorHAnsi" w:hAnsiTheme="minorHAnsi"/>
          <w:sz w:val="22"/>
          <w:szCs w:val="22"/>
        </w:rPr>
        <w:t>Situación actual</w:t>
      </w:r>
      <w:bookmarkEnd w:id="189"/>
      <w:bookmarkEnd w:id="190"/>
      <w:bookmarkEnd w:id="191"/>
      <w:bookmarkEnd w:id="192"/>
      <w:bookmarkEnd w:id="193"/>
    </w:p>
    <w:p w14:paraId="35458DB8" w14:textId="7E3B68FC"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La disciplina de </w:t>
      </w:r>
      <w:r w:rsidRPr="004D7122">
        <w:rPr>
          <w:rFonts w:asciiTheme="minorHAnsi" w:hAnsiTheme="minorHAnsi"/>
          <w:sz w:val="22"/>
          <w:szCs w:val="22"/>
        </w:rPr>
        <w:t>Arquitectura Empresarial</w:t>
      </w:r>
      <w:r w:rsidRPr="001C3E10">
        <w:rPr>
          <w:rFonts w:asciiTheme="minorHAnsi" w:hAnsiTheme="minorHAnsi"/>
          <w:sz w:val="22"/>
          <w:szCs w:val="22"/>
        </w:rPr>
        <w:t xml:space="preserve"> (AE) permite a una organización liderar sus esfuerzos buscando siempre el alcanzar su visión y los resultados planificados. Las recomendaciones generadas a través del seguimiento y uso de este conjunto de prácticas y herramientas permiten alinear las políticas y los proyectos hacia el alcance de los objetivos estratégicos de la organización. </w:t>
      </w:r>
    </w:p>
    <w:p w14:paraId="485A9041"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Según el </w:t>
      </w:r>
      <w:proofErr w:type="spellStart"/>
      <w:r w:rsidRPr="001C3E10">
        <w:rPr>
          <w:rFonts w:asciiTheme="minorHAnsi" w:hAnsiTheme="minorHAnsi"/>
          <w:i/>
          <w:sz w:val="22"/>
          <w:szCs w:val="22"/>
        </w:rPr>
        <w:t>Gartner</w:t>
      </w:r>
      <w:proofErr w:type="spellEnd"/>
      <w:r w:rsidRPr="001C3E10">
        <w:rPr>
          <w:rFonts w:asciiTheme="minorHAnsi" w:hAnsiTheme="minorHAnsi"/>
          <w:i/>
          <w:sz w:val="22"/>
          <w:szCs w:val="22"/>
        </w:rPr>
        <w:t xml:space="preserve"> IT Score </w:t>
      </w:r>
      <w:proofErr w:type="spellStart"/>
      <w:r w:rsidRPr="001C3E10">
        <w:rPr>
          <w:rFonts w:asciiTheme="minorHAnsi" w:hAnsiTheme="minorHAnsi"/>
          <w:i/>
          <w:sz w:val="22"/>
          <w:szCs w:val="22"/>
        </w:rPr>
        <w:t>for</w:t>
      </w:r>
      <w:proofErr w:type="spellEnd"/>
      <w:r w:rsidRPr="001C3E10">
        <w:rPr>
          <w:rFonts w:asciiTheme="minorHAnsi" w:hAnsiTheme="minorHAnsi"/>
          <w:i/>
          <w:sz w:val="22"/>
          <w:szCs w:val="22"/>
        </w:rPr>
        <w:t xml:space="preserve"> Enterprise </w:t>
      </w:r>
      <w:proofErr w:type="spellStart"/>
      <w:r w:rsidRPr="001C3E10">
        <w:rPr>
          <w:rFonts w:asciiTheme="minorHAnsi" w:hAnsiTheme="minorHAnsi"/>
          <w:i/>
          <w:sz w:val="22"/>
          <w:szCs w:val="22"/>
        </w:rPr>
        <w:t>Architecture</w:t>
      </w:r>
      <w:proofErr w:type="spellEnd"/>
      <w:r w:rsidRPr="001C3E10">
        <w:rPr>
          <w:rFonts w:asciiTheme="minorHAnsi" w:hAnsiTheme="minorHAnsi"/>
          <w:sz w:val="22"/>
          <w:szCs w:val="22"/>
        </w:rPr>
        <w:t xml:space="preserve"> realizado para el BCCR en el mes de setiembre del 2014, la arquitectura empresarial se encuentra en el nivel de madurez 1 (nivel llamado </w:t>
      </w:r>
      <w:r w:rsidRPr="001C3E10">
        <w:rPr>
          <w:rFonts w:asciiTheme="minorHAnsi" w:hAnsiTheme="minorHAnsi"/>
          <w:i/>
          <w:sz w:val="22"/>
          <w:szCs w:val="22"/>
        </w:rPr>
        <w:t>No existente</w:t>
      </w:r>
      <w:r w:rsidRPr="001C3E10">
        <w:rPr>
          <w:rFonts w:asciiTheme="minorHAnsi" w:hAnsiTheme="minorHAnsi"/>
          <w:sz w:val="22"/>
          <w:szCs w:val="22"/>
        </w:rPr>
        <w:t>). Esto significa, que se carece de un proceso para el desarrollo de la arquitectura claramente articulado, ejecutado programáticamente, que permita conocer para cada cambio relevante, la arquitectura actual y la arquitectura propuesta, así como la documentación que permita analizar desde la perspectiva de las Divisiones y ODM, los beneficios, costos y riesgos que estos cambios conllevan. De igual forma este nivel se caracteriza por carecer de métricas que muestren el valor que la AE tiene para la Corporación. Aunque la labor arquitectónica no se encuentre formalmente definida, no significa que se carezca de ella, sino que esta se encuentra integrada en muchos otros procesos de la organización y es a través de ellos que se logra dar la dirección, el apoyo y el cumplimiento requerido.</w:t>
      </w:r>
    </w:p>
    <w:p w14:paraId="555CE13B"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194" w:name="_Toc429555155"/>
      <w:bookmarkStart w:id="195" w:name="_Toc429562797"/>
      <w:bookmarkStart w:id="196" w:name="_Toc429563107"/>
      <w:bookmarkStart w:id="197" w:name="_Toc429563262"/>
      <w:bookmarkStart w:id="198" w:name="_Toc442253244"/>
      <w:r w:rsidRPr="001C3E10">
        <w:rPr>
          <w:rFonts w:asciiTheme="minorHAnsi" w:hAnsiTheme="minorHAnsi"/>
          <w:sz w:val="22"/>
          <w:szCs w:val="22"/>
        </w:rPr>
        <w:t>Estrategias</w:t>
      </w:r>
      <w:bookmarkEnd w:id="194"/>
      <w:bookmarkEnd w:id="195"/>
      <w:bookmarkEnd w:id="196"/>
      <w:bookmarkEnd w:id="197"/>
      <w:bookmarkEnd w:id="198"/>
    </w:p>
    <w:p w14:paraId="6739898B"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Arquitectura empresarial</w:t>
      </w:r>
    </w:p>
    <w:p w14:paraId="255E9607"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Se plantea como norte alcanzar el nivel de madurez 2 (nivel </w:t>
      </w:r>
      <w:r w:rsidRPr="001C3E10">
        <w:rPr>
          <w:rFonts w:asciiTheme="minorHAnsi" w:hAnsiTheme="minorHAnsi"/>
          <w:i/>
          <w:sz w:val="22"/>
          <w:szCs w:val="22"/>
        </w:rPr>
        <w:t>Reactivo</w:t>
      </w:r>
      <w:r w:rsidRPr="001C3E10">
        <w:rPr>
          <w:rFonts w:asciiTheme="minorHAnsi" w:hAnsiTheme="minorHAnsi"/>
          <w:sz w:val="22"/>
          <w:szCs w:val="22"/>
        </w:rPr>
        <w:t xml:space="preserve">), según el </w:t>
      </w:r>
      <w:proofErr w:type="spellStart"/>
      <w:r w:rsidRPr="001C3E10">
        <w:rPr>
          <w:rFonts w:asciiTheme="minorHAnsi" w:hAnsiTheme="minorHAnsi"/>
          <w:i/>
          <w:sz w:val="22"/>
          <w:szCs w:val="22"/>
        </w:rPr>
        <w:t>Gartner</w:t>
      </w:r>
      <w:proofErr w:type="spellEnd"/>
      <w:r w:rsidRPr="001C3E10">
        <w:rPr>
          <w:rFonts w:asciiTheme="minorHAnsi" w:hAnsiTheme="minorHAnsi"/>
          <w:i/>
          <w:sz w:val="22"/>
          <w:szCs w:val="22"/>
        </w:rPr>
        <w:t xml:space="preserve"> IT Score </w:t>
      </w:r>
      <w:proofErr w:type="spellStart"/>
      <w:r w:rsidRPr="001C3E10">
        <w:rPr>
          <w:rFonts w:asciiTheme="minorHAnsi" w:hAnsiTheme="minorHAnsi"/>
          <w:i/>
          <w:sz w:val="22"/>
          <w:szCs w:val="22"/>
        </w:rPr>
        <w:t>for</w:t>
      </w:r>
      <w:proofErr w:type="spellEnd"/>
      <w:r w:rsidRPr="001C3E10">
        <w:rPr>
          <w:rFonts w:asciiTheme="minorHAnsi" w:hAnsiTheme="minorHAnsi"/>
          <w:i/>
          <w:sz w:val="22"/>
          <w:szCs w:val="22"/>
        </w:rPr>
        <w:t xml:space="preserve"> Enterprise </w:t>
      </w:r>
      <w:proofErr w:type="spellStart"/>
      <w:r w:rsidRPr="001C3E10">
        <w:rPr>
          <w:rFonts w:asciiTheme="minorHAnsi" w:hAnsiTheme="minorHAnsi"/>
          <w:i/>
          <w:sz w:val="22"/>
          <w:szCs w:val="22"/>
        </w:rPr>
        <w:t>Architecture</w:t>
      </w:r>
      <w:proofErr w:type="spellEnd"/>
      <w:r w:rsidRPr="001C3E10">
        <w:rPr>
          <w:rFonts w:asciiTheme="minorHAnsi" w:hAnsiTheme="minorHAnsi"/>
          <w:sz w:val="22"/>
          <w:szCs w:val="22"/>
        </w:rPr>
        <w:t>, nivel que</w:t>
      </w:r>
      <w:r w:rsidRPr="001C3E10">
        <w:rPr>
          <w:rFonts w:asciiTheme="minorHAnsi" w:hAnsiTheme="minorHAnsi"/>
          <w:i/>
          <w:sz w:val="22"/>
          <w:szCs w:val="22"/>
        </w:rPr>
        <w:t xml:space="preserve"> </w:t>
      </w:r>
      <w:r w:rsidRPr="001C3E10">
        <w:rPr>
          <w:rFonts w:asciiTheme="minorHAnsi" w:hAnsiTheme="minorHAnsi"/>
          <w:sz w:val="22"/>
          <w:szCs w:val="22"/>
        </w:rPr>
        <w:t>asegura el establecimiento de un programa de arquitectura empresarial a través del cual se crea documentación básica para cada nuevo proyecto a desarrollar, se cuenta con un equipo de AE entrenado y los principales afectados son conscientes de la existencia de estos esfuerzos iniciales. Todo esto con el fin de brindar a las Divisiones y ODM información clara sobre el aporte de los proyectos a la labor que ellas realizan.</w:t>
      </w:r>
    </w:p>
    <w:p w14:paraId="4BB8152B" w14:textId="77777777" w:rsidR="0041643D" w:rsidRDefault="0041643D" w:rsidP="001C3E10">
      <w:pPr>
        <w:spacing w:line="276" w:lineRule="auto"/>
        <w:jc w:val="both"/>
        <w:rPr>
          <w:rFonts w:asciiTheme="minorHAnsi" w:hAnsiTheme="minorHAnsi"/>
          <w:sz w:val="22"/>
          <w:szCs w:val="22"/>
        </w:rPr>
      </w:pPr>
    </w:p>
    <w:p w14:paraId="38AE600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Sobre la arquitectura tecnológica del BCCR y con el objetivo de alcanzar el nivel 2, se plantea la integración de las principales herramientas utilizadas por el BCCR y los ODM, así como la </w:t>
      </w:r>
      <w:r w:rsidRPr="001C3E10">
        <w:rPr>
          <w:rFonts w:asciiTheme="minorHAnsi" w:hAnsiTheme="minorHAnsi"/>
          <w:sz w:val="22"/>
          <w:szCs w:val="22"/>
        </w:rPr>
        <w:lastRenderedPageBreak/>
        <w:t>consolidación de las soluciones de TI alrededor de 7 principales plataformas (agrupación desde el punto de vista de las principales labores de Banco), lo que permitiría gestionar las soluciones que apoyan a la Corporación de manera más ordenada, facilitando la asignación de recursos, la priorización y la gestión del riesgo. Estas plataformas son:</w:t>
      </w:r>
    </w:p>
    <w:p w14:paraId="14A71CC7" w14:textId="77777777" w:rsidR="001C3E10" w:rsidRPr="001C3E10" w:rsidRDefault="001C3E10" w:rsidP="00547B19">
      <w:pPr>
        <w:pStyle w:val="Prrafodelista"/>
        <w:numPr>
          <w:ilvl w:val="0"/>
          <w:numId w:val="51"/>
        </w:numPr>
        <w:spacing w:after="200" w:line="276" w:lineRule="auto"/>
        <w:rPr>
          <w:rFonts w:asciiTheme="minorHAnsi" w:hAnsiTheme="minorHAnsi"/>
          <w:sz w:val="22"/>
        </w:rPr>
      </w:pPr>
      <w:r w:rsidRPr="001C3E10">
        <w:rPr>
          <w:rFonts w:asciiTheme="minorHAnsi" w:hAnsiTheme="minorHAnsi"/>
          <w:b/>
          <w:sz w:val="22"/>
        </w:rPr>
        <w:t>Análisis económico</w:t>
      </w:r>
      <w:r w:rsidRPr="001C3E10">
        <w:rPr>
          <w:rFonts w:asciiTheme="minorHAnsi" w:hAnsiTheme="minorHAnsi"/>
          <w:sz w:val="22"/>
        </w:rPr>
        <w:t xml:space="preserve">. Incluye la captura, el análisis, la producción de informes para la toma de decisiones y en general todo lo relacionado con la política monetaria. </w:t>
      </w:r>
    </w:p>
    <w:p w14:paraId="6A07BA29" w14:textId="77777777" w:rsidR="001C3E10" w:rsidRPr="001C3E10" w:rsidRDefault="001C3E10" w:rsidP="00547B19">
      <w:pPr>
        <w:pStyle w:val="Prrafodelista"/>
        <w:numPr>
          <w:ilvl w:val="0"/>
          <w:numId w:val="51"/>
        </w:numPr>
        <w:spacing w:after="200" w:line="276" w:lineRule="auto"/>
        <w:rPr>
          <w:rFonts w:asciiTheme="minorHAnsi" w:hAnsiTheme="minorHAnsi"/>
          <w:sz w:val="22"/>
        </w:rPr>
      </w:pPr>
      <w:r w:rsidRPr="001C3E10">
        <w:rPr>
          <w:rFonts w:asciiTheme="minorHAnsi" w:hAnsiTheme="minorHAnsi"/>
          <w:b/>
          <w:sz w:val="22"/>
        </w:rPr>
        <w:t>Activos</w:t>
      </w:r>
      <w:r w:rsidRPr="001C3E10">
        <w:rPr>
          <w:rFonts w:asciiTheme="minorHAnsi" w:hAnsiTheme="minorHAnsi"/>
          <w:sz w:val="22"/>
        </w:rPr>
        <w:t xml:space="preserve">. Envuelve la gestión de los activos financieros que opera el Banco así como el manejo de la política cambiaria. </w:t>
      </w:r>
    </w:p>
    <w:p w14:paraId="457D95C1" w14:textId="77777777" w:rsidR="001C3E10" w:rsidRPr="001C3E10" w:rsidRDefault="001C3E10" w:rsidP="00547B19">
      <w:pPr>
        <w:pStyle w:val="Prrafodelista"/>
        <w:numPr>
          <w:ilvl w:val="0"/>
          <w:numId w:val="51"/>
        </w:numPr>
        <w:spacing w:after="200" w:line="276" w:lineRule="auto"/>
        <w:rPr>
          <w:rFonts w:asciiTheme="minorHAnsi" w:hAnsiTheme="minorHAnsi"/>
          <w:sz w:val="22"/>
        </w:rPr>
      </w:pPr>
      <w:r w:rsidRPr="001C3E10">
        <w:rPr>
          <w:rFonts w:asciiTheme="minorHAnsi" w:hAnsiTheme="minorHAnsi"/>
          <w:b/>
          <w:sz w:val="22"/>
        </w:rPr>
        <w:t>Pagos</w:t>
      </w:r>
      <w:r w:rsidRPr="001C3E10">
        <w:rPr>
          <w:rFonts w:asciiTheme="minorHAnsi" w:hAnsiTheme="minorHAnsi"/>
          <w:sz w:val="22"/>
        </w:rPr>
        <w:t>. Contiene las aplicaciones utilizadas para la operación del Sistema de Pagos, entre ellos los servicios del SINPE y Central Directo.</w:t>
      </w:r>
    </w:p>
    <w:p w14:paraId="7DE6E54D" w14:textId="77777777" w:rsidR="001C3E10" w:rsidRPr="001C3E10" w:rsidRDefault="001C3E10" w:rsidP="00547B19">
      <w:pPr>
        <w:pStyle w:val="Prrafodelista"/>
        <w:numPr>
          <w:ilvl w:val="0"/>
          <w:numId w:val="51"/>
        </w:numPr>
        <w:spacing w:after="200" w:line="276" w:lineRule="auto"/>
        <w:rPr>
          <w:rFonts w:asciiTheme="minorHAnsi" w:hAnsiTheme="minorHAnsi"/>
          <w:sz w:val="22"/>
        </w:rPr>
      </w:pPr>
      <w:r w:rsidRPr="001C3E10">
        <w:rPr>
          <w:rFonts w:asciiTheme="minorHAnsi" w:hAnsiTheme="minorHAnsi"/>
          <w:b/>
          <w:sz w:val="22"/>
        </w:rPr>
        <w:t>Regulación y supervisión</w:t>
      </w:r>
      <w:r w:rsidRPr="001C3E10">
        <w:rPr>
          <w:rFonts w:asciiTheme="minorHAnsi" w:hAnsiTheme="minorHAnsi"/>
          <w:sz w:val="22"/>
        </w:rPr>
        <w:t xml:space="preserve">. Comprende tanto la supervisión de los mercados financieros como la </w:t>
      </w:r>
      <w:proofErr w:type="spellStart"/>
      <w:r w:rsidRPr="001C3E10">
        <w:rPr>
          <w:rFonts w:asciiTheme="minorHAnsi" w:hAnsiTheme="minorHAnsi"/>
          <w:sz w:val="22"/>
        </w:rPr>
        <w:t>macroprudencial</w:t>
      </w:r>
      <w:proofErr w:type="spellEnd"/>
      <w:r w:rsidRPr="001C3E10">
        <w:rPr>
          <w:rFonts w:asciiTheme="minorHAnsi" w:hAnsiTheme="minorHAnsi"/>
          <w:sz w:val="22"/>
        </w:rPr>
        <w:t xml:space="preserve">, la autorización de participantes y productos, la captura, producción y difusión de información, los procesos preliminares de investigación y sancionatorios, la educación financiera, así como la emisión y modificación de normativa. </w:t>
      </w:r>
    </w:p>
    <w:p w14:paraId="1DF7B329" w14:textId="77777777" w:rsidR="001C3E10" w:rsidRPr="001C3E10" w:rsidRDefault="001C3E10" w:rsidP="00547B19">
      <w:pPr>
        <w:pStyle w:val="Prrafodelista"/>
        <w:numPr>
          <w:ilvl w:val="0"/>
          <w:numId w:val="51"/>
        </w:numPr>
        <w:spacing w:after="200" w:line="276" w:lineRule="auto"/>
        <w:rPr>
          <w:rFonts w:asciiTheme="minorHAnsi" w:hAnsiTheme="minorHAnsi"/>
          <w:sz w:val="22"/>
        </w:rPr>
      </w:pPr>
      <w:r w:rsidRPr="001C3E10">
        <w:rPr>
          <w:rFonts w:asciiTheme="minorHAnsi" w:hAnsiTheme="minorHAnsi"/>
          <w:b/>
          <w:sz w:val="22"/>
        </w:rPr>
        <w:t>Colaboración y productividad del empleado</w:t>
      </w:r>
      <w:r w:rsidRPr="001C3E10">
        <w:rPr>
          <w:rFonts w:asciiTheme="minorHAnsi" w:hAnsiTheme="minorHAnsi"/>
          <w:sz w:val="22"/>
        </w:rPr>
        <w:t xml:space="preserve">. Incorpora todas las herramientas que permiten mejorar la productividad del empleado de la Corporación. </w:t>
      </w:r>
    </w:p>
    <w:p w14:paraId="42A0ECDC" w14:textId="77777777" w:rsidR="001C3E10" w:rsidRPr="001C3E10" w:rsidRDefault="001C3E10" w:rsidP="00547B19">
      <w:pPr>
        <w:pStyle w:val="Prrafodelista"/>
        <w:numPr>
          <w:ilvl w:val="0"/>
          <w:numId w:val="51"/>
        </w:numPr>
        <w:spacing w:after="200" w:line="276" w:lineRule="auto"/>
        <w:rPr>
          <w:rFonts w:asciiTheme="minorHAnsi" w:hAnsiTheme="minorHAnsi"/>
          <w:sz w:val="22"/>
        </w:rPr>
      </w:pPr>
      <w:r w:rsidRPr="001C3E10">
        <w:rPr>
          <w:rFonts w:asciiTheme="minorHAnsi" w:hAnsiTheme="minorHAnsi"/>
          <w:b/>
          <w:sz w:val="22"/>
        </w:rPr>
        <w:t xml:space="preserve">Operaciones del </w:t>
      </w:r>
      <w:proofErr w:type="spellStart"/>
      <w:r w:rsidRPr="001C3E10">
        <w:rPr>
          <w:rFonts w:asciiTheme="minorHAnsi" w:hAnsiTheme="minorHAnsi"/>
          <w:b/>
          <w:sz w:val="22"/>
        </w:rPr>
        <w:t>backoffice</w:t>
      </w:r>
      <w:proofErr w:type="spellEnd"/>
      <w:r w:rsidRPr="001C3E10">
        <w:rPr>
          <w:rFonts w:asciiTheme="minorHAnsi" w:hAnsiTheme="minorHAnsi"/>
          <w:sz w:val="22"/>
        </w:rPr>
        <w:t xml:space="preserve">. En esta plataforma se concentra la operativa del </w:t>
      </w:r>
      <w:proofErr w:type="spellStart"/>
      <w:r w:rsidRPr="001C3E10">
        <w:rPr>
          <w:rFonts w:asciiTheme="minorHAnsi" w:hAnsiTheme="minorHAnsi"/>
          <w:sz w:val="22"/>
        </w:rPr>
        <w:t>backoffice</w:t>
      </w:r>
      <w:proofErr w:type="spellEnd"/>
      <w:r w:rsidRPr="001C3E10">
        <w:rPr>
          <w:rFonts w:asciiTheme="minorHAnsi" w:hAnsiTheme="minorHAnsi"/>
          <w:sz w:val="22"/>
        </w:rPr>
        <w:t xml:space="preserve"> de la Corporación (Proveeduría, Bienes Muebles, Finanzas y Presupuesto, entre otros).</w:t>
      </w:r>
    </w:p>
    <w:p w14:paraId="32AB79E8" w14:textId="77777777" w:rsidR="001C3E10" w:rsidRPr="001C3E10" w:rsidRDefault="001C3E10" w:rsidP="00547B19">
      <w:pPr>
        <w:pStyle w:val="Prrafodelista"/>
        <w:numPr>
          <w:ilvl w:val="0"/>
          <w:numId w:val="51"/>
        </w:numPr>
        <w:spacing w:after="200" w:line="276" w:lineRule="auto"/>
        <w:rPr>
          <w:rFonts w:asciiTheme="minorHAnsi" w:hAnsiTheme="minorHAnsi"/>
          <w:sz w:val="22"/>
        </w:rPr>
      </w:pPr>
      <w:r w:rsidRPr="001C3E10">
        <w:rPr>
          <w:rFonts w:asciiTheme="minorHAnsi" w:hAnsiTheme="minorHAnsi"/>
          <w:b/>
          <w:sz w:val="22"/>
        </w:rPr>
        <w:t>Integración</w:t>
      </w:r>
      <w:r w:rsidRPr="001C3E10">
        <w:rPr>
          <w:rFonts w:asciiTheme="minorHAnsi" w:hAnsiTheme="minorHAnsi"/>
          <w:sz w:val="22"/>
        </w:rPr>
        <w:t xml:space="preserve">. La existencia de múltiples plataformas de aplicaciones requerirá de la existencia de mecanismos a través de los cuales se logre la integración de los flujos de información entre ellas. </w:t>
      </w:r>
    </w:p>
    <w:p w14:paraId="777085C8" w14:textId="36DACD50"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Se gestionará el portafolio de aplicaciones de software, identificando el valor que estas aportan a la Corporación, los riesgos que la tecnología le podría incorporar y su efectividad. Además se clasificarán estas aplicaciones (según sean Sistemas de Registro, Diferenciación o Innovación) de forma tal que se facilite la toma de decisiones, especialmente las relacionadas con inversiones que sobre estas se realicen. Un mayor detalle sobre este tema se puede encontrar en el apartado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_Ref408241649 \r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D81356">
        <w:rPr>
          <w:rFonts w:asciiTheme="minorHAnsi" w:hAnsiTheme="minorHAnsi"/>
          <w:sz w:val="22"/>
          <w:szCs w:val="22"/>
        </w:rPr>
        <w:t>7.4</w:t>
      </w:r>
      <w:r w:rsidRPr="001C3E10">
        <w:rPr>
          <w:rFonts w:asciiTheme="minorHAnsi" w:hAnsiTheme="minorHAnsi"/>
          <w:sz w:val="22"/>
          <w:szCs w:val="22"/>
        </w:rPr>
        <w:fldChar w:fldCharType="end"/>
      </w:r>
      <w:r w:rsidRPr="001C3E10">
        <w:rPr>
          <w:rFonts w:asciiTheme="minorHAnsi" w:hAnsiTheme="minorHAnsi"/>
          <w:sz w:val="22"/>
          <w:szCs w:val="22"/>
        </w:rPr>
        <w:t xml:space="preserve">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_Ref408241636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D81356" w:rsidRPr="001C3E10">
        <w:rPr>
          <w:rFonts w:asciiTheme="minorHAnsi" w:hAnsiTheme="minorHAnsi"/>
          <w:sz w:val="22"/>
          <w:szCs w:val="22"/>
        </w:rPr>
        <w:t>Gestión del portafolio de aplicaciones de software</w:t>
      </w:r>
      <w:r w:rsidRPr="001C3E10">
        <w:rPr>
          <w:rFonts w:asciiTheme="minorHAnsi" w:hAnsiTheme="minorHAnsi"/>
          <w:sz w:val="22"/>
          <w:szCs w:val="22"/>
        </w:rPr>
        <w:fldChar w:fldCharType="end"/>
      </w:r>
      <w:r w:rsidRPr="001C3E10">
        <w:rPr>
          <w:rFonts w:asciiTheme="minorHAnsi" w:hAnsiTheme="minorHAnsi"/>
          <w:sz w:val="22"/>
          <w:szCs w:val="22"/>
        </w:rPr>
        <w:t>.</w:t>
      </w:r>
    </w:p>
    <w:p w14:paraId="32C934F4"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Incorporación de tendencias tecnológicas que apoyen el aporte de valor de TI</w:t>
      </w:r>
    </w:p>
    <w:p w14:paraId="6C0152AC"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El rápido avance tecnológico que se vive en la actualidad genera importantes oportunidades a las organizaciones que sepan aprovechar de manera ordenada los beneficios que tales avances generan. </w:t>
      </w:r>
    </w:p>
    <w:p w14:paraId="7010EFE7" w14:textId="77777777" w:rsidR="0041643D" w:rsidRDefault="0041643D" w:rsidP="001C3E10">
      <w:pPr>
        <w:spacing w:line="276" w:lineRule="auto"/>
        <w:jc w:val="both"/>
        <w:rPr>
          <w:rFonts w:asciiTheme="minorHAnsi" w:hAnsiTheme="minorHAnsi"/>
          <w:sz w:val="22"/>
          <w:szCs w:val="22"/>
        </w:rPr>
      </w:pPr>
    </w:p>
    <w:p w14:paraId="09CD8F1E" w14:textId="4052AE18"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El desarrollo de </w:t>
      </w:r>
      <w:r w:rsidRPr="004D7122">
        <w:rPr>
          <w:rFonts w:asciiTheme="minorHAnsi" w:hAnsiTheme="minorHAnsi"/>
          <w:sz w:val="22"/>
          <w:szCs w:val="22"/>
        </w:rPr>
        <w:t>aplicaciones móviles</w:t>
      </w:r>
      <w:r w:rsidRPr="001C3E10">
        <w:rPr>
          <w:rFonts w:asciiTheme="minorHAnsi" w:hAnsiTheme="minorHAnsi"/>
          <w:sz w:val="22"/>
          <w:szCs w:val="22"/>
        </w:rPr>
        <w:t>, el uso de dispositivos personales en el desarrollo de labores (</w:t>
      </w:r>
      <w:r w:rsidRPr="004D7122">
        <w:rPr>
          <w:rFonts w:asciiTheme="minorHAnsi" w:hAnsiTheme="minorHAnsi"/>
          <w:sz w:val="22"/>
          <w:szCs w:val="22"/>
        </w:rPr>
        <w:t>BYOD</w:t>
      </w:r>
      <w:r w:rsidRPr="001C3E10">
        <w:rPr>
          <w:rFonts w:asciiTheme="minorHAnsi" w:hAnsiTheme="minorHAnsi"/>
          <w:sz w:val="22"/>
          <w:szCs w:val="22"/>
        </w:rPr>
        <w:t xml:space="preserve">), </w:t>
      </w:r>
      <w:r w:rsidRPr="004D7122">
        <w:rPr>
          <w:rFonts w:asciiTheme="minorHAnsi" w:hAnsiTheme="minorHAnsi"/>
          <w:sz w:val="22"/>
          <w:szCs w:val="22"/>
        </w:rPr>
        <w:t>Big Data</w:t>
      </w:r>
      <w:r w:rsidRPr="001C3E10">
        <w:rPr>
          <w:rFonts w:asciiTheme="minorHAnsi" w:hAnsiTheme="minorHAnsi"/>
          <w:sz w:val="22"/>
          <w:szCs w:val="22"/>
        </w:rPr>
        <w:t xml:space="preserve"> y la </w:t>
      </w:r>
      <w:r w:rsidRPr="004D7122">
        <w:rPr>
          <w:rFonts w:asciiTheme="minorHAnsi" w:hAnsiTheme="minorHAnsi"/>
          <w:sz w:val="22"/>
          <w:szCs w:val="22"/>
        </w:rPr>
        <w:t>virtualización de escritorios</w:t>
      </w:r>
      <w:r w:rsidRPr="001C3E10">
        <w:rPr>
          <w:rFonts w:asciiTheme="minorHAnsi" w:hAnsiTheme="minorHAnsi"/>
          <w:sz w:val="22"/>
          <w:szCs w:val="22"/>
        </w:rPr>
        <w:t xml:space="preserve"> son tendencias que las que la DST incursionará con el fin de aportar beneficios en los procesos, herramientas y en el personal del BCCR. </w:t>
      </w:r>
    </w:p>
    <w:p w14:paraId="2DF8247A"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199" w:name="_Ref410915519"/>
      <w:bookmarkStart w:id="200" w:name="_Toc414532021"/>
      <w:bookmarkStart w:id="201" w:name="_Toc429555156"/>
      <w:bookmarkStart w:id="202" w:name="_Toc429562798"/>
      <w:bookmarkStart w:id="203" w:name="_Toc429563108"/>
      <w:bookmarkStart w:id="204" w:name="_Toc429563263"/>
      <w:bookmarkStart w:id="205" w:name="_Toc442253245"/>
      <w:r w:rsidRPr="001C3E10">
        <w:rPr>
          <w:rFonts w:asciiTheme="minorHAnsi" w:hAnsiTheme="minorHAnsi"/>
          <w:sz w:val="22"/>
          <w:szCs w:val="22"/>
        </w:rPr>
        <w:lastRenderedPageBreak/>
        <w:t>Personas</w:t>
      </w:r>
      <w:bookmarkEnd w:id="199"/>
      <w:bookmarkEnd w:id="200"/>
      <w:bookmarkEnd w:id="201"/>
      <w:bookmarkEnd w:id="202"/>
      <w:bookmarkEnd w:id="203"/>
      <w:bookmarkEnd w:id="204"/>
      <w:bookmarkEnd w:id="205"/>
    </w:p>
    <w:p w14:paraId="239C271A"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206" w:name="_Toc429555157"/>
      <w:bookmarkStart w:id="207" w:name="_Toc429562799"/>
      <w:bookmarkStart w:id="208" w:name="_Toc429563109"/>
      <w:bookmarkStart w:id="209" w:name="_Toc429563264"/>
      <w:bookmarkStart w:id="210" w:name="_Toc442253246"/>
      <w:r w:rsidRPr="001C3E10">
        <w:rPr>
          <w:rFonts w:asciiTheme="minorHAnsi" w:hAnsiTheme="minorHAnsi"/>
          <w:sz w:val="22"/>
          <w:szCs w:val="22"/>
        </w:rPr>
        <w:t>Situación actual</w:t>
      </w:r>
      <w:bookmarkEnd w:id="206"/>
      <w:bookmarkEnd w:id="207"/>
      <w:bookmarkEnd w:id="208"/>
      <w:bookmarkEnd w:id="209"/>
      <w:bookmarkEnd w:id="210"/>
    </w:p>
    <w:p w14:paraId="3894CE90" w14:textId="77777777" w:rsidR="001C3E10" w:rsidRPr="001C3E10" w:rsidRDefault="001C3E10" w:rsidP="001C3E10">
      <w:pPr>
        <w:spacing w:line="276" w:lineRule="auto"/>
        <w:jc w:val="both"/>
        <w:rPr>
          <w:rFonts w:asciiTheme="minorHAnsi" w:hAnsiTheme="minorHAnsi"/>
          <w:sz w:val="22"/>
          <w:szCs w:val="22"/>
          <w:u w:val="single"/>
        </w:rPr>
      </w:pPr>
      <w:r w:rsidRPr="001C3E10">
        <w:rPr>
          <w:rFonts w:asciiTheme="minorHAnsi" w:hAnsiTheme="minorHAnsi"/>
          <w:sz w:val="22"/>
          <w:szCs w:val="22"/>
        </w:rPr>
        <w:t xml:space="preserve">Las actuales capacidades de TI responden a las necesidades identificadas también a raíz de la reorganización del año 2007, para atender las actividades de los procesos requeridos para gestionar la TI. Estas se encuentran enfocadas primordialmente en la capacidad de diseñar, construir y operar nuevas soluciones tecnológicas, especialmente basadas en software (aplicaciones). La estructura funcional fue diseñada a partir de ese mismo proceso </w:t>
      </w:r>
      <w:proofErr w:type="spellStart"/>
      <w:r w:rsidRPr="001C3E10">
        <w:rPr>
          <w:rFonts w:asciiTheme="minorHAnsi" w:hAnsiTheme="minorHAnsi"/>
          <w:sz w:val="22"/>
          <w:szCs w:val="22"/>
        </w:rPr>
        <w:t>reorganizativo</w:t>
      </w:r>
      <w:proofErr w:type="spellEnd"/>
      <w:r w:rsidRPr="001C3E10">
        <w:rPr>
          <w:rFonts w:asciiTheme="minorHAnsi" w:hAnsiTheme="minorHAnsi"/>
          <w:sz w:val="22"/>
          <w:szCs w:val="22"/>
        </w:rPr>
        <w:t xml:space="preserve"> (dando paso a la actual DST) y continúa sin cambios significativos hasta la fecha. </w:t>
      </w:r>
    </w:p>
    <w:p w14:paraId="77EF8801" w14:textId="77777777" w:rsidR="0041643D" w:rsidRDefault="0041643D" w:rsidP="001C3E10">
      <w:pPr>
        <w:spacing w:line="276" w:lineRule="auto"/>
        <w:jc w:val="both"/>
        <w:rPr>
          <w:rFonts w:asciiTheme="minorHAnsi" w:hAnsiTheme="minorHAnsi"/>
          <w:sz w:val="22"/>
          <w:szCs w:val="22"/>
        </w:rPr>
      </w:pPr>
    </w:p>
    <w:p w14:paraId="3FC5340B"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El personal de TI de la Corporación se encuentra ubicado en distintos edificios</w:t>
      </w:r>
      <w:r w:rsidRPr="001C3E10">
        <w:rPr>
          <w:rStyle w:val="Refdenotaalpie"/>
          <w:rFonts w:asciiTheme="minorHAnsi" w:hAnsiTheme="minorHAnsi"/>
          <w:sz w:val="22"/>
          <w:szCs w:val="22"/>
        </w:rPr>
        <w:footnoteReference w:id="4"/>
      </w:r>
      <w:r w:rsidRPr="001C3E10">
        <w:rPr>
          <w:rFonts w:asciiTheme="minorHAnsi" w:hAnsiTheme="minorHAnsi"/>
          <w:sz w:val="22"/>
          <w:szCs w:val="22"/>
        </w:rPr>
        <w:t xml:space="preserve">, dificultando con esto el desarrollo de algunas labores que por su naturaleza requieren la cercanía física de los equipos de trabajo. Todo el personal de TI desarrolla sus labores desde esta instalaciones, solamente ante asignaciones particulares un porcentaje reducido del personal desarrolla </w:t>
      </w:r>
      <w:r w:rsidRPr="001C3E10">
        <w:rPr>
          <w:rFonts w:asciiTheme="minorHAnsi" w:hAnsiTheme="minorHAnsi"/>
          <w:i/>
          <w:sz w:val="22"/>
          <w:szCs w:val="22"/>
        </w:rPr>
        <w:t>labores fuera de la oficina</w:t>
      </w:r>
      <w:r w:rsidRPr="001C3E10">
        <w:rPr>
          <w:rFonts w:asciiTheme="minorHAnsi" w:hAnsiTheme="minorHAnsi"/>
          <w:sz w:val="22"/>
          <w:szCs w:val="22"/>
        </w:rPr>
        <w:t xml:space="preserve">, aprovechando algunas facilidades provistas por la TI. </w:t>
      </w:r>
    </w:p>
    <w:p w14:paraId="0B6A59A6"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211" w:name="_Toc429555158"/>
      <w:bookmarkStart w:id="212" w:name="_Toc429562800"/>
      <w:bookmarkStart w:id="213" w:name="_Toc429563110"/>
      <w:bookmarkStart w:id="214" w:name="_Toc429563265"/>
      <w:bookmarkStart w:id="215" w:name="_Toc442253247"/>
      <w:r w:rsidRPr="001C3E10">
        <w:rPr>
          <w:rFonts w:asciiTheme="minorHAnsi" w:hAnsiTheme="minorHAnsi"/>
          <w:sz w:val="22"/>
          <w:szCs w:val="22"/>
        </w:rPr>
        <w:t>Estrategias</w:t>
      </w:r>
      <w:bookmarkEnd w:id="211"/>
      <w:bookmarkEnd w:id="212"/>
      <w:bookmarkEnd w:id="213"/>
      <w:bookmarkEnd w:id="214"/>
      <w:bookmarkEnd w:id="215"/>
    </w:p>
    <w:p w14:paraId="09FDEC02"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Mejora del clima organizacional de TI</w:t>
      </w:r>
    </w:p>
    <w:p w14:paraId="6D53ACC4"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Es relevante desarrollar acciones que permitan mejorar el clima laboral y que impacten positivamente el desempeño de los colaboradores:</w:t>
      </w:r>
    </w:p>
    <w:p w14:paraId="3E17C334" w14:textId="77777777" w:rsidR="001C3E10" w:rsidRPr="001C3E10" w:rsidRDefault="001C3E10" w:rsidP="00547B19">
      <w:pPr>
        <w:pStyle w:val="Prrafodelista"/>
        <w:numPr>
          <w:ilvl w:val="0"/>
          <w:numId w:val="40"/>
        </w:numPr>
        <w:spacing w:after="200" w:line="276" w:lineRule="auto"/>
        <w:rPr>
          <w:rFonts w:asciiTheme="minorHAnsi" w:hAnsiTheme="minorHAnsi"/>
          <w:sz w:val="22"/>
        </w:rPr>
      </w:pPr>
      <w:r w:rsidRPr="001C3E10">
        <w:rPr>
          <w:rFonts w:asciiTheme="minorHAnsi" w:hAnsiTheme="minorHAnsi"/>
          <w:b/>
          <w:sz w:val="22"/>
        </w:rPr>
        <w:t>Trabajo en equipo.</w:t>
      </w:r>
      <w:r w:rsidRPr="001C3E10">
        <w:rPr>
          <w:rFonts w:asciiTheme="minorHAnsi" w:hAnsiTheme="minorHAnsi"/>
          <w:sz w:val="22"/>
        </w:rPr>
        <w:t xml:space="preserve"> Evitar la formación de islas en el desarrollo de las labores.</w:t>
      </w:r>
    </w:p>
    <w:p w14:paraId="30A8803A" w14:textId="77777777" w:rsidR="001C3E10" w:rsidRPr="001C3E10" w:rsidRDefault="001C3E10" w:rsidP="00547B19">
      <w:pPr>
        <w:pStyle w:val="Prrafodelista"/>
        <w:numPr>
          <w:ilvl w:val="0"/>
          <w:numId w:val="40"/>
        </w:numPr>
        <w:spacing w:after="200" w:line="276" w:lineRule="auto"/>
        <w:rPr>
          <w:rFonts w:asciiTheme="minorHAnsi" w:hAnsiTheme="minorHAnsi"/>
          <w:sz w:val="22"/>
        </w:rPr>
      </w:pPr>
      <w:r w:rsidRPr="001C3E10">
        <w:rPr>
          <w:rFonts w:asciiTheme="minorHAnsi" w:hAnsiTheme="minorHAnsi"/>
          <w:b/>
          <w:sz w:val="22"/>
        </w:rPr>
        <w:t>Comunicación.</w:t>
      </w:r>
      <w:r w:rsidRPr="001C3E10">
        <w:rPr>
          <w:rFonts w:asciiTheme="minorHAnsi" w:hAnsiTheme="minorHAnsi"/>
          <w:sz w:val="22"/>
        </w:rPr>
        <w:t xml:space="preserve"> Facilitar la transmisión de información relevante, de manera ascendente y descendente en la estructura funcional.</w:t>
      </w:r>
    </w:p>
    <w:p w14:paraId="4B4BFED8" w14:textId="77777777" w:rsidR="001C3E10" w:rsidRPr="001C3E10" w:rsidRDefault="001C3E10" w:rsidP="00547B19">
      <w:pPr>
        <w:pStyle w:val="Prrafodelista"/>
        <w:numPr>
          <w:ilvl w:val="0"/>
          <w:numId w:val="40"/>
        </w:numPr>
        <w:spacing w:after="200" w:line="276" w:lineRule="auto"/>
        <w:rPr>
          <w:rFonts w:asciiTheme="minorHAnsi" w:hAnsiTheme="minorHAnsi"/>
          <w:sz w:val="22"/>
        </w:rPr>
      </w:pPr>
      <w:r w:rsidRPr="001C3E10">
        <w:rPr>
          <w:rFonts w:asciiTheme="minorHAnsi" w:hAnsiTheme="minorHAnsi"/>
          <w:b/>
          <w:sz w:val="22"/>
        </w:rPr>
        <w:t xml:space="preserve">Colaboración. </w:t>
      </w:r>
      <w:r w:rsidRPr="001C3E10">
        <w:rPr>
          <w:rFonts w:asciiTheme="minorHAnsi" w:hAnsiTheme="minorHAnsi"/>
          <w:sz w:val="22"/>
        </w:rPr>
        <w:t>El encontrarse los equipos de trabajo físicamente separados impulsa a utilizar herramientas y procesos colaborativos.</w:t>
      </w:r>
    </w:p>
    <w:p w14:paraId="3D7C9323" w14:textId="77777777" w:rsidR="001C3E10" w:rsidRPr="001C3E10" w:rsidRDefault="001C3E10" w:rsidP="00547B19">
      <w:pPr>
        <w:pStyle w:val="Ttulo2"/>
        <w:keepLines/>
        <w:numPr>
          <w:ilvl w:val="1"/>
          <w:numId w:val="45"/>
        </w:numPr>
        <w:tabs>
          <w:tab w:val="clear" w:pos="360"/>
        </w:tabs>
        <w:autoSpaceDE/>
        <w:autoSpaceDN/>
        <w:adjustRightInd/>
        <w:spacing w:line="276" w:lineRule="auto"/>
        <w:jc w:val="both"/>
        <w:rPr>
          <w:rFonts w:asciiTheme="minorHAnsi" w:hAnsiTheme="minorHAnsi"/>
          <w:sz w:val="22"/>
          <w:szCs w:val="22"/>
        </w:rPr>
      </w:pPr>
      <w:bookmarkStart w:id="216" w:name="_Ref406443635"/>
      <w:bookmarkStart w:id="217" w:name="_Toc414532022"/>
      <w:bookmarkStart w:id="218" w:name="_Toc429555159"/>
      <w:bookmarkStart w:id="219" w:name="_Toc429562801"/>
      <w:bookmarkStart w:id="220" w:name="_Toc429563111"/>
      <w:bookmarkStart w:id="221" w:name="_Toc429563266"/>
      <w:bookmarkStart w:id="222" w:name="_Toc442253248"/>
      <w:r w:rsidRPr="001C3E10">
        <w:rPr>
          <w:rFonts w:asciiTheme="minorHAnsi" w:hAnsiTheme="minorHAnsi"/>
          <w:sz w:val="22"/>
          <w:szCs w:val="22"/>
        </w:rPr>
        <w:t>Fuentes de aprovisionamiento</w:t>
      </w:r>
      <w:bookmarkEnd w:id="216"/>
      <w:bookmarkEnd w:id="217"/>
      <w:bookmarkEnd w:id="218"/>
      <w:bookmarkEnd w:id="219"/>
      <w:bookmarkEnd w:id="220"/>
      <w:bookmarkEnd w:id="221"/>
      <w:bookmarkEnd w:id="222"/>
    </w:p>
    <w:p w14:paraId="6F258A6A"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223" w:name="_Toc429555160"/>
      <w:bookmarkStart w:id="224" w:name="_Toc429562802"/>
      <w:bookmarkStart w:id="225" w:name="_Toc429563112"/>
      <w:bookmarkStart w:id="226" w:name="_Toc429563267"/>
      <w:bookmarkStart w:id="227" w:name="_Toc442253249"/>
      <w:r w:rsidRPr="001C3E10">
        <w:rPr>
          <w:rFonts w:asciiTheme="minorHAnsi" w:hAnsiTheme="minorHAnsi"/>
          <w:sz w:val="22"/>
          <w:szCs w:val="22"/>
        </w:rPr>
        <w:t>Situación actual</w:t>
      </w:r>
      <w:bookmarkEnd w:id="223"/>
      <w:bookmarkEnd w:id="224"/>
      <w:bookmarkEnd w:id="225"/>
      <w:bookmarkEnd w:id="226"/>
      <w:bookmarkEnd w:id="227"/>
    </w:p>
    <w:p w14:paraId="0E3C0982" w14:textId="3212834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El personal de TI de la Corporación se encuentra conformado por 267 personas. Un 64% de este total corresponde a personal interno (172 personas, de las cuales 158 ocupan plazas fijas y 14 de servicios especiales), el restante 36% (95 personas) corresponde a personal subcontratado (</w:t>
      </w:r>
      <w:proofErr w:type="spellStart"/>
      <w:r w:rsidRPr="004D7122">
        <w:rPr>
          <w:rFonts w:asciiTheme="minorHAnsi" w:hAnsiTheme="minorHAnsi"/>
          <w:i/>
          <w:sz w:val="22"/>
          <w:szCs w:val="22"/>
        </w:rPr>
        <w:t>outtasking</w:t>
      </w:r>
      <w:proofErr w:type="spellEnd"/>
      <w:r w:rsidRPr="001C3E10">
        <w:rPr>
          <w:rFonts w:asciiTheme="minorHAnsi" w:hAnsiTheme="minorHAnsi"/>
          <w:sz w:val="22"/>
          <w:szCs w:val="22"/>
        </w:rPr>
        <w:t xml:space="preserve">) bajo el modelo de </w:t>
      </w:r>
      <w:r w:rsidRPr="001C3E10">
        <w:rPr>
          <w:rFonts w:asciiTheme="minorHAnsi" w:hAnsiTheme="minorHAnsi"/>
          <w:i/>
          <w:sz w:val="22"/>
          <w:szCs w:val="22"/>
        </w:rPr>
        <w:t>horas por demanda</w:t>
      </w:r>
      <w:r w:rsidRPr="001C3E10">
        <w:rPr>
          <w:rFonts w:asciiTheme="minorHAnsi" w:hAnsiTheme="minorHAnsi"/>
          <w:sz w:val="22"/>
          <w:szCs w:val="22"/>
        </w:rPr>
        <w:t xml:space="preserve"> (88 profesionales en TI y 7 técnicos). Se cuenta en la actualidad con dos contratos vigentes para suministrar personal por demanda y no se utiliza el modelo de </w:t>
      </w:r>
      <w:proofErr w:type="spellStart"/>
      <w:r w:rsidRPr="004D7122">
        <w:rPr>
          <w:rFonts w:asciiTheme="minorHAnsi" w:hAnsiTheme="minorHAnsi"/>
          <w:sz w:val="22"/>
          <w:szCs w:val="22"/>
        </w:rPr>
        <w:t>outsourcing</w:t>
      </w:r>
      <w:proofErr w:type="spellEnd"/>
      <w:r w:rsidRPr="001C3E10">
        <w:rPr>
          <w:rFonts w:asciiTheme="minorHAnsi" w:hAnsiTheme="minorHAnsi"/>
          <w:sz w:val="22"/>
          <w:szCs w:val="22"/>
        </w:rPr>
        <w:t xml:space="preserve">. </w:t>
      </w:r>
    </w:p>
    <w:p w14:paraId="54A9B1ED" w14:textId="77777777" w:rsidR="00A8169E" w:rsidRDefault="00A8169E" w:rsidP="001C3E10">
      <w:pPr>
        <w:spacing w:line="276" w:lineRule="auto"/>
        <w:jc w:val="both"/>
        <w:rPr>
          <w:rFonts w:asciiTheme="minorHAnsi" w:hAnsiTheme="minorHAnsi"/>
          <w:sz w:val="22"/>
          <w:szCs w:val="22"/>
        </w:rPr>
      </w:pPr>
    </w:p>
    <w:p w14:paraId="30458397"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Referente a las plazas de Servicios Especiales, estas tienen la particularidad de ser la principal fuente utilizada para los reemplazos de plazas fijas libres (por obvias razones), práctica que genera usualmente costosas cadenas de reemplazos para la Corporación.</w:t>
      </w:r>
    </w:p>
    <w:p w14:paraId="0D1BBE0C" w14:textId="77777777" w:rsidR="00A8169E" w:rsidRDefault="00A8169E" w:rsidP="001C3E10">
      <w:pPr>
        <w:spacing w:line="276" w:lineRule="auto"/>
        <w:jc w:val="both"/>
        <w:rPr>
          <w:rFonts w:asciiTheme="minorHAnsi" w:hAnsiTheme="minorHAnsi"/>
          <w:sz w:val="22"/>
          <w:szCs w:val="22"/>
        </w:rPr>
      </w:pPr>
    </w:p>
    <w:p w14:paraId="75D5F6A4"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En cuanto a las fuentes de aprovisionamiento de infraestructura, los utilizados por la DST han sido:</w:t>
      </w:r>
    </w:p>
    <w:p w14:paraId="2C63FA06" w14:textId="77777777" w:rsidR="001C3E10" w:rsidRPr="001C3E10" w:rsidRDefault="001C3E10" w:rsidP="00547B19">
      <w:pPr>
        <w:pStyle w:val="Prrafodelista"/>
        <w:numPr>
          <w:ilvl w:val="0"/>
          <w:numId w:val="42"/>
        </w:numPr>
        <w:spacing w:after="200" w:line="276" w:lineRule="auto"/>
        <w:rPr>
          <w:rFonts w:asciiTheme="minorHAnsi" w:hAnsiTheme="minorHAnsi"/>
          <w:sz w:val="22"/>
        </w:rPr>
      </w:pPr>
      <w:r w:rsidRPr="001C3E10">
        <w:rPr>
          <w:rFonts w:asciiTheme="minorHAnsi" w:hAnsiTheme="minorHAnsi"/>
          <w:b/>
          <w:sz w:val="22"/>
        </w:rPr>
        <w:t>Compra de equipo.</w:t>
      </w:r>
      <w:r w:rsidRPr="001C3E10">
        <w:rPr>
          <w:rFonts w:asciiTheme="minorHAnsi" w:hAnsiTheme="minorHAnsi"/>
          <w:sz w:val="22"/>
        </w:rPr>
        <w:t xml:space="preserve"> Modelo de compra utilizado por muchos años, sin embargo la duración de los procesos de compra ha sido uno de los principales factores por lo que se ha reducido su uso por parte de la DST. A pesar de ello, este modelo es indispensable para el aprovisionamiento de equipos cuya vida útil se extiende considerablemente (ej. Teléfonos y </w:t>
      </w:r>
      <w:proofErr w:type="spellStart"/>
      <w:r w:rsidRPr="001C3E10">
        <w:rPr>
          <w:rFonts w:asciiTheme="minorHAnsi" w:hAnsiTheme="minorHAnsi"/>
          <w:i/>
          <w:sz w:val="22"/>
        </w:rPr>
        <w:t>switches</w:t>
      </w:r>
      <w:proofErr w:type="spellEnd"/>
      <w:r w:rsidRPr="001C3E10">
        <w:rPr>
          <w:rFonts w:asciiTheme="minorHAnsi" w:hAnsiTheme="minorHAnsi"/>
          <w:sz w:val="22"/>
        </w:rPr>
        <w:t xml:space="preserve"> para telecomunicaciones, con más de 10 años de operación continua).</w:t>
      </w:r>
    </w:p>
    <w:p w14:paraId="127B892E" w14:textId="77777777" w:rsidR="001C3E10" w:rsidRPr="001C3E10" w:rsidRDefault="001C3E10" w:rsidP="00547B19">
      <w:pPr>
        <w:pStyle w:val="Prrafodelista"/>
        <w:numPr>
          <w:ilvl w:val="0"/>
          <w:numId w:val="42"/>
        </w:numPr>
        <w:spacing w:after="200" w:line="276" w:lineRule="auto"/>
        <w:rPr>
          <w:rFonts w:asciiTheme="minorHAnsi" w:hAnsiTheme="minorHAnsi"/>
          <w:sz w:val="22"/>
        </w:rPr>
      </w:pPr>
      <w:r w:rsidRPr="001C3E10">
        <w:rPr>
          <w:rFonts w:asciiTheme="minorHAnsi" w:hAnsiTheme="minorHAnsi"/>
          <w:b/>
          <w:sz w:val="22"/>
        </w:rPr>
        <w:t>Compras por demanda.</w:t>
      </w:r>
      <w:r w:rsidRPr="001C3E10">
        <w:rPr>
          <w:rFonts w:asciiTheme="minorHAnsi" w:hAnsiTheme="minorHAnsi"/>
          <w:sz w:val="22"/>
        </w:rPr>
        <w:t xml:space="preserve"> Los primeros contratos de compra de equipos por demanda (servidores y estaciones de trabajo) permitieron darle agilidad y facilidad al proceso de compra. Se trabaja en la actualidad en lograr que el resto de contratos de aprovisionamiento o licencias de uso recurrente se trasladen a esta modalidad.</w:t>
      </w:r>
    </w:p>
    <w:p w14:paraId="284A6AC0" w14:textId="77777777" w:rsidR="001C3E10" w:rsidRPr="001C3E10" w:rsidRDefault="001C3E10" w:rsidP="00547B19">
      <w:pPr>
        <w:pStyle w:val="Prrafodelista"/>
        <w:numPr>
          <w:ilvl w:val="0"/>
          <w:numId w:val="43"/>
        </w:numPr>
        <w:spacing w:after="200" w:line="276" w:lineRule="auto"/>
        <w:rPr>
          <w:rFonts w:asciiTheme="minorHAnsi" w:hAnsiTheme="minorHAnsi"/>
          <w:sz w:val="22"/>
        </w:rPr>
      </w:pPr>
      <w:r w:rsidRPr="001C3E10">
        <w:rPr>
          <w:rFonts w:asciiTheme="minorHAnsi" w:hAnsiTheme="minorHAnsi"/>
          <w:b/>
          <w:sz w:val="22"/>
        </w:rPr>
        <w:t>Arrendamiento de equipo.</w:t>
      </w:r>
      <w:r w:rsidRPr="001C3E10">
        <w:rPr>
          <w:rFonts w:asciiTheme="minorHAnsi" w:hAnsiTheme="minorHAnsi"/>
          <w:sz w:val="22"/>
        </w:rPr>
        <w:t xml:space="preserve"> Utilizado exitosamente por SUPEN y en el pasado por la DST en el BCCR, sin embargo las nuevas condiciones del mercado hacen que renovación no se considere rentable. </w:t>
      </w:r>
    </w:p>
    <w:p w14:paraId="49EE14B3" w14:textId="2880F0C2" w:rsidR="001C3E10" w:rsidRPr="001C3E10" w:rsidRDefault="001C3E10" w:rsidP="00547B19">
      <w:pPr>
        <w:pStyle w:val="Prrafodelista"/>
        <w:numPr>
          <w:ilvl w:val="0"/>
          <w:numId w:val="43"/>
        </w:numPr>
        <w:spacing w:after="200" w:line="276" w:lineRule="auto"/>
        <w:rPr>
          <w:rFonts w:asciiTheme="minorHAnsi" w:hAnsiTheme="minorHAnsi"/>
          <w:sz w:val="22"/>
        </w:rPr>
      </w:pPr>
      <w:r w:rsidRPr="004D7122">
        <w:rPr>
          <w:rFonts w:asciiTheme="minorHAnsi" w:hAnsiTheme="minorHAnsi"/>
          <w:b/>
          <w:sz w:val="22"/>
        </w:rPr>
        <w:t>Infraestructura como servicio</w:t>
      </w:r>
      <w:r w:rsidRPr="001C3E10">
        <w:rPr>
          <w:rFonts w:asciiTheme="minorHAnsi" w:hAnsiTheme="minorHAnsi"/>
          <w:b/>
          <w:sz w:val="22"/>
        </w:rPr>
        <w:t>.</w:t>
      </w:r>
      <w:r w:rsidRPr="001C3E10">
        <w:rPr>
          <w:rFonts w:asciiTheme="minorHAnsi" w:hAnsiTheme="minorHAnsi"/>
          <w:sz w:val="22"/>
        </w:rPr>
        <w:t xml:space="preserve"> Utilizado por SUPEN. El resto de departamentos dan en la actualidad los primeros pasos en la utilización de este modelo.</w:t>
      </w:r>
    </w:p>
    <w:p w14:paraId="4D9D05C5"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De manera similar a lo que ocurre con otros asuntos, la Corporación resuelve necesidades similares de aprovisionamiento de hardware y software utilizando medios y contratos distintos, con los consecuentes impactos negativos. </w:t>
      </w:r>
    </w:p>
    <w:p w14:paraId="1BF3423E"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228" w:name="_Toc429555161"/>
      <w:bookmarkStart w:id="229" w:name="_Toc429562803"/>
      <w:bookmarkStart w:id="230" w:name="_Toc429563113"/>
      <w:bookmarkStart w:id="231" w:name="_Toc429563268"/>
      <w:bookmarkStart w:id="232" w:name="_Toc442253250"/>
      <w:r w:rsidRPr="001C3E10">
        <w:rPr>
          <w:rFonts w:asciiTheme="minorHAnsi" w:hAnsiTheme="minorHAnsi"/>
          <w:sz w:val="22"/>
          <w:szCs w:val="22"/>
        </w:rPr>
        <w:t>Estrategias</w:t>
      </w:r>
      <w:bookmarkEnd w:id="228"/>
      <w:bookmarkEnd w:id="229"/>
      <w:bookmarkEnd w:id="230"/>
      <w:bookmarkEnd w:id="231"/>
      <w:bookmarkEnd w:id="232"/>
    </w:p>
    <w:p w14:paraId="5E40F8AC"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Aprovisionamiento de personal de TI a través de la contratación de personal interno</w:t>
      </w:r>
    </w:p>
    <w:p w14:paraId="7D90C881"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 principal fuente de aprovisionamiento de la fuerza de trabajo de TI requerida por la Corporación será a través de la utilización de personal interno. Sin embargo, respecto a la situación de las plazas de Servicios Especiales se considera necesario no seguir renovando este tipo de plazas, siempre y cuando las posibilidades lo permitan, con el fin de evitar los costos de reemplazo que se generan en este tipo de procesos.</w:t>
      </w:r>
    </w:p>
    <w:p w14:paraId="3668FDE4"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 xml:space="preserve">Aprovisionamiento de personal de TI a través del </w:t>
      </w:r>
      <w:proofErr w:type="spellStart"/>
      <w:r w:rsidRPr="001C3E10">
        <w:rPr>
          <w:rFonts w:asciiTheme="minorHAnsi" w:hAnsiTheme="minorHAnsi"/>
          <w:sz w:val="22"/>
          <w:szCs w:val="22"/>
        </w:rPr>
        <w:t>outtasking</w:t>
      </w:r>
      <w:proofErr w:type="spellEnd"/>
    </w:p>
    <w:p w14:paraId="74E0E592"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Las experiencias generadas a través del manejo de personal subcontratado, si bien han sido positivas, merecen la revisión y aplicación de ajustes, con el fin de obtener aún mejores resultados que permitan un mejor balance entre los beneficios y los costos para la Corporación. Entre otras se pueden mencionar la definición de medidas que permitan agilizar la conformación de equipos de trabajo y mejorar el nivel de calidad del personal suministrado.</w:t>
      </w:r>
    </w:p>
    <w:p w14:paraId="72D418C2"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 xml:space="preserve">Desarrollo de soluciones a través del </w:t>
      </w:r>
      <w:proofErr w:type="spellStart"/>
      <w:r w:rsidRPr="001C3E10">
        <w:rPr>
          <w:rFonts w:asciiTheme="minorHAnsi" w:hAnsiTheme="minorHAnsi"/>
          <w:sz w:val="22"/>
          <w:szCs w:val="22"/>
        </w:rPr>
        <w:t>outsourcing</w:t>
      </w:r>
      <w:proofErr w:type="spellEnd"/>
    </w:p>
    <w:p w14:paraId="4DC6BB18"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Similar oportunidad requiere el modelo de </w:t>
      </w:r>
      <w:proofErr w:type="spellStart"/>
      <w:r w:rsidRPr="001C3E10">
        <w:rPr>
          <w:rFonts w:asciiTheme="minorHAnsi" w:hAnsiTheme="minorHAnsi"/>
          <w:sz w:val="22"/>
          <w:szCs w:val="22"/>
        </w:rPr>
        <w:t>outsourcing</w:t>
      </w:r>
      <w:proofErr w:type="spellEnd"/>
      <w:r w:rsidRPr="001C3E10">
        <w:rPr>
          <w:rFonts w:asciiTheme="minorHAnsi" w:hAnsiTheme="minorHAnsi"/>
          <w:sz w:val="22"/>
          <w:szCs w:val="22"/>
        </w:rPr>
        <w:t xml:space="preserve"> en la Corporación, mismo que, con un conjunto robusto de controles, que impidan el deterioro de la seguridad de la información y de las capacidades del personal interno de TI (en especial las relacionadas con el diseño y la arquitectura de las aplicaciones), pueda ser ante ciertas necesidades, un útil y oportuno aliado.</w:t>
      </w:r>
    </w:p>
    <w:p w14:paraId="5C0461DB"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lastRenderedPageBreak/>
        <w:t xml:space="preserve">Aprovisionamiento a través de contratos por demanda </w:t>
      </w:r>
    </w:p>
    <w:p w14:paraId="2F2AFC1B"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Se plantea el fortalecer el uso de contratos por demanda, los cuales han demostrado ventajas significativas, especialmente en temas de agilidad. </w:t>
      </w:r>
    </w:p>
    <w:p w14:paraId="1F1660B7"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Aprovisionamiento de infraestructura, plataforma y software como servicios (Nube)</w:t>
      </w:r>
    </w:p>
    <w:p w14:paraId="38891C34" w14:textId="77777777" w:rsid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De igual forma, la infraestructura, plataforma y software como servicios son alternativas que con fuerza estarán siendo utilizadas para aprovisionar TI a la Corporación, con agilidad, costo eficiencia, y elasticidad.</w:t>
      </w:r>
    </w:p>
    <w:p w14:paraId="7C5689E1" w14:textId="77777777" w:rsidR="00A8169E" w:rsidRPr="001C3E10" w:rsidRDefault="00A8169E" w:rsidP="001C3E10">
      <w:pPr>
        <w:spacing w:line="276" w:lineRule="auto"/>
        <w:jc w:val="both"/>
        <w:rPr>
          <w:rFonts w:asciiTheme="minorHAnsi" w:eastAsiaTheme="majorEastAsia" w:hAnsiTheme="minorHAnsi" w:cstheme="majorBidi"/>
          <w:b/>
          <w:bCs/>
          <w:color w:val="365F91" w:themeColor="accent1" w:themeShade="BF"/>
          <w:sz w:val="22"/>
          <w:szCs w:val="22"/>
        </w:rPr>
      </w:pPr>
    </w:p>
    <w:p w14:paraId="7F0BDAEB" w14:textId="77777777" w:rsidR="001C3E10" w:rsidRPr="001C3E10" w:rsidRDefault="001C3E10" w:rsidP="00547B19">
      <w:pPr>
        <w:pStyle w:val="Ttulo1"/>
        <w:keepLines/>
        <w:numPr>
          <w:ilvl w:val="0"/>
          <w:numId w:val="45"/>
        </w:numPr>
        <w:spacing w:before="0" w:after="0" w:line="276" w:lineRule="auto"/>
        <w:jc w:val="both"/>
        <w:rPr>
          <w:rFonts w:asciiTheme="minorHAnsi" w:hAnsiTheme="minorHAnsi"/>
          <w:sz w:val="22"/>
          <w:szCs w:val="22"/>
        </w:rPr>
      </w:pPr>
      <w:bookmarkStart w:id="233" w:name="_Toc414532023"/>
      <w:bookmarkStart w:id="234" w:name="_Toc429555162"/>
      <w:bookmarkStart w:id="235" w:name="_Toc429562804"/>
      <w:bookmarkStart w:id="236" w:name="_Toc429563114"/>
      <w:bookmarkStart w:id="237" w:name="_Toc429563269"/>
      <w:bookmarkStart w:id="238" w:name="_Toc442253251"/>
      <w:r w:rsidRPr="001C3E10">
        <w:rPr>
          <w:rFonts w:asciiTheme="minorHAnsi" w:hAnsiTheme="minorHAnsi"/>
          <w:sz w:val="22"/>
          <w:szCs w:val="22"/>
        </w:rPr>
        <w:t>Riesgos</w:t>
      </w:r>
      <w:bookmarkEnd w:id="233"/>
      <w:bookmarkEnd w:id="234"/>
      <w:bookmarkEnd w:id="235"/>
      <w:bookmarkEnd w:id="236"/>
      <w:bookmarkEnd w:id="237"/>
      <w:bookmarkEnd w:id="238"/>
    </w:p>
    <w:p w14:paraId="04DA5605"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Los principales riesgos que podrían afectar el cumplimiento de la estrategia definida en este documento son:</w:t>
      </w:r>
    </w:p>
    <w:p w14:paraId="4722BFFA" w14:textId="77777777" w:rsidR="001C3E10" w:rsidRPr="001C3E10" w:rsidRDefault="001C3E10" w:rsidP="00547B19">
      <w:pPr>
        <w:pStyle w:val="Prrafodelista"/>
        <w:numPr>
          <w:ilvl w:val="0"/>
          <w:numId w:val="32"/>
        </w:numPr>
        <w:spacing w:after="200" w:line="276" w:lineRule="auto"/>
        <w:rPr>
          <w:rFonts w:asciiTheme="minorHAnsi" w:hAnsiTheme="minorHAnsi"/>
          <w:sz w:val="22"/>
        </w:rPr>
      </w:pPr>
      <w:r w:rsidRPr="001C3E10">
        <w:rPr>
          <w:rFonts w:asciiTheme="minorHAnsi" w:hAnsiTheme="minorHAnsi"/>
          <w:sz w:val="22"/>
        </w:rPr>
        <w:t>Las expectativas de calidad de los responsables de los procesos críticos de la Corporación, que son apoyados por soluciones tecnológicas, se incrementan en niveles significativos y requieren ser atendidas en el corto plazo.</w:t>
      </w:r>
    </w:p>
    <w:p w14:paraId="1B2BC293" w14:textId="77777777" w:rsidR="001C3E10" w:rsidRPr="001C3E10" w:rsidRDefault="001C3E10" w:rsidP="00547B19">
      <w:pPr>
        <w:pStyle w:val="Prrafodelista"/>
        <w:numPr>
          <w:ilvl w:val="1"/>
          <w:numId w:val="32"/>
        </w:numPr>
        <w:spacing w:after="200" w:line="276" w:lineRule="auto"/>
        <w:rPr>
          <w:rFonts w:asciiTheme="minorHAnsi" w:hAnsiTheme="minorHAnsi"/>
          <w:sz w:val="22"/>
        </w:rPr>
      </w:pPr>
      <w:r w:rsidRPr="001C3E10">
        <w:rPr>
          <w:rFonts w:asciiTheme="minorHAnsi" w:hAnsiTheme="minorHAnsi"/>
          <w:sz w:val="22"/>
        </w:rPr>
        <w:t>Probabilidad: Posible</w:t>
      </w:r>
    </w:p>
    <w:p w14:paraId="78D43254" w14:textId="77777777" w:rsidR="001C3E10" w:rsidRPr="001C3E10" w:rsidRDefault="001C3E10" w:rsidP="00547B19">
      <w:pPr>
        <w:pStyle w:val="Prrafodelista"/>
        <w:numPr>
          <w:ilvl w:val="1"/>
          <w:numId w:val="32"/>
        </w:numPr>
        <w:spacing w:after="200" w:line="276" w:lineRule="auto"/>
        <w:rPr>
          <w:rFonts w:asciiTheme="minorHAnsi" w:hAnsiTheme="minorHAnsi"/>
          <w:sz w:val="22"/>
        </w:rPr>
      </w:pPr>
      <w:r w:rsidRPr="001C3E10">
        <w:rPr>
          <w:rFonts w:asciiTheme="minorHAnsi" w:hAnsiTheme="minorHAnsi"/>
          <w:sz w:val="22"/>
        </w:rPr>
        <w:t>Impacto: Medio</w:t>
      </w:r>
    </w:p>
    <w:p w14:paraId="7F9BB1CE" w14:textId="77777777" w:rsidR="001C3E10" w:rsidRPr="001C3E10" w:rsidRDefault="001C3E10" w:rsidP="00547B19">
      <w:pPr>
        <w:pStyle w:val="Prrafodelista"/>
        <w:numPr>
          <w:ilvl w:val="1"/>
          <w:numId w:val="32"/>
        </w:numPr>
        <w:spacing w:after="200" w:line="276" w:lineRule="auto"/>
        <w:rPr>
          <w:rFonts w:asciiTheme="minorHAnsi" w:hAnsiTheme="minorHAnsi"/>
          <w:sz w:val="22"/>
        </w:rPr>
      </w:pPr>
      <w:r w:rsidRPr="001C3E10">
        <w:rPr>
          <w:rFonts w:asciiTheme="minorHAnsi" w:hAnsiTheme="minorHAnsi"/>
          <w:sz w:val="22"/>
        </w:rPr>
        <w:t>Nivel de riesgo: Medio</w:t>
      </w:r>
    </w:p>
    <w:p w14:paraId="13011E41" w14:textId="77777777" w:rsidR="001C3E10" w:rsidRPr="001C3E10" w:rsidRDefault="001C3E10" w:rsidP="00547B19">
      <w:pPr>
        <w:pStyle w:val="Prrafodelista"/>
        <w:numPr>
          <w:ilvl w:val="1"/>
          <w:numId w:val="32"/>
        </w:numPr>
        <w:spacing w:after="200" w:line="276" w:lineRule="auto"/>
        <w:rPr>
          <w:rFonts w:asciiTheme="minorHAnsi" w:hAnsiTheme="minorHAnsi"/>
          <w:sz w:val="22"/>
        </w:rPr>
      </w:pPr>
      <w:r w:rsidRPr="001C3E10">
        <w:rPr>
          <w:rFonts w:asciiTheme="minorHAnsi" w:hAnsiTheme="minorHAnsi"/>
          <w:sz w:val="22"/>
        </w:rPr>
        <w:t>Control para mitigación: Comunicación clara y constante con los dueños de los servicios de negocio críticos que permita conocer sus necesidades y expectativas de negocio (reuniones de Comités de Control de Cambios).</w:t>
      </w:r>
    </w:p>
    <w:p w14:paraId="2CF2652D" w14:textId="77777777" w:rsidR="001C3E10" w:rsidRPr="001C3E10" w:rsidRDefault="001C3E10" w:rsidP="001C3E10">
      <w:pPr>
        <w:pStyle w:val="Prrafodelista"/>
        <w:spacing w:line="276" w:lineRule="auto"/>
        <w:rPr>
          <w:rFonts w:asciiTheme="minorHAnsi" w:hAnsiTheme="minorHAnsi"/>
          <w:sz w:val="22"/>
        </w:rPr>
      </w:pPr>
    </w:p>
    <w:p w14:paraId="6A2046B6" w14:textId="77777777" w:rsidR="001C3E10" w:rsidRPr="001C3E10" w:rsidRDefault="001C3E10" w:rsidP="00547B19">
      <w:pPr>
        <w:pStyle w:val="Prrafodelista"/>
        <w:numPr>
          <w:ilvl w:val="0"/>
          <w:numId w:val="32"/>
        </w:numPr>
        <w:spacing w:after="200" w:line="276" w:lineRule="auto"/>
        <w:rPr>
          <w:rFonts w:asciiTheme="minorHAnsi" w:hAnsiTheme="minorHAnsi"/>
          <w:sz w:val="22"/>
        </w:rPr>
      </w:pPr>
      <w:r w:rsidRPr="001C3E10">
        <w:rPr>
          <w:rFonts w:asciiTheme="minorHAnsi" w:hAnsiTheme="minorHAnsi"/>
          <w:sz w:val="22"/>
        </w:rPr>
        <w:t>Las necesidades de las Divisiones y los ODM no se encuentran alineadas con la estrategia de la Corporación, comprometiendo el valor entregado por TI.</w:t>
      </w:r>
    </w:p>
    <w:p w14:paraId="7345AC60" w14:textId="77777777" w:rsidR="001C3E10" w:rsidRPr="001C3E10" w:rsidRDefault="001C3E10" w:rsidP="00547B19">
      <w:pPr>
        <w:pStyle w:val="Prrafodelista"/>
        <w:numPr>
          <w:ilvl w:val="1"/>
          <w:numId w:val="32"/>
        </w:numPr>
        <w:spacing w:after="200" w:line="276" w:lineRule="auto"/>
        <w:rPr>
          <w:rFonts w:asciiTheme="minorHAnsi" w:hAnsiTheme="minorHAnsi"/>
          <w:sz w:val="22"/>
        </w:rPr>
      </w:pPr>
      <w:r w:rsidRPr="001C3E10">
        <w:rPr>
          <w:rFonts w:asciiTheme="minorHAnsi" w:hAnsiTheme="minorHAnsi"/>
          <w:sz w:val="22"/>
        </w:rPr>
        <w:t>Probabilidad: Posible</w:t>
      </w:r>
    </w:p>
    <w:p w14:paraId="52F2CD2B" w14:textId="77777777" w:rsidR="001C3E10" w:rsidRPr="001C3E10" w:rsidRDefault="001C3E10" w:rsidP="00547B19">
      <w:pPr>
        <w:pStyle w:val="Prrafodelista"/>
        <w:numPr>
          <w:ilvl w:val="1"/>
          <w:numId w:val="32"/>
        </w:numPr>
        <w:spacing w:after="200" w:line="276" w:lineRule="auto"/>
        <w:rPr>
          <w:rFonts w:asciiTheme="minorHAnsi" w:hAnsiTheme="minorHAnsi"/>
          <w:sz w:val="22"/>
        </w:rPr>
      </w:pPr>
      <w:r w:rsidRPr="001C3E10">
        <w:rPr>
          <w:rFonts w:asciiTheme="minorHAnsi" w:hAnsiTheme="minorHAnsi"/>
          <w:sz w:val="22"/>
        </w:rPr>
        <w:t>Impacto: Medio</w:t>
      </w:r>
    </w:p>
    <w:p w14:paraId="47B5D2D9" w14:textId="77777777" w:rsidR="001C3E10" w:rsidRPr="001C3E10" w:rsidRDefault="001C3E10" w:rsidP="00547B19">
      <w:pPr>
        <w:pStyle w:val="Prrafodelista"/>
        <w:numPr>
          <w:ilvl w:val="1"/>
          <w:numId w:val="32"/>
        </w:numPr>
        <w:spacing w:after="200" w:line="276" w:lineRule="auto"/>
        <w:rPr>
          <w:rFonts w:asciiTheme="minorHAnsi" w:hAnsiTheme="minorHAnsi"/>
          <w:sz w:val="22"/>
        </w:rPr>
      </w:pPr>
      <w:r w:rsidRPr="001C3E10">
        <w:rPr>
          <w:rFonts w:asciiTheme="minorHAnsi" w:hAnsiTheme="minorHAnsi"/>
          <w:sz w:val="22"/>
        </w:rPr>
        <w:t>Nivel de riesgo: Medio</w:t>
      </w:r>
    </w:p>
    <w:p w14:paraId="25669BB6" w14:textId="77777777" w:rsidR="001C3E10" w:rsidRPr="001C3E10" w:rsidRDefault="001C3E10" w:rsidP="00547B19">
      <w:pPr>
        <w:pStyle w:val="Prrafodelista"/>
        <w:numPr>
          <w:ilvl w:val="1"/>
          <w:numId w:val="32"/>
        </w:numPr>
        <w:spacing w:after="200" w:line="276" w:lineRule="auto"/>
        <w:rPr>
          <w:rFonts w:asciiTheme="minorHAnsi" w:hAnsiTheme="minorHAnsi"/>
          <w:sz w:val="22"/>
        </w:rPr>
      </w:pPr>
      <w:r w:rsidRPr="001C3E10">
        <w:rPr>
          <w:rFonts w:asciiTheme="minorHAnsi" w:hAnsiTheme="minorHAnsi"/>
          <w:sz w:val="22"/>
        </w:rPr>
        <w:t>Control para mitigación: Comunicación de la Estrategia de TI al CETI y solicitud de su retroalimentación acerca del planteamiento realizado.</w:t>
      </w:r>
    </w:p>
    <w:p w14:paraId="6C705687" w14:textId="77777777" w:rsidR="001C3E10" w:rsidRPr="001C3E10" w:rsidRDefault="001C3E10" w:rsidP="001C3E10">
      <w:pPr>
        <w:pStyle w:val="Prrafodelista"/>
        <w:spacing w:line="276" w:lineRule="auto"/>
        <w:rPr>
          <w:rFonts w:asciiTheme="minorHAnsi" w:hAnsiTheme="minorHAnsi"/>
          <w:sz w:val="22"/>
        </w:rPr>
      </w:pPr>
    </w:p>
    <w:p w14:paraId="2CB468D6" w14:textId="77777777" w:rsidR="001C3E10" w:rsidRPr="001C3E10" w:rsidRDefault="001C3E10" w:rsidP="00547B19">
      <w:pPr>
        <w:pStyle w:val="Prrafodelista"/>
        <w:numPr>
          <w:ilvl w:val="0"/>
          <w:numId w:val="32"/>
        </w:numPr>
        <w:spacing w:after="200" w:line="276" w:lineRule="auto"/>
        <w:rPr>
          <w:rFonts w:asciiTheme="minorHAnsi" w:hAnsiTheme="minorHAnsi"/>
          <w:sz w:val="22"/>
        </w:rPr>
      </w:pPr>
      <w:r w:rsidRPr="001C3E10">
        <w:rPr>
          <w:rFonts w:asciiTheme="minorHAnsi" w:hAnsiTheme="minorHAnsi"/>
          <w:sz w:val="22"/>
        </w:rPr>
        <w:t>La complejidad y el nivel de esfuerzo requerido para desarrollar el proceso de integración de la DST y los departamentos de TI de los ODM es mayor al previsto, impactando negativamente los procesos críticos de la Corporación.</w:t>
      </w:r>
    </w:p>
    <w:p w14:paraId="2026B3E2" w14:textId="77777777" w:rsidR="001C3E10" w:rsidRPr="001C3E10" w:rsidRDefault="001C3E10" w:rsidP="00547B19">
      <w:pPr>
        <w:pStyle w:val="Prrafodelista"/>
        <w:numPr>
          <w:ilvl w:val="1"/>
          <w:numId w:val="32"/>
        </w:numPr>
        <w:spacing w:after="200" w:line="276" w:lineRule="auto"/>
        <w:rPr>
          <w:rFonts w:asciiTheme="minorHAnsi" w:hAnsiTheme="minorHAnsi"/>
          <w:sz w:val="22"/>
        </w:rPr>
      </w:pPr>
      <w:r w:rsidRPr="001C3E10">
        <w:rPr>
          <w:rFonts w:asciiTheme="minorHAnsi" w:hAnsiTheme="minorHAnsi"/>
          <w:sz w:val="22"/>
        </w:rPr>
        <w:t xml:space="preserve">Probabilidad: Posible </w:t>
      </w:r>
    </w:p>
    <w:p w14:paraId="07CFAC4A" w14:textId="77777777" w:rsidR="001C3E10" w:rsidRPr="001C3E10" w:rsidRDefault="001C3E10" w:rsidP="00547B19">
      <w:pPr>
        <w:pStyle w:val="Prrafodelista"/>
        <w:numPr>
          <w:ilvl w:val="1"/>
          <w:numId w:val="32"/>
        </w:numPr>
        <w:spacing w:after="200" w:line="276" w:lineRule="auto"/>
        <w:rPr>
          <w:rFonts w:asciiTheme="minorHAnsi" w:hAnsiTheme="minorHAnsi"/>
          <w:sz w:val="22"/>
        </w:rPr>
      </w:pPr>
      <w:r w:rsidRPr="001C3E10">
        <w:rPr>
          <w:rFonts w:asciiTheme="minorHAnsi" w:hAnsiTheme="minorHAnsi"/>
          <w:sz w:val="22"/>
        </w:rPr>
        <w:t>Impacto: Alto</w:t>
      </w:r>
    </w:p>
    <w:p w14:paraId="4511356D" w14:textId="77777777" w:rsidR="001C3E10" w:rsidRPr="001C3E10" w:rsidRDefault="001C3E10" w:rsidP="00547B19">
      <w:pPr>
        <w:pStyle w:val="Prrafodelista"/>
        <w:numPr>
          <w:ilvl w:val="1"/>
          <w:numId w:val="32"/>
        </w:numPr>
        <w:spacing w:after="200" w:line="276" w:lineRule="auto"/>
        <w:rPr>
          <w:rFonts w:asciiTheme="minorHAnsi" w:hAnsiTheme="minorHAnsi"/>
          <w:sz w:val="22"/>
        </w:rPr>
      </w:pPr>
      <w:r w:rsidRPr="001C3E10">
        <w:rPr>
          <w:rFonts w:asciiTheme="minorHAnsi" w:hAnsiTheme="minorHAnsi"/>
          <w:sz w:val="22"/>
        </w:rPr>
        <w:t>Nivel de riesgo: Alto</w:t>
      </w:r>
    </w:p>
    <w:p w14:paraId="403B6652" w14:textId="77777777" w:rsidR="001C3E10" w:rsidRDefault="001C3E10" w:rsidP="00547B19">
      <w:pPr>
        <w:pStyle w:val="Prrafodelista"/>
        <w:numPr>
          <w:ilvl w:val="1"/>
          <w:numId w:val="32"/>
        </w:numPr>
        <w:spacing w:line="276" w:lineRule="auto"/>
        <w:rPr>
          <w:rFonts w:asciiTheme="minorHAnsi" w:hAnsiTheme="minorHAnsi"/>
          <w:sz w:val="22"/>
        </w:rPr>
      </w:pPr>
      <w:r w:rsidRPr="001C3E10">
        <w:rPr>
          <w:rFonts w:asciiTheme="minorHAnsi" w:hAnsiTheme="minorHAnsi"/>
          <w:sz w:val="22"/>
        </w:rPr>
        <w:t>Control para mitigación: Planificación detallada de los esfuerzos requeridos para la integración y seguimiento y control constantes sobre la ejecución de las tareas planificadas.</w:t>
      </w:r>
    </w:p>
    <w:p w14:paraId="1EF46D6F" w14:textId="77777777" w:rsidR="00A8169E" w:rsidRPr="001C3E10" w:rsidRDefault="00A8169E" w:rsidP="00A8169E">
      <w:pPr>
        <w:pStyle w:val="Prrafodelista"/>
        <w:spacing w:line="276" w:lineRule="auto"/>
        <w:ind w:left="1440" w:firstLine="0"/>
        <w:rPr>
          <w:rFonts w:asciiTheme="minorHAnsi" w:hAnsiTheme="minorHAnsi"/>
          <w:sz w:val="22"/>
        </w:rPr>
      </w:pPr>
    </w:p>
    <w:p w14:paraId="41D13BD2" w14:textId="77777777" w:rsidR="001C3E10" w:rsidRPr="001C3E10" w:rsidRDefault="001C3E10" w:rsidP="00547B19">
      <w:pPr>
        <w:pStyle w:val="Ttulo1"/>
        <w:keepLines/>
        <w:numPr>
          <w:ilvl w:val="0"/>
          <w:numId w:val="45"/>
        </w:numPr>
        <w:spacing w:before="0" w:after="0" w:line="276" w:lineRule="auto"/>
        <w:jc w:val="both"/>
        <w:rPr>
          <w:rFonts w:asciiTheme="minorHAnsi" w:hAnsiTheme="minorHAnsi"/>
          <w:sz w:val="22"/>
          <w:szCs w:val="22"/>
        </w:rPr>
      </w:pPr>
      <w:bookmarkStart w:id="239" w:name="_Ref410917361"/>
      <w:bookmarkStart w:id="240" w:name="_Toc414532024"/>
      <w:bookmarkStart w:id="241" w:name="_Toc429555163"/>
      <w:bookmarkStart w:id="242" w:name="_Toc429562805"/>
      <w:bookmarkStart w:id="243" w:name="_Toc429563115"/>
      <w:bookmarkStart w:id="244" w:name="_Toc429563270"/>
      <w:bookmarkStart w:id="245" w:name="_Toc442253252"/>
      <w:r w:rsidRPr="001C3E10">
        <w:rPr>
          <w:rFonts w:asciiTheme="minorHAnsi" w:hAnsiTheme="minorHAnsi"/>
          <w:sz w:val="22"/>
          <w:szCs w:val="22"/>
        </w:rPr>
        <w:lastRenderedPageBreak/>
        <w:t>Apéndices</w:t>
      </w:r>
      <w:bookmarkEnd w:id="239"/>
      <w:bookmarkEnd w:id="240"/>
      <w:bookmarkEnd w:id="241"/>
      <w:bookmarkEnd w:id="242"/>
      <w:bookmarkEnd w:id="243"/>
      <w:bookmarkEnd w:id="244"/>
      <w:bookmarkEnd w:id="245"/>
    </w:p>
    <w:p w14:paraId="12F0AD93" w14:textId="77777777" w:rsidR="001C3E10" w:rsidRPr="001C3E10" w:rsidRDefault="001C3E10" w:rsidP="00547B19">
      <w:pPr>
        <w:pStyle w:val="Ttulo2"/>
        <w:keepLines/>
        <w:numPr>
          <w:ilvl w:val="1"/>
          <w:numId w:val="45"/>
        </w:numPr>
        <w:tabs>
          <w:tab w:val="clear" w:pos="360"/>
        </w:tabs>
        <w:autoSpaceDE/>
        <w:autoSpaceDN/>
        <w:adjustRightInd/>
        <w:spacing w:line="276" w:lineRule="auto"/>
        <w:jc w:val="both"/>
        <w:rPr>
          <w:rFonts w:asciiTheme="minorHAnsi" w:hAnsiTheme="minorHAnsi"/>
          <w:sz w:val="22"/>
          <w:szCs w:val="22"/>
        </w:rPr>
      </w:pPr>
      <w:bookmarkStart w:id="246" w:name="_Toc414532025"/>
      <w:bookmarkStart w:id="247" w:name="_Toc429555164"/>
      <w:bookmarkStart w:id="248" w:name="_Toc429562806"/>
      <w:bookmarkStart w:id="249" w:name="_Toc429563116"/>
      <w:bookmarkStart w:id="250" w:name="_Toc429563271"/>
      <w:bookmarkStart w:id="251" w:name="_Toc442253253"/>
      <w:r w:rsidRPr="001C3E10">
        <w:rPr>
          <w:rFonts w:asciiTheme="minorHAnsi" w:hAnsiTheme="minorHAnsi"/>
          <w:sz w:val="22"/>
          <w:szCs w:val="22"/>
        </w:rPr>
        <w:t>Análisis del entorno</w:t>
      </w:r>
      <w:bookmarkEnd w:id="246"/>
      <w:bookmarkEnd w:id="247"/>
      <w:bookmarkEnd w:id="248"/>
      <w:bookmarkEnd w:id="249"/>
      <w:bookmarkEnd w:id="250"/>
      <w:bookmarkEnd w:id="251"/>
    </w:p>
    <w:p w14:paraId="363FA26A" w14:textId="77777777" w:rsidR="001C3E10" w:rsidRPr="001C3E10" w:rsidRDefault="001C3E10" w:rsidP="00547B19">
      <w:pPr>
        <w:pStyle w:val="Prrafodelista"/>
        <w:numPr>
          <w:ilvl w:val="0"/>
          <w:numId w:val="49"/>
        </w:numPr>
        <w:spacing w:after="200" w:line="276" w:lineRule="auto"/>
        <w:rPr>
          <w:rFonts w:asciiTheme="minorHAnsi" w:hAnsiTheme="minorHAnsi"/>
          <w:b/>
          <w:sz w:val="22"/>
        </w:rPr>
      </w:pPr>
      <w:r w:rsidRPr="001C3E10">
        <w:rPr>
          <w:rFonts w:asciiTheme="minorHAnsi" w:hAnsiTheme="minorHAnsi"/>
          <w:b/>
          <w:sz w:val="22"/>
        </w:rPr>
        <w:t>Oportunidades</w:t>
      </w:r>
    </w:p>
    <w:p w14:paraId="42469752" w14:textId="77777777" w:rsidR="001C3E10" w:rsidRPr="001C3E10" w:rsidRDefault="001C3E10" w:rsidP="00547B19">
      <w:pPr>
        <w:pStyle w:val="Prrafodelista"/>
        <w:numPr>
          <w:ilvl w:val="0"/>
          <w:numId w:val="50"/>
        </w:numPr>
        <w:spacing w:after="200" w:line="276" w:lineRule="auto"/>
        <w:rPr>
          <w:rFonts w:asciiTheme="minorHAnsi" w:hAnsiTheme="minorHAnsi"/>
          <w:sz w:val="22"/>
        </w:rPr>
      </w:pPr>
      <w:r w:rsidRPr="001C3E10">
        <w:rPr>
          <w:rFonts w:asciiTheme="minorHAnsi" w:hAnsiTheme="minorHAnsi"/>
          <w:bCs/>
          <w:sz w:val="22"/>
        </w:rPr>
        <w:t xml:space="preserve">Tecnologías emergentes </w:t>
      </w:r>
      <w:r w:rsidRPr="001C3E10">
        <w:rPr>
          <w:rFonts w:asciiTheme="minorHAnsi" w:hAnsiTheme="minorHAnsi"/>
          <w:sz w:val="22"/>
        </w:rPr>
        <w:t>(“La nube”, dispositivos móviles, redes sociales, análisis de grandes volúmenes de datos) que pueden ser aprovechadas para aportar mayor valor en el cumplimiento de los objetivos del negocio.</w:t>
      </w:r>
    </w:p>
    <w:p w14:paraId="29280453" w14:textId="77777777" w:rsidR="001C3E10" w:rsidRPr="001C3E10" w:rsidRDefault="001C3E10" w:rsidP="00547B19">
      <w:pPr>
        <w:pStyle w:val="Prrafodelista"/>
        <w:numPr>
          <w:ilvl w:val="0"/>
          <w:numId w:val="50"/>
        </w:numPr>
        <w:spacing w:after="200" w:line="276" w:lineRule="auto"/>
        <w:rPr>
          <w:rFonts w:asciiTheme="minorHAnsi" w:hAnsiTheme="minorHAnsi"/>
          <w:sz w:val="22"/>
        </w:rPr>
      </w:pPr>
      <w:r w:rsidRPr="001C3E10">
        <w:rPr>
          <w:rFonts w:asciiTheme="minorHAnsi" w:hAnsiTheme="minorHAnsi"/>
          <w:sz w:val="22"/>
        </w:rPr>
        <w:t xml:space="preserve">Nuevas necesidades generan constante demanda por los servicios que proporciona la DST,  lo cual propicia la </w:t>
      </w:r>
      <w:r w:rsidRPr="001C3E10">
        <w:rPr>
          <w:rFonts w:asciiTheme="minorHAnsi" w:hAnsiTheme="minorHAnsi"/>
          <w:bCs/>
          <w:sz w:val="22"/>
        </w:rPr>
        <w:t xml:space="preserve">entrega de servicios con economías de escala </w:t>
      </w:r>
      <w:r w:rsidRPr="001C3E10">
        <w:rPr>
          <w:rFonts w:asciiTheme="minorHAnsi" w:hAnsiTheme="minorHAnsi"/>
          <w:sz w:val="22"/>
        </w:rPr>
        <w:t>cada vez mayores para la Corporación.</w:t>
      </w:r>
    </w:p>
    <w:p w14:paraId="7F3AAE54" w14:textId="77777777" w:rsidR="001C3E10" w:rsidRPr="001C3E10" w:rsidRDefault="001C3E10" w:rsidP="00547B19">
      <w:pPr>
        <w:pStyle w:val="Prrafodelista"/>
        <w:numPr>
          <w:ilvl w:val="0"/>
          <w:numId w:val="49"/>
        </w:numPr>
        <w:spacing w:after="200" w:line="276" w:lineRule="auto"/>
        <w:rPr>
          <w:rFonts w:asciiTheme="minorHAnsi" w:hAnsiTheme="minorHAnsi"/>
          <w:b/>
          <w:sz w:val="22"/>
        </w:rPr>
      </w:pPr>
      <w:r w:rsidRPr="001C3E10">
        <w:rPr>
          <w:rFonts w:asciiTheme="minorHAnsi" w:hAnsiTheme="minorHAnsi"/>
          <w:b/>
          <w:sz w:val="22"/>
        </w:rPr>
        <w:t>Amenazas</w:t>
      </w:r>
    </w:p>
    <w:p w14:paraId="093EC5FA" w14:textId="77777777" w:rsidR="001C3E10" w:rsidRPr="001C3E10" w:rsidRDefault="001C3E10" w:rsidP="00547B19">
      <w:pPr>
        <w:pStyle w:val="Prrafodelista"/>
        <w:numPr>
          <w:ilvl w:val="0"/>
          <w:numId w:val="50"/>
        </w:numPr>
        <w:spacing w:after="200" w:line="276" w:lineRule="auto"/>
        <w:rPr>
          <w:rFonts w:asciiTheme="minorHAnsi" w:hAnsiTheme="minorHAnsi"/>
          <w:bCs/>
          <w:sz w:val="22"/>
        </w:rPr>
      </w:pPr>
      <w:r w:rsidRPr="001C3E10">
        <w:rPr>
          <w:rFonts w:asciiTheme="minorHAnsi" w:hAnsiTheme="minorHAnsi"/>
          <w:bCs/>
          <w:sz w:val="22"/>
        </w:rPr>
        <w:t>El ritmo acelerado en la evolución de las tecnologías fija un reto de actualización tecnológica para el personal de la DST, se requiere destinar recursos importantes para evitar pérdida de competitividad y disminución del respaldo al negocio.</w:t>
      </w:r>
    </w:p>
    <w:p w14:paraId="483DCC3B" w14:textId="77777777" w:rsidR="001C3E10" w:rsidRPr="001C3E10" w:rsidRDefault="001C3E10" w:rsidP="00547B19">
      <w:pPr>
        <w:pStyle w:val="Prrafodelista"/>
        <w:numPr>
          <w:ilvl w:val="0"/>
          <w:numId w:val="50"/>
        </w:numPr>
        <w:spacing w:after="200" w:line="276" w:lineRule="auto"/>
        <w:rPr>
          <w:rFonts w:asciiTheme="minorHAnsi" w:hAnsiTheme="minorHAnsi"/>
          <w:bCs/>
          <w:sz w:val="22"/>
        </w:rPr>
      </w:pPr>
      <w:r w:rsidRPr="001C3E10">
        <w:rPr>
          <w:rFonts w:asciiTheme="minorHAnsi" w:hAnsiTheme="minorHAnsi"/>
          <w:bCs/>
          <w:sz w:val="22"/>
        </w:rPr>
        <w:t>Alta demanda del personal de la DST en corporaciones líderes del mercado mundial (HP, Intel, Amazon, Microsoft), lo cual impacta significativamente la entrega de valor a la organización.</w:t>
      </w:r>
    </w:p>
    <w:p w14:paraId="05D0C70F" w14:textId="77777777" w:rsidR="001C3E10" w:rsidRPr="001C3E10" w:rsidRDefault="001C3E10" w:rsidP="00547B19">
      <w:pPr>
        <w:pStyle w:val="Prrafodelista"/>
        <w:numPr>
          <w:ilvl w:val="0"/>
          <w:numId w:val="49"/>
        </w:numPr>
        <w:spacing w:after="200" w:line="276" w:lineRule="auto"/>
        <w:rPr>
          <w:rFonts w:asciiTheme="minorHAnsi" w:hAnsiTheme="minorHAnsi"/>
          <w:b/>
          <w:sz w:val="22"/>
        </w:rPr>
      </w:pPr>
      <w:r w:rsidRPr="001C3E10">
        <w:rPr>
          <w:rFonts w:asciiTheme="minorHAnsi" w:hAnsiTheme="minorHAnsi"/>
          <w:b/>
          <w:sz w:val="22"/>
        </w:rPr>
        <w:t>Fortalezas</w:t>
      </w:r>
    </w:p>
    <w:p w14:paraId="357132D6" w14:textId="77777777" w:rsidR="001C3E10" w:rsidRPr="001C3E10" w:rsidRDefault="001C3E10" w:rsidP="00547B19">
      <w:pPr>
        <w:pStyle w:val="Prrafodelista"/>
        <w:numPr>
          <w:ilvl w:val="0"/>
          <w:numId w:val="50"/>
        </w:numPr>
        <w:spacing w:after="200" w:line="276" w:lineRule="auto"/>
        <w:rPr>
          <w:rFonts w:asciiTheme="minorHAnsi" w:hAnsiTheme="minorHAnsi"/>
          <w:bCs/>
          <w:sz w:val="22"/>
        </w:rPr>
      </w:pPr>
      <w:r w:rsidRPr="001C3E10">
        <w:rPr>
          <w:rFonts w:asciiTheme="minorHAnsi" w:hAnsiTheme="minorHAnsi"/>
          <w:bCs/>
          <w:sz w:val="22"/>
        </w:rPr>
        <w:t>El personal de la DST cuenta con vocación hacia la innovación y con altas competencias técnicas, lo cual redunda en soluciones de calidad que aportan valor.</w:t>
      </w:r>
    </w:p>
    <w:p w14:paraId="52B811E9" w14:textId="77777777" w:rsidR="001C3E10" w:rsidRPr="001C3E10" w:rsidRDefault="001C3E10" w:rsidP="00547B19">
      <w:pPr>
        <w:pStyle w:val="Prrafodelista"/>
        <w:numPr>
          <w:ilvl w:val="0"/>
          <w:numId w:val="50"/>
        </w:numPr>
        <w:spacing w:after="200" w:line="276" w:lineRule="auto"/>
        <w:rPr>
          <w:rFonts w:asciiTheme="minorHAnsi" w:hAnsiTheme="minorHAnsi"/>
          <w:bCs/>
          <w:sz w:val="22"/>
        </w:rPr>
      </w:pPr>
      <w:r w:rsidRPr="001C3E10">
        <w:rPr>
          <w:rFonts w:asciiTheme="minorHAnsi" w:hAnsiTheme="minorHAnsi"/>
          <w:bCs/>
          <w:sz w:val="22"/>
        </w:rPr>
        <w:t>Se cuenta con una plataforma tecnológica moderna, diseñada para soportar los servicios en operación y nuevos  servicios de una forma segura y estable.</w:t>
      </w:r>
    </w:p>
    <w:p w14:paraId="7A93ED22" w14:textId="77777777" w:rsidR="001C3E10" w:rsidRPr="001C3E10" w:rsidRDefault="001C3E10" w:rsidP="00547B19">
      <w:pPr>
        <w:pStyle w:val="Prrafodelista"/>
        <w:numPr>
          <w:ilvl w:val="0"/>
          <w:numId w:val="50"/>
        </w:numPr>
        <w:spacing w:after="200" w:line="276" w:lineRule="auto"/>
        <w:rPr>
          <w:rFonts w:asciiTheme="minorHAnsi" w:hAnsiTheme="minorHAnsi"/>
          <w:bCs/>
          <w:sz w:val="22"/>
        </w:rPr>
      </w:pPr>
      <w:r w:rsidRPr="001C3E10">
        <w:rPr>
          <w:rFonts w:asciiTheme="minorHAnsi" w:hAnsiTheme="minorHAnsi"/>
          <w:bCs/>
          <w:sz w:val="22"/>
        </w:rPr>
        <w:t xml:space="preserve">El nivel de competencia del personal de la DST propicia la mejora continua de los procesos, lo cual impulsa la excelencia operacional. </w:t>
      </w:r>
    </w:p>
    <w:p w14:paraId="17FD3B39" w14:textId="77777777" w:rsidR="001C3E10" w:rsidRPr="001C3E10" w:rsidRDefault="001C3E10" w:rsidP="00547B19">
      <w:pPr>
        <w:pStyle w:val="Prrafodelista"/>
        <w:numPr>
          <w:ilvl w:val="0"/>
          <w:numId w:val="49"/>
        </w:numPr>
        <w:spacing w:after="200" w:line="276" w:lineRule="auto"/>
        <w:rPr>
          <w:rFonts w:asciiTheme="minorHAnsi" w:hAnsiTheme="minorHAnsi"/>
          <w:b/>
          <w:sz w:val="22"/>
        </w:rPr>
      </w:pPr>
      <w:r w:rsidRPr="001C3E10">
        <w:rPr>
          <w:rFonts w:asciiTheme="minorHAnsi" w:hAnsiTheme="minorHAnsi"/>
          <w:b/>
          <w:sz w:val="22"/>
        </w:rPr>
        <w:t>Debilidades</w:t>
      </w:r>
    </w:p>
    <w:p w14:paraId="68D5B593" w14:textId="77777777" w:rsidR="001C3E10" w:rsidRPr="001C3E10" w:rsidRDefault="001C3E10" w:rsidP="00547B19">
      <w:pPr>
        <w:pStyle w:val="Prrafodelista"/>
        <w:numPr>
          <w:ilvl w:val="0"/>
          <w:numId w:val="50"/>
        </w:numPr>
        <w:spacing w:after="200" w:line="276" w:lineRule="auto"/>
        <w:rPr>
          <w:rFonts w:asciiTheme="minorHAnsi" w:hAnsiTheme="minorHAnsi"/>
          <w:bCs/>
          <w:sz w:val="22"/>
        </w:rPr>
      </w:pPr>
      <w:r w:rsidRPr="001C3E10">
        <w:rPr>
          <w:rFonts w:asciiTheme="minorHAnsi" w:hAnsiTheme="minorHAnsi"/>
          <w:bCs/>
          <w:sz w:val="22"/>
        </w:rPr>
        <w:t>La estructura organizacional de la DST no ha sido adaptada a la evolución tecnológica de los últimos 8 años, dificultando la atención de las necesidades.</w:t>
      </w:r>
    </w:p>
    <w:p w14:paraId="69A3A742" w14:textId="77777777" w:rsidR="001C3E10" w:rsidRPr="001C3E10" w:rsidRDefault="001C3E10" w:rsidP="00547B19">
      <w:pPr>
        <w:pStyle w:val="Prrafodelista"/>
        <w:numPr>
          <w:ilvl w:val="0"/>
          <w:numId w:val="50"/>
        </w:numPr>
        <w:spacing w:after="200" w:line="276" w:lineRule="auto"/>
        <w:rPr>
          <w:rFonts w:asciiTheme="minorHAnsi" w:hAnsiTheme="minorHAnsi"/>
          <w:bCs/>
          <w:sz w:val="22"/>
        </w:rPr>
      </w:pPr>
      <w:r w:rsidRPr="001C3E10">
        <w:rPr>
          <w:rFonts w:asciiTheme="minorHAnsi" w:hAnsiTheme="minorHAnsi"/>
          <w:bCs/>
          <w:sz w:val="22"/>
        </w:rPr>
        <w:t>Los canales de comunicación con la organización no han evolucionado lo necesario para entender de mejor manera las necesidades de nuestros clientes.</w:t>
      </w:r>
    </w:p>
    <w:p w14:paraId="46548D88" w14:textId="77777777" w:rsidR="001C3E10" w:rsidRPr="001C3E10" w:rsidRDefault="001C3E10" w:rsidP="00547B19">
      <w:pPr>
        <w:pStyle w:val="Prrafodelista"/>
        <w:numPr>
          <w:ilvl w:val="0"/>
          <w:numId w:val="50"/>
        </w:numPr>
        <w:spacing w:line="276" w:lineRule="auto"/>
        <w:rPr>
          <w:rFonts w:asciiTheme="minorHAnsi" w:hAnsiTheme="minorHAnsi"/>
          <w:bCs/>
          <w:sz w:val="22"/>
        </w:rPr>
      </w:pPr>
      <w:r w:rsidRPr="001C3E10">
        <w:rPr>
          <w:rFonts w:asciiTheme="minorHAnsi" w:hAnsiTheme="minorHAnsi"/>
          <w:bCs/>
          <w:sz w:val="22"/>
        </w:rPr>
        <w:t>Los contratos de personal externo existentes (</w:t>
      </w:r>
      <w:proofErr w:type="spellStart"/>
      <w:r w:rsidRPr="001C3E10">
        <w:rPr>
          <w:rFonts w:asciiTheme="minorHAnsi" w:hAnsiTheme="minorHAnsi"/>
          <w:bCs/>
          <w:sz w:val="22"/>
        </w:rPr>
        <w:t>outtasking</w:t>
      </w:r>
      <w:proofErr w:type="spellEnd"/>
      <w:r w:rsidRPr="001C3E10">
        <w:rPr>
          <w:rFonts w:asciiTheme="minorHAnsi" w:hAnsiTheme="minorHAnsi"/>
          <w:bCs/>
          <w:sz w:val="22"/>
        </w:rPr>
        <w:t>) tienen controles que se deben mejorar, para evitar la desmejora en la calidad de los servicios.</w:t>
      </w:r>
    </w:p>
    <w:p w14:paraId="34C66C3B"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252" w:name="_Ref411014699"/>
      <w:bookmarkStart w:id="253" w:name="_Ref411014702"/>
      <w:bookmarkStart w:id="254" w:name="_Toc414532026"/>
      <w:bookmarkStart w:id="255" w:name="_Toc429555165"/>
      <w:bookmarkStart w:id="256" w:name="_Toc429562807"/>
      <w:bookmarkStart w:id="257" w:name="_Toc429563117"/>
      <w:bookmarkStart w:id="258" w:name="_Toc429563272"/>
      <w:bookmarkStart w:id="259" w:name="_Toc442253254"/>
      <w:r w:rsidRPr="001C3E10">
        <w:rPr>
          <w:rFonts w:asciiTheme="minorHAnsi" w:hAnsiTheme="minorHAnsi"/>
          <w:sz w:val="22"/>
          <w:szCs w:val="22"/>
        </w:rPr>
        <w:t>Modelo de capacidades</w:t>
      </w:r>
      <w:bookmarkEnd w:id="252"/>
      <w:bookmarkEnd w:id="253"/>
      <w:bookmarkEnd w:id="254"/>
      <w:bookmarkEnd w:id="255"/>
      <w:bookmarkEnd w:id="256"/>
      <w:bookmarkEnd w:id="257"/>
      <w:bookmarkEnd w:id="258"/>
      <w:bookmarkEnd w:id="259"/>
    </w:p>
    <w:p w14:paraId="3B32D466"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260" w:name="_Toc429555166"/>
      <w:bookmarkStart w:id="261" w:name="_Toc429562808"/>
      <w:bookmarkStart w:id="262" w:name="_Toc429563118"/>
      <w:bookmarkStart w:id="263" w:name="_Toc429563273"/>
      <w:bookmarkStart w:id="264" w:name="_Toc442253255"/>
      <w:r w:rsidRPr="001C3E10">
        <w:rPr>
          <w:rFonts w:asciiTheme="minorHAnsi" w:hAnsiTheme="minorHAnsi"/>
          <w:sz w:val="22"/>
          <w:szCs w:val="22"/>
        </w:rPr>
        <w:t>Definición</w:t>
      </w:r>
      <w:bookmarkEnd w:id="260"/>
      <w:bookmarkEnd w:id="261"/>
      <w:bookmarkEnd w:id="262"/>
      <w:bookmarkEnd w:id="263"/>
      <w:bookmarkEnd w:id="264"/>
    </w:p>
    <w:p w14:paraId="280B130A" w14:textId="77777777" w:rsid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Mientras que la estrategia nos da la dirección que va a seguir la organización a largo plazo y con una estabilidad relativa en el mediano plazo; la ejecución tiene un enfoque en los planes operativos que lidian el presente (o a lo sumo un año adelante) y por esa razón son altamente volátiles, sujetos a frecuentes cambios. La estrategia documenta el contexto del negocio, y luego de un análisis exhaustivo destila una estrategia que permitirá a la organización llegar a la posición futura deseada, reflejada en metas que quiere alcanzar. La ejecución por su parte trata con información, procesos, </w:t>
      </w:r>
      <w:r w:rsidRPr="001C3E10">
        <w:rPr>
          <w:rFonts w:asciiTheme="minorHAnsi" w:hAnsiTheme="minorHAnsi"/>
          <w:sz w:val="22"/>
          <w:szCs w:val="22"/>
        </w:rPr>
        <w:lastRenderedPageBreak/>
        <w:t>personas y sistemas informáticos. La traducción de un dominio a otro es por demás complicada si no se cuenta con una herramienta que la facilite. La siguiente imagen resume ese salto entre la estrategia y la ejecución.</w:t>
      </w:r>
    </w:p>
    <w:p w14:paraId="292931DC" w14:textId="77777777" w:rsidR="001628D8" w:rsidRPr="001C3E10" w:rsidRDefault="001628D8" w:rsidP="001C3E10">
      <w:pPr>
        <w:spacing w:line="276" w:lineRule="auto"/>
        <w:jc w:val="both"/>
        <w:rPr>
          <w:rFonts w:asciiTheme="minorHAnsi" w:hAnsiTheme="minorHAnsi"/>
          <w:sz w:val="22"/>
          <w:szCs w:val="22"/>
        </w:rPr>
      </w:pPr>
    </w:p>
    <w:p w14:paraId="4BE63322" w14:textId="77777777" w:rsidR="001C3E10" w:rsidRDefault="001C3E10" w:rsidP="001C3E10">
      <w:pPr>
        <w:spacing w:line="276" w:lineRule="auto"/>
        <w:jc w:val="center"/>
        <w:rPr>
          <w:rFonts w:asciiTheme="minorHAnsi" w:hAnsiTheme="minorHAnsi"/>
          <w:sz w:val="22"/>
          <w:szCs w:val="22"/>
        </w:rPr>
      </w:pPr>
      <w:r w:rsidRPr="001C3E10">
        <w:rPr>
          <w:rFonts w:asciiTheme="minorHAnsi" w:hAnsiTheme="minorHAnsi"/>
          <w:noProof/>
          <w:sz w:val="22"/>
          <w:szCs w:val="22"/>
        </w:rPr>
        <w:drawing>
          <wp:inline distT="0" distB="0" distL="0" distR="0" wp14:anchorId="0EA3E737" wp14:editId="219577BB">
            <wp:extent cx="3670300" cy="2573113"/>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3680331" cy="2580145"/>
                    </a:xfrm>
                    <a:prstGeom prst="rect">
                      <a:avLst/>
                    </a:prstGeom>
                  </pic:spPr>
                </pic:pic>
              </a:graphicData>
            </a:graphic>
          </wp:inline>
        </w:drawing>
      </w:r>
    </w:p>
    <w:p w14:paraId="17CECB68" w14:textId="77777777" w:rsidR="001C3E10" w:rsidRPr="001C3E10" w:rsidRDefault="001C3E10" w:rsidP="001C3E10">
      <w:pPr>
        <w:spacing w:line="276" w:lineRule="auto"/>
        <w:jc w:val="both"/>
        <w:rPr>
          <w:rFonts w:asciiTheme="minorHAnsi" w:hAnsiTheme="minorHAnsi"/>
          <w:sz w:val="22"/>
          <w:szCs w:val="22"/>
        </w:rPr>
      </w:pPr>
    </w:p>
    <w:p w14:paraId="59448AA6" w14:textId="77777777" w:rsid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¿Por qué es esto importante? De poco sirve una estrategia que marque un rumbo claro y con un alto potencial para producir los beneficios deseados si no se traduce en cambio en la operación, de forma tal que la haga posible. </w:t>
      </w:r>
    </w:p>
    <w:p w14:paraId="2C6A8057" w14:textId="77777777" w:rsidR="001628D8" w:rsidRPr="001C3E10" w:rsidRDefault="001628D8" w:rsidP="001C3E10">
      <w:pPr>
        <w:spacing w:line="276" w:lineRule="auto"/>
        <w:jc w:val="both"/>
        <w:rPr>
          <w:rFonts w:asciiTheme="minorHAnsi" w:hAnsiTheme="minorHAnsi"/>
          <w:sz w:val="22"/>
          <w:szCs w:val="22"/>
        </w:rPr>
      </w:pPr>
    </w:p>
    <w:p w14:paraId="3587E057"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Para hacer ese algo, la arquitectura empresarial tiene el modelo de capacidades. </w:t>
      </w:r>
      <w:r w:rsidRPr="001C3E10">
        <w:rPr>
          <w:rFonts w:asciiTheme="minorHAnsi" w:hAnsiTheme="minorHAnsi"/>
          <w:color w:val="000000"/>
          <w:sz w:val="22"/>
          <w:szCs w:val="22"/>
        </w:rPr>
        <w:t>Un modelo de capacidades es una representación de la organización independientemente de su estructura, sus procesos, personas o dominios. Una capacidad es la forma en la que la organización combina recursos, personas, procesos, tecnología e información para entregar valor consistentemente a sus clientes, o en nuestro caso, para cumplir la misión que nos fue encomendada. Están diseñadas para describir lo que la organización hace o necesitará hacer en forma diferente, con el fin de responder a cambios en la estrategia u oportunidades que se le presentan. Es decir, permite expresar y explorar “lo que se hace” para así tomar decisiones sobre “cómo debe hacerse”.</w:t>
      </w:r>
    </w:p>
    <w:p w14:paraId="38B641DF"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265" w:name="_Toc429555167"/>
      <w:bookmarkStart w:id="266" w:name="_Toc429562809"/>
      <w:bookmarkStart w:id="267" w:name="_Toc429563119"/>
      <w:bookmarkStart w:id="268" w:name="_Toc429563274"/>
      <w:bookmarkStart w:id="269" w:name="_Toc442253256"/>
      <w:r w:rsidRPr="001C3E10">
        <w:rPr>
          <w:rFonts w:asciiTheme="minorHAnsi" w:hAnsiTheme="minorHAnsi"/>
          <w:sz w:val="22"/>
          <w:szCs w:val="22"/>
        </w:rPr>
        <w:t>Ejemplo</w:t>
      </w:r>
      <w:bookmarkEnd w:id="265"/>
      <w:bookmarkEnd w:id="266"/>
      <w:bookmarkEnd w:id="267"/>
      <w:bookmarkEnd w:id="268"/>
      <w:bookmarkEnd w:id="269"/>
    </w:p>
    <w:p w14:paraId="4309E0CD"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El siguiente es un ejemplo de un modelo de capacidades de una empresa de manufactura de electrónicos.</w:t>
      </w:r>
    </w:p>
    <w:p w14:paraId="6D01FBAD" w14:textId="77777777" w:rsidR="001C3E10" w:rsidRDefault="001C3E10" w:rsidP="001C3E10">
      <w:pPr>
        <w:spacing w:line="276" w:lineRule="auto"/>
        <w:jc w:val="center"/>
        <w:rPr>
          <w:rFonts w:asciiTheme="minorHAnsi" w:hAnsiTheme="minorHAnsi"/>
          <w:sz w:val="22"/>
          <w:szCs w:val="22"/>
        </w:rPr>
      </w:pPr>
      <w:r w:rsidRPr="001C3E10">
        <w:rPr>
          <w:rFonts w:asciiTheme="minorHAnsi" w:hAnsiTheme="minorHAnsi"/>
          <w:noProof/>
          <w:sz w:val="22"/>
          <w:szCs w:val="22"/>
        </w:rPr>
        <w:lastRenderedPageBreak/>
        <w:drawing>
          <wp:inline distT="0" distB="0" distL="0" distR="0" wp14:anchorId="66D24524" wp14:editId="37670A0E">
            <wp:extent cx="3867150" cy="2488401"/>
            <wp:effectExtent l="0" t="0" r="0" b="7620"/>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3870657" cy="2490657"/>
                    </a:xfrm>
                    <a:prstGeom prst="rect">
                      <a:avLst/>
                    </a:prstGeom>
                  </pic:spPr>
                </pic:pic>
              </a:graphicData>
            </a:graphic>
          </wp:inline>
        </w:drawing>
      </w:r>
    </w:p>
    <w:p w14:paraId="0CCA6505" w14:textId="77777777" w:rsidR="001628D8" w:rsidRDefault="001628D8" w:rsidP="001C3E10">
      <w:pPr>
        <w:spacing w:line="276" w:lineRule="auto"/>
        <w:jc w:val="both"/>
        <w:rPr>
          <w:rFonts w:asciiTheme="minorHAnsi" w:hAnsiTheme="minorHAnsi"/>
          <w:color w:val="000000"/>
          <w:sz w:val="22"/>
          <w:szCs w:val="22"/>
        </w:rPr>
      </w:pPr>
    </w:p>
    <w:p w14:paraId="00210893" w14:textId="77777777" w:rsidR="001C3E10" w:rsidRPr="001C3E10" w:rsidRDefault="001C3E10" w:rsidP="001C3E10">
      <w:pPr>
        <w:spacing w:line="276" w:lineRule="auto"/>
        <w:jc w:val="both"/>
        <w:rPr>
          <w:rFonts w:asciiTheme="minorHAnsi" w:hAnsiTheme="minorHAnsi"/>
          <w:color w:val="000000"/>
          <w:sz w:val="22"/>
          <w:szCs w:val="22"/>
        </w:rPr>
      </w:pPr>
      <w:r w:rsidRPr="001C3E10">
        <w:rPr>
          <w:rFonts w:asciiTheme="minorHAnsi" w:hAnsiTheme="minorHAnsi"/>
          <w:color w:val="000000"/>
          <w:sz w:val="22"/>
          <w:szCs w:val="22"/>
        </w:rPr>
        <w:t>En el nivel 0 se aprecian cuatro capacidades fundamentales de esa organización: “Creación de productos”, “Entrega de productos y servicios”, “Relación con los clientes” y “Administración del negocio”, posiblemente relacionadas directamente con su cadena de valor. Dentro de cada una hay un subnivel que describe esa capacidad en mayor detalle. Así por ejemplo, dentro de “Administración del negocio” hay una llamada “Planeamiento, estrategia y ejecución”, dentro de “Creación de productos” hay otra llamada “Desarrollo de hardware” y así sucesivamente. Es decir, las capacidades se pueden anidar dentro de otras más generales.</w:t>
      </w:r>
    </w:p>
    <w:p w14:paraId="0E529219"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270" w:name="_Toc429555168"/>
      <w:bookmarkStart w:id="271" w:name="_Toc429562810"/>
      <w:bookmarkStart w:id="272" w:name="_Toc429563120"/>
      <w:bookmarkStart w:id="273" w:name="_Toc429563275"/>
      <w:bookmarkStart w:id="274" w:name="_Toc442253257"/>
      <w:r w:rsidRPr="001C3E10">
        <w:rPr>
          <w:rFonts w:asciiTheme="minorHAnsi" w:hAnsiTheme="minorHAnsi"/>
          <w:sz w:val="22"/>
          <w:szCs w:val="22"/>
        </w:rPr>
        <w:t>Cómo se usa</w:t>
      </w:r>
      <w:bookmarkEnd w:id="270"/>
      <w:bookmarkEnd w:id="271"/>
      <w:bookmarkEnd w:id="272"/>
      <w:bookmarkEnd w:id="273"/>
      <w:bookmarkEnd w:id="274"/>
    </w:p>
    <w:p w14:paraId="10BB8062"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Para utilizar un mapa de capacidades es necesario contar como insumo con un mapa estratégico, también conocido como Cuadro de Mando Integral (CMI), que documenta la estrategia de la organización. En la siguiente figura se puede ver el que se utilizará de ejemplo.</w:t>
      </w:r>
    </w:p>
    <w:p w14:paraId="0438F366" w14:textId="77777777" w:rsidR="001C3E10" w:rsidRDefault="001C3E10" w:rsidP="001C3E10">
      <w:pPr>
        <w:spacing w:line="276" w:lineRule="auto"/>
        <w:jc w:val="center"/>
        <w:rPr>
          <w:rFonts w:asciiTheme="minorHAnsi" w:hAnsiTheme="minorHAnsi"/>
          <w:sz w:val="22"/>
          <w:szCs w:val="22"/>
        </w:rPr>
      </w:pPr>
      <w:r w:rsidRPr="001C3E10">
        <w:rPr>
          <w:rFonts w:asciiTheme="minorHAnsi" w:hAnsiTheme="minorHAnsi"/>
          <w:noProof/>
          <w:sz w:val="22"/>
          <w:szCs w:val="22"/>
        </w:rPr>
        <w:lastRenderedPageBreak/>
        <w:drawing>
          <wp:inline distT="0" distB="0" distL="0" distR="0" wp14:anchorId="19CB7383" wp14:editId="5399642C">
            <wp:extent cx="4749800" cy="3021965"/>
            <wp:effectExtent l="0" t="0" r="0" b="6985"/>
            <wp:docPr id="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4753623" cy="3024397"/>
                    </a:xfrm>
                    <a:prstGeom prst="rect">
                      <a:avLst/>
                    </a:prstGeom>
                  </pic:spPr>
                </pic:pic>
              </a:graphicData>
            </a:graphic>
          </wp:inline>
        </w:drawing>
      </w:r>
    </w:p>
    <w:p w14:paraId="4B923B5F" w14:textId="77777777" w:rsidR="001628D8" w:rsidRDefault="001628D8" w:rsidP="001C3E10">
      <w:pPr>
        <w:spacing w:line="276" w:lineRule="auto"/>
        <w:jc w:val="both"/>
        <w:rPr>
          <w:rFonts w:asciiTheme="minorHAnsi" w:hAnsiTheme="minorHAnsi"/>
          <w:sz w:val="22"/>
          <w:szCs w:val="22"/>
        </w:rPr>
      </w:pPr>
    </w:p>
    <w:p w14:paraId="17DE33C8"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El mapa estratégico se compone por lo general de cuatro perspectivas: financiera (¿cómo nos vemos a los ojos de los accionistas?), del cliente (¿cómo nos ven los clientes?), interna (¿en qué debemos sobresalir?) y de aprendizaje y crecimiento (¿podemos continuar mejorando y creando valor?). Entre los diferentes elementos en el cuadro se establecen relaciones de causa-efecto (las flechas) que facilitan la lectura del mapa y la estrategia como tal. A modo de ejemplo, en el cuadro anterior un objetivo financiero es el de “Incrementar los ingresos” y para tal efecto, la estrategia con respecto a los clientes es la de “Atraer clientes de alto valor y potenciales hacia los servicios en línea”. Para lograr eso, internamente la organización va a mejorar la “Disponibilidad 24/7” de todos los servicios que se le brindan, se va a “Desarrollar encuestas de satisfacción y métricas de monitoreo de la experiencia” del usuario en el uso de esos servicios y a “Desarrollar capacidades superiores de chat en línea” en el personal de atención al cliente, dentro de las varias iniciativas estratégicas que se consideraron. Para eso es necesario “Desarrollar y retener personal de chat” y “Desarrollar un equipo de arquitectura empresarial” que permita hacer la traza de esas métricas en todos los elementos involucrados.</w:t>
      </w:r>
    </w:p>
    <w:p w14:paraId="43FC7B16" w14:textId="77777777" w:rsidR="001628D8" w:rsidRDefault="001628D8" w:rsidP="001C3E10">
      <w:pPr>
        <w:spacing w:line="276" w:lineRule="auto"/>
        <w:jc w:val="both"/>
        <w:rPr>
          <w:rFonts w:asciiTheme="minorHAnsi" w:hAnsiTheme="minorHAnsi"/>
          <w:sz w:val="22"/>
          <w:szCs w:val="22"/>
        </w:rPr>
      </w:pPr>
    </w:p>
    <w:p w14:paraId="42752D45"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Por otro lado, asúmase el siguiente mapa de capacidades que describe el estado actual de esa organización. Éste es tomado del BIAN (</w:t>
      </w:r>
      <w:proofErr w:type="spellStart"/>
      <w:r w:rsidRPr="001C3E10">
        <w:rPr>
          <w:rFonts w:asciiTheme="minorHAnsi" w:hAnsiTheme="minorHAnsi"/>
          <w:sz w:val="22"/>
          <w:szCs w:val="22"/>
        </w:rPr>
        <w:t>Banking</w:t>
      </w:r>
      <w:proofErr w:type="spellEnd"/>
      <w:r w:rsidRPr="001C3E10">
        <w:rPr>
          <w:rFonts w:asciiTheme="minorHAnsi" w:hAnsiTheme="minorHAnsi"/>
          <w:sz w:val="22"/>
          <w:szCs w:val="22"/>
        </w:rPr>
        <w:t xml:space="preserve"> </w:t>
      </w:r>
      <w:proofErr w:type="spellStart"/>
      <w:r w:rsidRPr="001C3E10">
        <w:rPr>
          <w:rFonts w:asciiTheme="minorHAnsi" w:hAnsiTheme="minorHAnsi"/>
          <w:sz w:val="22"/>
          <w:szCs w:val="22"/>
        </w:rPr>
        <w:t>Industry</w:t>
      </w:r>
      <w:proofErr w:type="spellEnd"/>
      <w:r w:rsidRPr="001C3E10">
        <w:rPr>
          <w:rFonts w:asciiTheme="minorHAnsi" w:hAnsiTheme="minorHAnsi"/>
          <w:sz w:val="22"/>
          <w:szCs w:val="22"/>
        </w:rPr>
        <w:t xml:space="preserve"> </w:t>
      </w:r>
      <w:proofErr w:type="spellStart"/>
      <w:r w:rsidRPr="001C3E10">
        <w:rPr>
          <w:rFonts w:asciiTheme="minorHAnsi" w:hAnsiTheme="minorHAnsi"/>
          <w:sz w:val="22"/>
          <w:szCs w:val="22"/>
        </w:rPr>
        <w:t>Architecture</w:t>
      </w:r>
      <w:proofErr w:type="spellEnd"/>
      <w:r w:rsidRPr="001C3E10">
        <w:rPr>
          <w:rFonts w:asciiTheme="minorHAnsi" w:hAnsiTheme="minorHAnsi"/>
          <w:sz w:val="22"/>
          <w:szCs w:val="22"/>
        </w:rPr>
        <w:t xml:space="preserve"> Network), un modelo de referencia para la industria de la banca comercial.</w:t>
      </w:r>
    </w:p>
    <w:p w14:paraId="24568325" w14:textId="77777777" w:rsidR="001C3E10" w:rsidRPr="001C3E10" w:rsidRDefault="001C3E10" w:rsidP="001C3E10">
      <w:pPr>
        <w:spacing w:line="276" w:lineRule="auto"/>
        <w:jc w:val="center"/>
        <w:rPr>
          <w:rFonts w:asciiTheme="minorHAnsi" w:hAnsiTheme="minorHAnsi"/>
          <w:sz w:val="22"/>
          <w:szCs w:val="22"/>
        </w:rPr>
      </w:pPr>
      <w:r w:rsidRPr="001C3E10">
        <w:rPr>
          <w:rFonts w:asciiTheme="minorHAnsi" w:hAnsiTheme="minorHAnsi"/>
          <w:noProof/>
          <w:sz w:val="22"/>
          <w:szCs w:val="22"/>
        </w:rPr>
        <w:lastRenderedPageBreak/>
        <w:drawing>
          <wp:inline distT="0" distB="0" distL="0" distR="0" wp14:anchorId="037B1094" wp14:editId="35BE3041">
            <wp:extent cx="3263900" cy="2947778"/>
            <wp:effectExtent l="0" t="0" r="0" b="5080"/>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3272228" cy="2955299"/>
                    </a:xfrm>
                    <a:prstGeom prst="rect">
                      <a:avLst/>
                    </a:prstGeom>
                  </pic:spPr>
                </pic:pic>
              </a:graphicData>
            </a:graphic>
          </wp:inline>
        </w:drawing>
      </w:r>
    </w:p>
    <w:p w14:paraId="480AD116" w14:textId="77777777" w:rsidR="001628D8" w:rsidRDefault="001628D8" w:rsidP="001C3E10">
      <w:pPr>
        <w:spacing w:line="276" w:lineRule="auto"/>
        <w:jc w:val="both"/>
        <w:rPr>
          <w:rFonts w:asciiTheme="minorHAnsi" w:hAnsiTheme="minorHAnsi"/>
          <w:sz w:val="22"/>
          <w:szCs w:val="22"/>
        </w:rPr>
      </w:pPr>
    </w:p>
    <w:p w14:paraId="25F1EEA5"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Con ambos insumos se procede a hacer un análisis del impacto de la estrategia en ese mapa de capacidades, en el siguiente proceso.</w:t>
      </w:r>
    </w:p>
    <w:p w14:paraId="4D5CFF5D"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bookmarkStart w:id="275" w:name="_Ref406148969"/>
      <w:r w:rsidRPr="001C3E10">
        <w:rPr>
          <w:rFonts w:asciiTheme="minorHAnsi" w:hAnsiTheme="minorHAnsi"/>
          <w:sz w:val="22"/>
          <w:szCs w:val="22"/>
        </w:rPr>
        <w:t>Identificación de la prioridad de las capacidades vs la estrategia</w:t>
      </w:r>
      <w:bookmarkEnd w:id="275"/>
    </w:p>
    <w:p w14:paraId="03BD814F"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Partiendo del mapa estratégico anterior es necesario </w:t>
      </w:r>
      <w:r w:rsidRPr="001C3E10">
        <w:rPr>
          <w:rFonts w:asciiTheme="minorHAnsi" w:hAnsiTheme="minorHAnsi"/>
          <w:b/>
          <w:sz w:val="22"/>
          <w:szCs w:val="22"/>
        </w:rPr>
        <w:t>identificar cuáles capacidades del negocio permiten hoy en día cumplir con cada una de las iniciativas estratégicas a emprender</w:t>
      </w:r>
      <w:r w:rsidRPr="001C3E10">
        <w:rPr>
          <w:rFonts w:asciiTheme="minorHAnsi" w:hAnsiTheme="minorHAnsi"/>
          <w:sz w:val="22"/>
          <w:szCs w:val="22"/>
        </w:rPr>
        <w:t>. Importante notar que del análisis se pueden identificar capacidades con las que no contamos actualmente, y por ende, debemos desarrollar. La siguiente imagen muestra la identificación de la capacidad que permite “Desarrollar encuestas de satisfacción y métricas de monitoreo de la experiencia” del usuario, iniciativa presente en el CMI anterior.</w:t>
      </w:r>
    </w:p>
    <w:p w14:paraId="1816641B" w14:textId="77777777" w:rsidR="001C3E10" w:rsidRDefault="001C3E10" w:rsidP="001C3E10">
      <w:pPr>
        <w:spacing w:line="276" w:lineRule="auto"/>
        <w:jc w:val="center"/>
        <w:rPr>
          <w:rFonts w:asciiTheme="minorHAnsi" w:hAnsiTheme="minorHAnsi"/>
          <w:sz w:val="22"/>
          <w:szCs w:val="22"/>
        </w:rPr>
      </w:pPr>
      <w:r w:rsidRPr="001C3E10">
        <w:rPr>
          <w:rFonts w:asciiTheme="minorHAnsi" w:hAnsiTheme="minorHAnsi"/>
          <w:noProof/>
          <w:sz w:val="22"/>
          <w:szCs w:val="22"/>
        </w:rPr>
        <w:lastRenderedPageBreak/>
        <w:drawing>
          <wp:inline distT="0" distB="0" distL="0" distR="0" wp14:anchorId="2824C564" wp14:editId="73202745">
            <wp:extent cx="3829050" cy="3048335"/>
            <wp:effectExtent l="0" t="0" r="0"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3839054" cy="3056299"/>
                    </a:xfrm>
                    <a:prstGeom prst="rect">
                      <a:avLst/>
                    </a:prstGeom>
                  </pic:spPr>
                </pic:pic>
              </a:graphicData>
            </a:graphic>
          </wp:inline>
        </w:drawing>
      </w:r>
    </w:p>
    <w:p w14:paraId="1EE78CAA" w14:textId="77777777" w:rsidR="001C3E10" w:rsidRPr="001C3E10" w:rsidRDefault="001C3E10" w:rsidP="001C3E10">
      <w:pPr>
        <w:spacing w:line="276" w:lineRule="auto"/>
        <w:jc w:val="center"/>
        <w:rPr>
          <w:rFonts w:asciiTheme="minorHAnsi" w:hAnsiTheme="minorHAnsi"/>
          <w:sz w:val="22"/>
          <w:szCs w:val="22"/>
        </w:rPr>
      </w:pPr>
    </w:p>
    <w:p w14:paraId="2E0B2053"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Posterior a esa identificación, </w:t>
      </w:r>
      <w:r w:rsidRPr="001C3E10">
        <w:rPr>
          <w:rFonts w:asciiTheme="minorHAnsi" w:hAnsiTheme="minorHAnsi"/>
          <w:b/>
          <w:sz w:val="22"/>
          <w:szCs w:val="22"/>
        </w:rPr>
        <w:t>se hace</w:t>
      </w:r>
      <w:r w:rsidRPr="001C3E10">
        <w:rPr>
          <w:rFonts w:asciiTheme="minorHAnsi" w:hAnsiTheme="minorHAnsi"/>
          <w:sz w:val="22"/>
          <w:szCs w:val="22"/>
        </w:rPr>
        <w:t xml:space="preserve"> </w:t>
      </w:r>
      <w:r w:rsidRPr="001C3E10">
        <w:rPr>
          <w:rFonts w:asciiTheme="minorHAnsi" w:hAnsiTheme="minorHAnsi"/>
          <w:b/>
          <w:sz w:val="22"/>
          <w:szCs w:val="22"/>
        </w:rPr>
        <w:t>una priorización de cuáles capacidades serán las más importantes</w:t>
      </w:r>
      <w:r w:rsidRPr="001C3E10">
        <w:rPr>
          <w:rFonts w:asciiTheme="minorHAnsi" w:hAnsiTheme="minorHAnsi"/>
          <w:sz w:val="22"/>
          <w:szCs w:val="22"/>
        </w:rPr>
        <w:t xml:space="preserve"> a desarrollar para alcanzar esa estrategia. En la imagen anterior eso se evidencia con un código de colores. No todas las capacidades tienen la misma prioridad para la estrategia. Además, para la priorización, en algunos casos será suficiente con la información en el modelo de capacidades mientras que en otros será necesario hacer una evaluación más profunda, a partir de los 5 atributos definidos para cada capacidad, adelantándose al paso 2. Esa priorización sirve para saber a cuáles hay que ponerle más atención.</w:t>
      </w:r>
    </w:p>
    <w:p w14:paraId="62040784" w14:textId="77777777" w:rsidR="001628D8" w:rsidRDefault="001628D8" w:rsidP="001C3E10">
      <w:pPr>
        <w:spacing w:line="276" w:lineRule="auto"/>
        <w:jc w:val="both"/>
        <w:rPr>
          <w:rFonts w:asciiTheme="minorHAnsi" w:hAnsiTheme="minorHAnsi"/>
          <w:sz w:val="22"/>
          <w:szCs w:val="22"/>
        </w:rPr>
      </w:pPr>
    </w:p>
    <w:p w14:paraId="7BE3D2AF"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En resumen, para poder “Atraer clientes de alto valor y potenciales hacia los servicios en línea”, la estrategia indica que hay que mejorar la “Propuesta de valor” tomando varias acciones (acceso 24/7, un chat seguro, servicios personalizados y fáciles de usar, entre otros). Para tal efecto, internamente se deben “Desarrollar encuestas de satisfacción y mejores métricas de monitoreo de la experiencia” del usuario, iniciativa estratégica en el CMI. Al día de hoy se hace por medio de la capacidad “Encuestas al cliente” de “Mercadeo”.</w:t>
      </w:r>
    </w:p>
    <w:p w14:paraId="6E168F2A"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 xml:space="preserve">Análisis del impacto </w:t>
      </w:r>
    </w:p>
    <w:p w14:paraId="727F2761"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Identificada la capacidad </w:t>
      </w:r>
      <w:r w:rsidRPr="001C3E10">
        <w:rPr>
          <w:rFonts w:asciiTheme="minorHAnsi" w:hAnsiTheme="minorHAnsi"/>
          <w:b/>
          <w:sz w:val="22"/>
          <w:szCs w:val="22"/>
        </w:rPr>
        <w:t>se constituye un equipo multidisciplinario</w:t>
      </w:r>
      <w:r w:rsidRPr="001C3E10">
        <w:rPr>
          <w:rFonts w:asciiTheme="minorHAnsi" w:hAnsiTheme="minorHAnsi"/>
          <w:sz w:val="22"/>
          <w:szCs w:val="22"/>
        </w:rPr>
        <w:t xml:space="preserve"> (encuestadores y supervisores de encuestas, ingenieros industriales, arquitectos de soluciones expertos en tecnología, psicólogos industriales, supervisados por un arquitecto empresarial) </w:t>
      </w:r>
      <w:r w:rsidRPr="001C3E10">
        <w:rPr>
          <w:rFonts w:asciiTheme="minorHAnsi" w:hAnsiTheme="minorHAnsi"/>
          <w:b/>
          <w:sz w:val="22"/>
          <w:szCs w:val="22"/>
        </w:rPr>
        <w:t>para revisar</w:t>
      </w:r>
      <w:r w:rsidRPr="001C3E10">
        <w:rPr>
          <w:rFonts w:asciiTheme="minorHAnsi" w:hAnsiTheme="minorHAnsi"/>
          <w:sz w:val="22"/>
          <w:szCs w:val="22"/>
        </w:rPr>
        <w:t xml:space="preserve"> la situación actual vs la necesaria para cumplir con la estrategia. Para tal efecto se hace un análisis de </w:t>
      </w:r>
      <w:r w:rsidRPr="001C3E10">
        <w:rPr>
          <w:rFonts w:asciiTheme="minorHAnsi" w:hAnsiTheme="minorHAnsi"/>
          <w:b/>
          <w:sz w:val="22"/>
          <w:szCs w:val="22"/>
        </w:rPr>
        <w:t>los 5 atributos documentados para toda capacidad</w:t>
      </w:r>
      <w:r w:rsidRPr="001C3E10">
        <w:rPr>
          <w:rFonts w:asciiTheme="minorHAnsi" w:hAnsiTheme="minorHAnsi"/>
          <w:sz w:val="22"/>
          <w:szCs w:val="22"/>
        </w:rPr>
        <w:t>: “organización y cultura”, “procesos y técnicas”, “roles y responsabilidades”, “tecnología” y por último, “metas, principios y entregables”.</w:t>
      </w:r>
    </w:p>
    <w:p w14:paraId="1316AE73" w14:textId="77777777" w:rsidR="001C3E10" w:rsidRPr="001C3E10" w:rsidRDefault="001C3E10" w:rsidP="00FD1297">
      <w:pPr>
        <w:spacing w:line="276" w:lineRule="auto"/>
        <w:jc w:val="center"/>
        <w:rPr>
          <w:rFonts w:asciiTheme="minorHAnsi" w:hAnsiTheme="minorHAnsi"/>
          <w:sz w:val="22"/>
          <w:szCs w:val="22"/>
        </w:rPr>
      </w:pPr>
      <w:r w:rsidRPr="001C3E10">
        <w:rPr>
          <w:rFonts w:asciiTheme="minorHAnsi" w:hAnsiTheme="minorHAnsi"/>
          <w:noProof/>
          <w:sz w:val="22"/>
          <w:szCs w:val="22"/>
        </w:rPr>
        <w:lastRenderedPageBreak/>
        <w:drawing>
          <wp:inline distT="0" distB="0" distL="0" distR="0" wp14:anchorId="37D9D59C" wp14:editId="3AE48DE0">
            <wp:extent cx="3436429" cy="3106706"/>
            <wp:effectExtent l="0" t="0" r="0" b="0"/>
            <wp:docPr id="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3441007" cy="3110845"/>
                    </a:xfrm>
                    <a:prstGeom prst="rect">
                      <a:avLst/>
                    </a:prstGeom>
                  </pic:spPr>
                </pic:pic>
              </a:graphicData>
            </a:graphic>
          </wp:inline>
        </w:drawing>
      </w:r>
    </w:p>
    <w:p w14:paraId="4FA13A94" w14:textId="77777777" w:rsidR="001628D8" w:rsidRDefault="001628D8" w:rsidP="001C3E10">
      <w:pPr>
        <w:spacing w:line="276" w:lineRule="auto"/>
        <w:jc w:val="both"/>
        <w:rPr>
          <w:rFonts w:asciiTheme="minorHAnsi" w:hAnsiTheme="minorHAnsi"/>
          <w:sz w:val="22"/>
          <w:szCs w:val="22"/>
        </w:rPr>
      </w:pPr>
    </w:p>
    <w:p w14:paraId="682F2F24"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En ese caso se determinó que,</w:t>
      </w:r>
      <w:r w:rsidRPr="001C3E10">
        <w:rPr>
          <w:rFonts w:asciiTheme="minorHAnsi" w:hAnsiTheme="minorHAnsi"/>
          <w:b/>
          <w:sz w:val="22"/>
          <w:szCs w:val="22"/>
        </w:rPr>
        <w:t xml:space="preserve"> para cumplir</w:t>
      </w:r>
      <w:r w:rsidRPr="001C3E10">
        <w:rPr>
          <w:rFonts w:asciiTheme="minorHAnsi" w:hAnsiTheme="minorHAnsi"/>
          <w:sz w:val="22"/>
          <w:szCs w:val="22"/>
        </w:rPr>
        <w:t xml:space="preserve"> con la estrategia es </w:t>
      </w:r>
      <w:r w:rsidRPr="001C3E10">
        <w:rPr>
          <w:rFonts w:asciiTheme="minorHAnsi" w:hAnsiTheme="minorHAnsi"/>
          <w:b/>
          <w:sz w:val="22"/>
          <w:szCs w:val="22"/>
        </w:rPr>
        <w:t>necesario un ajuste en el perfil de los encuestadores</w:t>
      </w:r>
      <w:r w:rsidRPr="001C3E10">
        <w:rPr>
          <w:rFonts w:asciiTheme="minorHAnsi" w:hAnsiTheme="minorHAnsi"/>
          <w:sz w:val="22"/>
          <w:szCs w:val="22"/>
        </w:rPr>
        <w:t xml:space="preserve"> hacia el manejo de clientes potenciales. Desde el punto de vista de los </w:t>
      </w:r>
      <w:r w:rsidRPr="001C3E10">
        <w:rPr>
          <w:rFonts w:asciiTheme="minorHAnsi" w:hAnsiTheme="minorHAnsi"/>
          <w:b/>
          <w:sz w:val="22"/>
          <w:szCs w:val="22"/>
        </w:rPr>
        <w:t>procesos</w:t>
      </w:r>
      <w:r w:rsidRPr="001C3E10">
        <w:rPr>
          <w:rFonts w:asciiTheme="minorHAnsi" w:hAnsiTheme="minorHAnsi"/>
          <w:sz w:val="22"/>
          <w:szCs w:val="22"/>
        </w:rPr>
        <w:t xml:space="preserve"> se determinó que es necesario hacer </w:t>
      </w:r>
      <w:r w:rsidRPr="001C3E10">
        <w:rPr>
          <w:rFonts w:asciiTheme="minorHAnsi" w:hAnsiTheme="minorHAnsi"/>
          <w:b/>
          <w:sz w:val="22"/>
          <w:szCs w:val="22"/>
        </w:rPr>
        <w:t>algunos ajustes al proceso de confección de encuestas</w:t>
      </w:r>
      <w:r w:rsidRPr="001C3E10">
        <w:rPr>
          <w:rFonts w:asciiTheme="minorHAnsi" w:hAnsiTheme="minorHAnsi"/>
          <w:sz w:val="22"/>
          <w:szCs w:val="22"/>
        </w:rPr>
        <w:t xml:space="preserve"> con el fin de reforzar el control previo al envío de encuestas a los clientes. Además, se concluye que </w:t>
      </w:r>
      <w:proofErr w:type="spellStart"/>
      <w:r w:rsidRPr="001C3E10">
        <w:rPr>
          <w:rFonts w:asciiTheme="minorHAnsi" w:hAnsiTheme="minorHAnsi"/>
          <w:b/>
          <w:sz w:val="22"/>
          <w:szCs w:val="22"/>
        </w:rPr>
        <w:t>LymeSurvey</w:t>
      </w:r>
      <w:proofErr w:type="spellEnd"/>
      <w:r w:rsidRPr="001C3E10">
        <w:rPr>
          <w:rFonts w:asciiTheme="minorHAnsi" w:hAnsiTheme="minorHAnsi"/>
          <w:sz w:val="22"/>
          <w:szCs w:val="22"/>
        </w:rPr>
        <w:t xml:space="preserve">, sistema actualmente en uso para realizar encuestas a los clientes, </w:t>
      </w:r>
      <w:r w:rsidRPr="001C3E10">
        <w:rPr>
          <w:rFonts w:asciiTheme="minorHAnsi" w:hAnsiTheme="minorHAnsi"/>
          <w:b/>
          <w:sz w:val="22"/>
          <w:szCs w:val="22"/>
        </w:rPr>
        <w:t>no permite que el cliente pueda llenar una encuesta por medio del teléfono celular</w:t>
      </w:r>
      <w:r w:rsidRPr="001C3E10">
        <w:rPr>
          <w:rFonts w:asciiTheme="minorHAnsi" w:hAnsiTheme="minorHAnsi"/>
          <w:sz w:val="22"/>
          <w:szCs w:val="22"/>
        </w:rPr>
        <w:t>, planteado por la estrategia como el principal canal de interacción de los clientes de alto valor con el banco.</w:t>
      </w:r>
    </w:p>
    <w:p w14:paraId="75306F36"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Desarrollo del caso de negocio</w:t>
      </w:r>
    </w:p>
    <w:p w14:paraId="5E27637A" w14:textId="77777777" w:rsidR="001C3E10" w:rsidRDefault="001C3E10" w:rsidP="001C3E10">
      <w:pPr>
        <w:spacing w:line="276" w:lineRule="auto"/>
        <w:jc w:val="both"/>
        <w:rPr>
          <w:rFonts w:asciiTheme="minorHAnsi" w:hAnsiTheme="minorHAnsi"/>
          <w:sz w:val="22"/>
          <w:szCs w:val="22"/>
        </w:rPr>
      </w:pPr>
      <w:r w:rsidRPr="001C3E10">
        <w:rPr>
          <w:rFonts w:asciiTheme="minorHAnsi" w:hAnsiTheme="minorHAnsi"/>
          <w:b/>
          <w:sz w:val="22"/>
          <w:szCs w:val="22"/>
        </w:rPr>
        <w:t>A partir de la diferencia identificada</w:t>
      </w:r>
      <w:r w:rsidRPr="001C3E10">
        <w:rPr>
          <w:rFonts w:asciiTheme="minorHAnsi" w:hAnsiTheme="minorHAnsi"/>
          <w:sz w:val="22"/>
          <w:szCs w:val="22"/>
        </w:rPr>
        <w:t xml:space="preserve"> en esas capacidades </w:t>
      </w:r>
      <w:r w:rsidRPr="001C3E10">
        <w:rPr>
          <w:rFonts w:asciiTheme="minorHAnsi" w:hAnsiTheme="minorHAnsi"/>
          <w:b/>
          <w:sz w:val="22"/>
          <w:szCs w:val="22"/>
        </w:rPr>
        <w:t>se desarrollan casos de negocio que formulan y evalúan alternativas de solución</w:t>
      </w:r>
      <w:r w:rsidRPr="001C3E10">
        <w:rPr>
          <w:rFonts w:asciiTheme="minorHAnsi" w:hAnsiTheme="minorHAnsi"/>
          <w:sz w:val="22"/>
          <w:szCs w:val="22"/>
        </w:rPr>
        <w:t xml:space="preserve"> que eleven el nivel de la capacidad al necesario, tomando en cuenta factores como el riesgo y el financiero. Por ejemplo, un </w:t>
      </w:r>
      <w:r w:rsidRPr="001C3E10">
        <w:rPr>
          <w:rFonts w:asciiTheme="minorHAnsi" w:hAnsiTheme="minorHAnsi"/>
          <w:b/>
          <w:sz w:val="22"/>
          <w:szCs w:val="22"/>
        </w:rPr>
        <w:t xml:space="preserve">experto en mercadotecnia </w:t>
      </w:r>
      <w:r w:rsidRPr="001C3E10">
        <w:rPr>
          <w:rFonts w:asciiTheme="minorHAnsi" w:hAnsiTheme="minorHAnsi"/>
          <w:sz w:val="22"/>
          <w:szCs w:val="22"/>
        </w:rPr>
        <w:t xml:space="preserve">diseña un curso de sensibilización de los encuestadores a los servicios en línea que ofrece el banco, con técnicas específicas para poder atraer clientes potenciales a esos servicios. En lo que se refiere a los procesos, el </w:t>
      </w:r>
      <w:r w:rsidRPr="001C3E10">
        <w:rPr>
          <w:rFonts w:asciiTheme="minorHAnsi" w:hAnsiTheme="minorHAnsi"/>
          <w:b/>
          <w:sz w:val="22"/>
          <w:szCs w:val="22"/>
        </w:rPr>
        <w:t>ingeniero industrial</w:t>
      </w:r>
      <w:r w:rsidRPr="001C3E10">
        <w:rPr>
          <w:rFonts w:asciiTheme="minorHAnsi" w:hAnsiTheme="minorHAnsi"/>
          <w:sz w:val="22"/>
          <w:szCs w:val="22"/>
        </w:rPr>
        <w:t xml:space="preserve"> revisa el proceso y define un flujo de trabajo por medio del cual un “supervisor de encuestas” recibe y revisa la encuesta previamente a la publicación de la misma.</w:t>
      </w:r>
    </w:p>
    <w:p w14:paraId="7751219E" w14:textId="77777777" w:rsidR="001628D8" w:rsidRPr="001C3E10" w:rsidRDefault="001628D8" w:rsidP="001C3E10">
      <w:pPr>
        <w:spacing w:line="276" w:lineRule="auto"/>
        <w:jc w:val="both"/>
        <w:rPr>
          <w:rFonts w:asciiTheme="minorHAnsi" w:hAnsiTheme="minorHAnsi"/>
          <w:sz w:val="22"/>
          <w:szCs w:val="22"/>
        </w:rPr>
      </w:pPr>
    </w:p>
    <w:p w14:paraId="282018B6" w14:textId="77777777" w:rsidR="001C3E10" w:rsidRPr="001C3E10" w:rsidRDefault="001C3E10" w:rsidP="00FD1297">
      <w:pPr>
        <w:spacing w:line="276" w:lineRule="auto"/>
        <w:jc w:val="center"/>
        <w:rPr>
          <w:rFonts w:asciiTheme="minorHAnsi" w:hAnsiTheme="minorHAnsi"/>
          <w:sz w:val="22"/>
          <w:szCs w:val="22"/>
        </w:rPr>
      </w:pPr>
      <w:r w:rsidRPr="001C3E10">
        <w:rPr>
          <w:rFonts w:asciiTheme="minorHAnsi" w:hAnsiTheme="minorHAnsi"/>
          <w:noProof/>
          <w:sz w:val="22"/>
          <w:szCs w:val="22"/>
        </w:rPr>
        <w:lastRenderedPageBreak/>
        <w:drawing>
          <wp:inline distT="0" distB="0" distL="0" distR="0" wp14:anchorId="6D2399CC" wp14:editId="09D015A2">
            <wp:extent cx="3697356" cy="1173465"/>
            <wp:effectExtent l="0" t="0" r="0" b="8255"/>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3706830" cy="1176472"/>
                    </a:xfrm>
                    <a:prstGeom prst="rect">
                      <a:avLst/>
                    </a:prstGeom>
                  </pic:spPr>
                </pic:pic>
              </a:graphicData>
            </a:graphic>
          </wp:inline>
        </w:drawing>
      </w:r>
    </w:p>
    <w:p w14:paraId="7E83B324" w14:textId="77777777" w:rsidR="001628D8" w:rsidRDefault="001628D8" w:rsidP="001C3E10">
      <w:pPr>
        <w:spacing w:line="276" w:lineRule="auto"/>
        <w:jc w:val="both"/>
        <w:rPr>
          <w:rFonts w:asciiTheme="minorHAnsi" w:hAnsiTheme="minorHAnsi"/>
          <w:sz w:val="22"/>
          <w:szCs w:val="22"/>
        </w:rPr>
      </w:pPr>
    </w:p>
    <w:p w14:paraId="7260CC57"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En cuanto a la tecnología, un </w:t>
      </w:r>
      <w:r w:rsidRPr="001C3E10">
        <w:rPr>
          <w:rFonts w:asciiTheme="minorHAnsi" w:hAnsiTheme="minorHAnsi"/>
          <w:b/>
          <w:sz w:val="22"/>
          <w:szCs w:val="22"/>
        </w:rPr>
        <w:t>arquitecto de TI</w:t>
      </w:r>
      <w:r w:rsidRPr="001C3E10">
        <w:rPr>
          <w:rFonts w:asciiTheme="minorHAnsi" w:hAnsiTheme="minorHAnsi"/>
          <w:sz w:val="22"/>
          <w:szCs w:val="22"/>
        </w:rPr>
        <w:t xml:space="preserve"> hace un levantamiento inicial de los requerimientos tecnológicos necesarios en la nueva herramienta (incluyendo la de llevar el sistema a la nube, proveniente del arquitecto empresarial), recurre al Cuadrante Mágico de </w:t>
      </w:r>
      <w:proofErr w:type="spellStart"/>
      <w:r w:rsidRPr="001C3E10">
        <w:rPr>
          <w:rFonts w:asciiTheme="minorHAnsi" w:hAnsiTheme="minorHAnsi"/>
          <w:sz w:val="22"/>
          <w:szCs w:val="22"/>
        </w:rPr>
        <w:t>Gartner</w:t>
      </w:r>
      <w:proofErr w:type="spellEnd"/>
      <w:r w:rsidRPr="001C3E10">
        <w:rPr>
          <w:rFonts w:asciiTheme="minorHAnsi" w:hAnsiTheme="minorHAnsi"/>
          <w:sz w:val="22"/>
          <w:szCs w:val="22"/>
        </w:rPr>
        <w:t xml:space="preserve"> sobre herramientas de encuestas al consumidor, hace una evaluación de cada una contra los requerimientos (incluyendo varias pruebas de concepto en los que involucra al personal que diseña, realiza y analiza las encuestas, así como las modificaciones al proceso que le hizo el ingeniero industrial), y determina que el Software como Servicio llamado “</w:t>
      </w:r>
      <w:proofErr w:type="spellStart"/>
      <w:r w:rsidRPr="001C3E10">
        <w:rPr>
          <w:rFonts w:asciiTheme="minorHAnsi" w:hAnsiTheme="minorHAnsi"/>
          <w:sz w:val="22"/>
          <w:szCs w:val="22"/>
        </w:rPr>
        <w:t>ConsumerSurveys</w:t>
      </w:r>
      <w:proofErr w:type="spellEnd"/>
      <w:r w:rsidRPr="001C3E10">
        <w:rPr>
          <w:rFonts w:asciiTheme="minorHAnsi" w:hAnsiTheme="minorHAnsi"/>
          <w:sz w:val="22"/>
          <w:szCs w:val="22"/>
        </w:rPr>
        <w:t>” de Google es la solución que técnicamente cumple todos esos requerimientos.</w:t>
      </w:r>
    </w:p>
    <w:p w14:paraId="068C17BA"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Portafolios de proyectos</w:t>
      </w:r>
    </w:p>
    <w:p w14:paraId="4776E042"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Como el dinero, los recursos y las personas son escasos, es necesario </w:t>
      </w:r>
      <w:r w:rsidRPr="001C3E10">
        <w:rPr>
          <w:rFonts w:asciiTheme="minorHAnsi" w:hAnsiTheme="minorHAnsi"/>
          <w:b/>
          <w:sz w:val="22"/>
          <w:szCs w:val="22"/>
        </w:rPr>
        <w:t>priorizar</w:t>
      </w:r>
      <w:r w:rsidRPr="001C3E10">
        <w:rPr>
          <w:rFonts w:asciiTheme="minorHAnsi" w:hAnsiTheme="minorHAnsi"/>
          <w:sz w:val="22"/>
          <w:szCs w:val="22"/>
        </w:rPr>
        <w:t xml:space="preserve">. Esa priorización de acciones e inversiones se realizar </w:t>
      </w:r>
      <w:r w:rsidRPr="001C3E10">
        <w:rPr>
          <w:rFonts w:asciiTheme="minorHAnsi" w:hAnsiTheme="minorHAnsi"/>
          <w:b/>
          <w:sz w:val="22"/>
          <w:szCs w:val="22"/>
        </w:rPr>
        <w:t>por medio de un proceso de gestión del portafolio de proyectos</w:t>
      </w:r>
      <w:r w:rsidRPr="001C3E10">
        <w:rPr>
          <w:rFonts w:asciiTheme="minorHAnsi" w:hAnsiTheme="minorHAnsi"/>
          <w:sz w:val="22"/>
          <w:szCs w:val="22"/>
        </w:rPr>
        <w:t xml:space="preserve">. </w:t>
      </w:r>
    </w:p>
    <w:p w14:paraId="36862BD4" w14:textId="77777777" w:rsidR="001C3E10" w:rsidRPr="001C3E10" w:rsidRDefault="001C3E10" w:rsidP="00FD1297">
      <w:pPr>
        <w:spacing w:line="276" w:lineRule="auto"/>
        <w:jc w:val="center"/>
        <w:rPr>
          <w:rFonts w:asciiTheme="minorHAnsi" w:hAnsiTheme="minorHAnsi"/>
          <w:sz w:val="22"/>
          <w:szCs w:val="22"/>
        </w:rPr>
      </w:pPr>
      <w:r w:rsidRPr="001C3E10">
        <w:rPr>
          <w:rFonts w:asciiTheme="minorHAnsi" w:hAnsiTheme="minorHAnsi"/>
          <w:noProof/>
          <w:sz w:val="22"/>
          <w:szCs w:val="22"/>
        </w:rPr>
        <w:drawing>
          <wp:inline distT="0" distB="0" distL="0" distR="0" wp14:anchorId="0EDA9855" wp14:editId="7312BC5C">
            <wp:extent cx="4377038" cy="3314227"/>
            <wp:effectExtent l="0" t="0" r="5080" b="635"/>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4398240" cy="3330280"/>
                    </a:xfrm>
                    <a:prstGeom prst="rect">
                      <a:avLst/>
                    </a:prstGeom>
                  </pic:spPr>
                </pic:pic>
              </a:graphicData>
            </a:graphic>
          </wp:inline>
        </w:drawing>
      </w:r>
    </w:p>
    <w:p w14:paraId="1D7C58F4" w14:textId="77777777" w:rsidR="001628D8" w:rsidRDefault="001628D8" w:rsidP="001C3E10">
      <w:pPr>
        <w:spacing w:line="276" w:lineRule="auto"/>
        <w:jc w:val="both"/>
        <w:rPr>
          <w:rFonts w:asciiTheme="minorHAnsi" w:hAnsiTheme="minorHAnsi"/>
          <w:sz w:val="22"/>
          <w:szCs w:val="22"/>
        </w:rPr>
      </w:pPr>
    </w:p>
    <w:p w14:paraId="544C346A"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Es poco  factible que todos los proyectos puedan ser desarrollados al mismo tiempo, por lo que se requiere de una planificación que permita, entre otras cosas, coordinar el desarrollo de capacidades en el nivel de madurez que otras necesitarán a futuro. Esa </w:t>
      </w:r>
      <w:r w:rsidRPr="001C3E10">
        <w:rPr>
          <w:rFonts w:asciiTheme="minorHAnsi" w:hAnsiTheme="minorHAnsi"/>
          <w:b/>
          <w:sz w:val="22"/>
          <w:szCs w:val="22"/>
        </w:rPr>
        <w:t xml:space="preserve">planificación del desarrollo del negocio </w:t>
      </w:r>
      <w:r w:rsidRPr="001C3E10">
        <w:rPr>
          <w:rFonts w:asciiTheme="minorHAnsi" w:hAnsiTheme="minorHAnsi"/>
          <w:b/>
          <w:sz w:val="22"/>
          <w:szCs w:val="22"/>
        </w:rPr>
        <w:lastRenderedPageBreak/>
        <w:t>la ejecuta el arquitecto empresarial de la mano de mapas de ruta</w:t>
      </w:r>
      <w:r w:rsidRPr="001C3E10">
        <w:rPr>
          <w:rFonts w:asciiTheme="minorHAnsi" w:hAnsiTheme="minorHAnsi"/>
          <w:sz w:val="22"/>
          <w:szCs w:val="22"/>
        </w:rPr>
        <w:t xml:space="preserve"> y otras herramientas de arquitectura.</w:t>
      </w:r>
    </w:p>
    <w:p w14:paraId="0A839C87"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Ejecución de los proyectos</w:t>
      </w:r>
    </w:p>
    <w:p w14:paraId="7618AE9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Los casos de negocio que reciben el financiamiento requerido, que en su conjunto constituyen el portafolio de inversión, pasan entonces a ser formulados como proyectos. Allí es donde y cuando efectivamente se estiman con mayor precisión el esfuerzo, tiempo y costo para realizar el cambio.</w:t>
      </w:r>
    </w:p>
    <w:p w14:paraId="2BEF0F55"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En resumen</w:t>
      </w:r>
    </w:p>
    <w:p w14:paraId="0D2BEB27"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 siguiente imagen resumen el proceso de traducción de la estrategia en ejecución, descrito anteriormente.</w:t>
      </w:r>
    </w:p>
    <w:p w14:paraId="68E8DE47" w14:textId="77777777" w:rsidR="001C3E10" w:rsidRPr="001C3E10" w:rsidRDefault="001C3E10" w:rsidP="00FD1297">
      <w:pPr>
        <w:spacing w:line="276" w:lineRule="auto"/>
        <w:jc w:val="center"/>
        <w:rPr>
          <w:rFonts w:asciiTheme="minorHAnsi" w:hAnsiTheme="minorHAnsi"/>
          <w:sz w:val="22"/>
          <w:szCs w:val="22"/>
        </w:rPr>
      </w:pPr>
      <w:r w:rsidRPr="001C3E10">
        <w:rPr>
          <w:rFonts w:asciiTheme="minorHAnsi" w:hAnsiTheme="minorHAnsi"/>
          <w:noProof/>
          <w:sz w:val="22"/>
          <w:szCs w:val="22"/>
        </w:rPr>
        <w:drawing>
          <wp:inline distT="0" distB="0" distL="0" distR="0" wp14:anchorId="30D0FA34" wp14:editId="5C1B5C34">
            <wp:extent cx="4023360" cy="2943999"/>
            <wp:effectExtent l="0" t="0" r="0" b="889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4024183" cy="2944601"/>
                    </a:xfrm>
                    <a:prstGeom prst="rect">
                      <a:avLst/>
                    </a:prstGeom>
                  </pic:spPr>
                </pic:pic>
              </a:graphicData>
            </a:graphic>
          </wp:inline>
        </w:drawing>
      </w:r>
    </w:p>
    <w:p w14:paraId="466D3945" w14:textId="77777777" w:rsidR="001628D8" w:rsidRDefault="001628D8" w:rsidP="001628D8">
      <w:pPr>
        <w:pStyle w:val="Ttulo3"/>
        <w:keepLines/>
        <w:spacing w:before="200" w:after="0" w:line="276" w:lineRule="auto"/>
        <w:ind w:left="720"/>
        <w:jc w:val="both"/>
        <w:rPr>
          <w:rFonts w:asciiTheme="minorHAnsi" w:hAnsiTheme="minorHAnsi"/>
          <w:sz w:val="22"/>
          <w:szCs w:val="22"/>
        </w:rPr>
      </w:pPr>
    </w:p>
    <w:p w14:paraId="48A442F4"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276" w:name="_Toc429555169"/>
      <w:bookmarkStart w:id="277" w:name="_Toc429562811"/>
      <w:bookmarkStart w:id="278" w:name="_Toc429563121"/>
      <w:bookmarkStart w:id="279" w:name="_Toc429563276"/>
      <w:bookmarkStart w:id="280" w:name="_Toc442253258"/>
      <w:r w:rsidRPr="001C3E10">
        <w:rPr>
          <w:rFonts w:asciiTheme="minorHAnsi" w:hAnsiTheme="minorHAnsi"/>
          <w:sz w:val="22"/>
          <w:szCs w:val="22"/>
        </w:rPr>
        <w:t>Aplicación en el Banco Central</w:t>
      </w:r>
      <w:bookmarkEnd w:id="276"/>
      <w:bookmarkEnd w:id="277"/>
      <w:bookmarkEnd w:id="278"/>
      <w:bookmarkEnd w:id="279"/>
      <w:bookmarkEnd w:id="280"/>
    </w:p>
    <w:p w14:paraId="60A95977" w14:textId="2ECCFD3B"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En el Banco Central, a partir del Plan Estratégico para el periodo 2015-2018, se cuenta con un mapa estratégico como el reseñado anteriormente, aunque están pendientes las iniciativas estratégicas que el Banco va a emprender para alcanzar la estrategia. Además, y como se describe en la sección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_Ref406443581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D81356" w:rsidRPr="001C3E10">
        <w:rPr>
          <w:rFonts w:asciiTheme="minorHAnsi" w:hAnsiTheme="minorHAnsi"/>
          <w:sz w:val="22"/>
          <w:szCs w:val="22"/>
        </w:rPr>
        <w:t>Capacidades de la organización</w:t>
      </w:r>
      <w:r w:rsidRPr="001C3E10">
        <w:rPr>
          <w:rFonts w:asciiTheme="minorHAnsi" w:hAnsiTheme="minorHAnsi"/>
          <w:sz w:val="22"/>
          <w:szCs w:val="22"/>
        </w:rPr>
        <w:fldChar w:fldCharType="end"/>
      </w:r>
      <w:r w:rsidRPr="001C3E10">
        <w:rPr>
          <w:rFonts w:asciiTheme="minorHAnsi" w:hAnsiTheme="minorHAnsi"/>
          <w:sz w:val="22"/>
          <w:szCs w:val="22"/>
        </w:rPr>
        <w:t>, ya se cuenta con una versión preliminar del mapa de capacidades de la Corporación. Una vez definidas las iniciativas estratégicas es posible hacer la traza de las mismas hacia el modelo de capacidades del Banco, tal y como se explicó en el paso la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_Ref406148969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D81356" w:rsidRPr="001C3E10">
        <w:rPr>
          <w:rFonts w:asciiTheme="minorHAnsi" w:hAnsiTheme="minorHAnsi"/>
          <w:sz w:val="22"/>
          <w:szCs w:val="22"/>
        </w:rPr>
        <w:t>Identificación de la prioridad de las capacidades vs la estrategia</w:t>
      </w:r>
      <w:r w:rsidRPr="001C3E10">
        <w:rPr>
          <w:rFonts w:asciiTheme="minorHAnsi" w:hAnsiTheme="minorHAnsi"/>
          <w:sz w:val="22"/>
          <w:szCs w:val="22"/>
        </w:rPr>
        <w:fldChar w:fldCharType="end"/>
      </w:r>
      <w:r w:rsidRPr="001C3E10">
        <w:rPr>
          <w:rFonts w:asciiTheme="minorHAnsi" w:hAnsiTheme="minorHAnsi"/>
          <w:sz w:val="22"/>
          <w:szCs w:val="22"/>
        </w:rPr>
        <w:t xml:space="preserve">”. Posteriormente, se armarían equipos de trabajo que colaborativamente identifiquen y resuelvan la diferencia entre lo que la capacidad actual provee y lo que se requiere para alcanzar la estrategia. De allí se desprenden múltiples casos de negocio que documentan las inversiones y el riesgo de las mismas. Estos casos de negocio son </w:t>
      </w:r>
      <w:r w:rsidRPr="001C3E10">
        <w:rPr>
          <w:rFonts w:asciiTheme="minorHAnsi" w:hAnsiTheme="minorHAnsi"/>
          <w:sz w:val="22"/>
          <w:szCs w:val="22"/>
        </w:rPr>
        <w:lastRenderedPageBreak/>
        <w:t>analizados por la Gerencia, decidiéndose a favor de unos, en contra de otros y postergando la aplicación del resto.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322"/>
      </w:tblGrid>
      <w:tr w:rsidR="001C3E10" w:rsidRPr="001C3E10" w14:paraId="408B3C32" w14:textId="77777777" w:rsidTr="007C372E">
        <w:tc>
          <w:tcPr>
            <w:tcW w:w="4322" w:type="dxa"/>
          </w:tcPr>
          <w:p w14:paraId="5BDA075D"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Además, siendo que el mapa de capacidades es una herramienta que facilita la comunicación entre los actores tanto al frente de la estrategia como en la operación, es posible utilizarlo para lograr un trabajo más colaborativo hacia la provisión de soluciones integrales (mejora de los procesos y las habilidades del personal, sistemas de información ajustados a lo que se necesita, entre otros) hacia elevar el nivel de operación del Banco como un todo.</w:t>
            </w:r>
          </w:p>
        </w:tc>
        <w:tc>
          <w:tcPr>
            <w:tcW w:w="4322" w:type="dxa"/>
          </w:tcPr>
          <w:p w14:paraId="56597285"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noProof/>
                <w:sz w:val="22"/>
                <w:szCs w:val="22"/>
              </w:rPr>
              <w:drawing>
                <wp:inline distT="0" distB="0" distL="0" distR="0" wp14:anchorId="20AD2364" wp14:editId="6082F2B7">
                  <wp:extent cx="1679563" cy="1808329"/>
                  <wp:effectExtent l="0" t="0" r="0" b="1905"/>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1679563" cy="1808329"/>
                          </a:xfrm>
                          <a:prstGeom prst="rect">
                            <a:avLst/>
                          </a:prstGeom>
                        </pic:spPr>
                      </pic:pic>
                    </a:graphicData>
                  </a:graphic>
                </wp:inline>
              </w:drawing>
            </w:r>
          </w:p>
        </w:tc>
      </w:tr>
    </w:tbl>
    <w:p w14:paraId="389128E0" w14:textId="77777777" w:rsidR="001C3E10" w:rsidRPr="001C3E10" w:rsidRDefault="001C3E10" w:rsidP="001C3E10">
      <w:pPr>
        <w:spacing w:line="276" w:lineRule="auto"/>
        <w:jc w:val="both"/>
        <w:rPr>
          <w:rFonts w:asciiTheme="minorHAnsi" w:hAnsiTheme="minorHAnsi"/>
          <w:sz w:val="22"/>
          <w:szCs w:val="22"/>
        </w:rPr>
      </w:pPr>
    </w:p>
    <w:p w14:paraId="33D9E3A1"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Por último, la realización de casos de negocio facilita la determinación de la demanda de servicios para los siguientes periodos. A modo de ejemplo, si dos capacidades implican el desarrollo de nuevos sistemas. Una definición más detallada de ese análisis permitirá identificar la cantidad de desarrolladores de software necesaria, que la carga de trabajo de ese desarrollo va a requerir la adquisición de servidores con otras características a las que se tienen actualmente, etc. Todos esos cambios, necesidades de personal, entre otros, se suman para permitir a la DST determinar qué necesitará para el siguiente periodo. Eso tiene un impacto también en el alineamiento de las acciones que emprende la DST para satisfacer o hacer cumplir la estrategia del Banco, obviamente dentro de su rango de acción.</w:t>
      </w:r>
    </w:p>
    <w:p w14:paraId="48FE718D"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281" w:name="_Toc414532027"/>
      <w:bookmarkStart w:id="282" w:name="_Toc429555170"/>
      <w:bookmarkStart w:id="283" w:name="_Toc429562812"/>
      <w:bookmarkStart w:id="284" w:name="_Toc429563122"/>
      <w:bookmarkStart w:id="285" w:name="_Toc429563277"/>
      <w:bookmarkStart w:id="286" w:name="_Toc442253259"/>
      <w:r w:rsidRPr="001C3E10">
        <w:rPr>
          <w:rFonts w:asciiTheme="minorHAnsi" w:hAnsiTheme="minorHAnsi"/>
          <w:sz w:val="22"/>
          <w:szCs w:val="22"/>
        </w:rPr>
        <w:t xml:space="preserve">IT Score de </w:t>
      </w:r>
      <w:proofErr w:type="spellStart"/>
      <w:r w:rsidRPr="001C3E10">
        <w:rPr>
          <w:rFonts w:asciiTheme="minorHAnsi" w:hAnsiTheme="minorHAnsi"/>
          <w:sz w:val="22"/>
          <w:szCs w:val="22"/>
        </w:rPr>
        <w:t>Gartner</w:t>
      </w:r>
      <w:proofErr w:type="spellEnd"/>
      <w:r w:rsidRPr="001C3E10">
        <w:rPr>
          <w:rFonts w:asciiTheme="minorHAnsi" w:hAnsiTheme="minorHAnsi"/>
          <w:sz w:val="22"/>
          <w:szCs w:val="22"/>
        </w:rPr>
        <w:t xml:space="preserve"> sobre Arquitectura Empresarial</w:t>
      </w:r>
      <w:bookmarkEnd w:id="281"/>
      <w:bookmarkEnd w:id="282"/>
      <w:bookmarkEnd w:id="283"/>
      <w:bookmarkEnd w:id="284"/>
      <w:bookmarkEnd w:id="285"/>
      <w:bookmarkEnd w:id="286"/>
    </w:p>
    <w:p w14:paraId="645714CC"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El IT Score es una serie de herramientas diseñadas por </w:t>
      </w:r>
      <w:proofErr w:type="spellStart"/>
      <w:r w:rsidRPr="001C3E10">
        <w:rPr>
          <w:rFonts w:asciiTheme="minorHAnsi" w:hAnsiTheme="minorHAnsi"/>
          <w:sz w:val="22"/>
          <w:szCs w:val="22"/>
        </w:rPr>
        <w:t>Gartner</w:t>
      </w:r>
      <w:proofErr w:type="spellEnd"/>
      <w:r w:rsidRPr="001C3E10">
        <w:rPr>
          <w:rFonts w:asciiTheme="minorHAnsi" w:hAnsiTheme="minorHAnsi"/>
          <w:sz w:val="22"/>
          <w:szCs w:val="22"/>
        </w:rPr>
        <w:t xml:space="preserve"> que permite evaluar la madurez de varias prácticas en el quehacer de la gestión de tecnología, contra un modelo de madurez desarrollado por ellos. En particular, tienen uno para el tema de la arquitectura empresarial, que se resume a continuación.</w:t>
      </w:r>
    </w:p>
    <w:p w14:paraId="70C81790" w14:textId="77777777" w:rsidR="001628D8" w:rsidRDefault="001628D8" w:rsidP="001C3E10">
      <w:pPr>
        <w:spacing w:line="276" w:lineRule="auto"/>
        <w:jc w:val="both"/>
        <w:rPr>
          <w:rFonts w:asciiTheme="minorHAnsi" w:hAnsiTheme="minorHAnsi"/>
          <w:sz w:val="22"/>
          <w:szCs w:val="22"/>
        </w:rPr>
      </w:pPr>
    </w:p>
    <w:p w14:paraId="7BC5C97F" w14:textId="77777777" w:rsidR="001C3E10" w:rsidRPr="001C3E10" w:rsidRDefault="001C3E10" w:rsidP="001C3E10">
      <w:pPr>
        <w:spacing w:line="276" w:lineRule="auto"/>
        <w:jc w:val="both"/>
        <w:rPr>
          <w:rFonts w:asciiTheme="minorHAnsi" w:hAnsiTheme="minorHAnsi"/>
          <w:sz w:val="22"/>
          <w:szCs w:val="22"/>
        </w:rPr>
      </w:pPr>
      <w:proofErr w:type="spellStart"/>
      <w:r w:rsidRPr="001C3E10">
        <w:rPr>
          <w:rFonts w:asciiTheme="minorHAnsi" w:hAnsiTheme="minorHAnsi"/>
          <w:sz w:val="22"/>
          <w:szCs w:val="22"/>
        </w:rPr>
        <w:t>Gartner</w:t>
      </w:r>
      <w:proofErr w:type="spellEnd"/>
      <w:r w:rsidRPr="001C3E10">
        <w:rPr>
          <w:rFonts w:asciiTheme="minorHAnsi" w:hAnsiTheme="minorHAnsi"/>
          <w:sz w:val="22"/>
          <w:szCs w:val="22"/>
        </w:rPr>
        <w:t xml:space="preserve"> define a la arquitectura empresarial como “</w:t>
      </w:r>
      <w:r w:rsidRPr="001C3E10">
        <w:rPr>
          <w:rFonts w:asciiTheme="minorHAnsi" w:hAnsiTheme="minorHAnsi"/>
          <w:i/>
          <w:sz w:val="22"/>
          <w:szCs w:val="22"/>
        </w:rPr>
        <w:t xml:space="preserve">la disciplina para liderar proactiva y holísticamente a las organizaciones en respuesta a las fuerzas </w:t>
      </w:r>
      <w:proofErr w:type="spellStart"/>
      <w:r w:rsidRPr="001C3E10">
        <w:rPr>
          <w:rFonts w:asciiTheme="minorHAnsi" w:hAnsiTheme="minorHAnsi"/>
          <w:i/>
          <w:sz w:val="22"/>
          <w:szCs w:val="22"/>
        </w:rPr>
        <w:t>disruptoras</w:t>
      </w:r>
      <w:proofErr w:type="spellEnd"/>
      <w:r w:rsidRPr="001C3E10">
        <w:rPr>
          <w:rFonts w:asciiTheme="minorHAnsi" w:hAnsiTheme="minorHAnsi"/>
          <w:i/>
          <w:sz w:val="22"/>
          <w:szCs w:val="22"/>
        </w:rPr>
        <w:t>, al identificar y analizar la ejecución del cambio hacia la visión y los resultados de negocio esperados</w:t>
      </w:r>
      <w:r w:rsidRPr="001C3E10">
        <w:rPr>
          <w:rFonts w:asciiTheme="minorHAnsi" w:hAnsiTheme="minorHAnsi"/>
          <w:sz w:val="22"/>
          <w:szCs w:val="22"/>
        </w:rPr>
        <w:t>”. Como disciplina, la arquitectura empresarial tiene una orientación mucho mayor hacia el comportamiento de la organización completa, el negocio y TI, en vez de desarrollar un equipo maduro y experimentado de arquitectura empresarial con poco impacto positivo en la organización.</w:t>
      </w:r>
    </w:p>
    <w:p w14:paraId="473CD31E" w14:textId="77777777" w:rsidR="001628D8" w:rsidRDefault="001628D8" w:rsidP="001C3E10">
      <w:pPr>
        <w:spacing w:line="276" w:lineRule="auto"/>
        <w:jc w:val="both"/>
        <w:rPr>
          <w:rFonts w:asciiTheme="minorHAnsi" w:hAnsiTheme="minorHAnsi"/>
          <w:sz w:val="22"/>
          <w:szCs w:val="22"/>
        </w:rPr>
      </w:pPr>
    </w:p>
    <w:p w14:paraId="6DD002D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Cuando se habla en este documento de “madurez” en relación a arquitectura empresarial, se está hablando del nivel de integración que tiene en la organización como un todo. Esta valoración de madurez identifica los indicadores claves para la madurez, como están representados en la </w:t>
      </w:r>
      <w:r w:rsidRPr="001C3E10">
        <w:rPr>
          <w:rFonts w:asciiTheme="minorHAnsi" w:hAnsiTheme="minorHAnsi"/>
          <w:sz w:val="22"/>
          <w:szCs w:val="22"/>
        </w:rPr>
        <w:lastRenderedPageBreak/>
        <w:t xml:space="preserve">experiencia colectiva de </w:t>
      </w:r>
      <w:proofErr w:type="spellStart"/>
      <w:r w:rsidRPr="001C3E10">
        <w:rPr>
          <w:rFonts w:asciiTheme="minorHAnsi" w:hAnsiTheme="minorHAnsi"/>
          <w:sz w:val="22"/>
          <w:szCs w:val="22"/>
        </w:rPr>
        <w:t>Gartner</w:t>
      </w:r>
      <w:proofErr w:type="spellEnd"/>
      <w:r w:rsidRPr="001C3E10">
        <w:rPr>
          <w:rFonts w:asciiTheme="minorHAnsi" w:hAnsiTheme="minorHAnsi"/>
          <w:sz w:val="22"/>
          <w:szCs w:val="22"/>
        </w:rPr>
        <w:t xml:space="preserve"> en el trabajo con organizaciones que han desarrollado sus programas por más de 15 años.</w:t>
      </w:r>
    </w:p>
    <w:p w14:paraId="037BFDA5" w14:textId="77777777" w:rsidR="001628D8" w:rsidRDefault="001628D8" w:rsidP="001C3E10">
      <w:pPr>
        <w:spacing w:line="276" w:lineRule="auto"/>
        <w:jc w:val="both"/>
        <w:rPr>
          <w:rFonts w:asciiTheme="minorHAnsi" w:hAnsiTheme="minorHAnsi"/>
          <w:sz w:val="22"/>
          <w:szCs w:val="22"/>
        </w:rPr>
      </w:pPr>
    </w:p>
    <w:p w14:paraId="600A2675"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En las organizaciones maduras los programas de arquitectura empresarial con frecuencia inician dentro de la organización de TI, dado que muchos de los programas de EA han estado tradicionalmente enfocados en la arquitectura técnica como punto de venta. En la medida que el programa madura el foco cambia hacia la arquitectura de soluciones, de información y de negocio. Sin importar donde inicia es imprescindible que se enfoque primero en algunos entregables orientados a resultados de negocio, en vez de tratar de hacerlo todo a la vez. Luego el equipo de arquitectura empresarial puede enfocarse en las dimensiones de la arquitectura que son más importantes para su organización (tecnología, negocio, solución o información). Más importante aún, la arquitectura empresarial es más que TI. Es imposible moverse del nivel 1 al 5 en un solo salto. Los equipos deben adoptar un enfoque de “velocidad antes que amplitud, y amplitud antes que profundidad” para asegurar que están entregando valor desde el inicio.</w:t>
      </w:r>
    </w:p>
    <w:p w14:paraId="46BE4AF4" w14:textId="77777777" w:rsidR="001628D8" w:rsidRDefault="001628D8" w:rsidP="001C3E10">
      <w:pPr>
        <w:spacing w:line="276" w:lineRule="auto"/>
        <w:jc w:val="both"/>
        <w:rPr>
          <w:rFonts w:asciiTheme="minorHAnsi" w:hAnsiTheme="minorHAnsi"/>
          <w:sz w:val="22"/>
          <w:szCs w:val="22"/>
        </w:rPr>
      </w:pPr>
    </w:p>
    <w:p w14:paraId="00723870"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Esta herramienta de </w:t>
      </w:r>
      <w:proofErr w:type="spellStart"/>
      <w:r w:rsidRPr="001C3E10">
        <w:rPr>
          <w:rFonts w:asciiTheme="minorHAnsi" w:hAnsiTheme="minorHAnsi"/>
          <w:sz w:val="22"/>
          <w:szCs w:val="22"/>
        </w:rPr>
        <w:t>Gartner</w:t>
      </w:r>
      <w:proofErr w:type="spellEnd"/>
      <w:r w:rsidRPr="001C3E10">
        <w:rPr>
          <w:rFonts w:asciiTheme="minorHAnsi" w:hAnsiTheme="minorHAnsi"/>
          <w:sz w:val="22"/>
          <w:szCs w:val="22"/>
        </w:rPr>
        <w:t xml:space="preserve"> puede ser utilizada para:</w:t>
      </w:r>
    </w:p>
    <w:p w14:paraId="38EBE3AD" w14:textId="77777777" w:rsidR="001C3E10" w:rsidRPr="001C3E10" w:rsidRDefault="001C3E10" w:rsidP="00547B19">
      <w:pPr>
        <w:pStyle w:val="Prrafodelista"/>
        <w:numPr>
          <w:ilvl w:val="0"/>
          <w:numId w:val="48"/>
        </w:numPr>
        <w:spacing w:after="200" w:line="276" w:lineRule="auto"/>
        <w:rPr>
          <w:rFonts w:asciiTheme="minorHAnsi" w:hAnsiTheme="minorHAnsi"/>
          <w:sz w:val="22"/>
        </w:rPr>
      </w:pPr>
      <w:r w:rsidRPr="001C3E10">
        <w:rPr>
          <w:rFonts w:asciiTheme="minorHAnsi" w:hAnsiTheme="minorHAnsi"/>
          <w:sz w:val="22"/>
        </w:rPr>
        <w:t>Describir los indicadores claves para medir el avance en un programa de arquitectura empresarial.</w:t>
      </w:r>
    </w:p>
    <w:p w14:paraId="4C8A2629" w14:textId="77777777" w:rsidR="001C3E10" w:rsidRPr="001C3E10" w:rsidRDefault="001C3E10" w:rsidP="00547B19">
      <w:pPr>
        <w:pStyle w:val="Prrafodelista"/>
        <w:numPr>
          <w:ilvl w:val="0"/>
          <w:numId w:val="48"/>
        </w:numPr>
        <w:spacing w:after="200" w:line="276" w:lineRule="auto"/>
        <w:rPr>
          <w:rFonts w:asciiTheme="minorHAnsi" w:hAnsiTheme="minorHAnsi"/>
          <w:sz w:val="22"/>
        </w:rPr>
      </w:pPr>
      <w:r w:rsidRPr="001C3E10">
        <w:rPr>
          <w:rFonts w:asciiTheme="minorHAnsi" w:hAnsiTheme="minorHAnsi"/>
          <w:sz w:val="22"/>
        </w:rPr>
        <w:t xml:space="preserve">Hacer un </w:t>
      </w:r>
      <w:proofErr w:type="spellStart"/>
      <w:r w:rsidRPr="001C3E10">
        <w:rPr>
          <w:rFonts w:asciiTheme="minorHAnsi" w:hAnsiTheme="minorHAnsi"/>
          <w:i/>
          <w:sz w:val="22"/>
        </w:rPr>
        <w:t>benchmark</w:t>
      </w:r>
      <w:proofErr w:type="spellEnd"/>
      <w:r w:rsidRPr="001C3E10">
        <w:rPr>
          <w:rFonts w:asciiTheme="minorHAnsi" w:hAnsiTheme="minorHAnsi"/>
          <w:sz w:val="22"/>
        </w:rPr>
        <w:t xml:space="preserve"> contra las mejores prácticas.</w:t>
      </w:r>
    </w:p>
    <w:p w14:paraId="6AE6CEAE" w14:textId="77777777" w:rsidR="001C3E10" w:rsidRPr="001C3E10" w:rsidRDefault="001C3E10" w:rsidP="00547B19">
      <w:pPr>
        <w:pStyle w:val="Prrafodelista"/>
        <w:numPr>
          <w:ilvl w:val="0"/>
          <w:numId w:val="48"/>
        </w:numPr>
        <w:spacing w:after="200" w:line="276" w:lineRule="auto"/>
        <w:rPr>
          <w:rFonts w:asciiTheme="minorHAnsi" w:hAnsiTheme="minorHAnsi"/>
          <w:sz w:val="22"/>
        </w:rPr>
      </w:pPr>
      <w:r w:rsidRPr="001C3E10">
        <w:rPr>
          <w:rFonts w:asciiTheme="minorHAnsi" w:hAnsiTheme="minorHAnsi"/>
          <w:sz w:val="22"/>
        </w:rPr>
        <w:t>Identificar restricciones clave que inhiben el éxito de la arquitectura.</w:t>
      </w:r>
    </w:p>
    <w:p w14:paraId="3393D69B" w14:textId="77777777" w:rsidR="001C3E10" w:rsidRPr="001C3E10" w:rsidRDefault="001C3E10" w:rsidP="00547B19">
      <w:pPr>
        <w:pStyle w:val="Prrafodelista"/>
        <w:numPr>
          <w:ilvl w:val="0"/>
          <w:numId w:val="48"/>
        </w:numPr>
        <w:spacing w:after="200" w:line="276" w:lineRule="auto"/>
        <w:rPr>
          <w:rFonts w:asciiTheme="minorHAnsi" w:hAnsiTheme="minorHAnsi"/>
          <w:sz w:val="22"/>
        </w:rPr>
      </w:pPr>
      <w:r w:rsidRPr="001C3E10">
        <w:rPr>
          <w:rFonts w:asciiTheme="minorHAnsi" w:hAnsiTheme="minorHAnsi"/>
          <w:sz w:val="22"/>
        </w:rPr>
        <w:t>Determinar el objetivo de madurez en el programa de arquitectura empresarial para la próxima iteración en el ciclo de mejora continua.</w:t>
      </w:r>
    </w:p>
    <w:p w14:paraId="499CD9A4" w14:textId="77777777" w:rsidR="001C3E10" w:rsidRPr="001C3E10" w:rsidRDefault="001C3E10" w:rsidP="00547B19">
      <w:pPr>
        <w:pStyle w:val="Prrafodelista"/>
        <w:numPr>
          <w:ilvl w:val="0"/>
          <w:numId w:val="48"/>
        </w:numPr>
        <w:spacing w:after="200" w:line="276" w:lineRule="auto"/>
        <w:rPr>
          <w:rFonts w:asciiTheme="minorHAnsi" w:hAnsiTheme="minorHAnsi"/>
          <w:sz w:val="22"/>
        </w:rPr>
      </w:pPr>
      <w:r w:rsidRPr="001C3E10">
        <w:rPr>
          <w:rFonts w:asciiTheme="minorHAnsi" w:hAnsiTheme="minorHAnsi"/>
          <w:sz w:val="22"/>
        </w:rPr>
        <w:t>Concentrar el foco de los esfuerzos en el desarrollo del programa a las actividades de más alto valor.</w:t>
      </w:r>
    </w:p>
    <w:p w14:paraId="2156408C"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La siguiente figura muestra los niveles de madurez para la arquitectura empresarial, acorde con el modelo desarrollado por </w:t>
      </w:r>
      <w:proofErr w:type="spellStart"/>
      <w:r w:rsidRPr="001C3E10">
        <w:rPr>
          <w:rFonts w:asciiTheme="minorHAnsi" w:hAnsiTheme="minorHAnsi"/>
          <w:sz w:val="22"/>
          <w:szCs w:val="22"/>
        </w:rPr>
        <w:t>Gartner</w:t>
      </w:r>
      <w:proofErr w:type="spellEnd"/>
      <w:r w:rsidRPr="001C3E10">
        <w:rPr>
          <w:rFonts w:asciiTheme="minorHAnsi" w:hAnsiTheme="minorHAnsi"/>
          <w:sz w:val="22"/>
          <w:szCs w:val="22"/>
        </w:rPr>
        <w:t>.</w:t>
      </w:r>
    </w:p>
    <w:p w14:paraId="04F6F7C8" w14:textId="77777777" w:rsidR="001C3E10" w:rsidRPr="001C3E10" w:rsidRDefault="001C3E10" w:rsidP="00FD1297">
      <w:pPr>
        <w:spacing w:line="276" w:lineRule="auto"/>
        <w:jc w:val="center"/>
        <w:rPr>
          <w:rFonts w:asciiTheme="minorHAnsi" w:hAnsiTheme="minorHAnsi"/>
          <w:sz w:val="22"/>
          <w:szCs w:val="22"/>
        </w:rPr>
      </w:pPr>
      <w:r w:rsidRPr="001C3E10">
        <w:rPr>
          <w:rFonts w:asciiTheme="minorHAnsi" w:hAnsiTheme="minorHAnsi"/>
          <w:noProof/>
          <w:sz w:val="22"/>
          <w:szCs w:val="22"/>
        </w:rPr>
        <w:lastRenderedPageBreak/>
        <w:drawing>
          <wp:inline distT="0" distB="0" distL="0" distR="0" wp14:anchorId="2812BD7A" wp14:editId="71FBA9BD">
            <wp:extent cx="4419600" cy="3180932"/>
            <wp:effectExtent l="0" t="0" r="0" b="635"/>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4420040" cy="3181249"/>
                    </a:xfrm>
                    <a:prstGeom prst="rect">
                      <a:avLst/>
                    </a:prstGeom>
                  </pic:spPr>
                </pic:pic>
              </a:graphicData>
            </a:graphic>
          </wp:inline>
        </w:drawing>
      </w:r>
    </w:p>
    <w:p w14:paraId="54D09110" w14:textId="77777777" w:rsidR="001628D8" w:rsidRDefault="001628D8" w:rsidP="001C3E10">
      <w:pPr>
        <w:spacing w:line="276" w:lineRule="auto"/>
        <w:jc w:val="both"/>
        <w:rPr>
          <w:rFonts w:asciiTheme="minorHAnsi" w:hAnsiTheme="minorHAnsi"/>
          <w:sz w:val="22"/>
          <w:szCs w:val="22"/>
        </w:rPr>
      </w:pPr>
    </w:p>
    <w:p w14:paraId="118C5A9F"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A continuación se explica brevemente cada uno.</w:t>
      </w:r>
    </w:p>
    <w:p w14:paraId="507D4A9F"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b/>
          <w:sz w:val="22"/>
          <w:szCs w:val="22"/>
        </w:rPr>
        <w:t>Nivel 1: No existente.</w:t>
      </w:r>
      <w:r w:rsidRPr="001C3E10">
        <w:rPr>
          <w:rFonts w:asciiTheme="minorHAnsi" w:hAnsiTheme="minorHAnsi"/>
          <w:sz w:val="22"/>
          <w:szCs w:val="22"/>
        </w:rPr>
        <w:t xml:space="preserve"> No hay un programa de arquitectura empresarial en funcionamiento o el programa está apenas empezando. En este nivel de madurez, el compromiso del negocio y la habilidad para balancear intereses que compiten entre sí son, en el mejor escenario, rudimentarios. El trabajo arquitectónico está usualmente confinado a resolver asuntos de naturaleza técnica de TI.</w:t>
      </w:r>
    </w:p>
    <w:p w14:paraId="71A48CD3"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b/>
          <w:sz w:val="22"/>
          <w:szCs w:val="22"/>
        </w:rPr>
        <w:t xml:space="preserve">Nivel 2: Reactivo. </w:t>
      </w:r>
      <w:r w:rsidRPr="001C3E10">
        <w:rPr>
          <w:rFonts w:asciiTheme="minorHAnsi" w:hAnsiTheme="minorHAnsi"/>
          <w:sz w:val="22"/>
          <w:szCs w:val="22"/>
        </w:rPr>
        <w:t>Para las empresas en este nivel, el programa de arquitectura empresarial está luchando por convertirse en exitoso y está inhibido por una falta de madurez en múltiples aspectos claves del programa. Un programa de arquitectura empresarial está en funcionamiento pero es ineficiente debido a la debilidad en varias de las dimensiones de madurez. El trabajo arquitectónico es predominantemente reactivo y trata puntos de dolor de la organización en vez de ser proactivo a la dirección de la arquitectura.</w:t>
      </w:r>
    </w:p>
    <w:p w14:paraId="50BB7D67"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b/>
          <w:sz w:val="22"/>
          <w:szCs w:val="22"/>
        </w:rPr>
        <w:t xml:space="preserve">Nivel 3: En funcionamiento. </w:t>
      </w:r>
      <w:r w:rsidRPr="001C3E10">
        <w:rPr>
          <w:rFonts w:asciiTheme="minorHAnsi" w:hAnsiTheme="minorHAnsi"/>
          <w:sz w:val="22"/>
          <w:szCs w:val="22"/>
        </w:rPr>
        <w:t>Existe un programa de arquitectura empresarial en funcionamiento y entregando valor al negocio. Las organizaciones en este nivel ya tienen muchas de las cosas básicas en funcionamiento, sin embargo, no tienen procesos repetibles y manejables para asegurar el éxito en el largo plazo y el balance entre los intereses que compiten entre sí.</w:t>
      </w:r>
    </w:p>
    <w:p w14:paraId="43C6B0E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b/>
          <w:sz w:val="22"/>
          <w:szCs w:val="22"/>
        </w:rPr>
        <w:t xml:space="preserve">Nivel 4: Integrado. </w:t>
      </w:r>
      <w:r w:rsidRPr="001C3E10">
        <w:rPr>
          <w:rFonts w:asciiTheme="minorHAnsi" w:hAnsiTheme="minorHAnsi"/>
          <w:sz w:val="22"/>
          <w:szCs w:val="22"/>
        </w:rPr>
        <w:t>El programa de arquitectura empresarial está entregando valor y es repetible. El programa en las organizaciones en este nivel está corriendo como “una máquina bien aceitada” y tiene un impacto positivo consistente en la organización. Está integrado con muchas áreas de la organización.</w:t>
      </w:r>
    </w:p>
    <w:p w14:paraId="387DA1FA"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b/>
          <w:sz w:val="22"/>
          <w:szCs w:val="22"/>
        </w:rPr>
        <w:t xml:space="preserve">Nivel 5: Ubicuo. </w:t>
      </w:r>
      <w:r w:rsidRPr="001C3E10">
        <w:rPr>
          <w:rFonts w:asciiTheme="minorHAnsi" w:hAnsiTheme="minorHAnsi"/>
          <w:sz w:val="22"/>
          <w:szCs w:val="22"/>
        </w:rPr>
        <w:t xml:space="preserve">Este nivel indica que el programa ha alcanzado un alto nivel de madurez en término de su efectividad para alcanzar y permitir los resultados del negocio. Los principios arquitectónicos han llegado a ser parte del ADN general de la organización. Hoy en día, son pocas las organizaciones que han alcanzado este nivel de compromiso con la arquitectura en el negocio y la organización de </w:t>
      </w:r>
      <w:r w:rsidRPr="001C3E10">
        <w:rPr>
          <w:rFonts w:asciiTheme="minorHAnsi" w:hAnsiTheme="minorHAnsi"/>
          <w:sz w:val="22"/>
          <w:szCs w:val="22"/>
        </w:rPr>
        <w:lastRenderedPageBreak/>
        <w:t>TI, principalmente debido a que son necesarios muchos años de experiencia para alcanzar los cambios culturales necesarios.</w:t>
      </w:r>
    </w:p>
    <w:p w14:paraId="46BBCAAA"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287" w:name="_Ref408241636"/>
      <w:bookmarkStart w:id="288" w:name="_Ref408241649"/>
      <w:bookmarkStart w:id="289" w:name="_Toc414532028"/>
      <w:bookmarkStart w:id="290" w:name="_Toc429555171"/>
      <w:bookmarkStart w:id="291" w:name="_Toc429562813"/>
      <w:bookmarkStart w:id="292" w:name="_Toc429563123"/>
      <w:bookmarkStart w:id="293" w:name="_Toc429563278"/>
      <w:bookmarkStart w:id="294" w:name="_Toc442253260"/>
      <w:r w:rsidRPr="001C3E10">
        <w:rPr>
          <w:rFonts w:asciiTheme="minorHAnsi" w:hAnsiTheme="minorHAnsi"/>
          <w:sz w:val="22"/>
          <w:szCs w:val="22"/>
        </w:rPr>
        <w:t>Gestión del portafolio de aplicaciones de software</w:t>
      </w:r>
      <w:bookmarkEnd w:id="287"/>
      <w:bookmarkEnd w:id="288"/>
      <w:bookmarkEnd w:id="289"/>
      <w:bookmarkEnd w:id="290"/>
      <w:bookmarkEnd w:id="291"/>
      <w:bookmarkEnd w:id="292"/>
      <w:bookmarkEnd w:id="293"/>
      <w:bookmarkEnd w:id="294"/>
    </w:p>
    <w:p w14:paraId="2D5AA33E"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Toda organización moderna tiene sistemas informáticos que soportan la operación del negocio. El conjunto de esos sistemas es lo que se conoce con el nombre de portafolio de aplicaciones. La forma en la que ese portafolio se administre es de vital importancia para asegurar la continuidad de las operaciones, reducir costos de operación y tener la facultad de actuar rápidamente de cara a las oportunidades que se presentan. A modo de ejemplo, la racionalización del portafolio, es decir, definir una estrategia para los sistemas que tienen un mismo fin (eliminar alguna, fundir la funcionalidad de ambos sistemas en uno nuevo, entre las varias estrategias que se pueden analizar), genera una reducción de los costos de operación del negocio. Estadísticas de la consultora IDC indican que el 90% del costo total de propiedad de un sistema está en los gastos operativos por lo que los beneficios de una adecuada administración de este portafolio son más que evidentes.</w:t>
      </w:r>
    </w:p>
    <w:p w14:paraId="6059EFF2" w14:textId="77777777" w:rsidR="001628D8" w:rsidRDefault="001628D8" w:rsidP="001C3E10">
      <w:pPr>
        <w:spacing w:line="276" w:lineRule="auto"/>
        <w:jc w:val="both"/>
        <w:rPr>
          <w:rFonts w:asciiTheme="minorHAnsi" w:hAnsiTheme="minorHAnsi"/>
          <w:sz w:val="22"/>
          <w:szCs w:val="22"/>
        </w:rPr>
      </w:pPr>
    </w:p>
    <w:p w14:paraId="09353FF1"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La administración del portafolio de aplicaciones (APM por sus siglas en inglés) es un proceso que busca mejorar el balance en el portafolio de aplicaciones al optimizar los pros y contras bajo las perspectivas de valor al negocio, costo y riesgo. El APM utiliza en específico dos herramientas para lograr ese cometido: el Pace </w:t>
      </w:r>
      <w:proofErr w:type="spellStart"/>
      <w:r w:rsidRPr="001C3E10">
        <w:rPr>
          <w:rFonts w:asciiTheme="minorHAnsi" w:hAnsiTheme="minorHAnsi"/>
          <w:sz w:val="22"/>
          <w:szCs w:val="22"/>
        </w:rPr>
        <w:t>Layering</w:t>
      </w:r>
      <w:proofErr w:type="spellEnd"/>
      <w:r w:rsidRPr="001C3E10">
        <w:rPr>
          <w:rFonts w:asciiTheme="minorHAnsi" w:hAnsiTheme="minorHAnsi"/>
          <w:sz w:val="22"/>
          <w:szCs w:val="22"/>
        </w:rPr>
        <w:t xml:space="preserve"> y el TIME. A continuación se explica cada una.</w:t>
      </w:r>
    </w:p>
    <w:p w14:paraId="5AE2BFCA"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295" w:name="_Toc429555172"/>
      <w:bookmarkStart w:id="296" w:name="_Toc429562814"/>
      <w:bookmarkStart w:id="297" w:name="_Toc429563124"/>
      <w:bookmarkStart w:id="298" w:name="_Toc429563279"/>
      <w:bookmarkStart w:id="299" w:name="_Toc442253261"/>
      <w:r w:rsidRPr="001C3E10">
        <w:rPr>
          <w:rFonts w:asciiTheme="minorHAnsi" w:hAnsiTheme="minorHAnsi"/>
          <w:sz w:val="22"/>
          <w:szCs w:val="22"/>
        </w:rPr>
        <w:t xml:space="preserve">El modelo Pace </w:t>
      </w:r>
      <w:proofErr w:type="spellStart"/>
      <w:r w:rsidRPr="001C3E10">
        <w:rPr>
          <w:rFonts w:asciiTheme="minorHAnsi" w:hAnsiTheme="minorHAnsi"/>
          <w:sz w:val="22"/>
          <w:szCs w:val="22"/>
        </w:rPr>
        <w:t>Layered</w:t>
      </w:r>
      <w:bookmarkEnd w:id="295"/>
      <w:bookmarkEnd w:id="296"/>
      <w:bookmarkEnd w:id="297"/>
      <w:bookmarkEnd w:id="298"/>
      <w:bookmarkEnd w:id="299"/>
      <w:proofErr w:type="spellEnd"/>
    </w:p>
    <w:p w14:paraId="47E48DE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Este modelo presenta una vista en capas del portafolio de aplicaciones. Cada capa (y por lo tanto los sistemas en cada una de ellas) tiene características diferentes en lo que a la frecuencia y velocidad del cambio se refiere. Esas diferencias llevan a la definición de estrategias particulares, modelos de gobernabilidad, entre otros, específicos para cada capa, como se verá más adelante. La siguiente figura muestra las capas un modelo de estos adaptado al tipo de organización que es el Banco Central, una entidad pública.</w:t>
      </w:r>
    </w:p>
    <w:p w14:paraId="26250235" w14:textId="77777777" w:rsidR="001C3E10" w:rsidRPr="001C3E10" w:rsidRDefault="001C3E10" w:rsidP="00FD1297">
      <w:pPr>
        <w:spacing w:line="276" w:lineRule="auto"/>
        <w:jc w:val="center"/>
        <w:rPr>
          <w:rFonts w:asciiTheme="minorHAnsi" w:hAnsiTheme="minorHAnsi"/>
          <w:sz w:val="22"/>
          <w:szCs w:val="22"/>
        </w:rPr>
      </w:pPr>
      <w:r w:rsidRPr="001C3E10">
        <w:rPr>
          <w:rFonts w:asciiTheme="minorHAnsi" w:hAnsiTheme="minorHAnsi"/>
          <w:noProof/>
          <w:sz w:val="22"/>
          <w:szCs w:val="22"/>
        </w:rPr>
        <w:drawing>
          <wp:inline distT="0" distB="0" distL="0" distR="0" wp14:anchorId="5EABAF3F" wp14:editId="7B6ED9D3">
            <wp:extent cx="2486025" cy="1798293"/>
            <wp:effectExtent l="0" t="0" r="0" b="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2486341" cy="1798522"/>
                    </a:xfrm>
                    <a:prstGeom prst="rect">
                      <a:avLst/>
                    </a:prstGeom>
                  </pic:spPr>
                </pic:pic>
              </a:graphicData>
            </a:graphic>
          </wp:inline>
        </w:drawing>
      </w:r>
    </w:p>
    <w:p w14:paraId="75570EA6" w14:textId="77777777" w:rsidR="001628D8" w:rsidRDefault="001628D8" w:rsidP="001C3E10">
      <w:pPr>
        <w:spacing w:line="276" w:lineRule="auto"/>
        <w:jc w:val="both"/>
        <w:rPr>
          <w:rFonts w:asciiTheme="minorHAnsi" w:hAnsiTheme="minorHAnsi"/>
          <w:sz w:val="22"/>
          <w:szCs w:val="22"/>
        </w:rPr>
      </w:pPr>
    </w:p>
    <w:p w14:paraId="27D9DA30" w14:textId="77777777" w:rsidR="001628D8" w:rsidRDefault="001628D8" w:rsidP="001C3E10">
      <w:pPr>
        <w:spacing w:line="276" w:lineRule="auto"/>
        <w:jc w:val="both"/>
        <w:rPr>
          <w:rFonts w:asciiTheme="minorHAnsi" w:hAnsiTheme="minorHAnsi"/>
          <w:sz w:val="22"/>
          <w:szCs w:val="22"/>
        </w:rPr>
      </w:pPr>
    </w:p>
    <w:p w14:paraId="74D26791"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A continuación se hace una breve descripción de cada capa.</w:t>
      </w:r>
    </w:p>
    <w:p w14:paraId="46DC2E58"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lastRenderedPageBreak/>
        <w:t>Sistemas de registro</w:t>
      </w:r>
    </w:p>
    <w:p w14:paraId="07EACBCD"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Esta capa contiene los sistemas de paquete o los sistemas legados desarrollados en casa que soportan el procesamiento de las transacciones </w:t>
      </w:r>
      <w:proofErr w:type="spellStart"/>
      <w:r w:rsidRPr="001C3E10">
        <w:rPr>
          <w:rFonts w:asciiTheme="minorHAnsi" w:hAnsiTheme="minorHAnsi"/>
          <w:i/>
          <w:sz w:val="22"/>
          <w:szCs w:val="22"/>
        </w:rPr>
        <w:t>core</w:t>
      </w:r>
      <w:proofErr w:type="spellEnd"/>
      <w:r w:rsidRPr="001C3E10">
        <w:rPr>
          <w:rFonts w:asciiTheme="minorHAnsi" w:hAnsiTheme="minorHAnsi"/>
          <w:sz w:val="22"/>
          <w:szCs w:val="22"/>
        </w:rPr>
        <w:t xml:space="preserve"> del negocio y administran los datos maestros críticos de la organización. Ejemplos de sistemas en esta capa son los sistemas financiero-contables y de recursos humanos, que tradicionalmente forman parte de un ERP.</w:t>
      </w:r>
    </w:p>
    <w:p w14:paraId="5599252E"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Sistemas únicos</w:t>
      </w:r>
    </w:p>
    <w:p w14:paraId="6F3427E8"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Estos son sistemas típicamente relacionados con la misión del ente gubernamental particular, por lo que es muy difícil, sino imposible, que otros entes tengan los mismos sistemas. En el caso del Banco, un sistema de este tipo es </w:t>
      </w:r>
      <w:proofErr w:type="spellStart"/>
      <w:r w:rsidRPr="001C3E10">
        <w:rPr>
          <w:rFonts w:asciiTheme="minorHAnsi" w:hAnsiTheme="minorHAnsi"/>
          <w:sz w:val="22"/>
          <w:szCs w:val="22"/>
        </w:rPr>
        <w:t>Findur</w:t>
      </w:r>
      <w:proofErr w:type="spellEnd"/>
      <w:r w:rsidRPr="001C3E10">
        <w:rPr>
          <w:rFonts w:asciiTheme="minorHAnsi" w:hAnsiTheme="minorHAnsi"/>
          <w:sz w:val="22"/>
          <w:szCs w:val="22"/>
        </w:rPr>
        <w:t>. El SINPE es otro en esta misma línea.</w:t>
      </w:r>
    </w:p>
    <w:p w14:paraId="3EEBD316"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Sistemas de innovación</w:t>
      </w:r>
    </w:p>
    <w:p w14:paraId="780DCABB"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Estos son nuevos sistemas que son construidos rápidamente para lidiar con nuevos requerimientos de negocio u oportunidades. Estos proyectos tienen un ciclo de vida relativamente corto (de cero a 12 meses) usando por lo general recursos y personas externos a la organización y tecnologías orientados al consumidor.</w:t>
      </w:r>
    </w:p>
    <w:p w14:paraId="6B941BDB" w14:textId="77777777" w:rsidR="001628D8" w:rsidRDefault="001628D8" w:rsidP="001C3E10">
      <w:pPr>
        <w:spacing w:line="276" w:lineRule="auto"/>
        <w:jc w:val="both"/>
        <w:rPr>
          <w:rFonts w:asciiTheme="minorHAnsi" w:hAnsiTheme="minorHAnsi"/>
          <w:sz w:val="22"/>
          <w:szCs w:val="22"/>
        </w:rPr>
      </w:pPr>
    </w:p>
    <w:p w14:paraId="44275CAC" w14:textId="77777777" w:rsid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 siguiente tabla define en mejor forma las características de cada capa.</w:t>
      </w:r>
    </w:p>
    <w:p w14:paraId="2BFD9825" w14:textId="77777777" w:rsidR="001628D8" w:rsidRPr="001C3E10" w:rsidRDefault="001628D8" w:rsidP="001C3E10">
      <w:pPr>
        <w:spacing w:line="276" w:lineRule="auto"/>
        <w:jc w:val="both"/>
        <w:rPr>
          <w:rFonts w:asciiTheme="minorHAnsi" w:hAnsiTheme="minorHAnsi"/>
          <w:sz w:val="22"/>
          <w:szCs w:val="22"/>
        </w:rPr>
      </w:pPr>
    </w:p>
    <w:tbl>
      <w:tblPr>
        <w:tblStyle w:val="Sombreadoclaro-nfasis1"/>
        <w:tblW w:w="0" w:type="auto"/>
        <w:tblLook w:val="04A0" w:firstRow="1" w:lastRow="0" w:firstColumn="1" w:lastColumn="0" w:noHBand="0" w:noVBand="1"/>
      </w:tblPr>
      <w:tblGrid>
        <w:gridCol w:w="2161"/>
        <w:gridCol w:w="2161"/>
        <w:gridCol w:w="2161"/>
        <w:gridCol w:w="2161"/>
      </w:tblGrid>
      <w:tr w:rsidR="001C3E10" w:rsidRPr="001C3E10" w14:paraId="593EC375" w14:textId="77777777" w:rsidTr="00FD129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61" w:type="dxa"/>
          </w:tcPr>
          <w:p w14:paraId="351B0C53" w14:textId="77777777" w:rsidR="001C3E10" w:rsidRPr="001C3E10" w:rsidRDefault="001C3E10" w:rsidP="001C3E10">
            <w:pPr>
              <w:spacing w:line="276" w:lineRule="auto"/>
              <w:jc w:val="both"/>
              <w:rPr>
                <w:sz w:val="22"/>
                <w:szCs w:val="22"/>
              </w:rPr>
            </w:pPr>
            <w:r w:rsidRPr="001C3E10">
              <w:rPr>
                <w:sz w:val="22"/>
                <w:szCs w:val="22"/>
              </w:rPr>
              <w:t>Característica</w:t>
            </w:r>
          </w:p>
        </w:tc>
        <w:tc>
          <w:tcPr>
            <w:tcW w:w="2161" w:type="dxa"/>
          </w:tcPr>
          <w:p w14:paraId="69B49DD2" w14:textId="77777777" w:rsidR="001C3E10" w:rsidRPr="001C3E10" w:rsidRDefault="001C3E10" w:rsidP="001C3E10">
            <w:pPr>
              <w:spacing w:line="276" w:lineRule="auto"/>
              <w:jc w:val="both"/>
              <w:cnfStyle w:val="100000000000" w:firstRow="1" w:lastRow="0" w:firstColumn="0" w:lastColumn="0" w:oddVBand="0" w:evenVBand="0" w:oddHBand="0" w:evenHBand="0" w:firstRowFirstColumn="0" w:firstRowLastColumn="0" w:lastRowFirstColumn="0" w:lastRowLastColumn="0"/>
              <w:rPr>
                <w:sz w:val="22"/>
                <w:szCs w:val="22"/>
              </w:rPr>
            </w:pPr>
            <w:r w:rsidRPr="001C3E10">
              <w:rPr>
                <w:sz w:val="22"/>
                <w:szCs w:val="22"/>
              </w:rPr>
              <w:t>Registro</w:t>
            </w:r>
          </w:p>
        </w:tc>
        <w:tc>
          <w:tcPr>
            <w:tcW w:w="2161" w:type="dxa"/>
          </w:tcPr>
          <w:p w14:paraId="5117810B" w14:textId="77777777" w:rsidR="001C3E10" w:rsidRPr="001C3E10" w:rsidRDefault="001C3E10" w:rsidP="001C3E10">
            <w:pPr>
              <w:spacing w:line="276" w:lineRule="auto"/>
              <w:jc w:val="both"/>
              <w:cnfStyle w:val="100000000000" w:firstRow="1" w:lastRow="0" w:firstColumn="0" w:lastColumn="0" w:oddVBand="0" w:evenVBand="0" w:oddHBand="0" w:evenHBand="0" w:firstRowFirstColumn="0" w:firstRowLastColumn="0" w:lastRowFirstColumn="0" w:lastRowLastColumn="0"/>
              <w:rPr>
                <w:sz w:val="22"/>
                <w:szCs w:val="22"/>
              </w:rPr>
            </w:pPr>
            <w:r w:rsidRPr="001C3E10">
              <w:rPr>
                <w:sz w:val="22"/>
                <w:szCs w:val="22"/>
              </w:rPr>
              <w:t>Único</w:t>
            </w:r>
          </w:p>
        </w:tc>
        <w:tc>
          <w:tcPr>
            <w:tcW w:w="2161" w:type="dxa"/>
          </w:tcPr>
          <w:p w14:paraId="0DBE513A" w14:textId="77777777" w:rsidR="001C3E10" w:rsidRPr="001C3E10" w:rsidRDefault="001C3E10" w:rsidP="001C3E10">
            <w:pPr>
              <w:spacing w:line="276" w:lineRule="auto"/>
              <w:jc w:val="both"/>
              <w:cnfStyle w:val="100000000000" w:firstRow="1" w:lastRow="0" w:firstColumn="0" w:lastColumn="0" w:oddVBand="0" w:evenVBand="0" w:oddHBand="0" w:evenHBand="0" w:firstRowFirstColumn="0" w:firstRowLastColumn="0" w:lastRowFirstColumn="0" w:lastRowLastColumn="0"/>
              <w:rPr>
                <w:sz w:val="22"/>
                <w:szCs w:val="22"/>
              </w:rPr>
            </w:pPr>
            <w:r w:rsidRPr="001C3E10">
              <w:rPr>
                <w:sz w:val="22"/>
                <w:szCs w:val="22"/>
              </w:rPr>
              <w:t>Innovación</w:t>
            </w:r>
          </w:p>
        </w:tc>
      </w:tr>
      <w:tr w:rsidR="001C3E10" w:rsidRPr="001C3E10" w14:paraId="6C75A134" w14:textId="77777777" w:rsidTr="007C37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1" w:type="dxa"/>
          </w:tcPr>
          <w:p w14:paraId="57DD51D8" w14:textId="77777777" w:rsidR="001C3E10" w:rsidRPr="001C3E10" w:rsidRDefault="001C3E10" w:rsidP="001C3E10">
            <w:pPr>
              <w:spacing w:line="276" w:lineRule="auto"/>
              <w:jc w:val="both"/>
              <w:rPr>
                <w:sz w:val="22"/>
                <w:szCs w:val="22"/>
              </w:rPr>
            </w:pPr>
            <w:r w:rsidRPr="001C3E10">
              <w:rPr>
                <w:sz w:val="22"/>
                <w:szCs w:val="22"/>
              </w:rPr>
              <w:t>Procesos</w:t>
            </w:r>
          </w:p>
        </w:tc>
        <w:tc>
          <w:tcPr>
            <w:tcW w:w="2161" w:type="dxa"/>
          </w:tcPr>
          <w:p w14:paraId="6099AC59" w14:textId="77777777" w:rsidR="001C3E10" w:rsidRPr="001C3E10"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1C3E10">
              <w:rPr>
                <w:sz w:val="22"/>
                <w:szCs w:val="22"/>
              </w:rPr>
              <w:t>Bien entendidos, cambio lento, altamente integrados</w:t>
            </w:r>
          </w:p>
        </w:tc>
        <w:tc>
          <w:tcPr>
            <w:tcW w:w="2161" w:type="dxa"/>
          </w:tcPr>
          <w:p w14:paraId="0275CD38" w14:textId="77777777" w:rsidR="001C3E10" w:rsidRPr="001C3E10"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1C3E10">
              <w:rPr>
                <w:sz w:val="22"/>
                <w:szCs w:val="22"/>
              </w:rPr>
              <w:t>Bien entendidos, únicos, altamente configurables, autónomos</w:t>
            </w:r>
          </w:p>
        </w:tc>
        <w:tc>
          <w:tcPr>
            <w:tcW w:w="2161" w:type="dxa"/>
          </w:tcPr>
          <w:p w14:paraId="7C4E8C9F" w14:textId="77777777" w:rsidR="001C3E10" w:rsidRPr="001C3E10"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i/>
                <w:sz w:val="22"/>
                <w:szCs w:val="22"/>
              </w:rPr>
            </w:pPr>
            <w:r w:rsidRPr="001C3E10">
              <w:rPr>
                <w:sz w:val="22"/>
                <w:szCs w:val="22"/>
              </w:rPr>
              <w:t xml:space="preserve">Únicos, no muy bien entendidos, dinámicos y </w:t>
            </w:r>
            <w:r w:rsidRPr="001C3E10">
              <w:rPr>
                <w:i/>
                <w:sz w:val="22"/>
                <w:szCs w:val="22"/>
              </w:rPr>
              <w:t>ad hoc</w:t>
            </w:r>
          </w:p>
        </w:tc>
      </w:tr>
      <w:tr w:rsidR="001C3E10" w:rsidRPr="001C3E10" w14:paraId="38CF9BD9" w14:textId="77777777" w:rsidTr="007C372E">
        <w:tc>
          <w:tcPr>
            <w:cnfStyle w:val="001000000000" w:firstRow="0" w:lastRow="0" w:firstColumn="1" w:lastColumn="0" w:oddVBand="0" w:evenVBand="0" w:oddHBand="0" w:evenHBand="0" w:firstRowFirstColumn="0" w:firstRowLastColumn="0" w:lastRowFirstColumn="0" w:lastRowLastColumn="0"/>
            <w:tcW w:w="2161" w:type="dxa"/>
          </w:tcPr>
          <w:p w14:paraId="77B638F4" w14:textId="77777777" w:rsidR="001C3E10" w:rsidRPr="001C3E10" w:rsidRDefault="001C3E10" w:rsidP="001C3E10">
            <w:pPr>
              <w:spacing w:line="276" w:lineRule="auto"/>
              <w:jc w:val="both"/>
              <w:rPr>
                <w:sz w:val="22"/>
                <w:szCs w:val="22"/>
              </w:rPr>
            </w:pPr>
            <w:r w:rsidRPr="001C3E10">
              <w:rPr>
                <w:sz w:val="22"/>
                <w:szCs w:val="22"/>
              </w:rPr>
              <w:t>Datos</w:t>
            </w:r>
          </w:p>
        </w:tc>
        <w:tc>
          <w:tcPr>
            <w:tcW w:w="2161" w:type="dxa"/>
          </w:tcPr>
          <w:p w14:paraId="24B3EC97" w14:textId="77777777" w:rsidR="001C3E10" w:rsidRPr="001C3E10"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1C3E10">
              <w:rPr>
                <w:sz w:val="22"/>
                <w:szCs w:val="22"/>
              </w:rPr>
              <w:t>Altamente estructurados, bien mantenidos, principalmente internos, auditados</w:t>
            </w:r>
          </w:p>
        </w:tc>
        <w:tc>
          <w:tcPr>
            <w:tcW w:w="2161" w:type="dxa"/>
          </w:tcPr>
          <w:p w14:paraId="258831C0" w14:textId="77777777" w:rsidR="001C3E10" w:rsidRPr="001C3E10"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1C3E10">
              <w:rPr>
                <w:sz w:val="22"/>
                <w:szCs w:val="22"/>
              </w:rPr>
              <w:t>Internos y externos, algunos no estructurados, más dinámicos</w:t>
            </w:r>
          </w:p>
        </w:tc>
        <w:tc>
          <w:tcPr>
            <w:tcW w:w="2161" w:type="dxa"/>
          </w:tcPr>
          <w:p w14:paraId="74E964DE" w14:textId="77777777" w:rsidR="001C3E10" w:rsidRPr="001C3E10"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1C3E10">
              <w:rPr>
                <w:sz w:val="22"/>
                <w:szCs w:val="22"/>
              </w:rPr>
              <w:t>Estructurados y no estructurados, alta dependencia en datos externos</w:t>
            </w:r>
          </w:p>
        </w:tc>
      </w:tr>
      <w:tr w:rsidR="001C3E10" w:rsidRPr="001C3E10" w14:paraId="7E93DA73" w14:textId="77777777" w:rsidTr="007C37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1" w:type="dxa"/>
          </w:tcPr>
          <w:p w14:paraId="0F9AAFC6" w14:textId="77777777" w:rsidR="001C3E10" w:rsidRPr="001C3E10" w:rsidRDefault="001C3E10" w:rsidP="001C3E10">
            <w:pPr>
              <w:spacing w:line="276" w:lineRule="auto"/>
              <w:jc w:val="both"/>
              <w:rPr>
                <w:sz w:val="22"/>
                <w:szCs w:val="22"/>
              </w:rPr>
            </w:pPr>
            <w:r w:rsidRPr="001C3E10">
              <w:rPr>
                <w:sz w:val="22"/>
                <w:szCs w:val="22"/>
              </w:rPr>
              <w:t>Contenido</w:t>
            </w:r>
          </w:p>
        </w:tc>
        <w:tc>
          <w:tcPr>
            <w:tcW w:w="2161" w:type="dxa"/>
          </w:tcPr>
          <w:p w14:paraId="3C55ED89" w14:textId="77777777" w:rsidR="001C3E10" w:rsidRPr="001C3E10"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1C3E10">
              <w:rPr>
                <w:sz w:val="22"/>
                <w:szCs w:val="22"/>
              </w:rPr>
              <w:t>Estático/estable</w:t>
            </w:r>
          </w:p>
        </w:tc>
        <w:tc>
          <w:tcPr>
            <w:tcW w:w="2161" w:type="dxa"/>
          </w:tcPr>
          <w:p w14:paraId="478679DC" w14:textId="77777777" w:rsidR="001C3E10" w:rsidRPr="001C3E10"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1C3E10">
              <w:rPr>
                <w:sz w:val="22"/>
                <w:szCs w:val="22"/>
              </w:rPr>
              <w:t>Ambos</w:t>
            </w:r>
          </w:p>
        </w:tc>
        <w:tc>
          <w:tcPr>
            <w:tcW w:w="2161" w:type="dxa"/>
          </w:tcPr>
          <w:p w14:paraId="0CFDC5A4" w14:textId="77777777" w:rsidR="001C3E10" w:rsidRPr="001C3E10"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1C3E10">
              <w:rPr>
                <w:sz w:val="22"/>
                <w:szCs w:val="22"/>
              </w:rPr>
              <w:t>Dinámicos</w:t>
            </w:r>
          </w:p>
        </w:tc>
      </w:tr>
      <w:tr w:rsidR="001C3E10" w:rsidRPr="001C3E10" w14:paraId="19CA3F74" w14:textId="77777777" w:rsidTr="007C372E">
        <w:tc>
          <w:tcPr>
            <w:cnfStyle w:val="001000000000" w:firstRow="0" w:lastRow="0" w:firstColumn="1" w:lastColumn="0" w:oddVBand="0" w:evenVBand="0" w:oddHBand="0" w:evenHBand="0" w:firstRowFirstColumn="0" w:firstRowLastColumn="0" w:lastRowFirstColumn="0" w:lastRowLastColumn="0"/>
            <w:tcW w:w="2161" w:type="dxa"/>
          </w:tcPr>
          <w:p w14:paraId="09305E9F" w14:textId="77777777" w:rsidR="001C3E10" w:rsidRPr="001C3E10" w:rsidRDefault="001C3E10" w:rsidP="001C3E10">
            <w:pPr>
              <w:spacing w:line="276" w:lineRule="auto"/>
              <w:jc w:val="both"/>
              <w:rPr>
                <w:sz w:val="22"/>
                <w:szCs w:val="22"/>
              </w:rPr>
            </w:pPr>
            <w:r w:rsidRPr="001C3E10">
              <w:rPr>
                <w:sz w:val="22"/>
                <w:szCs w:val="22"/>
              </w:rPr>
              <w:t>Herramientas de análisis</w:t>
            </w:r>
          </w:p>
        </w:tc>
        <w:tc>
          <w:tcPr>
            <w:tcW w:w="2161" w:type="dxa"/>
          </w:tcPr>
          <w:p w14:paraId="1FAAC285" w14:textId="77777777" w:rsidR="001C3E10" w:rsidRPr="001C3E10"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1C3E10">
              <w:rPr>
                <w:sz w:val="22"/>
                <w:szCs w:val="22"/>
              </w:rPr>
              <w:t>Reportes, históricos</w:t>
            </w:r>
          </w:p>
        </w:tc>
        <w:tc>
          <w:tcPr>
            <w:tcW w:w="2161" w:type="dxa"/>
          </w:tcPr>
          <w:p w14:paraId="74F52A1A" w14:textId="77777777" w:rsidR="001C3E10" w:rsidRPr="001C3E10"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1C3E10">
              <w:rPr>
                <w:sz w:val="22"/>
                <w:szCs w:val="22"/>
              </w:rPr>
              <w:t>Planeación, presupuesto</w:t>
            </w:r>
          </w:p>
        </w:tc>
        <w:tc>
          <w:tcPr>
            <w:tcW w:w="2161" w:type="dxa"/>
          </w:tcPr>
          <w:p w14:paraId="7C5D13B7" w14:textId="77777777" w:rsidR="001C3E10" w:rsidRPr="001C3E10"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1C3E10">
              <w:rPr>
                <w:sz w:val="22"/>
                <w:szCs w:val="22"/>
              </w:rPr>
              <w:t>Predictivo, basado en escenarios</w:t>
            </w:r>
          </w:p>
        </w:tc>
      </w:tr>
      <w:tr w:rsidR="001C3E10" w:rsidRPr="001C3E10" w14:paraId="4DD84FA4" w14:textId="77777777" w:rsidTr="007C37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1" w:type="dxa"/>
          </w:tcPr>
          <w:p w14:paraId="7EF1153C" w14:textId="77777777" w:rsidR="001C3E10" w:rsidRPr="001C3E10" w:rsidRDefault="001C3E10" w:rsidP="001C3E10">
            <w:pPr>
              <w:spacing w:line="276" w:lineRule="auto"/>
              <w:jc w:val="both"/>
              <w:rPr>
                <w:sz w:val="22"/>
                <w:szCs w:val="22"/>
              </w:rPr>
            </w:pPr>
            <w:r w:rsidRPr="001C3E10">
              <w:rPr>
                <w:sz w:val="22"/>
                <w:szCs w:val="22"/>
              </w:rPr>
              <w:t>Seguridad</w:t>
            </w:r>
          </w:p>
        </w:tc>
        <w:tc>
          <w:tcPr>
            <w:tcW w:w="2161" w:type="dxa"/>
          </w:tcPr>
          <w:p w14:paraId="01C8A5AC" w14:textId="77777777" w:rsidR="001C3E10" w:rsidRPr="001C3E10"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1C3E10">
              <w:rPr>
                <w:sz w:val="22"/>
                <w:szCs w:val="22"/>
              </w:rPr>
              <w:t>Estrechamente controlado, complejidad administrada</w:t>
            </w:r>
          </w:p>
        </w:tc>
        <w:tc>
          <w:tcPr>
            <w:tcW w:w="2161" w:type="dxa"/>
          </w:tcPr>
          <w:p w14:paraId="0988692A" w14:textId="77777777" w:rsidR="001C3E10" w:rsidRPr="001C3E10"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1C3E10">
              <w:rPr>
                <w:sz w:val="22"/>
                <w:szCs w:val="22"/>
              </w:rPr>
              <w:t>Control distribuido, complejidad manejable</w:t>
            </w:r>
          </w:p>
        </w:tc>
        <w:tc>
          <w:tcPr>
            <w:tcW w:w="2161" w:type="dxa"/>
          </w:tcPr>
          <w:p w14:paraId="51373425" w14:textId="77777777" w:rsidR="001C3E10" w:rsidRPr="001C3E10"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1C3E10">
              <w:rPr>
                <w:sz w:val="22"/>
                <w:szCs w:val="22"/>
              </w:rPr>
              <w:t>Control federado, complejidad potencialmente alta</w:t>
            </w:r>
          </w:p>
        </w:tc>
      </w:tr>
      <w:tr w:rsidR="001C3E10" w:rsidRPr="001C3E10" w14:paraId="76509E5C" w14:textId="77777777" w:rsidTr="007C372E">
        <w:tc>
          <w:tcPr>
            <w:cnfStyle w:val="001000000000" w:firstRow="0" w:lastRow="0" w:firstColumn="1" w:lastColumn="0" w:oddVBand="0" w:evenVBand="0" w:oddHBand="0" w:evenHBand="0" w:firstRowFirstColumn="0" w:firstRowLastColumn="0" w:lastRowFirstColumn="0" w:lastRowLastColumn="0"/>
            <w:tcW w:w="2161" w:type="dxa"/>
          </w:tcPr>
          <w:p w14:paraId="7E7419D2" w14:textId="77777777" w:rsidR="001C3E10" w:rsidRPr="001C3E10" w:rsidRDefault="001C3E10" w:rsidP="001C3E10">
            <w:pPr>
              <w:spacing w:line="276" w:lineRule="auto"/>
              <w:jc w:val="both"/>
              <w:rPr>
                <w:sz w:val="22"/>
                <w:szCs w:val="22"/>
              </w:rPr>
            </w:pPr>
            <w:r w:rsidRPr="001C3E10">
              <w:rPr>
                <w:sz w:val="22"/>
                <w:szCs w:val="22"/>
              </w:rPr>
              <w:t>Colaboración</w:t>
            </w:r>
          </w:p>
        </w:tc>
        <w:tc>
          <w:tcPr>
            <w:tcW w:w="2161" w:type="dxa"/>
          </w:tcPr>
          <w:p w14:paraId="470F85EC" w14:textId="77777777" w:rsidR="001C3E10" w:rsidRPr="001C3E10"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1C3E10">
              <w:rPr>
                <w:sz w:val="22"/>
                <w:szCs w:val="22"/>
              </w:rPr>
              <w:t>Limitada</w:t>
            </w:r>
          </w:p>
        </w:tc>
        <w:tc>
          <w:tcPr>
            <w:tcW w:w="2161" w:type="dxa"/>
          </w:tcPr>
          <w:p w14:paraId="399199A8" w14:textId="77777777" w:rsidR="001C3E10" w:rsidRPr="001C3E10"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1C3E10">
              <w:rPr>
                <w:sz w:val="22"/>
                <w:szCs w:val="22"/>
              </w:rPr>
              <w:t>Moderada</w:t>
            </w:r>
          </w:p>
        </w:tc>
        <w:tc>
          <w:tcPr>
            <w:tcW w:w="2161" w:type="dxa"/>
          </w:tcPr>
          <w:p w14:paraId="21C0A397" w14:textId="77777777" w:rsidR="001C3E10" w:rsidRPr="001C3E10"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1C3E10">
              <w:rPr>
                <w:sz w:val="22"/>
                <w:szCs w:val="22"/>
              </w:rPr>
              <w:t>Alta</w:t>
            </w:r>
          </w:p>
        </w:tc>
      </w:tr>
    </w:tbl>
    <w:p w14:paraId="0DD82CB5" w14:textId="77777777" w:rsidR="001C3E10" w:rsidRPr="001C3E10" w:rsidRDefault="001C3E10" w:rsidP="001C3E10">
      <w:pPr>
        <w:spacing w:line="276" w:lineRule="auto"/>
        <w:jc w:val="both"/>
        <w:rPr>
          <w:rFonts w:asciiTheme="minorHAnsi" w:hAnsiTheme="minorHAnsi"/>
          <w:sz w:val="22"/>
          <w:szCs w:val="22"/>
        </w:rPr>
      </w:pPr>
    </w:p>
    <w:p w14:paraId="3937C3D7"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Como se puede apreciar, las diferencias en todas estas categorías son sustanciales. Por ejemplo, mientras que los sistema de registro tienen una tasa de cambio relativamente baja (por ser sistemas muy probados, incluso comercialmente) los sistemas de innovación cambian mucho más </w:t>
      </w:r>
      <w:r w:rsidRPr="001C3E10">
        <w:rPr>
          <w:rFonts w:asciiTheme="minorHAnsi" w:hAnsiTheme="minorHAnsi"/>
          <w:sz w:val="22"/>
          <w:szCs w:val="22"/>
        </w:rPr>
        <w:lastRenderedPageBreak/>
        <w:t>frecuentemente, por lo que requieren de procesos y en general estructuras ágiles, que permitan mantener el flujo de valor que esos sistemas entregan.</w:t>
      </w:r>
    </w:p>
    <w:p w14:paraId="2B60EFC4"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shd w:val="clear" w:color="auto" w:fill="FFFFFF"/>
          <w:lang w:val="en-US"/>
        </w:rPr>
      </w:pPr>
      <w:bookmarkStart w:id="300" w:name="_Toc429555173"/>
      <w:bookmarkStart w:id="301" w:name="_Toc429562815"/>
      <w:bookmarkStart w:id="302" w:name="_Toc429563125"/>
      <w:bookmarkStart w:id="303" w:name="_Toc429563280"/>
      <w:bookmarkStart w:id="304" w:name="_Toc442253262"/>
      <w:r w:rsidRPr="001C3E10">
        <w:rPr>
          <w:rFonts w:asciiTheme="minorHAnsi" w:hAnsiTheme="minorHAnsi"/>
          <w:sz w:val="22"/>
          <w:szCs w:val="22"/>
          <w:shd w:val="clear" w:color="auto" w:fill="FFFFFF"/>
          <w:lang w:val="en-US"/>
        </w:rPr>
        <w:t xml:space="preserve">El </w:t>
      </w:r>
      <w:proofErr w:type="spellStart"/>
      <w:r w:rsidRPr="001C3E10">
        <w:rPr>
          <w:rFonts w:asciiTheme="minorHAnsi" w:hAnsiTheme="minorHAnsi"/>
          <w:sz w:val="22"/>
          <w:szCs w:val="22"/>
          <w:shd w:val="clear" w:color="auto" w:fill="FFFFFF"/>
          <w:lang w:val="en-US"/>
        </w:rPr>
        <w:t>modelo</w:t>
      </w:r>
      <w:proofErr w:type="spellEnd"/>
      <w:r w:rsidRPr="001C3E10">
        <w:rPr>
          <w:rFonts w:asciiTheme="minorHAnsi" w:hAnsiTheme="minorHAnsi"/>
          <w:sz w:val="22"/>
          <w:szCs w:val="22"/>
          <w:shd w:val="clear" w:color="auto" w:fill="FFFFFF"/>
          <w:lang w:val="en-US"/>
        </w:rPr>
        <w:t xml:space="preserve"> TIME</w:t>
      </w:r>
      <w:bookmarkEnd w:id="300"/>
      <w:bookmarkEnd w:id="301"/>
      <w:bookmarkEnd w:id="302"/>
      <w:bookmarkEnd w:id="303"/>
      <w:bookmarkEnd w:id="304"/>
    </w:p>
    <w:p w14:paraId="40DAF1D1"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El TIME (Tolerar, Invertir, Migrar, Eliminar, por sus siglas en inglés) es otra herramienta en la caja para administrar el portafolio de aplicaciones. Su objetivo es la evaluación de un sistema informático contra las dimensiones de valor de negocio y riesgo, de forma tal que permita la clasificación de las aplicaciones en el portafolio por estrategia, asegurando un portafolio manejable y costo-efectivo. La información se recolecta cada cuatrimestre y las evaluaciones se revisan por lo general antes de cada ciclo de financiamiento, a la luz de cambios críticos en el desempeño, la arquitectura o los vendedores.</w:t>
      </w:r>
    </w:p>
    <w:p w14:paraId="3AC29963" w14:textId="77777777" w:rsidR="001628D8" w:rsidRDefault="001628D8" w:rsidP="001C3E10">
      <w:pPr>
        <w:spacing w:line="276" w:lineRule="auto"/>
        <w:jc w:val="both"/>
        <w:rPr>
          <w:rFonts w:asciiTheme="minorHAnsi" w:hAnsiTheme="minorHAnsi"/>
          <w:sz w:val="22"/>
          <w:szCs w:val="22"/>
        </w:rPr>
      </w:pPr>
    </w:p>
    <w:p w14:paraId="2A7BC0EF"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 siguiente imagen muestra la categorización del portafolio de aplicaciones por valor, efectividad técnica, riesgo y los requerimientos para evaluar esos valores a través de muchos años y múltiples ciclos de planificación.</w:t>
      </w:r>
    </w:p>
    <w:p w14:paraId="68A55AC7"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noProof/>
          <w:sz w:val="22"/>
          <w:szCs w:val="22"/>
        </w:rPr>
        <w:drawing>
          <wp:inline distT="0" distB="0" distL="0" distR="0" wp14:anchorId="66A780F7" wp14:editId="430B73C0">
            <wp:extent cx="5400040" cy="4779261"/>
            <wp:effectExtent l="0" t="0" r="0" b="254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400040" cy="4779261"/>
                    </a:xfrm>
                    <a:prstGeom prst="rect">
                      <a:avLst/>
                    </a:prstGeom>
                  </pic:spPr>
                </pic:pic>
              </a:graphicData>
            </a:graphic>
          </wp:inline>
        </w:drawing>
      </w:r>
    </w:p>
    <w:p w14:paraId="2A9868D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A continuación se explica brevemente cada una de las categorías.</w:t>
      </w:r>
    </w:p>
    <w:p w14:paraId="33FB1D88"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lastRenderedPageBreak/>
        <w:t>Tolerar</w:t>
      </w:r>
    </w:p>
    <w:p w14:paraId="43A8B5EF"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Esta es la categoría con mayor número de sistemas en la mayoría de los inventarios. Las aplicaciones podrían entregar buen valor al negocio, y el grupo de TI está manteniéndolas por varias razones. Las aplicaciones podrían estar en una plataforma vieja, construidas alrededor de arquitecturas viejas o que no están bien integradas. Sin embargo, desde la perspectiva del portafolio estas aplicaciones son lo “suficientemente buenas”: crean suficiente valor de negocio, los costos y riesgos son manejables. Los sistemas satisfacen una gran porción de los requerimientos del negocio y están en plataformas que entregan un servicio de alta calidad.</w:t>
      </w:r>
    </w:p>
    <w:p w14:paraId="56832B8D" w14:textId="77777777" w:rsidR="001628D8" w:rsidRDefault="001628D8" w:rsidP="001C3E10">
      <w:pPr>
        <w:spacing w:line="276" w:lineRule="auto"/>
        <w:jc w:val="both"/>
        <w:rPr>
          <w:rFonts w:asciiTheme="minorHAnsi" w:hAnsiTheme="minorHAnsi"/>
          <w:sz w:val="22"/>
          <w:szCs w:val="22"/>
        </w:rPr>
      </w:pPr>
    </w:p>
    <w:p w14:paraId="3A586F43"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Las que tienen un bajo valor de negocio son candidatos perfectos para la eliminación, pero por la interrelación con otros sistemas en el portafolio, una estrategia de tolerar su existencia es una solución más realista. La tolerancia es una estrategia hacia la evolución de sistemas legados, puede ser el precursor de una eliminación total o una transformación.</w:t>
      </w:r>
    </w:p>
    <w:p w14:paraId="6DB12438"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Invertir/Innovar/Integrar</w:t>
      </w:r>
    </w:p>
    <w:p w14:paraId="3FC7721A"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Aunque las nuevas aplicaciones dominan en esta categoría, también contiene aplicaciones en las cuales:</w:t>
      </w:r>
    </w:p>
    <w:p w14:paraId="61712FBA" w14:textId="77777777" w:rsidR="001C3E10" w:rsidRPr="001C3E10" w:rsidRDefault="001C3E10" w:rsidP="00547B19">
      <w:pPr>
        <w:pStyle w:val="Prrafodelista"/>
        <w:numPr>
          <w:ilvl w:val="0"/>
          <w:numId w:val="47"/>
        </w:numPr>
        <w:spacing w:after="200" w:line="276" w:lineRule="auto"/>
        <w:rPr>
          <w:rFonts w:asciiTheme="minorHAnsi" w:hAnsiTheme="minorHAnsi"/>
          <w:sz w:val="22"/>
        </w:rPr>
      </w:pPr>
      <w:r w:rsidRPr="001C3E10">
        <w:rPr>
          <w:rFonts w:asciiTheme="minorHAnsi" w:hAnsiTheme="minorHAnsi"/>
          <w:sz w:val="22"/>
        </w:rPr>
        <w:t>Las demandas de nuevos procesos de negocio requieren la renovación de las aplicaciones viejas.</w:t>
      </w:r>
    </w:p>
    <w:p w14:paraId="4E40DC12" w14:textId="77777777" w:rsidR="001C3E10" w:rsidRPr="001C3E10" w:rsidRDefault="001C3E10" w:rsidP="00547B19">
      <w:pPr>
        <w:pStyle w:val="Prrafodelista"/>
        <w:numPr>
          <w:ilvl w:val="0"/>
          <w:numId w:val="47"/>
        </w:numPr>
        <w:spacing w:after="200" w:line="276" w:lineRule="auto"/>
        <w:rPr>
          <w:rFonts w:asciiTheme="minorHAnsi" w:hAnsiTheme="minorHAnsi"/>
          <w:sz w:val="22"/>
        </w:rPr>
      </w:pPr>
      <w:r w:rsidRPr="001C3E10">
        <w:rPr>
          <w:rFonts w:asciiTheme="minorHAnsi" w:hAnsiTheme="minorHAnsi"/>
          <w:sz w:val="22"/>
        </w:rPr>
        <w:t>El volumen de datos no permiten la transformación a nuevas tecnologías.</w:t>
      </w:r>
    </w:p>
    <w:p w14:paraId="29476ECA" w14:textId="77777777" w:rsidR="001C3E10" w:rsidRPr="001C3E10" w:rsidRDefault="001C3E10" w:rsidP="00547B19">
      <w:pPr>
        <w:pStyle w:val="Prrafodelista"/>
        <w:numPr>
          <w:ilvl w:val="0"/>
          <w:numId w:val="47"/>
        </w:numPr>
        <w:spacing w:after="200" w:line="276" w:lineRule="auto"/>
        <w:rPr>
          <w:rFonts w:asciiTheme="minorHAnsi" w:hAnsiTheme="minorHAnsi"/>
          <w:sz w:val="22"/>
        </w:rPr>
      </w:pPr>
      <w:r w:rsidRPr="001C3E10">
        <w:rPr>
          <w:rFonts w:asciiTheme="minorHAnsi" w:hAnsiTheme="minorHAnsi"/>
          <w:sz w:val="22"/>
        </w:rPr>
        <w:t>Las necesidades de los procesos de negocio se cumplen mejor con soluciones empaquetadas pero el sistema debe continuar operando en apoyo a la operación.</w:t>
      </w:r>
    </w:p>
    <w:p w14:paraId="34720377"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Se fomenta las mejoras en las aplicaciones en esta categoría. La prioridad la establecerá el potencial incremento de valor y el incremento del uso de las aplicaciones en la organización.</w:t>
      </w:r>
    </w:p>
    <w:p w14:paraId="14FBBC08"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Migrar/Modernizar/Remediar</w:t>
      </w:r>
    </w:p>
    <w:p w14:paraId="1869438B"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Un alto valor del negocio unido a dificultades con las personas, la información u otras de carácter técnico hace que las aplicaciones en este cuadrante sean particularmente difíciles e importantes de lidiar. El soporte al software o al hardware podría ya no estar disponible. Los trabajadores que se encargan del mantenimiento de la aplicación podrían estar al borde del retiro y el reemplazo de habilidades podría ser difícil. La información podría ser redundante, imprecisa o con un alto costo de mantener o integrar. Los costos de alcanzar el nivel de calidad deseado podrían ser altos e incrementales.</w:t>
      </w:r>
    </w:p>
    <w:p w14:paraId="012AB018" w14:textId="77777777" w:rsidR="001628D8" w:rsidRDefault="001628D8" w:rsidP="001C3E10">
      <w:pPr>
        <w:spacing w:line="276" w:lineRule="auto"/>
        <w:jc w:val="both"/>
        <w:rPr>
          <w:rFonts w:asciiTheme="minorHAnsi" w:hAnsiTheme="minorHAnsi"/>
          <w:sz w:val="22"/>
          <w:szCs w:val="22"/>
        </w:rPr>
      </w:pPr>
    </w:p>
    <w:p w14:paraId="1950EDA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Los proyectos en esta categoría se enfocan hacia reducir riesgo y costo. Se hace una evaluación detallada de abajo hacia arriba de las dependencias entre las aplicaciones y las potenciales técnicas de consolidación, conversión, modernización o migración necesarias para tal efecto. Las situaciones donde existen una variedad de alternativas de transformación con costos, riesgos y tiempo de ejecución diferentes serán comunes.</w:t>
      </w:r>
    </w:p>
    <w:p w14:paraId="50BA2EC8"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lastRenderedPageBreak/>
        <w:t>Eliminar</w:t>
      </w:r>
    </w:p>
    <w:p w14:paraId="11A185F3"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Es posible que las aplicaciones con bajo valor de negocio y tecnología pobre todavía tengan algunos elementos que deben ser migrados o consolidados. Las aplicaciones retiradas también podrían necesitar de una limpieza después de que la migración, consolidación o estandarización se lleve a los usuarios a otro lado. Podrían existir fuentes alternativas de valor de negocio, o peor aún, podría no estarse creando ningún valor a los procesos de negocio manteniendo a esta aplicación con vida. El archivo y la retención de información u otros elementos (como el código fuente, binarios, etc.) podrían ser factores importantes a tomar en cuenta.</w:t>
      </w:r>
    </w:p>
    <w:p w14:paraId="7C9C8634"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305" w:name="_Toc414532029"/>
      <w:bookmarkStart w:id="306" w:name="_Toc429555174"/>
      <w:bookmarkStart w:id="307" w:name="_Toc429562816"/>
      <w:bookmarkStart w:id="308" w:name="_Toc429563126"/>
      <w:bookmarkStart w:id="309" w:name="_Toc429563281"/>
      <w:bookmarkStart w:id="310" w:name="_Toc442253263"/>
      <w:r w:rsidRPr="001C3E10">
        <w:rPr>
          <w:rFonts w:asciiTheme="minorHAnsi" w:hAnsiTheme="minorHAnsi"/>
          <w:sz w:val="22"/>
          <w:szCs w:val="22"/>
        </w:rPr>
        <w:t>Glosario</w:t>
      </w:r>
      <w:bookmarkEnd w:id="305"/>
      <w:bookmarkEnd w:id="306"/>
      <w:bookmarkEnd w:id="307"/>
      <w:bookmarkEnd w:id="308"/>
      <w:bookmarkEnd w:id="309"/>
      <w:bookmarkEnd w:id="310"/>
    </w:p>
    <w:p w14:paraId="1BD56B4F"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11" w:name="Acuerdos_de_Nivel_de_Servicio_ANS"/>
      <w:bookmarkStart w:id="312" w:name="Arquitectura_empresarial"/>
      <w:r w:rsidRPr="001C3E10">
        <w:rPr>
          <w:rFonts w:asciiTheme="minorHAnsi" w:hAnsiTheme="minorHAnsi"/>
          <w:b/>
          <w:sz w:val="22"/>
        </w:rPr>
        <w:t>Acuerdos de Nivel de Servicio (ANS)</w:t>
      </w:r>
      <w:bookmarkEnd w:id="311"/>
      <w:r w:rsidRPr="001C3E10">
        <w:rPr>
          <w:rFonts w:asciiTheme="minorHAnsi" w:hAnsiTheme="minorHAnsi"/>
          <w:sz w:val="22"/>
        </w:rPr>
        <w:t>: contratos establecidos sobre cada servicio de TI brindado a las Divisiones y ODM del BCCR. En él se establecen las condiciones, compromisos, restricciones y el nivel de calidad con el cual se ofrecerá el servicio. En cuanto al nivel de calidad, este se definirá con base el nivel de disponibilidad, rendimiento, seguridad y costo del servicio.</w:t>
      </w:r>
    </w:p>
    <w:p w14:paraId="65827742"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13" w:name="Aplicación_móvil"/>
      <w:r w:rsidRPr="001C3E10">
        <w:rPr>
          <w:rFonts w:asciiTheme="minorHAnsi" w:hAnsiTheme="minorHAnsi"/>
          <w:b/>
          <w:sz w:val="22"/>
        </w:rPr>
        <w:t>Aplicación móvil</w:t>
      </w:r>
      <w:bookmarkEnd w:id="313"/>
      <w:r w:rsidRPr="001C3E10">
        <w:rPr>
          <w:rFonts w:asciiTheme="minorHAnsi" w:hAnsiTheme="minorHAnsi"/>
          <w:sz w:val="22"/>
        </w:rPr>
        <w:t>:</w:t>
      </w:r>
      <w:r w:rsidRPr="001C3E10">
        <w:rPr>
          <w:rFonts w:asciiTheme="minorHAnsi" w:hAnsiTheme="minorHAnsi"/>
          <w:i/>
          <w:sz w:val="22"/>
        </w:rPr>
        <w:t xml:space="preserve"> Software</w:t>
      </w:r>
      <w:r w:rsidRPr="001C3E10">
        <w:rPr>
          <w:rFonts w:asciiTheme="minorHAnsi" w:hAnsiTheme="minorHAnsi"/>
          <w:sz w:val="22"/>
        </w:rPr>
        <w:t xml:space="preserve"> (véase la definición más abajo) utilizado sobre todo el dispositivos móviles tales como un teléfono celular o una tableta.</w:t>
      </w:r>
    </w:p>
    <w:p w14:paraId="59261CB4"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r w:rsidRPr="001C3E10">
        <w:rPr>
          <w:rFonts w:asciiTheme="minorHAnsi" w:hAnsiTheme="minorHAnsi"/>
          <w:b/>
          <w:sz w:val="22"/>
        </w:rPr>
        <w:t>Arquitectura empresarial</w:t>
      </w:r>
      <w:bookmarkEnd w:id="312"/>
      <w:r w:rsidRPr="001C3E10">
        <w:rPr>
          <w:rFonts w:asciiTheme="minorHAnsi" w:hAnsiTheme="minorHAnsi"/>
          <w:sz w:val="22"/>
        </w:rPr>
        <w:t xml:space="preserve">: </w:t>
      </w:r>
      <w:r w:rsidRPr="001C3E10">
        <w:rPr>
          <w:rFonts w:asciiTheme="minorHAnsi" w:hAnsiTheme="minorHAnsi"/>
          <w:sz w:val="22"/>
          <w:lang w:val="es-ES"/>
        </w:rPr>
        <w:t>disciplina que permite guiar integral y proactivamente la respuesta de una organización ante las fuerzas disruptivas, por medio de la identificación y el análisis de los cambios requeridos para alcanzar la visión y los resultados esperados por la organización.</w:t>
      </w:r>
    </w:p>
    <w:p w14:paraId="26281DA7"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14" w:name="Big_data"/>
      <w:bookmarkStart w:id="315" w:name="BYOD"/>
      <w:r w:rsidRPr="001C3E10">
        <w:rPr>
          <w:rFonts w:asciiTheme="minorHAnsi" w:hAnsiTheme="minorHAnsi"/>
          <w:b/>
          <w:sz w:val="22"/>
        </w:rPr>
        <w:t>Beneficios</w:t>
      </w:r>
      <w:r w:rsidRPr="001C3E10">
        <w:rPr>
          <w:rFonts w:asciiTheme="minorHAnsi" w:hAnsiTheme="minorHAnsi"/>
          <w:sz w:val="22"/>
        </w:rPr>
        <w:t>: un beneficio de negocio es un resultado que es esperado o que directamente incrementa el valor a la organización.</w:t>
      </w:r>
    </w:p>
    <w:p w14:paraId="6C065799"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r w:rsidRPr="001C3E10">
        <w:rPr>
          <w:rFonts w:asciiTheme="minorHAnsi" w:hAnsiTheme="minorHAnsi"/>
          <w:b/>
          <w:sz w:val="22"/>
        </w:rPr>
        <w:t>Big data</w:t>
      </w:r>
      <w:bookmarkEnd w:id="314"/>
      <w:r w:rsidRPr="001C3E10">
        <w:rPr>
          <w:rFonts w:asciiTheme="minorHAnsi" w:hAnsiTheme="minorHAnsi"/>
          <w:sz w:val="22"/>
        </w:rPr>
        <w:t>: activos de información de alto volumen (cantidad), alta velocidad y alta variedad, que demandan formas de procesamiento, efectivas en costo e innovadoras, para mejorar comprensión y la toma de decisiones.</w:t>
      </w:r>
    </w:p>
    <w:p w14:paraId="4A5B70CF"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r w:rsidRPr="001C3E10">
        <w:rPr>
          <w:rFonts w:asciiTheme="minorHAnsi" w:hAnsiTheme="minorHAnsi"/>
          <w:b/>
          <w:sz w:val="22"/>
        </w:rPr>
        <w:t>BYOD</w:t>
      </w:r>
      <w:bookmarkEnd w:id="315"/>
      <w:r w:rsidRPr="001C3E10">
        <w:rPr>
          <w:rFonts w:asciiTheme="minorHAnsi" w:hAnsiTheme="minorHAnsi"/>
          <w:sz w:val="22"/>
        </w:rPr>
        <w:t>: estrategia alternativa que le permite a los empleados, socios de negocio y otros usuarios el uso de dispositivos personalmente seleccionados y comprados para ejecutar software y acceder datos de la organización. Típicamente cubre a los teléfonos inteligentes y las tabletas pero la estrategia también podría utilizarse para las computadoras personales de los empleados</w:t>
      </w:r>
    </w:p>
    <w:p w14:paraId="31038227"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16" w:name="Capacidad"/>
      <w:r w:rsidRPr="001C3E10">
        <w:rPr>
          <w:rFonts w:asciiTheme="minorHAnsi" w:hAnsiTheme="minorHAnsi"/>
          <w:b/>
          <w:sz w:val="22"/>
        </w:rPr>
        <w:t>Capacidad</w:t>
      </w:r>
      <w:bookmarkEnd w:id="316"/>
      <w:r w:rsidRPr="001C3E10">
        <w:rPr>
          <w:rFonts w:asciiTheme="minorHAnsi" w:hAnsiTheme="minorHAnsi"/>
          <w:sz w:val="22"/>
        </w:rPr>
        <w:t>: forma en la que la organización combina recursos, personas, procesos, tecnología e información para cumplir la misión que le ha sido encomendada. Por ejemplo</w:t>
      </w:r>
    </w:p>
    <w:p w14:paraId="6EA4DA8C"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17" w:name="Caso_de_negocio"/>
      <w:bookmarkStart w:id="318" w:name="Consejo_Nacional_de_Supervisión_CONASSIF"/>
      <w:r w:rsidRPr="001C3E10">
        <w:rPr>
          <w:rFonts w:asciiTheme="minorHAnsi" w:hAnsiTheme="minorHAnsi"/>
          <w:b/>
          <w:sz w:val="22"/>
        </w:rPr>
        <w:t>Caso de negocio</w:t>
      </w:r>
      <w:bookmarkEnd w:id="317"/>
      <w:r w:rsidRPr="001C3E10">
        <w:rPr>
          <w:rFonts w:asciiTheme="minorHAnsi" w:hAnsiTheme="minorHAnsi"/>
          <w:sz w:val="22"/>
        </w:rPr>
        <w:t>: argumento, usualmente documentado, cuya intención es la de convencer a los tomadores de decisión hacia algún tipo de acción. El documento mismo es algunas veces referido como caso de negocio.</w:t>
      </w:r>
    </w:p>
    <w:p w14:paraId="45611888"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r w:rsidRPr="001C3E10">
        <w:rPr>
          <w:rFonts w:asciiTheme="minorHAnsi" w:hAnsiTheme="minorHAnsi"/>
          <w:b/>
          <w:sz w:val="22"/>
        </w:rPr>
        <w:t>CONASSIF</w:t>
      </w:r>
      <w:r w:rsidRPr="001C3E10">
        <w:rPr>
          <w:rFonts w:asciiTheme="minorHAnsi" w:hAnsiTheme="minorHAnsi"/>
          <w:sz w:val="22"/>
        </w:rPr>
        <w:t>: Consejo Nacional de Supervisión del Sistema Financiero</w:t>
      </w:r>
      <w:bookmarkEnd w:id="318"/>
      <w:r w:rsidRPr="001C3E10">
        <w:rPr>
          <w:rFonts w:asciiTheme="minorHAnsi" w:hAnsiTheme="minorHAnsi"/>
          <w:sz w:val="22"/>
        </w:rPr>
        <w:t xml:space="preserve">. </w:t>
      </w:r>
    </w:p>
    <w:p w14:paraId="38F6F3FF"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19" w:name="Corporación"/>
      <w:r w:rsidRPr="001C3E10">
        <w:rPr>
          <w:rFonts w:asciiTheme="minorHAnsi" w:hAnsiTheme="minorHAnsi"/>
          <w:b/>
          <w:sz w:val="22"/>
        </w:rPr>
        <w:t>Corporación</w:t>
      </w:r>
      <w:bookmarkEnd w:id="319"/>
      <w:r w:rsidRPr="001C3E10">
        <w:rPr>
          <w:rFonts w:asciiTheme="minorHAnsi" w:hAnsiTheme="minorHAnsi"/>
          <w:sz w:val="22"/>
        </w:rPr>
        <w:t xml:space="preserve">: en el contexto de este documento se entiende como la unión del Banco Central de Costa Rica y sus </w:t>
      </w:r>
      <w:proofErr w:type="spellStart"/>
      <w:r w:rsidRPr="001C3E10">
        <w:rPr>
          <w:rFonts w:asciiTheme="minorHAnsi" w:hAnsiTheme="minorHAnsi"/>
          <w:sz w:val="22"/>
        </w:rPr>
        <w:t>Organos</w:t>
      </w:r>
      <w:proofErr w:type="spellEnd"/>
      <w:r w:rsidRPr="001C3E10">
        <w:rPr>
          <w:rFonts w:asciiTheme="minorHAnsi" w:hAnsiTheme="minorHAnsi"/>
          <w:sz w:val="22"/>
        </w:rPr>
        <w:t xml:space="preserve"> de Desconcentración Máxima.</w:t>
      </w:r>
    </w:p>
    <w:p w14:paraId="74FB4843"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20" w:name="Hardware"/>
      <w:r w:rsidRPr="001C3E10">
        <w:rPr>
          <w:rFonts w:asciiTheme="minorHAnsi" w:hAnsiTheme="minorHAnsi"/>
          <w:b/>
          <w:sz w:val="22"/>
        </w:rPr>
        <w:lastRenderedPageBreak/>
        <w:t>Hardware</w:t>
      </w:r>
      <w:bookmarkEnd w:id="320"/>
      <w:r w:rsidRPr="001C3E10">
        <w:rPr>
          <w:rFonts w:asciiTheme="minorHAnsi" w:hAnsiTheme="minorHAnsi"/>
          <w:sz w:val="22"/>
        </w:rPr>
        <w:t>: describe los aspectos físicos de una computadora y otros dispositivos relacionados tales como el disco duro, memoria, entre otros.</w:t>
      </w:r>
    </w:p>
    <w:p w14:paraId="67102F3E"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21" w:name="IAIS"/>
      <w:r w:rsidRPr="001C3E10">
        <w:rPr>
          <w:rFonts w:asciiTheme="minorHAnsi" w:hAnsiTheme="minorHAnsi"/>
          <w:b/>
          <w:sz w:val="22"/>
        </w:rPr>
        <w:t>IAIS</w:t>
      </w:r>
      <w:bookmarkEnd w:id="321"/>
      <w:r w:rsidRPr="001C3E10">
        <w:rPr>
          <w:rFonts w:asciiTheme="minorHAnsi" w:hAnsiTheme="minorHAnsi"/>
          <w:sz w:val="22"/>
        </w:rPr>
        <w:t xml:space="preserve">: International </w:t>
      </w:r>
      <w:proofErr w:type="spellStart"/>
      <w:r w:rsidRPr="001C3E10">
        <w:rPr>
          <w:rFonts w:asciiTheme="minorHAnsi" w:hAnsiTheme="minorHAnsi"/>
          <w:sz w:val="22"/>
        </w:rPr>
        <w:t>Association</w:t>
      </w:r>
      <w:proofErr w:type="spellEnd"/>
      <w:r w:rsidRPr="001C3E10">
        <w:rPr>
          <w:rFonts w:asciiTheme="minorHAnsi" w:hAnsiTheme="minorHAnsi"/>
          <w:sz w:val="22"/>
        </w:rPr>
        <w:t xml:space="preserve"> of Insurance </w:t>
      </w:r>
      <w:proofErr w:type="spellStart"/>
      <w:r w:rsidRPr="001C3E10">
        <w:rPr>
          <w:rFonts w:asciiTheme="minorHAnsi" w:hAnsiTheme="minorHAnsi"/>
          <w:sz w:val="22"/>
        </w:rPr>
        <w:t>Supervisors</w:t>
      </w:r>
      <w:proofErr w:type="spellEnd"/>
      <w:r w:rsidRPr="001C3E10">
        <w:rPr>
          <w:rFonts w:asciiTheme="minorHAnsi" w:hAnsiTheme="minorHAnsi"/>
          <w:sz w:val="22"/>
        </w:rPr>
        <w:t>, Asociación Internacional de Supervisores de Seguros. Organización voluntaria de reguladores y supervisores de seguros, que opera en más de 140 países alrededor del mundo.</w:t>
      </w:r>
    </w:p>
    <w:p w14:paraId="72F155EE"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22" w:name="Information_Techn_Infrast_Library_ITIL"/>
      <w:proofErr w:type="spellStart"/>
      <w:r w:rsidRPr="001C3E10">
        <w:rPr>
          <w:rFonts w:asciiTheme="minorHAnsi" w:hAnsiTheme="minorHAnsi"/>
          <w:b/>
          <w:sz w:val="22"/>
        </w:rPr>
        <w:t>Information</w:t>
      </w:r>
      <w:proofErr w:type="spellEnd"/>
      <w:r w:rsidRPr="001C3E10">
        <w:rPr>
          <w:rFonts w:asciiTheme="minorHAnsi" w:hAnsiTheme="minorHAnsi"/>
          <w:b/>
          <w:sz w:val="22"/>
        </w:rPr>
        <w:t xml:space="preserve"> </w:t>
      </w:r>
      <w:proofErr w:type="spellStart"/>
      <w:r w:rsidRPr="001C3E10">
        <w:rPr>
          <w:rFonts w:asciiTheme="minorHAnsi" w:hAnsiTheme="minorHAnsi"/>
          <w:b/>
          <w:sz w:val="22"/>
        </w:rPr>
        <w:t>Technology</w:t>
      </w:r>
      <w:proofErr w:type="spellEnd"/>
      <w:r w:rsidRPr="001C3E10">
        <w:rPr>
          <w:rFonts w:asciiTheme="minorHAnsi" w:hAnsiTheme="minorHAnsi"/>
          <w:b/>
          <w:sz w:val="22"/>
        </w:rPr>
        <w:t xml:space="preserve"> </w:t>
      </w:r>
      <w:proofErr w:type="spellStart"/>
      <w:r w:rsidRPr="001C3E10">
        <w:rPr>
          <w:rFonts w:asciiTheme="minorHAnsi" w:hAnsiTheme="minorHAnsi"/>
          <w:b/>
          <w:sz w:val="22"/>
        </w:rPr>
        <w:t>Infrastructure</w:t>
      </w:r>
      <w:proofErr w:type="spellEnd"/>
      <w:r w:rsidRPr="001C3E10">
        <w:rPr>
          <w:rFonts w:asciiTheme="minorHAnsi" w:hAnsiTheme="minorHAnsi"/>
          <w:b/>
          <w:sz w:val="22"/>
        </w:rPr>
        <w:t xml:space="preserve"> Library (ITIL)</w:t>
      </w:r>
      <w:bookmarkEnd w:id="322"/>
      <w:r w:rsidRPr="001C3E10">
        <w:rPr>
          <w:rFonts w:asciiTheme="minorHAnsi" w:hAnsiTheme="minorHAnsi"/>
          <w:sz w:val="22"/>
        </w:rPr>
        <w:t>: Biblioteca de Infraestructura de Tecnologías de Información</w:t>
      </w:r>
    </w:p>
    <w:p w14:paraId="2F7A87B2"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23" w:name="Infraestructura_como_servicio"/>
      <w:r w:rsidRPr="001C3E10">
        <w:rPr>
          <w:rFonts w:asciiTheme="minorHAnsi" w:hAnsiTheme="minorHAnsi"/>
          <w:b/>
          <w:sz w:val="22"/>
        </w:rPr>
        <w:t>Infraestructura como servicio</w:t>
      </w:r>
      <w:bookmarkEnd w:id="323"/>
      <w:r w:rsidRPr="001C3E10">
        <w:rPr>
          <w:rFonts w:asciiTheme="minorHAnsi" w:hAnsiTheme="minorHAnsi"/>
          <w:sz w:val="22"/>
        </w:rPr>
        <w:t>: es una oferta estandarizada y altamente automatizada, donde los recursos computacionales, complementados con las capacidades de almacenamiento y redes, son propiedad y provistos como servicio por un proveedor, y ofrecidos a los clientes bajo demanda.</w:t>
      </w:r>
    </w:p>
    <w:p w14:paraId="0AB47170"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24" w:name="Mejora"/>
      <w:bookmarkStart w:id="325" w:name="Modelo_de_capacidades"/>
      <w:r w:rsidRPr="001C3E10">
        <w:rPr>
          <w:rFonts w:asciiTheme="minorHAnsi" w:hAnsiTheme="minorHAnsi"/>
          <w:b/>
          <w:sz w:val="22"/>
        </w:rPr>
        <w:t>Mejora</w:t>
      </w:r>
      <w:bookmarkEnd w:id="324"/>
      <w:r w:rsidRPr="001C3E10">
        <w:rPr>
          <w:rFonts w:asciiTheme="minorHAnsi" w:hAnsiTheme="minorHAnsi"/>
          <w:sz w:val="22"/>
        </w:rPr>
        <w:t>: es una expansión de las funcionalidades actuales de un software o de la infraestructura tecnológica.</w:t>
      </w:r>
    </w:p>
    <w:p w14:paraId="47708AE3"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r w:rsidRPr="001C3E10">
        <w:rPr>
          <w:rFonts w:asciiTheme="minorHAnsi" w:hAnsiTheme="minorHAnsi"/>
          <w:b/>
          <w:sz w:val="22"/>
        </w:rPr>
        <w:t>Modelo de capacidades</w:t>
      </w:r>
      <w:bookmarkEnd w:id="325"/>
      <w:r w:rsidRPr="001C3E10">
        <w:rPr>
          <w:rFonts w:asciiTheme="minorHAnsi" w:hAnsiTheme="minorHAnsi"/>
          <w:sz w:val="22"/>
        </w:rPr>
        <w:t xml:space="preserve">: modelo que le permite a las organizaciones traducir más fácilmente la estrategia en acciones para hacerla realidad. Es una representación de la organización independientemente de su estructura, sus procesos, personas o dominios. Están diseñados para describir lo que la organización hace, o necesitará hacer en forma diferente, con el fin de responder a cambios en la estrategia u oportunidades que se le presentan. Por lo tanto, un modelo de capacidades permite expresar y explorar “lo que se hace” para así tomar decisiones sobre “cómo debe hacerse”.. </w:t>
      </w:r>
    </w:p>
    <w:p w14:paraId="438CFEF5"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26" w:name="Nube"/>
      <w:bookmarkStart w:id="327" w:name="Organo_de_Desconcentración_Máxima_ODM"/>
      <w:r w:rsidRPr="001C3E10">
        <w:rPr>
          <w:rFonts w:asciiTheme="minorHAnsi" w:hAnsiTheme="minorHAnsi"/>
          <w:b/>
          <w:sz w:val="22"/>
        </w:rPr>
        <w:t>Nube</w:t>
      </w:r>
      <w:bookmarkEnd w:id="326"/>
      <w:r w:rsidRPr="001C3E10">
        <w:rPr>
          <w:rFonts w:asciiTheme="minorHAnsi" w:hAnsiTheme="minorHAnsi"/>
          <w:sz w:val="22"/>
        </w:rPr>
        <w:t>: es una forma de aprovisionamiento de recursos tecnológicos en la cual las capacidades y habilidades por las tecnologías de la información son elásticas y escalables, y son entregadas como un servicio utilizando tecnologías de Internet.</w:t>
      </w:r>
    </w:p>
    <w:p w14:paraId="131DC457" w14:textId="1AD2EF4C" w:rsidR="001C3E10" w:rsidRPr="001C3E10" w:rsidRDefault="001628D8" w:rsidP="00547B19">
      <w:pPr>
        <w:pStyle w:val="Prrafodelista"/>
        <w:numPr>
          <w:ilvl w:val="0"/>
          <w:numId w:val="44"/>
        </w:numPr>
        <w:spacing w:after="200" w:line="276" w:lineRule="auto"/>
        <w:rPr>
          <w:rFonts w:asciiTheme="minorHAnsi" w:hAnsiTheme="minorHAnsi"/>
          <w:sz w:val="22"/>
        </w:rPr>
      </w:pPr>
      <w:r w:rsidRPr="001C3E10">
        <w:rPr>
          <w:rFonts w:asciiTheme="minorHAnsi" w:hAnsiTheme="minorHAnsi"/>
          <w:b/>
          <w:sz w:val="22"/>
        </w:rPr>
        <w:t>Órganos</w:t>
      </w:r>
      <w:r w:rsidR="001C3E10" w:rsidRPr="001C3E10">
        <w:rPr>
          <w:rFonts w:asciiTheme="minorHAnsi" w:hAnsiTheme="minorHAnsi"/>
          <w:b/>
          <w:sz w:val="22"/>
        </w:rPr>
        <w:t xml:space="preserve"> de Desconcentración Máxima (ODM)</w:t>
      </w:r>
      <w:bookmarkEnd w:id="327"/>
      <w:r w:rsidR="001C3E10" w:rsidRPr="001C3E10">
        <w:rPr>
          <w:rFonts w:asciiTheme="minorHAnsi" w:hAnsiTheme="minorHAnsi"/>
          <w:sz w:val="22"/>
        </w:rPr>
        <w:t>: entes adscritos al Banco Central de Costa Rica, a saber: Consejo Nacional de Supervisión del Sistema Financiero, Superintendencia General de Entidades Financieras, Superintendencia General de Valores, Superintendencia de Pensiones y Superintendencia General de Seguros.</w:t>
      </w:r>
    </w:p>
    <w:p w14:paraId="7801EE15"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28" w:name="Outsourcing"/>
      <w:proofErr w:type="spellStart"/>
      <w:r w:rsidRPr="001C3E10">
        <w:rPr>
          <w:rFonts w:asciiTheme="minorHAnsi" w:hAnsiTheme="minorHAnsi"/>
          <w:b/>
          <w:sz w:val="22"/>
        </w:rPr>
        <w:t>Outsourcing</w:t>
      </w:r>
      <w:bookmarkEnd w:id="328"/>
      <w:proofErr w:type="spellEnd"/>
      <w:r w:rsidRPr="001C3E10">
        <w:rPr>
          <w:rFonts w:asciiTheme="minorHAnsi" w:hAnsiTheme="minorHAnsi"/>
          <w:sz w:val="22"/>
        </w:rPr>
        <w:t>: práctica utilizada por las organizaciones por medio de la cual se transfiere la administración de la ejecución de una función entera a un proveedor externo por una cuota mensual, en vez de hacerla internamente. Es una estrategia para reducir costos y le permite a TI concentrarse en las funciones vitales de la organización.</w:t>
      </w:r>
    </w:p>
    <w:p w14:paraId="7D178978"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29" w:name="Outtasking"/>
      <w:proofErr w:type="spellStart"/>
      <w:r w:rsidRPr="001C3E10">
        <w:rPr>
          <w:rFonts w:asciiTheme="minorHAnsi" w:hAnsiTheme="minorHAnsi"/>
          <w:b/>
          <w:sz w:val="22"/>
        </w:rPr>
        <w:t>Outtasking</w:t>
      </w:r>
      <w:bookmarkEnd w:id="329"/>
      <w:proofErr w:type="spellEnd"/>
      <w:r w:rsidRPr="001C3E10">
        <w:rPr>
          <w:rFonts w:asciiTheme="minorHAnsi" w:hAnsiTheme="minorHAnsi"/>
          <w:sz w:val="22"/>
        </w:rPr>
        <w:t xml:space="preserve">: </w:t>
      </w:r>
      <w:r w:rsidRPr="001C3E10">
        <w:rPr>
          <w:rFonts w:asciiTheme="minorHAnsi" w:hAnsiTheme="minorHAnsi"/>
          <w:sz w:val="22"/>
          <w:lang w:val="es-ES"/>
        </w:rPr>
        <w:t xml:space="preserve">a diferencia del </w:t>
      </w:r>
      <w:proofErr w:type="spellStart"/>
      <w:r w:rsidRPr="001C3E10">
        <w:rPr>
          <w:rFonts w:asciiTheme="minorHAnsi" w:hAnsiTheme="minorHAnsi"/>
          <w:i/>
          <w:sz w:val="22"/>
          <w:lang w:val="es-ES"/>
        </w:rPr>
        <w:t>outsourcing</w:t>
      </w:r>
      <w:proofErr w:type="spellEnd"/>
      <w:r w:rsidRPr="001C3E10">
        <w:rPr>
          <w:rFonts w:asciiTheme="minorHAnsi" w:hAnsiTheme="minorHAnsi"/>
          <w:sz w:val="22"/>
          <w:lang w:val="es-ES"/>
        </w:rPr>
        <w:t xml:space="preserve">, el </w:t>
      </w:r>
      <w:proofErr w:type="spellStart"/>
      <w:r w:rsidRPr="001C3E10">
        <w:rPr>
          <w:rFonts w:asciiTheme="minorHAnsi" w:hAnsiTheme="minorHAnsi"/>
          <w:i/>
          <w:sz w:val="22"/>
          <w:lang w:val="es-ES"/>
        </w:rPr>
        <w:t>outtasking</w:t>
      </w:r>
      <w:proofErr w:type="spellEnd"/>
      <w:r w:rsidRPr="001C3E10">
        <w:rPr>
          <w:rFonts w:asciiTheme="minorHAnsi" w:hAnsiTheme="minorHAnsi"/>
          <w:sz w:val="22"/>
          <w:lang w:val="es-ES"/>
        </w:rPr>
        <w:t xml:space="preserve"> transfiere partes específicas de la operación de TI a otra organización, no una función completa. Los proveedores externos facilitan personal que actúa como recursos adjuntos al personal interno de TI ya existente. Ese personal externo por lo general trae conocimiento y experticia específica, respaldado por herramientas y buenas prácticas sofisticadas.</w:t>
      </w:r>
    </w:p>
    <w:p w14:paraId="0B01CBE4"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30" w:name="Reembolso"/>
      <w:r w:rsidRPr="001C3E10">
        <w:rPr>
          <w:rFonts w:asciiTheme="minorHAnsi" w:hAnsiTheme="minorHAnsi"/>
          <w:b/>
          <w:sz w:val="22"/>
        </w:rPr>
        <w:t>Reembolso</w:t>
      </w:r>
      <w:bookmarkEnd w:id="330"/>
      <w:r w:rsidRPr="001C3E10">
        <w:rPr>
          <w:rFonts w:asciiTheme="minorHAnsi" w:hAnsiTheme="minorHAnsi"/>
          <w:sz w:val="22"/>
        </w:rPr>
        <w:t xml:space="preserve">: conocido con el término </w:t>
      </w:r>
      <w:proofErr w:type="spellStart"/>
      <w:r w:rsidRPr="001C3E10">
        <w:rPr>
          <w:rFonts w:asciiTheme="minorHAnsi" w:hAnsiTheme="minorHAnsi"/>
          <w:i/>
          <w:sz w:val="22"/>
        </w:rPr>
        <w:t>chargeback</w:t>
      </w:r>
      <w:proofErr w:type="spellEnd"/>
      <w:r w:rsidRPr="001C3E10">
        <w:rPr>
          <w:rFonts w:asciiTheme="minorHAnsi" w:hAnsiTheme="minorHAnsi"/>
          <w:sz w:val="22"/>
        </w:rPr>
        <w:t xml:space="preserve"> en inglés, es una disciplina y una actividad contables para recuperar los costos de TI con el objetivo de ayudar en la administración de los recursos de TI y segmentar los costos compartidos hacia los centros generadores de rentabilidad.</w:t>
      </w:r>
    </w:p>
    <w:p w14:paraId="5EF790B7"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31" w:name="Servicio_de_TI"/>
      <w:r w:rsidRPr="001C3E10">
        <w:rPr>
          <w:rFonts w:asciiTheme="minorHAnsi" w:hAnsiTheme="minorHAnsi"/>
          <w:b/>
          <w:sz w:val="22"/>
        </w:rPr>
        <w:lastRenderedPageBreak/>
        <w:t>Servicio de TI</w:t>
      </w:r>
      <w:bookmarkEnd w:id="331"/>
      <w:r w:rsidRPr="001C3E10">
        <w:rPr>
          <w:rFonts w:asciiTheme="minorHAnsi" w:hAnsiTheme="minorHAnsi"/>
          <w:sz w:val="22"/>
        </w:rPr>
        <w:t xml:space="preserve">: es un servicio provisto a uno o más clientes por un proveedor de servicios de TI. Un Servicio de TI está basado en el uso de las tecnologías de la información y apoya los procesos de negocio del cliente. Está compuesto de una combinación de personas, procesos y tecnología y debería tener definido un Acuerdo de Nivel de Servicio. </w:t>
      </w:r>
    </w:p>
    <w:p w14:paraId="5A77A0BC"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32" w:name="Software"/>
      <w:r w:rsidRPr="001C3E10">
        <w:rPr>
          <w:rFonts w:asciiTheme="minorHAnsi" w:hAnsiTheme="minorHAnsi"/>
          <w:b/>
          <w:sz w:val="22"/>
        </w:rPr>
        <w:t>Software</w:t>
      </w:r>
      <w:bookmarkEnd w:id="332"/>
      <w:r w:rsidRPr="001C3E10">
        <w:rPr>
          <w:rFonts w:asciiTheme="minorHAnsi" w:hAnsiTheme="minorHAnsi"/>
          <w:sz w:val="22"/>
        </w:rPr>
        <w:t>: programas utilizados para operar las computadoras y otros dispositivos electrónicos.</w:t>
      </w:r>
    </w:p>
    <w:p w14:paraId="3A5E277C"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33" w:name="Solución_Tecnológica"/>
      <w:r w:rsidRPr="001C3E10">
        <w:rPr>
          <w:rFonts w:asciiTheme="minorHAnsi" w:hAnsiTheme="minorHAnsi"/>
          <w:b/>
          <w:sz w:val="22"/>
        </w:rPr>
        <w:t>Solución Tecnológica</w:t>
      </w:r>
      <w:bookmarkEnd w:id="333"/>
      <w:r w:rsidRPr="001C3E10">
        <w:rPr>
          <w:rFonts w:asciiTheme="minorHAnsi" w:hAnsiTheme="minorHAnsi"/>
          <w:sz w:val="22"/>
        </w:rPr>
        <w:t>: es la combinación de personas, procesos, información y tecnologías que apoya un conjunto de capacidades técnicas o de negocio para resolver uno o más problemas de negocio.</w:t>
      </w:r>
    </w:p>
    <w:p w14:paraId="491D9C0F"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34" w:name="Tecnología_de_la_Información_TI"/>
      <w:r w:rsidRPr="001C3E10">
        <w:rPr>
          <w:rFonts w:asciiTheme="minorHAnsi" w:hAnsiTheme="minorHAnsi"/>
          <w:b/>
          <w:sz w:val="22"/>
        </w:rPr>
        <w:t>Tecnología de la Información (TI)</w:t>
      </w:r>
      <w:bookmarkEnd w:id="334"/>
      <w:r w:rsidRPr="001C3E10">
        <w:rPr>
          <w:rFonts w:asciiTheme="minorHAnsi" w:hAnsiTheme="minorHAnsi"/>
          <w:sz w:val="22"/>
        </w:rPr>
        <w:t>: es la aplicación de computadoras y equipo de telecomunicaciones para almacenar, extraer y manipular datos, frecuentemente en el contexto de un negocio o de otra empresa.</w:t>
      </w:r>
    </w:p>
    <w:p w14:paraId="0FF8C764"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35" w:name="Virtualización_de_escritorios"/>
      <w:r w:rsidRPr="001C3E10">
        <w:rPr>
          <w:rFonts w:asciiTheme="minorHAnsi" w:hAnsiTheme="minorHAnsi"/>
          <w:b/>
          <w:sz w:val="22"/>
        </w:rPr>
        <w:t>Virtualización de escritorios</w:t>
      </w:r>
      <w:bookmarkEnd w:id="335"/>
      <w:r w:rsidRPr="001C3E10">
        <w:rPr>
          <w:rFonts w:asciiTheme="minorHAnsi" w:hAnsiTheme="minorHAnsi"/>
          <w:sz w:val="22"/>
        </w:rPr>
        <w:t>: también conocido como VDI, por sus siglas en inglés, se refiere a la práctica de hospedar un sistema operativo de escritorio dentro de una máquina virtual corriendo en un servidor centralizado. Es otras palabras, es como tener Windows siendo ejecutado remotamente en una computadora en el centro de datos, en vez de tenerlo en una computadora personal en el escritorio de trabajo. Los beneficios radican en la simplicidad en la administración de equipo y en los menores costos por la compra de computadoras personales, entre otros.</w:t>
      </w:r>
    </w:p>
    <w:p w14:paraId="5605F5EF"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br w:type="page"/>
      </w:r>
    </w:p>
    <w:bookmarkStart w:id="336" w:name="_Toc442253264" w:displacedByCustomXml="next"/>
    <w:bookmarkStart w:id="337" w:name="_Toc414532030" w:displacedByCustomXml="next"/>
    <w:bookmarkStart w:id="338" w:name="_Toc429555175" w:displacedByCustomXml="next"/>
    <w:bookmarkStart w:id="339" w:name="_Toc429562817" w:displacedByCustomXml="next"/>
    <w:bookmarkStart w:id="340" w:name="_Toc429563127" w:displacedByCustomXml="next"/>
    <w:bookmarkStart w:id="341" w:name="_Toc429563282" w:displacedByCustomXml="next"/>
    <w:sdt>
      <w:sdtPr>
        <w:rPr>
          <w:rFonts w:asciiTheme="minorHAnsi" w:eastAsiaTheme="minorHAnsi" w:hAnsiTheme="minorHAnsi" w:cstheme="minorBidi"/>
          <w:b w:val="0"/>
          <w:bCs/>
          <w:sz w:val="22"/>
          <w:szCs w:val="22"/>
          <w:lang w:val="es-ES" w:eastAsia="es-ES"/>
        </w:rPr>
        <w:id w:val="-1711794633"/>
        <w:docPartObj>
          <w:docPartGallery w:val="Bibliographies"/>
          <w:docPartUnique/>
        </w:docPartObj>
      </w:sdtPr>
      <w:sdtEndPr>
        <w:rPr>
          <w:rFonts w:ascii="Times New Roman" w:eastAsia="Times New Roman" w:hAnsi="Times New Roman" w:cs="Times New Roman"/>
          <w:bCs w:val="0"/>
          <w:sz w:val="24"/>
          <w:szCs w:val="24"/>
        </w:rPr>
      </w:sdtEndPr>
      <w:sdtContent>
        <w:p w14:paraId="3DB8AAEA" w14:textId="77777777" w:rsidR="001C3E10" w:rsidRDefault="001C3E10" w:rsidP="00547B19">
          <w:pPr>
            <w:pStyle w:val="Ttulo2"/>
            <w:keepLines/>
            <w:numPr>
              <w:ilvl w:val="1"/>
              <w:numId w:val="45"/>
            </w:numPr>
            <w:tabs>
              <w:tab w:val="clear" w:pos="360"/>
            </w:tabs>
            <w:autoSpaceDE/>
            <w:autoSpaceDN/>
            <w:adjustRightInd/>
            <w:spacing w:before="480" w:line="276" w:lineRule="auto"/>
            <w:jc w:val="both"/>
          </w:pPr>
          <w:r>
            <w:rPr>
              <w:lang w:val="es-ES"/>
            </w:rPr>
            <w:t>Bibliografía</w:t>
          </w:r>
          <w:bookmarkEnd w:id="341"/>
          <w:bookmarkEnd w:id="340"/>
          <w:bookmarkEnd w:id="339"/>
          <w:bookmarkEnd w:id="338"/>
          <w:bookmarkEnd w:id="337"/>
          <w:bookmarkEnd w:id="336"/>
        </w:p>
        <w:sdt>
          <w:sdtPr>
            <w:rPr>
              <w:rFonts w:ascii="Times New Roman" w:eastAsia="Times New Roman" w:hAnsi="Times New Roman" w:cs="Times New Roman"/>
              <w:sz w:val="24"/>
              <w:szCs w:val="24"/>
              <w:lang w:val="es-ES" w:eastAsia="es-ES"/>
            </w:rPr>
            <w:id w:val="111145805"/>
            <w:bibliography/>
          </w:sdtPr>
          <w:sdtEndPr/>
          <w:sdtContent>
            <w:p w14:paraId="7081ABB8" w14:textId="77777777" w:rsidR="001C3E10" w:rsidRDefault="001C3E10" w:rsidP="001C3E10">
              <w:pPr>
                <w:pStyle w:val="Bibliografa"/>
                <w:rPr>
                  <w:noProof/>
                  <w:lang w:val="es-ES"/>
                </w:rPr>
              </w:pPr>
              <w:r>
                <w:fldChar w:fldCharType="begin"/>
              </w:r>
              <w:r w:rsidRPr="00CA4F8D">
                <w:instrText>BIBLIOGRAPHY</w:instrText>
              </w:r>
              <w:r>
                <w:fldChar w:fldCharType="separate"/>
              </w:r>
              <w:r>
                <w:rPr>
                  <w:b/>
                  <w:bCs/>
                  <w:noProof/>
                  <w:lang w:val="es-ES"/>
                </w:rPr>
                <w:t>Artículo 10, acta de sesión 1092-2014 de Junta Directiva del BCCR</w:t>
              </w:r>
              <w:r>
                <w:rPr>
                  <w:noProof/>
                  <w:lang w:val="es-ES"/>
                </w:rPr>
                <w:t xml:space="preserve"> [Informe] / aut. CONASSIF / Consejo Nacional de Supervisión del Sistema Financiero. - 2014.</w:t>
              </w:r>
            </w:p>
            <w:p w14:paraId="39A5B472" w14:textId="77777777" w:rsidR="001C3E10" w:rsidRDefault="001C3E10" w:rsidP="001C3E10">
              <w:pPr>
                <w:pStyle w:val="Bibliografa"/>
                <w:rPr>
                  <w:noProof/>
                  <w:lang w:val="es-ES"/>
                </w:rPr>
              </w:pPr>
              <w:r>
                <w:rPr>
                  <w:b/>
                  <w:bCs/>
                  <w:noProof/>
                  <w:lang w:val="es-ES"/>
                </w:rPr>
                <w:t>Constitución del Comité Estratégico de Tecnologías de Información</w:t>
              </w:r>
              <w:r>
                <w:rPr>
                  <w:noProof/>
                  <w:lang w:val="es-ES"/>
                </w:rPr>
                <w:t xml:space="preserve"> [Informe] / aut. BCCR / División de Servicios Tecnológicos ; Banco Central de Costa Rica. - 2014.</w:t>
              </w:r>
            </w:p>
            <w:p w14:paraId="250843F8" w14:textId="77777777" w:rsidR="001C3E10" w:rsidRDefault="001C3E10" w:rsidP="001C3E10">
              <w:pPr>
                <w:pStyle w:val="Bibliografa"/>
                <w:rPr>
                  <w:noProof/>
                  <w:lang w:val="es-ES"/>
                </w:rPr>
              </w:pPr>
              <w:r w:rsidRPr="00147D4F">
                <w:rPr>
                  <w:b/>
                  <w:bCs/>
                  <w:noProof/>
                  <w:lang w:val="en-US"/>
                </w:rPr>
                <w:t>Gartner.com</w:t>
              </w:r>
              <w:r w:rsidRPr="00147D4F">
                <w:rPr>
                  <w:noProof/>
                  <w:lang w:val="en-US"/>
                </w:rPr>
                <w:t xml:space="preserve"> [En línea] = IT Strategy: A CIO Success Kit / aut. </w:t>
              </w:r>
              <w:r>
                <w:rPr>
                  <w:noProof/>
                  <w:lang w:val="es-ES"/>
                </w:rPr>
                <w:t>Gartner, Inc. / ed. Aron Dave. - 01 de Marzo de 2009. - 2014. - http://www.gartner.com/document/900912?ref=lib. - G00166022.</w:t>
              </w:r>
            </w:p>
            <w:p w14:paraId="492450AB" w14:textId="77777777" w:rsidR="001C3E10" w:rsidRDefault="001C3E10" w:rsidP="001C3E10">
              <w:pPr>
                <w:pStyle w:val="Bibliografa"/>
                <w:rPr>
                  <w:noProof/>
                  <w:lang w:val="es-ES"/>
                </w:rPr>
              </w:pPr>
              <w:r w:rsidRPr="00147D4F">
                <w:rPr>
                  <w:b/>
                  <w:bCs/>
                  <w:noProof/>
                  <w:lang w:val="en-US"/>
                </w:rPr>
                <w:t>Gartner.com</w:t>
              </w:r>
              <w:r w:rsidRPr="00147D4F">
                <w:rPr>
                  <w:noProof/>
                  <w:lang w:val="en-US"/>
                </w:rPr>
                <w:t xml:space="preserve"> [En línea] = The Five Characteristics of a New Breed of CIO / aut. </w:t>
              </w:r>
              <w:r>
                <w:rPr>
                  <w:noProof/>
                  <w:lang w:val="es-ES"/>
                </w:rPr>
                <w:t>Gartner, Inc. / ed. Weldon Lee y Colella Heather. - 07 de Octubre de 2013. - 2014. - http://www.gartner.com/document/2602615. - G00248210.</w:t>
              </w:r>
            </w:p>
            <w:p w14:paraId="11378638" w14:textId="77777777" w:rsidR="001C3E10" w:rsidRDefault="001C3E10" w:rsidP="001C3E10">
              <w:pPr>
                <w:pStyle w:val="Bibliografa"/>
                <w:rPr>
                  <w:noProof/>
                  <w:lang w:val="es-ES"/>
                </w:rPr>
              </w:pPr>
              <w:r w:rsidRPr="00147D4F">
                <w:rPr>
                  <w:b/>
                  <w:bCs/>
                  <w:noProof/>
                  <w:lang w:val="en-US"/>
                </w:rPr>
                <w:t>Gartner.com</w:t>
              </w:r>
              <w:r w:rsidRPr="00147D4F">
                <w:rPr>
                  <w:noProof/>
                  <w:lang w:val="en-US"/>
                </w:rPr>
                <w:t xml:space="preserve"> [En línea] = Governance; CIO Desk Reference Chapter 8, Updated Q4 2013 / aut. </w:t>
              </w:r>
              <w:r>
                <w:rPr>
                  <w:noProof/>
                  <w:lang w:val="es-ES"/>
                </w:rPr>
                <w:t>Gartner, Inc. / ed. Nunno Tina y Swanton Bill. - 10 de Abril de 2014. - 2014. - http://www.gartner.com/document/2706417. - G00263900.</w:t>
              </w:r>
            </w:p>
            <w:p w14:paraId="1A24BA82" w14:textId="77777777" w:rsidR="001C3E10" w:rsidRDefault="001C3E10" w:rsidP="001C3E10">
              <w:pPr>
                <w:pStyle w:val="Bibliografa"/>
                <w:rPr>
                  <w:noProof/>
                  <w:lang w:val="es-ES"/>
                </w:rPr>
              </w:pPr>
              <w:r w:rsidRPr="00147D4F">
                <w:rPr>
                  <w:b/>
                  <w:bCs/>
                  <w:noProof/>
                  <w:lang w:val="en-US"/>
                </w:rPr>
                <w:t>Gartner.com</w:t>
              </w:r>
              <w:r w:rsidRPr="00147D4F">
                <w:rPr>
                  <w:noProof/>
                  <w:lang w:val="en-US"/>
                </w:rPr>
                <w:t xml:space="preserve"> [En línea] = Gartner's Guide to Creating World-Class IT Principles / aut. </w:t>
              </w:r>
              <w:r>
                <w:rPr>
                  <w:noProof/>
                  <w:lang w:val="es-ES"/>
                </w:rPr>
                <w:t>Gartner, Inc. / ed. Mesaglio Mary y Ruggero Jose A.. - 26 de Julio de 2013. - 2014. - http://www.gartner.com/document/2561119. - G00253902.</w:t>
              </w:r>
            </w:p>
            <w:p w14:paraId="0E13CE7E" w14:textId="77777777" w:rsidR="001C3E10" w:rsidRDefault="001C3E10" w:rsidP="001C3E10">
              <w:pPr>
                <w:pStyle w:val="Bibliografa"/>
                <w:rPr>
                  <w:noProof/>
                  <w:lang w:val="es-ES"/>
                </w:rPr>
              </w:pPr>
              <w:r w:rsidRPr="00147D4F">
                <w:rPr>
                  <w:b/>
                  <w:bCs/>
                  <w:noProof/>
                  <w:lang w:val="en-US"/>
                </w:rPr>
                <w:t>Gartner.com</w:t>
              </w:r>
              <w:r w:rsidRPr="00147D4F">
                <w:rPr>
                  <w:noProof/>
                  <w:lang w:val="en-US"/>
                </w:rPr>
                <w:t xml:space="preserve"> [En línea] = IT Strategic Planning: The Right Time to Review and Improve Your IT Service Model / aut. </w:t>
              </w:r>
              <w:r>
                <w:rPr>
                  <w:noProof/>
                  <w:lang w:val="es-ES"/>
                </w:rPr>
                <w:t>Gartner, Inc. / ed. Dreyfuss Cassio. - 22 de Noviembre de 2013. - 2014. - http://www.gartner.com/document/2628719. - G00256441.</w:t>
              </w:r>
            </w:p>
            <w:p w14:paraId="28E57345" w14:textId="77777777" w:rsidR="001C3E10" w:rsidRDefault="001C3E10" w:rsidP="001C3E10">
              <w:pPr>
                <w:pStyle w:val="Bibliografa"/>
                <w:rPr>
                  <w:noProof/>
                  <w:lang w:val="es-ES"/>
                </w:rPr>
              </w:pPr>
              <w:r w:rsidRPr="00147D4F">
                <w:rPr>
                  <w:b/>
                  <w:bCs/>
                  <w:noProof/>
                  <w:lang w:val="en-US"/>
                </w:rPr>
                <w:t>Gartner.com</w:t>
              </w:r>
              <w:r w:rsidRPr="00147D4F">
                <w:rPr>
                  <w:noProof/>
                  <w:lang w:val="en-US"/>
                </w:rPr>
                <w:t xml:space="preserve"> [En línea] = Key Concepts in IT Financial Management: Funding, Costing, Pricing and Chargeback / aut. </w:t>
              </w:r>
              <w:r>
                <w:rPr>
                  <w:noProof/>
                  <w:lang w:val="es-ES"/>
                </w:rPr>
                <w:t>Gartner, Inc. / ed. Gomolski Barbara. - 27 de Abril de 2012. - 2014. - http://www.gartner.com/document/1998216. - G00232787.</w:t>
              </w:r>
            </w:p>
            <w:p w14:paraId="0583DA16" w14:textId="77777777" w:rsidR="001C3E10" w:rsidRDefault="001C3E10" w:rsidP="001C3E10">
              <w:pPr>
                <w:pStyle w:val="Bibliografa"/>
                <w:rPr>
                  <w:noProof/>
                  <w:lang w:val="es-ES"/>
                </w:rPr>
              </w:pPr>
              <w:r w:rsidRPr="00147D4F">
                <w:rPr>
                  <w:b/>
                  <w:bCs/>
                  <w:noProof/>
                  <w:lang w:val="en-US"/>
                </w:rPr>
                <w:t>Gartner.com</w:t>
              </w:r>
              <w:r w:rsidRPr="00147D4F">
                <w:rPr>
                  <w:noProof/>
                  <w:lang w:val="en-US"/>
                </w:rPr>
                <w:t xml:space="preserve"> [En línea] = How to Get Started With a Pace-Layered Application Strategy / aut. </w:t>
              </w:r>
              <w:r>
                <w:rPr>
                  <w:noProof/>
                  <w:lang w:val="es-ES"/>
                </w:rPr>
                <w:t>Gartner, Inc. / ed. Sheperd Jim. - 28 de Marzo de 2011. - 2014. - http://www.gartner.com/document/1607414. - G00211245.</w:t>
              </w:r>
            </w:p>
            <w:p w14:paraId="2E52446D" w14:textId="77777777" w:rsidR="001C3E10" w:rsidRDefault="001C3E10" w:rsidP="001C3E10">
              <w:pPr>
                <w:pStyle w:val="Bibliografa"/>
                <w:rPr>
                  <w:noProof/>
                  <w:lang w:val="es-ES"/>
                </w:rPr>
              </w:pPr>
              <w:r w:rsidRPr="00147D4F">
                <w:rPr>
                  <w:b/>
                  <w:bCs/>
                  <w:noProof/>
                  <w:lang w:val="en-US"/>
                </w:rPr>
                <w:t>Gartner.com</w:t>
              </w:r>
              <w:r w:rsidRPr="00147D4F">
                <w:rPr>
                  <w:noProof/>
                  <w:lang w:val="en-US"/>
                </w:rPr>
                <w:t xml:space="preserve"> [En línea] = Application Portfolio Triage: TIME for APM / aut. </w:t>
              </w:r>
              <w:r>
                <w:rPr>
                  <w:noProof/>
                  <w:lang w:val="es-ES"/>
                </w:rPr>
                <w:t>Gartner, Inc. / ed. Duggan Jim. - 19 de Julio de 2010. - 2014. - http://www.gartner.com/document/1403814. - G00205218.</w:t>
              </w:r>
            </w:p>
            <w:p w14:paraId="2517D98C" w14:textId="77777777" w:rsidR="001C3E10" w:rsidRDefault="001C3E10" w:rsidP="001C3E10">
              <w:pPr>
                <w:pStyle w:val="Bibliografa"/>
                <w:rPr>
                  <w:noProof/>
                  <w:lang w:val="es-ES"/>
                </w:rPr>
              </w:pPr>
              <w:r w:rsidRPr="00147D4F">
                <w:rPr>
                  <w:b/>
                  <w:bCs/>
                  <w:noProof/>
                  <w:lang w:val="en-US"/>
                </w:rPr>
                <w:t>Gartner.com</w:t>
              </w:r>
              <w:r w:rsidRPr="00147D4F">
                <w:rPr>
                  <w:noProof/>
                  <w:lang w:val="en-US"/>
                </w:rPr>
                <w:t xml:space="preserve"> [En línea] = Use IT Capability Modeling to Build a High-Performing IT Organization / aut. </w:t>
              </w:r>
              <w:r>
                <w:rPr>
                  <w:noProof/>
                  <w:lang w:val="es-ES"/>
                </w:rPr>
                <w:t>Gartner, Inc. / ed. Mangi Luis Claudio. - 26 de Noviembre de 2014. - 2014. - http://www.gartner.com/document/2925717. - G00266861.</w:t>
              </w:r>
            </w:p>
            <w:p w14:paraId="1F01A26F" w14:textId="77777777" w:rsidR="001C3E10" w:rsidRDefault="001C3E10" w:rsidP="001C3E10">
              <w:pPr>
                <w:pStyle w:val="Bibliografa"/>
                <w:rPr>
                  <w:noProof/>
                  <w:lang w:val="es-ES"/>
                </w:rPr>
              </w:pPr>
              <w:r w:rsidRPr="00147D4F">
                <w:rPr>
                  <w:b/>
                  <w:bCs/>
                  <w:noProof/>
                  <w:lang w:val="en-US"/>
                </w:rPr>
                <w:t>Gartner.com</w:t>
              </w:r>
              <w:r w:rsidRPr="00147D4F">
                <w:rPr>
                  <w:noProof/>
                  <w:lang w:val="en-US"/>
                </w:rPr>
                <w:t xml:space="preserve"> [En línea] = A Simple Framework to Translate IT Benefits Into Business Value Impact / aut. </w:t>
              </w:r>
              <w:r>
                <w:rPr>
                  <w:noProof/>
                  <w:lang w:val="es-ES"/>
                </w:rPr>
                <w:t>Gartner, Inc. / ed. Hunter Richard [y otros]. - 16 de Mayo de 2008. - 2014. - http://www.gartner.com/document/672507. - G00156986.</w:t>
              </w:r>
            </w:p>
            <w:p w14:paraId="1CC1363F" w14:textId="77777777" w:rsidR="001C3E10" w:rsidRDefault="001C3E10" w:rsidP="001C3E10">
              <w:pPr>
                <w:pStyle w:val="Bibliografa"/>
                <w:rPr>
                  <w:noProof/>
                  <w:lang w:val="es-ES"/>
                </w:rPr>
              </w:pPr>
              <w:r w:rsidRPr="00147D4F">
                <w:rPr>
                  <w:b/>
                  <w:bCs/>
                  <w:noProof/>
                  <w:lang w:val="en-US"/>
                </w:rPr>
                <w:lastRenderedPageBreak/>
                <w:t>Gartner.com</w:t>
              </w:r>
              <w:r w:rsidRPr="00147D4F">
                <w:rPr>
                  <w:noProof/>
                  <w:lang w:val="en-US"/>
                </w:rPr>
                <w:t xml:space="preserve"> [En línea] = Defining Gartner Total Cost of Ownership / aut. </w:t>
              </w:r>
              <w:r>
                <w:rPr>
                  <w:noProof/>
                  <w:lang w:val="es-ES"/>
                </w:rPr>
                <w:t>Gartner Inc. / ed. Mieritz Lars y Kirwin Bill. - 08 de Diciembre de 2005. - 2015. - http://www.gartner.com/document/487157. - G00131837.</w:t>
              </w:r>
            </w:p>
            <w:p w14:paraId="3B4AD206" w14:textId="77777777" w:rsidR="001C3E10" w:rsidRDefault="001C3E10" w:rsidP="001C3E10">
              <w:pPr>
                <w:pStyle w:val="Bibliografa"/>
                <w:rPr>
                  <w:noProof/>
                  <w:lang w:val="es-ES"/>
                </w:rPr>
              </w:pPr>
              <w:r w:rsidRPr="00147D4F">
                <w:rPr>
                  <w:b/>
                  <w:bCs/>
                  <w:noProof/>
                  <w:lang w:val="en-US"/>
                </w:rPr>
                <w:t>Gartner.com</w:t>
              </w:r>
              <w:r w:rsidRPr="00147D4F">
                <w:rPr>
                  <w:noProof/>
                  <w:lang w:val="en-US"/>
                </w:rPr>
                <w:t xml:space="preserve"> [En línea] = The Gartner Business Value Model: A Framework for Measuring Business Performance / aut. </w:t>
              </w:r>
              <w:r>
                <w:rPr>
                  <w:noProof/>
                  <w:lang w:val="es-ES"/>
                </w:rPr>
                <w:t>Gartner Inc. / ed. Smith Michael y Proctor Paul E. - 20 de Marzo de 2013. - 2015. - http://www.gartner.com/document/2379317. - G00249947.</w:t>
              </w:r>
            </w:p>
            <w:p w14:paraId="4068006E" w14:textId="77777777" w:rsidR="001C3E10" w:rsidRDefault="001C3E10" w:rsidP="001C3E10">
              <w:pPr>
                <w:pStyle w:val="Bibliografa"/>
                <w:rPr>
                  <w:noProof/>
                  <w:lang w:val="es-ES"/>
                </w:rPr>
              </w:pPr>
              <w:r w:rsidRPr="00147D4F">
                <w:rPr>
                  <w:b/>
                  <w:bCs/>
                  <w:noProof/>
                  <w:lang w:val="en-US"/>
                </w:rPr>
                <w:t>IT Score for Enterprise Architecture para BCCR</w:t>
              </w:r>
              <w:r w:rsidRPr="00147D4F">
                <w:rPr>
                  <w:noProof/>
                  <w:lang w:val="en-US"/>
                </w:rPr>
                <w:t xml:space="preserve"> [Informe] / aut. </w:t>
              </w:r>
              <w:r>
                <w:rPr>
                  <w:noProof/>
                  <w:lang w:val="es-ES"/>
                </w:rPr>
                <w:t>Gartner, Inc. / División de Servicios Tecnológicos ; Banco Central de Costa Rica. - 2014.</w:t>
              </w:r>
            </w:p>
            <w:p w14:paraId="70E5440A" w14:textId="77777777" w:rsidR="001C3E10" w:rsidRDefault="001C3E10" w:rsidP="001C3E10">
              <w:pPr>
                <w:pStyle w:val="Bibliografa"/>
                <w:rPr>
                  <w:noProof/>
                  <w:lang w:val="es-ES"/>
                </w:rPr>
              </w:pPr>
              <w:r>
                <w:rPr>
                  <w:b/>
                  <w:bCs/>
                  <w:noProof/>
                  <w:lang w:val="es-ES"/>
                </w:rPr>
                <w:t>Plan Estratégico 2013-2017</w:t>
              </w:r>
              <w:r>
                <w:rPr>
                  <w:noProof/>
                  <w:lang w:val="es-ES"/>
                </w:rPr>
                <w:t xml:space="preserve"> [Informe] / aut. SUGEF / Superintendencia General de Entidades Financieras de Costa Rica. - 2014.</w:t>
              </w:r>
            </w:p>
            <w:p w14:paraId="267029CC" w14:textId="77777777" w:rsidR="001C3E10" w:rsidRDefault="001C3E10" w:rsidP="001C3E10">
              <w:pPr>
                <w:pStyle w:val="Bibliografa"/>
                <w:rPr>
                  <w:noProof/>
                  <w:lang w:val="es-ES"/>
                </w:rPr>
              </w:pPr>
              <w:r>
                <w:rPr>
                  <w:b/>
                  <w:bCs/>
                  <w:noProof/>
                  <w:lang w:val="es-ES"/>
                </w:rPr>
                <w:t>Plan Estratégico 2014-2017</w:t>
              </w:r>
              <w:r>
                <w:rPr>
                  <w:noProof/>
                  <w:lang w:val="es-ES"/>
                </w:rPr>
                <w:t xml:space="preserve"> [Informe] / aut. SUGEVAL / Superintendencia General de Valores de Costa Rica. - 2014.</w:t>
              </w:r>
            </w:p>
            <w:p w14:paraId="38003BD2" w14:textId="77777777" w:rsidR="001C3E10" w:rsidRDefault="001C3E10" w:rsidP="001C3E10">
              <w:pPr>
                <w:pStyle w:val="Bibliografa"/>
                <w:rPr>
                  <w:noProof/>
                  <w:lang w:val="es-ES"/>
                </w:rPr>
              </w:pPr>
              <w:r>
                <w:rPr>
                  <w:b/>
                  <w:bCs/>
                  <w:noProof/>
                  <w:lang w:val="es-ES"/>
                </w:rPr>
                <w:t>Plan Estratégico Institucional 2011-2015</w:t>
              </w:r>
              <w:r>
                <w:rPr>
                  <w:noProof/>
                  <w:lang w:val="es-ES"/>
                </w:rPr>
                <w:t xml:space="preserve"> [Informe] / aut. SUPEN / Superintendencia de Pensiones de Costa Rica. - 2014.</w:t>
              </w:r>
            </w:p>
            <w:p w14:paraId="7C03B06A" w14:textId="77777777" w:rsidR="001C3E10" w:rsidRDefault="001C3E10" w:rsidP="001C3E10">
              <w:pPr>
                <w:pStyle w:val="Bibliografa"/>
                <w:rPr>
                  <w:noProof/>
                  <w:lang w:val="es-ES"/>
                </w:rPr>
              </w:pPr>
              <w:r>
                <w:rPr>
                  <w:b/>
                  <w:bCs/>
                  <w:noProof/>
                  <w:lang w:val="es-ES"/>
                </w:rPr>
                <w:t>Plan Estratégico Institucional 2014-2018</w:t>
              </w:r>
              <w:r>
                <w:rPr>
                  <w:noProof/>
                  <w:lang w:val="es-ES"/>
                </w:rPr>
                <w:t xml:space="preserve"> [Informe] / aut. SUGESE / Superintendencia General de Seguros de Costa Rica. - 2013.</w:t>
              </w:r>
            </w:p>
            <w:p w14:paraId="3493DD80" w14:textId="77777777" w:rsidR="001C3E10" w:rsidRDefault="001C3E10" w:rsidP="001C3E10">
              <w:r>
                <w:rPr>
                  <w:b/>
                  <w:bCs/>
                </w:rPr>
                <w:fldChar w:fldCharType="end"/>
              </w:r>
            </w:p>
          </w:sdtContent>
        </w:sdt>
      </w:sdtContent>
    </w:sdt>
    <w:p w14:paraId="0A38A954" w14:textId="77777777" w:rsidR="00B44C7C" w:rsidRDefault="00B44C7C" w:rsidP="00B44C7C">
      <w:pPr>
        <w:ind w:left="708" w:hanging="708"/>
      </w:pPr>
    </w:p>
    <w:p w14:paraId="0D8AD297" w14:textId="518F219E" w:rsidR="00CE5C68" w:rsidRPr="00CE5C68" w:rsidRDefault="00CE5C68" w:rsidP="00CE5C68">
      <w:pPr>
        <w:spacing w:before="200" w:after="200" w:line="276" w:lineRule="auto"/>
        <w:ind w:left="708" w:hanging="708"/>
        <w:rPr>
          <w:rFonts w:asciiTheme="minorHAnsi" w:eastAsiaTheme="minorEastAsia" w:hAnsiTheme="minorHAnsi" w:cstheme="minorBidi"/>
          <w:sz w:val="20"/>
          <w:szCs w:val="20"/>
          <w:lang w:val="es-CR" w:eastAsia="es-CR"/>
        </w:rPr>
      </w:pPr>
    </w:p>
    <w:p w14:paraId="2943AC20" w14:textId="77777777" w:rsidR="00CE5C68" w:rsidRPr="00CE5C68" w:rsidRDefault="00CE5C68" w:rsidP="00CE5C68">
      <w:pPr>
        <w:spacing w:before="200" w:after="200" w:line="276" w:lineRule="auto"/>
        <w:rPr>
          <w:rFonts w:asciiTheme="minorHAnsi" w:eastAsiaTheme="minorEastAsia" w:hAnsiTheme="minorHAnsi" w:cstheme="minorBidi"/>
          <w:sz w:val="20"/>
          <w:szCs w:val="20"/>
          <w:lang w:val="es-CR" w:eastAsia="es-CR"/>
        </w:rPr>
      </w:pPr>
    </w:p>
    <w:p w14:paraId="6DB981E3" w14:textId="77777777" w:rsidR="008D783C" w:rsidRDefault="008D783C" w:rsidP="00B44C7C">
      <w:pPr>
        <w:ind w:left="708" w:hanging="708"/>
        <w:sectPr w:rsidR="008D783C" w:rsidSect="00A964FD">
          <w:headerReference w:type="default" r:id="rId68"/>
          <w:pgSz w:w="12242" w:h="15842" w:code="1"/>
          <w:pgMar w:top="1418" w:right="1701" w:bottom="1418" w:left="1701" w:header="709" w:footer="709" w:gutter="0"/>
          <w:cols w:space="708"/>
          <w:docGrid w:linePitch="360"/>
        </w:sectPr>
      </w:pPr>
    </w:p>
    <w:p w14:paraId="3ABD4C93" w14:textId="7B4DA8A8" w:rsidR="009069EA" w:rsidRPr="007D30D8" w:rsidRDefault="005F618A" w:rsidP="009E097B">
      <w:pPr>
        <w:pStyle w:val="NormalWeb"/>
        <w:tabs>
          <w:tab w:val="left" w:pos="567"/>
        </w:tabs>
        <w:outlineLvl w:val="0"/>
        <w:rPr>
          <w:rFonts w:asciiTheme="majorHAnsi" w:hAnsiTheme="majorHAnsi" w:cs="Tahoma"/>
          <w:b/>
          <w:bCs/>
          <w:smallCaps/>
          <w:sz w:val="28"/>
        </w:rPr>
      </w:pPr>
      <w:bookmarkStart w:id="342" w:name="_Toc442253265"/>
      <w:r>
        <w:rPr>
          <w:rFonts w:asciiTheme="majorHAnsi" w:hAnsiTheme="majorHAnsi" w:cs="Tahoma"/>
          <w:b/>
          <w:bCs/>
          <w:smallCaps/>
          <w:sz w:val="28"/>
        </w:rPr>
        <w:lastRenderedPageBreak/>
        <w:t>5</w:t>
      </w:r>
      <w:r w:rsidR="00563B93" w:rsidRPr="007D30D8">
        <w:rPr>
          <w:rFonts w:asciiTheme="majorHAnsi" w:hAnsiTheme="majorHAnsi" w:cs="Tahoma"/>
          <w:b/>
          <w:bCs/>
          <w:smallCaps/>
          <w:sz w:val="28"/>
        </w:rPr>
        <w:t xml:space="preserve">. </w:t>
      </w:r>
      <w:r w:rsidR="00563B93" w:rsidRPr="007D30D8">
        <w:rPr>
          <w:rFonts w:asciiTheme="majorHAnsi" w:hAnsiTheme="majorHAnsi" w:cs="Tahoma"/>
          <w:b/>
          <w:bCs/>
          <w:smallCaps/>
          <w:sz w:val="28"/>
        </w:rPr>
        <w:tab/>
        <w:t xml:space="preserve">Plan </w:t>
      </w:r>
      <w:r w:rsidR="00F461A7" w:rsidRPr="007D30D8">
        <w:rPr>
          <w:rFonts w:asciiTheme="majorHAnsi" w:hAnsiTheme="majorHAnsi" w:cs="Tahoma"/>
          <w:b/>
          <w:bCs/>
          <w:smallCaps/>
          <w:sz w:val="28"/>
        </w:rPr>
        <w:t>de capacitación Institucional</w:t>
      </w:r>
      <w:bookmarkEnd w:id="342"/>
    </w:p>
    <w:p w14:paraId="019BF72F" w14:textId="72E2AC3B" w:rsidR="00385A02" w:rsidRPr="009069EA" w:rsidRDefault="00385A02" w:rsidP="009069EA">
      <w:pPr>
        <w:tabs>
          <w:tab w:val="left" w:pos="2955"/>
        </w:tabs>
      </w:pPr>
    </w:p>
    <w:sdt>
      <w:sdtPr>
        <w:rPr>
          <w:rFonts w:asciiTheme="majorHAnsi" w:hAnsiTheme="majorHAnsi" w:cstheme="minorHAnsi"/>
        </w:rPr>
        <w:id w:val="-1040280428"/>
        <w:docPartObj>
          <w:docPartGallery w:val="Cover Pages"/>
          <w:docPartUnique/>
        </w:docPartObj>
      </w:sdtPr>
      <w:sdtEndPr/>
      <w:sdtContent>
        <w:p w14:paraId="26265D2A" w14:textId="1CDEE44C" w:rsidR="00385A02" w:rsidRPr="007B42EB" w:rsidRDefault="00385A02" w:rsidP="00385A02">
          <w:pPr>
            <w:rPr>
              <w:rFonts w:asciiTheme="majorHAnsi" w:hAnsiTheme="majorHAnsi" w:cstheme="minorHAnsi"/>
            </w:rPr>
          </w:pPr>
        </w:p>
        <w:p w14:paraId="2C427ABC" w14:textId="77777777" w:rsidR="00263AA0" w:rsidRDefault="00263AA0" w:rsidP="00385A02">
          <w:pPr>
            <w:rPr>
              <w:rFonts w:asciiTheme="majorHAnsi" w:hAnsiTheme="majorHAnsi" w:cstheme="minorHAnsi"/>
            </w:rPr>
          </w:pPr>
        </w:p>
        <w:p w14:paraId="59815889" w14:textId="1BD17B9B" w:rsidR="00263AA0" w:rsidRDefault="00263AA0" w:rsidP="00385A02">
          <w:pPr>
            <w:rPr>
              <w:rFonts w:asciiTheme="majorHAnsi" w:hAnsiTheme="majorHAnsi" w:cstheme="minorHAnsi"/>
            </w:rPr>
          </w:pPr>
        </w:p>
        <w:p w14:paraId="5D260E03" w14:textId="77777777" w:rsidR="00263AA0" w:rsidRDefault="00263AA0" w:rsidP="00385A02">
          <w:pPr>
            <w:rPr>
              <w:rFonts w:asciiTheme="majorHAnsi" w:hAnsiTheme="majorHAnsi" w:cstheme="minorHAnsi"/>
            </w:rPr>
          </w:pPr>
        </w:p>
        <w:p w14:paraId="265BC24D" w14:textId="77777777" w:rsidR="00263AA0" w:rsidRDefault="00263AA0" w:rsidP="00385A02">
          <w:pPr>
            <w:rPr>
              <w:rFonts w:asciiTheme="majorHAnsi" w:hAnsiTheme="majorHAnsi" w:cstheme="minorHAnsi"/>
            </w:rPr>
          </w:pPr>
        </w:p>
        <w:p w14:paraId="3F63832E" w14:textId="12CE94BF" w:rsidR="00DB0FCA" w:rsidRDefault="00DB0FCA" w:rsidP="00385A02">
          <w:pPr>
            <w:rPr>
              <w:rFonts w:asciiTheme="majorHAnsi" w:hAnsiTheme="majorHAnsi" w:cstheme="minorHAnsi"/>
            </w:rPr>
          </w:pPr>
        </w:p>
        <w:p w14:paraId="4C311A66" w14:textId="17F88CC0" w:rsidR="00DB0FCA" w:rsidRPr="00DB0FCA" w:rsidRDefault="00516453" w:rsidP="00DB0FCA">
          <w:pPr>
            <w:jc w:val="center"/>
            <w:rPr>
              <w:rFonts w:asciiTheme="majorHAnsi" w:hAnsiTheme="majorHAnsi" w:cstheme="minorHAnsi"/>
              <w:sz w:val="22"/>
            </w:rPr>
          </w:pPr>
          <w:sdt>
            <w:sdtPr>
              <w:rPr>
                <w:rFonts w:asciiTheme="majorHAnsi" w:eastAsiaTheme="majorEastAsia" w:hAnsiTheme="majorHAnsi" w:cstheme="minorHAnsi"/>
                <w:b/>
                <w:bCs/>
                <w:color w:val="365F91" w:themeColor="accent1" w:themeShade="BF"/>
                <w:sz w:val="48"/>
                <w:szCs w:val="52"/>
              </w:rPr>
              <w:alias w:val="Título"/>
              <w:id w:val="703864190"/>
              <w:dataBinding w:prefixMappings="xmlns:ns0='http://schemas.openxmlformats.org/package/2006/metadata/core-properties' xmlns:ns1='http://purl.org/dc/elements/1.1/'" w:xpath="/ns0:coreProperties[1]/ns1:title[1]" w:storeItemID="{6C3C8BC8-F283-45AE-878A-BAB7291924A1}"/>
              <w:text/>
            </w:sdtPr>
            <w:sdtEndPr/>
            <w:sdtContent>
              <w:r w:rsidR="00DB0FCA" w:rsidRPr="00DB0FCA">
                <w:rPr>
                  <w:rFonts w:asciiTheme="majorHAnsi" w:eastAsiaTheme="majorEastAsia" w:hAnsiTheme="majorHAnsi" w:cstheme="minorHAnsi"/>
                  <w:b/>
                  <w:bCs/>
                  <w:color w:val="365F91" w:themeColor="accent1" w:themeShade="BF"/>
                  <w:sz w:val="48"/>
                  <w:szCs w:val="52"/>
                </w:rPr>
                <w:t>Plan Anual de Capacitación Institucional 201</w:t>
              </w:r>
              <w:r w:rsidR="009276F6">
                <w:rPr>
                  <w:rFonts w:asciiTheme="majorHAnsi" w:eastAsiaTheme="majorEastAsia" w:hAnsiTheme="majorHAnsi" w:cstheme="minorHAnsi"/>
                  <w:b/>
                  <w:bCs/>
                  <w:color w:val="365F91" w:themeColor="accent1" w:themeShade="BF"/>
                  <w:sz w:val="48"/>
                  <w:szCs w:val="52"/>
                </w:rPr>
                <w:t>6</w:t>
              </w:r>
            </w:sdtContent>
          </w:sdt>
        </w:p>
        <w:p w14:paraId="2939BD25" w14:textId="77777777" w:rsidR="00263AA0" w:rsidRDefault="00263AA0" w:rsidP="00385A02">
          <w:pPr>
            <w:rPr>
              <w:rFonts w:asciiTheme="majorHAnsi" w:hAnsiTheme="majorHAnsi" w:cstheme="minorHAnsi"/>
            </w:rPr>
          </w:pPr>
        </w:p>
        <w:p w14:paraId="2719FE9F" w14:textId="77777777" w:rsidR="00263AA0" w:rsidRDefault="00263AA0" w:rsidP="00385A02">
          <w:pPr>
            <w:rPr>
              <w:rFonts w:asciiTheme="majorHAnsi" w:hAnsiTheme="majorHAnsi" w:cstheme="minorHAnsi"/>
            </w:rPr>
          </w:pPr>
        </w:p>
        <w:p w14:paraId="7ABDE649" w14:textId="2EB6BC9C" w:rsidR="00DB0FCA" w:rsidRDefault="00DB0FCA" w:rsidP="00385A02">
          <w:pPr>
            <w:rPr>
              <w:rFonts w:asciiTheme="majorHAnsi" w:hAnsiTheme="majorHAnsi" w:cstheme="minorHAnsi"/>
            </w:rPr>
          </w:pPr>
        </w:p>
        <w:p w14:paraId="4E7FBD27" w14:textId="77777777" w:rsidR="007D30D8" w:rsidRDefault="007D30D8" w:rsidP="00385A02">
          <w:pPr>
            <w:rPr>
              <w:rFonts w:asciiTheme="majorHAnsi" w:hAnsiTheme="majorHAnsi" w:cstheme="minorHAnsi"/>
            </w:rPr>
          </w:pPr>
        </w:p>
        <w:p w14:paraId="4CB8D62C" w14:textId="77777777" w:rsidR="007D30D8" w:rsidRDefault="007D30D8" w:rsidP="00385A02">
          <w:pPr>
            <w:rPr>
              <w:rFonts w:asciiTheme="majorHAnsi" w:hAnsiTheme="majorHAnsi" w:cstheme="minorHAnsi"/>
            </w:rPr>
          </w:pPr>
        </w:p>
        <w:p w14:paraId="69FD4540" w14:textId="77777777" w:rsidR="007D30D8" w:rsidRDefault="007D30D8" w:rsidP="00385A02">
          <w:pPr>
            <w:rPr>
              <w:rFonts w:asciiTheme="majorHAnsi" w:hAnsiTheme="majorHAnsi" w:cstheme="minorHAnsi"/>
            </w:rPr>
          </w:pPr>
        </w:p>
        <w:p w14:paraId="34569E57" w14:textId="77777777" w:rsidR="007D30D8" w:rsidRDefault="007D30D8" w:rsidP="00385A02">
          <w:pPr>
            <w:rPr>
              <w:rFonts w:asciiTheme="majorHAnsi" w:hAnsiTheme="majorHAnsi" w:cstheme="minorHAnsi"/>
            </w:rPr>
          </w:pPr>
        </w:p>
        <w:p w14:paraId="7A052D45" w14:textId="77777777" w:rsidR="007D30D8" w:rsidRDefault="007D30D8" w:rsidP="00385A02">
          <w:pPr>
            <w:rPr>
              <w:rFonts w:asciiTheme="majorHAnsi" w:hAnsiTheme="majorHAnsi" w:cstheme="minorHAnsi"/>
            </w:rPr>
          </w:pPr>
        </w:p>
        <w:p w14:paraId="33A69CB7" w14:textId="77777777" w:rsidR="007D30D8" w:rsidRDefault="007D30D8" w:rsidP="00385A02">
          <w:pPr>
            <w:rPr>
              <w:rFonts w:asciiTheme="majorHAnsi" w:hAnsiTheme="majorHAnsi" w:cstheme="minorHAnsi"/>
            </w:rPr>
          </w:pPr>
        </w:p>
        <w:p w14:paraId="19D6DA7F" w14:textId="77777777" w:rsidR="007D30D8" w:rsidRDefault="007D30D8" w:rsidP="00385A02">
          <w:pPr>
            <w:rPr>
              <w:rFonts w:asciiTheme="majorHAnsi" w:hAnsiTheme="majorHAnsi" w:cstheme="minorHAnsi"/>
            </w:rPr>
          </w:pPr>
        </w:p>
        <w:p w14:paraId="6288EE96" w14:textId="77777777" w:rsidR="007D30D8" w:rsidRDefault="007D30D8" w:rsidP="00385A02">
          <w:pPr>
            <w:rPr>
              <w:rFonts w:asciiTheme="majorHAnsi" w:hAnsiTheme="majorHAnsi" w:cstheme="minorHAnsi"/>
            </w:rPr>
          </w:pPr>
        </w:p>
        <w:p w14:paraId="3A35D007" w14:textId="77777777" w:rsidR="007D30D8" w:rsidRDefault="007D30D8" w:rsidP="00385A02">
          <w:pPr>
            <w:rPr>
              <w:rFonts w:asciiTheme="majorHAnsi" w:hAnsiTheme="majorHAnsi" w:cstheme="minorHAnsi"/>
            </w:rPr>
          </w:pPr>
        </w:p>
        <w:p w14:paraId="3D7A66B9" w14:textId="77777777" w:rsidR="007D30D8" w:rsidRDefault="007D30D8" w:rsidP="00385A02">
          <w:pPr>
            <w:rPr>
              <w:rFonts w:asciiTheme="majorHAnsi" w:hAnsiTheme="majorHAnsi" w:cstheme="minorHAnsi"/>
            </w:rPr>
          </w:pPr>
        </w:p>
        <w:p w14:paraId="1BC39A4E" w14:textId="3A0366AC" w:rsidR="007D30D8" w:rsidRDefault="007D30D8" w:rsidP="00385A02">
          <w:pPr>
            <w:rPr>
              <w:rFonts w:asciiTheme="majorHAnsi" w:hAnsiTheme="majorHAnsi" w:cstheme="minorHAnsi"/>
            </w:rPr>
          </w:pPr>
          <w:r>
            <w:rPr>
              <w:rFonts w:asciiTheme="majorHAnsi" w:hAnsiTheme="majorHAnsi" w:cstheme="minorHAnsi"/>
            </w:rPr>
            <w:tab/>
          </w:r>
        </w:p>
        <w:sdt>
          <w:sdtPr>
            <w:rPr>
              <w:rFonts w:asciiTheme="majorHAnsi" w:hAnsiTheme="majorHAnsi" w:cstheme="minorHAnsi"/>
              <w:i/>
            </w:rPr>
            <w:alias w:val="Descripción breve"/>
            <w:id w:val="703864200"/>
            <w:dataBinding w:prefixMappings="xmlns:ns0='http://schemas.microsoft.com/office/2006/coverPageProps'" w:xpath="/ns0:CoverPageProperties[1]/ns0:Abstract[1]" w:storeItemID="{55AF091B-3C7A-41E3-B477-F2FDAA23CFDA}"/>
            <w:text/>
          </w:sdtPr>
          <w:sdtEndPr/>
          <w:sdtContent>
            <w:p w14:paraId="011571AD" w14:textId="467851F4" w:rsidR="00DB0FCA" w:rsidRDefault="00DB0FCA" w:rsidP="00385A02">
              <w:pPr>
                <w:rPr>
                  <w:rFonts w:asciiTheme="majorHAnsi" w:hAnsiTheme="majorHAnsi" w:cstheme="minorHAnsi"/>
                </w:rPr>
              </w:pPr>
              <w:r>
                <w:rPr>
                  <w:rFonts w:asciiTheme="majorHAnsi" w:hAnsiTheme="majorHAnsi" w:cstheme="minorHAnsi"/>
                  <w:i/>
                </w:rPr>
                <w:t xml:space="preserve"> Lograr que el personal desarrolle las competencias idóneas para el cumplimiento adecuado de sus funciones </w:t>
              </w:r>
            </w:p>
          </w:sdtContent>
        </w:sdt>
        <w:p w14:paraId="2B49ECDC" w14:textId="77777777" w:rsidR="00263AA0" w:rsidRDefault="00263AA0" w:rsidP="00385A02">
          <w:pPr>
            <w:rPr>
              <w:rFonts w:asciiTheme="majorHAnsi" w:hAnsiTheme="majorHAnsi" w:cstheme="minorHAnsi"/>
            </w:rPr>
          </w:pPr>
        </w:p>
        <w:p w14:paraId="688E9A7D" w14:textId="77777777" w:rsidR="00263AA0" w:rsidRDefault="00263AA0">
          <w:pPr>
            <w:rPr>
              <w:rFonts w:asciiTheme="majorHAnsi" w:hAnsiTheme="majorHAnsi" w:cstheme="minorHAnsi"/>
            </w:rPr>
          </w:pPr>
          <w:r>
            <w:rPr>
              <w:rFonts w:asciiTheme="majorHAnsi" w:hAnsiTheme="majorHAnsi" w:cstheme="minorHAnsi"/>
            </w:rPr>
            <w:br w:type="page"/>
          </w:r>
        </w:p>
        <w:p w14:paraId="4AAEA521" w14:textId="76DBCEE4" w:rsidR="00263AA0" w:rsidRPr="007B42EB" w:rsidRDefault="00516453" w:rsidP="00385A02">
          <w:pPr>
            <w:rPr>
              <w:rFonts w:asciiTheme="majorHAnsi" w:hAnsiTheme="majorHAnsi" w:cstheme="minorHAnsi"/>
            </w:rPr>
          </w:pPr>
        </w:p>
      </w:sdtContent>
    </w:sdt>
    <w:sdt>
      <w:sdtPr>
        <w:rPr>
          <w:rFonts w:ascii="Times New Roman" w:eastAsia="Times New Roman" w:hAnsi="Times New Roman" w:cstheme="minorHAnsi"/>
          <w:b w:val="0"/>
          <w:bCs w:val="0"/>
          <w:color w:val="auto"/>
          <w:sz w:val="24"/>
          <w:szCs w:val="24"/>
        </w:rPr>
        <w:id w:val="1129522620"/>
        <w:docPartObj>
          <w:docPartGallery w:val="Table of Contents"/>
          <w:docPartUnique/>
        </w:docPartObj>
      </w:sdtPr>
      <w:sdtEndPr/>
      <w:sdtContent>
        <w:p w14:paraId="03264F87" w14:textId="77777777" w:rsidR="00385A02" w:rsidRPr="007B42EB" w:rsidRDefault="00385A02" w:rsidP="00385A02">
          <w:pPr>
            <w:pStyle w:val="TtulodeTDC"/>
            <w:rPr>
              <w:rFonts w:cstheme="minorHAnsi"/>
            </w:rPr>
          </w:pPr>
          <w:r w:rsidRPr="007B42EB">
            <w:rPr>
              <w:rFonts w:cstheme="minorHAnsi"/>
            </w:rPr>
            <w:t>Contenido</w:t>
          </w:r>
        </w:p>
        <w:p w14:paraId="6FC5A304" w14:textId="77777777" w:rsidR="00385A02" w:rsidRPr="00DB0FCA" w:rsidRDefault="00385A02" w:rsidP="0043587E">
          <w:pPr>
            <w:pStyle w:val="TDC1"/>
          </w:pPr>
          <w:r w:rsidRPr="007B42EB">
            <w:rPr>
              <w:rFonts w:cstheme="minorHAnsi"/>
            </w:rPr>
            <w:fldChar w:fldCharType="begin"/>
          </w:r>
          <w:r w:rsidRPr="007B42EB">
            <w:rPr>
              <w:rFonts w:cstheme="minorHAnsi"/>
            </w:rPr>
            <w:instrText xml:space="preserve"> TOC \o "1-3" \h \z \u </w:instrText>
          </w:r>
          <w:r w:rsidRPr="007B42EB">
            <w:rPr>
              <w:rFonts w:cstheme="minorHAnsi"/>
            </w:rPr>
            <w:fldChar w:fldCharType="separate"/>
          </w:r>
          <w:hyperlink w:anchor="_Toc427932074" w:history="1">
            <w:r w:rsidRPr="00DB0FCA">
              <w:rPr>
                <w:rStyle w:val="Hipervnculo"/>
                <w:rFonts w:cstheme="minorHAnsi"/>
              </w:rPr>
              <w:t>OBJETIVO</w:t>
            </w:r>
            <w:r w:rsidRPr="00DB0FCA">
              <w:rPr>
                <w:webHidden/>
              </w:rPr>
              <w:tab/>
            </w:r>
            <w:r w:rsidRPr="00DB0FCA">
              <w:rPr>
                <w:webHidden/>
              </w:rPr>
              <w:fldChar w:fldCharType="begin"/>
            </w:r>
            <w:r w:rsidRPr="00DB0FCA">
              <w:rPr>
                <w:webHidden/>
              </w:rPr>
              <w:instrText xml:space="preserve"> PAGEREF _Toc427932074 \h </w:instrText>
            </w:r>
            <w:r w:rsidRPr="00DB0FCA">
              <w:rPr>
                <w:webHidden/>
              </w:rPr>
            </w:r>
            <w:r w:rsidRPr="00DB0FCA">
              <w:rPr>
                <w:webHidden/>
              </w:rPr>
              <w:fldChar w:fldCharType="separate"/>
            </w:r>
            <w:r w:rsidR="00D81356">
              <w:rPr>
                <w:webHidden/>
              </w:rPr>
              <w:t>136</w:t>
            </w:r>
            <w:r w:rsidRPr="00DB0FCA">
              <w:rPr>
                <w:webHidden/>
              </w:rPr>
              <w:fldChar w:fldCharType="end"/>
            </w:r>
          </w:hyperlink>
        </w:p>
        <w:p w14:paraId="0C0BBA68" w14:textId="77777777" w:rsidR="00385A02" w:rsidRPr="00DB0FCA" w:rsidRDefault="00516453" w:rsidP="0043587E">
          <w:pPr>
            <w:pStyle w:val="TDC1"/>
          </w:pPr>
          <w:hyperlink w:anchor="_Toc427932075" w:history="1">
            <w:r w:rsidR="00385A02" w:rsidRPr="00DB0FCA">
              <w:rPr>
                <w:rStyle w:val="Hipervnculo"/>
                <w:rFonts w:cstheme="minorHAnsi"/>
              </w:rPr>
              <w:t>ESFUERZOS DE CAPACITACIÓN DE NATURALEZA TÉCNICA Y ACADÉMICA</w:t>
            </w:r>
            <w:r w:rsidR="00385A02" w:rsidRPr="00DB0FCA">
              <w:rPr>
                <w:webHidden/>
              </w:rPr>
              <w:tab/>
            </w:r>
            <w:r w:rsidR="00385A02" w:rsidRPr="00DB0FCA">
              <w:rPr>
                <w:webHidden/>
              </w:rPr>
              <w:fldChar w:fldCharType="begin"/>
            </w:r>
            <w:r w:rsidR="00385A02" w:rsidRPr="00DB0FCA">
              <w:rPr>
                <w:webHidden/>
              </w:rPr>
              <w:instrText xml:space="preserve"> PAGEREF _Toc427932075 \h </w:instrText>
            </w:r>
            <w:r w:rsidR="00385A02" w:rsidRPr="00DB0FCA">
              <w:rPr>
                <w:webHidden/>
              </w:rPr>
            </w:r>
            <w:r w:rsidR="00385A02" w:rsidRPr="00DB0FCA">
              <w:rPr>
                <w:webHidden/>
              </w:rPr>
              <w:fldChar w:fldCharType="separate"/>
            </w:r>
            <w:r w:rsidR="00D81356">
              <w:rPr>
                <w:webHidden/>
              </w:rPr>
              <w:t>137</w:t>
            </w:r>
            <w:r w:rsidR="00385A02" w:rsidRPr="00DB0FCA">
              <w:rPr>
                <w:webHidden/>
              </w:rPr>
              <w:fldChar w:fldCharType="end"/>
            </w:r>
          </w:hyperlink>
        </w:p>
        <w:p w14:paraId="38FAEC31" w14:textId="77777777" w:rsidR="00385A02" w:rsidRPr="00DB0FCA" w:rsidRDefault="00516453" w:rsidP="003A637D">
          <w:pPr>
            <w:pStyle w:val="TDC2"/>
            <w:rPr>
              <w:rFonts w:asciiTheme="minorHAnsi" w:eastAsiaTheme="minorEastAsia" w:hAnsiTheme="minorHAnsi" w:cstheme="minorBidi"/>
              <w:szCs w:val="22"/>
            </w:rPr>
          </w:pPr>
          <w:hyperlink w:anchor="_Toc427932076" w:history="1">
            <w:r w:rsidR="00385A02" w:rsidRPr="00DB0FCA">
              <w:rPr>
                <w:rStyle w:val="Hipervnculo"/>
                <w:rFonts w:cstheme="minorHAnsi"/>
              </w:rPr>
              <w:t>Capacitación General y Específica</w:t>
            </w:r>
            <w:r w:rsidR="00385A02" w:rsidRPr="00DB0FCA">
              <w:rPr>
                <w:webHidden/>
              </w:rPr>
              <w:tab/>
            </w:r>
            <w:r w:rsidR="00385A02" w:rsidRPr="00DB0FCA">
              <w:rPr>
                <w:webHidden/>
              </w:rPr>
              <w:fldChar w:fldCharType="begin"/>
            </w:r>
            <w:r w:rsidR="00385A02" w:rsidRPr="00DB0FCA">
              <w:rPr>
                <w:webHidden/>
              </w:rPr>
              <w:instrText xml:space="preserve"> PAGEREF _Toc427932076 \h </w:instrText>
            </w:r>
            <w:r w:rsidR="00385A02" w:rsidRPr="00DB0FCA">
              <w:rPr>
                <w:webHidden/>
              </w:rPr>
            </w:r>
            <w:r w:rsidR="00385A02" w:rsidRPr="00DB0FCA">
              <w:rPr>
                <w:webHidden/>
              </w:rPr>
              <w:fldChar w:fldCharType="separate"/>
            </w:r>
            <w:r w:rsidR="00D81356">
              <w:rPr>
                <w:webHidden/>
              </w:rPr>
              <w:t>137</w:t>
            </w:r>
            <w:r w:rsidR="00385A02" w:rsidRPr="00DB0FCA">
              <w:rPr>
                <w:webHidden/>
              </w:rPr>
              <w:fldChar w:fldCharType="end"/>
            </w:r>
          </w:hyperlink>
        </w:p>
        <w:p w14:paraId="0D43E76D" w14:textId="77777777" w:rsidR="00385A02" w:rsidRPr="00DB0FCA" w:rsidRDefault="00516453" w:rsidP="003A637D">
          <w:pPr>
            <w:pStyle w:val="TDC2"/>
            <w:rPr>
              <w:rFonts w:asciiTheme="minorHAnsi" w:eastAsiaTheme="minorEastAsia" w:hAnsiTheme="minorHAnsi" w:cstheme="minorBidi"/>
              <w:szCs w:val="22"/>
            </w:rPr>
          </w:pPr>
          <w:hyperlink w:anchor="_Toc427932077" w:history="1">
            <w:r w:rsidR="00385A02" w:rsidRPr="00DB0FCA">
              <w:rPr>
                <w:rStyle w:val="Hipervnculo"/>
                <w:rFonts w:cstheme="minorHAnsi"/>
              </w:rPr>
              <w:t>Becas para estudios superiores</w:t>
            </w:r>
            <w:r w:rsidR="00385A02" w:rsidRPr="00DB0FCA">
              <w:rPr>
                <w:webHidden/>
              </w:rPr>
              <w:tab/>
            </w:r>
            <w:r w:rsidR="00385A02" w:rsidRPr="00DB0FCA">
              <w:rPr>
                <w:webHidden/>
              </w:rPr>
              <w:fldChar w:fldCharType="begin"/>
            </w:r>
            <w:r w:rsidR="00385A02" w:rsidRPr="00DB0FCA">
              <w:rPr>
                <w:webHidden/>
              </w:rPr>
              <w:instrText xml:space="preserve"> PAGEREF _Toc427932077 \h </w:instrText>
            </w:r>
            <w:r w:rsidR="00385A02" w:rsidRPr="00DB0FCA">
              <w:rPr>
                <w:webHidden/>
              </w:rPr>
            </w:r>
            <w:r w:rsidR="00385A02" w:rsidRPr="00DB0FCA">
              <w:rPr>
                <w:webHidden/>
              </w:rPr>
              <w:fldChar w:fldCharType="separate"/>
            </w:r>
            <w:r w:rsidR="00D81356">
              <w:rPr>
                <w:webHidden/>
              </w:rPr>
              <w:t>142</w:t>
            </w:r>
            <w:r w:rsidR="00385A02" w:rsidRPr="00DB0FCA">
              <w:rPr>
                <w:webHidden/>
              </w:rPr>
              <w:fldChar w:fldCharType="end"/>
            </w:r>
          </w:hyperlink>
        </w:p>
        <w:p w14:paraId="0111E8FD" w14:textId="77777777" w:rsidR="00385A02" w:rsidRDefault="00516453" w:rsidP="003A637D">
          <w:pPr>
            <w:pStyle w:val="TDC2"/>
            <w:rPr>
              <w:rFonts w:asciiTheme="minorHAnsi" w:eastAsiaTheme="minorEastAsia" w:hAnsiTheme="minorHAnsi" w:cstheme="minorBidi"/>
              <w:szCs w:val="22"/>
            </w:rPr>
          </w:pPr>
          <w:hyperlink w:anchor="_Toc427932078" w:history="1">
            <w:r w:rsidR="00385A02" w:rsidRPr="00DB0FCA">
              <w:rPr>
                <w:rStyle w:val="Hipervnculo"/>
                <w:rFonts w:cstheme="minorHAnsi"/>
              </w:rPr>
              <w:t>Formación Interna</w:t>
            </w:r>
            <w:r w:rsidR="00385A02" w:rsidRPr="00DB0FCA">
              <w:rPr>
                <w:webHidden/>
              </w:rPr>
              <w:tab/>
            </w:r>
            <w:r w:rsidR="00385A02" w:rsidRPr="00DB0FCA">
              <w:rPr>
                <w:webHidden/>
              </w:rPr>
              <w:fldChar w:fldCharType="begin"/>
            </w:r>
            <w:r w:rsidR="00385A02" w:rsidRPr="00DB0FCA">
              <w:rPr>
                <w:webHidden/>
              </w:rPr>
              <w:instrText xml:space="preserve"> PAGEREF _Toc427932078 \h </w:instrText>
            </w:r>
            <w:r w:rsidR="00385A02" w:rsidRPr="00DB0FCA">
              <w:rPr>
                <w:webHidden/>
              </w:rPr>
            </w:r>
            <w:r w:rsidR="00385A02" w:rsidRPr="00DB0FCA">
              <w:rPr>
                <w:webHidden/>
              </w:rPr>
              <w:fldChar w:fldCharType="separate"/>
            </w:r>
            <w:r w:rsidR="00D81356">
              <w:rPr>
                <w:webHidden/>
              </w:rPr>
              <w:t>143</w:t>
            </w:r>
            <w:r w:rsidR="00385A02" w:rsidRPr="00DB0FCA">
              <w:rPr>
                <w:webHidden/>
              </w:rPr>
              <w:fldChar w:fldCharType="end"/>
            </w:r>
          </w:hyperlink>
        </w:p>
        <w:p w14:paraId="2723E1B7" w14:textId="77777777" w:rsidR="00385A02" w:rsidRPr="007B42EB" w:rsidRDefault="00385A02" w:rsidP="00385A02">
          <w:pPr>
            <w:rPr>
              <w:rFonts w:asciiTheme="majorHAnsi" w:hAnsiTheme="majorHAnsi" w:cstheme="minorHAnsi"/>
            </w:rPr>
          </w:pPr>
          <w:r w:rsidRPr="007B42EB">
            <w:rPr>
              <w:rFonts w:asciiTheme="majorHAnsi" w:hAnsiTheme="majorHAnsi" w:cstheme="minorHAnsi"/>
              <w:b/>
              <w:bCs/>
            </w:rPr>
            <w:fldChar w:fldCharType="end"/>
          </w:r>
        </w:p>
      </w:sdtContent>
    </w:sdt>
    <w:p w14:paraId="2696FEFA" w14:textId="77777777" w:rsidR="00385A02" w:rsidRPr="007B42EB" w:rsidRDefault="00385A02" w:rsidP="00385A02">
      <w:pPr>
        <w:rPr>
          <w:rFonts w:asciiTheme="majorHAnsi" w:hAnsiTheme="majorHAnsi" w:cstheme="minorHAnsi"/>
          <w:b/>
        </w:rPr>
      </w:pPr>
      <w:r w:rsidRPr="007B42EB">
        <w:rPr>
          <w:rFonts w:asciiTheme="majorHAnsi" w:hAnsiTheme="majorHAnsi" w:cstheme="minorHAnsi"/>
          <w:b/>
        </w:rPr>
        <w:br w:type="page"/>
      </w:r>
    </w:p>
    <w:p w14:paraId="09C08578" w14:textId="77777777" w:rsidR="00385A02" w:rsidRPr="007B42EB" w:rsidRDefault="00385A02" w:rsidP="00385A02">
      <w:pPr>
        <w:spacing w:line="360" w:lineRule="auto"/>
        <w:rPr>
          <w:rFonts w:asciiTheme="majorHAnsi" w:hAnsiTheme="majorHAnsi" w:cstheme="minorHAnsi"/>
          <w:b/>
          <w:sz w:val="28"/>
          <w:szCs w:val="28"/>
        </w:rPr>
      </w:pPr>
    </w:p>
    <w:p w14:paraId="39CCF0BF" w14:textId="77777777" w:rsidR="00385A02" w:rsidRPr="007B42EB" w:rsidRDefault="00385A02" w:rsidP="00385A02">
      <w:pPr>
        <w:pStyle w:val="Puesto"/>
        <w:outlineLvl w:val="0"/>
        <w:rPr>
          <w:rFonts w:cstheme="minorHAnsi"/>
        </w:rPr>
      </w:pPr>
      <w:bookmarkStart w:id="343" w:name="_Toc427932074"/>
      <w:bookmarkStart w:id="344" w:name="_Toc429555177"/>
      <w:bookmarkStart w:id="345" w:name="_Toc429562819"/>
      <w:bookmarkStart w:id="346" w:name="_Toc429563129"/>
      <w:bookmarkStart w:id="347" w:name="_Toc429563284"/>
      <w:bookmarkStart w:id="348" w:name="_Toc442253266"/>
      <w:r w:rsidRPr="007B42EB">
        <w:rPr>
          <w:rFonts w:cstheme="minorHAnsi"/>
          <w:szCs w:val="28"/>
        </w:rPr>
        <w:t>OBJET</w:t>
      </w:r>
      <w:r>
        <w:rPr>
          <w:rFonts w:cstheme="minorHAnsi"/>
          <w:szCs w:val="28"/>
        </w:rPr>
        <w:t>IV</w:t>
      </w:r>
      <w:r w:rsidRPr="007B42EB">
        <w:rPr>
          <w:rFonts w:cstheme="minorHAnsi"/>
          <w:szCs w:val="28"/>
        </w:rPr>
        <w:t>O</w:t>
      </w:r>
      <w:bookmarkEnd w:id="343"/>
      <w:bookmarkEnd w:id="344"/>
      <w:bookmarkEnd w:id="345"/>
      <w:bookmarkEnd w:id="346"/>
      <w:bookmarkEnd w:id="347"/>
      <w:bookmarkEnd w:id="348"/>
    </w:p>
    <w:p w14:paraId="063CAEA9" w14:textId="77777777" w:rsidR="00385A02" w:rsidRPr="007B42EB" w:rsidRDefault="00385A02" w:rsidP="00385A02">
      <w:pPr>
        <w:spacing w:line="360" w:lineRule="auto"/>
        <w:rPr>
          <w:rFonts w:asciiTheme="majorHAnsi" w:hAnsiTheme="majorHAnsi" w:cstheme="minorHAnsi"/>
          <w:b/>
        </w:rPr>
      </w:pPr>
    </w:p>
    <w:p w14:paraId="61054E54" w14:textId="77777777" w:rsidR="00385A02" w:rsidRPr="004D7122" w:rsidRDefault="00385A02" w:rsidP="00385A02">
      <w:pPr>
        <w:spacing w:line="276" w:lineRule="auto"/>
        <w:jc w:val="both"/>
        <w:rPr>
          <w:rFonts w:asciiTheme="majorHAnsi" w:hAnsiTheme="majorHAnsi" w:cstheme="minorHAnsi"/>
        </w:rPr>
      </w:pPr>
      <w:r w:rsidRPr="004D7122">
        <w:rPr>
          <w:rFonts w:asciiTheme="majorHAnsi" w:hAnsiTheme="majorHAnsi" w:cstheme="minorHAnsi"/>
        </w:rPr>
        <w:t>La Superintendencia de Pensiones es responsable de velar por la seguridad de los recursos que administra el Sistema Nacional de Pensiones, así como de regular y fiscalizar la inversión de los recursos de los fondos, todo en procura de promover pensiones dignas.</w:t>
      </w:r>
    </w:p>
    <w:p w14:paraId="239ACA8D" w14:textId="77777777" w:rsidR="00385A02" w:rsidRDefault="00385A02" w:rsidP="00385A02">
      <w:pPr>
        <w:spacing w:line="276" w:lineRule="auto"/>
        <w:jc w:val="both"/>
        <w:rPr>
          <w:rFonts w:asciiTheme="majorHAnsi" w:hAnsiTheme="majorHAnsi" w:cstheme="minorHAnsi"/>
          <w:color w:val="000000"/>
        </w:rPr>
      </w:pPr>
    </w:p>
    <w:p w14:paraId="04595B7E" w14:textId="77777777" w:rsidR="00385A02" w:rsidRDefault="00385A02" w:rsidP="00385A02">
      <w:pPr>
        <w:spacing w:line="276" w:lineRule="auto"/>
        <w:jc w:val="both"/>
        <w:rPr>
          <w:rFonts w:asciiTheme="majorHAnsi" w:hAnsiTheme="majorHAnsi" w:cstheme="minorHAnsi"/>
        </w:rPr>
      </w:pPr>
      <w:r w:rsidRPr="007B42EB">
        <w:rPr>
          <w:rFonts w:asciiTheme="majorHAnsi" w:hAnsiTheme="majorHAnsi" w:cstheme="minorHAnsi"/>
        </w:rPr>
        <w:t>De acuerdo con lo anterior, es relevante el establecimiento de un programa permanente de</w:t>
      </w:r>
      <w:r>
        <w:rPr>
          <w:rFonts w:asciiTheme="majorHAnsi" w:hAnsiTheme="majorHAnsi" w:cstheme="minorHAnsi"/>
        </w:rPr>
        <w:t xml:space="preserve"> </w:t>
      </w:r>
      <w:r w:rsidRPr="007B42EB">
        <w:rPr>
          <w:rFonts w:asciiTheme="majorHAnsi" w:hAnsiTheme="majorHAnsi" w:cstheme="minorHAnsi"/>
        </w:rPr>
        <w:t>formación académica</w:t>
      </w:r>
      <w:r>
        <w:rPr>
          <w:rFonts w:asciiTheme="majorHAnsi" w:hAnsiTheme="majorHAnsi" w:cstheme="minorHAnsi"/>
        </w:rPr>
        <w:t xml:space="preserve"> para los funcionarios</w:t>
      </w:r>
      <w:r w:rsidRPr="007B42EB">
        <w:rPr>
          <w:rFonts w:asciiTheme="majorHAnsi" w:hAnsiTheme="majorHAnsi" w:cstheme="minorHAnsi"/>
        </w:rPr>
        <w:t xml:space="preserve">, mediante el cual se </w:t>
      </w:r>
      <w:r>
        <w:rPr>
          <w:rFonts w:asciiTheme="majorHAnsi" w:hAnsiTheme="majorHAnsi" w:cstheme="minorHAnsi"/>
        </w:rPr>
        <w:t>guie la</w:t>
      </w:r>
      <w:r w:rsidRPr="007B42EB">
        <w:rPr>
          <w:rFonts w:asciiTheme="majorHAnsi" w:hAnsiTheme="majorHAnsi" w:cstheme="minorHAnsi"/>
        </w:rPr>
        <w:t xml:space="preserve"> capacitación diversa en temas </w:t>
      </w:r>
      <w:r>
        <w:rPr>
          <w:rFonts w:asciiTheme="majorHAnsi" w:hAnsiTheme="majorHAnsi" w:cstheme="minorHAnsi"/>
        </w:rPr>
        <w:t>especializados y técnicos establecidos por los encargados de cada proceso, contemplando asimismo</w:t>
      </w:r>
      <w:r w:rsidRPr="007B42EB">
        <w:rPr>
          <w:rFonts w:asciiTheme="majorHAnsi" w:hAnsiTheme="majorHAnsi" w:cstheme="minorHAnsi"/>
        </w:rPr>
        <w:t xml:space="preserve">, </w:t>
      </w:r>
      <w:r>
        <w:rPr>
          <w:rFonts w:asciiTheme="majorHAnsi" w:hAnsiTheme="majorHAnsi" w:cstheme="minorHAnsi"/>
        </w:rPr>
        <w:t xml:space="preserve">el otorgamiento de </w:t>
      </w:r>
      <w:r w:rsidRPr="007B42EB">
        <w:rPr>
          <w:rFonts w:asciiTheme="majorHAnsi" w:hAnsiTheme="majorHAnsi" w:cstheme="minorHAnsi"/>
        </w:rPr>
        <w:t xml:space="preserve">becas para estudios superiores, que permita </w:t>
      </w:r>
      <w:r>
        <w:rPr>
          <w:rFonts w:asciiTheme="majorHAnsi" w:hAnsiTheme="majorHAnsi" w:cstheme="minorHAnsi"/>
        </w:rPr>
        <w:t xml:space="preserve">en conjunto </w:t>
      </w:r>
      <w:r w:rsidRPr="007B42EB">
        <w:rPr>
          <w:rFonts w:asciiTheme="majorHAnsi" w:hAnsiTheme="majorHAnsi" w:cstheme="minorHAnsi"/>
        </w:rPr>
        <w:t xml:space="preserve">reforzar o alcanzar los conocimientos que requieren </w:t>
      </w:r>
      <w:r>
        <w:rPr>
          <w:rFonts w:asciiTheme="majorHAnsi" w:hAnsiTheme="majorHAnsi" w:cstheme="minorHAnsi"/>
        </w:rPr>
        <w:t xml:space="preserve">los colaboradores </w:t>
      </w:r>
      <w:r w:rsidRPr="007B42EB">
        <w:rPr>
          <w:rFonts w:asciiTheme="majorHAnsi" w:hAnsiTheme="majorHAnsi" w:cstheme="minorHAnsi"/>
        </w:rPr>
        <w:t>para llevar a cabo las labores as</w:t>
      </w:r>
      <w:r>
        <w:rPr>
          <w:rFonts w:asciiTheme="majorHAnsi" w:hAnsiTheme="majorHAnsi" w:cstheme="minorHAnsi"/>
        </w:rPr>
        <w:t>ignadas y, con lo cual se provea</w:t>
      </w:r>
      <w:r w:rsidRPr="007B42EB">
        <w:rPr>
          <w:rFonts w:asciiTheme="majorHAnsi" w:hAnsiTheme="majorHAnsi" w:cstheme="minorHAnsi"/>
        </w:rPr>
        <w:t xml:space="preserve"> una actualización constante conforme a las cambiantes exigencias del entorno.</w:t>
      </w:r>
    </w:p>
    <w:p w14:paraId="7317A333" w14:textId="77777777" w:rsidR="00385A02" w:rsidRPr="007B42EB" w:rsidRDefault="00385A02" w:rsidP="00385A02">
      <w:pPr>
        <w:spacing w:line="360" w:lineRule="auto"/>
        <w:jc w:val="both"/>
        <w:rPr>
          <w:rFonts w:asciiTheme="majorHAnsi" w:hAnsiTheme="majorHAnsi" w:cstheme="minorHAnsi"/>
        </w:rPr>
      </w:pPr>
    </w:p>
    <w:p w14:paraId="6CDCBEBB" w14:textId="298134C0" w:rsidR="00385A02" w:rsidRDefault="00385A02" w:rsidP="00385A02">
      <w:pPr>
        <w:spacing w:line="276" w:lineRule="auto"/>
        <w:jc w:val="both"/>
        <w:rPr>
          <w:rFonts w:asciiTheme="majorHAnsi" w:hAnsiTheme="majorHAnsi" w:cstheme="minorHAnsi"/>
          <w:color w:val="000000"/>
        </w:rPr>
      </w:pPr>
      <w:r w:rsidRPr="007B42EB">
        <w:rPr>
          <w:rFonts w:asciiTheme="majorHAnsi" w:hAnsiTheme="majorHAnsi" w:cstheme="minorHAnsi"/>
          <w:color w:val="000000"/>
        </w:rPr>
        <w:t xml:space="preserve">Mediante este documento se </w:t>
      </w:r>
      <w:r>
        <w:rPr>
          <w:rFonts w:asciiTheme="majorHAnsi" w:hAnsiTheme="majorHAnsi" w:cstheme="minorHAnsi"/>
          <w:color w:val="000000"/>
        </w:rPr>
        <w:t>establecen las necesidades</w:t>
      </w:r>
      <w:r w:rsidRPr="007B42EB">
        <w:rPr>
          <w:rFonts w:asciiTheme="majorHAnsi" w:hAnsiTheme="majorHAnsi" w:cstheme="minorHAnsi"/>
          <w:color w:val="000000"/>
        </w:rPr>
        <w:t xml:space="preserve"> de capacitación para el año 201</w:t>
      </w:r>
      <w:r>
        <w:rPr>
          <w:rFonts w:asciiTheme="majorHAnsi" w:hAnsiTheme="majorHAnsi" w:cstheme="minorHAnsi"/>
          <w:color w:val="000000"/>
        </w:rPr>
        <w:t>6</w:t>
      </w:r>
      <w:r w:rsidRPr="007B42EB">
        <w:rPr>
          <w:rFonts w:asciiTheme="majorHAnsi" w:hAnsiTheme="majorHAnsi" w:cstheme="minorHAnsi"/>
          <w:color w:val="000000"/>
        </w:rPr>
        <w:t>, requerid</w:t>
      </w:r>
      <w:r>
        <w:rPr>
          <w:rFonts w:asciiTheme="majorHAnsi" w:hAnsiTheme="majorHAnsi" w:cstheme="minorHAnsi"/>
          <w:color w:val="000000"/>
        </w:rPr>
        <w:t>a</w:t>
      </w:r>
      <w:r w:rsidRPr="007B42EB">
        <w:rPr>
          <w:rFonts w:asciiTheme="majorHAnsi" w:hAnsiTheme="majorHAnsi" w:cstheme="minorHAnsi"/>
          <w:color w:val="000000"/>
        </w:rPr>
        <w:t xml:space="preserve">s para que el personal de la </w:t>
      </w:r>
      <w:r w:rsidR="007D30D8">
        <w:rPr>
          <w:rFonts w:asciiTheme="majorHAnsi" w:hAnsiTheme="majorHAnsi" w:cstheme="minorHAnsi"/>
          <w:color w:val="000000"/>
        </w:rPr>
        <w:t>SUPEN</w:t>
      </w:r>
      <w:r w:rsidRPr="007B42EB">
        <w:rPr>
          <w:rFonts w:asciiTheme="majorHAnsi" w:hAnsiTheme="majorHAnsi" w:cstheme="minorHAnsi"/>
          <w:color w:val="000000"/>
        </w:rPr>
        <w:t xml:space="preserve"> cuente con la capacidad técnica necesaria para desempeñar con éxito las funciones que le han sido encomendadas en la Ley de Protección al Trabajador y demás normas conexas.</w:t>
      </w:r>
    </w:p>
    <w:p w14:paraId="6B8DF8A7" w14:textId="77777777" w:rsidR="00385A02" w:rsidRPr="007B42EB" w:rsidRDefault="00385A02" w:rsidP="00385A02">
      <w:pPr>
        <w:spacing w:line="276" w:lineRule="auto"/>
        <w:jc w:val="both"/>
        <w:rPr>
          <w:rFonts w:asciiTheme="majorHAnsi" w:hAnsiTheme="majorHAnsi" w:cstheme="minorHAnsi"/>
          <w:color w:val="000000"/>
        </w:rPr>
      </w:pPr>
    </w:p>
    <w:p w14:paraId="40890E16" w14:textId="77777777" w:rsidR="00385A02" w:rsidRDefault="00385A02" w:rsidP="00385A02">
      <w:pPr>
        <w:spacing w:line="276" w:lineRule="auto"/>
        <w:jc w:val="both"/>
        <w:rPr>
          <w:rFonts w:asciiTheme="majorHAnsi" w:hAnsiTheme="majorHAnsi"/>
        </w:rPr>
      </w:pPr>
      <w:r>
        <w:rPr>
          <w:rFonts w:asciiTheme="majorHAnsi" w:hAnsiTheme="majorHAnsi" w:cstheme="minorHAnsi"/>
          <w:color w:val="000000"/>
        </w:rPr>
        <w:t>A continuación</w:t>
      </w:r>
      <w:r w:rsidRPr="007B42EB">
        <w:rPr>
          <w:rFonts w:asciiTheme="majorHAnsi" w:hAnsiTheme="majorHAnsi" w:cstheme="minorHAnsi"/>
          <w:color w:val="000000"/>
        </w:rPr>
        <w:t xml:space="preserve">, se </w:t>
      </w:r>
      <w:r w:rsidRPr="007B42EB">
        <w:rPr>
          <w:rFonts w:asciiTheme="majorHAnsi" w:hAnsiTheme="majorHAnsi" w:cstheme="minorHAnsi"/>
        </w:rPr>
        <w:t xml:space="preserve">presenta la programación de la </w:t>
      </w:r>
      <w:r>
        <w:rPr>
          <w:rFonts w:asciiTheme="majorHAnsi" w:hAnsiTheme="majorHAnsi" w:cstheme="minorHAnsi"/>
        </w:rPr>
        <w:t>formación</w:t>
      </w:r>
      <w:r w:rsidRPr="007B42EB">
        <w:rPr>
          <w:rFonts w:asciiTheme="majorHAnsi" w:hAnsiTheme="majorHAnsi" w:cstheme="minorHAnsi"/>
        </w:rPr>
        <w:t xml:space="preserve"> para el</w:t>
      </w:r>
      <w:r>
        <w:rPr>
          <w:rFonts w:asciiTheme="majorHAnsi" w:hAnsiTheme="majorHAnsi" w:cstheme="minorHAnsi"/>
        </w:rPr>
        <w:t xml:space="preserve"> año 2016</w:t>
      </w:r>
      <w:r w:rsidRPr="007B42EB">
        <w:rPr>
          <w:rFonts w:asciiTheme="majorHAnsi" w:hAnsiTheme="majorHAnsi" w:cstheme="minorHAnsi"/>
        </w:rPr>
        <w:t xml:space="preserve"> por tema y dependencia. </w:t>
      </w:r>
      <w:r w:rsidRPr="007B42EB">
        <w:rPr>
          <w:rFonts w:asciiTheme="majorHAnsi" w:hAnsiTheme="majorHAnsi"/>
        </w:rPr>
        <w:t xml:space="preserve">Cabe destacar, que para dicho período se aprobó un presupuesto de </w:t>
      </w:r>
      <w:r w:rsidRPr="00B132A7">
        <w:rPr>
          <w:rFonts w:asciiTheme="majorHAnsi" w:hAnsiTheme="majorHAnsi"/>
        </w:rPr>
        <w:t>¢</w:t>
      </w:r>
      <w:r>
        <w:rPr>
          <w:rFonts w:asciiTheme="majorHAnsi" w:hAnsiTheme="majorHAnsi"/>
        </w:rPr>
        <w:t>87,2 millones</w:t>
      </w:r>
      <w:r w:rsidRPr="00B132A7">
        <w:rPr>
          <w:rFonts w:asciiTheme="majorHAnsi" w:hAnsiTheme="majorHAnsi"/>
        </w:rPr>
        <w:t xml:space="preserve"> colones, de los cuales ¢</w:t>
      </w:r>
      <w:r>
        <w:rPr>
          <w:rFonts w:asciiTheme="majorHAnsi" w:hAnsiTheme="majorHAnsi"/>
        </w:rPr>
        <w:t>6,9 millones de colones</w:t>
      </w:r>
      <w:r w:rsidRPr="00B132A7">
        <w:rPr>
          <w:rFonts w:asciiTheme="majorHAnsi" w:hAnsiTheme="majorHAnsi"/>
        </w:rPr>
        <w:t xml:space="preserve"> están destinados</w:t>
      </w:r>
      <w:r w:rsidRPr="007B42EB">
        <w:rPr>
          <w:rFonts w:asciiTheme="majorHAnsi" w:hAnsiTheme="majorHAnsi"/>
        </w:rPr>
        <w:t xml:space="preserve"> para el tema de </w:t>
      </w:r>
      <w:r>
        <w:rPr>
          <w:rFonts w:asciiTheme="majorHAnsi" w:hAnsiTheme="majorHAnsi"/>
        </w:rPr>
        <w:t>becas para estudios superiores</w:t>
      </w:r>
      <w:r w:rsidRPr="007B42EB">
        <w:rPr>
          <w:rFonts w:asciiTheme="majorHAnsi" w:hAnsiTheme="majorHAnsi"/>
        </w:rPr>
        <w:t>.</w:t>
      </w:r>
    </w:p>
    <w:p w14:paraId="64EE3FBA" w14:textId="77777777" w:rsidR="00385A02" w:rsidRDefault="00385A02" w:rsidP="00385A02">
      <w:pPr>
        <w:spacing w:line="276" w:lineRule="auto"/>
        <w:jc w:val="both"/>
        <w:rPr>
          <w:rFonts w:asciiTheme="majorHAnsi" w:hAnsiTheme="majorHAnsi" w:cstheme="minorHAnsi"/>
        </w:rPr>
      </w:pPr>
    </w:p>
    <w:p w14:paraId="230FA554" w14:textId="77777777" w:rsidR="00385A02" w:rsidRDefault="00385A02" w:rsidP="00385A02">
      <w:pPr>
        <w:spacing w:line="276" w:lineRule="auto"/>
        <w:jc w:val="both"/>
        <w:rPr>
          <w:rFonts w:asciiTheme="majorHAnsi" w:hAnsiTheme="majorHAnsi" w:cstheme="minorHAnsi"/>
        </w:rPr>
      </w:pPr>
      <w:r>
        <w:rPr>
          <w:rFonts w:asciiTheme="majorHAnsi" w:hAnsiTheme="majorHAnsi" w:cstheme="minorHAnsi"/>
        </w:rPr>
        <w:t xml:space="preserve">Dadas las limitaciones de recursos y los precios cambiantes de las capacitaciones, esta administración espera poder concretar la mayor parte de las necesidades, conforme se vayan requiriendo. </w:t>
      </w:r>
    </w:p>
    <w:p w14:paraId="2A464A6E" w14:textId="77777777" w:rsidR="00385A02" w:rsidRDefault="00385A02" w:rsidP="00385A02">
      <w:pPr>
        <w:spacing w:line="276" w:lineRule="auto"/>
        <w:jc w:val="both"/>
        <w:rPr>
          <w:rFonts w:asciiTheme="majorHAnsi" w:hAnsiTheme="majorHAnsi" w:cstheme="minorHAnsi"/>
        </w:rPr>
      </w:pPr>
    </w:p>
    <w:p w14:paraId="65A2194D" w14:textId="77777777" w:rsidR="00385A02" w:rsidRDefault="00385A02" w:rsidP="00385A02">
      <w:pPr>
        <w:spacing w:line="276" w:lineRule="auto"/>
        <w:jc w:val="both"/>
        <w:rPr>
          <w:rFonts w:asciiTheme="majorHAnsi" w:hAnsiTheme="majorHAnsi" w:cstheme="minorHAnsi"/>
        </w:rPr>
      </w:pPr>
      <w:r>
        <w:rPr>
          <w:rFonts w:asciiTheme="majorHAnsi" w:hAnsiTheme="majorHAnsi" w:cstheme="minorHAnsi"/>
        </w:rPr>
        <w:t>Es responsabilidad del encargado de proceso la coordinación con el área de comunicación y servicios, para la contratación de cursos y capacitaciones específicas y de carácter técnico.</w:t>
      </w:r>
    </w:p>
    <w:p w14:paraId="7C6C07C2" w14:textId="77777777" w:rsidR="00263AA0" w:rsidRPr="007B42EB" w:rsidRDefault="00263AA0" w:rsidP="00385A02">
      <w:pPr>
        <w:spacing w:line="276" w:lineRule="auto"/>
        <w:jc w:val="both"/>
        <w:rPr>
          <w:rFonts w:asciiTheme="majorHAnsi" w:hAnsiTheme="majorHAnsi" w:cstheme="minorHAnsi"/>
        </w:rPr>
      </w:pPr>
    </w:p>
    <w:p w14:paraId="16B199C8" w14:textId="77777777" w:rsidR="00385A02" w:rsidRPr="002842C7" w:rsidRDefault="00385A02" w:rsidP="00385A02">
      <w:pPr>
        <w:autoSpaceDE w:val="0"/>
        <w:autoSpaceDN w:val="0"/>
        <w:spacing w:before="40" w:after="40" w:line="276" w:lineRule="auto"/>
      </w:pPr>
      <w:r w:rsidRPr="007B42EB">
        <w:rPr>
          <w:rFonts w:cstheme="minorHAnsi"/>
        </w:rPr>
        <w:br w:type="page"/>
      </w:r>
    </w:p>
    <w:p w14:paraId="36655C55" w14:textId="77777777" w:rsidR="00385A02" w:rsidRPr="007B42EB" w:rsidRDefault="00385A02" w:rsidP="007D30D8">
      <w:pPr>
        <w:pStyle w:val="Puesto"/>
        <w:spacing w:line="276" w:lineRule="auto"/>
        <w:jc w:val="both"/>
        <w:outlineLvl w:val="0"/>
        <w:rPr>
          <w:rFonts w:cstheme="minorHAnsi"/>
          <w:szCs w:val="28"/>
        </w:rPr>
      </w:pPr>
    </w:p>
    <w:p w14:paraId="6993F813" w14:textId="77777777" w:rsidR="00385A02" w:rsidRDefault="00385A02" w:rsidP="007D30D8">
      <w:pPr>
        <w:pStyle w:val="Puesto"/>
        <w:spacing w:line="276" w:lineRule="auto"/>
        <w:jc w:val="both"/>
        <w:outlineLvl w:val="0"/>
        <w:rPr>
          <w:rFonts w:cstheme="minorHAnsi"/>
          <w:szCs w:val="28"/>
        </w:rPr>
      </w:pPr>
      <w:bookmarkStart w:id="349" w:name="_Toc427932075"/>
      <w:bookmarkStart w:id="350" w:name="_Toc429555178"/>
      <w:bookmarkStart w:id="351" w:name="_Toc429562820"/>
      <w:bookmarkStart w:id="352" w:name="_Toc429563130"/>
      <w:bookmarkStart w:id="353" w:name="_Toc429563285"/>
      <w:bookmarkStart w:id="354" w:name="_Toc442253267"/>
      <w:r w:rsidRPr="007B42EB">
        <w:rPr>
          <w:rFonts w:cstheme="minorHAnsi"/>
          <w:szCs w:val="28"/>
        </w:rPr>
        <w:t>ESFUERZOS DE CAP</w:t>
      </w:r>
      <w:r w:rsidRPr="00E61E49">
        <w:rPr>
          <w:rFonts w:cstheme="minorHAnsi"/>
          <w:szCs w:val="28"/>
        </w:rPr>
        <w:t>ACITACI</w:t>
      </w:r>
      <w:r w:rsidRPr="007B42EB">
        <w:rPr>
          <w:rFonts w:cstheme="minorHAnsi"/>
          <w:szCs w:val="28"/>
        </w:rPr>
        <w:t>ÓN DE NATURALEZA TÉCNICA Y ACADÉMICA</w:t>
      </w:r>
      <w:bookmarkEnd w:id="349"/>
      <w:bookmarkEnd w:id="350"/>
      <w:bookmarkEnd w:id="351"/>
      <w:bookmarkEnd w:id="352"/>
      <w:bookmarkEnd w:id="353"/>
      <w:bookmarkEnd w:id="354"/>
    </w:p>
    <w:p w14:paraId="1A6687F0" w14:textId="77777777" w:rsidR="00385A02" w:rsidRPr="007B42EB" w:rsidRDefault="00385A02" w:rsidP="00385A02">
      <w:pPr>
        <w:pStyle w:val="Puesto"/>
        <w:spacing w:line="276" w:lineRule="auto"/>
        <w:outlineLvl w:val="0"/>
        <w:rPr>
          <w:rFonts w:cstheme="minorHAnsi"/>
          <w:szCs w:val="28"/>
        </w:rPr>
      </w:pPr>
    </w:p>
    <w:p w14:paraId="6CA0F0E1" w14:textId="04F16769" w:rsidR="00385A02" w:rsidRPr="007B42EB" w:rsidRDefault="00385A02" w:rsidP="00385A02">
      <w:pPr>
        <w:spacing w:line="276" w:lineRule="auto"/>
        <w:jc w:val="both"/>
        <w:rPr>
          <w:rFonts w:asciiTheme="majorHAnsi" w:hAnsiTheme="majorHAnsi" w:cstheme="minorHAnsi"/>
        </w:rPr>
      </w:pPr>
      <w:r w:rsidRPr="007B42EB">
        <w:rPr>
          <w:rFonts w:asciiTheme="majorHAnsi" w:hAnsiTheme="majorHAnsi" w:cstheme="minorHAnsi"/>
        </w:rPr>
        <w:t xml:space="preserve">Seguidamente se expone </w:t>
      </w:r>
      <w:r>
        <w:rPr>
          <w:rFonts w:asciiTheme="majorHAnsi" w:hAnsiTheme="majorHAnsi" w:cstheme="minorHAnsi"/>
        </w:rPr>
        <w:t>la</w:t>
      </w:r>
      <w:r w:rsidRPr="007B42EB">
        <w:rPr>
          <w:rFonts w:asciiTheme="majorHAnsi" w:hAnsiTheme="majorHAnsi" w:cstheme="minorHAnsi"/>
        </w:rPr>
        <w:t xml:space="preserve"> formación </w:t>
      </w:r>
      <w:r>
        <w:rPr>
          <w:rFonts w:asciiTheme="majorHAnsi" w:hAnsiTheme="majorHAnsi" w:cstheme="minorHAnsi"/>
        </w:rPr>
        <w:t xml:space="preserve">requerida </w:t>
      </w:r>
      <w:r w:rsidRPr="007B42EB">
        <w:rPr>
          <w:rFonts w:asciiTheme="majorHAnsi" w:hAnsiTheme="majorHAnsi" w:cstheme="minorHAnsi"/>
        </w:rPr>
        <w:t xml:space="preserve">en el ámbito técnico y académico, para cumplir cabalmente con las responsabilidades </w:t>
      </w:r>
      <w:r w:rsidR="007D30D8">
        <w:rPr>
          <w:rFonts w:asciiTheme="majorHAnsi" w:hAnsiTheme="majorHAnsi" w:cstheme="minorHAnsi"/>
        </w:rPr>
        <w:t>de la SUPEN</w:t>
      </w:r>
      <w:r w:rsidRPr="007B42EB">
        <w:rPr>
          <w:rFonts w:asciiTheme="majorHAnsi" w:hAnsiTheme="majorHAnsi" w:cstheme="minorHAnsi"/>
        </w:rPr>
        <w:t>.</w:t>
      </w:r>
    </w:p>
    <w:p w14:paraId="7545CADE" w14:textId="77777777" w:rsidR="00385A02" w:rsidRPr="007B42EB" w:rsidRDefault="00385A02" w:rsidP="00385A02">
      <w:pPr>
        <w:spacing w:line="276" w:lineRule="auto"/>
        <w:jc w:val="both"/>
        <w:rPr>
          <w:rFonts w:asciiTheme="majorHAnsi" w:hAnsiTheme="majorHAnsi" w:cstheme="minorHAnsi"/>
        </w:rPr>
      </w:pPr>
    </w:p>
    <w:p w14:paraId="11848C7B" w14:textId="55635972" w:rsidR="00385A02" w:rsidRPr="007B42EB" w:rsidRDefault="00385A02" w:rsidP="00385A02">
      <w:pPr>
        <w:spacing w:line="276" w:lineRule="auto"/>
        <w:jc w:val="both"/>
        <w:rPr>
          <w:rFonts w:asciiTheme="majorHAnsi" w:hAnsiTheme="majorHAnsi" w:cstheme="minorHAnsi"/>
        </w:rPr>
      </w:pPr>
      <w:r w:rsidRPr="007B42EB">
        <w:rPr>
          <w:rFonts w:asciiTheme="majorHAnsi" w:hAnsiTheme="majorHAnsi" w:cstheme="minorHAnsi"/>
        </w:rPr>
        <w:t>La capacitación</w:t>
      </w:r>
      <w:r>
        <w:rPr>
          <w:rFonts w:asciiTheme="majorHAnsi" w:hAnsiTheme="majorHAnsi" w:cstheme="minorHAnsi"/>
        </w:rPr>
        <w:t xml:space="preserve"> y desarrollo se encuentra estructurada de la siguiente manera</w:t>
      </w:r>
      <w:r w:rsidRPr="007B42EB">
        <w:rPr>
          <w:rFonts w:asciiTheme="majorHAnsi" w:hAnsiTheme="majorHAnsi" w:cstheme="minorHAnsi"/>
        </w:rPr>
        <w:t xml:space="preserve">: </w:t>
      </w:r>
      <w:r w:rsidRPr="001F39F3">
        <w:rPr>
          <w:rFonts w:asciiTheme="majorHAnsi" w:hAnsiTheme="majorHAnsi" w:cstheme="minorHAnsi"/>
          <w:i/>
        </w:rPr>
        <w:t>capacitación general y</w:t>
      </w:r>
      <w:r w:rsidRPr="001F39F3">
        <w:rPr>
          <w:rFonts w:asciiTheme="majorHAnsi" w:hAnsiTheme="majorHAnsi" w:cstheme="minorHAnsi"/>
        </w:rPr>
        <w:t xml:space="preserve"> </w:t>
      </w:r>
      <w:r w:rsidRPr="001F39F3">
        <w:rPr>
          <w:rFonts w:asciiTheme="majorHAnsi" w:hAnsiTheme="majorHAnsi" w:cstheme="minorHAnsi"/>
          <w:i/>
        </w:rPr>
        <w:t>específica</w:t>
      </w:r>
      <w:r w:rsidRPr="001F39F3">
        <w:rPr>
          <w:rFonts w:asciiTheme="majorHAnsi" w:hAnsiTheme="majorHAnsi" w:cstheme="minorHAnsi"/>
        </w:rPr>
        <w:t>,</w:t>
      </w:r>
      <w:r w:rsidRPr="001F39F3">
        <w:rPr>
          <w:rFonts w:asciiTheme="majorHAnsi" w:hAnsiTheme="majorHAnsi" w:cstheme="minorHAnsi"/>
          <w:i/>
        </w:rPr>
        <w:t xml:space="preserve"> becas para estudios superiores </w:t>
      </w:r>
      <w:r w:rsidRPr="001F39F3">
        <w:rPr>
          <w:rFonts w:asciiTheme="majorHAnsi" w:hAnsiTheme="majorHAnsi" w:cstheme="minorHAnsi"/>
        </w:rPr>
        <w:t xml:space="preserve">y </w:t>
      </w:r>
      <w:r w:rsidRPr="001F39F3">
        <w:rPr>
          <w:rFonts w:asciiTheme="majorHAnsi" w:hAnsiTheme="majorHAnsi" w:cstheme="minorHAnsi"/>
          <w:i/>
        </w:rPr>
        <w:t>formación interna dentro la Institución</w:t>
      </w:r>
      <w:r w:rsidRPr="001F39F3">
        <w:rPr>
          <w:rFonts w:asciiTheme="majorHAnsi" w:hAnsiTheme="majorHAnsi" w:cstheme="minorHAnsi"/>
        </w:rPr>
        <w:t>.</w:t>
      </w:r>
      <w:r w:rsidRPr="00C0488A">
        <w:rPr>
          <w:rFonts w:asciiTheme="majorHAnsi" w:hAnsiTheme="majorHAnsi" w:cstheme="minorHAnsi"/>
        </w:rPr>
        <w:t xml:space="preserve"> En primera instancia, se identifican los</w:t>
      </w:r>
      <w:r w:rsidRPr="007B42EB">
        <w:rPr>
          <w:rFonts w:asciiTheme="majorHAnsi" w:hAnsiTheme="majorHAnsi" w:cstheme="minorHAnsi"/>
        </w:rPr>
        <w:t xml:space="preserve"> temas sustantivos de capacitación, precisando el objetivo puntual que se pretende </w:t>
      </w:r>
      <w:r>
        <w:rPr>
          <w:rFonts w:asciiTheme="majorHAnsi" w:hAnsiTheme="majorHAnsi" w:cstheme="minorHAnsi"/>
        </w:rPr>
        <w:t>alcanzar con cada uno de ellos</w:t>
      </w:r>
      <w:r w:rsidRPr="007B42EB">
        <w:rPr>
          <w:rFonts w:asciiTheme="majorHAnsi" w:hAnsiTheme="majorHAnsi" w:cstheme="minorHAnsi"/>
        </w:rPr>
        <w:t xml:space="preserve">. Además, se delimitan </w:t>
      </w:r>
      <w:r w:rsidR="001F39F3">
        <w:rPr>
          <w:rFonts w:asciiTheme="majorHAnsi" w:hAnsiTheme="majorHAnsi" w:cstheme="minorHAnsi"/>
        </w:rPr>
        <w:t>las áreas de la SUPEN</w:t>
      </w:r>
      <w:r w:rsidRPr="007B42EB">
        <w:rPr>
          <w:rFonts w:asciiTheme="majorHAnsi" w:hAnsiTheme="majorHAnsi" w:cstheme="minorHAnsi"/>
        </w:rPr>
        <w:t xml:space="preserve"> que se verán beneficiadas por la formación, así como otros detalles necesarios que esto conlleva. </w:t>
      </w:r>
    </w:p>
    <w:p w14:paraId="250DF877" w14:textId="77777777" w:rsidR="00385A02" w:rsidRPr="007B42EB" w:rsidRDefault="00385A02" w:rsidP="00385A02">
      <w:pPr>
        <w:spacing w:line="276" w:lineRule="auto"/>
        <w:jc w:val="both"/>
        <w:rPr>
          <w:rFonts w:asciiTheme="majorHAnsi" w:hAnsiTheme="majorHAnsi" w:cstheme="minorHAnsi"/>
        </w:rPr>
      </w:pPr>
    </w:p>
    <w:p w14:paraId="2401C666" w14:textId="77777777" w:rsidR="00385A02" w:rsidRPr="007B42EB" w:rsidRDefault="00385A02" w:rsidP="00385A02">
      <w:pPr>
        <w:pStyle w:val="Subttulo"/>
        <w:spacing w:line="276" w:lineRule="auto"/>
        <w:outlineLvl w:val="1"/>
        <w:rPr>
          <w:rFonts w:cstheme="minorHAnsi"/>
          <w:b w:val="0"/>
          <w:szCs w:val="28"/>
        </w:rPr>
      </w:pPr>
      <w:bookmarkStart w:id="355" w:name="_Toc427932076"/>
      <w:bookmarkStart w:id="356" w:name="_Toc429555179"/>
      <w:bookmarkStart w:id="357" w:name="_Toc429562821"/>
      <w:bookmarkStart w:id="358" w:name="_Toc429563131"/>
      <w:bookmarkStart w:id="359" w:name="_Toc429563286"/>
      <w:bookmarkStart w:id="360" w:name="_Toc442253268"/>
      <w:r w:rsidRPr="007B42EB">
        <w:rPr>
          <w:rFonts w:cstheme="minorHAnsi"/>
          <w:szCs w:val="28"/>
        </w:rPr>
        <w:t>Capacitación General</w:t>
      </w:r>
      <w:r>
        <w:rPr>
          <w:rFonts w:cstheme="minorHAnsi"/>
          <w:szCs w:val="28"/>
        </w:rPr>
        <w:t xml:space="preserve"> y Específica</w:t>
      </w:r>
      <w:bookmarkEnd w:id="355"/>
      <w:bookmarkEnd w:id="356"/>
      <w:bookmarkEnd w:id="357"/>
      <w:bookmarkEnd w:id="358"/>
      <w:bookmarkEnd w:id="359"/>
      <w:bookmarkEnd w:id="360"/>
    </w:p>
    <w:p w14:paraId="27D80641" w14:textId="77777777" w:rsidR="001F39F3" w:rsidRDefault="001F39F3" w:rsidP="00385A02">
      <w:pPr>
        <w:spacing w:line="276" w:lineRule="auto"/>
        <w:jc w:val="both"/>
        <w:rPr>
          <w:rFonts w:asciiTheme="majorHAnsi" w:hAnsiTheme="majorHAnsi" w:cstheme="minorHAnsi"/>
        </w:rPr>
      </w:pPr>
    </w:p>
    <w:p w14:paraId="6B266AFD" w14:textId="2574B51F" w:rsidR="00385A02" w:rsidRDefault="001F39F3" w:rsidP="00385A02">
      <w:pPr>
        <w:spacing w:line="276" w:lineRule="auto"/>
        <w:jc w:val="both"/>
        <w:rPr>
          <w:rFonts w:asciiTheme="majorHAnsi" w:hAnsiTheme="majorHAnsi" w:cstheme="minorHAnsi"/>
        </w:rPr>
      </w:pPr>
      <w:r>
        <w:rPr>
          <w:rFonts w:asciiTheme="majorHAnsi" w:hAnsiTheme="majorHAnsi" w:cstheme="minorHAnsi"/>
        </w:rPr>
        <w:t>C</w:t>
      </w:r>
      <w:r w:rsidR="00385A02" w:rsidRPr="007B42EB">
        <w:rPr>
          <w:rFonts w:asciiTheme="majorHAnsi" w:hAnsiTheme="majorHAnsi" w:cstheme="minorHAnsi"/>
        </w:rPr>
        <w:t>orresponde a la capacitación que, por su naturaleza, involucra a funcionarios de todos los procesos. Al agruparla en temas iguales se pretende la creación de sinergia y abarata</w:t>
      </w:r>
      <w:r w:rsidR="00385A02">
        <w:rPr>
          <w:rFonts w:asciiTheme="majorHAnsi" w:hAnsiTheme="majorHAnsi" w:cstheme="minorHAnsi"/>
        </w:rPr>
        <w:t>miento de</w:t>
      </w:r>
      <w:r w:rsidR="00385A02" w:rsidRPr="007B42EB">
        <w:rPr>
          <w:rFonts w:asciiTheme="majorHAnsi" w:hAnsiTheme="majorHAnsi" w:cstheme="minorHAnsi"/>
        </w:rPr>
        <w:t xml:space="preserve"> costos, a través de la obtención de mejores precios.</w:t>
      </w:r>
    </w:p>
    <w:p w14:paraId="3BE35D21" w14:textId="77777777" w:rsidR="00385A02" w:rsidRDefault="00385A02" w:rsidP="00385A02">
      <w:pPr>
        <w:spacing w:line="276" w:lineRule="auto"/>
        <w:jc w:val="both"/>
        <w:rPr>
          <w:rFonts w:asciiTheme="majorHAnsi" w:hAnsiTheme="majorHAnsi" w:cstheme="minorHAnsi"/>
        </w:rPr>
      </w:pPr>
    </w:p>
    <w:p w14:paraId="1C788026" w14:textId="77777777" w:rsidR="00385A02" w:rsidRPr="007B42EB" w:rsidRDefault="00385A02" w:rsidP="00385A02">
      <w:pPr>
        <w:spacing w:line="276" w:lineRule="auto"/>
        <w:jc w:val="both"/>
        <w:rPr>
          <w:rFonts w:asciiTheme="majorHAnsi" w:hAnsiTheme="majorHAnsi" w:cstheme="minorHAnsi"/>
        </w:rPr>
      </w:pPr>
      <w:r>
        <w:rPr>
          <w:rFonts w:asciiTheme="majorHAnsi" w:hAnsiTheme="majorHAnsi" w:cstheme="minorHAnsi"/>
        </w:rPr>
        <w:t xml:space="preserve">Por otra parte, la capacitación específica se refiere a los </w:t>
      </w:r>
      <w:r w:rsidRPr="007B42EB">
        <w:rPr>
          <w:rFonts w:asciiTheme="majorHAnsi" w:hAnsiTheme="majorHAnsi" w:cstheme="minorHAnsi"/>
        </w:rPr>
        <w:t xml:space="preserve">temas de capacitación que aplican a un proceso </w:t>
      </w:r>
      <w:r>
        <w:rPr>
          <w:rFonts w:asciiTheme="majorHAnsi" w:hAnsiTheme="majorHAnsi" w:cstheme="minorHAnsi"/>
        </w:rPr>
        <w:t>determinado.</w:t>
      </w:r>
    </w:p>
    <w:p w14:paraId="55D8FE61" w14:textId="77777777" w:rsidR="00385A02" w:rsidRPr="007B42EB" w:rsidRDefault="00385A02" w:rsidP="00385A02">
      <w:pPr>
        <w:spacing w:line="276" w:lineRule="auto"/>
        <w:jc w:val="both"/>
        <w:rPr>
          <w:rFonts w:asciiTheme="majorHAnsi" w:hAnsiTheme="majorHAnsi" w:cstheme="minorHAnsi"/>
        </w:rPr>
      </w:pPr>
    </w:p>
    <w:p w14:paraId="00A3C182" w14:textId="77777777" w:rsidR="00385A02" w:rsidRPr="007B42EB" w:rsidRDefault="00385A02" w:rsidP="00385A02">
      <w:pPr>
        <w:spacing w:line="276" w:lineRule="auto"/>
        <w:jc w:val="both"/>
        <w:rPr>
          <w:rFonts w:asciiTheme="majorHAnsi" w:hAnsiTheme="majorHAnsi" w:cstheme="minorHAnsi"/>
        </w:rPr>
      </w:pPr>
      <w:r w:rsidRPr="007B42EB">
        <w:rPr>
          <w:rFonts w:asciiTheme="majorHAnsi" w:hAnsiTheme="majorHAnsi" w:cstheme="minorHAnsi"/>
        </w:rPr>
        <w:t xml:space="preserve">Seguidamente, se detallan </w:t>
      </w:r>
      <w:r>
        <w:rPr>
          <w:rFonts w:asciiTheme="majorHAnsi" w:hAnsiTheme="majorHAnsi" w:cstheme="minorHAnsi"/>
        </w:rPr>
        <w:t xml:space="preserve">todos los </w:t>
      </w:r>
      <w:r w:rsidRPr="00EC6609">
        <w:rPr>
          <w:rFonts w:asciiTheme="majorHAnsi" w:hAnsiTheme="majorHAnsi" w:cstheme="minorHAnsi"/>
        </w:rPr>
        <w:t>temas</w:t>
      </w:r>
      <w:r w:rsidRPr="007B42EB">
        <w:rPr>
          <w:rFonts w:asciiTheme="majorHAnsi" w:hAnsiTheme="majorHAnsi" w:cstheme="minorHAnsi"/>
        </w:rPr>
        <w:t xml:space="preserve"> de interés institucional</w:t>
      </w:r>
      <w:r w:rsidRPr="007B42EB">
        <w:rPr>
          <w:rStyle w:val="Refdenotaalpie"/>
          <w:rFonts w:asciiTheme="majorHAnsi" w:hAnsiTheme="majorHAnsi" w:cstheme="minorHAnsi"/>
        </w:rPr>
        <w:footnoteReference w:id="5"/>
      </w:r>
      <w:r w:rsidRPr="007B42EB">
        <w:rPr>
          <w:rFonts w:asciiTheme="majorHAnsi" w:hAnsiTheme="majorHAnsi" w:cstheme="minorHAnsi"/>
        </w:rPr>
        <w:t xml:space="preserve">, </w:t>
      </w:r>
      <w:r>
        <w:rPr>
          <w:rFonts w:asciiTheme="majorHAnsi" w:hAnsiTheme="majorHAnsi" w:cstheme="minorHAnsi"/>
        </w:rPr>
        <w:t>así como, por dependencia</w:t>
      </w:r>
      <w:r w:rsidRPr="007B42EB">
        <w:rPr>
          <w:rFonts w:asciiTheme="majorHAnsi" w:hAnsiTheme="majorHAnsi" w:cstheme="minorHAnsi"/>
        </w:rPr>
        <w:t>:</w:t>
      </w:r>
    </w:p>
    <w:p w14:paraId="25434BC7" w14:textId="77777777" w:rsidR="00385A02" w:rsidRPr="007B42EB" w:rsidRDefault="00385A02" w:rsidP="00385A02">
      <w:pPr>
        <w:spacing w:line="276" w:lineRule="auto"/>
        <w:rPr>
          <w:rFonts w:asciiTheme="majorHAnsi" w:hAnsiTheme="majorHAnsi" w:cstheme="minorHAnsi"/>
        </w:rPr>
      </w:pPr>
    </w:p>
    <w:p w14:paraId="21BEE9F0" w14:textId="77777777" w:rsidR="00385A02" w:rsidRPr="007B42EB" w:rsidRDefault="00385A02" w:rsidP="00385A02">
      <w:pPr>
        <w:spacing w:line="276" w:lineRule="auto"/>
        <w:rPr>
          <w:rFonts w:asciiTheme="majorHAnsi" w:hAnsiTheme="majorHAnsi" w:cstheme="minorHAnsi"/>
        </w:rPr>
      </w:pPr>
    </w:p>
    <w:p w14:paraId="34215698" w14:textId="77777777" w:rsidR="00385A02" w:rsidRPr="007B42EB" w:rsidRDefault="00385A02" w:rsidP="00385A02">
      <w:pPr>
        <w:spacing w:line="276" w:lineRule="auto"/>
        <w:rPr>
          <w:rFonts w:asciiTheme="majorHAnsi" w:hAnsiTheme="majorHAnsi" w:cstheme="minorHAnsi"/>
        </w:rPr>
      </w:pPr>
    </w:p>
    <w:p w14:paraId="7E03E277" w14:textId="77777777" w:rsidR="00385A02" w:rsidRPr="007B42EB" w:rsidRDefault="00385A02" w:rsidP="00385A02">
      <w:pPr>
        <w:spacing w:line="276" w:lineRule="auto"/>
        <w:rPr>
          <w:rFonts w:asciiTheme="majorHAnsi" w:hAnsiTheme="majorHAnsi" w:cstheme="minorHAnsi"/>
        </w:rPr>
      </w:pPr>
    </w:p>
    <w:p w14:paraId="7613DE3C" w14:textId="77777777" w:rsidR="00385A02" w:rsidRPr="007B42EB" w:rsidRDefault="00385A02" w:rsidP="00385A02">
      <w:pPr>
        <w:spacing w:line="276" w:lineRule="auto"/>
        <w:rPr>
          <w:rFonts w:asciiTheme="majorHAnsi" w:hAnsiTheme="majorHAnsi" w:cstheme="minorHAnsi"/>
        </w:rPr>
      </w:pPr>
    </w:p>
    <w:p w14:paraId="734194B6" w14:textId="77777777" w:rsidR="00385A02" w:rsidRPr="007B42EB" w:rsidRDefault="00385A02" w:rsidP="00385A02">
      <w:pPr>
        <w:spacing w:line="276" w:lineRule="auto"/>
        <w:rPr>
          <w:rFonts w:asciiTheme="majorHAnsi" w:hAnsiTheme="majorHAnsi" w:cstheme="minorHAnsi"/>
        </w:rPr>
      </w:pPr>
    </w:p>
    <w:p w14:paraId="35F30021" w14:textId="77777777" w:rsidR="00385A02" w:rsidRPr="007B42EB" w:rsidRDefault="00385A02" w:rsidP="00385A02">
      <w:pPr>
        <w:spacing w:line="276" w:lineRule="auto"/>
        <w:rPr>
          <w:rFonts w:asciiTheme="majorHAnsi" w:hAnsiTheme="majorHAnsi" w:cstheme="minorHAnsi"/>
        </w:rPr>
      </w:pPr>
    </w:p>
    <w:p w14:paraId="4658CF20" w14:textId="77777777" w:rsidR="00385A02" w:rsidRDefault="00385A02" w:rsidP="00385A02">
      <w:pPr>
        <w:spacing w:line="276" w:lineRule="auto"/>
        <w:jc w:val="center"/>
        <w:rPr>
          <w:rFonts w:asciiTheme="majorHAnsi" w:hAnsiTheme="majorHAnsi" w:cstheme="minorHAnsi"/>
        </w:rPr>
      </w:pPr>
      <w:r w:rsidRPr="00FA1BE7">
        <w:rPr>
          <w:noProof/>
        </w:rPr>
        <w:lastRenderedPageBreak/>
        <w:drawing>
          <wp:inline distT="0" distB="0" distL="0" distR="0" wp14:anchorId="5449AEA2" wp14:editId="29BD7291">
            <wp:extent cx="5972810" cy="7801844"/>
            <wp:effectExtent l="0" t="0" r="8890" b="889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72810" cy="7801844"/>
                    </a:xfrm>
                    <a:prstGeom prst="rect">
                      <a:avLst/>
                    </a:prstGeom>
                    <a:noFill/>
                    <a:ln>
                      <a:noFill/>
                    </a:ln>
                  </pic:spPr>
                </pic:pic>
              </a:graphicData>
            </a:graphic>
          </wp:inline>
        </w:drawing>
      </w:r>
    </w:p>
    <w:p w14:paraId="4B4E4D84" w14:textId="77777777" w:rsidR="00385A02" w:rsidRDefault="00385A02" w:rsidP="00385A02">
      <w:pPr>
        <w:spacing w:line="276" w:lineRule="auto"/>
        <w:jc w:val="center"/>
        <w:rPr>
          <w:rFonts w:asciiTheme="majorHAnsi" w:hAnsiTheme="majorHAnsi" w:cstheme="minorHAnsi"/>
        </w:rPr>
      </w:pPr>
    </w:p>
    <w:p w14:paraId="16009FAA" w14:textId="77777777" w:rsidR="00385A02" w:rsidRPr="00BF32B3" w:rsidRDefault="00385A02" w:rsidP="00385A02">
      <w:pPr>
        <w:spacing w:line="276" w:lineRule="auto"/>
        <w:jc w:val="center"/>
        <w:rPr>
          <w:rFonts w:asciiTheme="majorHAnsi" w:hAnsiTheme="majorHAnsi" w:cstheme="minorHAnsi"/>
        </w:rPr>
      </w:pPr>
      <w:r w:rsidRPr="00CA2569">
        <w:rPr>
          <w:noProof/>
        </w:rPr>
        <w:drawing>
          <wp:inline distT="0" distB="0" distL="0" distR="0" wp14:anchorId="63E0E5DD" wp14:editId="45DF2A2C">
            <wp:extent cx="5972810" cy="7343169"/>
            <wp:effectExtent l="0" t="0" r="889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72810" cy="7343169"/>
                    </a:xfrm>
                    <a:prstGeom prst="rect">
                      <a:avLst/>
                    </a:prstGeom>
                    <a:noFill/>
                    <a:ln>
                      <a:noFill/>
                    </a:ln>
                  </pic:spPr>
                </pic:pic>
              </a:graphicData>
            </a:graphic>
          </wp:inline>
        </w:drawing>
      </w:r>
    </w:p>
    <w:p w14:paraId="4AD10A6A" w14:textId="77777777" w:rsidR="00385A02" w:rsidRDefault="00385A02" w:rsidP="00385A02">
      <w:pPr>
        <w:spacing w:line="276" w:lineRule="auto"/>
        <w:jc w:val="center"/>
        <w:rPr>
          <w:rFonts w:asciiTheme="majorHAnsi" w:hAnsiTheme="majorHAnsi" w:cstheme="minorHAnsi"/>
        </w:rPr>
      </w:pPr>
    </w:p>
    <w:p w14:paraId="50896ADC" w14:textId="77777777" w:rsidR="00385A02" w:rsidRDefault="00385A02" w:rsidP="00385A02">
      <w:pPr>
        <w:spacing w:line="276" w:lineRule="auto"/>
        <w:jc w:val="center"/>
        <w:rPr>
          <w:rFonts w:asciiTheme="majorHAnsi" w:hAnsiTheme="majorHAnsi" w:cstheme="minorHAnsi"/>
        </w:rPr>
      </w:pPr>
      <w:r w:rsidRPr="00FA1BE7">
        <w:rPr>
          <w:noProof/>
        </w:rPr>
        <w:lastRenderedPageBreak/>
        <w:drawing>
          <wp:inline distT="0" distB="0" distL="0" distR="0" wp14:anchorId="1D61C07D" wp14:editId="4A224178">
            <wp:extent cx="5972810" cy="7665375"/>
            <wp:effectExtent l="0" t="0" r="889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72810" cy="7665375"/>
                    </a:xfrm>
                    <a:prstGeom prst="rect">
                      <a:avLst/>
                    </a:prstGeom>
                    <a:noFill/>
                    <a:ln>
                      <a:noFill/>
                    </a:ln>
                  </pic:spPr>
                </pic:pic>
              </a:graphicData>
            </a:graphic>
          </wp:inline>
        </w:drawing>
      </w:r>
    </w:p>
    <w:p w14:paraId="42D55868" w14:textId="77777777" w:rsidR="00385A02" w:rsidRDefault="00385A02" w:rsidP="00385A02">
      <w:pPr>
        <w:spacing w:line="276" w:lineRule="auto"/>
        <w:rPr>
          <w:rFonts w:asciiTheme="majorHAnsi" w:hAnsiTheme="majorHAnsi" w:cstheme="minorHAnsi"/>
        </w:rPr>
      </w:pPr>
    </w:p>
    <w:p w14:paraId="0DAD697F" w14:textId="77777777" w:rsidR="00385A02" w:rsidRDefault="00385A02" w:rsidP="00385A02">
      <w:pPr>
        <w:spacing w:line="276" w:lineRule="auto"/>
        <w:rPr>
          <w:rFonts w:asciiTheme="majorHAnsi" w:hAnsiTheme="majorHAnsi" w:cstheme="minorHAnsi"/>
        </w:rPr>
      </w:pPr>
    </w:p>
    <w:p w14:paraId="50B4ED33" w14:textId="77777777" w:rsidR="00385A02" w:rsidRDefault="00385A02" w:rsidP="00385A02">
      <w:pPr>
        <w:spacing w:line="276" w:lineRule="auto"/>
        <w:jc w:val="center"/>
        <w:rPr>
          <w:rFonts w:asciiTheme="majorHAnsi" w:hAnsiTheme="majorHAnsi" w:cstheme="minorHAnsi"/>
        </w:rPr>
      </w:pPr>
      <w:r w:rsidRPr="00FA1BE7">
        <w:rPr>
          <w:noProof/>
        </w:rPr>
        <w:drawing>
          <wp:inline distT="0" distB="0" distL="0" distR="0" wp14:anchorId="1F366C11" wp14:editId="05DC88FE">
            <wp:extent cx="5972810" cy="5126527"/>
            <wp:effectExtent l="0" t="0" r="889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72810" cy="5126527"/>
                    </a:xfrm>
                    <a:prstGeom prst="rect">
                      <a:avLst/>
                    </a:prstGeom>
                    <a:noFill/>
                    <a:ln>
                      <a:noFill/>
                    </a:ln>
                  </pic:spPr>
                </pic:pic>
              </a:graphicData>
            </a:graphic>
          </wp:inline>
        </w:drawing>
      </w:r>
    </w:p>
    <w:p w14:paraId="47FCA2FB" w14:textId="77777777" w:rsidR="00385A02" w:rsidRPr="007B42EB" w:rsidRDefault="00385A02" w:rsidP="00385A02">
      <w:pPr>
        <w:spacing w:line="276" w:lineRule="auto"/>
        <w:jc w:val="both"/>
        <w:rPr>
          <w:rFonts w:asciiTheme="majorHAnsi" w:hAnsiTheme="majorHAnsi" w:cstheme="minorHAnsi"/>
          <w:b/>
        </w:rPr>
      </w:pPr>
      <w:r w:rsidRPr="007B42EB">
        <w:rPr>
          <w:rFonts w:asciiTheme="majorHAnsi" w:hAnsiTheme="majorHAnsi" w:cstheme="minorHAnsi"/>
          <w:b/>
        </w:rPr>
        <w:br w:type="page"/>
      </w:r>
    </w:p>
    <w:p w14:paraId="42054EC6" w14:textId="77777777" w:rsidR="00385A02" w:rsidRDefault="00385A02" w:rsidP="00385A02">
      <w:pPr>
        <w:pStyle w:val="Subttulo"/>
        <w:spacing w:line="276" w:lineRule="auto"/>
        <w:outlineLvl w:val="1"/>
        <w:rPr>
          <w:rFonts w:cstheme="minorHAnsi"/>
          <w:b w:val="0"/>
          <w:szCs w:val="28"/>
        </w:rPr>
      </w:pPr>
    </w:p>
    <w:p w14:paraId="60ABE8BB" w14:textId="77777777" w:rsidR="00385A02" w:rsidRPr="007B42EB" w:rsidRDefault="00385A02" w:rsidP="00385A02">
      <w:pPr>
        <w:pStyle w:val="Subttulo"/>
        <w:spacing w:line="276" w:lineRule="auto"/>
        <w:outlineLvl w:val="1"/>
        <w:rPr>
          <w:rFonts w:cstheme="minorHAnsi"/>
          <w:b w:val="0"/>
          <w:szCs w:val="28"/>
        </w:rPr>
      </w:pPr>
      <w:bookmarkStart w:id="361" w:name="_Toc427932077"/>
      <w:bookmarkStart w:id="362" w:name="_Toc429555180"/>
      <w:bookmarkStart w:id="363" w:name="_Toc429562822"/>
      <w:bookmarkStart w:id="364" w:name="_Toc429563132"/>
      <w:bookmarkStart w:id="365" w:name="_Toc429563287"/>
      <w:bookmarkStart w:id="366" w:name="_Toc442253269"/>
      <w:r w:rsidRPr="007B42EB">
        <w:rPr>
          <w:rFonts w:cstheme="minorHAnsi"/>
          <w:szCs w:val="28"/>
        </w:rPr>
        <w:t>Becas para estudios superiores</w:t>
      </w:r>
      <w:bookmarkEnd w:id="361"/>
      <w:bookmarkEnd w:id="362"/>
      <w:bookmarkEnd w:id="363"/>
      <w:bookmarkEnd w:id="364"/>
      <w:bookmarkEnd w:id="365"/>
      <w:bookmarkEnd w:id="366"/>
    </w:p>
    <w:p w14:paraId="3E0C2FDE" w14:textId="77777777" w:rsidR="00385A02" w:rsidRPr="007B42EB" w:rsidRDefault="00385A02" w:rsidP="00385A02">
      <w:pPr>
        <w:spacing w:line="276" w:lineRule="auto"/>
        <w:ind w:right="406"/>
        <w:jc w:val="both"/>
        <w:rPr>
          <w:rFonts w:asciiTheme="majorHAnsi" w:hAnsiTheme="majorHAnsi" w:cstheme="minorHAnsi"/>
          <w:b/>
        </w:rPr>
      </w:pPr>
    </w:p>
    <w:p w14:paraId="74951AA2" w14:textId="77777777" w:rsidR="00385A02" w:rsidRDefault="00385A02" w:rsidP="00385A02">
      <w:pPr>
        <w:spacing w:line="276" w:lineRule="auto"/>
        <w:ind w:right="408"/>
        <w:jc w:val="both"/>
        <w:rPr>
          <w:rFonts w:asciiTheme="majorHAnsi" w:hAnsiTheme="majorHAnsi" w:cstheme="minorHAnsi"/>
        </w:rPr>
      </w:pPr>
      <w:r w:rsidRPr="007B42EB">
        <w:rPr>
          <w:rFonts w:asciiTheme="majorHAnsi" w:hAnsiTheme="majorHAnsi" w:cstheme="minorHAnsi"/>
        </w:rPr>
        <w:t xml:space="preserve">En este apartado, se detalla la información del pago de estudios a nivel universitario por carrera, dependencia y cantidad de funcionarios beneficiados. Cabe destacar, que </w:t>
      </w:r>
      <w:r>
        <w:rPr>
          <w:rFonts w:asciiTheme="majorHAnsi" w:hAnsiTheme="majorHAnsi" w:cstheme="minorHAnsi"/>
        </w:rPr>
        <w:t>se incluyen las</w:t>
      </w:r>
      <w:r w:rsidRPr="007B42EB">
        <w:rPr>
          <w:rFonts w:asciiTheme="majorHAnsi" w:hAnsiTheme="majorHAnsi" w:cstheme="minorHAnsi"/>
        </w:rPr>
        <w:t xml:space="preserve"> carreras </w:t>
      </w:r>
      <w:r>
        <w:rPr>
          <w:rFonts w:asciiTheme="majorHAnsi" w:hAnsiTheme="majorHAnsi" w:cstheme="minorHAnsi"/>
        </w:rPr>
        <w:t>que se encuentran en</w:t>
      </w:r>
      <w:r w:rsidRPr="007B42EB">
        <w:rPr>
          <w:rFonts w:asciiTheme="majorHAnsi" w:hAnsiTheme="majorHAnsi" w:cstheme="minorHAnsi"/>
        </w:rPr>
        <w:t xml:space="preserve"> proceso de finalización y </w:t>
      </w:r>
      <w:r>
        <w:rPr>
          <w:rFonts w:asciiTheme="majorHAnsi" w:hAnsiTheme="majorHAnsi" w:cstheme="minorHAnsi"/>
        </w:rPr>
        <w:t>lo propuesto para el nuevo período</w:t>
      </w:r>
      <w:r w:rsidRPr="007B42EB">
        <w:rPr>
          <w:rFonts w:asciiTheme="majorHAnsi" w:hAnsiTheme="majorHAnsi" w:cstheme="minorHAnsi"/>
        </w:rPr>
        <w:t>.</w:t>
      </w:r>
    </w:p>
    <w:p w14:paraId="172BA187" w14:textId="77777777" w:rsidR="00385A02" w:rsidRPr="007B42EB" w:rsidRDefault="00385A02" w:rsidP="00385A02">
      <w:pPr>
        <w:spacing w:line="276" w:lineRule="auto"/>
        <w:ind w:right="408"/>
        <w:jc w:val="both"/>
        <w:rPr>
          <w:rFonts w:asciiTheme="majorHAnsi" w:hAnsiTheme="majorHAnsi" w:cstheme="minorHAnsi"/>
        </w:rPr>
      </w:pPr>
    </w:p>
    <w:tbl>
      <w:tblPr>
        <w:tblW w:w="9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4"/>
        <w:gridCol w:w="3193"/>
        <w:gridCol w:w="2340"/>
      </w:tblGrid>
      <w:tr w:rsidR="00385A02" w:rsidRPr="007B42EB" w14:paraId="63DF2D11" w14:textId="77777777" w:rsidTr="00385A02">
        <w:trPr>
          <w:trHeight w:val="387"/>
          <w:jc w:val="center"/>
        </w:trPr>
        <w:tc>
          <w:tcPr>
            <w:tcW w:w="9317" w:type="dxa"/>
            <w:gridSpan w:val="3"/>
            <w:shd w:val="clear" w:color="auto" w:fill="C6D9F1" w:themeFill="text2" w:themeFillTint="33"/>
            <w:vAlign w:val="center"/>
          </w:tcPr>
          <w:p w14:paraId="7FE08870" w14:textId="77777777" w:rsidR="00385A02" w:rsidRPr="007B42EB" w:rsidRDefault="00385A02" w:rsidP="00385A02">
            <w:pPr>
              <w:spacing w:before="60" w:after="60" w:line="276" w:lineRule="auto"/>
              <w:jc w:val="both"/>
              <w:rPr>
                <w:rFonts w:asciiTheme="majorHAnsi" w:hAnsiTheme="majorHAnsi" w:cstheme="minorHAnsi"/>
                <w:b/>
                <w:sz w:val="20"/>
                <w:szCs w:val="20"/>
              </w:rPr>
            </w:pPr>
            <w:r w:rsidRPr="0069231C">
              <w:rPr>
                <w:rFonts w:asciiTheme="majorHAnsi" w:hAnsiTheme="majorHAnsi" w:cstheme="minorHAnsi"/>
                <w:b/>
                <w:sz w:val="22"/>
                <w:szCs w:val="20"/>
              </w:rPr>
              <w:t xml:space="preserve">Becas para estudios superiores </w:t>
            </w:r>
          </w:p>
        </w:tc>
      </w:tr>
      <w:tr w:rsidR="00385A02" w:rsidRPr="007B42EB" w14:paraId="7B7355B5" w14:textId="77777777" w:rsidTr="00385A02">
        <w:trPr>
          <w:trHeight w:val="966"/>
          <w:jc w:val="center"/>
        </w:trPr>
        <w:tc>
          <w:tcPr>
            <w:tcW w:w="9317" w:type="dxa"/>
            <w:gridSpan w:val="3"/>
            <w:tcBorders>
              <w:bottom w:val="single" w:sz="4" w:space="0" w:color="auto"/>
            </w:tcBorders>
            <w:vAlign w:val="center"/>
          </w:tcPr>
          <w:p w14:paraId="03D0D319" w14:textId="77777777" w:rsidR="00385A02" w:rsidRPr="007B42EB" w:rsidRDefault="00385A02" w:rsidP="00385A02">
            <w:pPr>
              <w:spacing w:before="60" w:after="60" w:line="276" w:lineRule="auto"/>
              <w:jc w:val="both"/>
              <w:rPr>
                <w:rFonts w:asciiTheme="majorHAnsi" w:hAnsiTheme="majorHAnsi" w:cstheme="minorHAnsi"/>
                <w:sz w:val="20"/>
                <w:szCs w:val="20"/>
              </w:rPr>
            </w:pPr>
            <w:r w:rsidRPr="007B42EB">
              <w:rPr>
                <w:rFonts w:asciiTheme="majorHAnsi" w:hAnsiTheme="majorHAnsi" w:cstheme="minorHAnsi"/>
                <w:b/>
                <w:sz w:val="20"/>
                <w:szCs w:val="20"/>
              </w:rPr>
              <w:t>Objet</w:t>
            </w:r>
            <w:r>
              <w:rPr>
                <w:rFonts w:asciiTheme="majorHAnsi" w:hAnsiTheme="majorHAnsi" w:cstheme="minorHAnsi"/>
                <w:b/>
                <w:sz w:val="20"/>
                <w:szCs w:val="20"/>
              </w:rPr>
              <w:t>iv</w:t>
            </w:r>
            <w:r w:rsidRPr="007B42EB">
              <w:rPr>
                <w:rFonts w:asciiTheme="majorHAnsi" w:hAnsiTheme="majorHAnsi" w:cstheme="minorHAnsi"/>
                <w:b/>
                <w:sz w:val="20"/>
                <w:szCs w:val="20"/>
              </w:rPr>
              <w:t>o:</w:t>
            </w:r>
          </w:p>
          <w:p w14:paraId="7D3F2B76" w14:textId="77777777" w:rsidR="00385A02" w:rsidRPr="007B42EB" w:rsidRDefault="00385A02" w:rsidP="00385A02">
            <w:pPr>
              <w:spacing w:before="60" w:after="60" w:line="276" w:lineRule="auto"/>
              <w:jc w:val="both"/>
              <w:rPr>
                <w:rFonts w:asciiTheme="majorHAnsi" w:hAnsiTheme="majorHAnsi" w:cstheme="minorHAnsi"/>
                <w:sz w:val="20"/>
                <w:szCs w:val="20"/>
              </w:rPr>
            </w:pPr>
            <w:r w:rsidRPr="007B42EB">
              <w:rPr>
                <w:rFonts w:asciiTheme="majorHAnsi" w:hAnsiTheme="majorHAnsi" w:cstheme="minorHAnsi"/>
                <w:sz w:val="20"/>
                <w:szCs w:val="20"/>
              </w:rPr>
              <w:t>Permitir, mediante el otorgamiento de los estudios superiores formales, que los funcionarios puedan alcanzar una mejor formación para el desempeño de las labores asignadas de manera eficiente y eficaz, así como implementar nuevas técnicas y soluciones creativas en el puesto de trabajo, en el marco del mejoramiento continuo y la excelencia académica.</w:t>
            </w:r>
          </w:p>
        </w:tc>
      </w:tr>
      <w:tr w:rsidR="00385A02" w:rsidRPr="007B42EB" w14:paraId="5EC8D31F" w14:textId="77777777" w:rsidTr="00385A02">
        <w:trPr>
          <w:trHeight w:val="480"/>
          <w:jc w:val="center"/>
        </w:trPr>
        <w:tc>
          <w:tcPr>
            <w:tcW w:w="3784" w:type="dxa"/>
            <w:tcBorders>
              <w:bottom w:val="single" w:sz="4" w:space="0" w:color="auto"/>
            </w:tcBorders>
            <w:shd w:val="clear" w:color="auto" w:fill="DAEEF3" w:themeFill="accent5" w:themeFillTint="33"/>
            <w:vAlign w:val="center"/>
          </w:tcPr>
          <w:p w14:paraId="12AC0D19" w14:textId="379B820E" w:rsidR="00385A02" w:rsidRPr="007B42EB" w:rsidRDefault="00385A02" w:rsidP="00385A02">
            <w:pPr>
              <w:spacing w:before="60" w:after="60" w:line="276" w:lineRule="auto"/>
              <w:jc w:val="center"/>
              <w:rPr>
                <w:rFonts w:asciiTheme="majorHAnsi" w:hAnsiTheme="majorHAnsi" w:cstheme="minorHAnsi"/>
                <w:b/>
                <w:sz w:val="20"/>
                <w:szCs w:val="20"/>
              </w:rPr>
            </w:pPr>
            <w:r w:rsidRPr="007B42EB">
              <w:rPr>
                <w:rFonts w:asciiTheme="majorHAnsi" w:hAnsiTheme="majorHAnsi" w:cstheme="minorHAnsi"/>
                <w:b/>
                <w:sz w:val="20"/>
                <w:szCs w:val="20"/>
              </w:rPr>
              <w:t>Nombre de la carrera</w:t>
            </w:r>
            <w:r w:rsidR="00123ADE">
              <w:rPr>
                <w:rFonts w:asciiTheme="majorHAnsi" w:hAnsiTheme="majorHAnsi" w:cstheme="minorHAnsi"/>
                <w:b/>
                <w:sz w:val="20"/>
                <w:szCs w:val="20"/>
              </w:rPr>
              <w:t xml:space="preserve"> en proceso</w:t>
            </w:r>
          </w:p>
        </w:tc>
        <w:tc>
          <w:tcPr>
            <w:tcW w:w="3193" w:type="dxa"/>
            <w:tcBorders>
              <w:bottom w:val="single" w:sz="4" w:space="0" w:color="auto"/>
            </w:tcBorders>
            <w:shd w:val="clear" w:color="auto" w:fill="DAEEF3" w:themeFill="accent5" w:themeFillTint="33"/>
            <w:vAlign w:val="center"/>
          </w:tcPr>
          <w:p w14:paraId="6D7F33CC" w14:textId="41A6C007" w:rsidR="00385A02" w:rsidRPr="007B42EB" w:rsidRDefault="00123ADE" w:rsidP="00385A02">
            <w:pPr>
              <w:spacing w:before="60" w:after="60" w:line="276" w:lineRule="auto"/>
              <w:jc w:val="center"/>
              <w:rPr>
                <w:rFonts w:asciiTheme="majorHAnsi" w:hAnsiTheme="majorHAnsi" w:cstheme="minorHAnsi"/>
                <w:b/>
                <w:sz w:val="20"/>
                <w:szCs w:val="20"/>
              </w:rPr>
            </w:pPr>
            <w:r>
              <w:rPr>
                <w:rFonts w:asciiTheme="majorHAnsi" w:hAnsiTheme="majorHAnsi" w:cstheme="minorHAnsi"/>
                <w:b/>
                <w:sz w:val="20"/>
                <w:szCs w:val="20"/>
              </w:rPr>
              <w:t>Dependencia</w:t>
            </w:r>
          </w:p>
        </w:tc>
        <w:tc>
          <w:tcPr>
            <w:tcW w:w="2340" w:type="dxa"/>
            <w:tcBorders>
              <w:bottom w:val="single" w:sz="4" w:space="0" w:color="auto"/>
            </w:tcBorders>
            <w:shd w:val="clear" w:color="auto" w:fill="DAEEF3" w:themeFill="accent5" w:themeFillTint="33"/>
            <w:vAlign w:val="center"/>
          </w:tcPr>
          <w:p w14:paraId="43F31065" w14:textId="77777777" w:rsidR="00385A02" w:rsidRPr="007B42EB" w:rsidRDefault="00385A02" w:rsidP="00385A02">
            <w:pPr>
              <w:spacing w:before="60" w:after="60" w:line="276" w:lineRule="auto"/>
              <w:jc w:val="center"/>
              <w:rPr>
                <w:rFonts w:asciiTheme="majorHAnsi" w:hAnsiTheme="majorHAnsi" w:cstheme="minorHAnsi"/>
                <w:b/>
                <w:sz w:val="20"/>
                <w:szCs w:val="20"/>
              </w:rPr>
            </w:pPr>
            <w:r w:rsidRPr="007B42EB">
              <w:rPr>
                <w:rFonts w:asciiTheme="majorHAnsi" w:hAnsiTheme="majorHAnsi" w:cstheme="minorHAnsi"/>
                <w:b/>
                <w:sz w:val="20"/>
                <w:szCs w:val="20"/>
              </w:rPr>
              <w:t>Cantidad de funcionarios</w:t>
            </w:r>
          </w:p>
        </w:tc>
      </w:tr>
      <w:tr w:rsidR="00385A02" w:rsidRPr="00123ADE" w14:paraId="28D80A34" w14:textId="77777777" w:rsidTr="00385A02">
        <w:trPr>
          <w:trHeight w:val="678"/>
          <w:jc w:val="center"/>
        </w:trPr>
        <w:tc>
          <w:tcPr>
            <w:tcW w:w="3784" w:type="dxa"/>
            <w:shd w:val="clear" w:color="auto" w:fill="FFFFFF"/>
            <w:vAlign w:val="center"/>
          </w:tcPr>
          <w:p w14:paraId="595843B2" w14:textId="77777777" w:rsidR="00385A02" w:rsidRPr="00123ADE" w:rsidRDefault="00385A02" w:rsidP="001F39F3">
            <w:pPr>
              <w:spacing w:before="60" w:after="60" w:line="276" w:lineRule="auto"/>
              <w:jc w:val="both"/>
              <w:rPr>
                <w:rFonts w:asciiTheme="majorHAnsi" w:hAnsiTheme="majorHAnsi" w:cstheme="minorHAnsi"/>
                <w:sz w:val="20"/>
                <w:szCs w:val="20"/>
                <w:lang w:val="es-CR"/>
              </w:rPr>
            </w:pPr>
            <w:r w:rsidRPr="00123ADE">
              <w:rPr>
                <w:rFonts w:asciiTheme="majorHAnsi" w:hAnsiTheme="majorHAnsi" w:cstheme="minorHAnsi"/>
                <w:sz w:val="20"/>
                <w:szCs w:val="20"/>
                <w:lang w:val="es-CR"/>
              </w:rPr>
              <w:t>Doctorado Académico en Derecho Público / Universidad Escuela Libre de Derecho</w:t>
            </w:r>
          </w:p>
        </w:tc>
        <w:tc>
          <w:tcPr>
            <w:tcW w:w="3193" w:type="dxa"/>
            <w:shd w:val="clear" w:color="auto" w:fill="FFFFFF"/>
            <w:vAlign w:val="center"/>
          </w:tcPr>
          <w:p w14:paraId="2A29F209" w14:textId="77777777" w:rsidR="00385A02" w:rsidRPr="00123ADE" w:rsidRDefault="00385A02" w:rsidP="00385A02">
            <w:pPr>
              <w:spacing w:before="60" w:after="60" w:line="276" w:lineRule="auto"/>
              <w:rPr>
                <w:rFonts w:asciiTheme="majorHAnsi" w:hAnsiTheme="majorHAnsi" w:cstheme="minorHAnsi"/>
                <w:sz w:val="20"/>
                <w:szCs w:val="20"/>
                <w:lang w:val="es-CR"/>
              </w:rPr>
            </w:pPr>
            <w:r w:rsidRPr="00123ADE">
              <w:rPr>
                <w:rFonts w:asciiTheme="majorHAnsi" w:hAnsiTheme="majorHAnsi" w:cstheme="minorHAnsi"/>
                <w:sz w:val="20"/>
                <w:szCs w:val="20"/>
                <w:lang w:val="es-CR"/>
              </w:rPr>
              <w:t>Asesoría Jurídica</w:t>
            </w:r>
          </w:p>
        </w:tc>
        <w:tc>
          <w:tcPr>
            <w:tcW w:w="2340" w:type="dxa"/>
            <w:shd w:val="clear" w:color="auto" w:fill="FFFFFF"/>
            <w:vAlign w:val="center"/>
          </w:tcPr>
          <w:p w14:paraId="26370C1A" w14:textId="77777777" w:rsidR="00385A02" w:rsidRPr="00123ADE" w:rsidRDefault="00385A02" w:rsidP="00385A02">
            <w:pPr>
              <w:spacing w:before="60" w:after="60" w:line="276" w:lineRule="auto"/>
              <w:jc w:val="center"/>
              <w:rPr>
                <w:rFonts w:asciiTheme="majorHAnsi" w:hAnsiTheme="majorHAnsi" w:cstheme="minorHAnsi"/>
                <w:sz w:val="20"/>
                <w:szCs w:val="20"/>
                <w:lang w:val="es-CR"/>
              </w:rPr>
            </w:pPr>
            <w:r w:rsidRPr="00123ADE">
              <w:rPr>
                <w:rFonts w:asciiTheme="majorHAnsi" w:hAnsiTheme="majorHAnsi" w:cstheme="minorHAnsi"/>
                <w:sz w:val="20"/>
                <w:szCs w:val="20"/>
                <w:lang w:val="es-CR"/>
              </w:rPr>
              <w:t>1</w:t>
            </w:r>
          </w:p>
        </w:tc>
      </w:tr>
      <w:tr w:rsidR="00385A02" w:rsidRPr="00123ADE" w14:paraId="6A1D3B28" w14:textId="77777777" w:rsidTr="00385A02">
        <w:trPr>
          <w:trHeight w:val="405"/>
          <w:jc w:val="center"/>
        </w:trPr>
        <w:tc>
          <w:tcPr>
            <w:tcW w:w="3784" w:type="dxa"/>
            <w:tcBorders>
              <w:top w:val="single" w:sz="4" w:space="0" w:color="auto"/>
              <w:left w:val="single" w:sz="4" w:space="0" w:color="auto"/>
              <w:bottom w:val="single" w:sz="4" w:space="0" w:color="auto"/>
              <w:right w:val="single" w:sz="4" w:space="0" w:color="auto"/>
            </w:tcBorders>
            <w:shd w:val="clear" w:color="auto" w:fill="FFFFFF"/>
            <w:vAlign w:val="center"/>
          </w:tcPr>
          <w:p w14:paraId="030C2EAF" w14:textId="77777777" w:rsidR="00385A02" w:rsidRPr="00123ADE" w:rsidRDefault="00385A02" w:rsidP="001F39F3">
            <w:pPr>
              <w:spacing w:before="60" w:after="60" w:line="276" w:lineRule="auto"/>
              <w:jc w:val="both"/>
              <w:rPr>
                <w:rFonts w:asciiTheme="majorHAnsi" w:hAnsiTheme="majorHAnsi" w:cstheme="minorHAnsi"/>
                <w:sz w:val="20"/>
                <w:szCs w:val="20"/>
                <w:lang w:val="es-CR"/>
              </w:rPr>
            </w:pPr>
            <w:r w:rsidRPr="00123ADE">
              <w:rPr>
                <w:rFonts w:asciiTheme="majorHAnsi" w:hAnsiTheme="majorHAnsi" w:cstheme="minorHAnsi"/>
                <w:sz w:val="20"/>
                <w:szCs w:val="20"/>
                <w:lang w:val="es-CR"/>
              </w:rPr>
              <w:t>Licenciatura en Contaduría Pública / Universidad San Marcos</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14:paraId="05678F1F" w14:textId="77777777" w:rsidR="00385A02" w:rsidRPr="00123ADE" w:rsidRDefault="00385A02" w:rsidP="00385A02">
            <w:pPr>
              <w:spacing w:before="60" w:after="60" w:line="276" w:lineRule="auto"/>
              <w:ind w:left="461" w:hanging="461"/>
              <w:rPr>
                <w:rFonts w:asciiTheme="majorHAnsi" w:hAnsiTheme="majorHAnsi" w:cstheme="minorHAnsi"/>
                <w:sz w:val="20"/>
                <w:szCs w:val="20"/>
              </w:rPr>
            </w:pPr>
            <w:r w:rsidRPr="00123ADE">
              <w:rPr>
                <w:rFonts w:asciiTheme="majorHAnsi" w:hAnsiTheme="majorHAnsi" w:cstheme="minorHAnsi"/>
                <w:sz w:val="20"/>
                <w:szCs w:val="20"/>
              </w:rPr>
              <w:t>Comunicación y Servicios</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14:paraId="70EA5DCB" w14:textId="77777777" w:rsidR="00385A02" w:rsidRPr="00123ADE" w:rsidRDefault="00385A02" w:rsidP="00385A02">
            <w:pPr>
              <w:spacing w:before="60" w:after="60" w:line="276" w:lineRule="auto"/>
              <w:jc w:val="center"/>
              <w:rPr>
                <w:rFonts w:asciiTheme="majorHAnsi" w:hAnsiTheme="majorHAnsi" w:cstheme="minorHAnsi"/>
                <w:sz w:val="20"/>
                <w:szCs w:val="20"/>
              </w:rPr>
            </w:pPr>
            <w:r w:rsidRPr="00123ADE">
              <w:rPr>
                <w:rFonts w:asciiTheme="majorHAnsi" w:hAnsiTheme="majorHAnsi" w:cstheme="minorHAnsi"/>
                <w:sz w:val="20"/>
                <w:szCs w:val="20"/>
              </w:rPr>
              <w:t>1</w:t>
            </w:r>
          </w:p>
        </w:tc>
      </w:tr>
      <w:tr w:rsidR="00385A02" w:rsidRPr="00123ADE" w14:paraId="3D0DC8DD" w14:textId="77777777" w:rsidTr="00385A02">
        <w:trPr>
          <w:trHeight w:val="657"/>
          <w:jc w:val="center"/>
        </w:trPr>
        <w:tc>
          <w:tcPr>
            <w:tcW w:w="3784" w:type="dxa"/>
            <w:tcBorders>
              <w:top w:val="single" w:sz="4" w:space="0" w:color="auto"/>
              <w:left w:val="single" w:sz="4" w:space="0" w:color="auto"/>
              <w:bottom w:val="single" w:sz="4" w:space="0" w:color="auto"/>
              <w:right w:val="single" w:sz="4" w:space="0" w:color="auto"/>
            </w:tcBorders>
            <w:shd w:val="clear" w:color="auto" w:fill="FFFFFF"/>
            <w:vAlign w:val="center"/>
          </w:tcPr>
          <w:p w14:paraId="7E735959" w14:textId="77777777" w:rsidR="00385A02" w:rsidRPr="00123ADE" w:rsidRDefault="00385A02" w:rsidP="001F39F3">
            <w:pPr>
              <w:spacing w:before="60" w:after="60" w:line="276" w:lineRule="auto"/>
              <w:jc w:val="both"/>
              <w:rPr>
                <w:rFonts w:asciiTheme="majorHAnsi" w:hAnsiTheme="majorHAnsi" w:cstheme="minorHAnsi"/>
                <w:sz w:val="20"/>
                <w:szCs w:val="20"/>
                <w:lang w:val="es-CR"/>
              </w:rPr>
            </w:pPr>
            <w:r w:rsidRPr="00123ADE">
              <w:rPr>
                <w:rFonts w:asciiTheme="majorHAnsi" w:hAnsiTheme="majorHAnsi" w:cstheme="minorHAnsi"/>
                <w:sz w:val="20"/>
                <w:szCs w:val="20"/>
                <w:lang w:val="es-CR"/>
              </w:rPr>
              <w:t xml:space="preserve">Maestría Profesional en Auditoría de Tecnologías y Sistemas de Información / Universidad </w:t>
            </w:r>
            <w:proofErr w:type="spellStart"/>
            <w:r w:rsidRPr="00123ADE">
              <w:rPr>
                <w:rFonts w:asciiTheme="majorHAnsi" w:hAnsiTheme="majorHAnsi" w:cstheme="minorHAnsi"/>
                <w:sz w:val="20"/>
                <w:szCs w:val="20"/>
                <w:lang w:val="es-CR"/>
              </w:rPr>
              <w:t>Fidélitas</w:t>
            </w:r>
            <w:proofErr w:type="spellEnd"/>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14:paraId="2A37BA26" w14:textId="77777777" w:rsidR="00385A02" w:rsidRPr="00123ADE" w:rsidRDefault="00385A02" w:rsidP="00385A02">
            <w:pPr>
              <w:spacing w:before="60" w:after="60" w:line="276" w:lineRule="auto"/>
              <w:rPr>
                <w:rFonts w:asciiTheme="majorHAnsi" w:hAnsiTheme="majorHAnsi" w:cstheme="minorHAnsi"/>
                <w:sz w:val="20"/>
                <w:szCs w:val="20"/>
              </w:rPr>
            </w:pPr>
            <w:r w:rsidRPr="00123ADE">
              <w:rPr>
                <w:rFonts w:asciiTheme="majorHAnsi" w:hAnsiTheme="majorHAnsi" w:cstheme="minorHAnsi"/>
                <w:sz w:val="20"/>
                <w:szCs w:val="20"/>
              </w:rPr>
              <w:t>Regímenes de Capitalización Individual</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14:paraId="36ECFF60" w14:textId="77777777" w:rsidR="00385A02" w:rsidRPr="00123ADE" w:rsidRDefault="00385A02" w:rsidP="00385A02">
            <w:pPr>
              <w:spacing w:before="60" w:after="60" w:line="276" w:lineRule="auto"/>
              <w:jc w:val="center"/>
              <w:rPr>
                <w:rFonts w:asciiTheme="majorHAnsi" w:hAnsiTheme="majorHAnsi" w:cstheme="minorHAnsi"/>
                <w:sz w:val="20"/>
                <w:szCs w:val="20"/>
              </w:rPr>
            </w:pPr>
            <w:r w:rsidRPr="00123ADE">
              <w:rPr>
                <w:rFonts w:asciiTheme="majorHAnsi" w:hAnsiTheme="majorHAnsi" w:cstheme="minorHAnsi"/>
                <w:sz w:val="20"/>
                <w:szCs w:val="20"/>
              </w:rPr>
              <w:t>1</w:t>
            </w:r>
          </w:p>
        </w:tc>
      </w:tr>
      <w:tr w:rsidR="00385A02" w:rsidRPr="00123ADE" w14:paraId="2269FC8F" w14:textId="77777777" w:rsidTr="00385A02">
        <w:trPr>
          <w:trHeight w:val="657"/>
          <w:jc w:val="center"/>
        </w:trPr>
        <w:tc>
          <w:tcPr>
            <w:tcW w:w="3784" w:type="dxa"/>
            <w:tcBorders>
              <w:top w:val="single" w:sz="4" w:space="0" w:color="auto"/>
              <w:left w:val="single" w:sz="4" w:space="0" w:color="auto"/>
              <w:bottom w:val="single" w:sz="4" w:space="0" w:color="auto"/>
              <w:right w:val="single" w:sz="4" w:space="0" w:color="auto"/>
            </w:tcBorders>
            <w:shd w:val="clear" w:color="auto" w:fill="FFFFFF"/>
            <w:vAlign w:val="center"/>
          </w:tcPr>
          <w:p w14:paraId="54DF8899" w14:textId="77777777" w:rsidR="00385A02" w:rsidRPr="00123ADE" w:rsidRDefault="00385A02" w:rsidP="001F39F3">
            <w:pPr>
              <w:spacing w:before="60" w:after="60" w:line="276" w:lineRule="auto"/>
              <w:jc w:val="both"/>
              <w:rPr>
                <w:rFonts w:asciiTheme="majorHAnsi" w:hAnsiTheme="majorHAnsi" w:cstheme="minorHAnsi"/>
                <w:sz w:val="20"/>
                <w:szCs w:val="20"/>
                <w:lang w:val="es-CR"/>
              </w:rPr>
            </w:pPr>
            <w:r w:rsidRPr="00123ADE">
              <w:rPr>
                <w:rFonts w:asciiTheme="majorHAnsi" w:hAnsiTheme="majorHAnsi" w:cstheme="minorHAnsi"/>
                <w:sz w:val="20"/>
                <w:szCs w:val="20"/>
                <w:lang w:val="es-CR"/>
              </w:rPr>
              <w:t>Maestría Profesional en Administración de Negocios con énfasis en Banca y Finanzas / Universidad Latina</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14:paraId="1E8825E8" w14:textId="77777777" w:rsidR="00385A02" w:rsidRPr="00123ADE" w:rsidRDefault="00385A02" w:rsidP="00385A02">
            <w:pPr>
              <w:spacing w:before="60" w:after="60" w:line="276" w:lineRule="auto"/>
              <w:rPr>
                <w:rFonts w:asciiTheme="majorHAnsi" w:hAnsiTheme="majorHAnsi" w:cstheme="minorHAnsi"/>
                <w:sz w:val="20"/>
                <w:szCs w:val="20"/>
              </w:rPr>
            </w:pPr>
            <w:r w:rsidRPr="00123ADE">
              <w:rPr>
                <w:rFonts w:asciiTheme="majorHAnsi" w:hAnsiTheme="majorHAnsi" w:cstheme="minorHAnsi"/>
                <w:sz w:val="20"/>
                <w:szCs w:val="20"/>
              </w:rPr>
              <w:t>Regímenes de Capitalización Individual</w:t>
            </w: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14:paraId="68230454" w14:textId="77777777" w:rsidR="00385A02" w:rsidRPr="00123ADE" w:rsidRDefault="00385A02" w:rsidP="00385A02">
            <w:pPr>
              <w:spacing w:before="60" w:after="60" w:line="276" w:lineRule="auto"/>
              <w:jc w:val="center"/>
              <w:rPr>
                <w:rFonts w:asciiTheme="majorHAnsi" w:hAnsiTheme="majorHAnsi" w:cstheme="minorHAnsi"/>
                <w:sz w:val="20"/>
                <w:szCs w:val="20"/>
              </w:rPr>
            </w:pPr>
            <w:r w:rsidRPr="00123ADE">
              <w:rPr>
                <w:rFonts w:asciiTheme="majorHAnsi" w:hAnsiTheme="majorHAnsi" w:cstheme="minorHAnsi"/>
                <w:sz w:val="20"/>
                <w:szCs w:val="20"/>
              </w:rPr>
              <w:t>1</w:t>
            </w:r>
          </w:p>
        </w:tc>
      </w:tr>
      <w:tr w:rsidR="00385A02" w:rsidRPr="00123ADE" w14:paraId="524CA202" w14:textId="77777777" w:rsidTr="00385A02">
        <w:trPr>
          <w:trHeight w:val="657"/>
          <w:jc w:val="center"/>
        </w:trPr>
        <w:tc>
          <w:tcPr>
            <w:tcW w:w="9317" w:type="dxa"/>
            <w:gridSpan w:val="3"/>
            <w:shd w:val="clear" w:color="auto" w:fill="FFFFFF"/>
            <w:vAlign w:val="center"/>
          </w:tcPr>
          <w:p w14:paraId="570ABEF5" w14:textId="6E508BE9" w:rsidR="00385A02" w:rsidRPr="00123ADE" w:rsidRDefault="00385A02" w:rsidP="00385A02">
            <w:pPr>
              <w:spacing w:line="276" w:lineRule="auto"/>
              <w:rPr>
                <w:rFonts w:asciiTheme="majorHAnsi" w:hAnsiTheme="majorHAnsi" w:cstheme="minorHAnsi"/>
                <w:b/>
                <w:sz w:val="20"/>
                <w:szCs w:val="20"/>
              </w:rPr>
            </w:pPr>
            <w:r w:rsidRPr="00123ADE">
              <w:rPr>
                <w:rFonts w:asciiTheme="majorHAnsi" w:hAnsiTheme="majorHAnsi" w:cstheme="minorHAnsi"/>
                <w:b/>
                <w:sz w:val="20"/>
                <w:szCs w:val="20"/>
              </w:rPr>
              <w:t>Maestría propuesta (período 2016):</w:t>
            </w:r>
            <w:r w:rsidR="001F39F3" w:rsidRPr="00123ADE">
              <w:rPr>
                <w:rFonts w:asciiTheme="majorHAnsi" w:hAnsiTheme="majorHAnsi" w:cstheme="minorHAnsi"/>
                <w:b/>
                <w:sz w:val="20"/>
                <w:szCs w:val="20"/>
              </w:rPr>
              <w:t xml:space="preserve"> </w:t>
            </w:r>
          </w:p>
        </w:tc>
      </w:tr>
      <w:tr w:rsidR="00385A02" w:rsidRPr="007B42EB" w14:paraId="0429B71A" w14:textId="77777777" w:rsidTr="00385A02">
        <w:trPr>
          <w:trHeight w:val="657"/>
          <w:jc w:val="center"/>
        </w:trPr>
        <w:tc>
          <w:tcPr>
            <w:tcW w:w="3784" w:type="dxa"/>
            <w:shd w:val="clear" w:color="auto" w:fill="FFFFFF"/>
            <w:vAlign w:val="center"/>
          </w:tcPr>
          <w:p w14:paraId="60EFFADF" w14:textId="77777777" w:rsidR="00385A02" w:rsidRPr="001963BD" w:rsidRDefault="00385A02" w:rsidP="00385A02">
            <w:pPr>
              <w:spacing w:before="60" w:after="60" w:line="276" w:lineRule="auto"/>
              <w:jc w:val="both"/>
              <w:rPr>
                <w:rFonts w:asciiTheme="majorHAnsi" w:hAnsiTheme="majorHAnsi" w:cstheme="minorHAnsi"/>
                <w:sz w:val="20"/>
                <w:szCs w:val="20"/>
                <w:lang w:val="es-CR"/>
              </w:rPr>
            </w:pPr>
            <w:r w:rsidRPr="00BB3B0A">
              <w:rPr>
                <w:rFonts w:asciiTheme="majorHAnsi" w:hAnsiTheme="majorHAnsi" w:cstheme="minorHAnsi"/>
                <w:sz w:val="20"/>
                <w:szCs w:val="20"/>
                <w:lang w:val="es-CR"/>
              </w:rPr>
              <w:t xml:space="preserve">Maestría en tema de Riesgos u otra similar que complemente </w:t>
            </w:r>
            <w:r>
              <w:rPr>
                <w:rFonts w:asciiTheme="majorHAnsi" w:hAnsiTheme="majorHAnsi" w:cstheme="minorHAnsi"/>
                <w:sz w:val="20"/>
                <w:szCs w:val="20"/>
                <w:lang w:val="es-CR"/>
              </w:rPr>
              <w:t>un</w:t>
            </w:r>
            <w:r w:rsidRPr="00BB3B0A">
              <w:rPr>
                <w:rFonts w:asciiTheme="majorHAnsi" w:hAnsiTheme="majorHAnsi" w:cstheme="minorHAnsi"/>
                <w:sz w:val="20"/>
                <w:szCs w:val="20"/>
                <w:lang w:val="es-CR"/>
              </w:rPr>
              <w:t xml:space="preserve"> perfil de auditor de sistemas </w:t>
            </w:r>
          </w:p>
        </w:tc>
        <w:tc>
          <w:tcPr>
            <w:tcW w:w="3193" w:type="dxa"/>
            <w:shd w:val="clear" w:color="auto" w:fill="FFFFFF"/>
            <w:vAlign w:val="center"/>
          </w:tcPr>
          <w:p w14:paraId="7178162C" w14:textId="77777777" w:rsidR="00385A02" w:rsidRPr="00BB3B0A" w:rsidRDefault="00385A02" w:rsidP="00385A02">
            <w:pPr>
              <w:spacing w:before="60" w:after="60" w:line="276" w:lineRule="auto"/>
              <w:ind w:left="461" w:hanging="461"/>
              <w:rPr>
                <w:rFonts w:asciiTheme="majorHAnsi" w:hAnsiTheme="majorHAnsi" w:cstheme="minorHAnsi"/>
                <w:sz w:val="20"/>
                <w:szCs w:val="20"/>
                <w:lang w:val="es-CR"/>
              </w:rPr>
            </w:pPr>
            <w:r w:rsidRPr="00BB3B0A">
              <w:rPr>
                <w:rFonts w:asciiTheme="majorHAnsi" w:hAnsiTheme="majorHAnsi" w:cstheme="minorHAnsi"/>
                <w:sz w:val="20"/>
                <w:szCs w:val="20"/>
                <w:lang w:val="es-CR"/>
              </w:rPr>
              <w:t>Regímenes Colectivos</w:t>
            </w:r>
          </w:p>
        </w:tc>
        <w:tc>
          <w:tcPr>
            <w:tcW w:w="2340" w:type="dxa"/>
            <w:shd w:val="clear" w:color="auto" w:fill="FFFFFF"/>
            <w:vAlign w:val="center"/>
          </w:tcPr>
          <w:p w14:paraId="26F79C08" w14:textId="77777777" w:rsidR="00385A02" w:rsidRPr="001963BD" w:rsidRDefault="00385A02" w:rsidP="00385A02">
            <w:pPr>
              <w:spacing w:before="60" w:after="60" w:line="276" w:lineRule="auto"/>
              <w:jc w:val="center"/>
              <w:rPr>
                <w:rFonts w:asciiTheme="majorHAnsi" w:hAnsiTheme="majorHAnsi" w:cstheme="minorHAnsi"/>
                <w:sz w:val="20"/>
                <w:szCs w:val="20"/>
              </w:rPr>
            </w:pPr>
            <w:r w:rsidRPr="001963BD">
              <w:rPr>
                <w:rFonts w:asciiTheme="majorHAnsi" w:hAnsiTheme="majorHAnsi" w:cstheme="minorHAnsi"/>
                <w:sz w:val="20"/>
                <w:szCs w:val="20"/>
              </w:rPr>
              <w:t>1</w:t>
            </w:r>
          </w:p>
        </w:tc>
      </w:tr>
    </w:tbl>
    <w:p w14:paraId="4F620BE7" w14:textId="77777777" w:rsidR="00385A02" w:rsidRDefault="00385A02" w:rsidP="00385A02">
      <w:pPr>
        <w:spacing w:line="276" w:lineRule="auto"/>
      </w:pPr>
    </w:p>
    <w:p w14:paraId="7F6F843E" w14:textId="77777777" w:rsidR="00385A02" w:rsidRDefault="00385A02" w:rsidP="00385A02">
      <w:pPr>
        <w:spacing w:line="276" w:lineRule="auto"/>
      </w:pPr>
    </w:p>
    <w:p w14:paraId="09657411" w14:textId="16137B6F" w:rsidR="003D74D9" w:rsidRDefault="003D74D9">
      <w:r>
        <w:br w:type="page"/>
      </w:r>
    </w:p>
    <w:p w14:paraId="34F1E526" w14:textId="77777777" w:rsidR="00385A02" w:rsidRPr="0069231C" w:rsidRDefault="00385A02" w:rsidP="00385A02">
      <w:pPr>
        <w:pStyle w:val="Subttulo"/>
        <w:spacing w:line="276" w:lineRule="auto"/>
        <w:outlineLvl w:val="1"/>
        <w:rPr>
          <w:rFonts w:cstheme="minorHAnsi"/>
          <w:b w:val="0"/>
          <w:szCs w:val="28"/>
        </w:rPr>
      </w:pPr>
    </w:p>
    <w:p w14:paraId="3EF0B12E" w14:textId="77777777" w:rsidR="00385A02" w:rsidRPr="007B42EB" w:rsidRDefault="00385A02" w:rsidP="00385A02">
      <w:pPr>
        <w:pStyle w:val="Subttulo"/>
        <w:spacing w:line="276" w:lineRule="auto"/>
        <w:outlineLvl w:val="1"/>
        <w:rPr>
          <w:rFonts w:cstheme="minorHAnsi"/>
          <w:b w:val="0"/>
          <w:szCs w:val="28"/>
        </w:rPr>
      </w:pPr>
      <w:bookmarkStart w:id="367" w:name="_Toc427932078"/>
      <w:bookmarkStart w:id="368" w:name="_Toc429555181"/>
      <w:bookmarkStart w:id="369" w:name="_Toc429562823"/>
      <w:bookmarkStart w:id="370" w:name="_Toc429563133"/>
      <w:bookmarkStart w:id="371" w:name="_Toc429563288"/>
      <w:bookmarkStart w:id="372" w:name="_Toc442253270"/>
      <w:r w:rsidRPr="007B42EB">
        <w:rPr>
          <w:rFonts w:cstheme="minorHAnsi"/>
          <w:szCs w:val="28"/>
        </w:rPr>
        <w:t>Formación Interna</w:t>
      </w:r>
      <w:bookmarkEnd w:id="367"/>
      <w:bookmarkEnd w:id="368"/>
      <w:bookmarkEnd w:id="369"/>
      <w:bookmarkEnd w:id="370"/>
      <w:bookmarkEnd w:id="371"/>
      <w:bookmarkEnd w:id="372"/>
    </w:p>
    <w:p w14:paraId="32CA0B67" w14:textId="77777777" w:rsidR="00385A02" w:rsidRPr="007B42EB" w:rsidRDefault="00385A02" w:rsidP="00385A02">
      <w:pPr>
        <w:tabs>
          <w:tab w:val="left" w:pos="9180"/>
        </w:tabs>
        <w:spacing w:line="276" w:lineRule="auto"/>
        <w:jc w:val="center"/>
        <w:rPr>
          <w:rFonts w:asciiTheme="majorHAnsi" w:hAnsiTheme="majorHAnsi" w:cstheme="minorHAnsi"/>
          <w:b/>
        </w:rPr>
      </w:pPr>
    </w:p>
    <w:p w14:paraId="0C243228" w14:textId="77777777" w:rsidR="00385A02" w:rsidRDefault="00385A02" w:rsidP="00385A02">
      <w:pPr>
        <w:tabs>
          <w:tab w:val="left" w:pos="9180"/>
        </w:tabs>
        <w:spacing w:line="276" w:lineRule="auto"/>
        <w:jc w:val="both"/>
        <w:rPr>
          <w:rFonts w:asciiTheme="majorHAnsi" w:hAnsiTheme="majorHAnsi" w:cstheme="minorHAnsi"/>
        </w:rPr>
      </w:pPr>
      <w:r>
        <w:rPr>
          <w:rFonts w:asciiTheme="majorHAnsi" w:hAnsiTheme="majorHAnsi" w:cstheme="minorHAnsi"/>
        </w:rPr>
        <w:t xml:space="preserve">En relación con la capacitación presupuestada, un aspecto fundamental es el máximo aprovechamiento de los conocimientos recibidos durante la ejecución de un curso. Debido a lo anterior, en casos de </w:t>
      </w:r>
      <w:r w:rsidRPr="00DE1E13">
        <w:rPr>
          <w:rFonts w:asciiTheme="majorHAnsi" w:hAnsiTheme="majorHAnsi" w:cstheme="minorHAnsi"/>
          <w:i/>
        </w:rPr>
        <w:t>capacitación sustantiva</w:t>
      </w:r>
      <w:r w:rsidRPr="00BB2A41">
        <w:rPr>
          <w:rFonts w:asciiTheme="majorHAnsi" w:hAnsiTheme="majorHAnsi" w:cstheme="minorHAnsi"/>
        </w:rPr>
        <w:t xml:space="preserve">, </w:t>
      </w:r>
      <w:r>
        <w:rPr>
          <w:rFonts w:asciiTheme="majorHAnsi" w:hAnsiTheme="majorHAnsi" w:cstheme="minorHAnsi"/>
        </w:rPr>
        <w:t>entendiéndose como aquellos</w:t>
      </w:r>
      <w:r w:rsidRPr="00BB2A41">
        <w:rPr>
          <w:rFonts w:asciiTheme="majorHAnsi" w:hAnsiTheme="majorHAnsi" w:cstheme="minorHAnsi"/>
        </w:rPr>
        <w:t xml:space="preserve"> cursos o charlas que versen sobre temas relacionados con la materia de pensiones</w:t>
      </w:r>
      <w:r>
        <w:rPr>
          <w:rFonts w:asciiTheme="majorHAnsi" w:hAnsiTheme="majorHAnsi" w:cstheme="minorHAnsi"/>
        </w:rPr>
        <w:t>,</w:t>
      </w:r>
      <w:r w:rsidRPr="00BB2A41">
        <w:rPr>
          <w:rFonts w:asciiTheme="majorHAnsi" w:hAnsiTheme="majorHAnsi" w:cstheme="minorHAnsi"/>
        </w:rPr>
        <w:t xml:space="preserve"> que fomenten la actualización periódica de los conocimientos mínimos que todo colaborador debe poseer para desempeñar adecuadamente las funciones asignadas</w:t>
      </w:r>
      <w:r>
        <w:rPr>
          <w:rFonts w:asciiTheme="majorHAnsi" w:hAnsiTheme="majorHAnsi" w:cstheme="minorHAnsi"/>
        </w:rPr>
        <w:t xml:space="preserve"> y cursos que por su alto costo, ya sea en el interior o en el exterior, solo permite considerar un número limitado de participantes; los funcionarios beneficiados deberán impartir charlas de extensión a los compañeros de la dependencia (o a compañeros de otras dependencias, según el tema de que se trate) </w:t>
      </w:r>
      <w:r w:rsidRPr="00BF6605">
        <w:rPr>
          <w:rFonts w:asciiTheme="majorHAnsi" w:hAnsiTheme="majorHAnsi" w:cstheme="minorHAnsi"/>
        </w:rPr>
        <w:t>a través de una formación interna</w:t>
      </w:r>
      <w:r>
        <w:rPr>
          <w:rFonts w:asciiTheme="majorHAnsi" w:hAnsiTheme="majorHAnsi" w:cstheme="minorHAnsi"/>
        </w:rPr>
        <w:t>.</w:t>
      </w:r>
    </w:p>
    <w:p w14:paraId="63A4E3CC" w14:textId="77777777" w:rsidR="00385A02" w:rsidRDefault="00385A02" w:rsidP="00385A02">
      <w:pPr>
        <w:tabs>
          <w:tab w:val="left" w:pos="9180"/>
        </w:tabs>
        <w:spacing w:line="276" w:lineRule="auto"/>
        <w:jc w:val="both"/>
        <w:rPr>
          <w:rFonts w:asciiTheme="majorHAnsi" w:hAnsiTheme="majorHAnsi" w:cstheme="minorHAnsi"/>
        </w:rPr>
      </w:pPr>
    </w:p>
    <w:p w14:paraId="47C3FCF3" w14:textId="77777777" w:rsidR="00385A02" w:rsidRPr="007B42EB" w:rsidRDefault="00385A02" w:rsidP="00385A02">
      <w:pPr>
        <w:tabs>
          <w:tab w:val="left" w:pos="9180"/>
        </w:tabs>
        <w:spacing w:line="276" w:lineRule="auto"/>
        <w:jc w:val="both"/>
        <w:rPr>
          <w:rFonts w:asciiTheme="majorHAnsi" w:hAnsiTheme="majorHAnsi" w:cstheme="minorHAnsi"/>
        </w:rPr>
      </w:pPr>
      <w:r>
        <w:rPr>
          <w:rFonts w:asciiTheme="majorHAnsi" w:hAnsiTheme="majorHAnsi" w:cstheme="minorHAnsi"/>
        </w:rPr>
        <w:t>Por otra parte, es de suma relevancia destacar</w:t>
      </w:r>
      <w:r w:rsidRPr="007B42EB">
        <w:rPr>
          <w:rFonts w:asciiTheme="majorHAnsi" w:hAnsiTheme="majorHAnsi" w:cstheme="minorHAnsi"/>
        </w:rPr>
        <w:t xml:space="preserve"> que existen áreas en las que algunos procesos cuentan con mucha experiencia y dominio de temas específicos de acuerdo con su campo de acción, por lo cual, es necesario aprovechar dicho bagaje de conocimientos a fin de </w:t>
      </w:r>
      <w:r>
        <w:rPr>
          <w:rFonts w:asciiTheme="majorHAnsi" w:hAnsiTheme="majorHAnsi" w:cstheme="minorHAnsi"/>
        </w:rPr>
        <w:t>compartir el conocimiento</w:t>
      </w:r>
      <w:r w:rsidRPr="007B42EB">
        <w:rPr>
          <w:rFonts w:asciiTheme="majorHAnsi" w:hAnsiTheme="majorHAnsi" w:cstheme="minorHAnsi"/>
        </w:rPr>
        <w:t xml:space="preserve"> con otros procesos que lo requieran.  Lo anterior, puede verse como un complemento o valor agregado para efectuar </w:t>
      </w:r>
      <w:r>
        <w:rPr>
          <w:rFonts w:asciiTheme="majorHAnsi" w:hAnsiTheme="majorHAnsi" w:cstheme="minorHAnsi"/>
        </w:rPr>
        <w:t>las</w:t>
      </w:r>
      <w:r w:rsidRPr="007B42EB">
        <w:rPr>
          <w:rFonts w:asciiTheme="majorHAnsi" w:hAnsiTheme="majorHAnsi" w:cstheme="minorHAnsi"/>
        </w:rPr>
        <w:t xml:space="preserve"> labores de manera más eficaz, asimismo, redunda en múltiples beneficios para la organización. </w:t>
      </w:r>
      <w:r>
        <w:rPr>
          <w:rFonts w:asciiTheme="majorHAnsi" w:hAnsiTheme="majorHAnsi" w:cstheme="minorHAnsi"/>
        </w:rPr>
        <w:t xml:space="preserve"> </w:t>
      </w:r>
    </w:p>
    <w:p w14:paraId="44CBC913" w14:textId="77777777" w:rsidR="00385A02" w:rsidRPr="007B42EB" w:rsidRDefault="00385A02" w:rsidP="00385A02">
      <w:pPr>
        <w:tabs>
          <w:tab w:val="left" w:pos="9180"/>
        </w:tabs>
        <w:spacing w:line="276" w:lineRule="auto"/>
        <w:jc w:val="both"/>
        <w:rPr>
          <w:rFonts w:asciiTheme="majorHAnsi" w:hAnsiTheme="majorHAnsi" w:cstheme="minorHAnsi"/>
        </w:rPr>
      </w:pPr>
    </w:p>
    <w:p w14:paraId="58EDACBA" w14:textId="4796C4B0" w:rsidR="00385A02" w:rsidRPr="007B42EB" w:rsidRDefault="00385A02" w:rsidP="00385A02">
      <w:pPr>
        <w:autoSpaceDE w:val="0"/>
        <w:autoSpaceDN w:val="0"/>
        <w:adjustRightInd w:val="0"/>
        <w:spacing w:line="276" w:lineRule="auto"/>
        <w:jc w:val="both"/>
        <w:rPr>
          <w:rFonts w:asciiTheme="majorHAnsi" w:hAnsiTheme="majorHAnsi" w:cstheme="minorHAnsi"/>
        </w:rPr>
      </w:pPr>
      <w:r w:rsidRPr="007B42EB">
        <w:rPr>
          <w:rFonts w:asciiTheme="majorHAnsi" w:hAnsiTheme="majorHAnsi" w:cstheme="minorHAnsi"/>
        </w:rPr>
        <w:t xml:space="preserve">De acuerdo con lo anteriormente expuesto, el programa </w:t>
      </w:r>
      <w:r w:rsidRPr="007B42EB">
        <w:rPr>
          <w:rFonts w:asciiTheme="majorHAnsi" w:hAnsiTheme="majorHAnsi" w:cstheme="minorHAnsi"/>
          <w:i/>
        </w:rPr>
        <w:t>"Capacitación para la mejora continua"</w:t>
      </w:r>
      <w:r w:rsidRPr="007B42EB">
        <w:rPr>
          <w:rFonts w:asciiTheme="majorHAnsi" w:hAnsiTheme="majorHAnsi" w:cstheme="minorHAnsi"/>
        </w:rPr>
        <w:t xml:space="preserve"> que consiste en un sistema de charlas programadas e impartidas por funcionarios de la institución para los mismos cola</w:t>
      </w:r>
      <w:r w:rsidR="001F39F3">
        <w:rPr>
          <w:rFonts w:asciiTheme="majorHAnsi" w:hAnsiTheme="majorHAnsi" w:cstheme="minorHAnsi"/>
        </w:rPr>
        <w:t>boradores de la SUPEN</w:t>
      </w:r>
      <w:r>
        <w:rPr>
          <w:rFonts w:asciiTheme="majorHAnsi" w:hAnsiTheme="majorHAnsi" w:cstheme="minorHAnsi"/>
        </w:rPr>
        <w:t>, será de aplicación continua según se requiera</w:t>
      </w:r>
      <w:r w:rsidRPr="007B42EB">
        <w:rPr>
          <w:rFonts w:asciiTheme="majorHAnsi" w:hAnsiTheme="majorHAnsi" w:cstheme="minorHAnsi"/>
        </w:rPr>
        <w:t>.</w:t>
      </w:r>
    </w:p>
    <w:p w14:paraId="310838B5" w14:textId="77777777" w:rsidR="00385A02" w:rsidRPr="007B42EB" w:rsidRDefault="00385A02" w:rsidP="00385A02">
      <w:pPr>
        <w:autoSpaceDE w:val="0"/>
        <w:autoSpaceDN w:val="0"/>
        <w:adjustRightInd w:val="0"/>
        <w:spacing w:line="276" w:lineRule="auto"/>
        <w:jc w:val="both"/>
        <w:rPr>
          <w:rFonts w:asciiTheme="majorHAnsi" w:hAnsiTheme="majorHAnsi" w:cstheme="minorHAnsi"/>
        </w:rPr>
      </w:pPr>
    </w:p>
    <w:p w14:paraId="23744921" w14:textId="77777777" w:rsidR="00385A02" w:rsidRPr="007B42EB" w:rsidRDefault="00385A02" w:rsidP="00385A02">
      <w:pPr>
        <w:autoSpaceDE w:val="0"/>
        <w:autoSpaceDN w:val="0"/>
        <w:adjustRightInd w:val="0"/>
        <w:spacing w:line="276" w:lineRule="auto"/>
        <w:jc w:val="both"/>
        <w:rPr>
          <w:rFonts w:asciiTheme="majorHAnsi" w:hAnsiTheme="majorHAnsi" w:cstheme="minorHAnsi"/>
        </w:rPr>
      </w:pPr>
      <w:r w:rsidRPr="007B42EB">
        <w:rPr>
          <w:rFonts w:asciiTheme="majorHAnsi" w:hAnsiTheme="majorHAnsi" w:cstheme="minorHAnsi"/>
        </w:rPr>
        <w:t xml:space="preserve">En tal sentido, se abordarán temas resultantes en cambios de normativa vigente o temas relativos a nueva normativa emitida por la División de Planificación y Normativa, </w:t>
      </w:r>
      <w:r>
        <w:rPr>
          <w:rFonts w:asciiTheme="majorHAnsi" w:hAnsiTheme="majorHAnsi" w:cstheme="minorHAnsi"/>
        </w:rPr>
        <w:t xml:space="preserve">conocimiento a nivel básico por parte de todos los funcionarios en el tema de pensiones y la Seguridad Social, </w:t>
      </w:r>
      <w:r w:rsidRPr="007B42EB">
        <w:rPr>
          <w:rFonts w:asciiTheme="majorHAnsi" w:hAnsiTheme="majorHAnsi" w:cstheme="minorHAnsi"/>
        </w:rPr>
        <w:t xml:space="preserve">aspectos de índole legal, así como, actualización informática, entre otros; que afecten la calidad de las tareas efectuadas por el personal de la institución. </w:t>
      </w:r>
    </w:p>
    <w:p w14:paraId="3F263481" w14:textId="77777777" w:rsidR="00385A02" w:rsidRPr="007B42EB" w:rsidRDefault="00385A02" w:rsidP="00385A02">
      <w:pPr>
        <w:autoSpaceDE w:val="0"/>
        <w:autoSpaceDN w:val="0"/>
        <w:adjustRightInd w:val="0"/>
        <w:spacing w:line="276" w:lineRule="auto"/>
        <w:jc w:val="both"/>
        <w:rPr>
          <w:rFonts w:asciiTheme="majorHAnsi" w:hAnsiTheme="majorHAnsi" w:cstheme="minorHAnsi"/>
        </w:rPr>
      </w:pPr>
    </w:p>
    <w:p w14:paraId="37B91793" w14:textId="77777777" w:rsidR="00385A02" w:rsidRDefault="00385A02" w:rsidP="00385A02">
      <w:pPr>
        <w:tabs>
          <w:tab w:val="left" w:pos="9180"/>
        </w:tabs>
        <w:spacing w:line="276" w:lineRule="auto"/>
        <w:jc w:val="both"/>
        <w:rPr>
          <w:rFonts w:asciiTheme="majorHAnsi" w:hAnsiTheme="majorHAnsi" w:cstheme="minorHAnsi"/>
        </w:rPr>
      </w:pPr>
      <w:r w:rsidRPr="007B42EB">
        <w:rPr>
          <w:rFonts w:asciiTheme="majorHAnsi" w:hAnsiTheme="majorHAnsi" w:cstheme="minorHAnsi"/>
        </w:rPr>
        <w:t>Finalmente, el Encargado de Proceso comunicará con debida antelación, el tema sobre el cual se requiere impartir la capacitación, a efecto de que el Área de Comunicación y Servicios proceda con la coordinación respectiva</w:t>
      </w:r>
      <w:r>
        <w:rPr>
          <w:rFonts w:asciiTheme="majorHAnsi" w:hAnsiTheme="majorHAnsi" w:cstheme="minorHAnsi"/>
        </w:rPr>
        <w:t xml:space="preserve"> o cuando sea pertinente, el Área contactará directamente a la dependencia</w:t>
      </w:r>
      <w:r w:rsidRPr="007B42EB">
        <w:rPr>
          <w:rFonts w:asciiTheme="majorHAnsi" w:hAnsiTheme="majorHAnsi" w:cstheme="minorHAnsi"/>
        </w:rPr>
        <w:t>.</w:t>
      </w:r>
    </w:p>
    <w:p w14:paraId="33301977" w14:textId="77777777" w:rsidR="00A964FD" w:rsidRDefault="00A964FD">
      <w:pPr>
        <w:rPr>
          <w:rFonts w:asciiTheme="majorHAnsi" w:hAnsiTheme="majorHAnsi" w:cs="Tahoma"/>
          <w:b/>
          <w:bCs/>
          <w:smallCaps/>
          <w:sz w:val="28"/>
          <w:u w:val="single"/>
        </w:rPr>
      </w:pPr>
    </w:p>
    <w:p w14:paraId="365B4BD9" w14:textId="77777777" w:rsidR="00927F11" w:rsidRDefault="00927F11">
      <w:pPr>
        <w:rPr>
          <w:rFonts w:asciiTheme="majorHAnsi" w:hAnsiTheme="majorHAnsi" w:cs="Tahoma"/>
          <w:b/>
          <w:bCs/>
          <w:smallCaps/>
          <w:sz w:val="28"/>
          <w:u w:val="single"/>
        </w:rPr>
        <w:sectPr w:rsidR="00927F11" w:rsidSect="002C4881">
          <w:headerReference w:type="default" r:id="rId73"/>
          <w:footerReference w:type="even" r:id="rId74"/>
          <w:footerReference w:type="default" r:id="rId75"/>
          <w:headerReference w:type="first" r:id="rId76"/>
          <w:pgSz w:w="12240" w:h="15840" w:code="1"/>
          <w:pgMar w:top="1440" w:right="1440" w:bottom="1440" w:left="1440" w:header="720" w:footer="720" w:gutter="0"/>
          <w:cols w:space="708"/>
          <w:titlePg/>
          <w:docGrid w:linePitch="360"/>
        </w:sectPr>
      </w:pPr>
    </w:p>
    <w:p w14:paraId="2AB49BD1" w14:textId="7490A47B" w:rsidR="00F461A7" w:rsidRPr="001F39F3" w:rsidRDefault="00680446" w:rsidP="00912D0F">
      <w:pPr>
        <w:pStyle w:val="NormalWeb"/>
        <w:tabs>
          <w:tab w:val="left" w:pos="567"/>
        </w:tabs>
        <w:outlineLvl w:val="0"/>
        <w:rPr>
          <w:rFonts w:asciiTheme="majorHAnsi" w:hAnsiTheme="majorHAnsi" w:cs="Tahoma"/>
          <w:b/>
          <w:bCs/>
          <w:smallCaps/>
          <w:sz w:val="28"/>
        </w:rPr>
      </w:pPr>
      <w:bookmarkStart w:id="373" w:name="_Toc442253271"/>
      <w:r>
        <w:rPr>
          <w:rFonts w:asciiTheme="majorHAnsi" w:hAnsiTheme="majorHAnsi" w:cs="Tahoma"/>
          <w:b/>
          <w:bCs/>
          <w:smallCaps/>
          <w:sz w:val="28"/>
        </w:rPr>
        <w:lastRenderedPageBreak/>
        <w:t>6</w:t>
      </w:r>
      <w:r w:rsidR="00F461A7" w:rsidRPr="001F39F3">
        <w:rPr>
          <w:rFonts w:asciiTheme="majorHAnsi" w:hAnsiTheme="majorHAnsi" w:cs="Tahoma"/>
          <w:b/>
          <w:bCs/>
          <w:smallCaps/>
          <w:sz w:val="28"/>
        </w:rPr>
        <w:t xml:space="preserve">. </w:t>
      </w:r>
      <w:r w:rsidR="00F461A7" w:rsidRPr="001F39F3">
        <w:rPr>
          <w:rFonts w:asciiTheme="majorHAnsi" w:hAnsiTheme="majorHAnsi" w:cs="Tahoma"/>
          <w:b/>
          <w:bCs/>
          <w:smallCaps/>
          <w:sz w:val="28"/>
        </w:rPr>
        <w:tab/>
        <w:t>Certificación de estar al día en el pago de las cuotas CCSS</w:t>
      </w:r>
      <w:bookmarkEnd w:id="373"/>
    </w:p>
    <w:p w14:paraId="6F7D14DB" w14:textId="4B7ACDBE" w:rsidR="0053159D" w:rsidRDefault="0053159D" w:rsidP="00C2480F">
      <w:pPr>
        <w:jc w:val="center"/>
        <w:rPr>
          <w:rFonts w:asciiTheme="majorHAnsi" w:hAnsiTheme="majorHAnsi" w:cs="Tahoma"/>
          <w:b/>
          <w:bCs/>
          <w:smallCaps/>
          <w:sz w:val="28"/>
          <w:u w:val="single"/>
        </w:rPr>
      </w:pPr>
    </w:p>
    <w:p w14:paraId="35ACC530" w14:textId="1E68A941" w:rsidR="003D74D9" w:rsidRDefault="00F64185" w:rsidP="00C2480F">
      <w:pPr>
        <w:jc w:val="center"/>
        <w:rPr>
          <w:rFonts w:asciiTheme="majorHAnsi" w:hAnsiTheme="majorHAnsi" w:cs="Tahoma"/>
          <w:b/>
          <w:bCs/>
          <w:smallCaps/>
          <w:sz w:val="28"/>
          <w:u w:val="single"/>
        </w:rPr>
      </w:pPr>
      <w:r>
        <w:rPr>
          <w:noProof/>
        </w:rPr>
        <w:drawing>
          <wp:inline distT="0" distB="0" distL="0" distR="0" wp14:anchorId="7CC78D4E" wp14:editId="71C59321">
            <wp:extent cx="5303410" cy="6899900"/>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5313828" cy="6913454"/>
                    </a:xfrm>
                    <a:prstGeom prst="rect">
                      <a:avLst/>
                    </a:prstGeom>
                  </pic:spPr>
                </pic:pic>
              </a:graphicData>
            </a:graphic>
          </wp:inline>
        </w:drawing>
      </w:r>
    </w:p>
    <w:p w14:paraId="63A1C6AC" w14:textId="77777777" w:rsidR="003D74D9" w:rsidRDefault="003D74D9" w:rsidP="00C2480F">
      <w:pPr>
        <w:jc w:val="center"/>
        <w:rPr>
          <w:rFonts w:asciiTheme="majorHAnsi" w:hAnsiTheme="majorHAnsi" w:cs="Tahoma"/>
          <w:b/>
          <w:bCs/>
          <w:smallCaps/>
          <w:sz w:val="28"/>
          <w:u w:val="single"/>
        </w:rPr>
      </w:pPr>
    </w:p>
    <w:p w14:paraId="7BBDD591" w14:textId="77777777" w:rsidR="00912D0F" w:rsidRDefault="00912D0F" w:rsidP="00C2480F">
      <w:pPr>
        <w:jc w:val="center"/>
        <w:rPr>
          <w:rFonts w:asciiTheme="majorHAnsi" w:hAnsiTheme="majorHAnsi" w:cs="Tahoma"/>
          <w:b/>
          <w:bCs/>
          <w:smallCaps/>
          <w:sz w:val="28"/>
          <w:u w:val="single"/>
        </w:rPr>
      </w:pPr>
    </w:p>
    <w:p w14:paraId="0C3832FD" w14:textId="77777777" w:rsidR="00912D0F" w:rsidRDefault="00912D0F" w:rsidP="00C2480F">
      <w:pPr>
        <w:jc w:val="center"/>
        <w:rPr>
          <w:rFonts w:asciiTheme="majorHAnsi" w:hAnsiTheme="majorHAnsi" w:cs="Tahoma"/>
          <w:b/>
          <w:bCs/>
          <w:smallCaps/>
          <w:sz w:val="28"/>
          <w:u w:val="single"/>
        </w:rPr>
        <w:sectPr w:rsidR="00912D0F" w:rsidSect="00912D0F">
          <w:headerReference w:type="default" r:id="rId78"/>
          <w:footerReference w:type="default" r:id="rId79"/>
          <w:pgSz w:w="12242" w:h="15842" w:code="1"/>
          <w:pgMar w:top="1418" w:right="1701" w:bottom="1418" w:left="1701" w:header="709" w:footer="709" w:gutter="0"/>
          <w:cols w:space="708"/>
          <w:docGrid w:linePitch="360"/>
        </w:sectPr>
      </w:pPr>
    </w:p>
    <w:p w14:paraId="55793830" w14:textId="4642C1DF" w:rsidR="00F461A7" w:rsidRPr="001F39F3" w:rsidRDefault="00680446" w:rsidP="00912D0F">
      <w:pPr>
        <w:pStyle w:val="NormalWeb"/>
        <w:tabs>
          <w:tab w:val="left" w:pos="567"/>
        </w:tabs>
        <w:outlineLvl w:val="0"/>
        <w:rPr>
          <w:rFonts w:asciiTheme="majorHAnsi" w:hAnsiTheme="majorHAnsi" w:cs="Tahoma"/>
          <w:b/>
          <w:bCs/>
          <w:smallCaps/>
          <w:sz w:val="28"/>
        </w:rPr>
      </w:pPr>
      <w:bookmarkStart w:id="374" w:name="_Toc442253272"/>
      <w:r>
        <w:rPr>
          <w:rFonts w:asciiTheme="majorHAnsi" w:hAnsiTheme="majorHAnsi" w:cs="Tahoma"/>
          <w:b/>
          <w:bCs/>
          <w:smallCaps/>
          <w:sz w:val="28"/>
        </w:rPr>
        <w:lastRenderedPageBreak/>
        <w:t>7</w:t>
      </w:r>
      <w:r w:rsidR="00F461A7" w:rsidRPr="001F39F3">
        <w:rPr>
          <w:rFonts w:asciiTheme="majorHAnsi" w:hAnsiTheme="majorHAnsi" w:cs="Tahoma"/>
          <w:b/>
          <w:bCs/>
          <w:smallCaps/>
          <w:sz w:val="28"/>
        </w:rPr>
        <w:t xml:space="preserve">. </w:t>
      </w:r>
      <w:r w:rsidR="00F461A7" w:rsidRPr="001F39F3">
        <w:rPr>
          <w:rFonts w:asciiTheme="majorHAnsi" w:hAnsiTheme="majorHAnsi" w:cs="Tahoma"/>
          <w:b/>
          <w:bCs/>
          <w:smallCaps/>
          <w:sz w:val="28"/>
        </w:rPr>
        <w:tab/>
        <w:t>Directrices para la Formulación del POI – Presupuesto 201</w:t>
      </w:r>
      <w:r w:rsidR="00A964FD" w:rsidRPr="001F39F3">
        <w:rPr>
          <w:rFonts w:asciiTheme="majorHAnsi" w:hAnsiTheme="majorHAnsi" w:cs="Tahoma"/>
          <w:b/>
          <w:bCs/>
          <w:smallCaps/>
          <w:sz w:val="28"/>
        </w:rPr>
        <w:t>6</w:t>
      </w:r>
      <w:bookmarkEnd w:id="374"/>
    </w:p>
    <w:p w14:paraId="0E793EF4" w14:textId="77777777" w:rsidR="00A964FD" w:rsidRPr="00A9787F" w:rsidRDefault="00A964FD" w:rsidP="00A964FD">
      <w:pPr>
        <w:widowControl w:val="0"/>
        <w:jc w:val="both"/>
      </w:pPr>
    </w:p>
    <w:p w14:paraId="2BFC81AD" w14:textId="77777777" w:rsidR="0002289A" w:rsidRDefault="0002289A" w:rsidP="0002289A">
      <w:pPr>
        <w:pStyle w:val="Encabezado"/>
      </w:pPr>
      <w:r>
        <w:rPr>
          <w:noProof/>
          <w:lang w:val="es-ES" w:eastAsia="es-ES"/>
        </w:rPr>
        <w:drawing>
          <wp:inline distT="0" distB="0" distL="0" distR="0" wp14:anchorId="18A60CA5" wp14:editId="3FADA410">
            <wp:extent cx="3746500" cy="317500"/>
            <wp:effectExtent l="0" t="0" r="0" b="6350"/>
            <wp:docPr id="320" name="Imagen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0">
                      <a:extLst>
                        <a:ext uri="{28A0092B-C50C-407E-A947-70E740481C1C}">
                          <a14:useLocalDpi xmlns:a14="http://schemas.microsoft.com/office/drawing/2010/main" val="0"/>
                        </a:ext>
                      </a:extLst>
                    </a:blip>
                    <a:srcRect r="14087"/>
                    <a:stretch>
                      <a:fillRect/>
                    </a:stretch>
                  </pic:blipFill>
                  <pic:spPr bwMode="auto">
                    <a:xfrm>
                      <a:off x="0" y="0"/>
                      <a:ext cx="3746500" cy="317500"/>
                    </a:xfrm>
                    <a:prstGeom prst="rect">
                      <a:avLst/>
                    </a:prstGeom>
                    <a:noFill/>
                    <a:ln>
                      <a:noFill/>
                    </a:ln>
                  </pic:spPr>
                </pic:pic>
              </a:graphicData>
            </a:graphic>
          </wp:inline>
        </w:drawing>
      </w:r>
    </w:p>
    <w:p w14:paraId="5C70CA0A" w14:textId="77777777" w:rsidR="00A964FD" w:rsidRDefault="00A964FD" w:rsidP="00A964FD">
      <w:pPr>
        <w:widowControl w:val="0"/>
        <w:ind w:left="567" w:hanging="567"/>
        <w:jc w:val="both"/>
      </w:pPr>
    </w:p>
    <w:p w14:paraId="4336E503" w14:textId="77777777" w:rsidR="0002289A" w:rsidRPr="00A9787F" w:rsidRDefault="0002289A" w:rsidP="00A964FD">
      <w:pPr>
        <w:widowControl w:val="0"/>
        <w:ind w:left="567" w:hanging="567"/>
        <w:jc w:val="both"/>
      </w:pPr>
    </w:p>
    <w:p w14:paraId="6E03D2B2" w14:textId="77777777" w:rsidR="00A964FD" w:rsidRPr="00A9787F" w:rsidRDefault="00A964FD" w:rsidP="00A964FD">
      <w:pPr>
        <w:widowControl w:val="0"/>
        <w:ind w:left="567" w:hanging="567"/>
        <w:jc w:val="both"/>
      </w:pPr>
      <w:r w:rsidRPr="00A9787F">
        <w:t>15 de julio del 2015</w:t>
      </w:r>
    </w:p>
    <w:p w14:paraId="23B6FA8A" w14:textId="77777777" w:rsidR="00A964FD" w:rsidRPr="00A9787F" w:rsidRDefault="00A964FD" w:rsidP="00A964FD">
      <w:pPr>
        <w:widowControl w:val="0"/>
        <w:ind w:left="567" w:hanging="567"/>
        <w:jc w:val="both"/>
      </w:pPr>
      <w:r w:rsidRPr="00A9787F">
        <w:t>CNS-1181/</w:t>
      </w:r>
      <w:r>
        <w:t>12</w:t>
      </w:r>
    </w:p>
    <w:p w14:paraId="3DB64DFC" w14:textId="77777777" w:rsidR="00A964FD" w:rsidRPr="00A9787F" w:rsidRDefault="00A964FD" w:rsidP="00A964FD">
      <w:pPr>
        <w:widowControl w:val="0"/>
        <w:jc w:val="both"/>
        <w:rPr>
          <w:b/>
          <w:i/>
        </w:rPr>
      </w:pPr>
    </w:p>
    <w:p w14:paraId="15DA8BD3" w14:textId="77777777" w:rsidR="00A964FD" w:rsidRPr="00A9787F" w:rsidRDefault="00A964FD" w:rsidP="00A964FD">
      <w:pPr>
        <w:widowControl w:val="0"/>
        <w:jc w:val="both"/>
        <w:rPr>
          <w:b/>
          <w:i/>
        </w:rPr>
      </w:pPr>
    </w:p>
    <w:p w14:paraId="7C32D7DE" w14:textId="77777777" w:rsidR="00A964FD" w:rsidRPr="00A9787F" w:rsidRDefault="00A964FD" w:rsidP="00A964FD">
      <w:pPr>
        <w:widowControl w:val="0"/>
        <w:jc w:val="both"/>
      </w:pPr>
      <w:r w:rsidRPr="00A9787F">
        <w:t>Señor</w:t>
      </w:r>
    </w:p>
    <w:p w14:paraId="45906505" w14:textId="77777777" w:rsidR="00A964FD" w:rsidRPr="00A9787F" w:rsidRDefault="00A964FD" w:rsidP="00A964FD">
      <w:pPr>
        <w:widowControl w:val="0"/>
        <w:jc w:val="both"/>
        <w:rPr>
          <w:b/>
          <w:i/>
        </w:rPr>
      </w:pPr>
      <w:r w:rsidRPr="00A9787F">
        <w:t xml:space="preserve">Luis Carlos Delgado Murillo, </w:t>
      </w:r>
      <w:r w:rsidRPr="00A9787F">
        <w:rPr>
          <w:b/>
          <w:i/>
        </w:rPr>
        <w:t>Presidente</w:t>
      </w:r>
    </w:p>
    <w:p w14:paraId="4F8056F1" w14:textId="77777777" w:rsidR="00A964FD" w:rsidRPr="00A9787F" w:rsidRDefault="00A964FD" w:rsidP="00A964FD">
      <w:pPr>
        <w:widowControl w:val="0"/>
        <w:jc w:val="both"/>
        <w:rPr>
          <w:b/>
          <w:i/>
        </w:rPr>
      </w:pPr>
      <w:r w:rsidRPr="00A9787F">
        <w:rPr>
          <w:b/>
          <w:i/>
        </w:rPr>
        <w:t xml:space="preserve">CONSEJO NACIONAL DE SUPERVISIÓN </w:t>
      </w:r>
    </w:p>
    <w:p w14:paraId="09944B7F" w14:textId="77777777" w:rsidR="00A964FD" w:rsidRPr="00A9787F" w:rsidRDefault="00A964FD" w:rsidP="00A964FD">
      <w:pPr>
        <w:widowControl w:val="0"/>
        <w:jc w:val="both"/>
        <w:rPr>
          <w:b/>
          <w:i/>
        </w:rPr>
      </w:pPr>
      <w:r w:rsidRPr="00A9787F">
        <w:rPr>
          <w:b/>
          <w:i/>
        </w:rPr>
        <w:t>DEL SISTEMA FINANCIERO</w:t>
      </w:r>
    </w:p>
    <w:p w14:paraId="192108DA" w14:textId="77777777" w:rsidR="00A964FD" w:rsidRPr="00A9787F" w:rsidRDefault="00A964FD" w:rsidP="00A964FD">
      <w:pPr>
        <w:widowControl w:val="0"/>
        <w:jc w:val="both"/>
        <w:rPr>
          <w:b/>
          <w:i/>
        </w:rPr>
      </w:pPr>
    </w:p>
    <w:p w14:paraId="235D5223" w14:textId="77777777" w:rsidR="00A964FD" w:rsidRPr="00A9787F" w:rsidRDefault="00A964FD" w:rsidP="00A964FD">
      <w:pPr>
        <w:widowControl w:val="0"/>
        <w:jc w:val="both"/>
        <w:rPr>
          <w:b/>
          <w:i/>
        </w:rPr>
      </w:pPr>
    </w:p>
    <w:p w14:paraId="4E24D25E" w14:textId="77777777" w:rsidR="00A964FD" w:rsidRPr="00A9787F" w:rsidRDefault="00A964FD" w:rsidP="00A964FD">
      <w:pPr>
        <w:widowControl w:val="0"/>
        <w:jc w:val="both"/>
      </w:pPr>
      <w:r w:rsidRPr="00A9787F">
        <w:t>Estimado señor:</w:t>
      </w:r>
    </w:p>
    <w:p w14:paraId="75A74F30" w14:textId="77777777" w:rsidR="00A964FD" w:rsidRPr="00A9787F" w:rsidRDefault="00A964FD" w:rsidP="00A964FD">
      <w:pPr>
        <w:widowControl w:val="0"/>
        <w:jc w:val="both"/>
        <w:rPr>
          <w:b/>
          <w:i/>
        </w:rPr>
      </w:pPr>
    </w:p>
    <w:p w14:paraId="2E95EBFC" w14:textId="77777777" w:rsidR="00A964FD" w:rsidRPr="00A9787F" w:rsidRDefault="00A964FD" w:rsidP="00A964FD">
      <w:pPr>
        <w:widowControl w:val="0"/>
        <w:jc w:val="both"/>
        <w:rPr>
          <w:b/>
          <w:i/>
        </w:rPr>
      </w:pPr>
    </w:p>
    <w:p w14:paraId="488AECA7" w14:textId="77777777" w:rsidR="00A964FD" w:rsidRPr="00A9787F" w:rsidRDefault="00A964FD" w:rsidP="00A964FD">
      <w:pPr>
        <w:widowControl w:val="0"/>
        <w:jc w:val="both"/>
      </w:pPr>
      <w:r w:rsidRPr="00A9787F">
        <w:t xml:space="preserve">El Consejo Nacional de Supervisión del Sistema Financiero en el artículo </w:t>
      </w:r>
      <w:r>
        <w:t>12</w:t>
      </w:r>
      <w:r w:rsidRPr="00A9787F">
        <w:t xml:space="preserve"> del acta de la sesión 1181-2015, celebrada el 13 de julio del 2015, </w:t>
      </w:r>
    </w:p>
    <w:p w14:paraId="14A58ECC" w14:textId="77777777" w:rsidR="00A964FD" w:rsidRPr="00CA127D" w:rsidRDefault="00A964FD" w:rsidP="00A964FD">
      <w:pPr>
        <w:widowControl w:val="0"/>
        <w:jc w:val="both"/>
        <w:rPr>
          <w:sz w:val="22"/>
        </w:rPr>
      </w:pPr>
    </w:p>
    <w:p w14:paraId="2E63F091" w14:textId="77777777" w:rsidR="00A964FD" w:rsidRPr="00CA127D" w:rsidRDefault="00A964FD" w:rsidP="00A964FD">
      <w:pPr>
        <w:widowControl w:val="0"/>
        <w:jc w:val="both"/>
        <w:rPr>
          <w:b/>
        </w:rPr>
      </w:pPr>
      <w:r w:rsidRPr="00CA127D">
        <w:rPr>
          <w:b/>
        </w:rPr>
        <w:t>considerando que:</w:t>
      </w:r>
    </w:p>
    <w:p w14:paraId="4B10B6F4" w14:textId="77777777" w:rsidR="00A964FD" w:rsidRPr="00CA127D" w:rsidRDefault="00A964FD" w:rsidP="00A964FD">
      <w:pPr>
        <w:widowControl w:val="0"/>
        <w:jc w:val="both"/>
        <w:rPr>
          <w:sz w:val="22"/>
        </w:rPr>
      </w:pPr>
    </w:p>
    <w:p w14:paraId="5B478508" w14:textId="77777777" w:rsidR="00A964FD" w:rsidRPr="00CA127D" w:rsidRDefault="00A964FD" w:rsidP="00A964FD">
      <w:pPr>
        <w:widowControl w:val="0"/>
        <w:ind w:left="567" w:hanging="567"/>
        <w:jc w:val="both"/>
      </w:pPr>
      <w:r w:rsidRPr="00CA127D">
        <w:t>a.</w:t>
      </w:r>
      <w:r w:rsidRPr="00CA127D">
        <w:tab/>
        <w:t xml:space="preserve">El proceso presupuestario para el Consejo Nacional de Supervisión del Sistema Financiero y las superintendencias del Sistema Financiero se sustenta en  los principios de economía, eficiencia y eficacia del gasto que promueve la </w:t>
      </w:r>
      <w:r w:rsidRPr="00CA127D">
        <w:rPr>
          <w:i/>
        </w:rPr>
        <w:t>Ley de la Administración Financiera de la República y Presupuestos Públicos</w:t>
      </w:r>
      <w:r w:rsidRPr="00CA127D">
        <w:t>, Ley 8131.</w:t>
      </w:r>
    </w:p>
    <w:p w14:paraId="61C76E4D" w14:textId="77777777" w:rsidR="00A964FD" w:rsidRPr="00CA127D" w:rsidRDefault="00A964FD" w:rsidP="00A964FD">
      <w:pPr>
        <w:widowControl w:val="0"/>
        <w:jc w:val="both"/>
        <w:rPr>
          <w:sz w:val="22"/>
        </w:rPr>
      </w:pPr>
    </w:p>
    <w:p w14:paraId="3ADF7D7A" w14:textId="77777777" w:rsidR="00A964FD" w:rsidRPr="00CA127D" w:rsidRDefault="00A964FD" w:rsidP="00A964FD">
      <w:pPr>
        <w:widowControl w:val="0"/>
        <w:ind w:left="567" w:hanging="567"/>
        <w:jc w:val="both"/>
      </w:pPr>
      <w:r w:rsidRPr="00CA127D">
        <w:t>b.</w:t>
      </w:r>
      <w:r w:rsidRPr="00CA127D">
        <w:tab/>
        <w:t>De conformidad con las Normas Técnicas sobre Presupuesto Público N1-2012-DC-DFOE, emitidas por la Contraloría General de la República en febrero de 2012, la fase de formulación presupuestaria debe atender el cumplimiento de los principios presupuestarios que son aplicables y garantizar que el presupuesto exprese la asignación óptima de los recursos disponibles.</w:t>
      </w:r>
    </w:p>
    <w:p w14:paraId="2ADD94AD" w14:textId="77777777" w:rsidR="00A964FD" w:rsidRPr="00CA127D" w:rsidRDefault="00A964FD" w:rsidP="00A964FD">
      <w:pPr>
        <w:widowControl w:val="0"/>
        <w:jc w:val="both"/>
        <w:rPr>
          <w:sz w:val="22"/>
        </w:rPr>
      </w:pPr>
    </w:p>
    <w:p w14:paraId="119D8525" w14:textId="77777777" w:rsidR="00A964FD" w:rsidRPr="00CA127D" w:rsidRDefault="00A964FD" w:rsidP="00A964FD">
      <w:pPr>
        <w:widowControl w:val="0"/>
        <w:ind w:left="567" w:hanging="567"/>
        <w:jc w:val="both"/>
      </w:pPr>
      <w:r w:rsidRPr="00CA127D">
        <w:t>c.</w:t>
      </w:r>
      <w:r w:rsidRPr="00CA127D">
        <w:tab/>
        <w:t>Los principios presupuestarios establecidos en las Normas Técnicas sobre Presupuesto Público N1-2012-DC-DFOE deben respaldar en todo momento el proceso presupuestario de las instituciones públicas.</w:t>
      </w:r>
    </w:p>
    <w:p w14:paraId="63099D2D" w14:textId="77777777" w:rsidR="00A964FD" w:rsidRPr="00CA127D" w:rsidRDefault="00A964FD" w:rsidP="00A964FD">
      <w:pPr>
        <w:widowControl w:val="0"/>
        <w:jc w:val="both"/>
        <w:rPr>
          <w:sz w:val="22"/>
        </w:rPr>
      </w:pPr>
    </w:p>
    <w:p w14:paraId="02DFC528" w14:textId="77777777" w:rsidR="00A964FD" w:rsidRPr="00CA127D" w:rsidRDefault="00A964FD" w:rsidP="00A964FD">
      <w:pPr>
        <w:widowControl w:val="0"/>
        <w:ind w:left="567" w:hanging="567"/>
        <w:jc w:val="both"/>
      </w:pPr>
      <w:r w:rsidRPr="00CA127D">
        <w:t>d.</w:t>
      </w:r>
      <w:r w:rsidRPr="00CA127D">
        <w:tab/>
        <w:t>Las “</w:t>
      </w:r>
      <w:r w:rsidRPr="00CA127D">
        <w:rPr>
          <w:i/>
        </w:rPr>
        <w:t>Políticas de Junta Directiva para la Gestión Presupuestaria en el Banco Central de Costa Rica</w:t>
      </w:r>
      <w:r w:rsidRPr="00CA127D">
        <w:t xml:space="preserve">” establecen que el Consejo Nacional de Supervisión del Sistema Financiero debe complementar dichas políticas con la declaración de políticas específicas y sus respectivos controles en áreas como por ejemplo: compra y renovación de </w:t>
      </w:r>
      <w:r w:rsidRPr="00CA127D">
        <w:rPr>
          <w:i/>
        </w:rPr>
        <w:t>Hardware</w:t>
      </w:r>
      <w:r w:rsidRPr="00CA127D">
        <w:t xml:space="preserve"> y </w:t>
      </w:r>
      <w:r w:rsidRPr="00CA127D">
        <w:rPr>
          <w:i/>
        </w:rPr>
        <w:t>Software</w:t>
      </w:r>
      <w:r w:rsidRPr="00CA127D">
        <w:t xml:space="preserve">, Capacitación, Proyectos, Remanentes y cambios </w:t>
      </w:r>
      <w:r w:rsidRPr="00CA127D">
        <w:lastRenderedPageBreak/>
        <w:t>de inversiones.</w:t>
      </w:r>
    </w:p>
    <w:p w14:paraId="5D9B4208" w14:textId="77777777" w:rsidR="00A964FD" w:rsidRPr="00CA127D" w:rsidRDefault="00A964FD" w:rsidP="00A964FD">
      <w:pPr>
        <w:widowControl w:val="0"/>
        <w:jc w:val="both"/>
        <w:rPr>
          <w:sz w:val="22"/>
        </w:rPr>
      </w:pPr>
    </w:p>
    <w:p w14:paraId="28411715" w14:textId="77777777" w:rsidR="00A964FD" w:rsidRPr="00CA127D" w:rsidRDefault="00A964FD" w:rsidP="00A964FD">
      <w:pPr>
        <w:widowControl w:val="0"/>
        <w:ind w:left="567" w:hanging="567"/>
        <w:jc w:val="both"/>
      </w:pPr>
      <w:r w:rsidRPr="00CA127D">
        <w:t>e.</w:t>
      </w:r>
      <w:r w:rsidRPr="00CA127D">
        <w:tab/>
        <w:t>En el artículo 7, del acta de la sesión 5693-2015, celebrada el 1° de julio del 2015; la Junta Directiva del Banco Central de Costa Rica aprobó los “</w:t>
      </w:r>
      <w:r w:rsidRPr="00CA127D">
        <w:rPr>
          <w:i/>
        </w:rPr>
        <w:t>Parámetros para la Formulación del Presupuesto del 2016</w:t>
      </w:r>
      <w:r w:rsidRPr="00CA127D">
        <w:t>”, los cuáles son de aplicación a los Órganos de Desconcentración Máxima del Ente Emisor.</w:t>
      </w:r>
    </w:p>
    <w:p w14:paraId="641F59DE" w14:textId="77777777" w:rsidR="00A964FD" w:rsidRPr="00CA127D" w:rsidRDefault="00A964FD" w:rsidP="00A964FD">
      <w:pPr>
        <w:widowControl w:val="0"/>
        <w:jc w:val="both"/>
        <w:rPr>
          <w:sz w:val="22"/>
        </w:rPr>
      </w:pPr>
    </w:p>
    <w:p w14:paraId="21C7804D" w14:textId="77777777" w:rsidR="00A964FD" w:rsidRPr="00CA127D" w:rsidRDefault="00A964FD" w:rsidP="00A964FD">
      <w:pPr>
        <w:widowControl w:val="0"/>
        <w:ind w:left="567" w:hanging="567"/>
        <w:jc w:val="both"/>
      </w:pPr>
      <w:r w:rsidRPr="00CA127D">
        <w:t>f.</w:t>
      </w:r>
      <w:r w:rsidRPr="00CA127D">
        <w:tab/>
        <w:t>El Consejo Nacional de Supervisión del Sistema Financiero aprobó el marco estratégico institucional del sistema de supervisión y regulación financiera nacional para el periodo comprendido entre el 2014 y el 2018 (ambos años inclusive), según consta en el artículo 10, del acta de la sesión 1092-2014, celebrada el 25 de febrero de 2014.</w:t>
      </w:r>
    </w:p>
    <w:p w14:paraId="7D91DDF7" w14:textId="77777777" w:rsidR="00A964FD" w:rsidRPr="00CA127D" w:rsidRDefault="00A964FD" w:rsidP="00A964FD">
      <w:pPr>
        <w:widowControl w:val="0"/>
        <w:jc w:val="both"/>
        <w:rPr>
          <w:sz w:val="22"/>
        </w:rPr>
      </w:pPr>
    </w:p>
    <w:p w14:paraId="5FFD3E52" w14:textId="77777777" w:rsidR="00A964FD" w:rsidRPr="00CA127D" w:rsidRDefault="00A964FD" w:rsidP="00A964FD">
      <w:pPr>
        <w:widowControl w:val="0"/>
        <w:jc w:val="both"/>
        <w:rPr>
          <w:b/>
        </w:rPr>
      </w:pPr>
      <w:r w:rsidRPr="00CA127D">
        <w:rPr>
          <w:b/>
        </w:rPr>
        <w:t>dispuso en firme:</w:t>
      </w:r>
    </w:p>
    <w:p w14:paraId="114CB7B8" w14:textId="77777777" w:rsidR="00A964FD" w:rsidRPr="00CA127D" w:rsidRDefault="00A964FD" w:rsidP="00A964FD">
      <w:pPr>
        <w:widowControl w:val="0"/>
        <w:jc w:val="both"/>
        <w:rPr>
          <w:sz w:val="22"/>
        </w:rPr>
      </w:pPr>
    </w:p>
    <w:p w14:paraId="4730BED9" w14:textId="77777777" w:rsidR="00A964FD" w:rsidRPr="00CA127D" w:rsidRDefault="00A964FD" w:rsidP="00A964FD">
      <w:pPr>
        <w:widowControl w:val="0"/>
        <w:jc w:val="both"/>
      </w:pPr>
      <w:r w:rsidRPr="00CA127D">
        <w:t xml:space="preserve">aprobar las </w:t>
      </w:r>
      <w:r w:rsidRPr="00CA127D">
        <w:rPr>
          <w:i/>
        </w:rPr>
        <w:t>Políticas Específicas del Consejo Nacional de Supervisión del Sistema Financiero para la Formulación del Presupuesto 2016</w:t>
      </w:r>
      <w:r w:rsidRPr="00CA127D">
        <w:t>, las cuales se transcriben a continuación:</w:t>
      </w:r>
    </w:p>
    <w:p w14:paraId="34165CBB" w14:textId="77777777" w:rsidR="00A964FD" w:rsidRPr="00CA127D" w:rsidRDefault="00A964FD" w:rsidP="00A964FD">
      <w:pPr>
        <w:widowControl w:val="0"/>
        <w:jc w:val="both"/>
        <w:rPr>
          <w:sz w:val="22"/>
        </w:rPr>
      </w:pPr>
    </w:p>
    <w:p w14:paraId="58F039DD" w14:textId="77777777" w:rsidR="00A964FD" w:rsidRPr="00CA127D" w:rsidRDefault="00A964FD" w:rsidP="00A964FD">
      <w:pPr>
        <w:widowControl w:val="0"/>
        <w:ind w:left="567" w:right="283"/>
        <w:jc w:val="center"/>
        <w:rPr>
          <w:u w:val="single"/>
        </w:rPr>
      </w:pPr>
      <w:r w:rsidRPr="00CA127D">
        <w:t>“</w:t>
      </w:r>
      <w:r w:rsidRPr="00CA127D">
        <w:rPr>
          <w:b/>
          <w:u w:val="single"/>
        </w:rPr>
        <w:t>POLITICAS ESPECÍFICAS DEL CONASSIF PARA LA FORMULACIÓN DEL PRESUPUESTO 2016</w:t>
      </w:r>
    </w:p>
    <w:p w14:paraId="12E8BB83" w14:textId="77777777" w:rsidR="00A964FD" w:rsidRPr="00CA127D" w:rsidRDefault="00A964FD" w:rsidP="00A964FD">
      <w:pPr>
        <w:widowControl w:val="0"/>
        <w:jc w:val="both"/>
      </w:pPr>
    </w:p>
    <w:p w14:paraId="056E5D78" w14:textId="77777777" w:rsidR="00A964FD" w:rsidRPr="00CA127D" w:rsidRDefault="00A964FD" w:rsidP="00A964FD">
      <w:pPr>
        <w:widowControl w:val="0"/>
        <w:ind w:left="851" w:right="283" w:hanging="284"/>
        <w:jc w:val="both"/>
      </w:pPr>
      <w:r w:rsidRPr="00CA127D">
        <w:t>1.</w:t>
      </w:r>
      <w:r w:rsidRPr="00CA127D">
        <w:tab/>
        <w:t>Cada Superintendencia, la Auditoría Interna y el Despacho CONASSIF presentarán su propuesta de presupuesto 2016 al Comité Permanente de Presupuesto, Gestión de Riesgo y Evaluación Institucional del CONASSIF en las fechas establecidas en el calendario que se observa en el Anexo N°1 de este oficio.</w:t>
      </w:r>
    </w:p>
    <w:p w14:paraId="76048601" w14:textId="77777777" w:rsidR="00A964FD" w:rsidRPr="00CA127D" w:rsidRDefault="00A964FD" w:rsidP="00A964FD">
      <w:pPr>
        <w:widowControl w:val="0"/>
        <w:jc w:val="both"/>
      </w:pPr>
    </w:p>
    <w:p w14:paraId="2695C428" w14:textId="77777777" w:rsidR="00A964FD" w:rsidRPr="00CA127D" w:rsidRDefault="00A964FD" w:rsidP="00A964FD">
      <w:pPr>
        <w:widowControl w:val="0"/>
        <w:ind w:left="851" w:right="283" w:hanging="284"/>
        <w:jc w:val="both"/>
      </w:pPr>
      <w:r w:rsidRPr="00CA127D">
        <w:t>2.</w:t>
      </w:r>
      <w:r w:rsidRPr="00CA127D">
        <w:tab/>
        <w:t>Como base para calcular la variación en las partidas de gasto del presupuesto 2016 se emplearán los montos establecidos en el presupuesto aprobado para el año 2015 y una proyección de la ejecución de gastos para el actual ejercicio (del 1 de enero al 31 de diciembre de 2015). Es importante que las Superintendencias preparen sus análisis y propuestas haciendo referencia al crecimiento interanual del gasto con respecto a estos dos parámetros.</w:t>
      </w:r>
    </w:p>
    <w:p w14:paraId="5A930CAB" w14:textId="77777777" w:rsidR="00A964FD" w:rsidRPr="00CA127D" w:rsidRDefault="00A964FD" w:rsidP="00A964FD">
      <w:pPr>
        <w:widowControl w:val="0"/>
        <w:jc w:val="both"/>
        <w:rPr>
          <w:sz w:val="14"/>
        </w:rPr>
      </w:pPr>
    </w:p>
    <w:p w14:paraId="5659E9AA" w14:textId="77777777" w:rsidR="00A964FD" w:rsidRPr="00CA127D" w:rsidRDefault="00A964FD" w:rsidP="00A964FD">
      <w:pPr>
        <w:widowControl w:val="0"/>
        <w:ind w:left="851" w:right="283" w:hanging="284"/>
        <w:jc w:val="both"/>
      </w:pPr>
      <w:r w:rsidRPr="00CA127D">
        <w:t>3.</w:t>
      </w:r>
      <w:r w:rsidRPr="00CA127D">
        <w:tab/>
        <w:t>Al formular el presupuesto 2016 es importante tomar en consideración lo establecido en la Directriz Presidencial Nº 023-H, publicada en la Gaceta N°75 del 20 de abril de 2015, en lo que aplique a los Órganos de Desconcentración Máxima.</w:t>
      </w:r>
    </w:p>
    <w:p w14:paraId="52660E07" w14:textId="77777777" w:rsidR="00A964FD" w:rsidRPr="00CA127D" w:rsidRDefault="00A964FD" w:rsidP="00A964FD">
      <w:pPr>
        <w:widowControl w:val="0"/>
        <w:jc w:val="both"/>
        <w:rPr>
          <w:sz w:val="14"/>
        </w:rPr>
      </w:pPr>
    </w:p>
    <w:p w14:paraId="3034F245" w14:textId="77777777" w:rsidR="00A964FD" w:rsidRPr="00CA127D" w:rsidRDefault="00A964FD" w:rsidP="00A964FD">
      <w:pPr>
        <w:widowControl w:val="0"/>
        <w:ind w:left="851" w:right="283" w:hanging="284"/>
        <w:jc w:val="both"/>
      </w:pPr>
      <w:r w:rsidRPr="00CA127D">
        <w:t>4.</w:t>
      </w:r>
      <w:r w:rsidRPr="00CA127D">
        <w:tab/>
        <w:t>El presupuesto elaborado por cada Superintendencia y la Auditoria Interna deberá estar acorde con los objetivos estratégicos que el Consejo ha definido para la regulación y supervisión financiera prudencial, así como con aquellos que cada entidad ha definido en sus procesos de planificación. De esta forma, las acciones estratégicas y proyectos deben ir orientados al cumplimiento de los objetivos establecidos en el proceso de planificación y a su vez, los indicadores de gestión deben permitir evaluar la consecución de las metas planteadas.</w:t>
      </w:r>
    </w:p>
    <w:p w14:paraId="7A3EFEBB" w14:textId="77777777" w:rsidR="00A964FD" w:rsidRPr="00CA127D" w:rsidRDefault="00A964FD" w:rsidP="00A964FD">
      <w:pPr>
        <w:widowControl w:val="0"/>
        <w:jc w:val="both"/>
        <w:rPr>
          <w:sz w:val="14"/>
        </w:rPr>
      </w:pPr>
    </w:p>
    <w:p w14:paraId="5DBF3894" w14:textId="77777777" w:rsidR="00A964FD" w:rsidRPr="00CA127D" w:rsidRDefault="00A964FD" w:rsidP="00A964FD">
      <w:pPr>
        <w:widowControl w:val="0"/>
        <w:ind w:left="851" w:right="283" w:hanging="284"/>
        <w:jc w:val="both"/>
      </w:pPr>
      <w:r w:rsidRPr="00CA127D">
        <w:t>5.</w:t>
      </w:r>
      <w:r w:rsidRPr="00CA127D">
        <w:tab/>
        <w:t>Bajo el criterio de buscar mecanismos más efectivos y eficientes para la realización de los procesos habituales de las entidades, se propone que cada Superintendencia evalúe alternativas de contratación de servicios o compra de bienes que favorezcan la reducción del gasto y la búsqueda de economías de escala.  Asimismo se favorece la adopción de planes y programas que lleven a la entidad a cumplir con los dispuesto en los artículos 7 y 4 de las actas de las sesiones 1136-2014 y 1137-2014, celebradas el 17 de noviembre del 2014, con respecto a la integración física y tecnológica de las superintendencias, así como  identificar los  servicios administrativos que podrían ser asumidos por el Banco Central.</w:t>
      </w:r>
    </w:p>
    <w:p w14:paraId="0BEA6E4B" w14:textId="77777777" w:rsidR="00A964FD" w:rsidRPr="00CA127D" w:rsidRDefault="00A964FD" w:rsidP="00A964FD">
      <w:pPr>
        <w:widowControl w:val="0"/>
        <w:jc w:val="both"/>
        <w:rPr>
          <w:sz w:val="14"/>
        </w:rPr>
      </w:pPr>
    </w:p>
    <w:p w14:paraId="3B95F5A2" w14:textId="77777777" w:rsidR="00A964FD" w:rsidRPr="00CA127D" w:rsidRDefault="00A964FD" w:rsidP="00A964FD">
      <w:pPr>
        <w:widowControl w:val="0"/>
        <w:ind w:left="851" w:right="283" w:hanging="284"/>
        <w:jc w:val="both"/>
      </w:pPr>
      <w:r w:rsidRPr="00CA127D">
        <w:t>6.</w:t>
      </w:r>
      <w:r w:rsidRPr="00CA127D">
        <w:tab/>
        <w:t xml:space="preserve">En la justificación y análisis que cada entidad haga de su propuesta presupuestaria 2016, deberá hacerse una separación entre el crecimiento procedente de los gastos operativos normales de la entidad (lo que necesita para operar), y los relacionados con otros rubros especiales, no habituales o extraordinarios como son: inversiones en bienes duraderos y proyectos especiales, entre otros.  El crecimiento máximo de los gastos de operación para el periodo 2016 será el mismo establecido por el Banco Central de Costa Rica en los </w:t>
      </w:r>
      <w:r w:rsidRPr="00CA127D">
        <w:rPr>
          <w:i/>
        </w:rPr>
        <w:t>Parámetros para la Formulación del Presupuesto 2016</w:t>
      </w:r>
      <w:r w:rsidRPr="00CA127D">
        <w:t>:</w:t>
      </w:r>
    </w:p>
    <w:p w14:paraId="02FD1F26" w14:textId="77777777" w:rsidR="00A964FD" w:rsidRPr="00CA127D" w:rsidRDefault="00A964FD" w:rsidP="00A964FD">
      <w:pPr>
        <w:widowControl w:val="0"/>
        <w:jc w:val="both"/>
        <w:rPr>
          <w:sz w:val="14"/>
        </w:rPr>
      </w:pPr>
    </w:p>
    <w:p w14:paraId="43A0995F" w14:textId="77777777" w:rsidR="00A964FD" w:rsidRPr="00CA127D" w:rsidRDefault="00A964FD" w:rsidP="00A964FD">
      <w:pPr>
        <w:widowControl w:val="0"/>
        <w:ind w:left="1134"/>
        <w:jc w:val="both"/>
        <w:rPr>
          <w:b/>
          <w:i/>
        </w:rPr>
      </w:pPr>
      <w:r w:rsidRPr="00CA127D">
        <w:rPr>
          <w:i/>
        </w:rPr>
        <w:t>’</w:t>
      </w:r>
      <w:r w:rsidRPr="00CA127D">
        <w:rPr>
          <w:b/>
          <w:i/>
        </w:rPr>
        <w:t>Crecimiento máximo del presupuesto</w:t>
      </w:r>
    </w:p>
    <w:p w14:paraId="03289D92" w14:textId="77777777" w:rsidR="00A964FD" w:rsidRPr="00CA127D" w:rsidRDefault="00A964FD" w:rsidP="00A964FD">
      <w:pPr>
        <w:widowControl w:val="0"/>
        <w:ind w:left="1134" w:right="283"/>
        <w:jc w:val="both"/>
        <w:rPr>
          <w:i/>
        </w:rPr>
      </w:pPr>
      <w:r w:rsidRPr="00CA127D">
        <w:rPr>
          <w:i/>
        </w:rPr>
        <w:t>El crecimiento máximo del presupuesto de operación para el 2016, con respecto al presupuesto del 2015, excluidos los compromisos pendientes de pago y los salarios, será el límite inferior del rango de la meta de inflación, que se establezca para diciembre del 2016</w:t>
      </w:r>
      <w:r w:rsidRPr="00CA127D">
        <w:rPr>
          <w:b/>
          <w:i/>
          <w:vertAlign w:val="superscript"/>
        </w:rPr>
        <w:footnoteReference w:id="6"/>
      </w:r>
      <w:r w:rsidRPr="00CA127D">
        <w:rPr>
          <w:i/>
        </w:rPr>
        <w:t>, en la revisión del Programa Macroeconómico 2015-2016.’</w:t>
      </w:r>
    </w:p>
    <w:p w14:paraId="48319C2A" w14:textId="77777777" w:rsidR="00A964FD" w:rsidRPr="00CA127D" w:rsidRDefault="00A964FD" w:rsidP="00A964FD">
      <w:pPr>
        <w:widowControl w:val="0"/>
        <w:jc w:val="both"/>
        <w:rPr>
          <w:sz w:val="18"/>
        </w:rPr>
      </w:pPr>
    </w:p>
    <w:p w14:paraId="3240E4F5" w14:textId="77777777" w:rsidR="00A964FD" w:rsidRPr="00CA127D" w:rsidRDefault="00A964FD" w:rsidP="00A964FD">
      <w:pPr>
        <w:widowControl w:val="0"/>
        <w:ind w:left="851" w:right="283" w:hanging="284"/>
        <w:jc w:val="both"/>
      </w:pPr>
      <w:r w:rsidRPr="00CA127D">
        <w:t>7.</w:t>
      </w:r>
      <w:r w:rsidRPr="00CA127D">
        <w:tab/>
        <w:t>Las inversiones en bienes duraderos que se incorporen al presupuesto deberán ser ampliamente justificadas por la entidad solicitante.  En la formulación presupuestaria de rubros como bienes duraderos (excluyendo inversiones en equipos y programas de cómputo) deberán privilegiarse las inversiones en equipos o proyectos que promuevan la integración entre las diferentes Superintendencias y de éstas a su vez con el Banco Central de Costa Rica, de manera que logren aprovecharse convenientemente economías de escala.</w:t>
      </w:r>
    </w:p>
    <w:p w14:paraId="7E9C527B" w14:textId="77777777" w:rsidR="00A964FD" w:rsidRPr="00CA127D" w:rsidRDefault="00A964FD" w:rsidP="00A964FD">
      <w:pPr>
        <w:widowControl w:val="0"/>
        <w:jc w:val="both"/>
      </w:pPr>
    </w:p>
    <w:p w14:paraId="4E1543D3" w14:textId="77777777" w:rsidR="00A964FD" w:rsidRPr="00CA127D" w:rsidRDefault="00A964FD" w:rsidP="00A964FD">
      <w:pPr>
        <w:widowControl w:val="0"/>
        <w:ind w:left="851" w:right="283" w:hanging="284"/>
        <w:jc w:val="both"/>
      </w:pPr>
      <w:r w:rsidRPr="00CA127D">
        <w:t>8.</w:t>
      </w:r>
      <w:r w:rsidRPr="00CA127D">
        <w:tab/>
        <w:t xml:space="preserve">En el caso de proyectos especiales que alguna entidad programe llevar a cabo, se debe proveer detalle del costo, beneficio y rentabilidad esperada; todo ello debidamente fundamentado de acuerdo con el esquema de presentación de los formularios que el BCCR ha definido bajo el proceso Administración de Proyectos en el Sitio de Calidad (carta proyecto).  Para las presentaciones de presupuesto 2016 ante el Comité Permanente de Riesgo, Evaluación y Presupuesto se solicita presentar el documento </w:t>
      </w:r>
      <w:r w:rsidRPr="00CA127D">
        <w:rPr>
          <w:i/>
        </w:rPr>
        <w:t>Carta de Proyecto</w:t>
      </w:r>
      <w:r w:rsidRPr="00CA127D">
        <w:t xml:space="preserve"> como respaldo de los proyectos de inversión que se programe llevar a cabo el próximo año.  Asimismo, en virtud de la importancia de desarrollar buenas prácticas a la hora </w:t>
      </w:r>
      <w:r w:rsidRPr="00CA127D">
        <w:lastRenderedPageBreak/>
        <w:t xml:space="preserve">de gestionar proyectos en las Superintendencias, se deberán adoptar las </w:t>
      </w:r>
      <w:r w:rsidRPr="00CA127D">
        <w:rPr>
          <w:i/>
        </w:rPr>
        <w:t>Políticas Específicas para la Administración de Proyectos</w:t>
      </w:r>
      <w:r w:rsidRPr="00CA127D">
        <w:t xml:space="preserve"> establecidas por el BCCR el 30 de marzo de 2012.</w:t>
      </w:r>
    </w:p>
    <w:p w14:paraId="20D7DB55" w14:textId="77777777" w:rsidR="00A964FD" w:rsidRPr="00CA127D" w:rsidRDefault="00A964FD" w:rsidP="00A964FD">
      <w:pPr>
        <w:widowControl w:val="0"/>
        <w:jc w:val="both"/>
      </w:pPr>
    </w:p>
    <w:p w14:paraId="14061204" w14:textId="77777777" w:rsidR="00A964FD" w:rsidRPr="00CA127D" w:rsidRDefault="00A964FD" w:rsidP="00A964FD">
      <w:pPr>
        <w:widowControl w:val="0"/>
        <w:ind w:left="851" w:right="283" w:hanging="284"/>
        <w:jc w:val="both"/>
      </w:pPr>
      <w:r w:rsidRPr="00CA127D">
        <w:t>9.</w:t>
      </w:r>
      <w:r w:rsidRPr="00CA127D">
        <w:tab/>
        <w:t>En el caso de Capacitación, cada entidad deberá establecer los planes de capacitación anuales tomando en cuenta la capacitación específica (temas técnicos) y la capacitación para actualización de los colaboradores, conceptos definidos por el Departamento de Gestión del Factor Humano del BCCR, en función del desarrollo de las competencias requeridas en el desempeño de sus funciones. Además, las Superintendencias deberán coordinar sus esfuerzos de capacitación en aquellas áreas y temas en que resulten comunes.  Asimismo, dentro de los presupuestos y actividades de capacitación que las Superintendencias, el Consejo o su Auditoría Interna planifiquen para el ejercicio presupuestario 2016, deberán contemplarse cupos para la participación de colaboradores de otras dependencias.”</w:t>
      </w:r>
    </w:p>
    <w:p w14:paraId="47EDD787" w14:textId="77777777" w:rsidR="00A964FD" w:rsidRPr="00A9787F" w:rsidRDefault="00A964FD" w:rsidP="00A964FD">
      <w:pPr>
        <w:widowControl w:val="0"/>
        <w:ind w:left="851" w:right="283" w:hanging="284"/>
        <w:jc w:val="both"/>
      </w:pPr>
    </w:p>
    <w:p w14:paraId="0A72391A" w14:textId="77777777" w:rsidR="00A964FD" w:rsidRPr="00A9787F" w:rsidRDefault="00A964FD" w:rsidP="00A964FD">
      <w:pPr>
        <w:widowControl w:val="0"/>
        <w:jc w:val="both"/>
      </w:pPr>
      <w:r w:rsidRPr="00A9787F">
        <w:t>Atentamente,</w:t>
      </w:r>
    </w:p>
    <w:p w14:paraId="5B0552DD" w14:textId="77777777" w:rsidR="00A964FD" w:rsidRPr="00A9787F" w:rsidRDefault="00A964FD" w:rsidP="00A964FD">
      <w:pPr>
        <w:widowControl w:val="0"/>
        <w:jc w:val="both"/>
      </w:pPr>
      <w:r w:rsidRPr="00A9787F">
        <w:rPr>
          <w:noProof/>
        </w:rPr>
        <w:drawing>
          <wp:anchor distT="0" distB="0" distL="114300" distR="114300" simplePos="0" relativeHeight="251717632" behindDoc="1" locked="0" layoutInCell="1" allowOverlap="1" wp14:anchorId="06A81465" wp14:editId="7923263A">
            <wp:simplePos x="0" y="0"/>
            <wp:positionH relativeFrom="column">
              <wp:posOffset>-160655</wp:posOffset>
            </wp:positionH>
            <wp:positionV relativeFrom="paragraph">
              <wp:posOffset>3175</wp:posOffset>
            </wp:positionV>
            <wp:extent cx="1976120" cy="306070"/>
            <wp:effectExtent l="0" t="0" r="5080" b="0"/>
            <wp:wrapTight wrapText="bothSides">
              <wp:wrapPolygon edited="0">
                <wp:start x="0" y="0"/>
                <wp:lineTo x="0" y="20166"/>
                <wp:lineTo x="21447" y="20166"/>
                <wp:lineTo x="21447" y="0"/>
                <wp:lineTo x="0" y="0"/>
              </wp:wrapPolygon>
            </wp:wrapTight>
            <wp:docPr id="81" name="Imagen 81" descr="F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di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976120" cy="306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48DFDE" w14:textId="77777777" w:rsidR="00A964FD" w:rsidRPr="00A9787F" w:rsidRDefault="00A964FD" w:rsidP="00A964FD">
      <w:pPr>
        <w:widowControl w:val="0"/>
        <w:jc w:val="both"/>
      </w:pPr>
    </w:p>
    <w:p w14:paraId="64C143F4" w14:textId="77777777" w:rsidR="00A964FD" w:rsidRPr="00A9787F" w:rsidRDefault="00A964FD" w:rsidP="00A964FD">
      <w:pPr>
        <w:widowControl w:val="0"/>
      </w:pPr>
      <w:r w:rsidRPr="00A9787F">
        <w:t>Jorge Monge Bonilla</w:t>
      </w:r>
    </w:p>
    <w:p w14:paraId="6558CEAA" w14:textId="77777777" w:rsidR="00A964FD" w:rsidRPr="00A9787F" w:rsidRDefault="00A964FD" w:rsidP="00A964FD">
      <w:pPr>
        <w:widowControl w:val="0"/>
        <w:rPr>
          <w:i/>
        </w:rPr>
      </w:pPr>
      <w:r w:rsidRPr="00A9787F">
        <w:rPr>
          <w:i/>
        </w:rPr>
        <w:t>Secretario del Consejo</w:t>
      </w:r>
    </w:p>
    <w:p w14:paraId="1AFD4699" w14:textId="77777777" w:rsidR="00A964FD" w:rsidRDefault="00A964FD" w:rsidP="00A964FD">
      <w:pPr>
        <w:widowControl w:val="0"/>
        <w:jc w:val="both"/>
        <w:rPr>
          <w:sz w:val="16"/>
          <w:szCs w:val="22"/>
        </w:rPr>
      </w:pPr>
    </w:p>
    <w:p w14:paraId="018A1235" w14:textId="77777777" w:rsidR="00A964FD" w:rsidRDefault="00A964FD" w:rsidP="00A964FD">
      <w:pPr>
        <w:widowControl w:val="0"/>
        <w:jc w:val="both"/>
        <w:rPr>
          <w:sz w:val="16"/>
          <w:szCs w:val="22"/>
        </w:rPr>
      </w:pPr>
    </w:p>
    <w:p w14:paraId="28E93EB1" w14:textId="77777777" w:rsidR="00A964FD" w:rsidRDefault="00A964FD" w:rsidP="00A964FD">
      <w:pPr>
        <w:widowControl w:val="0"/>
        <w:jc w:val="both"/>
        <w:rPr>
          <w:sz w:val="16"/>
          <w:szCs w:val="22"/>
        </w:rPr>
      </w:pPr>
    </w:p>
    <w:p w14:paraId="4D947BAA" w14:textId="77777777" w:rsidR="00A964FD" w:rsidRDefault="00A964FD" w:rsidP="00A964FD">
      <w:pPr>
        <w:widowControl w:val="0"/>
        <w:jc w:val="both"/>
        <w:rPr>
          <w:sz w:val="16"/>
          <w:szCs w:val="22"/>
        </w:rPr>
      </w:pPr>
    </w:p>
    <w:p w14:paraId="54591840" w14:textId="77777777" w:rsidR="00A964FD" w:rsidRDefault="00A964FD" w:rsidP="00A964FD">
      <w:pPr>
        <w:widowControl w:val="0"/>
        <w:jc w:val="both"/>
        <w:rPr>
          <w:sz w:val="16"/>
          <w:szCs w:val="22"/>
        </w:rPr>
      </w:pPr>
    </w:p>
    <w:p w14:paraId="790433E0" w14:textId="77777777" w:rsidR="00A964FD" w:rsidRDefault="00A964FD" w:rsidP="00A964FD">
      <w:pPr>
        <w:widowControl w:val="0"/>
        <w:jc w:val="both"/>
        <w:rPr>
          <w:sz w:val="16"/>
          <w:szCs w:val="22"/>
        </w:rPr>
      </w:pPr>
    </w:p>
    <w:p w14:paraId="31471668" w14:textId="77777777" w:rsidR="00A964FD" w:rsidRDefault="00A964FD" w:rsidP="00A964FD">
      <w:pPr>
        <w:widowControl w:val="0"/>
        <w:jc w:val="both"/>
        <w:rPr>
          <w:sz w:val="16"/>
          <w:szCs w:val="22"/>
        </w:rPr>
      </w:pPr>
    </w:p>
    <w:p w14:paraId="0F335B57" w14:textId="77777777" w:rsidR="00A964FD" w:rsidRDefault="00A964FD" w:rsidP="00A964FD">
      <w:pPr>
        <w:widowControl w:val="0"/>
        <w:jc w:val="both"/>
        <w:rPr>
          <w:sz w:val="16"/>
          <w:szCs w:val="22"/>
        </w:rPr>
      </w:pPr>
    </w:p>
    <w:p w14:paraId="4043DDFD" w14:textId="77777777" w:rsidR="00A964FD" w:rsidRPr="00A9787F" w:rsidRDefault="00A964FD" w:rsidP="00A964FD">
      <w:pPr>
        <w:widowControl w:val="0"/>
        <w:ind w:left="1418" w:hanging="1418"/>
        <w:jc w:val="both"/>
        <w:rPr>
          <w:i/>
          <w:sz w:val="16"/>
          <w:szCs w:val="16"/>
        </w:rPr>
      </w:pPr>
      <w:r w:rsidRPr="00A9787F">
        <w:rPr>
          <w:b/>
          <w:i/>
          <w:sz w:val="16"/>
          <w:szCs w:val="16"/>
        </w:rPr>
        <w:t>Co</w:t>
      </w:r>
      <w:r>
        <w:rPr>
          <w:b/>
          <w:i/>
          <w:sz w:val="16"/>
          <w:szCs w:val="16"/>
        </w:rPr>
        <w:t>n copia</w:t>
      </w:r>
      <w:r w:rsidRPr="00A9787F">
        <w:rPr>
          <w:b/>
          <w:i/>
          <w:sz w:val="16"/>
          <w:szCs w:val="16"/>
        </w:rPr>
        <w:t xml:space="preserve"> a:</w:t>
      </w:r>
      <w:r w:rsidRPr="00A9787F">
        <w:rPr>
          <w:i/>
          <w:sz w:val="16"/>
          <w:szCs w:val="16"/>
        </w:rPr>
        <w:tab/>
        <w:t>Superintendencia</w:t>
      </w:r>
      <w:r>
        <w:rPr>
          <w:i/>
          <w:sz w:val="16"/>
          <w:szCs w:val="16"/>
        </w:rPr>
        <w:t>s</w:t>
      </w:r>
      <w:r w:rsidRPr="00A9787F">
        <w:rPr>
          <w:i/>
          <w:sz w:val="16"/>
          <w:szCs w:val="16"/>
        </w:rPr>
        <w:t xml:space="preserve"> y </w:t>
      </w:r>
      <w:r>
        <w:rPr>
          <w:i/>
          <w:sz w:val="16"/>
          <w:szCs w:val="16"/>
        </w:rPr>
        <w:t>Auditoría Interna,</w:t>
      </w:r>
      <w:r w:rsidRPr="00CA127D">
        <w:t xml:space="preserve"> </w:t>
      </w:r>
      <w:r w:rsidRPr="00CA127D">
        <w:rPr>
          <w:i/>
          <w:sz w:val="16"/>
          <w:szCs w:val="16"/>
        </w:rPr>
        <w:t>Encargada Administrativa del Consejo</w:t>
      </w:r>
      <w:r>
        <w:rPr>
          <w:i/>
          <w:sz w:val="16"/>
          <w:szCs w:val="16"/>
        </w:rPr>
        <w:t>.</w:t>
      </w:r>
    </w:p>
    <w:p w14:paraId="0A636145" w14:textId="5330E994" w:rsidR="005660D7" w:rsidRDefault="005660D7" w:rsidP="005660D7">
      <w:pPr>
        <w:widowControl w:val="0"/>
        <w:jc w:val="both"/>
        <w:rPr>
          <w:sz w:val="22"/>
          <w:szCs w:val="22"/>
        </w:rPr>
      </w:pPr>
    </w:p>
    <w:p w14:paraId="77B9CF54" w14:textId="77777777" w:rsidR="00902265" w:rsidRDefault="00902265" w:rsidP="005660D7">
      <w:pPr>
        <w:widowControl w:val="0"/>
        <w:jc w:val="both"/>
        <w:rPr>
          <w:sz w:val="22"/>
          <w:szCs w:val="22"/>
        </w:rPr>
      </w:pPr>
    </w:p>
    <w:p w14:paraId="5DFB9A59" w14:textId="77777777" w:rsidR="00902265" w:rsidRDefault="00902265">
      <w:pPr>
        <w:rPr>
          <w:sz w:val="22"/>
          <w:szCs w:val="22"/>
        </w:rPr>
      </w:pPr>
      <w:r>
        <w:rPr>
          <w:sz w:val="22"/>
          <w:szCs w:val="22"/>
        </w:rPr>
        <w:br w:type="page"/>
      </w:r>
    </w:p>
    <w:p w14:paraId="38233DE3" w14:textId="2E53C00E" w:rsidR="00902265" w:rsidRDefault="00902265" w:rsidP="005660D7">
      <w:pPr>
        <w:widowControl w:val="0"/>
        <w:jc w:val="both"/>
        <w:rPr>
          <w:sz w:val="22"/>
          <w:szCs w:val="22"/>
        </w:rPr>
      </w:pPr>
    </w:p>
    <w:p w14:paraId="5F533510" w14:textId="77777777" w:rsidR="00902265" w:rsidRPr="00410349" w:rsidRDefault="00902265" w:rsidP="00902265">
      <w:pPr>
        <w:tabs>
          <w:tab w:val="center" w:pos="4419"/>
          <w:tab w:val="right" w:pos="8838"/>
        </w:tabs>
        <w:spacing w:before="120" w:after="120"/>
        <w:jc w:val="both"/>
        <w:rPr>
          <w:szCs w:val="20"/>
        </w:rPr>
      </w:pPr>
      <w:r>
        <w:rPr>
          <w:noProof/>
          <w:szCs w:val="20"/>
        </w:rPr>
        <w:drawing>
          <wp:anchor distT="0" distB="0" distL="114300" distR="114300" simplePos="0" relativeHeight="251721728" behindDoc="0" locked="0" layoutInCell="1" allowOverlap="1" wp14:anchorId="162788E6" wp14:editId="05BB8A1E">
            <wp:simplePos x="0" y="0"/>
            <wp:positionH relativeFrom="column">
              <wp:posOffset>-46746</wp:posOffset>
            </wp:positionH>
            <wp:positionV relativeFrom="paragraph">
              <wp:posOffset>-26238</wp:posOffset>
            </wp:positionV>
            <wp:extent cx="5469255" cy="414020"/>
            <wp:effectExtent l="0" t="0" r="0" b="5080"/>
            <wp:wrapNone/>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69255" cy="414020"/>
                    </a:xfrm>
                    <a:prstGeom prst="rect">
                      <a:avLst/>
                    </a:prstGeom>
                    <a:noFill/>
                  </pic:spPr>
                </pic:pic>
              </a:graphicData>
            </a:graphic>
            <wp14:sizeRelH relativeFrom="page">
              <wp14:pctWidth>0</wp14:pctWidth>
            </wp14:sizeRelH>
            <wp14:sizeRelV relativeFrom="page">
              <wp14:pctHeight>0</wp14:pctHeight>
            </wp14:sizeRelV>
          </wp:anchor>
        </w:drawing>
      </w:r>
    </w:p>
    <w:p w14:paraId="3FEDB3AD" w14:textId="77777777" w:rsidR="00902265" w:rsidRDefault="00902265" w:rsidP="005660D7">
      <w:pPr>
        <w:widowControl w:val="0"/>
        <w:jc w:val="both"/>
        <w:rPr>
          <w:sz w:val="22"/>
          <w:szCs w:val="22"/>
        </w:rPr>
      </w:pPr>
    </w:p>
    <w:p w14:paraId="1D12D329" w14:textId="77777777" w:rsidR="00902265" w:rsidRDefault="00902265" w:rsidP="005660D7">
      <w:pPr>
        <w:widowControl w:val="0"/>
        <w:jc w:val="both"/>
        <w:rPr>
          <w:sz w:val="22"/>
          <w:szCs w:val="22"/>
        </w:rPr>
      </w:pPr>
    </w:p>
    <w:p w14:paraId="2DDACC28" w14:textId="77777777" w:rsidR="00902265" w:rsidRPr="00586109" w:rsidRDefault="00902265" w:rsidP="00902265">
      <w:pPr>
        <w:widowControl w:val="0"/>
        <w:jc w:val="both"/>
        <w:rPr>
          <w:sz w:val="18"/>
          <w:szCs w:val="18"/>
        </w:rPr>
      </w:pPr>
      <w:r w:rsidRPr="00586109">
        <w:rPr>
          <w:sz w:val="18"/>
          <w:szCs w:val="18"/>
        </w:rPr>
        <w:t>8 de julio del 2015</w:t>
      </w:r>
    </w:p>
    <w:p w14:paraId="3DD6ED1A" w14:textId="77777777" w:rsidR="00902265" w:rsidRPr="00586109" w:rsidRDefault="00902265" w:rsidP="00902265">
      <w:pPr>
        <w:widowControl w:val="0"/>
        <w:jc w:val="both"/>
        <w:rPr>
          <w:sz w:val="18"/>
          <w:szCs w:val="18"/>
        </w:rPr>
      </w:pPr>
      <w:r w:rsidRPr="00586109">
        <w:rPr>
          <w:sz w:val="18"/>
          <w:szCs w:val="18"/>
        </w:rPr>
        <w:t>JD-5693/07</w:t>
      </w:r>
    </w:p>
    <w:p w14:paraId="7952DEBA" w14:textId="77777777" w:rsidR="00902265" w:rsidRDefault="00902265" w:rsidP="00902265">
      <w:pPr>
        <w:widowControl w:val="0"/>
        <w:jc w:val="both"/>
        <w:rPr>
          <w:sz w:val="18"/>
          <w:szCs w:val="18"/>
        </w:rPr>
      </w:pPr>
    </w:p>
    <w:p w14:paraId="18ACD5CA" w14:textId="77777777" w:rsidR="00902265" w:rsidRPr="00586109" w:rsidRDefault="00902265" w:rsidP="00902265">
      <w:pPr>
        <w:widowControl w:val="0"/>
        <w:jc w:val="both"/>
        <w:rPr>
          <w:sz w:val="18"/>
          <w:szCs w:val="18"/>
        </w:rPr>
      </w:pPr>
    </w:p>
    <w:p w14:paraId="39926E8A" w14:textId="77777777" w:rsidR="00902265" w:rsidRPr="0011635F" w:rsidRDefault="00902265" w:rsidP="00902265">
      <w:pPr>
        <w:widowControl w:val="0"/>
        <w:jc w:val="both"/>
        <w:rPr>
          <w:sz w:val="18"/>
          <w:szCs w:val="18"/>
        </w:rPr>
      </w:pPr>
    </w:p>
    <w:p w14:paraId="41A77AE6" w14:textId="77777777" w:rsidR="00902265" w:rsidRPr="009865FB" w:rsidRDefault="00902265" w:rsidP="00902265">
      <w:pPr>
        <w:widowControl w:val="0"/>
        <w:jc w:val="both"/>
        <w:rPr>
          <w:sz w:val="18"/>
          <w:szCs w:val="18"/>
        </w:rPr>
      </w:pPr>
      <w:r w:rsidRPr="009865FB">
        <w:rPr>
          <w:sz w:val="18"/>
          <w:szCs w:val="18"/>
        </w:rPr>
        <w:t>Señor</w:t>
      </w:r>
    </w:p>
    <w:p w14:paraId="5122B06E" w14:textId="77777777" w:rsidR="00902265" w:rsidRPr="009865FB" w:rsidRDefault="00902265" w:rsidP="00902265">
      <w:pPr>
        <w:widowControl w:val="0"/>
        <w:jc w:val="both"/>
        <w:rPr>
          <w:b/>
          <w:i/>
          <w:sz w:val="18"/>
          <w:szCs w:val="18"/>
        </w:rPr>
      </w:pPr>
      <w:r w:rsidRPr="009865FB">
        <w:rPr>
          <w:sz w:val="18"/>
          <w:szCs w:val="18"/>
        </w:rPr>
        <w:t xml:space="preserve">Alvaro Ramos Chaves, </w:t>
      </w:r>
      <w:r w:rsidRPr="009865FB">
        <w:rPr>
          <w:b/>
          <w:i/>
          <w:sz w:val="18"/>
          <w:szCs w:val="18"/>
        </w:rPr>
        <w:t xml:space="preserve">Superintendente </w:t>
      </w:r>
    </w:p>
    <w:p w14:paraId="3AD754DC" w14:textId="77777777" w:rsidR="00902265" w:rsidRPr="009865FB" w:rsidRDefault="00902265" w:rsidP="00902265">
      <w:pPr>
        <w:widowControl w:val="0"/>
        <w:jc w:val="both"/>
        <w:rPr>
          <w:b/>
          <w:i/>
          <w:sz w:val="18"/>
          <w:szCs w:val="18"/>
        </w:rPr>
      </w:pPr>
      <w:r w:rsidRPr="009865FB">
        <w:rPr>
          <w:b/>
          <w:i/>
          <w:sz w:val="18"/>
          <w:szCs w:val="18"/>
        </w:rPr>
        <w:t>SUPERINTENDENCIA DE PENSIONES</w:t>
      </w:r>
    </w:p>
    <w:p w14:paraId="71DF6126" w14:textId="77777777" w:rsidR="00902265" w:rsidRDefault="00902265" w:rsidP="00902265">
      <w:pPr>
        <w:widowControl w:val="0"/>
        <w:jc w:val="both"/>
        <w:rPr>
          <w:sz w:val="18"/>
          <w:szCs w:val="18"/>
        </w:rPr>
      </w:pPr>
    </w:p>
    <w:p w14:paraId="219ED7DB" w14:textId="77777777" w:rsidR="00902265" w:rsidRPr="00734579" w:rsidRDefault="00902265" w:rsidP="00902265">
      <w:pPr>
        <w:widowControl w:val="0"/>
        <w:jc w:val="both"/>
        <w:rPr>
          <w:b/>
          <w:i/>
          <w:sz w:val="18"/>
          <w:szCs w:val="18"/>
        </w:rPr>
      </w:pPr>
    </w:p>
    <w:p w14:paraId="65CBB982" w14:textId="77777777" w:rsidR="00902265" w:rsidRPr="00586109" w:rsidRDefault="00902265" w:rsidP="00902265">
      <w:pPr>
        <w:widowControl w:val="0"/>
        <w:jc w:val="both"/>
        <w:rPr>
          <w:sz w:val="18"/>
          <w:szCs w:val="18"/>
        </w:rPr>
      </w:pPr>
      <w:r w:rsidRPr="00586109">
        <w:rPr>
          <w:sz w:val="18"/>
          <w:szCs w:val="18"/>
        </w:rPr>
        <w:t>Estimado señor:</w:t>
      </w:r>
    </w:p>
    <w:p w14:paraId="53989EF8" w14:textId="77777777" w:rsidR="00902265" w:rsidRPr="00586109" w:rsidRDefault="00902265" w:rsidP="00902265">
      <w:pPr>
        <w:widowControl w:val="0"/>
        <w:jc w:val="both"/>
        <w:rPr>
          <w:sz w:val="18"/>
          <w:szCs w:val="18"/>
        </w:rPr>
      </w:pPr>
    </w:p>
    <w:p w14:paraId="21177BC5" w14:textId="77777777" w:rsidR="00902265" w:rsidRPr="00586109" w:rsidRDefault="00902265" w:rsidP="00902265">
      <w:pPr>
        <w:widowControl w:val="0"/>
        <w:jc w:val="both"/>
        <w:rPr>
          <w:sz w:val="18"/>
          <w:szCs w:val="18"/>
        </w:rPr>
      </w:pPr>
    </w:p>
    <w:p w14:paraId="1CF3E8B8" w14:textId="77777777" w:rsidR="00902265" w:rsidRPr="00586109" w:rsidRDefault="00902265" w:rsidP="00902265">
      <w:pPr>
        <w:widowControl w:val="0"/>
        <w:jc w:val="both"/>
        <w:rPr>
          <w:sz w:val="18"/>
          <w:szCs w:val="18"/>
        </w:rPr>
      </w:pPr>
      <w:r w:rsidRPr="00586109">
        <w:rPr>
          <w:sz w:val="18"/>
          <w:szCs w:val="18"/>
        </w:rPr>
        <w:t xml:space="preserve">La Junta Directiva del Banco Central de Costa Rica en el artículo 7 del acta de la sesión 5693-2015, celebrada el  1° de julio del 2015, </w:t>
      </w:r>
    </w:p>
    <w:p w14:paraId="54339E81" w14:textId="77777777" w:rsidR="00902265" w:rsidRPr="00586109" w:rsidRDefault="00902265" w:rsidP="00902265">
      <w:pPr>
        <w:widowControl w:val="0"/>
        <w:jc w:val="both"/>
        <w:rPr>
          <w:sz w:val="18"/>
          <w:szCs w:val="18"/>
        </w:rPr>
      </w:pPr>
    </w:p>
    <w:p w14:paraId="5B549586" w14:textId="77777777" w:rsidR="00902265" w:rsidRPr="00586109" w:rsidRDefault="00902265" w:rsidP="00902265">
      <w:pPr>
        <w:widowControl w:val="0"/>
        <w:rPr>
          <w:b/>
          <w:sz w:val="18"/>
          <w:szCs w:val="18"/>
        </w:rPr>
      </w:pPr>
      <w:r w:rsidRPr="00586109">
        <w:rPr>
          <w:b/>
          <w:sz w:val="18"/>
          <w:szCs w:val="18"/>
        </w:rPr>
        <w:t>considerando que:</w:t>
      </w:r>
    </w:p>
    <w:p w14:paraId="56F92DA4" w14:textId="77777777" w:rsidR="00902265" w:rsidRPr="00586109" w:rsidRDefault="00902265" w:rsidP="00902265">
      <w:pPr>
        <w:ind w:left="851" w:hanging="425"/>
        <w:rPr>
          <w:sz w:val="18"/>
          <w:szCs w:val="18"/>
        </w:rPr>
      </w:pPr>
    </w:p>
    <w:p w14:paraId="3058BF00" w14:textId="77777777" w:rsidR="00902265" w:rsidRPr="00586109" w:rsidRDefault="00902265" w:rsidP="00547B19">
      <w:pPr>
        <w:numPr>
          <w:ilvl w:val="0"/>
          <w:numId w:val="29"/>
        </w:numPr>
        <w:ind w:left="567" w:hanging="567"/>
        <w:contextualSpacing/>
        <w:jc w:val="both"/>
        <w:rPr>
          <w:sz w:val="18"/>
          <w:szCs w:val="18"/>
        </w:rPr>
      </w:pPr>
      <w:r w:rsidRPr="00586109">
        <w:rPr>
          <w:sz w:val="18"/>
          <w:szCs w:val="18"/>
        </w:rPr>
        <w:t xml:space="preserve">En el artículo 3 del acta de la sesión 5661-2014, celebrada el 25 de agosto del 2014, se aprobó, de conformidad con la documentación conocida en esa oportunidad, el </w:t>
      </w:r>
      <w:r w:rsidRPr="00586109">
        <w:rPr>
          <w:i/>
          <w:sz w:val="18"/>
          <w:szCs w:val="18"/>
        </w:rPr>
        <w:t>Plan Estratégico del Banco Central de Costa Rica, 2015-2018</w:t>
      </w:r>
      <w:r w:rsidRPr="00586109">
        <w:rPr>
          <w:sz w:val="18"/>
          <w:szCs w:val="18"/>
        </w:rPr>
        <w:t>, presentado por la Administración del Banco.</w:t>
      </w:r>
    </w:p>
    <w:p w14:paraId="57A43558" w14:textId="77777777" w:rsidR="00902265" w:rsidRPr="00586109" w:rsidRDefault="00902265" w:rsidP="00902265">
      <w:pPr>
        <w:ind w:left="426"/>
        <w:contextualSpacing/>
        <w:rPr>
          <w:i/>
          <w:sz w:val="18"/>
          <w:szCs w:val="18"/>
        </w:rPr>
      </w:pPr>
      <w:r w:rsidRPr="00586109">
        <w:rPr>
          <w:i/>
          <w:sz w:val="18"/>
          <w:szCs w:val="18"/>
        </w:rPr>
        <w:t xml:space="preserve"> </w:t>
      </w:r>
    </w:p>
    <w:p w14:paraId="519F62B6" w14:textId="77777777" w:rsidR="00902265" w:rsidRPr="00586109" w:rsidRDefault="00902265" w:rsidP="00547B19">
      <w:pPr>
        <w:numPr>
          <w:ilvl w:val="0"/>
          <w:numId w:val="29"/>
        </w:numPr>
        <w:ind w:left="567" w:hanging="567"/>
        <w:contextualSpacing/>
        <w:jc w:val="both"/>
        <w:rPr>
          <w:i/>
          <w:sz w:val="18"/>
          <w:szCs w:val="18"/>
        </w:rPr>
      </w:pPr>
      <w:r w:rsidRPr="00586109">
        <w:rPr>
          <w:sz w:val="18"/>
          <w:szCs w:val="18"/>
        </w:rPr>
        <w:t xml:space="preserve">Mediante el artículo 17, del acta de la sesión 5500-2011, celebrada el 8 junio del 2011, se aprobaron las </w:t>
      </w:r>
      <w:r w:rsidRPr="00586109">
        <w:rPr>
          <w:i/>
          <w:sz w:val="18"/>
          <w:szCs w:val="18"/>
        </w:rPr>
        <w:t xml:space="preserve">Políticas de Junta Directiva para la gestión presupuestaria en el Banco Central de Costa Rica. </w:t>
      </w:r>
    </w:p>
    <w:p w14:paraId="6A9AAF9D" w14:textId="77777777" w:rsidR="00902265" w:rsidRPr="00586109" w:rsidRDefault="00902265" w:rsidP="00902265">
      <w:pPr>
        <w:ind w:left="426"/>
        <w:contextualSpacing/>
        <w:rPr>
          <w:i/>
          <w:sz w:val="18"/>
          <w:szCs w:val="18"/>
        </w:rPr>
      </w:pPr>
    </w:p>
    <w:p w14:paraId="4B500F86" w14:textId="77777777" w:rsidR="00902265" w:rsidRPr="00586109" w:rsidRDefault="00902265" w:rsidP="00547B19">
      <w:pPr>
        <w:numPr>
          <w:ilvl w:val="0"/>
          <w:numId w:val="29"/>
        </w:numPr>
        <w:ind w:left="567" w:hanging="567"/>
        <w:contextualSpacing/>
        <w:jc w:val="both"/>
        <w:rPr>
          <w:sz w:val="18"/>
          <w:szCs w:val="18"/>
        </w:rPr>
      </w:pPr>
      <w:r w:rsidRPr="00586109">
        <w:rPr>
          <w:sz w:val="18"/>
          <w:szCs w:val="18"/>
        </w:rPr>
        <w:t xml:space="preserve">Las citadas </w:t>
      </w:r>
      <w:r w:rsidRPr="00586109">
        <w:rPr>
          <w:i/>
          <w:sz w:val="18"/>
          <w:szCs w:val="18"/>
        </w:rPr>
        <w:t>Políticas de Junta Directiva</w:t>
      </w:r>
      <w:r w:rsidRPr="00586109">
        <w:rPr>
          <w:sz w:val="18"/>
          <w:szCs w:val="18"/>
        </w:rPr>
        <w:t xml:space="preserve"> constituyen parte del marco de referencia para la elaboración del plan de presupuesto del 2016.</w:t>
      </w:r>
    </w:p>
    <w:p w14:paraId="59705A53" w14:textId="77777777" w:rsidR="00902265" w:rsidRPr="00586109" w:rsidRDefault="00902265" w:rsidP="00902265">
      <w:pPr>
        <w:ind w:left="851" w:hanging="425"/>
        <w:rPr>
          <w:sz w:val="18"/>
          <w:szCs w:val="18"/>
        </w:rPr>
      </w:pPr>
    </w:p>
    <w:p w14:paraId="46460967" w14:textId="77777777" w:rsidR="00902265" w:rsidRPr="00586109" w:rsidRDefault="00902265" w:rsidP="00547B19">
      <w:pPr>
        <w:numPr>
          <w:ilvl w:val="0"/>
          <w:numId w:val="29"/>
        </w:numPr>
        <w:ind w:left="567" w:hanging="567"/>
        <w:contextualSpacing/>
        <w:jc w:val="both"/>
        <w:rPr>
          <w:sz w:val="18"/>
          <w:szCs w:val="18"/>
        </w:rPr>
      </w:pPr>
      <w:r w:rsidRPr="00586109">
        <w:rPr>
          <w:sz w:val="18"/>
          <w:szCs w:val="18"/>
        </w:rPr>
        <w:t xml:space="preserve">La </w:t>
      </w:r>
      <w:r w:rsidRPr="00586109">
        <w:rPr>
          <w:i/>
          <w:sz w:val="18"/>
          <w:szCs w:val="18"/>
        </w:rPr>
        <w:t>Política de Alto Nivel para la Gestión Presupuestaria en el BCCR</w:t>
      </w:r>
      <w:r w:rsidRPr="00586109">
        <w:rPr>
          <w:sz w:val="18"/>
          <w:szCs w:val="18"/>
        </w:rPr>
        <w:t xml:space="preserve"> estableció que, en el proceso presupuestario, se deben considerar aspectos referidos a la orientación estratégica, racionalidad en la asignación de recursos y precisión en las estimaciones, de manera que:</w:t>
      </w:r>
    </w:p>
    <w:p w14:paraId="07E399CD" w14:textId="77777777" w:rsidR="00902265" w:rsidRPr="00586109" w:rsidRDefault="00902265" w:rsidP="00902265">
      <w:pPr>
        <w:contextualSpacing/>
        <w:rPr>
          <w:sz w:val="18"/>
          <w:szCs w:val="18"/>
        </w:rPr>
      </w:pPr>
    </w:p>
    <w:p w14:paraId="418FF7BC" w14:textId="77777777" w:rsidR="00902265" w:rsidRPr="00586109" w:rsidRDefault="00902265" w:rsidP="00547B19">
      <w:pPr>
        <w:numPr>
          <w:ilvl w:val="0"/>
          <w:numId w:val="20"/>
        </w:numPr>
        <w:ind w:left="851" w:hanging="284"/>
        <w:contextualSpacing/>
        <w:jc w:val="both"/>
        <w:rPr>
          <w:sz w:val="18"/>
          <w:szCs w:val="18"/>
        </w:rPr>
      </w:pPr>
      <w:r w:rsidRPr="00586109">
        <w:rPr>
          <w:sz w:val="18"/>
          <w:szCs w:val="18"/>
        </w:rPr>
        <w:t>En los planes se incorpore el componente estratégico que vincula las acciones del período con los objetivos estratégicos que forman parte del Plan Estratégico vigente. La gestión y los proyectos que se propongan en los planes deben orientarse hacia el logro de los objetivos institucionales, lo cual se reflejará a través de los indicadores definidos,</w:t>
      </w:r>
    </w:p>
    <w:p w14:paraId="4B1FABDB" w14:textId="77777777" w:rsidR="00902265" w:rsidRPr="00586109" w:rsidRDefault="00902265" w:rsidP="00547B19">
      <w:pPr>
        <w:numPr>
          <w:ilvl w:val="0"/>
          <w:numId w:val="20"/>
        </w:numPr>
        <w:ind w:left="851" w:hanging="284"/>
        <w:contextualSpacing/>
        <w:jc w:val="both"/>
        <w:rPr>
          <w:sz w:val="18"/>
          <w:szCs w:val="18"/>
        </w:rPr>
      </w:pPr>
      <w:r w:rsidRPr="00586109">
        <w:rPr>
          <w:sz w:val="18"/>
          <w:szCs w:val="18"/>
        </w:rPr>
        <w:t xml:space="preserve">La estimación de los recursos debe considerar el principio de racionalidad del gasto, para satisfacer las necesidades reales, sustentadas en los planes de las diferentes divisiones, para el cumplimiento de los objetivos estratégicos aprobados en el Plan Estratégico. Además se debe considerar como insumo la información generada por el “Sistema costeo por actividades, costeo ABC” y </w:t>
      </w:r>
    </w:p>
    <w:p w14:paraId="1910D21E" w14:textId="77777777" w:rsidR="00902265" w:rsidRPr="00586109" w:rsidRDefault="00902265" w:rsidP="00547B19">
      <w:pPr>
        <w:numPr>
          <w:ilvl w:val="0"/>
          <w:numId w:val="20"/>
        </w:numPr>
        <w:ind w:left="851" w:hanging="284"/>
        <w:contextualSpacing/>
        <w:jc w:val="both"/>
        <w:rPr>
          <w:sz w:val="18"/>
          <w:szCs w:val="18"/>
        </w:rPr>
      </w:pPr>
      <w:r w:rsidRPr="00586109">
        <w:rPr>
          <w:sz w:val="18"/>
          <w:szCs w:val="18"/>
        </w:rPr>
        <w:t>Deben realizarse estimaciones precisas con el fin de minimizar, en lo posible, el uso de variaciones al presupuesto y/o presupuestos extraordinarios.</w:t>
      </w:r>
    </w:p>
    <w:p w14:paraId="35598F68" w14:textId="77777777" w:rsidR="00902265" w:rsidRPr="00586109" w:rsidRDefault="00902265" w:rsidP="00902265">
      <w:pPr>
        <w:ind w:left="426"/>
        <w:contextualSpacing/>
        <w:rPr>
          <w:sz w:val="18"/>
          <w:szCs w:val="18"/>
        </w:rPr>
      </w:pPr>
    </w:p>
    <w:p w14:paraId="47DF5FB3" w14:textId="77777777" w:rsidR="00902265" w:rsidRPr="00586109" w:rsidRDefault="00902265" w:rsidP="00547B19">
      <w:pPr>
        <w:numPr>
          <w:ilvl w:val="0"/>
          <w:numId w:val="29"/>
        </w:numPr>
        <w:ind w:left="567" w:hanging="567"/>
        <w:contextualSpacing/>
        <w:jc w:val="both"/>
        <w:rPr>
          <w:sz w:val="18"/>
          <w:szCs w:val="18"/>
        </w:rPr>
      </w:pPr>
      <w:r w:rsidRPr="00586109">
        <w:rPr>
          <w:sz w:val="18"/>
          <w:szCs w:val="18"/>
        </w:rPr>
        <w:t xml:space="preserve">Con la mencionada </w:t>
      </w:r>
      <w:r w:rsidRPr="00586109">
        <w:rPr>
          <w:i/>
          <w:sz w:val="18"/>
          <w:szCs w:val="18"/>
        </w:rPr>
        <w:t>Política de Alto Nivel</w:t>
      </w:r>
      <w:r w:rsidRPr="00586109">
        <w:rPr>
          <w:sz w:val="18"/>
          <w:szCs w:val="18"/>
        </w:rPr>
        <w:t>, se establecieron políticas específicas para la Formulación del Presupuesto del BCCR y  estas establecen que:</w:t>
      </w:r>
    </w:p>
    <w:p w14:paraId="5F67247A" w14:textId="77777777" w:rsidR="00902265" w:rsidRPr="00586109" w:rsidRDefault="00902265" w:rsidP="00902265">
      <w:pPr>
        <w:ind w:left="426"/>
        <w:contextualSpacing/>
        <w:rPr>
          <w:sz w:val="18"/>
          <w:szCs w:val="18"/>
        </w:rPr>
      </w:pPr>
    </w:p>
    <w:p w14:paraId="12EF3CFB" w14:textId="77777777" w:rsidR="00902265" w:rsidRPr="00586109" w:rsidRDefault="00902265" w:rsidP="00547B19">
      <w:pPr>
        <w:numPr>
          <w:ilvl w:val="0"/>
          <w:numId w:val="20"/>
        </w:numPr>
        <w:ind w:left="851" w:hanging="284"/>
        <w:contextualSpacing/>
        <w:jc w:val="both"/>
        <w:rPr>
          <w:sz w:val="18"/>
          <w:szCs w:val="18"/>
        </w:rPr>
      </w:pPr>
      <w:r w:rsidRPr="00586109">
        <w:rPr>
          <w:sz w:val="18"/>
          <w:szCs w:val="18"/>
        </w:rPr>
        <w:t>El presupuesto se formula para el cumplimiento de planes que incorporan como orientación estratégica: Objetivos claros y precisos en cada ejercicio presupuestario, con el fin de cumplir con los productos o servicios asociados a cada División, acciones estratégicas orientadas a cumplir con los objetivos del Plan Estratégico, proyectos e indicadores y metas que permitan evaluar el logro de los objetivos estratégicos.</w:t>
      </w:r>
    </w:p>
    <w:p w14:paraId="7F0328CB" w14:textId="77777777" w:rsidR="00902265" w:rsidRPr="00586109" w:rsidRDefault="00902265" w:rsidP="00547B19">
      <w:pPr>
        <w:numPr>
          <w:ilvl w:val="0"/>
          <w:numId w:val="20"/>
        </w:numPr>
        <w:ind w:left="851" w:hanging="284"/>
        <w:contextualSpacing/>
        <w:jc w:val="both"/>
        <w:rPr>
          <w:sz w:val="18"/>
          <w:szCs w:val="18"/>
        </w:rPr>
      </w:pPr>
      <w:r w:rsidRPr="00586109">
        <w:rPr>
          <w:sz w:val="18"/>
          <w:szCs w:val="18"/>
        </w:rPr>
        <w:t>El presupuesto se divide en tres categorías: Presupuesto financiero, presupuesto de operación y presupuesto de inversión.</w:t>
      </w:r>
    </w:p>
    <w:p w14:paraId="3740FC1E" w14:textId="77777777" w:rsidR="00902265" w:rsidRPr="00586109" w:rsidRDefault="00902265" w:rsidP="00547B19">
      <w:pPr>
        <w:numPr>
          <w:ilvl w:val="0"/>
          <w:numId w:val="20"/>
        </w:numPr>
        <w:ind w:left="851" w:hanging="284"/>
        <w:contextualSpacing/>
        <w:jc w:val="both"/>
        <w:rPr>
          <w:sz w:val="18"/>
          <w:szCs w:val="18"/>
        </w:rPr>
      </w:pPr>
      <w:r w:rsidRPr="00586109">
        <w:rPr>
          <w:sz w:val="18"/>
          <w:szCs w:val="18"/>
        </w:rPr>
        <w:t>El crecimiento máximo para el presupuesto de operación, excluyendo compromisos, estará asociado con lo que establezca el Programa Macroeconómico vigente como meta de inflación para el período en formulación.</w:t>
      </w:r>
    </w:p>
    <w:p w14:paraId="5314D4DA" w14:textId="77777777" w:rsidR="00902265" w:rsidRPr="00586109" w:rsidRDefault="00902265" w:rsidP="00547B19">
      <w:pPr>
        <w:numPr>
          <w:ilvl w:val="0"/>
          <w:numId w:val="20"/>
        </w:numPr>
        <w:ind w:left="851" w:hanging="284"/>
        <w:contextualSpacing/>
        <w:jc w:val="both"/>
        <w:rPr>
          <w:sz w:val="18"/>
          <w:szCs w:val="18"/>
        </w:rPr>
      </w:pPr>
      <w:r w:rsidRPr="00586109">
        <w:rPr>
          <w:sz w:val="18"/>
          <w:szCs w:val="18"/>
        </w:rPr>
        <w:lastRenderedPageBreak/>
        <w:t>Se estimará una provisión para el pago de incrementos salariales - que se deriven de la aplicación de la política salarial que ha definido la Institución.</w:t>
      </w:r>
    </w:p>
    <w:p w14:paraId="613693BF" w14:textId="77777777" w:rsidR="00902265" w:rsidRPr="00586109" w:rsidRDefault="00902265" w:rsidP="00902265">
      <w:pPr>
        <w:contextualSpacing/>
        <w:rPr>
          <w:sz w:val="18"/>
          <w:szCs w:val="18"/>
        </w:rPr>
      </w:pPr>
    </w:p>
    <w:p w14:paraId="05CEFD74" w14:textId="77777777" w:rsidR="00902265" w:rsidRPr="00586109" w:rsidRDefault="00902265" w:rsidP="00547B19">
      <w:pPr>
        <w:numPr>
          <w:ilvl w:val="0"/>
          <w:numId w:val="29"/>
        </w:numPr>
        <w:ind w:left="567" w:hanging="567"/>
        <w:contextualSpacing/>
        <w:jc w:val="both"/>
        <w:rPr>
          <w:sz w:val="18"/>
          <w:szCs w:val="18"/>
        </w:rPr>
      </w:pPr>
      <w:r w:rsidRPr="00586109">
        <w:rPr>
          <w:sz w:val="18"/>
          <w:szCs w:val="18"/>
        </w:rPr>
        <w:t>Los servicios que brinda el Banco Central, a los Órganos de Desconcentración Máxima, se han incrementado en los últimos años a solicitud de esos Órganos.</w:t>
      </w:r>
    </w:p>
    <w:p w14:paraId="70DDF04D" w14:textId="77777777" w:rsidR="00902265" w:rsidRPr="00586109" w:rsidRDefault="00902265" w:rsidP="00902265">
      <w:pPr>
        <w:ind w:left="426"/>
        <w:contextualSpacing/>
        <w:rPr>
          <w:sz w:val="18"/>
          <w:szCs w:val="18"/>
        </w:rPr>
      </w:pPr>
    </w:p>
    <w:p w14:paraId="0D58BDC6" w14:textId="77777777" w:rsidR="00902265" w:rsidRPr="00586109" w:rsidRDefault="00902265" w:rsidP="00547B19">
      <w:pPr>
        <w:numPr>
          <w:ilvl w:val="0"/>
          <w:numId w:val="29"/>
        </w:numPr>
        <w:ind w:left="567" w:hanging="567"/>
        <w:contextualSpacing/>
        <w:jc w:val="both"/>
        <w:rPr>
          <w:sz w:val="18"/>
          <w:szCs w:val="18"/>
        </w:rPr>
      </w:pPr>
      <w:r w:rsidRPr="00586109">
        <w:rPr>
          <w:sz w:val="18"/>
          <w:szCs w:val="18"/>
        </w:rPr>
        <w:t>Las políticas de Junta Directiva tienen una vigencia que supera el período de formulación presupuestaria.</w:t>
      </w:r>
    </w:p>
    <w:p w14:paraId="20751BE4" w14:textId="77777777" w:rsidR="00902265" w:rsidRPr="00586109" w:rsidRDefault="00902265" w:rsidP="00902265">
      <w:pPr>
        <w:ind w:left="426"/>
        <w:contextualSpacing/>
        <w:rPr>
          <w:sz w:val="18"/>
          <w:szCs w:val="18"/>
        </w:rPr>
      </w:pPr>
    </w:p>
    <w:p w14:paraId="47BBADD4" w14:textId="77777777" w:rsidR="00902265" w:rsidRPr="00586109" w:rsidRDefault="00902265" w:rsidP="00547B19">
      <w:pPr>
        <w:numPr>
          <w:ilvl w:val="0"/>
          <w:numId w:val="29"/>
        </w:numPr>
        <w:ind w:left="567" w:hanging="567"/>
        <w:contextualSpacing/>
        <w:jc w:val="both"/>
        <w:rPr>
          <w:sz w:val="18"/>
          <w:szCs w:val="18"/>
        </w:rPr>
      </w:pPr>
      <w:r w:rsidRPr="00586109">
        <w:rPr>
          <w:sz w:val="18"/>
          <w:szCs w:val="18"/>
        </w:rPr>
        <w:t xml:space="preserve">Los parámetros para la Formulación del Presupuesto deben aprobarse cada año, ya que constituyen un complemento a las </w:t>
      </w:r>
      <w:r w:rsidRPr="00586109">
        <w:rPr>
          <w:i/>
          <w:sz w:val="18"/>
          <w:szCs w:val="18"/>
        </w:rPr>
        <w:t>Políticas de Junta Directiva para la Gestión Presupuestaria en el Banco Central de Costa Rica</w:t>
      </w:r>
      <w:r w:rsidRPr="00586109">
        <w:rPr>
          <w:sz w:val="18"/>
          <w:szCs w:val="18"/>
        </w:rPr>
        <w:t>.</w:t>
      </w:r>
    </w:p>
    <w:p w14:paraId="06087A1B" w14:textId="77777777" w:rsidR="00902265" w:rsidRPr="00586109" w:rsidRDefault="00902265" w:rsidP="00902265">
      <w:pPr>
        <w:ind w:left="426"/>
        <w:contextualSpacing/>
        <w:rPr>
          <w:sz w:val="18"/>
          <w:szCs w:val="18"/>
        </w:rPr>
      </w:pPr>
    </w:p>
    <w:p w14:paraId="0E411A5B" w14:textId="77777777" w:rsidR="00902265" w:rsidRPr="00586109" w:rsidRDefault="00902265" w:rsidP="00547B19">
      <w:pPr>
        <w:numPr>
          <w:ilvl w:val="0"/>
          <w:numId w:val="29"/>
        </w:numPr>
        <w:ind w:left="567" w:hanging="567"/>
        <w:contextualSpacing/>
        <w:jc w:val="both"/>
        <w:rPr>
          <w:sz w:val="18"/>
          <w:szCs w:val="18"/>
        </w:rPr>
      </w:pPr>
      <w:r w:rsidRPr="00586109">
        <w:rPr>
          <w:sz w:val="18"/>
          <w:szCs w:val="18"/>
        </w:rPr>
        <w:t xml:space="preserve">La División Finanzas y Contabilidad, mediante oficio DFC-111-2015, del 27 de mayo del  2015, presentó la propuesta de los </w:t>
      </w:r>
      <w:r w:rsidRPr="00586109">
        <w:rPr>
          <w:i/>
          <w:sz w:val="18"/>
          <w:szCs w:val="18"/>
        </w:rPr>
        <w:t>Parámetros para la Formulación del Presupuesto del 2016.</w:t>
      </w:r>
      <w:r w:rsidRPr="00586109">
        <w:rPr>
          <w:sz w:val="18"/>
          <w:szCs w:val="18"/>
        </w:rPr>
        <w:t xml:space="preserve"> </w:t>
      </w:r>
    </w:p>
    <w:p w14:paraId="729CBF8A" w14:textId="77777777" w:rsidR="00902265" w:rsidRPr="00586109" w:rsidRDefault="00902265" w:rsidP="00902265">
      <w:pPr>
        <w:ind w:left="851" w:hanging="425"/>
        <w:rPr>
          <w:sz w:val="18"/>
          <w:szCs w:val="18"/>
        </w:rPr>
      </w:pPr>
    </w:p>
    <w:p w14:paraId="026D10F7" w14:textId="77777777" w:rsidR="00902265" w:rsidRPr="00586109" w:rsidRDefault="00902265" w:rsidP="00902265">
      <w:pPr>
        <w:widowControl w:val="0"/>
        <w:rPr>
          <w:b/>
          <w:sz w:val="18"/>
          <w:szCs w:val="18"/>
        </w:rPr>
      </w:pPr>
      <w:r w:rsidRPr="00586109">
        <w:rPr>
          <w:b/>
          <w:sz w:val="18"/>
          <w:szCs w:val="18"/>
        </w:rPr>
        <w:t>dispuso:</w:t>
      </w:r>
    </w:p>
    <w:p w14:paraId="2D3082B6" w14:textId="77777777" w:rsidR="00902265" w:rsidRPr="00586109" w:rsidRDefault="00902265" w:rsidP="00902265">
      <w:pPr>
        <w:ind w:left="851" w:hanging="425"/>
        <w:rPr>
          <w:sz w:val="18"/>
          <w:szCs w:val="18"/>
        </w:rPr>
      </w:pPr>
    </w:p>
    <w:p w14:paraId="391355B0" w14:textId="77777777" w:rsidR="00902265" w:rsidRPr="00586109" w:rsidRDefault="00902265" w:rsidP="00902265">
      <w:pPr>
        <w:widowControl w:val="0"/>
        <w:rPr>
          <w:sz w:val="18"/>
          <w:szCs w:val="18"/>
        </w:rPr>
      </w:pPr>
      <w:r w:rsidRPr="00586109">
        <w:rPr>
          <w:sz w:val="18"/>
          <w:szCs w:val="18"/>
        </w:rPr>
        <w:t xml:space="preserve">aprobar los </w:t>
      </w:r>
      <w:r w:rsidRPr="00586109">
        <w:rPr>
          <w:i/>
          <w:sz w:val="18"/>
          <w:szCs w:val="18"/>
        </w:rPr>
        <w:t>Parámetros para la Formulación del Presupuesto del 2016,</w:t>
      </w:r>
      <w:r w:rsidRPr="00586109">
        <w:rPr>
          <w:sz w:val="18"/>
          <w:szCs w:val="18"/>
        </w:rPr>
        <w:t xml:space="preserve"> cuyo texto se detalla a continuación:</w:t>
      </w:r>
    </w:p>
    <w:p w14:paraId="35CB1C0D" w14:textId="77777777" w:rsidR="00902265" w:rsidRPr="00586109" w:rsidRDefault="00902265" w:rsidP="00902265">
      <w:pPr>
        <w:widowControl w:val="0"/>
        <w:rPr>
          <w:sz w:val="18"/>
          <w:szCs w:val="18"/>
        </w:rPr>
      </w:pPr>
    </w:p>
    <w:p w14:paraId="4BFFF3C4" w14:textId="77777777" w:rsidR="00902265" w:rsidRPr="00586109" w:rsidRDefault="00902265" w:rsidP="00902265">
      <w:pPr>
        <w:widowControl w:val="0"/>
        <w:jc w:val="center"/>
        <w:rPr>
          <w:b/>
          <w:i/>
          <w:sz w:val="18"/>
          <w:szCs w:val="18"/>
        </w:rPr>
      </w:pPr>
      <w:r w:rsidRPr="00586109">
        <w:rPr>
          <w:b/>
          <w:i/>
          <w:sz w:val="18"/>
          <w:szCs w:val="18"/>
        </w:rPr>
        <w:t>“Parámetros Formulación Presupuesto 2016”</w:t>
      </w:r>
    </w:p>
    <w:p w14:paraId="35378643" w14:textId="77777777" w:rsidR="00902265" w:rsidRPr="00586109" w:rsidRDefault="00902265" w:rsidP="00902265">
      <w:pPr>
        <w:widowControl w:val="0"/>
        <w:rPr>
          <w:sz w:val="18"/>
          <w:szCs w:val="18"/>
        </w:rPr>
      </w:pPr>
    </w:p>
    <w:p w14:paraId="2E268CEF" w14:textId="77777777" w:rsidR="00902265" w:rsidRPr="00586109" w:rsidRDefault="00902265" w:rsidP="00902265">
      <w:pPr>
        <w:widowControl w:val="0"/>
        <w:ind w:left="284"/>
        <w:jc w:val="both"/>
        <w:rPr>
          <w:b/>
          <w:i/>
          <w:sz w:val="18"/>
          <w:szCs w:val="18"/>
        </w:rPr>
      </w:pPr>
      <w:r w:rsidRPr="00586109">
        <w:rPr>
          <w:b/>
          <w:i/>
          <w:sz w:val="18"/>
          <w:szCs w:val="18"/>
        </w:rPr>
        <w:t>1. Crecimiento máximo del presupuesto</w:t>
      </w:r>
    </w:p>
    <w:p w14:paraId="17F98970" w14:textId="77777777" w:rsidR="00902265" w:rsidRPr="00586109" w:rsidRDefault="00902265" w:rsidP="00902265">
      <w:pPr>
        <w:widowControl w:val="0"/>
        <w:ind w:left="284" w:hanging="284"/>
        <w:jc w:val="both"/>
        <w:rPr>
          <w:i/>
          <w:sz w:val="18"/>
          <w:szCs w:val="18"/>
        </w:rPr>
      </w:pPr>
    </w:p>
    <w:p w14:paraId="5B1A54A5" w14:textId="77777777" w:rsidR="00902265" w:rsidRPr="00586109" w:rsidRDefault="00902265" w:rsidP="00902265">
      <w:pPr>
        <w:widowControl w:val="0"/>
        <w:ind w:left="284"/>
        <w:jc w:val="both"/>
        <w:rPr>
          <w:i/>
          <w:sz w:val="18"/>
          <w:szCs w:val="18"/>
        </w:rPr>
      </w:pPr>
      <w:r w:rsidRPr="00586109">
        <w:rPr>
          <w:i/>
          <w:sz w:val="18"/>
          <w:szCs w:val="18"/>
        </w:rPr>
        <w:t>El crecimiento máximo del presupuesto de operación para el 2016, con respecto al presupuesto del 2015, excluidos los compromisos pendientes de pago y los salarios, será el límite inferior del rango de la meta de inflación, que se establezca para diciembre del 2016</w:t>
      </w:r>
      <w:r w:rsidRPr="00586109">
        <w:rPr>
          <w:i/>
          <w:sz w:val="18"/>
          <w:szCs w:val="18"/>
          <w:vertAlign w:val="superscript"/>
        </w:rPr>
        <w:footnoteReference w:id="7"/>
      </w:r>
      <w:r w:rsidRPr="00586109">
        <w:rPr>
          <w:i/>
          <w:sz w:val="18"/>
          <w:szCs w:val="18"/>
        </w:rPr>
        <w:t>, en la revisión del Programa Macroeconómico 2015-2016.</w:t>
      </w:r>
    </w:p>
    <w:p w14:paraId="1C2E184F" w14:textId="77777777" w:rsidR="00902265" w:rsidRPr="00586109" w:rsidRDefault="00902265" w:rsidP="00902265">
      <w:pPr>
        <w:widowControl w:val="0"/>
        <w:ind w:left="284" w:right="424" w:hanging="284"/>
        <w:jc w:val="both"/>
        <w:rPr>
          <w:sz w:val="18"/>
          <w:szCs w:val="18"/>
        </w:rPr>
      </w:pPr>
    </w:p>
    <w:p w14:paraId="2F67446D" w14:textId="77777777" w:rsidR="00902265" w:rsidRPr="00586109" w:rsidRDefault="00902265" w:rsidP="00902265">
      <w:pPr>
        <w:widowControl w:val="0"/>
        <w:ind w:left="284"/>
        <w:jc w:val="both"/>
        <w:rPr>
          <w:b/>
          <w:i/>
          <w:sz w:val="18"/>
          <w:szCs w:val="18"/>
        </w:rPr>
      </w:pPr>
      <w:r w:rsidRPr="00586109">
        <w:rPr>
          <w:b/>
          <w:i/>
          <w:sz w:val="18"/>
          <w:szCs w:val="18"/>
        </w:rPr>
        <w:t>2. Provisión para incrementos salariales.</w:t>
      </w:r>
    </w:p>
    <w:p w14:paraId="27B8C624" w14:textId="77777777" w:rsidR="00902265" w:rsidRPr="00586109" w:rsidRDefault="00902265" w:rsidP="00902265">
      <w:pPr>
        <w:widowControl w:val="0"/>
        <w:ind w:left="284" w:hanging="284"/>
        <w:jc w:val="both"/>
        <w:rPr>
          <w:i/>
          <w:sz w:val="18"/>
          <w:szCs w:val="18"/>
        </w:rPr>
      </w:pPr>
    </w:p>
    <w:p w14:paraId="769623EC" w14:textId="77777777" w:rsidR="00902265" w:rsidRPr="00586109" w:rsidRDefault="00902265" w:rsidP="00902265">
      <w:pPr>
        <w:widowControl w:val="0"/>
        <w:ind w:left="284"/>
        <w:jc w:val="both"/>
        <w:rPr>
          <w:i/>
          <w:sz w:val="18"/>
          <w:szCs w:val="18"/>
        </w:rPr>
      </w:pPr>
      <w:r w:rsidRPr="00586109">
        <w:rPr>
          <w:i/>
          <w:sz w:val="18"/>
          <w:szCs w:val="18"/>
        </w:rPr>
        <w:t>La provisión para el pago de incrementos salariales, será de 5.0%, fundamentada en la metodología establecida por el Departamento de Gestión del Recursos Humano.</w:t>
      </w:r>
    </w:p>
    <w:p w14:paraId="78ED148F" w14:textId="77777777" w:rsidR="00902265" w:rsidRPr="00586109" w:rsidRDefault="00902265" w:rsidP="00902265">
      <w:pPr>
        <w:widowControl w:val="0"/>
        <w:ind w:left="284" w:hanging="284"/>
        <w:jc w:val="both"/>
        <w:rPr>
          <w:i/>
          <w:sz w:val="18"/>
          <w:szCs w:val="18"/>
        </w:rPr>
      </w:pPr>
    </w:p>
    <w:p w14:paraId="3A3AADA8" w14:textId="77777777" w:rsidR="00902265" w:rsidRPr="00586109" w:rsidRDefault="00902265" w:rsidP="00902265">
      <w:pPr>
        <w:widowControl w:val="0"/>
        <w:ind w:left="284"/>
        <w:jc w:val="both"/>
        <w:rPr>
          <w:b/>
          <w:i/>
          <w:sz w:val="18"/>
          <w:szCs w:val="18"/>
        </w:rPr>
      </w:pPr>
      <w:r w:rsidRPr="00586109">
        <w:rPr>
          <w:b/>
          <w:i/>
          <w:sz w:val="18"/>
          <w:szCs w:val="18"/>
        </w:rPr>
        <w:t>3. Servicios Corporativos</w:t>
      </w:r>
    </w:p>
    <w:p w14:paraId="7824DBAC" w14:textId="77777777" w:rsidR="00902265" w:rsidRPr="00586109" w:rsidRDefault="00902265" w:rsidP="00902265">
      <w:pPr>
        <w:widowControl w:val="0"/>
        <w:ind w:left="284" w:hanging="284"/>
        <w:jc w:val="both"/>
        <w:rPr>
          <w:i/>
          <w:sz w:val="18"/>
          <w:szCs w:val="18"/>
        </w:rPr>
      </w:pPr>
    </w:p>
    <w:p w14:paraId="390C46ED" w14:textId="77777777" w:rsidR="00902265" w:rsidRPr="00586109" w:rsidRDefault="00902265" w:rsidP="00902265">
      <w:pPr>
        <w:widowControl w:val="0"/>
        <w:ind w:left="284"/>
        <w:jc w:val="both"/>
        <w:rPr>
          <w:i/>
          <w:sz w:val="18"/>
          <w:szCs w:val="18"/>
        </w:rPr>
      </w:pPr>
      <w:r w:rsidRPr="00586109">
        <w:rPr>
          <w:i/>
          <w:sz w:val="18"/>
          <w:szCs w:val="18"/>
        </w:rPr>
        <w:t>Cuando los Órganos de Desconcentración Máxima requieran servicios del Banco Central y se incluyan en el presupuesto del Banco los recursos necesarios para atender los servicios solicitados, esos Órganos no deberán incluir dentro de su propio presupuesto rubros que de alguna manera dupliquen esos costos.</w:t>
      </w:r>
    </w:p>
    <w:p w14:paraId="2709CC3D" w14:textId="77777777" w:rsidR="00902265" w:rsidRPr="00586109" w:rsidRDefault="00902265" w:rsidP="00902265">
      <w:pPr>
        <w:widowControl w:val="0"/>
        <w:ind w:left="284" w:hanging="284"/>
        <w:jc w:val="both"/>
        <w:rPr>
          <w:i/>
          <w:sz w:val="18"/>
          <w:szCs w:val="18"/>
        </w:rPr>
      </w:pPr>
    </w:p>
    <w:p w14:paraId="3DED0758" w14:textId="77777777" w:rsidR="00902265" w:rsidRPr="00586109" w:rsidRDefault="00902265" w:rsidP="00902265">
      <w:pPr>
        <w:widowControl w:val="0"/>
        <w:ind w:left="284"/>
        <w:jc w:val="both"/>
        <w:rPr>
          <w:b/>
          <w:i/>
          <w:sz w:val="18"/>
          <w:szCs w:val="18"/>
        </w:rPr>
      </w:pPr>
      <w:r w:rsidRPr="00586109">
        <w:rPr>
          <w:b/>
          <w:i/>
          <w:sz w:val="18"/>
          <w:szCs w:val="18"/>
        </w:rPr>
        <w:t>4.  Cumplimiento del marco regulatorio</w:t>
      </w:r>
    </w:p>
    <w:p w14:paraId="493F83E0" w14:textId="77777777" w:rsidR="00902265" w:rsidRPr="00586109" w:rsidRDefault="00902265" w:rsidP="00902265">
      <w:pPr>
        <w:suppressAutoHyphens/>
        <w:ind w:left="284" w:hanging="284"/>
        <w:jc w:val="both"/>
        <w:rPr>
          <w:i/>
          <w:sz w:val="18"/>
          <w:szCs w:val="18"/>
        </w:rPr>
      </w:pPr>
    </w:p>
    <w:p w14:paraId="24B2F81A" w14:textId="77777777" w:rsidR="00902265" w:rsidRPr="00586109" w:rsidRDefault="00902265" w:rsidP="00902265">
      <w:pPr>
        <w:suppressAutoHyphens/>
        <w:ind w:left="284"/>
        <w:jc w:val="both"/>
        <w:rPr>
          <w:i/>
          <w:sz w:val="18"/>
          <w:szCs w:val="18"/>
        </w:rPr>
      </w:pPr>
      <w:r w:rsidRPr="00586109">
        <w:rPr>
          <w:i/>
          <w:sz w:val="18"/>
          <w:szCs w:val="18"/>
        </w:rPr>
        <w:t>La formulación presupuestaria para el 2016 deberá realizarse acatando las políticas de alto nivel y las específicas, amparadas en el Gobierno Corporativo del Banco Central de Costa Rica, según su categoría presupuestaria: Presupuesto financiero, presupuesto de operación y presupuesto de inversión.</w:t>
      </w:r>
    </w:p>
    <w:p w14:paraId="00E4BB1E" w14:textId="77777777" w:rsidR="00902265" w:rsidRPr="00586109" w:rsidRDefault="00902265" w:rsidP="00902265">
      <w:pPr>
        <w:suppressAutoHyphens/>
        <w:jc w:val="both"/>
        <w:rPr>
          <w:i/>
          <w:sz w:val="20"/>
          <w:szCs w:val="20"/>
        </w:rPr>
      </w:pPr>
    </w:p>
    <w:p w14:paraId="61EB0DD1" w14:textId="77777777" w:rsidR="00902265" w:rsidRPr="00586109" w:rsidRDefault="00902265" w:rsidP="00902265">
      <w:pPr>
        <w:widowControl w:val="0"/>
        <w:jc w:val="both"/>
        <w:rPr>
          <w:sz w:val="20"/>
          <w:szCs w:val="20"/>
        </w:rPr>
      </w:pPr>
      <w:r w:rsidRPr="00586109">
        <w:rPr>
          <w:sz w:val="20"/>
          <w:szCs w:val="20"/>
        </w:rPr>
        <w:t>Atentamente,</w:t>
      </w:r>
    </w:p>
    <w:p w14:paraId="117DF34E" w14:textId="77777777" w:rsidR="00902265" w:rsidRPr="00586109" w:rsidRDefault="00902265" w:rsidP="00902265">
      <w:pPr>
        <w:widowControl w:val="0"/>
        <w:jc w:val="both"/>
        <w:rPr>
          <w:sz w:val="20"/>
          <w:szCs w:val="20"/>
        </w:rPr>
      </w:pPr>
      <w:r w:rsidRPr="00586109">
        <w:rPr>
          <w:noProof/>
          <w:sz w:val="20"/>
          <w:szCs w:val="20"/>
        </w:rPr>
        <w:drawing>
          <wp:anchor distT="0" distB="0" distL="114300" distR="114300" simplePos="0" relativeHeight="251719680" behindDoc="1" locked="0" layoutInCell="1" allowOverlap="1" wp14:anchorId="3FA93A09" wp14:editId="5A245032">
            <wp:simplePos x="0" y="0"/>
            <wp:positionH relativeFrom="column">
              <wp:posOffset>-194945</wp:posOffset>
            </wp:positionH>
            <wp:positionV relativeFrom="paragraph">
              <wp:posOffset>76835</wp:posOffset>
            </wp:positionV>
            <wp:extent cx="2052320" cy="318135"/>
            <wp:effectExtent l="0" t="0" r="5080" b="5715"/>
            <wp:wrapTight wrapText="bothSides">
              <wp:wrapPolygon edited="0">
                <wp:start x="0" y="0"/>
                <wp:lineTo x="0" y="20695"/>
                <wp:lineTo x="21453" y="20695"/>
                <wp:lineTo x="21453" y="0"/>
                <wp:lineTo x="0" y="0"/>
              </wp:wrapPolygon>
            </wp:wrapTight>
            <wp:docPr id="68" name="Imagen 68" descr="F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i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052320" cy="318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EBB740" w14:textId="77777777" w:rsidR="00902265" w:rsidRPr="00586109" w:rsidRDefault="00902265" w:rsidP="00902265">
      <w:pPr>
        <w:widowControl w:val="0"/>
        <w:jc w:val="both"/>
        <w:rPr>
          <w:sz w:val="20"/>
          <w:szCs w:val="20"/>
        </w:rPr>
      </w:pPr>
    </w:p>
    <w:p w14:paraId="18E1E9C5" w14:textId="77777777" w:rsidR="00902265" w:rsidRDefault="00902265" w:rsidP="00902265">
      <w:pPr>
        <w:widowControl w:val="0"/>
        <w:jc w:val="both"/>
        <w:rPr>
          <w:sz w:val="20"/>
          <w:szCs w:val="20"/>
        </w:rPr>
      </w:pPr>
    </w:p>
    <w:p w14:paraId="2DD1E40A" w14:textId="77777777" w:rsidR="00902265" w:rsidRPr="008713CB" w:rsidRDefault="00902265" w:rsidP="00902265">
      <w:pPr>
        <w:widowControl w:val="0"/>
        <w:jc w:val="both"/>
        <w:rPr>
          <w:sz w:val="10"/>
          <w:szCs w:val="20"/>
        </w:rPr>
      </w:pPr>
    </w:p>
    <w:p w14:paraId="68261352" w14:textId="77777777" w:rsidR="00902265" w:rsidRPr="00586109" w:rsidRDefault="00902265" w:rsidP="00902265">
      <w:pPr>
        <w:widowControl w:val="0"/>
        <w:ind w:left="567" w:hanging="567"/>
        <w:jc w:val="both"/>
        <w:rPr>
          <w:sz w:val="20"/>
          <w:szCs w:val="20"/>
        </w:rPr>
      </w:pPr>
      <w:r w:rsidRPr="00586109">
        <w:rPr>
          <w:sz w:val="20"/>
          <w:szCs w:val="20"/>
        </w:rPr>
        <w:t>Jorge Monge Bonilla</w:t>
      </w:r>
    </w:p>
    <w:p w14:paraId="17C019C4" w14:textId="77777777" w:rsidR="00902265" w:rsidRPr="00586109" w:rsidRDefault="00902265" w:rsidP="00902265">
      <w:pPr>
        <w:widowControl w:val="0"/>
        <w:ind w:left="567" w:hanging="567"/>
        <w:jc w:val="both"/>
        <w:rPr>
          <w:i/>
          <w:sz w:val="20"/>
          <w:szCs w:val="20"/>
        </w:rPr>
      </w:pPr>
      <w:r w:rsidRPr="00586109">
        <w:rPr>
          <w:i/>
          <w:sz w:val="20"/>
          <w:szCs w:val="20"/>
        </w:rPr>
        <w:t>Secretario General</w:t>
      </w:r>
    </w:p>
    <w:p w14:paraId="185D2A31" w14:textId="77777777" w:rsidR="00902265" w:rsidRPr="00A964FD" w:rsidRDefault="00902265" w:rsidP="005660D7">
      <w:pPr>
        <w:widowControl w:val="0"/>
        <w:jc w:val="both"/>
        <w:rPr>
          <w:sz w:val="22"/>
          <w:szCs w:val="22"/>
        </w:rPr>
      </w:pPr>
    </w:p>
    <w:p w14:paraId="0EB9DFC8" w14:textId="77777777" w:rsidR="00A964FD" w:rsidRPr="00B40191" w:rsidRDefault="00A964FD" w:rsidP="005660D7">
      <w:pPr>
        <w:widowControl w:val="0"/>
        <w:jc w:val="both"/>
        <w:rPr>
          <w:sz w:val="22"/>
          <w:szCs w:val="22"/>
          <w:lang w:val="es-CR"/>
        </w:rPr>
      </w:pPr>
    </w:p>
    <w:p w14:paraId="61A053ED" w14:textId="77777777" w:rsidR="00FC3212" w:rsidRDefault="00FC3212" w:rsidP="00FC3212">
      <w:pPr>
        <w:widowControl w:val="0"/>
        <w:jc w:val="both"/>
        <w:rPr>
          <w:sz w:val="20"/>
          <w:szCs w:val="20"/>
        </w:rPr>
      </w:pPr>
    </w:p>
    <w:p w14:paraId="7194F081" w14:textId="77777777" w:rsidR="00912D0F" w:rsidRDefault="00912D0F">
      <w:pPr>
        <w:rPr>
          <w:lang w:eastAsia="es-ES_tradnl"/>
        </w:rPr>
        <w:sectPr w:rsidR="00912D0F" w:rsidSect="00912D0F">
          <w:pgSz w:w="12242" w:h="15842" w:code="1"/>
          <w:pgMar w:top="1418" w:right="1701" w:bottom="1418" w:left="1701" w:header="709" w:footer="709" w:gutter="0"/>
          <w:cols w:space="708"/>
          <w:docGrid w:linePitch="360"/>
        </w:sectPr>
      </w:pPr>
    </w:p>
    <w:p w14:paraId="49BD380E" w14:textId="4D679DEF" w:rsidR="00D97F28" w:rsidRPr="001F39F3" w:rsidRDefault="00680446" w:rsidP="00912D0F">
      <w:pPr>
        <w:pStyle w:val="NormalWeb"/>
        <w:tabs>
          <w:tab w:val="left" w:pos="567"/>
        </w:tabs>
        <w:outlineLvl w:val="0"/>
        <w:rPr>
          <w:rFonts w:asciiTheme="majorHAnsi" w:hAnsiTheme="majorHAnsi" w:cs="Tahoma"/>
          <w:b/>
          <w:bCs/>
          <w:smallCaps/>
          <w:sz w:val="28"/>
        </w:rPr>
      </w:pPr>
      <w:bookmarkStart w:id="375" w:name="_Toc442253273"/>
      <w:r>
        <w:rPr>
          <w:rFonts w:asciiTheme="majorHAnsi" w:hAnsiTheme="majorHAnsi" w:cs="Tahoma"/>
          <w:b/>
          <w:bCs/>
          <w:smallCaps/>
          <w:sz w:val="28"/>
        </w:rPr>
        <w:lastRenderedPageBreak/>
        <w:t>8</w:t>
      </w:r>
      <w:r w:rsidR="00D97F28" w:rsidRPr="001F39F3">
        <w:rPr>
          <w:rFonts w:asciiTheme="majorHAnsi" w:hAnsiTheme="majorHAnsi" w:cs="Tahoma"/>
          <w:b/>
          <w:bCs/>
          <w:smallCaps/>
          <w:sz w:val="28"/>
        </w:rPr>
        <w:t xml:space="preserve">. </w:t>
      </w:r>
      <w:r w:rsidR="00D97F28" w:rsidRPr="001F39F3">
        <w:rPr>
          <w:rFonts w:asciiTheme="majorHAnsi" w:hAnsiTheme="majorHAnsi" w:cs="Tahoma"/>
          <w:b/>
          <w:bCs/>
          <w:smallCaps/>
          <w:sz w:val="28"/>
        </w:rPr>
        <w:tab/>
        <w:t>Certificación CGR</w:t>
      </w:r>
      <w:bookmarkEnd w:id="375"/>
    </w:p>
    <w:p w14:paraId="0C50567D" w14:textId="77777777" w:rsidR="00610A00" w:rsidRDefault="00610A00" w:rsidP="008210D1">
      <w:pPr>
        <w:jc w:val="center"/>
        <w:rPr>
          <w:lang w:eastAsia="es-ES_tradnl"/>
        </w:rPr>
      </w:pPr>
    </w:p>
    <w:p w14:paraId="04E4B026" w14:textId="14A1F9B4" w:rsidR="00912D0F" w:rsidRDefault="00C66912" w:rsidP="008210D1">
      <w:pPr>
        <w:jc w:val="center"/>
        <w:rPr>
          <w:lang w:eastAsia="es-ES_tradnl"/>
        </w:rPr>
      </w:pPr>
      <w:r>
        <w:rPr>
          <w:noProof/>
        </w:rPr>
        <w:drawing>
          <wp:inline distT="0" distB="0" distL="0" distR="0" wp14:anchorId="70F9CD91" wp14:editId="459632C8">
            <wp:extent cx="5613400" cy="5526405"/>
            <wp:effectExtent l="0" t="0" r="6350" b="0"/>
            <wp:docPr id="80449" name="Imagen 80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5613400" cy="5526405"/>
                    </a:xfrm>
                    <a:prstGeom prst="rect">
                      <a:avLst/>
                    </a:prstGeom>
                  </pic:spPr>
                </pic:pic>
              </a:graphicData>
            </a:graphic>
          </wp:inline>
        </w:drawing>
      </w:r>
    </w:p>
    <w:p w14:paraId="7AD14808" w14:textId="77777777" w:rsidR="00C34035" w:rsidRDefault="00C34035" w:rsidP="008210D1">
      <w:pPr>
        <w:jc w:val="center"/>
        <w:rPr>
          <w:lang w:eastAsia="es-ES_tradnl"/>
        </w:rPr>
      </w:pPr>
    </w:p>
    <w:p w14:paraId="688D0423" w14:textId="77777777" w:rsidR="00912D0F" w:rsidRDefault="00912D0F" w:rsidP="008210D1">
      <w:pPr>
        <w:pStyle w:val="NormalWeb"/>
        <w:tabs>
          <w:tab w:val="left" w:pos="567"/>
        </w:tabs>
        <w:outlineLvl w:val="0"/>
        <w:rPr>
          <w:rFonts w:asciiTheme="majorHAnsi" w:hAnsiTheme="majorHAnsi" w:cs="Tahoma"/>
          <w:b/>
          <w:bCs/>
          <w:smallCaps/>
          <w:sz w:val="28"/>
          <w:u w:val="single"/>
        </w:rPr>
        <w:sectPr w:rsidR="00912D0F" w:rsidSect="00912D0F">
          <w:pgSz w:w="12242" w:h="15842" w:code="1"/>
          <w:pgMar w:top="1418" w:right="1701" w:bottom="1418" w:left="1701" w:header="709" w:footer="709" w:gutter="0"/>
          <w:cols w:space="708"/>
          <w:docGrid w:linePitch="360"/>
        </w:sectPr>
      </w:pPr>
    </w:p>
    <w:p w14:paraId="1E6ABC74" w14:textId="1C1720A8" w:rsidR="008210D1" w:rsidRPr="004A2776" w:rsidRDefault="00975D90" w:rsidP="008210D1">
      <w:pPr>
        <w:pStyle w:val="NormalWeb"/>
        <w:tabs>
          <w:tab w:val="left" w:pos="567"/>
        </w:tabs>
        <w:outlineLvl w:val="0"/>
        <w:rPr>
          <w:rFonts w:asciiTheme="majorHAnsi" w:hAnsiTheme="majorHAnsi" w:cs="Tahoma"/>
          <w:b/>
          <w:bCs/>
          <w:smallCaps/>
          <w:sz w:val="28"/>
          <w:u w:val="single"/>
        </w:rPr>
      </w:pPr>
      <w:bookmarkStart w:id="376" w:name="_Toc442253274"/>
      <w:r>
        <w:rPr>
          <w:noProof/>
        </w:rPr>
        <w:lastRenderedPageBreak/>
        <w:drawing>
          <wp:anchor distT="0" distB="0" distL="114300" distR="114300" simplePos="0" relativeHeight="251699200" behindDoc="1" locked="0" layoutInCell="1" allowOverlap="1" wp14:anchorId="286363E2" wp14:editId="215A7118">
            <wp:simplePos x="0" y="0"/>
            <wp:positionH relativeFrom="column">
              <wp:posOffset>-300355</wp:posOffset>
            </wp:positionH>
            <wp:positionV relativeFrom="paragraph">
              <wp:posOffset>402590</wp:posOffset>
            </wp:positionV>
            <wp:extent cx="934085" cy="606425"/>
            <wp:effectExtent l="0" t="0" r="0" b="3175"/>
            <wp:wrapTight wrapText="bothSides">
              <wp:wrapPolygon edited="0">
                <wp:start x="0" y="0"/>
                <wp:lineTo x="0" y="21035"/>
                <wp:lineTo x="21145" y="21035"/>
                <wp:lineTo x="21145" y="0"/>
                <wp:lineTo x="0" y="0"/>
              </wp:wrapPolygon>
            </wp:wrapTight>
            <wp:docPr id="16" name="Imagen 16" descr="O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JO"/>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934085" cy="606425"/>
                    </a:xfrm>
                    <a:prstGeom prst="rect">
                      <a:avLst/>
                    </a:prstGeom>
                    <a:noFill/>
                  </pic:spPr>
                </pic:pic>
              </a:graphicData>
            </a:graphic>
            <wp14:sizeRelH relativeFrom="page">
              <wp14:pctWidth>0</wp14:pctWidth>
            </wp14:sizeRelH>
            <wp14:sizeRelV relativeFrom="page">
              <wp14:pctHeight>0</wp14:pctHeight>
            </wp14:sizeRelV>
          </wp:anchor>
        </w:drawing>
      </w:r>
      <w:r w:rsidR="00680446">
        <w:rPr>
          <w:rFonts w:asciiTheme="majorHAnsi" w:hAnsiTheme="majorHAnsi" w:cs="Tahoma"/>
          <w:b/>
          <w:bCs/>
          <w:smallCaps/>
          <w:sz w:val="28"/>
          <w:u w:val="single"/>
        </w:rPr>
        <w:t>9</w:t>
      </w:r>
      <w:r w:rsidR="008210D1">
        <w:rPr>
          <w:rFonts w:asciiTheme="majorHAnsi" w:hAnsiTheme="majorHAnsi" w:cs="Tahoma"/>
          <w:b/>
          <w:bCs/>
          <w:smallCaps/>
          <w:sz w:val="28"/>
          <w:u w:val="single"/>
        </w:rPr>
        <w:t xml:space="preserve">. </w:t>
      </w:r>
      <w:r w:rsidR="008210D1">
        <w:rPr>
          <w:rFonts w:asciiTheme="majorHAnsi" w:hAnsiTheme="majorHAnsi" w:cs="Tahoma"/>
          <w:b/>
          <w:bCs/>
          <w:smallCaps/>
          <w:sz w:val="28"/>
          <w:u w:val="single"/>
        </w:rPr>
        <w:tab/>
        <w:t>Certificación de requisitos de Presupuesto 201</w:t>
      </w:r>
      <w:r w:rsidR="00CD7871">
        <w:rPr>
          <w:rFonts w:asciiTheme="majorHAnsi" w:hAnsiTheme="majorHAnsi" w:cs="Tahoma"/>
          <w:b/>
          <w:bCs/>
          <w:smallCaps/>
          <w:sz w:val="28"/>
          <w:u w:val="single"/>
        </w:rPr>
        <w:t>6</w:t>
      </w:r>
      <w:bookmarkEnd w:id="376"/>
    </w:p>
    <w:p w14:paraId="7BD79E40" w14:textId="77777777" w:rsidR="00975D90" w:rsidRDefault="00975D90" w:rsidP="00975D90">
      <w:pPr>
        <w:rPr>
          <w:lang w:val="es-MX"/>
        </w:rPr>
      </w:pPr>
    </w:p>
    <w:p w14:paraId="20E13B00" w14:textId="77777777" w:rsidR="00912D0F" w:rsidRDefault="00912D0F" w:rsidP="00912D0F">
      <w:pPr>
        <w:pStyle w:val="Encabezado"/>
        <w:jc w:val="center"/>
        <w:rPr>
          <w:rFonts w:ascii="Arial" w:hAnsi="Arial"/>
          <w:b/>
          <w:smallCaps/>
          <w:noProof/>
          <w:sz w:val="28"/>
        </w:rPr>
      </w:pPr>
      <w:r w:rsidRPr="00CD7871">
        <w:rPr>
          <w:rFonts w:ascii="Arial" w:hAnsi="Arial"/>
          <w:b/>
          <w:smallCaps/>
          <w:noProof/>
          <w:sz w:val="28"/>
        </w:rPr>
        <w:t>División de Fiscalización Operativa y Evaluativa</w:t>
      </w:r>
    </w:p>
    <w:p w14:paraId="6C1CC0B2" w14:textId="314D669C" w:rsidR="00912D0F" w:rsidRDefault="00912D0F" w:rsidP="00975D90">
      <w:pPr>
        <w:rPr>
          <w:lang w:val="es-MX"/>
        </w:rPr>
      </w:pPr>
    </w:p>
    <w:p w14:paraId="4A7623EF" w14:textId="77777777" w:rsidR="00912D0F" w:rsidRDefault="00912D0F" w:rsidP="00975D90">
      <w:pPr>
        <w:rPr>
          <w:lang w:val="es-MX"/>
        </w:rPr>
      </w:pPr>
    </w:p>
    <w:p w14:paraId="25BEC466" w14:textId="77777777" w:rsidR="00E32F1D" w:rsidRDefault="00E32F1D" w:rsidP="00E32F1D">
      <w:pPr>
        <w:pStyle w:val="Ttulo10"/>
        <w:pBdr>
          <w:bottom w:val="single" w:sz="4" w:space="1" w:color="auto"/>
        </w:pBdr>
        <w:rPr>
          <w:rFonts w:ascii="Arial" w:hAnsi="Arial" w:cs="Arial"/>
          <w:bCs/>
          <w:sz w:val="24"/>
        </w:rPr>
      </w:pPr>
      <w:r>
        <w:rPr>
          <w:rFonts w:ascii="Arial" w:hAnsi="Arial" w:cs="Arial"/>
          <w:bCs/>
          <w:sz w:val="24"/>
        </w:rPr>
        <w:t>CERTIFICACIÓN DE VERIFICACIÓN DE REQUISITOS DEL BLOQUE DE</w:t>
      </w:r>
    </w:p>
    <w:p w14:paraId="22814404" w14:textId="77777777" w:rsidR="00E32F1D" w:rsidRDefault="00E32F1D" w:rsidP="00E32F1D">
      <w:pPr>
        <w:pStyle w:val="Ttulo10"/>
        <w:pBdr>
          <w:bottom w:val="single" w:sz="4" w:space="1" w:color="auto"/>
        </w:pBdr>
        <w:rPr>
          <w:rFonts w:ascii="Arial" w:hAnsi="Arial" w:cs="Arial"/>
          <w:bCs/>
          <w:sz w:val="24"/>
        </w:rPr>
      </w:pPr>
      <w:r>
        <w:rPr>
          <w:rFonts w:ascii="Arial" w:hAnsi="Arial" w:cs="Arial"/>
          <w:bCs/>
          <w:sz w:val="24"/>
        </w:rPr>
        <w:t xml:space="preserve"> LEGALIDAD QUE DEBEN CUMPLIR </w:t>
      </w:r>
      <w:r w:rsidRPr="00FD48D4">
        <w:rPr>
          <w:rFonts w:ascii="Arial" w:hAnsi="Arial" w:cs="Arial"/>
          <w:bCs/>
          <w:sz w:val="24"/>
        </w:rPr>
        <w:t>EL PRESUPUESTO INICIAL Y SUS VARIACIONES</w:t>
      </w:r>
      <w:r>
        <w:rPr>
          <w:rFonts w:ascii="Arial" w:hAnsi="Arial" w:cs="Arial"/>
          <w:bCs/>
          <w:sz w:val="24"/>
        </w:rPr>
        <w:t xml:space="preserve"> DE LOS ENTES Y ÓRGANOS SUJETOS A </w:t>
      </w:r>
      <w:smartTag w:uri="urn:schemas-microsoft-com:office:smarttags" w:element="PersonName">
        <w:smartTagPr>
          <w:attr w:name="ProductID" w:val="LA APROBACIￓN PRESUPUESTARIA"/>
        </w:smartTagPr>
        <w:r>
          <w:rPr>
            <w:rFonts w:ascii="Arial" w:hAnsi="Arial" w:cs="Arial"/>
            <w:bCs/>
            <w:sz w:val="24"/>
          </w:rPr>
          <w:t>LA APROBACIÓN PRESUPUESTARIA</w:t>
        </w:r>
      </w:smartTag>
      <w:r>
        <w:rPr>
          <w:rFonts w:ascii="Arial" w:hAnsi="Arial" w:cs="Arial"/>
          <w:bCs/>
          <w:sz w:val="24"/>
        </w:rPr>
        <w:t xml:space="preserve"> DE LA </w:t>
      </w:r>
    </w:p>
    <w:p w14:paraId="541B0174" w14:textId="77777777" w:rsidR="00E32F1D" w:rsidRDefault="00E32F1D" w:rsidP="00E32F1D">
      <w:pPr>
        <w:pStyle w:val="Ttulo10"/>
        <w:pBdr>
          <w:bottom w:val="single" w:sz="4" w:space="1" w:color="auto"/>
        </w:pBdr>
        <w:rPr>
          <w:rFonts w:ascii="Arial" w:hAnsi="Arial" w:cs="Arial"/>
          <w:bCs/>
          <w:sz w:val="24"/>
        </w:rPr>
      </w:pPr>
      <w:r>
        <w:rPr>
          <w:rFonts w:ascii="Arial" w:hAnsi="Arial" w:cs="Arial"/>
          <w:bCs/>
          <w:sz w:val="24"/>
        </w:rPr>
        <w:t xml:space="preserve">CONTRALORÍA GENERAL DE </w:t>
      </w:r>
      <w:smartTag w:uri="urn:schemas-microsoft-com:office:smarttags" w:element="PersonName">
        <w:smartTagPr>
          <w:attr w:name="ProductID" w:val="LA REPￚBLICA."/>
        </w:smartTagPr>
        <w:r>
          <w:rPr>
            <w:rFonts w:ascii="Arial" w:hAnsi="Arial" w:cs="Arial"/>
            <w:bCs/>
            <w:sz w:val="24"/>
          </w:rPr>
          <w:t>LA REPÚBLICA.</w:t>
        </w:r>
      </w:smartTag>
    </w:p>
    <w:p w14:paraId="2B139B3B" w14:textId="77777777" w:rsidR="00E32F1D" w:rsidRDefault="00E32F1D" w:rsidP="00E32F1D">
      <w:pPr>
        <w:pStyle w:val="Textoindependiente"/>
        <w:ind w:left="284"/>
        <w:rPr>
          <w:rFonts w:ascii="Arial" w:hAnsi="Arial" w:cs="Arial"/>
          <w:b/>
          <w:lang w:val="es-ES_tradnl"/>
        </w:rPr>
      </w:pPr>
    </w:p>
    <w:p w14:paraId="2A36E2FA" w14:textId="77777777" w:rsidR="00E32F1D" w:rsidRPr="006F6172" w:rsidRDefault="00E32F1D" w:rsidP="00E32F1D">
      <w:pPr>
        <w:spacing w:line="360" w:lineRule="auto"/>
        <w:jc w:val="both"/>
        <w:rPr>
          <w:rFonts w:ascii="Arial" w:hAnsi="Arial" w:cs="Arial"/>
          <w:b/>
          <w:lang w:val="es-ES_tradnl"/>
        </w:rPr>
      </w:pPr>
      <w:r w:rsidRPr="006F6172">
        <w:rPr>
          <w:rFonts w:ascii="Arial" w:hAnsi="Arial" w:cs="Arial"/>
          <w:b/>
          <w:lang w:val="es-ES_tradnl"/>
        </w:rPr>
        <w:t xml:space="preserve">Sujetos obligados a realizar la certificación y sus efectos legales: </w:t>
      </w:r>
      <w:r w:rsidRPr="006F6172">
        <w:rPr>
          <w:rFonts w:ascii="Arial" w:hAnsi="Arial" w:cs="Arial"/>
          <w:bCs/>
          <w:lang w:val="es-ES_tradnl"/>
        </w:rPr>
        <w:t xml:space="preserve">Esta certificación deberá ser completada y emitida bajo la entera responsabilidad del funcionario designado formalmente, por el jerarca superior o titular subordinado, como responsable del proceso de formulación presupuestaria, de conformidad con lo establecido en las Indicaciones para la formulación y remisión a </w:t>
      </w:r>
      <w:smartTag w:uri="urn:schemas-microsoft-com:office:smarttags" w:element="PersonName">
        <w:smartTagPr>
          <w:attr w:name="ProductID" w:val="la Contralor￭a General"/>
        </w:smartTagPr>
        <w:r w:rsidRPr="006F6172">
          <w:rPr>
            <w:rFonts w:ascii="Arial" w:hAnsi="Arial" w:cs="Arial"/>
            <w:bCs/>
            <w:lang w:val="es-ES_tradnl"/>
          </w:rPr>
          <w:t>la Contraloría General</w:t>
        </w:r>
      </w:smartTag>
      <w:r w:rsidRPr="006F6172">
        <w:rPr>
          <w:rFonts w:ascii="Arial" w:hAnsi="Arial" w:cs="Arial"/>
          <w:bCs/>
          <w:lang w:val="es-ES_tradnl"/>
        </w:rPr>
        <w:t xml:space="preserve"> de </w:t>
      </w:r>
      <w:smartTag w:uri="urn:schemas-microsoft-com:office:smarttags" w:element="PersonName">
        <w:smartTagPr>
          <w:attr w:name="ProductID" w:val="la Rep￺blica"/>
        </w:smartTagPr>
        <w:r w:rsidRPr="006F6172">
          <w:rPr>
            <w:rFonts w:ascii="Arial" w:hAnsi="Arial" w:cs="Arial"/>
            <w:bCs/>
            <w:lang w:val="es-ES_tradnl"/>
          </w:rPr>
          <w:t>la República</w:t>
        </w:r>
      </w:smartTag>
      <w:r w:rsidRPr="006F6172">
        <w:rPr>
          <w:rFonts w:ascii="Arial" w:hAnsi="Arial" w:cs="Arial"/>
          <w:bCs/>
          <w:lang w:val="es-ES_tradnl"/>
        </w:rPr>
        <w:t xml:space="preserve"> del presupuesto institucional</w:t>
      </w:r>
      <w:r w:rsidRPr="006F6172">
        <w:rPr>
          <w:rStyle w:val="Refdenotaalpie"/>
          <w:rFonts w:ascii="Arial" w:hAnsi="Arial" w:cs="Arial"/>
          <w:bCs/>
          <w:lang w:val="es-ES_tradnl"/>
        </w:rPr>
        <w:footnoteReference w:id="8"/>
      </w:r>
      <w:r w:rsidRPr="006F6172">
        <w:rPr>
          <w:rFonts w:ascii="Arial" w:hAnsi="Arial" w:cs="Arial"/>
          <w:bCs/>
          <w:lang w:val="es-ES_tradnl"/>
        </w:rPr>
        <w:t>.</w:t>
      </w:r>
    </w:p>
    <w:p w14:paraId="16AE61AC" w14:textId="77777777" w:rsidR="00E32F1D" w:rsidRPr="006F6172" w:rsidRDefault="00E32F1D" w:rsidP="00E32F1D">
      <w:pPr>
        <w:pStyle w:val="Textoindependiente"/>
        <w:spacing w:line="360" w:lineRule="auto"/>
        <w:jc w:val="both"/>
        <w:rPr>
          <w:rFonts w:ascii="Arial" w:hAnsi="Arial" w:cs="Arial"/>
          <w:bCs/>
          <w:lang w:val="es-ES_tradnl"/>
        </w:rPr>
      </w:pPr>
    </w:p>
    <w:p w14:paraId="3AE5B696" w14:textId="77777777" w:rsidR="00E32F1D" w:rsidRDefault="00E32F1D" w:rsidP="00E32F1D">
      <w:pPr>
        <w:pStyle w:val="Textoindependiente"/>
        <w:spacing w:line="360" w:lineRule="auto"/>
        <w:jc w:val="both"/>
        <w:rPr>
          <w:rFonts w:ascii="Arial" w:hAnsi="Arial" w:cs="Arial"/>
          <w:bCs/>
          <w:lang w:val="es-ES_tradnl"/>
        </w:rPr>
      </w:pPr>
      <w:r>
        <w:rPr>
          <w:rFonts w:ascii="Arial" w:hAnsi="Arial" w:cs="Arial"/>
          <w:bCs/>
          <w:lang w:val="es-ES_tradnl"/>
        </w:rPr>
        <w:t xml:space="preserve">El citado funcionario está en la obligación de conocer integralmente el proceso presupuestario de manera que se encuentre en condición de certificar cada ítem contenido en ella. Asimismo, deberá hacer las revisiones y verificaciones del caso para garantizar la veracidad de la información que se consigna en su certificación. El certificar datos o información que no sea veraz acarreará las responsabilidades y sanciones penales (artículos 359 y 360 del Código Penal), civiles y administrativas (previstas principalmente en </w:t>
      </w:r>
      <w:smartTag w:uri="urn:schemas-microsoft-com:office:smarttags" w:element="PersonName">
        <w:smartTagPr>
          <w:attr w:name="ProductID" w:val="la Ley"/>
        </w:smartTagPr>
        <w:r>
          <w:rPr>
            <w:rFonts w:ascii="Arial" w:hAnsi="Arial" w:cs="Arial"/>
            <w:bCs/>
            <w:lang w:val="es-ES_tradnl"/>
          </w:rPr>
          <w:t>la Ley</w:t>
        </w:r>
      </w:smartTag>
      <w:r>
        <w:rPr>
          <w:rFonts w:ascii="Arial" w:hAnsi="Arial" w:cs="Arial"/>
          <w:bCs/>
          <w:lang w:val="es-ES_tradnl"/>
        </w:rPr>
        <w:t xml:space="preserve"> de Administración Financiera de </w:t>
      </w:r>
      <w:smartTag w:uri="urn:schemas-microsoft-com:office:smarttags" w:element="PersonName">
        <w:smartTagPr>
          <w:attr w:name="ProductID" w:val="la Rep￺blica"/>
        </w:smartTagPr>
        <w:r>
          <w:rPr>
            <w:rFonts w:ascii="Arial" w:hAnsi="Arial" w:cs="Arial"/>
            <w:bCs/>
            <w:lang w:val="es-ES_tradnl"/>
          </w:rPr>
          <w:t>la República</w:t>
        </w:r>
      </w:smartTag>
      <w:r>
        <w:rPr>
          <w:rFonts w:ascii="Arial" w:hAnsi="Arial" w:cs="Arial"/>
          <w:bCs/>
          <w:lang w:val="es-ES_tradnl"/>
        </w:rPr>
        <w:t xml:space="preserve"> y Presupuestos Públicos No 8131 y </w:t>
      </w:r>
      <w:smartTag w:uri="urn:schemas-microsoft-com:office:smarttags" w:element="PersonName">
        <w:smartTagPr>
          <w:attr w:name="ProductID" w:val="la Ley General"/>
        </w:smartTagPr>
        <w:r>
          <w:rPr>
            <w:rFonts w:ascii="Arial" w:hAnsi="Arial" w:cs="Arial"/>
            <w:bCs/>
            <w:lang w:val="es-ES_tradnl"/>
          </w:rPr>
          <w:t>la Ley General</w:t>
        </w:r>
      </w:smartTag>
      <w:r>
        <w:rPr>
          <w:rFonts w:ascii="Arial" w:hAnsi="Arial" w:cs="Arial"/>
          <w:bCs/>
          <w:lang w:val="es-ES_tradnl"/>
        </w:rPr>
        <w:t xml:space="preserve"> de Control Interno No 8292).</w:t>
      </w:r>
    </w:p>
    <w:p w14:paraId="199A6DB0" w14:textId="77777777" w:rsidR="00E32F1D" w:rsidRDefault="00E32F1D" w:rsidP="00E32F1D">
      <w:pPr>
        <w:pStyle w:val="Textoindependiente"/>
        <w:spacing w:line="360" w:lineRule="auto"/>
        <w:jc w:val="both"/>
        <w:rPr>
          <w:rFonts w:ascii="Arial" w:hAnsi="Arial" w:cs="Arial"/>
          <w:bCs/>
          <w:lang w:val="es-ES_tradnl"/>
        </w:rPr>
      </w:pPr>
    </w:p>
    <w:p w14:paraId="546EC091" w14:textId="77777777" w:rsidR="00E32F1D" w:rsidRPr="00FC24A5" w:rsidRDefault="00E32F1D" w:rsidP="00E32F1D">
      <w:pPr>
        <w:pStyle w:val="Textoindependiente"/>
        <w:spacing w:line="360" w:lineRule="auto"/>
        <w:jc w:val="both"/>
        <w:rPr>
          <w:rFonts w:ascii="Arial" w:hAnsi="Arial" w:cs="Arial"/>
          <w:b/>
          <w:bCs/>
          <w:lang w:val="es-ES_tradnl"/>
        </w:rPr>
      </w:pPr>
      <w:r w:rsidRPr="00FC24A5">
        <w:rPr>
          <w:rFonts w:ascii="Arial" w:hAnsi="Arial" w:cs="Arial"/>
          <w:b/>
          <w:bCs/>
          <w:lang w:val="es-ES_tradnl"/>
        </w:rPr>
        <w:t>Indicaciones para el llenado de la certificación:</w:t>
      </w:r>
    </w:p>
    <w:p w14:paraId="37DE6D64" w14:textId="77777777" w:rsidR="00E32F1D" w:rsidRDefault="00E32F1D" w:rsidP="00E32F1D">
      <w:pPr>
        <w:pStyle w:val="Textoindependiente"/>
        <w:spacing w:line="360" w:lineRule="auto"/>
        <w:jc w:val="both"/>
        <w:rPr>
          <w:rFonts w:ascii="Arial" w:hAnsi="Arial" w:cs="Arial"/>
          <w:bCs/>
          <w:lang w:val="es-ES_tradnl"/>
        </w:rPr>
      </w:pPr>
    </w:p>
    <w:p w14:paraId="6B1772B0" w14:textId="77777777" w:rsidR="00E32F1D" w:rsidRDefault="00E32F1D" w:rsidP="00547B19">
      <w:pPr>
        <w:pStyle w:val="Textoindependiente"/>
        <w:widowControl/>
        <w:numPr>
          <w:ilvl w:val="0"/>
          <w:numId w:val="19"/>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363"/>
        <w:jc w:val="both"/>
        <w:textAlignment w:val="auto"/>
        <w:rPr>
          <w:rFonts w:ascii="Arial" w:hAnsi="Arial" w:cs="Arial"/>
          <w:bCs/>
          <w:lang w:val="es-ES_tradnl"/>
        </w:rPr>
      </w:pPr>
      <w:r>
        <w:rPr>
          <w:rFonts w:ascii="Arial" w:hAnsi="Arial" w:cs="Arial"/>
          <w:bCs/>
          <w:lang w:val="es-ES_tradnl"/>
        </w:rPr>
        <w:t>Debe marcarse con una equis (x) en la columna correspondiente de “</w:t>
      </w:r>
      <w:r w:rsidRPr="00B46881">
        <w:rPr>
          <w:rFonts w:ascii="Arial" w:hAnsi="Arial" w:cs="Arial"/>
          <w:bCs/>
          <w:i/>
          <w:lang w:val="es-ES_tradnl"/>
        </w:rPr>
        <w:t>SI</w:t>
      </w:r>
      <w:r>
        <w:rPr>
          <w:rFonts w:ascii="Arial" w:hAnsi="Arial" w:cs="Arial"/>
          <w:bCs/>
          <w:i/>
          <w:lang w:val="es-ES_tradnl"/>
        </w:rPr>
        <w:t>”</w:t>
      </w:r>
      <w:r w:rsidRPr="00B46881">
        <w:rPr>
          <w:rFonts w:ascii="Arial" w:hAnsi="Arial" w:cs="Arial"/>
          <w:bCs/>
          <w:i/>
          <w:lang w:val="es-ES_tradnl"/>
        </w:rPr>
        <w:t xml:space="preserve">, </w:t>
      </w:r>
      <w:r>
        <w:rPr>
          <w:rFonts w:ascii="Arial" w:hAnsi="Arial" w:cs="Arial"/>
          <w:bCs/>
          <w:i/>
          <w:lang w:val="es-ES_tradnl"/>
        </w:rPr>
        <w:t>“</w:t>
      </w:r>
      <w:r w:rsidRPr="00B46881">
        <w:rPr>
          <w:rFonts w:ascii="Arial" w:hAnsi="Arial" w:cs="Arial"/>
          <w:bCs/>
          <w:i/>
          <w:lang w:val="es-ES_tradnl"/>
        </w:rPr>
        <w:t>NO</w:t>
      </w:r>
      <w:r>
        <w:rPr>
          <w:rFonts w:ascii="Arial" w:hAnsi="Arial" w:cs="Arial"/>
          <w:bCs/>
          <w:i/>
          <w:lang w:val="es-ES_tradnl"/>
        </w:rPr>
        <w:t>”</w:t>
      </w:r>
      <w:r>
        <w:rPr>
          <w:rFonts w:ascii="Arial" w:hAnsi="Arial" w:cs="Arial"/>
          <w:bCs/>
          <w:lang w:val="es-ES_tradnl"/>
        </w:rPr>
        <w:t xml:space="preserve"> o  “</w:t>
      </w:r>
      <w:r w:rsidRPr="00B46881">
        <w:rPr>
          <w:rFonts w:ascii="Arial" w:hAnsi="Arial" w:cs="Arial"/>
          <w:bCs/>
          <w:i/>
          <w:lang w:val="es-ES_tradnl"/>
        </w:rPr>
        <w:t>NO APLICA</w:t>
      </w:r>
      <w:r>
        <w:rPr>
          <w:rFonts w:ascii="Arial" w:hAnsi="Arial" w:cs="Arial"/>
          <w:bCs/>
          <w:i/>
          <w:lang w:val="es-ES_tradnl"/>
        </w:rPr>
        <w:t>”</w:t>
      </w:r>
      <w:r>
        <w:rPr>
          <w:rFonts w:ascii="Arial" w:hAnsi="Arial" w:cs="Arial"/>
          <w:bCs/>
          <w:lang w:val="es-ES_tradnl"/>
        </w:rPr>
        <w:t xml:space="preserve"> cuando el funcionario que certifica ha verificado el cumplimiento fiel o no, del enunciado incluido en la columna de “</w:t>
      </w:r>
      <w:r w:rsidRPr="00B46881">
        <w:rPr>
          <w:rFonts w:ascii="Arial" w:hAnsi="Arial" w:cs="Arial"/>
          <w:bCs/>
          <w:i/>
          <w:lang w:val="es-ES_tradnl"/>
        </w:rPr>
        <w:t>Requisitos</w:t>
      </w:r>
      <w:r>
        <w:rPr>
          <w:rFonts w:ascii="Arial" w:hAnsi="Arial" w:cs="Arial"/>
          <w:bCs/>
          <w:i/>
          <w:lang w:val="es-ES_tradnl"/>
        </w:rPr>
        <w:t>”</w:t>
      </w:r>
      <w:r>
        <w:rPr>
          <w:rFonts w:ascii="Arial" w:hAnsi="Arial" w:cs="Arial"/>
          <w:bCs/>
          <w:lang w:val="es-ES_tradnl"/>
        </w:rPr>
        <w:t>.</w:t>
      </w:r>
    </w:p>
    <w:p w14:paraId="7D97B036" w14:textId="77777777" w:rsidR="00E32F1D" w:rsidRDefault="00E32F1D" w:rsidP="00E32F1D">
      <w:pPr>
        <w:pStyle w:val="Textoindependiente"/>
        <w:ind w:left="363"/>
        <w:jc w:val="both"/>
        <w:rPr>
          <w:rFonts w:ascii="Arial" w:hAnsi="Arial" w:cs="Arial"/>
          <w:bCs/>
          <w:lang w:val="es-ES_tradnl"/>
        </w:rPr>
      </w:pPr>
    </w:p>
    <w:p w14:paraId="3F500592" w14:textId="77777777" w:rsidR="00E32F1D" w:rsidRDefault="00E32F1D" w:rsidP="00547B19">
      <w:pPr>
        <w:pStyle w:val="Textoindependiente"/>
        <w:widowControl/>
        <w:numPr>
          <w:ilvl w:val="0"/>
          <w:numId w:val="19"/>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363"/>
        <w:jc w:val="both"/>
        <w:textAlignment w:val="auto"/>
        <w:rPr>
          <w:rFonts w:ascii="Arial" w:hAnsi="Arial" w:cs="Arial"/>
          <w:bCs/>
          <w:lang w:val="es-ES_tradnl"/>
        </w:rPr>
      </w:pPr>
      <w:r>
        <w:rPr>
          <w:rFonts w:ascii="Arial" w:hAnsi="Arial" w:cs="Arial"/>
          <w:bCs/>
          <w:lang w:val="es-ES_tradnl"/>
        </w:rPr>
        <w:lastRenderedPageBreak/>
        <w:t xml:space="preserve">En la columna de “Observaciones” debe incluirse una explicación amplia de las razones por las que se ha señalado que </w:t>
      </w:r>
      <w:r w:rsidRPr="00FC24A5">
        <w:rPr>
          <w:rFonts w:ascii="Arial" w:hAnsi="Arial" w:cs="Arial"/>
          <w:b/>
          <w:bCs/>
          <w:lang w:val="es-ES_tradnl"/>
        </w:rPr>
        <w:t xml:space="preserve">No se cumple </w:t>
      </w:r>
      <w:r>
        <w:rPr>
          <w:rFonts w:ascii="Arial" w:hAnsi="Arial" w:cs="Arial"/>
          <w:bCs/>
          <w:lang w:val="es-ES_tradnl"/>
        </w:rPr>
        <w:t xml:space="preserve">o </w:t>
      </w:r>
      <w:r w:rsidRPr="00FC24A5">
        <w:rPr>
          <w:rFonts w:ascii="Arial" w:hAnsi="Arial" w:cs="Arial"/>
          <w:b/>
          <w:bCs/>
          <w:lang w:val="es-ES_tradnl"/>
        </w:rPr>
        <w:t>No aplica</w:t>
      </w:r>
      <w:r>
        <w:rPr>
          <w:rFonts w:ascii="Arial" w:hAnsi="Arial" w:cs="Arial"/>
          <w:bCs/>
          <w:lang w:val="es-ES_tradnl"/>
        </w:rPr>
        <w:t xml:space="preserve"> el requisito señalado en el enunciado.</w:t>
      </w:r>
    </w:p>
    <w:p w14:paraId="7BF298EA" w14:textId="77777777" w:rsidR="00E32F1D" w:rsidRDefault="00E32F1D" w:rsidP="00E32F1D">
      <w:pPr>
        <w:pStyle w:val="Prrafodelista"/>
        <w:rPr>
          <w:rFonts w:cs="Arial"/>
          <w:bCs/>
          <w:lang w:val="es-ES_tradnl"/>
        </w:rPr>
      </w:pPr>
    </w:p>
    <w:p w14:paraId="24E131E9" w14:textId="2632EAFB" w:rsidR="00E32F1D" w:rsidRDefault="00E32F1D" w:rsidP="00547B19">
      <w:pPr>
        <w:pStyle w:val="Textoindependiente"/>
        <w:widowControl/>
        <w:numPr>
          <w:ilvl w:val="0"/>
          <w:numId w:val="19"/>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363"/>
        <w:jc w:val="both"/>
        <w:textAlignment w:val="auto"/>
        <w:rPr>
          <w:rFonts w:ascii="Arial" w:hAnsi="Arial" w:cs="Arial"/>
          <w:bCs/>
          <w:lang w:val="es-ES_tradnl"/>
        </w:rPr>
      </w:pPr>
      <w:r w:rsidRPr="00FC24A5">
        <w:rPr>
          <w:rFonts w:ascii="Arial" w:hAnsi="Arial" w:cs="Arial"/>
          <w:bCs/>
          <w:lang w:val="es-ES_tradnl"/>
        </w:rPr>
        <w:t xml:space="preserve">Esta lista </w:t>
      </w:r>
      <w:r>
        <w:rPr>
          <w:rFonts w:ascii="Arial" w:hAnsi="Arial" w:cs="Arial"/>
          <w:bCs/>
          <w:lang w:val="es-ES_tradnl"/>
        </w:rPr>
        <w:t xml:space="preserve">de requisitos </w:t>
      </w:r>
      <w:r w:rsidRPr="00FC24A5">
        <w:rPr>
          <w:rFonts w:ascii="Arial" w:hAnsi="Arial" w:cs="Arial"/>
          <w:bCs/>
          <w:lang w:val="es-ES_tradnl"/>
        </w:rPr>
        <w:t xml:space="preserve">deberá ser completada con todos aquellos otros de </w:t>
      </w:r>
      <w:r w:rsidR="006F6172" w:rsidRPr="00FC24A5">
        <w:rPr>
          <w:rFonts w:ascii="Arial" w:hAnsi="Arial" w:cs="Arial"/>
          <w:bCs/>
          <w:lang w:val="es-ES_tradnl"/>
        </w:rPr>
        <w:t>orden legal</w:t>
      </w:r>
      <w:r w:rsidR="006F6172">
        <w:rPr>
          <w:rFonts w:ascii="Arial" w:hAnsi="Arial" w:cs="Arial"/>
          <w:bCs/>
          <w:lang w:val="es-ES_tradnl"/>
        </w:rPr>
        <w:t xml:space="preserve">, </w:t>
      </w:r>
      <w:r w:rsidR="006F6172" w:rsidRPr="00FC24A5">
        <w:rPr>
          <w:rFonts w:ascii="Arial" w:hAnsi="Arial" w:cs="Arial"/>
          <w:bCs/>
          <w:lang w:val="es-ES_tradnl"/>
        </w:rPr>
        <w:t>específico y aplicable</w:t>
      </w:r>
      <w:r w:rsidRPr="00FC24A5">
        <w:rPr>
          <w:rFonts w:ascii="Arial" w:hAnsi="Arial" w:cs="Arial"/>
          <w:bCs/>
          <w:lang w:val="es-ES_tradnl"/>
        </w:rPr>
        <w:t xml:space="preserve"> a la entidad u órgano</w:t>
      </w:r>
      <w:r>
        <w:rPr>
          <w:rFonts w:ascii="Arial" w:hAnsi="Arial" w:cs="Arial"/>
          <w:bCs/>
          <w:lang w:val="es-ES_tradnl"/>
        </w:rPr>
        <w:t xml:space="preserve">, cuyo incumplimiento implique la </w:t>
      </w:r>
      <w:proofErr w:type="spellStart"/>
      <w:r>
        <w:rPr>
          <w:rFonts w:ascii="Arial" w:hAnsi="Arial" w:cs="Arial"/>
          <w:bCs/>
          <w:lang w:val="es-ES_tradnl"/>
        </w:rPr>
        <w:t>improbación</w:t>
      </w:r>
      <w:proofErr w:type="spellEnd"/>
      <w:r>
        <w:rPr>
          <w:rFonts w:ascii="Arial" w:hAnsi="Arial" w:cs="Arial"/>
          <w:bCs/>
          <w:lang w:val="es-ES_tradnl"/>
        </w:rPr>
        <w:t xml:space="preserve"> total del presupuesto o variación</w:t>
      </w:r>
      <w:r w:rsidRPr="00FC24A5">
        <w:rPr>
          <w:rFonts w:ascii="Arial" w:hAnsi="Arial" w:cs="Arial"/>
          <w:bCs/>
          <w:lang w:val="es-ES_tradnl"/>
        </w:rPr>
        <w:t>.</w:t>
      </w:r>
    </w:p>
    <w:p w14:paraId="6E447682" w14:textId="77777777" w:rsidR="00E32F1D" w:rsidRDefault="00E32F1D" w:rsidP="00E32F1D">
      <w:pPr>
        <w:pStyle w:val="Prrafodelista"/>
        <w:rPr>
          <w:rFonts w:cs="Arial"/>
          <w:bCs/>
          <w:lang w:val="es-ES_tradnl"/>
        </w:rPr>
      </w:pPr>
    </w:p>
    <w:p w14:paraId="53834246" w14:textId="77777777" w:rsidR="00E32F1D" w:rsidRPr="00FC24A5" w:rsidRDefault="00E32F1D" w:rsidP="00547B19">
      <w:pPr>
        <w:pStyle w:val="Textoindependiente"/>
        <w:widowControl/>
        <w:numPr>
          <w:ilvl w:val="0"/>
          <w:numId w:val="19"/>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363"/>
        <w:jc w:val="both"/>
        <w:textAlignment w:val="auto"/>
        <w:rPr>
          <w:rFonts w:ascii="Arial" w:hAnsi="Arial" w:cs="Arial"/>
          <w:bCs/>
          <w:lang w:val="es-ES_tradnl"/>
        </w:rPr>
      </w:pPr>
      <w:r>
        <w:rPr>
          <w:rFonts w:ascii="Arial" w:hAnsi="Arial" w:cs="Arial"/>
          <w:bCs/>
          <w:lang w:val="es-ES_tradnl"/>
        </w:rPr>
        <w:t xml:space="preserve">La certificación debe ser realizada y firmada previo al sometimiento del presupuesto inicial o su variación para la aprobación del Jerarca respectivo, a efecto de que este confirme que se ha verificado el cumplimiento del bloque de legalidad que corresponde, con excepción del punto N° 8 de esta certificación que debe ser completado una vez  que el Jerarca le dé la aprobación al documento presupuestario y previo al envío a la CGR.  </w:t>
      </w:r>
    </w:p>
    <w:p w14:paraId="6D926ABE" w14:textId="77777777" w:rsidR="00E32F1D" w:rsidRDefault="00E32F1D" w:rsidP="00E32F1D">
      <w:pPr>
        <w:pStyle w:val="Textoindependiente"/>
        <w:spacing w:line="360" w:lineRule="auto"/>
        <w:jc w:val="both"/>
        <w:rPr>
          <w:rFonts w:ascii="Arial" w:hAnsi="Arial" w:cs="Arial"/>
          <w:bCs/>
          <w:lang w:val="es-ES_tradnl"/>
        </w:rPr>
      </w:pPr>
    </w:p>
    <w:p w14:paraId="2515E9C5" w14:textId="77777777" w:rsidR="00E32F1D" w:rsidRDefault="00E32F1D" w:rsidP="00E32F1D">
      <w:pPr>
        <w:pStyle w:val="Ttulo10"/>
        <w:pBdr>
          <w:bottom w:val="single" w:sz="4" w:space="1" w:color="auto"/>
        </w:pBdr>
        <w:rPr>
          <w:rFonts w:ascii="Arial" w:hAnsi="Arial" w:cs="Arial"/>
          <w:bCs/>
          <w:sz w:val="24"/>
        </w:rPr>
      </w:pPr>
      <w:r>
        <w:rPr>
          <w:rFonts w:ascii="Arial" w:hAnsi="Arial" w:cs="Arial"/>
          <w:bCs/>
          <w:sz w:val="24"/>
        </w:rPr>
        <w:t xml:space="preserve">CERTIFICACIÓN DE VERIFICACIÓN DE REQUISITOS DEL BLOQUE DE LEGALIDAD QUE DEBE CUMPLIR EL PRESUPUESTO INICIAL Y SUS VARIACIONES DE LOS ENTES Y ÓRGANOS SUJETOS A </w:t>
      </w:r>
      <w:smartTag w:uri="urn:schemas-microsoft-com:office:smarttags" w:element="PersonName">
        <w:smartTagPr>
          <w:attr w:name="ProductID" w:val="LA APROBACIￓN PRESUPUESTARIA DE"/>
        </w:smartTagPr>
        <w:smartTag w:uri="urn:schemas-microsoft-com:office:smarttags" w:element="PersonName">
          <w:smartTagPr>
            <w:attr w:name="ProductID" w:val="LA APROBACIￓN PRESUPUESTARIA"/>
          </w:smartTagPr>
          <w:r>
            <w:rPr>
              <w:rFonts w:ascii="Arial" w:hAnsi="Arial" w:cs="Arial"/>
              <w:bCs/>
              <w:sz w:val="24"/>
            </w:rPr>
            <w:t>LA APROBACIÓN PRESUPUESTARIA</w:t>
          </w:r>
        </w:smartTag>
        <w:r>
          <w:rPr>
            <w:rFonts w:ascii="Arial" w:hAnsi="Arial" w:cs="Arial"/>
            <w:bCs/>
            <w:sz w:val="24"/>
          </w:rPr>
          <w:t xml:space="preserve"> DE</w:t>
        </w:r>
      </w:smartTag>
      <w:r>
        <w:rPr>
          <w:rFonts w:ascii="Arial" w:hAnsi="Arial" w:cs="Arial"/>
          <w:bCs/>
          <w:sz w:val="24"/>
        </w:rPr>
        <w:t xml:space="preserve"> </w:t>
      </w:r>
      <w:smartTag w:uri="urn:schemas-microsoft-com:office:smarttags" w:element="PersonName">
        <w:smartTagPr>
          <w:attr w:name="ProductID" w:val="LA CONTRALORￍA GENERAL DE"/>
        </w:smartTagPr>
        <w:smartTag w:uri="urn:schemas-microsoft-com:office:smarttags" w:element="PersonName">
          <w:smartTagPr>
            <w:attr w:name="ProductID" w:val="LA CONTRALORￍA GENERAL"/>
          </w:smartTagPr>
          <w:r>
            <w:rPr>
              <w:rFonts w:ascii="Arial" w:hAnsi="Arial" w:cs="Arial"/>
              <w:bCs/>
              <w:sz w:val="24"/>
            </w:rPr>
            <w:t>LA CONTRALORÍA GENERAL</w:t>
          </w:r>
        </w:smartTag>
        <w:r>
          <w:rPr>
            <w:rFonts w:ascii="Arial" w:hAnsi="Arial" w:cs="Arial"/>
            <w:bCs/>
            <w:sz w:val="24"/>
          </w:rPr>
          <w:t xml:space="preserve"> DE</w:t>
        </w:r>
      </w:smartTag>
      <w:r>
        <w:rPr>
          <w:rFonts w:ascii="Arial" w:hAnsi="Arial" w:cs="Arial"/>
          <w:bCs/>
          <w:sz w:val="24"/>
        </w:rPr>
        <w:t xml:space="preserve"> </w:t>
      </w:r>
      <w:smartTag w:uri="urn:schemas-microsoft-com:office:smarttags" w:element="PersonName">
        <w:smartTagPr>
          <w:attr w:name="ProductID" w:val="LA REPￚBLICA."/>
        </w:smartTagPr>
        <w:r>
          <w:rPr>
            <w:rFonts w:ascii="Arial" w:hAnsi="Arial" w:cs="Arial"/>
            <w:bCs/>
            <w:sz w:val="24"/>
          </w:rPr>
          <w:t>LA REPÚBLICA.</w:t>
        </w:r>
      </w:smartTag>
    </w:p>
    <w:p w14:paraId="54B5F006" w14:textId="77777777" w:rsidR="00E32F1D" w:rsidRDefault="00E32F1D" w:rsidP="00E32F1D">
      <w:pPr>
        <w:pStyle w:val="Ttulo10"/>
        <w:pBdr>
          <w:bottom w:val="single" w:sz="4" w:space="1" w:color="auto"/>
        </w:pBdr>
        <w:rPr>
          <w:rFonts w:ascii="Arial" w:hAnsi="Arial" w:cs="Arial"/>
          <w:b w:val="0"/>
          <w:sz w:val="24"/>
        </w:rPr>
      </w:pPr>
    </w:p>
    <w:p w14:paraId="62C5FEA1" w14:textId="77777777" w:rsidR="00E32F1D" w:rsidRDefault="00E32F1D" w:rsidP="00E32F1D">
      <w:pPr>
        <w:pStyle w:val="Textoindependiente"/>
        <w:ind w:left="284"/>
        <w:rPr>
          <w:rFonts w:ascii="Arial" w:hAnsi="Arial" w:cs="Arial"/>
          <w:b/>
          <w:lang w:val="es-ES_tradnl"/>
        </w:rPr>
      </w:pPr>
    </w:p>
    <w:p w14:paraId="60C64845" w14:textId="77777777" w:rsidR="00E32F1D" w:rsidRDefault="00E32F1D" w:rsidP="00E32F1D">
      <w:pPr>
        <w:pStyle w:val="Textoindependiente"/>
        <w:ind w:firstLine="284"/>
        <w:jc w:val="both"/>
        <w:rPr>
          <w:rFonts w:ascii="Arial" w:hAnsi="Arial" w:cs="Arial"/>
          <w:sz w:val="22"/>
        </w:rPr>
      </w:pPr>
      <w:r>
        <w:rPr>
          <w:rFonts w:ascii="Arial" w:hAnsi="Arial" w:cs="Arial"/>
          <w:sz w:val="22"/>
        </w:rPr>
        <w:t xml:space="preserve">El </w:t>
      </w:r>
      <w:r w:rsidRPr="005F7A0D">
        <w:rPr>
          <w:rFonts w:ascii="Arial" w:hAnsi="Arial" w:cs="Arial"/>
          <w:bCs/>
          <w:sz w:val="22"/>
        </w:rPr>
        <w:t xml:space="preserve">suscrito, </w:t>
      </w:r>
      <w:r w:rsidRPr="005F7A0D">
        <w:rPr>
          <w:rFonts w:ascii="Arial" w:hAnsi="Arial" w:cs="Arial"/>
          <w:b/>
          <w:bCs/>
          <w:sz w:val="22"/>
          <w:u w:val="single"/>
        </w:rPr>
        <w:t>Álvaro Ramos Chaves</w:t>
      </w:r>
      <w:r w:rsidRPr="005F7A0D">
        <w:rPr>
          <w:rFonts w:ascii="Arial" w:hAnsi="Arial" w:cs="Arial"/>
          <w:bCs/>
          <w:sz w:val="22"/>
        </w:rPr>
        <w:t>, mayor, casado una vez, portador de la cédula de identidad número uno-mil ciento noventa y dos – ciento sesenta y cinco, Economista, vecino de Escazú, San José, en su condición de Superintendente de Pensiones,</w:t>
      </w:r>
      <w:r>
        <w:rPr>
          <w:rFonts w:ascii="Arial" w:hAnsi="Arial" w:cs="Arial"/>
          <w:bCs/>
          <w:sz w:val="22"/>
        </w:rPr>
        <w:t xml:space="preserve"> </w:t>
      </w:r>
      <w:r>
        <w:rPr>
          <w:rFonts w:ascii="Arial" w:hAnsi="Arial" w:cs="Arial"/>
          <w:sz w:val="22"/>
        </w:rPr>
        <w:t xml:space="preserve">responsable del </w:t>
      </w:r>
      <w:r w:rsidRPr="005F0F08">
        <w:rPr>
          <w:rFonts w:ascii="Arial" w:hAnsi="Arial" w:cs="Arial"/>
          <w:sz w:val="22"/>
        </w:rPr>
        <w:t xml:space="preserve">proceso de </w:t>
      </w:r>
      <w:r w:rsidRPr="009B491E">
        <w:rPr>
          <w:rFonts w:ascii="Arial" w:hAnsi="Arial" w:cs="Arial"/>
          <w:sz w:val="22"/>
        </w:rPr>
        <w:t>formulación del presupuesto 201</w:t>
      </w:r>
      <w:r>
        <w:rPr>
          <w:rFonts w:ascii="Arial" w:hAnsi="Arial" w:cs="Arial"/>
          <w:sz w:val="22"/>
        </w:rPr>
        <w:t>6</w:t>
      </w:r>
      <w:r w:rsidRPr="009B491E">
        <w:rPr>
          <w:rFonts w:ascii="Arial" w:hAnsi="Arial" w:cs="Arial"/>
          <w:sz w:val="22"/>
        </w:rPr>
        <w:t xml:space="preserve"> de la</w:t>
      </w:r>
      <w:r>
        <w:rPr>
          <w:rFonts w:ascii="Arial" w:hAnsi="Arial" w:cs="Arial"/>
          <w:b/>
          <w:bCs/>
          <w:sz w:val="22"/>
        </w:rPr>
        <w:t xml:space="preserve"> Superintendencia de Pensiones, </w:t>
      </w:r>
      <w:r>
        <w:rPr>
          <w:rFonts w:ascii="Arial" w:hAnsi="Arial" w:cs="Arial"/>
          <w:sz w:val="22"/>
        </w:rPr>
        <w:t xml:space="preserve">designado por el Consejo Nacional de Supervisión del Sistema Financiero, </w:t>
      </w:r>
      <w:r w:rsidRPr="005F7A0D">
        <w:rPr>
          <w:rFonts w:ascii="Arial" w:hAnsi="Arial" w:cs="Arial"/>
          <w:bCs/>
          <w:sz w:val="22"/>
        </w:rPr>
        <w:t>según Acuerdo de Nombramiento del Consejo Nacional de Supervisión del Sistema Financiero que consta en el numeral uno del artículo cinco del Acta de la Sesión Número 1169-2015 del 25 de mayo de 2015</w:t>
      </w:r>
      <w:r>
        <w:rPr>
          <w:rFonts w:ascii="Arial" w:hAnsi="Arial" w:cs="Arial"/>
          <w:sz w:val="22"/>
        </w:rPr>
        <w:t>, por este medio certifico, con conocimiento de las responsabilidades penales, civiles y administrativas que me pueda el certificar información no veraz, que he revisado todos los aspectos contemplados a continuación y que son fidedignos.</w:t>
      </w:r>
    </w:p>
    <w:p w14:paraId="31CF5A7B" w14:textId="77777777" w:rsidR="00E32F1D" w:rsidRDefault="00E32F1D" w:rsidP="00E32F1D">
      <w:pPr>
        <w:pStyle w:val="Ttulo10"/>
        <w:spacing w:line="360" w:lineRule="auto"/>
        <w:ind w:left="567"/>
        <w:jc w:val="left"/>
        <w:rPr>
          <w:rFonts w:ascii="Arial" w:hAnsi="Arial"/>
          <w:sz w:val="20"/>
          <w:lang w:val="es-CR"/>
        </w:rPr>
      </w:pPr>
    </w:p>
    <w:p w14:paraId="7ACEEB3C" w14:textId="77777777" w:rsidR="00E32F1D" w:rsidRDefault="00E32F1D" w:rsidP="00E32F1D">
      <w:pPr>
        <w:pStyle w:val="Ttulo10"/>
        <w:jc w:val="both"/>
        <w:rPr>
          <w:rFonts w:ascii="Arial" w:hAnsi="Arial"/>
          <w:sz w:val="22"/>
          <w:lang w:val="es-CR"/>
        </w:rPr>
      </w:pPr>
      <w:r w:rsidRPr="004433FE">
        <w:rPr>
          <w:rFonts w:ascii="Arial" w:hAnsi="Arial"/>
          <w:sz w:val="22"/>
          <w:lang w:val="es-CR"/>
        </w:rPr>
        <w:t xml:space="preserve">Requisitos del bloque de legalidad que en caso de incumplimiento debe darse la </w:t>
      </w:r>
      <w:proofErr w:type="spellStart"/>
      <w:r w:rsidRPr="004433FE">
        <w:rPr>
          <w:rFonts w:ascii="Arial" w:hAnsi="Arial"/>
          <w:sz w:val="22"/>
          <w:lang w:val="es-CR"/>
        </w:rPr>
        <w:t>improbación</w:t>
      </w:r>
      <w:proofErr w:type="spellEnd"/>
      <w:r w:rsidRPr="004433FE">
        <w:rPr>
          <w:rFonts w:ascii="Arial" w:hAnsi="Arial"/>
          <w:sz w:val="22"/>
          <w:lang w:val="es-CR"/>
        </w:rPr>
        <w:t xml:space="preserve"> o devolución sin trámite según corresponda</w:t>
      </w:r>
      <w:r w:rsidRPr="004433FE">
        <w:rPr>
          <w:rStyle w:val="Refdenotaalpie"/>
          <w:rFonts w:ascii="Arial" w:hAnsi="Arial"/>
          <w:sz w:val="22"/>
          <w:lang w:val="es-CR"/>
        </w:rPr>
        <w:footnoteReference w:id="9"/>
      </w:r>
      <w:r w:rsidRPr="004433FE">
        <w:rPr>
          <w:rFonts w:ascii="Arial" w:hAnsi="Arial"/>
          <w:sz w:val="22"/>
          <w:lang w:val="es-CR"/>
        </w:rPr>
        <w:t xml:space="preserve">, del presupuesto inicial o sus variaciones, por parte de </w:t>
      </w:r>
      <w:smartTag w:uri="urn:schemas-microsoft-com:office:smarttags" w:element="PersonName">
        <w:smartTagPr>
          <w:attr w:name="ProductID" w:val="la Contralor￭a General"/>
        </w:smartTagPr>
        <w:r w:rsidRPr="004433FE">
          <w:rPr>
            <w:rFonts w:ascii="Arial" w:hAnsi="Arial"/>
            <w:sz w:val="22"/>
            <w:lang w:val="es-CR"/>
          </w:rPr>
          <w:t>la Contraloría General</w:t>
        </w:r>
      </w:smartTag>
      <w:r w:rsidRPr="004433FE">
        <w:rPr>
          <w:rFonts w:ascii="Arial" w:hAnsi="Arial"/>
          <w:sz w:val="22"/>
          <w:lang w:val="es-CR"/>
        </w:rPr>
        <w:t xml:space="preserve"> de </w:t>
      </w:r>
      <w:smartTag w:uri="urn:schemas-microsoft-com:office:smarttags" w:element="PersonName">
        <w:smartTagPr>
          <w:attr w:name="ProductID" w:val="LA REPￚBLICA."/>
        </w:smartTagPr>
        <w:r w:rsidRPr="004433FE">
          <w:rPr>
            <w:rFonts w:ascii="Arial" w:hAnsi="Arial"/>
            <w:sz w:val="22"/>
            <w:lang w:val="es-CR"/>
          </w:rPr>
          <w:t>la República.</w:t>
        </w:r>
      </w:smartTag>
      <w:r w:rsidRPr="004433FE">
        <w:rPr>
          <w:rFonts w:ascii="Arial" w:hAnsi="Arial"/>
          <w:sz w:val="22"/>
          <w:lang w:val="es-CR"/>
        </w:rPr>
        <w:t xml:space="preserve"> </w:t>
      </w:r>
    </w:p>
    <w:p w14:paraId="6F2352BB" w14:textId="77777777" w:rsidR="00E32F1D" w:rsidRPr="004433FE" w:rsidRDefault="00E32F1D" w:rsidP="00E32F1D">
      <w:pPr>
        <w:pStyle w:val="Ttulo10"/>
        <w:jc w:val="both"/>
        <w:rPr>
          <w:rFonts w:ascii="Arial" w:hAnsi="Arial"/>
          <w:sz w:val="22"/>
          <w:lang w:val="es-CR"/>
        </w:rPr>
      </w:pPr>
    </w:p>
    <w:p w14:paraId="3929CC8A" w14:textId="77777777" w:rsidR="00E32F1D" w:rsidRDefault="00E32F1D" w:rsidP="00E32F1D">
      <w:pPr>
        <w:pStyle w:val="Ttulo10"/>
        <w:ind w:left="567"/>
        <w:jc w:val="left"/>
        <w:rPr>
          <w:rFonts w:ascii="Arial" w:hAnsi="Arial"/>
          <w:sz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1"/>
        <w:gridCol w:w="710"/>
        <w:gridCol w:w="709"/>
        <w:gridCol w:w="852"/>
        <w:gridCol w:w="1701"/>
      </w:tblGrid>
      <w:tr w:rsidR="00E32F1D" w14:paraId="74B60727" w14:textId="77777777" w:rsidTr="007C372E">
        <w:trPr>
          <w:tblHeader/>
        </w:trPr>
        <w:tc>
          <w:tcPr>
            <w:tcW w:w="5951" w:type="dxa"/>
            <w:shd w:val="clear" w:color="auto" w:fill="DEEAF6"/>
            <w:vAlign w:val="center"/>
          </w:tcPr>
          <w:p w14:paraId="1398A6AC" w14:textId="77777777" w:rsidR="00E32F1D" w:rsidRDefault="00E32F1D" w:rsidP="007C372E">
            <w:pPr>
              <w:spacing w:line="360" w:lineRule="auto"/>
              <w:jc w:val="center"/>
              <w:rPr>
                <w:rFonts w:cs="Arial"/>
                <w:b/>
                <w:bCs/>
                <w:sz w:val="20"/>
                <w:lang w:val="es-MX"/>
              </w:rPr>
            </w:pPr>
            <w:r>
              <w:rPr>
                <w:rFonts w:cs="Arial"/>
                <w:b/>
                <w:bCs/>
                <w:sz w:val="20"/>
                <w:lang w:val="es-MX"/>
              </w:rPr>
              <w:t>REQUISITOS</w:t>
            </w:r>
            <w:r>
              <w:rPr>
                <w:rStyle w:val="Refdenotaalpie"/>
                <w:rFonts w:cs="Arial"/>
                <w:sz w:val="20"/>
                <w:lang w:val="es-MX"/>
              </w:rPr>
              <w:footnoteReference w:id="10"/>
            </w:r>
          </w:p>
        </w:tc>
        <w:tc>
          <w:tcPr>
            <w:tcW w:w="710" w:type="dxa"/>
            <w:shd w:val="clear" w:color="auto" w:fill="DEEAF6"/>
            <w:vAlign w:val="center"/>
          </w:tcPr>
          <w:p w14:paraId="623ED479" w14:textId="77777777" w:rsidR="00E32F1D" w:rsidRDefault="00E32F1D" w:rsidP="007C372E">
            <w:pPr>
              <w:pStyle w:val="Ttulo10"/>
              <w:spacing w:line="360" w:lineRule="auto"/>
              <w:rPr>
                <w:rFonts w:ascii="Arial" w:hAnsi="Arial" w:cs="Arial"/>
                <w:bCs/>
                <w:sz w:val="20"/>
                <w:lang w:val="es-MX" w:eastAsia="en-US"/>
              </w:rPr>
            </w:pPr>
            <w:r>
              <w:rPr>
                <w:rFonts w:ascii="Arial" w:hAnsi="Arial" w:cs="Arial"/>
                <w:bCs/>
                <w:sz w:val="20"/>
                <w:lang w:val="es-MX" w:eastAsia="en-US"/>
              </w:rPr>
              <w:t>SI</w:t>
            </w:r>
          </w:p>
        </w:tc>
        <w:tc>
          <w:tcPr>
            <w:tcW w:w="709" w:type="dxa"/>
            <w:shd w:val="clear" w:color="auto" w:fill="DEEAF6"/>
            <w:vAlign w:val="center"/>
          </w:tcPr>
          <w:p w14:paraId="1F6A0472" w14:textId="77777777" w:rsidR="00E32F1D" w:rsidRDefault="00E32F1D" w:rsidP="007C372E">
            <w:pPr>
              <w:pStyle w:val="Ttulo10"/>
              <w:spacing w:line="360" w:lineRule="auto"/>
              <w:rPr>
                <w:rFonts w:ascii="Arial" w:hAnsi="Arial" w:cs="Arial"/>
                <w:bCs/>
                <w:sz w:val="20"/>
                <w:lang w:val="es-MX" w:eastAsia="en-US"/>
              </w:rPr>
            </w:pPr>
            <w:r>
              <w:rPr>
                <w:rFonts w:ascii="Arial" w:hAnsi="Arial" w:cs="Arial"/>
                <w:bCs/>
                <w:sz w:val="20"/>
                <w:lang w:val="es-MX" w:eastAsia="en-US"/>
              </w:rPr>
              <w:t>NO</w:t>
            </w:r>
          </w:p>
        </w:tc>
        <w:tc>
          <w:tcPr>
            <w:tcW w:w="852" w:type="dxa"/>
            <w:shd w:val="clear" w:color="auto" w:fill="DEEAF6"/>
            <w:vAlign w:val="center"/>
          </w:tcPr>
          <w:p w14:paraId="41393EC3" w14:textId="77777777" w:rsidR="00E32F1D" w:rsidRDefault="00E32F1D" w:rsidP="007C372E">
            <w:pPr>
              <w:pStyle w:val="Ttulo10"/>
              <w:spacing w:line="360" w:lineRule="auto"/>
              <w:rPr>
                <w:rFonts w:ascii="Arial" w:hAnsi="Arial" w:cs="Arial"/>
                <w:bCs/>
                <w:sz w:val="18"/>
                <w:lang w:val="es-MX" w:eastAsia="en-US"/>
              </w:rPr>
            </w:pPr>
            <w:r>
              <w:rPr>
                <w:rFonts w:ascii="Arial" w:hAnsi="Arial" w:cs="Arial"/>
                <w:bCs/>
                <w:sz w:val="18"/>
                <w:lang w:val="es-MX" w:eastAsia="en-US"/>
              </w:rPr>
              <w:t>NO APLICA</w:t>
            </w:r>
          </w:p>
        </w:tc>
        <w:tc>
          <w:tcPr>
            <w:tcW w:w="1701" w:type="dxa"/>
            <w:shd w:val="clear" w:color="auto" w:fill="DEEAF6"/>
            <w:vAlign w:val="center"/>
          </w:tcPr>
          <w:p w14:paraId="4C29A544" w14:textId="77777777" w:rsidR="00E32F1D" w:rsidRDefault="00E32F1D" w:rsidP="007C372E">
            <w:pPr>
              <w:pStyle w:val="Ttulo10"/>
              <w:spacing w:line="360" w:lineRule="auto"/>
              <w:rPr>
                <w:rFonts w:ascii="Arial" w:hAnsi="Arial" w:cs="Arial"/>
                <w:bCs/>
                <w:sz w:val="20"/>
                <w:lang w:val="es-MX" w:eastAsia="en-US"/>
              </w:rPr>
            </w:pPr>
            <w:r>
              <w:rPr>
                <w:rFonts w:ascii="Arial" w:hAnsi="Arial" w:cs="Arial"/>
                <w:bCs/>
                <w:sz w:val="20"/>
                <w:lang w:val="es-MX" w:eastAsia="en-US"/>
              </w:rPr>
              <w:t>Observaciones</w:t>
            </w:r>
          </w:p>
        </w:tc>
      </w:tr>
      <w:tr w:rsidR="00E32F1D" w14:paraId="6D61B821" w14:textId="77777777" w:rsidTr="007C372E">
        <w:tc>
          <w:tcPr>
            <w:tcW w:w="5951" w:type="dxa"/>
          </w:tcPr>
          <w:p w14:paraId="063D6120" w14:textId="77777777" w:rsidR="00E32F1D" w:rsidRPr="004F034C" w:rsidRDefault="00E32F1D" w:rsidP="00547B19">
            <w:pPr>
              <w:numPr>
                <w:ilvl w:val="0"/>
                <w:numId w:val="18"/>
              </w:numPr>
              <w:tabs>
                <w:tab w:val="clear" w:pos="720"/>
              </w:tabs>
              <w:autoSpaceDE w:val="0"/>
              <w:autoSpaceDN w:val="0"/>
              <w:adjustRightInd w:val="0"/>
              <w:ind w:left="356" w:hanging="356"/>
              <w:jc w:val="both"/>
              <w:rPr>
                <w:rFonts w:ascii="Helvetica" w:hAnsi="Helvetica" w:cs="Helvetica"/>
                <w:sz w:val="19"/>
                <w:szCs w:val="19"/>
              </w:rPr>
            </w:pPr>
            <w:r>
              <w:rPr>
                <w:rFonts w:cs="Arial"/>
                <w:sz w:val="20"/>
                <w:lang w:val="es-CR"/>
              </w:rPr>
              <w:t xml:space="preserve">Se incorpora el contenido presupuestario para financiar las partidas y subpartidas </w:t>
            </w:r>
            <w:r w:rsidRPr="004433FE">
              <w:rPr>
                <w:rFonts w:cs="Arial"/>
                <w:sz w:val="20"/>
                <w:lang w:val="es-CR"/>
              </w:rPr>
              <w:t xml:space="preserve">de </w:t>
            </w:r>
            <w:r>
              <w:rPr>
                <w:rFonts w:cs="Arial"/>
                <w:sz w:val="20"/>
                <w:lang w:val="es-CR"/>
              </w:rPr>
              <w:t>gastos</w:t>
            </w:r>
            <w:r w:rsidRPr="004433FE">
              <w:rPr>
                <w:rFonts w:cs="Arial"/>
                <w:sz w:val="20"/>
                <w:lang w:val="es-CR"/>
              </w:rPr>
              <w:t xml:space="preserve"> necesarios para el funcionamiento de la institución durante todo el año (principio de universalidad), </w:t>
            </w:r>
            <w:r>
              <w:rPr>
                <w:rFonts w:cs="Arial"/>
                <w:sz w:val="20"/>
                <w:lang w:val="es-CR"/>
              </w:rPr>
              <w:t xml:space="preserve">de </w:t>
            </w:r>
            <w:r>
              <w:rPr>
                <w:rFonts w:cs="Arial"/>
                <w:sz w:val="20"/>
                <w:lang w:val="es-CR"/>
              </w:rPr>
              <w:lastRenderedPageBreak/>
              <w:t xml:space="preserve">acuerdo con lo dispuesto en el artículo 176 de </w:t>
            </w:r>
            <w:smartTag w:uri="urn:schemas-microsoft-com:office:smarttags" w:element="PersonName">
              <w:smartTagPr>
                <w:attr w:name="ProductID" w:val="la Constituci￳n Pol￭tica"/>
              </w:smartTagPr>
              <w:r>
                <w:rPr>
                  <w:rFonts w:cs="Arial"/>
                  <w:sz w:val="20"/>
                  <w:lang w:val="es-CR"/>
                </w:rPr>
                <w:t>la Constitución Política</w:t>
              </w:r>
            </w:smartTag>
            <w:r>
              <w:rPr>
                <w:rFonts w:cs="Arial"/>
                <w:sz w:val="20"/>
                <w:lang w:val="es-CR"/>
              </w:rPr>
              <w:t xml:space="preserve"> y </w:t>
            </w:r>
            <w:r w:rsidRPr="00F41852">
              <w:rPr>
                <w:rFonts w:cs="Arial"/>
                <w:sz w:val="20"/>
                <w:lang w:val="es-CR"/>
              </w:rPr>
              <w:t>l</w:t>
            </w:r>
            <w:r>
              <w:rPr>
                <w:rFonts w:cs="Arial"/>
                <w:sz w:val="20"/>
                <w:lang w:val="es-CR"/>
              </w:rPr>
              <w:t>os</w:t>
            </w:r>
            <w:r w:rsidRPr="00F41852">
              <w:rPr>
                <w:rFonts w:cs="Arial"/>
                <w:sz w:val="20"/>
                <w:lang w:val="es-CR"/>
              </w:rPr>
              <w:t xml:space="preserve"> artículo</w:t>
            </w:r>
            <w:r>
              <w:rPr>
                <w:rFonts w:cs="Arial"/>
                <w:sz w:val="20"/>
                <w:lang w:val="es-CR"/>
              </w:rPr>
              <w:t>s</w:t>
            </w:r>
            <w:r w:rsidRPr="0026171F">
              <w:rPr>
                <w:rFonts w:cs="Arial"/>
                <w:sz w:val="20"/>
                <w:lang w:val="es-CR"/>
              </w:rPr>
              <w:t xml:space="preserve"> 4 y 5 inciso a) de </w:t>
            </w:r>
            <w:smartTag w:uri="urn:schemas-microsoft-com:office:smarttags" w:element="PersonName">
              <w:smartTagPr>
                <w:attr w:name="ProductID" w:val="la Ley No"/>
              </w:smartTagPr>
              <w:r w:rsidRPr="0026171F">
                <w:rPr>
                  <w:rFonts w:cs="Arial"/>
                  <w:sz w:val="20"/>
                  <w:lang w:val="es-CR"/>
                </w:rPr>
                <w:t>la Ley No</w:t>
              </w:r>
            </w:smartTag>
            <w:r w:rsidRPr="0026171F">
              <w:rPr>
                <w:rFonts w:cs="Arial"/>
                <w:sz w:val="20"/>
                <w:lang w:val="es-CR"/>
              </w:rPr>
              <w:t xml:space="preserve"> 8131.</w:t>
            </w:r>
          </w:p>
        </w:tc>
        <w:tc>
          <w:tcPr>
            <w:tcW w:w="710" w:type="dxa"/>
            <w:vAlign w:val="center"/>
          </w:tcPr>
          <w:p w14:paraId="7BC3C923" w14:textId="77777777" w:rsidR="00E32F1D" w:rsidRDefault="00E32F1D" w:rsidP="007C372E">
            <w:pPr>
              <w:pStyle w:val="Textoindependiente3"/>
              <w:spacing w:line="360" w:lineRule="auto"/>
              <w:ind w:left="356" w:hanging="356"/>
              <w:jc w:val="center"/>
              <w:rPr>
                <w:rFonts w:cs="Arial"/>
                <w:b/>
                <w:sz w:val="20"/>
                <w:lang w:val="es-MX"/>
              </w:rPr>
            </w:pPr>
            <w:r>
              <w:rPr>
                <w:rFonts w:cs="Arial"/>
                <w:b/>
                <w:sz w:val="20"/>
                <w:lang w:val="es-MX"/>
              </w:rPr>
              <w:lastRenderedPageBreak/>
              <w:t>X</w:t>
            </w:r>
          </w:p>
        </w:tc>
        <w:tc>
          <w:tcPr>
            <w:tcW w:w="709" w:type="dxa"/>
          </w:tcPr>
          <w:p w14:paraId="21082C9E" w14:textId="77777777" w:rsidR="00E32F1D" w:rsidRDefault="00E32F1D" w:rsidP="007C372E">
            <w:pPr>
              <w:pStyle w:val="Ttulo10"/>
              <w:spacing w:line="360" w:lineRule="auto"/>
              <w:ind w:left="356" w:hanging="356"/>
              <w:rPr>
                <w:rFonts w:ascii="Arial" w:hAnsi="Arial" w:cs="Arial"/>
                <w:b w:val="0"/>
                <w:sz w:val="20"/>
                <w:lang w:val="es-MX" w:eastAsia="en-US"/>
              </w:rPr>
            </w:pPr>
          </w:p>
        </w:tc>
        <w:tc>
          <w:tcPr>
            <w:tcW w:w="852" w:type="dxa"/>
          </w:tcPr>
          <w:p w14:paraId="51A46843" w14:textId="77777777" w:rsidR="00E32F1D" w:rsidRDefault="00E32F1D" w:rsidP="007C372E">
            <w:pPr>
              <w:pStyle w:val="Ttulo10"/>
              <w:spacing w:line="360" w:lineRule="auto"/>
              <w:ind w:left="356" w:hanging="356"/>
              <w:rPr>
                <w:rFonts w:ascii="Arial" w:hAnsi="Arial" w:cs="Arial"/>
                <w:b w:val="0"/>
                <w:sz w:val="20"/>
                <w:lang w:val="es-MX" w:eastAsia="en-US"/>
              </w:rPr>
            </w:pPr>
          </w:p>
        </w:tc>
        <w:tc>
          <w:tcPr>
            <w:tcW w:w="1701" w:type="dxa"/>
          </w:tcPr>
          <w:p w14:paraId="2B40BB64" w14:textId="77777777" w:rsidR="00E32F1D" w:rsidRDefault="00E32F1D" w:rsidP="007C372E">
            <w:pPr>
              <w:ind w:left="356" w:hanging="356"/>
              <w:rPr>
                <w:sz w:val="16"/>
                <w:lang w:val="es-CR"/>
              </w:rPr>
            </w:pPr>
          </w:p>
        </w:tc>
      </w:tr>
      <w:tr w:rsidR="00E32F1D" w14:paraId="55CE9E91" w14:textId="77777777" w:rsidTr="007C372E">
        <w:tc>
          <w:tcPr>
            <w:tcW w:w="5951" w:type="dxa"/>
          </w:tcPr>
          <w:p w14:paraId="58E1AACB" w14:textId="77777777" w:rsidR="00E32F1D" w:rsidRDefault="00E32F1D" w:rsidP="00547B19">
            <w:pPr>
              <w:numPr>
                <w:ilvl w:val="0"/>
                <w:numId w:val="18"/>
              </w:numPr>
              <w:tabs>
                <w:tab w:val="clear" w:pos="720"/>
                <w:tab w:val="left" w:pos="355"/>
              </w:tabs>
              <w:ind w:left="356" w:hanging="356"/>
              <w:jc w:val="both"/>
              <w:rPr>
                <w:rFonts w:cs="Arial"/>
                <w:sz w:val="20"/>
                <w:lang w:val="es-CR"/>
              </w:rPr>
            </w:pPr>
            <w:r w:rsidRPr="004433FE">
              <w:rPr>
                <w:rFonts w:cs="Arial"/>
                <w:sz w:val="20"/>
                <w:lang w:val="es-CR"/>
              </w:rPr>
              <w:lastRenderedPageBreak/>
              <w:t>Se cuenta</w:t>
            </w:r>
            <w:r>
              <w:rPr>
                <w:rFonts w:cs="Arial"/>
                <w:sz w:val="20"/>
                <w:lang w:val="es-CR"/>
              </w:rPr>
              <w:t xml:space="preserve"> con certificación</w:t>
            </w:r>
            <w:r>
              <w:rPr>
                <w:rStyle w:val="Refdenotaalpie"/>
                <w:rFonts w:cs="Arial"/>
                <w:sz w:val="20"/>
                <w:lang w:val="es-CR"/>
              </w:rPr>
              <w:footnoteReference w:id="11"/>
            </w:r>
            <w:r>
              <w:rPr>
                <w:rFonts w:cs="Arial"/>
                <w:sz w:val="20"/>
                <w:lang w:val="es-CR"/>
              </w:rPr>
              <w:t xml:space="preserve"> de la C.C.S.S. </w:t>
            </w:r>
            <w:r w:rsidRPr="008B428A">
              <w:rPr>
                <w:rFonts w:cs="Arial"/>
                <w:sz w:val="20"/>
                <w:lang w:val="es-CR"/>
              </w:rPr>
              <w:t>en la cual conste que se encuentran al día en el pago de las cuotas patronales y obreras de esta Institución o que existe, en su caso, el correspondiente arregl</w:t>
            </w:r>
            <w:r>
              <w:rPr>
                <w:rFonts w:cs="Arial"/>
                <w:sz w:val="20"/>
                <w:lang w:val="es-CR"/>
              </w:rPr>
              <w:t>o de pago debidamente aceptado, según lo dispuesto en el artículo 74 de la Ley Constitutiva de la C.C.S.S., Nº 17</w:t>
            </w:r>
            <w:r>
              <w:rPr>
                <w:rStyle w:val="Refdenotaalpie"/>
                <w:bCs/>
                <w:sz w:val="22"/>
                <w:lang w:val="es-CR"/>
              </w:rPr>
              <w:footnoteReference w:id="12"/>
            </w:r>
            <w:r>
              <w:rPr>
                <w:lang w:val="es-CR"/>
              </w:rPr>
              <w:t xml:space="preserve"> </w:t>
            </w:r>
            <w:r>
              <w:rPr>
                <w:rFonts w:cs="Arial"/>
                <w:sz w:val="20"/>
                <w:lang w:val="es-CR"/>
              </w:rPr>
              <w:t xml:space="preserve">y sus reformas.  </w:t>
            </w:r>
          </w:p>
        </w:tc>
        <w:tc>
          <w:tcPr>
            <w:tcW w:w="710" w:type="dxa"/>
            <w:vAlign w:val="center"/>
          </w:tcPr>
          <w:p w14:paraId="646221A9" w14:textId="77777777" w:rsidR="00E32F1D" w:rsidRPr="008B428A" w:rsidRDefault="00E32F1D" w:rsidP="007C372E">
            <w:pPr>
              <w:pStyle w:val="Textoindependiente3"/>
              <w:spacing w:line="360" w:lineRule="auto"/>
              <w:jc w:val="center"/>
              <w:rPr>
                <w:rFonts w:cs="Arial"/>
                <w:b/>
                <w:sz w:val="20"/>
              </w:rPr>
            </w:pPr>
            <w:r>
              <w:rPr>
                <w:rFonts w:cs="Arial"/>
                <w:b/>
                <w:sz w:val="20"/>
              </w:rPr>
              <w:t>X</w:t>
            </w:r>
          </w:p>
        </w:tc>
        <w:tc>
          <w:tcPr>
            <w:tcW w:w="709" w:type="dxa"/>
          </w:tcPr>
          <w:p w14:paraId="23B22A29" w14:textId="77777777" w:rsidR="00E32F1D" w:rsidRDefault="00E32F1D" w:rsidP="007C372E">
            <w:pPr>
              <w:pStyle w:val="Ttulo10"/>
              <w:spacing w:line="360" w:lineRule="auto"/>
              <w:rPr>
                <w:rFonts w:ascii="Arial" w:hAnsi="Arial" w:cs="Arial"/>
                <w:b w:val="0"/>
                <w:sz w:val="20"/>
                <w:lang w:val="es-MX" w:eastAsia="en-US"/>
              </w:rPr>
            </w:pPr>
          </w:p>
        </w:tc>
        <w:tc>
          <w:tcPr>
            <w:tcW w:w="852" w:type="dxa"/>
          </w:tcPr>
          <w:p w14:paraId="0508319A" w14:textId="77777777" w:rsidR="00E32F1D" w:rsidRDefault="00E32F1D" w:rsidP="007C372E">
            <w:pPr>
              <w:pStyle w:val="Ttulo10"/>
              <w:spacing w:line="360" w:lineRule="auto"/>
              <w:rPr>
                <w:rFonts w:ascii="Arial" w:hAnsi="Arial" w:cs="Arial"/>
                <w:b w:val="0"/>
                <w:sz w:val="20"/>
                <w:lang w:val="es-MX" w:eastAsia="en-US"/>
              </w:rPr>
            </w:pPr>
          </w:p>
        </w:tc>
        <w:tc>
          <w:tcPr>
            <w:tcW w:w="1701" w:type="dxa"/>
          </w:tcPr>
          <w:p w14:paraId="26639818" w14:textId="77777777" w:rsidR="00E32F1D" w:rsidRDefault="00E32F1D" w:rsidP="007C372E">
            <w:pPr>
              <w:pStyle w:val="Ttulo10"/>
              <w:spacing w:line="360" w:lineRule="auto"/>
              <w:rPr>
                <w:rFonts w:ascii="Arial" w:hAnsi="Arial" w:cs="Arial"/>
                <w:b w:val="0"/>
                <w:sz w:val="20"/>
                <w:lang w:val="es-MX" w:eastAsia="en-US"/>
              </w:rPr>
            </w:pPr>
          </w:p>
        </w:tc>
      </w:tr>
      <w:tr w:rsidR="00E32F1D" w14:paraId="1E3517B4" w14:textId="77777777" w:rsidTr="007C372E">
        <w:tc>
          <w:tcPr>
            <w:tcW w:w="5951" w:type="dxa"/>
          </w:tcPr>
          <w:p w14:paraId="72A6164F" w14:textId="77777777" w:rsidR="00E32F1D" w:rsidRDefault="00E32F1D" w:rsidP="00547B19">
            <w:pPr>
              <w:numPr>
                <w:ilvl w:val="0"/>
                <w:numId w:val="18"/>
              </w:numPr>
              <w:tabs>
                <w:tab w:val="clear" w:pos="720"/>
                <w:tab w:val="left" w:pos="355"/>
              </w:tabs>
              <w:ind w:left="356" w:hanging="356"/>
              <w:jc w:val="both"/>
              <w:rPr>
                <w:rFonts w:cs="Arial"/>
                <w:sz w:val="20"/>
                <w:lang w:val="es-CR"/>
              </w:rPr>
            </w:pPr>
            <w:r w:rsidRPr="0026171F">
              <w:rPr>
                <w:rFonts w:cs="Arial"/>
                <w:sz w:val="20"/>
              </w:rPr>
              <w:t>Se</w:t>
            </w:r>
            <w:r w:rsidRPr="0026171F">
              <w:rPr>
                <w:rFonts w:cs="Arial"/>
                <w:sz w:val="20"/>
                <w:lang w:val="es-CR"/>
              </w:rPr>
              <w:t xml:space="preserve"> incluye</w:t>
            </w:r>
            <w:r>
              <w:rPr>
                <w:rFonts w:cs="Arial"/>
                <w:sz w:val="20"/>
                <w:lang w:val="es-CR"/>
              </w:rPr>
              <w:t xml:space="preserve"> la asignación presupuestaria para el pago del seguro de riesgos del trabajo, según lo dispuesto en el artículo 331 del Código de Trabajo, Ley Nº 2</w:t>
            </w:r>
            <w:r>
              <w:rPr>
                <w:rStyle w:val="Refdenotaalpie"/>
                <w:bCs/>
                <w:sz w:val="22"/>
              </w:rPr>
              <w:footnoteReference w:id="13"/>
            </w:r>
            <w:r>
              <w:rPr>
                <w:rFonts w:cs="Arial"/>
                <w:sz w:val="20"/>
                <w:lang w:val="es-CR"/>
              </w:rPr>
              <w:t xml:space="preserve"> y sus reformas.</w:t>
            </w:r>
          </w:p>
        </w:tc>
        <w:tc>
          <w:tcPr>
            <w:tcW w:w="710" w:type="dxa"/>
            <w:vAlign w:val="center"/>
          </w:tcPr>
          <w:p w14:paraId="68B2DBA5" w14:textId="77777777" w:rsidR="00E32F1D" w:rsidRDefault="00E32F1D" w:rsidP="007C372E">
            <w:pPr>
              <w:pStyle w:val="Ttulo10"/>
              <w:spacing w:line="360" w:lineRule="auto"/>
              <w:rPr>
                <w:rFonts w:ascii="Arial" w:hAnsi="Arial" w:cs="Arial"/>
                <w:b w:val="0"/>
                <w:sz w:val="20"/>
                <w:lang w:val="es-MX" w:eastAsia="en-US"/>
              </w:rPr>
            </w:pPr>
            <w:r>
              <w:rPr>
                <w:rFonts w:ascii="Arial" w:hAnsi="Arial" w:cs="Arial"/>
                <w:b w:val="0"/>
                <w:sz w:val="20"/>
                <w:lang w:val="es-MX" w:eastAsia="en-US"/>
              </w:rPr>
              <w:t>X</w:t>
            </w:r>
          </w:p>
        </w:tc>
        <w:tc>
          <w:tcPr>
            <w:tcW w:w="709" w:type="dxa"/>
          </w:tcPr>
          <w:p w14:paraId="30A12807" w14:textId="77777777" w:rsidR="00E32F1D" w:rsidRDefault="00E32F1D" w:rsidP="007C372E">
            <w:pPr>
              <w:pStyle w:val="Ttulo10"/>
              <w:spacing w:line="360" w:lineRule="auto"/>
              <w:rPr>
                <w:rFonts w:ascii="Arial" w:hAnsi="Arial" w:cs="Arial"/>
                <w:b w:val="0"/>
                <w:sz w:val="20"/>
                <w:lang w:val="es-MX" w:eastAsia="en-US"/>
              </w:rPr>
            </w:pPr>
          </w:p>
        </w:tc>
        <w:tc>
          <w:tcPr>
            <w:tcW w:w="852" w:type="dxa"/>
          </w:tcPr>
          <w:p w14:paraId="31895B47" w14:textId="77777777" w:rsidR="00E32F1D" w:rsidRDefault="00E32F1D" w:rsidP="007C372E">
            <w:pPr>
              <w:pStyle w:val="Ttulo10"/>
              <w:spacing w:line="360" w:lineRule="auto"/>
              <w:rPr>
                <w:rFonts w:ascii="Arial" w:hAnsi="Arial" w:cs="Arial"/>
                <w:b w:val="0"/>
                <w:sz w:val="20"/>
                <w:lang w:val="es-MX" w:eastAsia="en-US"/>
              </w:rPr>
            </w:pPr>
          </w:p>
        </w:tc>
        <w:tc>
          <w:tcPr>
            <w:tcW w:w="1701" w:type="dxa"/>
          </w:tcPr>
          <w:p w14:paraId="7D7F7840" w14:textId="77777777" w:rsidR="00E32F1D" w:rsidRDefault="00E32F1D" w:rsidP="007C372E">
            <w:pPr>
              <w:pStyle w:val="NormalWeb"/>
              <w:spacing w:before="0" w:beforeAutospacing="0" w:after="0" w:afterAutospacing="0" w:line="360" w:lineRule="auto"/>
              <w:jc w:val="both"/>
              <w:rPr>
                <w:rFonts w:ascii="Arial" w:eastAsia="Times New Roman" w:hAnsi="Arial" w:cs="Arial"/>
                <w:sz w:val="20"/>
                <w:szCs w:val="20"/>
                <w:u w:val="single"/>
                <w:lang w:val="es-MX" w:eastAsia="en-US"/>
              </w:rPr>
            </w:pPr>
          </w:p>
        </w:tc>
      </w:tr>
      <w:tr w:rsidR="00E32F1D" w14:paraId="09D089B9" w14:textId="77777777" w:rsidTr="007C372E">
        <w:tc>
          <w:tcPr>
            <w:tcW w:w="5951" w:type="dxa"/>
          </w:tcPr>
          <w:p w14:paraId="75DB0FF5" w14:textId="77777777" w:rsidR="00E32F1D" w:rsidRPr="004433FE" w:rsidRDefault="00E32F1D" w:rsidP="00547B19">
            <w:pPr>
              <w:numPr>
                <w:ilvl w:val="0"/>
                <w:numId w:val="18"/>
              </w:numPr>
              <w:tabs>
                <w:tab w:val="clear" w:pos="720"/>
                <w:tab w:val="left" w:pos="355"/>
              </w:tabs>
              <w:ind w:left="356" w:hanging="356"/>
              <w:jc w:val="both"/>
              <w:rPr>
                <w:rFonts w:cs="Arial"/>
                <w:sz w:val="20"/>
                <w:lang w:val="es-CR"/>
              </w:rPr>
            </w:pPr>
            <w:r w:rsidRPr="004433FE">
              <w:rPr>
                <w:rFonts w:cs="Arial"/>
                <w:sz w:val="20"/>
                <w:lang w:val="es-CR"/>
              </w:rPr>
              <w:t>Se incluye el contenido presupuestario suficiente</w:t>
            </w:r>
            <w:r w:rsidRPr="004433FE">
              <w:rPr>
                <w:rStyle w:val="Refdenotaalpie"/>
                <w:rFonts w:cs="Arial"/>
                <w:sz w:val="20"/>
                <w:lang w:val="es-CR"/>
              </w:rPr>
              <w:footnoteReference w:id="14"/>
            </w:r>
            <w:r w:rsidRPr="004433FE">
              <w:rPr>
                <w:rFonts w:cs="Arial"/>
                <w:sz w:val="20"/>
                <w:lang w:val="es-CR"/>
              </w:rPr>
              <w:t xml:space="preserve">, para cumplir con las órdenes emitidas por </w:t>
            </w:r>
            <w:smartTag w:uri="urn:schemas-microsoft-com:office:smarttags" w:element="PersonName">
              <w:smartTagPr>
                <w:attr w:name="ProductID" w:val="la Sala Constitucional"/>
              </w:smartTagPr>
              <w:r w:rsidRPr="004433FE">
                <w:rPr>
                  <w:rFonts w:cs="Arial"/>
                  <w:sz w:val="20"/>
                  <w:lang w:val="es-CR"/>
                </w:rPr>
                <w:t>la Sala Constitucional</w:t>
              </w:r>
            </w:smartTag>
            <w:r w:rsidRPr="004433FE">
              <w:rPr>
                <w:rFonts w:cs="Arial"/>
                <w:sz w:val="20"/>
                <w:lang w:val="es-CR"/>
              </w:rPr>
              <w:t xml:space="preserve">, en concordancia con lo dispuesto en los artículos 41 y 48 de </w:t>
            </w:r>
            <w:smartTag w:uri="urn:schemas-microsoft-com:office:smarttags" w:element="PersonName">
              <w:smartTagPr>
                <w:attr w:name="ProductID" w:val="la Constituci￳n Pol￭tica."/>
              </w:smartTagPr>
              <w:r w:rsidRPr="004433FE">
                <w:rPr>
                  <w:rFonts w:cs="Arial"/>
                  <w:sz w:val="20"/>
                  <w:lang w:val="es-CR"/>
                </w:rPr>
                <w:t>la Constitución Política.</w:t>
              </w:r>
            </w:smartTag>
            <w:r w:rsidRPr="004433FE">
              <w:rPr>
                <w:rFonts w:cs="Arial"/>
                <w:sz w:val="20"/>
                <w:lang w:val="es-CR"/>
              </w:rPr>
              <w:t xml:space="preserve"> </w:t>
            </w:r>
          </w:p>
        </w:tc>
        <w:tc>
          <w:tcPr>
            <w:tcW w:w="710" w:type="dxa"/>
            <w:vAlign w:val="center"/>
          </w:tcPr>
          <w:p w14:paraId="7000135A" w14:textId="77777777" w:rsidR="00E32F1D" w:rsidRDefault="00E32F1D" w:rsidP="007C372E">
            <w:pPr>
              <w:pStyle w:val="Textoindependiente3"/>
              <w:spacing w:line="360" w:lineRule="auto"/>
              <w:jc w:val="center"/>
              <w:rPr>
                <w:rFonts w:cs="Arial"/>
                <w:b/>
                <w:sz w:val="20"/>
                <w:lang w:val="es-MX"/>
              </w:rPr>
            </w:pPr>
            <w:r>
              <w:rPr>
                <w:rFonts w:cs="Arial"/>
                <w:b/>
                <w:sz w:val="20"/>
                <w:lang w:val="es-MX"/>
              </w:rPr>
              <w:t>X</w:t>
            </w:r>
          </w:p>
        </w:tc>
        <w:tc>
          <w:tcPr>
            <w:tcW w:w="709" w:type="dxa"/>
          </w:tcPr>
          <w:p w14:paraId="4DF34C85" w14:textId="77777777" w:rsidR="00E32F1D" w:rsidRDefault="00E32F1D" w:rsidP="007C372E">
            <w:pPr>
              <w:pStyle w:val="Ttulo10"/>
              <w:spacing w:line="360" w:lineRule="auto"/>
              <w:rPr>
                <w:rFonts w:ascii="Arial" w:hAnsi="Arial" w:cs="Arial"/>
                <w:b w:val="0"/>
                <w:sz w:val="20"/>
                <w:lang w:val="es-MX" w:eastAsia="en-US"/>
              </w:rPr>
            </w:pPr>
          </w:p>
        </w:tc>
        <w:tc>
          <w:tcPr>
            <w:tcW w:w="852" w:type="dxa"/>
          </w:tcPr>
          <w:p w14:paraId="09CB68A8" w14:textId="77777777" w:rsidR="00E32F1D" w:rsidRDefault="00E32F1D" w:rsidP="007C372E">
            <w:pPr>
              <w:pStyle w:val="Ttulo10"/>
              <w:spacing w:line="360" w:lineRule="auto"/>
              <w:rPr>
                <w:rFonts w:ascii="Arial" w:hAnsi="Arial" w:cs="Arial"/>
                <w:b w:val="0"/>
                <w:sz w:val="20"/>
                <w:lang w:val="es-MX" w:eastAsia="en-US"/>
              </w:rPr>
            </w:pPr>
          </w:p>
        </w:tc>
        <w:tc>
          <w:tcPr>
            <w:tcW w:w="1701" w:type="dxa"/>
          </w:tcPr>
          <w:p w14:paraId="5B7A9C71" w14:textId="77777777" w:rsidR="00E32F1D" w:rsidRDefault="00E32F1D" w:rsidP="007C372E">
            <w:pPr>
              <w:pStyle w:val="NormalWeb"/>
              <w:spacing w:before="0" w:beforeAutospacing="0" w:after="0" w:afterAutospacing="0" w:line="360" w:lineRule="auto"/>
              <w:jc w:val="center"/>
              <w:rPr>
                <w:rFonts w:ascii="Arial" w:eastAsia="Times New Roman" w:hAnsi="Arial" w:cs="Arial"/>
                <w:sz w:val="20"/>
                <w:szCs w:val="20"/>
                <w:lang w:val="es-MX" w:eastAsia="en-US"/>
              </w:rPr>
            </w:pPr>
          </w:p>
        </w:tc>
      </w:tr>
      <w:tr w:rsidR="00E32F1D" w14:paraId="13273D53" w14:textId="77777777" w:rsidTr="007C372E">
        <w:tc>
          <w:tcPr>
            <w:tcW w:w="5951" w:type="dxa"/>
          </w:tcPr>
          <w:p w14:paraId="20403C8D" w14:textId="77777777" w:rsidR="00E32F1D" w:rsidRPr="004433FE" w:rsidRDefault="00E32F1D" w:rsidP="00547B19">
            <w:pPr>
              <w:numPr>
                <w:ilvl w:val="0"/>
                <w:numId w:val="18"/>
              </w:numPr>
              <w:tabs>
                <w:tab w:val="clear" w:pos="720"/>
                <w:tab w:val="left" w:pos="355"/>
              </w:tabs>
              <w:ind w:left="356" w:hanging="356"/>
              <w:jc w:val="both"/>
              <w:rPr>
                <w:rFonts w:cs="Arial"/>
                <w:sz w:val="20"/>
                <w:lang w:val="es-CR"/>
              </w:rPr>
            </w:pPr>
            <w:r w:rsidRPr="004433FE">
              <w:rPr>
                <w:rFonts w:cs="Arial"/>
                <w:sz w:val="20"/>
                <w:lang w:val="es-CR"/>
              </w:rPr>
              <w:t>Se incluye el contenido presupuestario suficiente</w:t>
            </w:r>
            <w:r w:rsidRPr="004433FE">
              <w:rPr>
                <w:rStyle w:val="Refdenotaalpie"/>
                <w:rFonts w:cs="Arial"/>
                <w:sz w:val="20"/>
                <w:lang w:val="es-CR"/>
              </w:rPr>
              <w:footnoteReference w:id="15"/>
            </w:r>
            <w:r w:rsidRPr="004433FE">
              <w:rPr>
                <w:rFonts w:cs="Arial"/>
                <w:sz w:val="20"/>
                <w:lang w:val="es-CR"/>
              </w:rPr>
              <w:t xml:space="preserve">, cuando ha vencido el plazo de tres meses para atender las obligaciones derivadas de resoluciones judiciales, conforme con lo dispuesto en el artículo 78 de </w:t>
            </w:r>
            <w:smartTag w:uri="urn:schemas-microsoft-com:office:smarttags" w:element="PersonName">
              <w:smartTagPr>
                <w:attr w:name="ProductID" w:val="la Ley"/>
              </w:smartTagPr>
              <w:r w:rsidRPr="004433FE">
                <w:rPr>
                  <w:rFonts w:cs="Arial"/>
                  <w:sz w:val="20"/>
                  <w:lang w:val="es-CR"/>
                </w:rPr>
                <w:t>la Ley</w:t>
              </w:r>
            </w:smartTag>
            <w:r w:rsidRPr="004433FE">
              <w:rPr>
                <w:rFonts w:cs="Arial"/>
                <w:sz w:val="20"/>
                <w:lang w:val="es-CR"/>
              </w:rPr>
              <w:t xml:space="preserve"> de </w:t>
            </w:r>
            <w:smartTag w:uri="urn:schemas-microsoft-com:office:smarttags" w:element="PersonName">
              <w:smartTagPr>
                <w:attr w:name="ProductID" w:val="la Jurisdicci￳n Contencioso Administrativa"/>
              </w:smartTagPr>
              <w:smartTag w:uri="urn:schemas-microsoft-com:office:smarttags" w:element="PersonName">
                <w:smartTagPr>
                  <w:attr w:name="ProductID" w:val="la Jurisdicci￳n Contencioso"/>
                </w:smartTagPr>
                <w:r w:rsidRPr="004433FE">
                  <w:rPr>
                    <w:rFonts w:cs="Arial"/>
                    <w:sz w:val="20"/>
                    <w:lang w:val="es-CR"/>
                  </w:rPr>
                  <w:t>la Jurisdicción Contencioso</w:t>
                </w:r>
              </w:smartTag>
              <w:r w:rsidRPr="004433FE">
                <w:rPr>
                  <w:rFonts w:cs="Arial"/>
                  <w:sz w:val="20"/>
                  <w:lang w:val="es-CR"/>
                </w:rPr>
                <w:t xml:space="preserve"> Administrativa</w:t>
              </w:r>
            </w:smartTag>
            <w:r w:rsidRPr="004433FE">
              <w:rPr>
                <w:rFonts w:cs="Arial"/>
                <w:sz w:val="20"/>
                <w:lang w:val="es-CR"/>
              </w:rPr>
              <w:t xml:space="preserve"> Nº 3667</w:t>
            </w:r>
            <w:r w:rsidRPr="004433FE">
              <w:rPr>
                <w:rStyle w:val="Refdenotaalpie"/>
                <w:bCs/>
                <w:sz w:val="22"/>
                <w:lang w:val="es-CR"/>
              </w:rPr>
              <w:footnoteReference w:id="16"/>
            </w:r>
            <w:r w:rsidRPr="004433FE">
              <w:rPr>
                <w:rFonts w:cs="Arial"/>
                <w:bCs/>
                <w:sz w:val="20"/>
              </w:rPr>
              <w:t xml:space="preserve"> o acorde con lo dispuesto en el artículo 168 inciso 2) del Código Procesal Contencioso Administrativo, Ley Nº 8508</w:t>
            </w:r>
            <w:r w:rsidRPr="004433FE">
              <w:rPr>
                <w:vertAlign w:val="superscript"/>
                <w:lang w:val="pt-PT"/>
              </w:rPr>
              <w:footnoteReference w:id="17"/>
            </w:r>
            <w:r w:rsidRPr="004433FE">
              <w:rPr>
                <w:rFonts w:cs="Arial"/>
                <w:bCs/>
                <w:sz w:val="20"/>
              </w:rPr>
              <w:t>, según corresponda</w:t>
            </w:r>
            <w:r w:rsidRPr="004433FE">
              <w:rPr>
                <w:rFonts w:cs="Arial"/>
                <w:sz w:val="20"/>
                <w:lang w:val="es-CR"/>
              </w:rPr>
              <w:t>.</w:t>
            </w:r>
          </w:p>
        </w:tc>
        <w:tc>
          <w:tcPr>
            <w:tcW w:w="710" w:type="dxa"/>
            <w:vAlign w:val="center"/>
          </w:tcPr>
          <w:p w14:paraId="5B5FA57E" w14:textId="77777777" w:rsidR="00E32F1D" w:rsidRDefault="00E32F1D" w:rsidP="007C372E">
            <w:pPr>
              <w:pStyle w:val="Textoindependiente3"/>
              <w:spacing w:line="360" w:lineRule="auto"/>
              <w:jc w:val="center"/>
              <w:rPr>
                <w:rFonts w:cs="Arial"/>
                <w:b/>
                <w:sz w:val="20"/>
                <w:lang w:val="es-MX"/>
              </w:rPr>
            </w:pPr>
            <w:r>
              <w:rPr>
                <w:rFonts w:cs="Arial"/>
                <w:b/>
                <w:sz w:val="20"/>
                <w:lang w:val="es-MX"/>
              </w:rPr>
              <w:t>X</w:t>
            </w:r>
          </w:p>
        </w:tc>
        <w:tc>
          <w:tcPr>
            <w:tcW w:w="709" w:type="dxa"/>
          </w:tcPr>
          <w:p w14:paraId="7F5CBC6B" w14:textId="77777777" w:rsidR="00E32F1D" w:rsidRDefault="00E32F1D" w:rsidP="007C372E">
            <w:pPr>
              <w:pStyle w:val="Ttulo10"/>
              <w:spacing w:line="360" w:lineRule="auto"/>
              <w:rPr>
                <w:rFonts w:ascii="Arial" w:hAnsi="Arial" w:cs="Arial"/>
                <w:b w:val="0"/>
                <w:sz w:val="20"/>
                <w:lang w:val="es-MX" w:eastAsia="en-US"/>
              </w:rPr>
            </w:pPr>
          </w:p>
        </w:tc>
        <w:tc>
          <w:tcPr>
            <w:tcW w:w="852" w:type="dxa"/>
          </w:tcPr>
          <w:p w14:paraId="23B5596C" w14:textId="77777777" w:rsidR="00E32F1D" w:rsidRDefault="00E32F1D" w:rsidP="007C372E">
            <w:pPr>
              <w:pStyle w:val="Ttulo10"/>
              <w:spacing w:line="360" w:lineRule="auto"/>
              <w:rPr>
                <w:rFonts w:ascii="Arial" w:hAnsi="Arial" w:cs="Arial"/>
                <w:b w:val="0"/>
                <w:sz w:val="20"/>
                <w:lang w:val="es-MX" w:eastAsia="en-US"/>
              </w:rPr>
            </w:pPr>
          </w:p>
        </w:tc>
        <w:tc>
          <w:tcPr>
            <w:tcW w:w="1701" w:type="dxa"/>
          </w:tcPr>
          <w:p w14:paraId="7F344425" w14:textId="77777777" w:rsidR="00E32F1D" w:rsidRDefault="00E32F1D" w:rsidP="007C372E">
            <w:pPr>
              <w:pStyle w:val="NormalWeb"/>
              <w:spacing w:before="0" w:beforeAutospacing="0" w:after="0" w:afterAutospacing="0" w:line="360" w:lineRule="auto"/>
              <w:jc w:val="center"/>
              <w:rPr>
                <w:rFonts w:ascii="Arial" w:eastAsia="Times New Roman" w:hAnsi="Arial" w:cs="Arial"/>
                <w:sz w:val="20"/>
                <w:szCs w:val="20"/>
                <w:lang w:val="es-MX" w:eastAsia="en-US"/>
              </w:rPr>
            </w:pPr>
          </w:p>
        </w:tc>
      </w:tr>
      <w:tr w:rsidR="00E32F1D" w14:paraId="13940AA6" w14:textId="77777777" w:rsidTr="007C372E">
        <w:trPr>
          <w:trHeight w:val="821"/>
        </w:trPr>
        <w:tc>
          <w:tcPr>
            <w:tcW w:w="5951" w:type="dxa"/>
          </w:tcPr>
          <w:p w14:paraId="6368529F" w14:textId="77777777" w:rsidR="00E32F1D" w:rsidRDefault="00E32F1D" w:rsidP="00547B19">
            <w:pPr>
              <w:numPr>
                <w:ilvl w:val="0"/>
                <w:numId w:val="18"/>
              </w:numPr>
              <w:tabs>
                <w:tab w:val="clear" w:pos="720"/>
                <w:tab w:val="left" w:pos="355"/>
              </w:tabs>
              <w:ind w:left="356" w:hanging="356"/>
              <w:jc w:val="both"/>
              <w:rPr>
                <w:rFonts w:cs="Arial"/>
                <w:sz w:val="20"/>
                <w:lang w:val="es-CR"/>
              </w:rPr>
            </w:pPr>
            <w:r>
              <w:rPr>
                <w:sz w:val="20"/>
              </w:rPr>
              <w:t xml:space="preserve">Se incluye el contenido presupuestario requerido para la transferencia al Fondo de Capitalización Laboral, conforme lo dispuesto en </w:t>
            </w:r>
            <w:smartTag w:uri="urn:schemas-microsoft-com:office:smarttags" w:element="PersonName">
              <w:smartTagPr>
                <w:attr w:name="ProductID" w:val="la Ley"/>
              </w:smartTagPr>
              <w:r>
                <w:rPr>
                  <w:sz w:val="20"/>
                </w:rPr>
                <w:t>la Ley</w:t>
              </w:r>
            </w:smartTag>
            <w:r>
              <w:rPr>
                <w:sz w:val="20"/>
              </w:rPr>
              <w:t xml:space="preserve"> de Protección al Trabajador N° 7983.</w:t>
            </w:r>
          </w:p>
        </w:tc>
        <w:tc>
          <w:tcPr>
            <w:tcW w:w="710" w:type="dxa"/>
            <w:vAlign w:val="center"/>
          </w:tcPr>
          <w:p w14:paraId="343683D1" w14:textId="77777777" w:rsidR="00E32F1D" w:rsidRDefault="00E32F1D" w:rsidP="007C372E">
            <w:pPr>
              <w:pStyle w:val="Ttulo10"/>
              <w:spacing w:line="360" w:lineRule="auto"/>
              <w:rPr>
                <w:rFonts w:ascii="Arial" w:hAnsi="Arial" w:cs="Arial"/>
                <w:b w:val="0"/>
                <w:sz w:val="20"/>
                <w:lang w:val="es-MX" w:eastAsia="en-US"/>
              </w:rPr>
            </w:pPr>
            <w:r>
              <w:rPr>
                <w:rFonts w:ascii="Arial" w:hAnsi="Arial" w:cs="Arial"/>
                <w:b w:val="0"/>
                <w:sz w:val="20"/>
                <w:lang w:val="es-MX" w:eastAsia="en-US"/>
              </w:rPr>
              <w:t>X</w:t>
            </w:r>
          </w:p>
        </w:tc>
        <w:tc>
          <w:tcPr>
            <w:tcW w:w="709" w:type="dxa"/>
          </w:tcPr>
          <w:p w14:paraId="2A6BAB8A" w14:textId="77777777" w:rsidR="00E32F1D" w:rsidRDefault="00E32F1D" w:rsidP="007C372E">
            <w:pPr>
              <w:pStyle w:val="Ttulo10"/>
              <w:spacing w:line="360" w:lineRule="auto"/>
              <w:rPr>
                <w:rFonts w:ascii="Arial" w:hAnsi="Arial" w:cs="Arial"/>
                <w:b w:val="0"/>
                <w:sz w:val="20"/>
                <w:lang w:val="es-MX" w:eastAsia="en-US"/>
              </w:rPr>
            </w:pPr>
          </w:p>
        </w:tc>
        <w:tc>
          <w:tcPr>
            <w:tcW w:w="852" w:type="dxa"/>
          </w:tcPr>
          <w:p w14:paraId="7FA092F6" w14:textId="77777777" w:rsidR="00E32F1D" w:rsidRDefault="00E32F1D" w:rsidP="007C372E">
            <w:pPr>
              <w:pStyle w:val="Ttulo10"/>
              <w:spacing w:line="360" w:lineRule="auto"/>
              <w:rPr>
                <w:rFonts w:ascii="Arial" w:hAnsi="Arial" w:cs="Arial"/>
                <w:b w:val="0"/>
                <w:sz w:val="20"/>
                <w:lang w:val="es-MX" w:eastAsia="en-US"/>
              </w:rPr>
            </w:pPr>
          </w:p>
        </w:tc>
        <w:tc>
          <w:tcPr>
            <w:tcW w:w="1701" w:type="dxa"/>
          </w:tcPr>
          <w:p w14:paraId="4E32F2A9" w14:textId="77777777" w:rsidR="00E32F1D" w:rsidRDefault="00E32F1D" w:rsidP="007C372E">
            <w:pPr>
              <w:pStyle w:val="NormalWeb"/>
              <w:spacing w:before="0" w:beforeAutospacing="0" w:after="0" w:afterAutospacing="0" w:line="360" w:lineRule="auto"/>
              <w:jc w:val="center"/>
              <w:rPr>
                <w:rFonts w:ascii="Arial" w:eastAsia="Times New Roman" w:hAnsi="Arial" w:cs="Arial"/>
                <w:sz w:val="20"/>
                <w:szCs w:val="20"/>
                <w:lang w:val="es-MX" w:eastAsia="en-US"/>
              </w:rPr>
            </w:pPr>
          </w:p>
        </w:tc>
      </w:tr>
      <w:tr w:rsidR="00E32F1D" w14:paraId="04B7F34F" w14:textId="77777777" w:rsidTr="007C372E">
        <w:trPr>
          <w:trHeight w:val="988"/>
        </w:trPr>
        <w:tc>
          <w:tcPr>
            <w:tcW w:w="5951" w:type="dxa"/>
          </w:tcPr>
          <w:p w14:paraId="31694032" w14:textId="77777777" w:rsidR="00E32F1D" w:rsidRDefault="00E32F1D" w:rsidP="00547B19">
            <w:pPr>
              <w:numPr>
                <w:ilvl w:val="0"/>
                <w:numId w:val="18"/>
              </w:numPr>
              <w:tabs>
                <w:tab w:val="clear" w:pos="720"/>
                <w:tab w:val="left" w:pos="355"/>
              </w:tabs>
              <w:ind w:left="356" w:hanging="356"/>
              <w:jc w:val="both"/>
              <w:rPr>
                <w:rFonts w:cs="Arial"/>
                <w:sz w:val="20"/>
                <w:lang w:val="es-CR"/>
              </w:rPr>
            </w:pPr>
            <w:r>
              <w:rPr>
                <w:rFonts w:cs="Arial"/>
                <w:sz w:val="20"/>
                <w:lang w:val="es-CR"/>
              </w:rPr>
              <w:t xml:space="preserve">La entidad está al día con el envío de la información a </w:t>
            </w:r>
            <w:smartTag w:uri="urn:schemas-microsoft-com:office:smarttags" w:element="PersonName">
              <w:smartTagPr>
                <w:attr w:name="ProductID" w:val="la Autoridad Presupuestaria"/>
              </w:smartTagPr>
              <w:r>
                <w:rPr>
                  <w:rFonts w:cs="Arial"/>
                  <w:sz w:val="20"/>
                  <w:lang w:val="es-CR"/>
                </w:rPr>
                <w:t>la Autoridad Presupuestaria</w:t>
              </w:r>
            </w:smartTag>
            <w:r>
              <w:rPr>
                <w:rFonts w:cs="Arial"/>
                <w:sz w:val="20"/>
                <w:lang w:val="es-CR"/>
              </w:rPr>
              <w:t xml:space="preserve"> y al Banco Central de Costa Rica, cuando corresponda, según lo indicado en el artículo 36 de </w:t>
            </w:r>
            <w:smartTag w:uri="urn:schemas-microsoft-com:office:smarttags" w:element="PersonName">
              <w:smartTagPr>
                <w:attr w:name="ProductID" w:val="la Ley"/>
              </w:smartTagPr>
              <w:r>
                <w:rPr>
                  <w:rFonts w:cs="Arial"/>
                  <w:sz w:val="20"/>
                  <w:lang w:val="es-CR"/>
                </w:rPr>
                <w:t>la Ley</w:t>
              </w:r>
            </w:smartTag>
            <w:r>
              <w:rPr>
                <w:rFonts w:cs="Arial"/>
                <w:sz w:val="20"/>
                <w:lang w:val="es-CR"/>
              </w:rPr>
              <w:t xml:space="preserve"> para el equilibrio financiero del sector público, Nº 6955</w:t>
            </w:r>
            <w:r>
              <w:rPr>
                <w:rStyle w:val="Refdenotaalpie"/>
                <w:bCs/>
                <w:sz w:val="22"/>
                <w:lang w:val="es-CR"/>
              </w:rPr>
              <w:footnoteReference w:id="18"/>
            </w:r>
            <w:r>
              <w:rPr>
                <w:rFonts w:cs="Arial"/>
                <w:sz w:val="20"/>
                <w:lang w:val="es-CR"/>
              </w:rPr>
              <w:t>.</w:t>
            </w:r>
            <w:r w:rsidRPr="0069278B">
              <w:rPr>
                <w:rFonts w:cs="Arial"/>
                <w:sz w:val="20"/>
                <w:lang w:val="es-CR"/>
              </w:rPr>
              <w:t xml:space="preserve"> </w:t>
            </w:r>
          </w:p>
        </w:tc>
        <w:tc>
          <w:tcPr>
            <w:tcW w:w="710" w:type="dxa"/>
            <w:vAlign w:val="center"/>
          </w:tcPr>
          <w:p w14:paraId="2DD0995A" w14:textId="77777777" w:rsidR="00E32F1D" w:rsidRDefault="00E32F1D" w:rsidP="007C372E">
            <w:pPr>
              <w:pStyle w:val="Textoindependiente3"/>
              <w:spacing w:line="360" w:lineRule="auto"/>
              <w:jc w:val="center"/>
              <w:rPr>
                <w:rFonts w:cs="Arial"/>
                <w:b/>
                <w:sz w:val="20"/>
                <w:lang w:val="es-MX"/>
              </w:rPr>
            </w:pPr>
            <w:r>
              <w:rPr>
                <w:rFonts w:cs="Arial"/>
                <w:b/>
                <w:sz w:val="20"/>
                <w:lang w:val="es-MX"/>
              </w:rPr>
              <w:t>X</w:t>
            </w:r>
          </w:p>
        </w:tc>
        <w:tc>
          <w:tcPr>
            <w:tcW w:w="709" w:type="dxa"/>
          </w:tcPr>
          <w:p w14:paraId="3697EDB5" w14:textId="77777777" w:rsidR="00E32F1D" w:rsidRDefault="00E32F1D" w:rsidP="007C372E">
            <w:pPr>
              <w:pStyle w:val="Ttulo10"/>
              <w:spacing w:line="360" w:lineRule="auto"/>
              <w:rPr>
                <w:rFonts w:ascii="Arial" w:hAnsi="Arial" w:cs="Arial"/>
                <w:b w:val="0"/>
                <w:sz w:val="20"/>
                <w:lang w:val="es-MX" w:eastAsia="en-US"/>
              </w:rPr>
            </w:pPr>
          </w:p>
        </w:tc>
        <w:tc>
          <w:tcPr>
            <w:tcW w:w="852" w:type="dxa"/>
          </w:tcPr>
          <w:p w14:paraId="7D8714B0" w14:textId="77777777" w:rsidR="00E32F1D" w:rsidRDefault="00E32F1D" w:rsidP="007C372E">
            <w:pPr>
              <w:pStyle w:val="Ttulo10"/>
              <w:spacing w:line="360" w:lineRule="auto"/>
              <w:rPr>
                <w:rFonts w:ascii="Arial" w:hAnsi="Arial" w:cs="Arial"/>
                <w:b w:val="0"/>
                <w:sz w:val="20"/>
                <w:lang w:val="es-MX" w:eastAsia="en-US"/>
              </w:rPr>
            </w:pPr>
          </w:p>
        </w:tc>
        <w:tc>
          <w:tcPr>
            <w:tcW w:w="1701" w:type="dxa"/>
          </w:tcPr>
          <w:p w14:paraId="42319F45" w14:textId="77777777" w:rsidR="00E32F1D" w:rsidRDefault="00E32F1D" w:rsidP="007C372E">
            <w:pPr>
              <w:pStyle w:val="NormalWeb"/>
              <w:spacing w:before="0" w:beforeAutospacing="0" w:after="0" w:afterAutospacing="0" w:line="360" w:lineRule="auto"/>
              <w:jc w:val="center"/>
              <w:rPr>
                <w:rFonts w:ascii="Arial" w:eastAsia="Times New Roman" w:hAnsi="Arial" w:cs="Arial"/>
                <w:sz w:val="20"/>
                <w:szCs w:val="20"/>
                <w:lang w:val="es-MX" w:eastAsia="en-US"/>
              </w:rPr>
            </w:pPr>
          </w:p>
        </w:tc>
      </w:tr>
      <w:tr w:rsidR="00E32F1D" w14:paraId="56DB389C" w14:textId="77777777" w:rsidTr="007C372E">
        <w:trPr>
          <w:trHeight w:val="974"/>
        </w:trPr>
        <w:tc>
          <w:tcPr>
            <w:tcW w:w="5951" w:type="dxa"/>
          </w:tcPr>
          <w:p w14:paraId="1FFDDDFD" w14:textId="77777777" w:rsidR="00E32F1D" w:rsidRPr="004433FE" w:rsidRDefault="00E32F1D" w:rsidP="00547B19">
            <w:pPr>
              <w:numPr>
                <w:ilvl w:val="0"/>
                <w:numId w:val="18"/>
              </w:numPr>
              <w:tabs>
                <w:tab w:val="clear" w:pos="720"/>
                <w:tab w:val="left" w:pos="355"/>
              </w:tabs>
              <w:ind w:left="356" w:hanging="356"/>
              <w:jc w:val="both"/>
              <w:rPr>
                <w:rFonts w:cs="Arial"/>
                <w:sz w:val="20"/>
                <w:lang w:val="es-CR"/>
              </w:rPr>
            </w:pPr>
            <w:r w:rsidRPr="004433FE">
              <w:rPr>
                <w:rFonts w:cs="Arial"/>
                <w:sz w:val="20"/>
                <w:lang w:val="es-CR"/>
              </w:rPr>
              <w:t>El documento presupuestario fue aprobado</w:t>
            </w:r>
            <w:r w:rsidRPr="004433FE">
              <w:rPr>
                <w:rStyle w:val="Refdenotaalpie"/>
                <w:rFonts w:cs="Arial"/>
                <w:sz w:val="20"/>
                <w:lang w:val="es-CR"/>
              </w:rPr>
              <w:footnoteReference w:id="19"/>
            </w:r>
            <w:r w:rsidRPr="004433FE">
              <w:rPr>
                <w:rFonts w:cs="Arial"/>
                <w:sz w:val="20"/>
                <w:lang w:val="es-CR"/>
              </w:rPr>
              <w:t xml:space="preserve"> por la instancia interna competente</w:t>
            </w:r>
            <w:r w:rsidRPr="004433FE">
              <w:rPr>
                <w:rStyle w:val="Refdenotaalpie"/>
                <w:rFonts w:cs="Arial"/>
                <w:sz w:val="20"/>
                <w:lang w:val="es-CR"/>
              </w:rPr>
              <w:footnoteReference w:id="20"/>
            </w:r>
            <w:r w:rsidRPr="004433FE">
              <w:rPr>
                <w:rFonts w:cs="Arial"/>
                <w:sz w:val="20"/>
                <w:lang w:val="es-CR"/>
              </w:rPr>
              <w:t xml:space="preserve">, conforme con lo establecido en </w:t>
            </w:r>
            <w:smartTag w:uri="urn:schemas-microsoft-com:office:smarttags" w:element="PersonName">
              <w:smartTagPr>
                <w:attr w:name="ProductID" w:val="la Ley General"/>
              </w:smartTagPr>
              <w:r w:rsidRPr="004433FE">
                <w:rPr>
                  <w:rFonts w:cs="Arial"/>
                  <w:sz w:val="20"/>
                  <w:lang w:val="es-CR"/>
                </w:rPr>
                <w:t>la Ley General</w:t>
              </w:r>
            </w:smartTag>
            <w:r w:rsidRPr="004433FE">
              <w:rPr>
                <w:rFonts w:cs="Arial"/>
                <w:sz w:val="20"/>
                <w:lang w:val="es-CR"/>
              </w:rPr>
              <w:t xml:space="preserve"> de </w:t>
            </w:r>
            <w:smartTag w:uri="urn:schemas-microsoft-com:office:smarttags" w:element="PersonName">
              <w:smartTagPr>
                <w:attr w:name="ProductID" w:val="la Administraci￳n P￺blica"/>
              </w:smartTagPr>
              <w:r w:rsidRPr="004433FE">
                <w:rPr>
                  <w:rFonts w:cs="Arial"/>
                  <w:sz w:val="20"/>
                  <w:lang w:val="es-CR"/>
                </w:rPr>
                <w:t>la Administración Pública</w:t>
              </w:r>
            </w:smartTag>
            <w:r w:rsidRPr="004433FE">
              <w:rPr>
                <w:rFonts w:cs="Arial"/>
                <w:sz w:val="20"/>
                <w:lang w:val="es-CR"/>
              </w:rPr>
              <w:t xml:space="preserve"> (LGAP), No 6227 (especialmente en los artículos 70 y 129 y siguientes).</w:t>
            </w:r>
          </w:p>
        </w:tc>
        <w:tc>
          <w:tcPr>
            <w:tcW w:w="710" w:type="dxa"/>
            <w:vAlign w:val="center"/>
          </w:tcPr>
          <w:p w14:paraId="693A06E7" w14:textId="77777777" w:rsidR="00E32F1D" w:rsidRDefault="00E32F1D" w:rsidP="007C372E">
            <w:pPr>
              <w:pStyle w:val="Ttulo10"/>
              <w:spacing w:line="360" w:lineRule="auto"/>
              <w:rPr>
                <w:rFonts w:ascii="Arial" w:hAnsi="Arial" w:cs="Arial"/>
                <w:b w:val="0"/>
                <w:sz w:val="20"/>
                <w:lang w:val="es-MX" w:eastAsia="en-US"/>
              </w:rPr>
            </w:pPr>
            <w:r>
              <w:rPr>
                <w:rFonts w:ascii="Arial" w:hAnsi="Arial" w:cs="Arial"/>
                <w:b w:val="0"/>
                <w:sz w:val="20"/>
                <w:lang w:val="es-MX" w:eastAsia="en-US"/>
              </w:rPr>
              <w:t>X</w:t>
            </w:r>
          </w:p>
        </w:tc>
        <w:tc>
          <w:tcPr>
            <w:tcW w:w="709" w:type="dxa"/>
          </w:tcPr>
          <w:p w14:paraId="7227BD82" w14:textId="77777777" w:rsidR="00E32F1D" w:rsidRDefault="00E32F1D" w:rsidP="007C372E">
            <w:pPr>
              <w:pStyle w:val="Ttulo10"/>
              <w:spacing w:line="360" w:lineRule="auto"/>
              <w:rPr>
                <w:rFonts w:ascii="Arial" w:hAnsi="Arial" w:cs="Arial"/>
                <w:b w:val="0"/>
                <w:sz w:val="20"/>
                <w:lang w:val="es-MX" w:eastAsia="en-US"/>
              </w:rPr>
            </w:pPr>
          </w:p>
        </w:tc>
        <w:tc>
          <w:tcPr>
            <w:tcW w:w="852" w:type="dxa"/>
          </w:tcPr>
          <w:p w14:paraId="799E0C26" w14:textId="77777777" w:rsidR="00E32F1D" w:rsidRDefault="00E32F1D" w:rsidP="007C372E">
            <w:pPr>
              <w:pStyle w:val="Ttulo10"/>
              <w:spacing w:line="360" w:lineRule="auto"/>
              <w:rPr>
                <w:rFonts w:ascii="Arial" w:hAnsi="Arial" w:cs="Arial"/>
                <w:b w:val="0"/>
                <w:sz w:val="20"/>
                <w:lang w:val="es-MX" w:eastAsia="en-US"/>
              </w:rPr>
            </w:pPr>
          </w:p>
        </w:tc>
        <w:tc>
          <w:tcPr>
            <w:tcW w:w="1701" w:type="dxa"/>
          </w:tcPr>
          <w:p w14:paraId="3F450B9C" w14:textId="77777777" w:rsidR="00E32F1D" w:rsidRDefault="00E32F1D" w:rsidP="007C372E">
            <w:pPr>
              <w:pStyle w:val="NormalWeb"/>
              <w:spacing w:before="0" w:beforeAutospacing="0" w:after="0" w:afterAutospacing="0" w:line="360" w:lineRule="auto"/>
              <w:jc w:val="center"/>
              <w:rPr>
                <w:rFonts w:ascii="Arial" w:eastAsia="Times New Roman" w:hAnsi="Arial" w:cs="Arial"/>
                <w:sz w:val="20"/>
                <w:szCs w:val="20"/>
                <w:lang w:val="es-MX" w:eastAsia="en-US"/>
              </w:rPr>
            </w:pPr>
          </w:p>
        </w:tc>
      </w:tr>
    </w:tbl>
    <w:p w14:paraId="3317A9D1" w14:textId="77777777" w:rsidR="00E32F1D" w:rsidRDefault="00E32F1D" w:rsidP="00E32F1D">
      <w:pPr>
        <w:pStyle w:val="NormalWeb"/>
        <w:tabs>
          <w:tab w:val="left" w:pos="5740"/>
          <w:tab w:val="left" w:pos="6733"/>
          <w:tab w:val="left" w:pos="7583"/>
          <w:tab w:val="left" w:pos="8575"/>
          <w:tab w:val="left" w:pos="9284"/>
          <w:tab w:val="left" w:pos="10560"/>
          <w:tab w:val="left" w:pos="14104"/>
        </w:tabs>
        <w:spacing w:before="0" w:beforeAutospacing="0" w:after="0" w:afterAutospacing="0" w:line="180" w:lineRule="auto"/>
        <w:ind w:left="354"/>
        <w:rPr>
          <w:rFonts w:ascii="Arial" w:eastAsia="Times New Roman" w:hAnsi="Arial" w:cs="Times New Roman"/>
          <w:bCs/>
          <w:sz w:val="20"/>
          <w:szCs w:val="20"/>
          <w:lang w:eastAsia="en-US"/>
        </w:rPr>
      </w:pPr>
    </w:p>
    <w:p w14:paraId="2DDA750B" w14:textId="77777777" w:rsidR="00E32F1D" w:rsidRDefault="00E32F1D" w:rsidP="00E32F1D">
      <w:pPr>
        <w:pStyle w:val="Ttulo10"/>
        <w:tabs>
          <w:tab w:val="left" w:pos="426"/>
        </w:tabs>
        <w:ind w:left="567"/>
        <w:jc w:val="both"/>
        <w:rPr>
          <w:rFonts w:ascii="Arial" w:hAnsi="Arial"/>
          <w:sz w:val="22"/>
          <w:lang w:val="es-CR"/>
        </w:rPr>
      </w:pPr>
    </w:p>
    <w:p w14:paraId="30C8F0BA" w14:textId="77777777" w:rsidR="00E32F1D" w:rsidRDefault="00E32F1D" w:rsidP="00E32F1D">
      <w:pPr>
        <w:pStyle w:val="Ttulo10"/>
        <w:tabs>
          <w:tab w:val="left" w:pos="426"/>
        </w:tabs>
        <w:ind w:left="567"/>
        <w:jc w:val="both"/>
        <w:rPr>
          <w:rFonts w:ascii="Arial" w:hAnsi="Arial"/>
          <w:sz w:val="22"/>
          <w:lang w:val="es-CR"/>
        </w:rPr>
      </w:pPr>
    </w:p>
    <w:p w14:paraId="27C7DF39" w14:textId="77777777" w:rsidR="00E32F1D" w:rsidRDefault="00E32F1D" w:rsidP="00E32F1D">
      <w:pPr>
        <w:pStyle w:val="Ttulo10"/>
        <w:tabs>
          <w:tab w:val="left" w:pos="426"/>
        </w:tabs>
        <w:ind w:left="567"/>
        <w:jc w:val="both"/>
        <w:rPr>
          <w:rFonts w:ascii="Arial" w:hAnsi="Arial"/>
          <w:sz w:val="22"/>
          <w:lang w:val="es-CR"/>
        </w:rPr>
      </w:pPr>
    </w:p>
    <w:p w14:paraId="2E26F5C1" w14:textId="6C7BE3D7" w:rsidR="00C66912" w:rsidRDefault="00C66912" w:rsidP="00E32F1D">
      <w:pPr>
        <w:pStyle w:val="Ttulo10"/>
        <w:tabs>
          <w:tab w:val="left" w:pos="426"/>
        </w:tabs>
        <w:ind w:left="567"/>
        <w:jc w:val="both"/>
        <w:rPr>
          <w:rFonts w:ascii="Arial" w:hAnsi="Arial"/>
          <w:sz w:val="22"/>
          <w:lang w:val="es-CR"/>
        </w:rPr>
      </w:pPr>
      <w:r>
        <w:rPr>
          <w:noProof/>
          <w:lang w:val="es-ES"/>
        </w:rPr>
        <w:drawing>
          <wp:inline distT="0" distB="0" distL="0" distR="0" wp14:anchorId="635987C9" wp14:editId="4AE6DACE">
            <wp:extent cx="5822950" cy="3940372"/>
            <wp:effectExtent l="0" t="0" r="6350" b="3175"/>
            <wp:docPr id="80451" name="Imagen 80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28A0092B-C50C-407E-A947-70E740481C1C}">
                          <a14:useLocalDpi xmlns:a14="http://schemas.microsoft.com/office/drawing/2010/main" val="0"/>
                        </a:ext>
                      </a:extLst>
                    </a:blip>
                    <a:stretch>
                      <a:fillRect/>
                    </a:stretch>
                  </pic:blipFill>
                  <pic:spPr>
                    <a:xfrm>
                      <a:off x="0" y="0"/>
                      <a:ext cx="5824196" cy="3941215"/>
                    </a:xfrm>
                    <a:prstGeom prst="rect">
                      <a:avLst/>
                    </a:prstGeom>
                  </pic:spPr>
                </pic:pic>
              </a:graphicData>
            </a:graphic>
          </wp:inline>
        </w:drawing>
      </w:r>
    </w:p>
    <w:p w14:paraId="224534BE" w14:textId="77777777" w:rsidR="00C66912" w:rsidRDefault="00C66912" w:rsidP="00E32F1D">
      <w:pPr>
        <w:pStyle w:val="Ttulo10"/>
        <w:tabs>
          <w:tab w:val="left" w:pos="426"/>
        </w:tabs>
        <w:ind w:left="567"/>
        <w:jc w:val="both"/>
        <w:rPr>
          <w:rFonts w:ascii="Arial" w:hAnsi="Arial"/>
          <w:sz w:val="22"/>
          <w:lang w:val="es-CR"/>
        </w:rPr>
      </w:pPr>
    </w:p>
    <w:p w14:paraId="2ED19DD5" w14:textId="77777777" w:rsidR="00C66912" w:rsidRDefault="00C66912" w:rsidP="00E32F1D">
      <w:pPr>
        <w:pStyle w:val="Ttulo10"/>
        <w:tabs>
          <w:tab w:val="left" w:pos="426"/>
        </w:tabs>
        <w:ind w:left="567"/>
        <w:jc w:val="both"/>
        <w:rPr>
          <w:rFonts w:ascii="Arial" w:hAnsi="Arial"/>
          <w:sz w:val="22"/>
          <w:lang w:val="es-CR"/>
        </w:rPr>
      </w:pPr>
    </w:p>
    <w:p w14:paraId="1E014302" w14:textId="6ADBD712" w:rsidR="00912D0F" w:rsidRPr="001B0844" w:rsidRDefault="00912D0F" w:rsidP="00C66912">
      <w:pPr>
        <w:pStyle w:val="Ttulo10"/>
        <w:tabs>
          <w:tab w:val="left" w:pos="426"/>
        </w:tabs>
        <w:ind w:left="567"/>
        <w:jc w:val="both"/>
        <w:rPr>
          <w:b w:val="0"/>
          <w:bCs/>
          <w:sz w:val="22"/>
          <w:lang w:val="es-MX"/>
        </w:rPr>
      </w:pPr>
    </w:p>
    <w:p w14:paraId="5F0E912B" w14:textId="77777777" w:rsidR="00813AC2" w:rsidRDefault="00813AC2">
      <w:pPr>
        <w:rPr>
          <w:lang w:val="es-MX"/>
        </w:rPr>
      </w:pPr>
    </w:p>
    <w:p w14:paraId="52B8EA92" w14:textId="77777777" w:rsidR="00813AC2" w:rsidRDefault="00813AC2">
      <w:pPr>
        <w:rPr>
          <w:lang w:val="es-MX"/>
        </w:rPr>
      </w:pPr>
    </w:p>
    <w:p w14:paraId="01381A61" w14:textId="278CB902" w:rsidR="00912D0F" w:rsidRDefault="00912D0F" w:rsidP="00193371">
      <w:pPr>
        <w:jc w:val="center"/>
        <w:rPr>
          <w:lang w:val="es-MX"/>
        </w:rPr>
      </w:pPr>
    </w:p>
    <w:p w14:paraId="3284024E" w14:textId="77777777" w:rsidR="00912D0F" w:rsidRDefault="00912D0F" w:rsidP="00975D90">
      <w:pPr>
        <w:rPr>
          <w:lang w:val="es-MX"/>
        </w:rPr>
      </w:pPr>
    </w:p>
    <w:p w14:paraId="19DF0147" w14:textId="77777777" w:rsidR="00975D90" w:rsidRDefault="00975D90" w:rsidP="00975D90">
      <w:pPr>
        <w:rPr>
          <w:lang w:val="es-MX"/>
        </w:rPr>
      </w:pPr>
    </w:p>
    <w:p w14:paraId="240B3CEE" w14:textId="77777777" w:rsidR="003506F2" w:rsidRDefault="003506F2">
      <w:pPr>
        <w:rPr>
          <w:lang w:val="es-MX"/>
        </w:rPr>
        <w:sectPr w:rsidR="003506F2" w:rsidSect="00912D0F">
          <w:pgSz w:w="12242" w:h="15842" w:code="1"/>
          <w:pgMar w:top="1418" w:right="1701" w:bottom="1418" w:left="1701" w:header="709" w:footer="709" w:gutter="0"/>
          <w:cols w:space="708"/>
          <w:docGrid w:linePitch="360"/>
        </w:sectPr>
      </w:pPr>
    </w:p>
    <w:p w14:paraId="5BCC514C" w14:textId="1C8B179E" w:rsidR="00D97F28" w:rsidRPr="004A2776" w:rsidRDefault="00680446" w:rsidP="003506F2">
      <w:pPr>
        <w:pStyle w:val="NormalWeb"/>
        <w:tabs>
          <w:tab w:val="left" w:pos="567"/>
        </w:tabs>
        <w:outlineLvl w:val="0"/>
        <w:rPr>
          <w:rFonts w:asciiTheme="majorHAnsi" w:hAnsiTheme="majorHAnsi" w:cs="Tahoma"/>
          <w:b/>
          <w:bCs/>
          <w:smallCaps/>
          <w:sz w:val="28"/>
          <w:u w:val="single"/>
        </w:rPr>
      </w:pPr>
      <w:bookmarkStart w:id="377" w:name="_Toc442253275"/>
      <w:r>
        <w:rPr>
          <w:rFonts w:asciiTheme="majorHAnsi" w:hAnsiTheme="majorHAnsi" w:cs="Tahoma"/>
          <w:b/>
          <w:bCs/>
          <w:smallCaps/>
          <w:sz w:val="28"/>
          <w:u w:val="single"/>
        </w:rPr>
        <w:lastRenderedPageBreak/>
        <w:t>10</w:t>
      </w:r>
      <w:r w:rsidR="00D97F28">
        <w:rPr>
          <w:rFonts w:asciiTheme="majorHAnsi" w:hAnsiTheme="majorHAnsi" w:cs="Tahoma"/>
          <w:b/>
          <w:bCs/>
          <w:smallCaps/>
          <w:sz w:val="28"/>
          <w:u w:val="single"/>
        </w:rPr>
        <w:t xml:space="preserve">. </w:t>
      </w:r>
      <w:r w:rsidR="00D97F28">
        <w:rPr>
          <w:rFonts w:asciiTheme="majorHAnsi" w:hAnsiTheme="majorHAnsi" w:cs="Tahoma"/>
          <w:b/>
          <w:bCs/>
          <w:smallCaps/>
          <w:sz w:val="28"/>
          <w:u w:val="single"/>
        </w:rPr>
        <w:tab/>
      </w:r>
      <w:r w:rsidR="00D97F28" w:rsidRPr="00D97F28">
        <w:rPr>
          <w:rFonts w:asciiTheme="majorHAnsi" w:hAnsiTheme="majorHAnsi" w:cs="Tahoma"/>
          <w:b/>
          <w:bCs/>
          <w:smallCaps/>
          <w:sz w:val="28"/>
          <w:u w:val="single"/>
        </w:rPr>
        <w:t>Informe Técnico del Proceso de Formulación de Salarios 201</w:t>
      </w:r>
      <w:r w:rsidR="00813AC2">
        <w:rPr>
          <w:rFonts w:asciiTheme="majorHAnsi" w:hAnsiTheme="majorHAnsi" w:cs="Tahoma"/>
          <w:b/>
          <w:bCs/>
          <w:smallCaps/>
          <w:sz w:val="28"/>
          <w:u w:val="single"/>
        </w:rPr>
        <w:t>6</w:t>
      </w:r>
      <w:r w:rsidR="00D97F28" w:rsidRPr="00D97F28">
        <w:rPr>
          <w:rFonts w:asciiTheme="majorHAnsi" w:hAnsiTheme="majorHAnsi" w:cs="Tahoma"/>
          <w:b/>
          <w:bCs/>
          <w:smallCaps/>
          <w:sz w:val="28"/>
          <w:u w:val="single"/>
        </w:rPr>
        <w:t xml:space="preserve"> de BCCR y ODM</w:t>
      </w:r>
      <w:bookmarkEnd w:id="377"/>
    </w:p>
    <w:p w14:paraId="13A5BF1D" w14:textId="77777777" w:rsidR="003506F2" w:rsidRDefault="003506F2" w:rsidP="00813AC2">
      <w:pPr>
        <w:rPr>
          <w:lang w:eastAsia="es-ES_tradnl"/>
        </w:rPr>
      </w:pPr>
    </w:p>
    <w:p w14:paraId="75656136" w14:textId="77777777" w:rsidR="00813AC2" w:rsidRDefault="00813AC2" w:rsidP="00813AC2">
      <w:pPr>
        <w:ind w:firstLine="720"/>
        <w:jc w:val="center"/>
        <w:rPr>
          <w:rFonts w:ascii="Book Antiqua" w:hAnsi="Book Antiqua"/>
          <w:b/>
        </w:rPr>
      </w:pPr>
      <w:r>
        <w:rPr>
          <w:rFonts w:ascii="Book Antiqua" w:hAnsi="Book Antiqua"/>
          <w:b/>
        </w:rPr>
        <w:t>Informe Técnico del Proceso de F</w:t>
      </w:r>
      <w:r w:rsidRPr="009F0301">
        <w:rPr>
          <w:rFonts w:ascii="Book Antiqua" w:hAnsi="Book Antiqua"/>
          <w:b/>
        </w:rPr>
        <w:t>ormulación de Salarios 20</w:t>
      </w:r>
      <w:r>
        <w:rPr>
          <w:rFonts w:ascii="Book Antiqua" w:hAnsi="Book Antiqua"/>
          <w:b/>
        </w:rPr>
        <w:t xml:space="preserve">16, </w:t>
      </w:r>
      <w:r w:rsidRPr="009F0301">
        <w:rPr>
          <w:rFonts w:ascii="Book Antiqua" w:hAnsi="Book Antiqua"/>
          <w:b/>
        </w:rPr>
        <w:t>B</w:t>
      </w:r>
      <w:r>
        <w:rPr>
          <w:rFonts w:ascii="Book Antiqua" w:hAnsi="Book Antiqua"/>
          <w:b/>
        </w:rPr>
        <w:t xml:space="preserve">CCR </w:t>
      </w:r>
      <w:r w:rsidRPr="009F0301">
        <w:rPr>
          <w:rFonts w:ascii="Book Antiqua" w:hAnsi="Book Antiqua"/>
          <w:b/>
        </w:rPr>
        <w:t xml:space="preserve">y </w:t>
      </w:r>
      <w:r>
        <w:rPr>
          <w:rFonts w:ascii="Book Antiqua" w:hAnsi="Book Antiqua"/>
          <w:b/>
        </w:rPr>
        <w:t>ODM</w:t>
      </w:r>
    </w:p>
    <w:p w14:paraId="4D4F5591" w14:textId="77777777" w:rsidR="00813AC2" w:rsidRPr="009F0301" w:rsidRDefault="00813AC2" w:rsidP="00813AC2">
      <w:pPr>
        <w:jc w:val="center"/>
        <w:rPr>
          <w:rFonts w:ascii="Book Antiqua" w:hAnsi="Book Antiqua"/>
          <w:b/>
        </w:rPr>
      </w:pPr>
    </w:p>
    <w:p w14:paraId="77928CBD" w14:textId="77777777" w:rsidR="00813AC2" w:rsidRPr="004E17C5" w:rsidRDefault="00813AC2" w:rsidP="00813AC2">
      <w:pPr>
        <w:spacing w:before="120"/>
        <w:rPr>
          <w:rFonts w:ascii="Book Antiqua" w:hAnsi="Book Antiqua"/>
          <w:b/>
          <w:i/>
          <w:color w:val="800000"/>
        </w:rPr>
      </w:pPr>
      <w:r w:rsidRPr="004E17C5">
        <w:rPr>
          <w:rFonts w:ascii="Book Antiqua" w:hAnsi="Book Antiqua"/>
          <w:b/>
          <w:i/>
          <w:color w:val="800000"/>
        </w:rPr>
        <w:t>Introducción</w:t>
      </w:r>
    </w:p>
    <w:p w14:paraId="4C2E3289" w14:textId="77777777" w:rsidR="00813AC2" w:rsidRPr="009F0301" w:rsidRDefault="00813AC2" w:rsidP="00813AC2">
      <w:pPr>
        <w:jc w:val="both"/>
        <w:rPr>
          <w:rFonts w:ascii="Book Antiqua" w:hAnsi="Book Antiqua"/>
        </w:rPr>
      </w:pPr>
      <w:r w:rsidRPr="009F0301">
        <w:rPr>
          <w:rFonts w:ascii="Book Antiqua" w:hAnsi="Book Antiqua"/>
        </w:rPr>
        <w:t xml:space="preserve">El presente </w:t>
      </w:r>
      <w:r>
        <w:rPr>
          <w:rFonts w:ascii="Book Antiqua" w:hAnsi="Book Antiqua"/>
        </w:rPr>
        <w:t xml:space="preserve">informe tiene como objetivo analizar </w:t>
      </w:r>
      <w:r w:rsidRPr="009F0301">
        <w:rPr>
          <w:rFonts w:ascii="Book Antiqua" w:hAnsi="Book Antiqua"/>
        </w:rPr>
        <w:t xml:space="preserve">las variaciones que se </w:t>
      </w:r>
      <w:r>
        <w:rPr>
          <w:rFonts w:ascii="Book Antiqua" w:hAnsi="Book Antiqua"/>
        </w:rPr>
        <w:t>observan</w:t>
      </w:r>
      <w:r w:rsidRPr="009F0301">
        <w:rPr>
          <w:rFonts w:ascii="Book Antiqua" w:hAnsi="Book Antiqua"/>
        </w:rPr>
        <w:t xml:space="preserve"> </w:t>
      </w:r>
      <w:r>
        <w:rPr>
          <w:rFonts w:ascii="Book Antiqua" w:hAnsi="Book Antiqua"/>
        </w:rPr>
        <w:t>de</w:t>
      </w:r>
      <w:r w:rsidRPr="009F0301">
        <w:rPr>
          <w:rFonts w:ascii="Book Antiqua" w:hAnsi="Book Antiqua"/>
        </w:rPr>
        <w:t xml:space="preserve"> comparar </w:t>
      </w:r>
      <w:r>
        <w:rPr>
          <w:rFonts w:ascii="Book Antiqua" w:hAnsi="Book Antiqua"/>
        </w:rPr>
        <w:t>los</w:t>
      </w:r>
      <w:r w:rsidRPr="009F0301">
        <w:rPr>
          <w:rFonts w:ascii="Book Antiqua" w:hAnsi="Book Antiqua"/>
        </w:rPr>
        <w:t xml:space="preserve"> presupuesto</w:t>
      </w:r>
      <w:r>
        <w:rPr>
          <w:rFonts w:ascii="Book Antiqua" w:hAnsi="Book Antiqua"/>
        </w:rPr>
        <w:t>s</w:t>
      </w:r>
      <w:r w:rsidRPr="009F0301">
        <w:rPr>
          <w:rFonts w:ascii="Book Antiqua" w:hAnsi="Book Antiqua"/>
        </w:rPr>
        <w:t xml:space="preserve"> </w:t>
      </w:r>
      <w:r>
        <w:rPr>
          <w:rFonts w:ascii="Book Antiqua" w:hAnsi="Book Antiqua"/>
        </w:rPr>
        <w:t xml:space="preserve">de salarios </w:t>
      </w:r>
      <w:r w:rsidRPr="009F0301">
        <w:rPr>
          <w:rFonts w:ascii="Book Antiqua" w:hAnsi="Book Antiqua"/>
        </w:rPr>
        <w:t>formulado</w:t>
      </w:r>
      <w:r>
        <w:rPr>
          <w:rFonts w:ascii="Book Antiqua" w:hAnsi="Book Antiqua"/>
        </w:rPr>
        <w:t>s</w:t>
      </w:r>
      <w:r w:rsidRPr="009F0301">
        <w:rPr>
          <w:rFonts w:ascii="Book Antiqua" w:hAnsi="Book Antiqua"/>
        </w:rPr>
        <w:t xml:space="preserve"> </w:t>
      </w:r>
      <w:r>
        <w:rPr>
          <w:rFonts w:ascii="Book Antiqua" w:hAnsi="Book Antiqua"/>
        </w:rPr>
        <w:t>para el</w:t>
      </w:r>
      <w:r w:rsidRPr="009F0301">
        <w:rPr>
          <w:rFonts w:ascii="Book Antiqua" w:hAnsi="Book Antiqua"/>
        </w:rPr>
        <w:t xml:space="preserve"> 20</w:t>
      </w:r>
      <w:r>
        <w:rPr>
          <w:rFonts w:ascii="Book Antiqua" w:hAnsi="Book Antiqua"/>
        </w:rPr>
        <w:t>16</w:t>
      </w:r>
      <w:r w:rsidRPr="009F0301">
        <w:rPr>
          <w:rFonts w:ascii="Book Antiqua" w:hAnsi="Book Antiqua"/>
        </w:rPr>
        <w:t xml:space="preserve"> </w:t>
      </w:r>
      <w:r>
        <w:rPr>
          <w:rFonts w:ascii="Book Antiqua" w:hAnsi="Book Antiqua"/>
        </w:rPr>
        <w:t xml:space="preserve">y </w:t>
      </w:r>
      <w:r w:rsidRPr="009F0301">
        <w:rPr>
          <w:rFonts w:ascii="Book Antiqua" w:hAnsi="Book Antiqua"/>
        </w:rPr>
        <w:t>20</w:t>
      </w:r>
      <w:r>
        <w:rPr>
          <w:rFonts w:ascii="Book Antiqua" w:hAnsi="Book Antiqua"/>
        </w:rPr>
        <w:t>15</w:t>
      </w:r>
      <w:r w:rsidRPr="009F0301">
        <w:rPr>
          <w:rFonts w:ascii="Book Antiqua" w:hAnsi="Book Antiqua"/>
        </w:rPr>
        <w:t xml:space="preserve">, </w:t>
      </w:r>
      <w:r>
        <w:rPr>
          <w:rFonts w:ascii="Book Antiqua" w:hAnsi="Book Antiqua"/>
        </w:rPr>
        <w:t xml:space="preserve">así como exponer la metodología seguida en el proceso de formulación de los salarios del 2016, análisis que incluye a </w:t>
      </w:r>
      <w:r w:rsidRPr="009F0301">
        <w:rPr>
          <w:rFonts w:ascii="Book Antiqua" w:hAnsi="Book Antiqua"/>
        </w:rPr>
        <w:t xml:space="preserve">todas </w:t>
      </w:r>
      <w:r>
        <w:rPr>
          <w:rFonts w:ascii="Book Antiqua" w:hAnsi="Book Antiqua"/>
        </w:rPr>
        <w:t xml:space="preserve">las </w:t>
      </w:r>
      <w:r w:rsidRPr="009F0301">
        <w:rPr>
          <w:rFonts w:ascii="Book Antiqua" w:hAnsi="Book Antiqua"/>
        </w:rPr>
        <w:t xml:space="preserve">dependencias de </w:t>
      </w:r>
      <w:r>
        <w:rPr>
          <w:rFonts w:ascii="Book Antiqua" w:hAnsi="Book Antiqua"/>
        </w:rPr>
        <w:t>BCCR y ODM, referido a las partidas salariales ordinarias únicamente.</w:t>
      </w:r>
    </w:p>
    <w:p w14:paraId="23557F9F" w14:textId="77777777" w:rsidR="00813AC2" w:rsidRDefault="00813AC2" w:rsidP="00813AC2">
      <w:pPr>
        <w:jc w:val="both"/>
        <w:rPr>
          <w:rFonts w:ascii="Book Antiqua" w:hAnsi="Book Antiqua"/>
        </w:rPr>
      </w:pPr>
    </w:p>
    <w:p w14:paraId="220DC60A" w14:textId="77777777" w:rsidR="00813AC2" w:rsidRDefault="00813AC2" w:rsidP="00813AC2">
      <w:pPr>
        <w:jc w:val="both"/>
        <w:rPr>
          <w:rFonts w:ascii="Book Antiqua" w:hAnsi="Book Antiqua"/>
        </w:rPr>
      </w:pPr>
      <w:r>
        <w:rPr>
          <w:rFonts w:ascii="Book Antiqua" w:hAnsi="Book Antiqua"/>
        </w:rPr>
        <w:t>Como punto de partida, es importante señalar que e</w:t>
      </w:r>
      <w:r w:rsidRPr="009F0301">
        <w:rPr>
          <w:rFonts w:ascii="Book Antiqua" w:hAnsi="Book Antiqua"/>
        </w:rPr>
        <w:t>l presupuesto salarial del año 20</w:t>
      </w:r>
      <w:r>
        <w:rPr>
          <w:rFonts w:ascii="Book Antiqua" w:hAnsi="Book Antiqua"/>
        </w:rPr>
        <w:t xml:space="preserve">16 </w:t>
      </w:r>
      <w:r w:rsidRPr="009F0301">
        <w:rPr>
          <w:rFonts w:ascii="Book Antiqua" w:hAnsi="Book Antiqua"/>
        </w:rPr>
        <w:t xml:space="preserve">fue formulado tomando como base </w:t>
      </w:r>
      <w:r>
        <w:rPr>
          <w:rFonts w:ascii="Book Antiqua" w:hAnsi="Book Antiqua"/>
        </w:rPr>
        <w:t>la nueva estructura de puestos adaptada a las necesidades de información que se requieren para la implementación del nuevo sistema informático denominado ERP/SAP, además de que se consideran los parámetros de presupuesto</w:t>
      </w:r>
      <w:r w:rsidRPr="00A74ADC">
        <w:rPr>
          <w:rFonts w:ascii="Book Antiqua" w:hAnsi="Book Antiqua"/>
        </w:rPr>
        <w:t xml:space="preserve"> 201</w:t>
      </w:r>
      <w:r>
        <w:rPr>
          <w:rFonts w:ascii="Book Antiqua" w:hAnsi="Book Antiqua"/>
        </w:rPr>
        <w:t xml:space="preserve">6 definidos por la Junta Directiva </w:t>
      </w:r>
      <w:r w:rsidRPr="00875D91">
        <w:rPr>
          <w:rFonts w:ascii="Book Antiqua" w:hAnsi="Book Antiqua"/>
        </w:rPr>
        <w:t xml:space="preserve">en el artículo </w:t>
      </w:r>
      <w:r>
        <w:rPr>
          <w:rFonts w:ascii="Book Antiqua" w:hAnsi="Book Antiqua"/>
        </w:rPr>
        <w:t>7</w:t>
      </w:r>
      <w:r w:rsidRPr="00875D91">
        <w:rPr>
          <w:rFonts w:ascii="Book Antiqua" w:hAnsi="Book Antiqua"/>
        </w:rPr>
        <w:t xml:space="preserve"> del acta de la sesión </w:t>
      </w:r>
      <w:r>
        <w:rPr>
          <w:rFonts w:ascii="Book Antiqua" w:hAnsi="Book Antiqua"/>
        </w:rPr>
        <w:t>5693</w:t>
      </w:r>
      <w:r w:rsidRPr="00875D91">
        <w:rPr>
          <w:rFonts w:ascii="Book Antiqua" w:hAnsi="Book Antiqua"/>
        </w:rPr>
        <w:t>-201</w:t>
      </w:r>
      <w:r>
        <w:rPr>
          <w:rFonts w:ascii="Book Antiqua" w:hAnsi="Book Antiqua"/>
        </w:rPr>
        <w:t>5</w:t>
      </w:r>
      <w:r w:rsidRPr="00875D91">
        <w:rPr>
          <w:rFonts w:ascii="Book Antiqua" w:hAnsi="Book Antiqua"/>
        </w:rPr>
        <w:t xml:space="preserve">, celebrada el </w:t>
      </w:r>
      <w:r>
        <w:rPr>
          <w:rFonts w:ascii="Book Antiqua" w:hAnsi="Book Antiqua"/>
        </w:rPr>
        <w:t>1°</w:t>
      </w:r>
      <w:r w:rsidRPr="00875D91">
        <w:rPr>
          <w:rFonts w:ascii="Book Antiqua" w:hAnsi="Book Antiqua"/>
        </w:rPr>
        <w:t xml:space="preserve"> de ju</w:t>
      </w:r>
      <w:r>
        <w:rPr>
          <w:rFonts w:ascii="Book Antiqua" w:hAnsi="Book Antiqua"/>
        </w:rPr>
        <w:t>l</w:t>
      </w:r>
      <w:r w:rsidRPr="00875D91">
        <w:rPr>
          <w:rFonts w:ascii="Book Antiqua" w:hAnsi="Book Antiqua"/>
        </w:rPr>
        <w:t>io de</w:t>
      </w:r>
      <w:r>
        <w:rPr>
          <w:rFonts w:ascii="Book Antiqua" w:hAnsi="Book Antiqua"/>
        </w:rPr>
        <w:t>l</w:t>
      </w:r>
      <w:r w:rsidRPr="00875D91">
        <w:rPr>
          <w:rFonts w:ascii="Book Antiqua" w:hAnsi="Book Antiqua"/>
        </w:rPr>
        <w:t xml:space="preserve"> 201</w:t>
      </w:r>
      <w:r>
        <w:rPr>
          <w:rFonts w:ascii="Book Antiqua" w:hAnsi="Book Antiqua"/>
        </w:rPr>
        <w:t>5, que entre ellos estableció como tope de crecimiento final para la partida de Remuneraciones entre 2015 y 2016</w:t>
      </w:r>
      <w:r w:rsidRPr="005F6209">
        <w:rPr>
          <w:rFonts w:ascii="Book Antiqua" w:hAnsi="Book Antiqua"/>
        </w:rPr>
        <w:t xml:space="preserve"> </w:t>
      </w:r>
      <w:r>
        <w:rPr>
          <w:rFonts w:ascii="Book Antiqua" w:hAnsi="Book Antiqua"/>
        </w:rPr>
        <w:t xml:space="preserve">un </w:t>
      </w:r>
      <w:r w:rsidRPr="00B93FA6">
        <w:rPr>
          <w:rFonts w:ascii="Book Antiqua" w:hAnsi="Book Antiqua"/>
          <w:b/>
        </w:rPr>
        <w:t>5%,</w:t>
      </w:r>
      <w:r>
        <w:rPr>
          <w:rFonts w:ascii="Book Antiqua" w:hAnsi="Book Antiqua"/>
        </w:rPr>
        <w:t xml:space="preserve"> incremento que a la vez se concibe como “provisión” para cubrir los posibles aumentos salariales que se autoricen por la Junta Directiva durante el año 2016.</w:t>
      </w:r>
    </w:p>
    <w:p w14:paraId="057327DB" w14:textId="77777777" w:rsidR="00813AC2" w:rsidRDefault="00813AC2" w:rsidP="00813AC2">
      <w:pPr>
        <w:spacing w:before="120"/>
        <w:rPr>
          <w:rFonts w:ascii="Book Antiqua" w:hAnsi="Book Antiqua"/>
          <w:b/>
          <w:i/>
          <w:color w:val="800000"/>
        </w:rPr>
      </w:pPr>
    </w:p>
    <w:p w14:paraId="2DCCB535" w14:textId="77777777" w:rsidR="00813AC2" w:rsidRPr="009F0301" w:rsidRDefault="00813AC2" w:rsidP="00813AC2">
      <w:pPr>
        <w:spacing w:before="120"/>
        <w:rPr>
          <w:rFonts w:ascii="Book Antiqua" w:hAnsi="Book Antiqua"/>
          <w:b/>
          <w:i/>
          <w:color w:val="800000"/>
        </w:rPr>
      </w:pPr>
      <w:r w:rsidRPr="009F0301">
        <w:rPr>
          <w:rFonts w:ascii="Book Antiqua" w:hAnsi="Book Antiqua"/>
          <w:b/>
          <w:i/>
          <w:color w:val="800000"/>
        </w:rPr>
        <w:t>Composición del presupuesto de salarios</w:t>
      </w:r>
    </w:p>
    <w:p w14:paraId="21507205" w14:textId="77777777" w:rsidR="00813AC2" w:rsidRDefault="00813AC2" w:rsidP="00813AC2">
      <w:pPr>
        <w:jc w:val="both"/>
        <w:rPr>
          <w:rFonts w:ascii="Book Antiqua" w:hAnsi="Book Antiqua"/>
        </w:rPr>
      </w:pPr>
      <w:r w:rsidRPr="009F0301">
        <w:rPr>
          <w:rFonts w:ascii="Book Antiqua" w:hAnsi="Book Antiqua"/>
        </w:rPr>
        <w:t xml:space="preserve">El siguiente cuadro presenta </w:t>
      </w:r>
      <w:r>
        <w:rPr>
          <w:rFonts w:ascii="Book Antiqua" w:hAnsi="Book Antiqua"/>
        </w:rPr>
        <w:t xml:space="preserve">en forma comparativa </w:t>
      </w:r>
      <w:r w:rsidRPr="009F0301">
        <w:rPr>
          <w:rFonts w:ascii="Book Antiqua" w:hAnsi="Book Antiqua"/>
        </w:rPr>
        <w:t xml:space="preserve">la composición porcentual de las partidas </w:t>
      </w:r>
      <w:r w:rsidRPr="001F24EA">
        <w:rPr>
          <w:rFonts w:ascii="Book Antiqua" w:hAnsi="Book Antiqua"/>
        </w:rPr>
        <w:t>salariales que conforman el presupuesto de salarios formulado para los años 201</w:t>
      </w:r>
      <w:r>
        <w:rPr>
          <w:rFonts w:ascii="Book Antiqua" w:hAnsi="Book Antiqua"/>
        </w:rPr>
        <w:t>6</w:t>
      </w:r>
      <w:r w:rsidRPr="001F24EA">
        <w:rPr>
          <w:rFonts w:ascii="Book Antiqua" w:hAnsi="Book Antiqua"/>
        </w:rPr>
        <w:t xml:space="preserve"> y 201</w:t>
      </w:r>
      <w:r>
        <w:rPr>
          <w:rFonts w:ascii="Book Antiqua" w:hAnsi="Book Antiqua"/>
        </w:rPr>
        <w:t>5</w:t>
      </w:r>
      <w:r w:rsidRPr="001F24EA">
        <w:rPr>
          <w:rFonts w:ascii="Book Antiqua" w:hAnsi="Book Antiqua"/>
        </w:rPr>
        <w:t xml:space="preserve">, </w:t>
      </w:r>
      <w:r w:rsidRPr="000E6A98">
        <w:rPr>
          <w:rFonts w:ascii="Book Antiqua" w:hAnsi="Book Antiqua"/>
        </w:rPr>
        <w:t xml:space="preserve">donde se observa que entre un año y otro las variaciones son muy leves; siendo el salario único </w:t>
      </w:r>
      <w:r>
        <w:rPr>
          <w:rFonts w:ascii="Book Antiqua" w:hAnsi="Book Antiqua"/>
        </w:rPr>
        <w:t xml:space="preserve">la </w:t>
      </w:r>
      <w:r w:rsidRPr="000E6A98">
        <w:rPr>
          <w:rFonts w:ascii="Book Antiqua" w:hAnsi="Book Antiqua"/>
        </w:rPr>
        <w:t xml:space="preserve">partida que </w:t>
      </w:r>
      <w:r>
        <w:rPr>
          <w:rFonts w:ascii="Book Antiqua" w:hAnsi="Book Antiqua"/>
        </w:rPr>
        <w:t xml:space="preserve">más </w:t>
      </w:r>
      <w:r w:rsidRPr="000E6A98">
        <w:rPr>
          <w:rFonts w:ascii="Book Antiqua" w:hAnsi="Book Antiqua"/>
        </w:rPr>
        <w:t>incrementa</w:t>
      </w:r>
      <w:r>
        <w:rPr>
          <w:rFonts w:ascii="Book Antiqua" w:hAnsi="Book Antiqua"/>
        </w:rPr>
        <w:t xml:space="preserve"> su participación y el salario básico el que disminuye en mayor grado.</w:t>
      </w:r>
    </w:p>
    <w:p w14:paraId="07CF91E3" w14:textId="779BB3CE" w:rsidR="00813AC2" w:rsidRDefault="00813AC2">
      <w:pPr>
        <w:rPr>
          <w:rFonts w:ascii="Book Antiqua" w:hAnsi="Book Antiqua"/>
        </w:rPr>
      </w:pPr>
      <w:r>
        <w:rPr>
          <w:rFonts w:ascii="Book Antiqua" w:hAnsi="Book Antiqua"/>
        </w:rPr>
        <w:br w:type="page"/>
      </w:r>
    </w:p>
    <w:p w14:paraId="76C700D6" w14:textId="77777777" w:rsidR="00813AC2" w:rsidRPr="009F0301" w:rsidRDefault="00813AC2" w:rsidP="00813AC2">
      <w:pPr>
        <w:jc w:val="center"/>
        <w:rPr>
          <w:rFonts w:ascii="Book Antiqua" w:hAnsi="Book Antiqua"/>
          <w:b/>
        </w:rPr>
      </w:pPr>
      <w:r w:rsidRPr="009F0301">
        <w:rPr>
          <w:rFonts w:ascii="Book Antiqua" w:hAnsi="Book Antiqua"/>
          <w:b/>
        </w:rPr>
        <w:lastRenderedPageBreak/>
        <w:t>Distribución Porcentual del Presupuesto de Salarios</w:t>
      </w:r>
      <w:r>
        <w:rPr>
          <w:rFonts w:ascii="Book Antiqua" w:hAnsi="Book Antiqua"/>
          <w:b/>
        </w:rPr>
        <w:t>,</w:t>
      </w:r>
      <w:r w:rsidRPr="009F0301">
        <w:rPr>
          <w:rFonts w:ascii="Book Antiqua" w:hAnsi="Book Antiqua"/>
          <w:b/>
        </w:rPr>
        <w:t xml:space="preserve"> </w:t>
      </w:r>
      <w:r>
        <w:rPr>
          <w:rFonts w:ascii="Book Antiqua" w:hAnsi="Book Antiqua"/>
          <w:b/>
        </w:rPr>
        <w:t>s</w:t>
      </w:r>
      <w:r w:rsidRPr="009F0301">
        <w:rPr>
          <w:rFonts w:ascii="Book Antiqua" w:hAnsi="Book Antiqua"/>
          <w:b/>
        </w:rPr>
        <w:t>egún Partida</w:t>
      </w:r>
    </w:p>
    <w:p w14:paraId="4B780222" w14:textId="77777777" w:rsidR="00813AC2" w:rsidRPr="009F0301" w:rsidRDefault="00813AC2" w:rsidP="00813AC2">
      <w:pPr>
        <w:jc w:val="center"/>
        <w:rPr>
          <w:rFonts w:ascii="Book Antiqua" w:hAnsi="Book Antiqua"/>
          <w:b/>
        </w:rPr>
      </w:pPr>
      <w:r w:rsidRPr="009F0301">
        <w:rPr>
          <w:rFonts w:ascii="Book Antiqua" w:hAnsi="Book Antiqua"/>
          <w:b/>
        </w:rPr>
        <w:t>A</w:t>
      </w:r>
      <w:r>
        <w:rPr>
          <w:rFonts w:ascii="Book Antiqua" w:hAnsi="Book Antiqua"/>
          <w:b/>
        </w:rPr>
        <w:t>nual, Perí</w:t>
      </w:r>
      <w:r w:rsidRPr="009F0301">
        <w:rPr>
          <w:rFonts w:ascii="Book Antiqua" w:hAnsi="Book Antiqua"/>
          <w:b/>
        </w:rPr>
        <w:t>odo 20</w:t>
      </w:r>
      <w:r>
        <w:rPr>
          <w:rFonts w:ascii="Book Antiqua" w:hAnsi="Book Antiqua"/>
          <w:b/>
        </w:rPr>
        <w:t>15-2016</w:t>
      </w:r>
    </w:p>
    <w:tbl>
      <w:tblPr>
        <w:tblW w:w="6531" w:type="dxa"/>
        <w:jc w:val="center"/>
        <w:tblLook w:val="0000" w:firstRow="0" w:lastRow="0" w:firstColumn="0" w:lastColumn="0" w:noHBand="0" w:noVBand="0"/>
      </w:tblPr>
      <w:tblGrid>
        <w:gridCol w:w="2930"/>
        <w:gridCol w:w="1090"/>
        <w:gridCol w:w="1130"/>
        <w:gridCol w:w="1381"/>
      </w:tblGrid>
      <w:tr w:rsidR="00813AC2" w:rsidRPr="00813AC2" w14:paraId="081A8A8C" w14:textId="77777777" w:rsidTr="00813AC2">
        <w:trPr>
          <w:trHeight w:val="315"/>
          <w:jc w:val="center"/>
        </w:trPr>
        <w:tc>
          <w:tcPr>
            <w:tcW w:w="2930" w:type="dxa"/>
            <w:vMerge w:val="restart"/>
            <w:tcBorders>
              <w:top w:val="double" w:sz="6" w:space="0" w:color="0000FF"/>
              <w:left w:val="nil"/>
              <w:bottom w:val="single" w:sz="8" w:space="0" w:color="0000FF"/>
              <w:right w:val="single" w:sz="4" w:space="0" w:color="0000FF"/>
            </w:tcBorders>
            <w:shd w:val="clear" w:color="auto" w:fill="auto"/>
            <w:noWrap/>
            <w:vAlign w:val="center"/>
          </w:tcPr>
          <w:p w14:paraId="55F6BDDF" w14:textId="77777777" w:rsidR="00813AC2" w:rsidRPr="00813AC2" w:rsidRDefault="00813AC2" w:rsidP="00813AC2">
            <w:pPr>
              <w:jc w:val="center"/>
              <w:rPr>
                <w:rFonts w:ascii="Book Antiqua" w:hAnsi="Book Antiqua"/>
                <w:b/>
                <w:bCs/>
                <w:sz w:val="20"/>
              </w:rPr>
            </w:pPr>
            <w:r w:rsidRPr="00813AC2">
              <w:rPr>
                <w:rFonts w:ascii="Book Antiqua" w:hAnsi="Book Antiqua"/>
                <w:b/>
                <w:bCs/>
                <w:sz w:val="20"/>
              </w:rPr>
              <w:t>Partida</w:t>
            </w:r>
          </w:p>
        </w:tc>
        <w:tc>
          <w:tcPr>
            <w:tcW w:w="3601" w:type="dxa"/>
            <w:gridSpan w:val="3"/>
            <w:tcBorders>
              <w:top w:val="double" w:sz="6" w:space="0" w:color="0000FF"/>
              <w:left w:val="nil"/>
              <w:bottom w:val="single" w:sz="4" w:space="0" w:color="0000FF"/>
              <w:right w:val="nil"/>
            </w:tcBorders>
          </w:tcPr>
          <w:p w14:paraId="75DF06F3" w14:textId="77777777" w:rsidR="00813AC2" w:rsidRPr="00813AC2" w:rsidRDefault="00813AC2" w:rsidP="00813AC2">
            <w:pPr>
              <w:jc w:val="center"/>
              <w:rPr>
                <w:rFonts w:ascii="Book Antiqua" w:hAnsi="Book Antiqua"/>
                <w:b/>
                <w:bCs/>
                <w:sz w:val="20"/>
              </w:rPr>
            </w:pPr>
            <w:r w:rsidRPr="00813AC2">
              <w:rPr>
                <w:rFonts w:ascii="Book Antiqua" w:hAnsi="Book Antiqua"/>
                <w:b/>
                <w:bCs/>
                <w:sz w:val="20"/>
              </w:rPr>
              <w:t>Distribución porcentual</w:t>
            </w:r>
          </w:p>
        </w:tc>
      </w:tr>
      <w:tr w:rsidR="00813AC2" w:rsidRPr="00813AC2" w14:paraId="30E3ADA6" w14:textId="77777777" w:rsidTr="00813AC2">
        <w:trPr>
          <w:trHeight w:val="315"/>
          <w:jc w:val="center"/>
        </w:trPr>
        <w:tc>
          <w:tcPr>
            <w:tcW w:w="2930" w:type="dxa"/>
            <w:vMerge/>
            <w:tcBorders>
              <w:top w:val="double" w:sz="6" w:space="0" w:color="0000FF"/>
              <w:left w:val="nil"/>
              <w:bottom w:val="single" w:sz="8" w:space="0" w:color="0000FF"/>
              <w:right w:val="single" w:sz="4" w:space="0" w:color="0000FF"/>
            </w:tcBorders>
            <w:vAlign w:val="center"/>
          </w:tcPr>
          <w:p w14:paraId="7D41D07B" w14:textId="77777777" w:rsidR="00813AC2" w:rsidRPr="00813AC2" w:rsidRDefault="00813AC2" w:rsidP="00813AC2">
            <w:pPr>
              <w:rPr>
                <w:rFonts w:ascii="Book Antiqua" w:hAnsi="Book Antiqua"/>
                <w:b/>
                <w:bCs/>
                <w:sz w:val="20"/>
              </w:rPr>
            </w:pPr>
          </w:p>
        </w:tc>
        <w:tc>
          <w:tcPr>
            <w:tcW w:w="1090" w:type="dxa"/>
            <w:tcBorders>
              <w:top w:val="nil"/>
              <w:left w:val="nil"/>
              <w:bottom w:val="single" w:sz="8" w:space="0" w:color="0000FF"/>
              <w:right w:val="nil"/>
            </w:tcBorders>
            <w:vAlign w:val="bottom"/>
          </w:tcPr>
          <w:p w14:paraId="60E804A7" w14:textId="77777777" w:rsidR="00813AC2" w:rsidRPr="00813AC2" w:rsidRDefault="00813AC2" w:rsidP="00813AC2">
            <w:pPr>
              <w:jc w:val="center"/>
              <w:rPr>
                <w:rFonts w:ascii="Book Antiqua" w:hAnsi="Book Antiqua"/>
                <w:b/>
                <w:bCs/>
                <w:sz w:val="20"/>
              </w:rPr>
            </w:pPr>
            <w:r w:rsidRPr="00813AC2">
              <w:rPr>
                <w:rFonts w:ascii="Book Antiqua" w:hAnsi="Book Antiqua"/>
                <w:b/>
                <w:bCs/>
                <w:sz w:val="20"/>
              </w:rPr>
              <w:t>2015</w:t>
            </w:r>
          </w:p>
        </w:tc>
        <w:tc>
          <w:tcPr>
            <w:tcW w:w="1130" w:type="dxa"/>
            <w:tcBorders>
              <w:top w:val="nil"/>
              <w:left w:val="nil"/>
              <w:bottom w:val="single" w:sz="8" w:space="0" w:color="0000FF"/>
              <w:right w:val="nil"/>
            </w:tcBorders>
            <w:shd w:val="clear" w:color="auto" w:fill="auto"/>
            <w:noWrap/>
            <w:vAlign w:val="bottom"/>
          </w:tcPr>
          <w:p w14:paraId="4007722E" w14:textId="77777777" w:rsidR="00813AC2" w:rsidRPr="00813AC2" w:rsidRDefault="00813AC2" w:rsidP="00813AC2">
            <w:pPr>
              <w:jc w:val="center"/>
              <w:rPr>
                <w:rFonts w:ascii="Book Antiqua" w:hAnsi="Book Antiqua"/>
                <w:b/>
                <w:bCs/>
                <w:sz w:val="20"/>
              </w:rPr>
            </w:pPr>
            <w:r w:rsidRPr="00813AC2">
              <w:rPr>
                <w:rFonts w:ascii="Book Antiqua" w:hAnsi="Book Antiqua"/>
                <w:b/>
                <w:bCs/>
                <w:sz w:val="20"/>
              </w:rPr>
              <w:t>2016</w:t>
            </w:r>
          </w:p>
        </w:tc>
        <w:tc>
          <w:tcPr>
            <w:tcW w:w="1381" w:type="dxa"/>
            <w:tcBorders>
              <w:top w:val="nil"/>
              <w:left w:val="nil"/>
              <w:bottom w:val="single" w:sz="8" w:space="0" w:color="0000FF"/>
              <w:right w:val="nil"/>
            </w:tcBorders>
            <w:shd w:val="clear" w:color="auto" w:fill="auto"/>
            <w:noWrap/>
            <w:vAlign w:val="bottom"/>
          </w:tcPr>
          <w:p w14:paraId="78B41DAF" w14:textId="77777777" w:rsidR="00813AC2" w:rsidRPr="00813AC2" w:rsidRDefault="00813AC2" w:rsidP="00813AC2">
            <w:pPr>
              <w:jc w:val="center"/>
              <w:rPr>
                <w:rFonts w:ascii="Book Antiqua" w:hAnsi="Book Antiqua"/>
                <w:b/>
                <w:bCs/>
                <w:sz w:val="20"/>
              </w:rPr>
            </w:pPr>
            <w:r w:rsidRPr="00813AC2">
              <w:rPr>
                <w:rFonts w:ascii="Book Antiqua" w:hAnsi="Book Antiqua"/>
                <w:b/>
                <w:bCs/>
                <w:sz w:val="20"/>
              </w:rPr>
              <w:t>Diferencia</w:t>
            </w:r>
          </w:p>
        </w:tc>
      </w:tr>
      <w:tr w:rsidR="00813AC2" w:rsidRPr="00813AC2" w14:paraId="137E8EFE" w14:textId="77777777" w:rsidTr="00813AC2">
        <w:trPr>
          <w:trHeight w:val="300"/>
          <w:jc w:val="center"/>
        </w:trPr>
        <w:tc>
          <w:tcPr>
            <w:tcW w:w="2930" w:type="dxa"/>
            <w:tcBorders>
              <w:top w:val="nil"/>
              <w:left w:val="nil"/>
              <w:bottom w:val="nil"/>
              <w:right w:val="single" w:sz="4" w:space="0" w:color="0000FF"/>
            </w:tcBorders>
            <w:shd w:val="clear" w:color="auto" w:fill="auto"/>
            <w:noWrap/>
            <w:vAlign w:val="bottom"/>
          </w:tcPr>
          <w:p w14:paraId="29898283" w14:textId="77777777" w:rsidR="00813AC2" w:rsidRPr="00813AC2" w:rsidRDefault="00813AC2" w:rsidP="00813AC2">
            <w:pPr>
              <w:rPr>
                <w:rFonts w:ascii="Book Antiqua" w:hAnsi="Book Antiqua"/>
                <w:sz w:val="20"/>
              </w:rPr>
            </w:pPr>
            <w:r w:rsidRPr="00813AC2">
              <w:rPr>
                <w:rFonts w:ascii="Book Antiqua" w:hAnsi="Book Antiqua"/>
                <w:sz w:val="20"/>
              </w:rPr>
              <w:t>Sueldos Básicos</w:t>
            </w:r>
          </w:p>
        </w:tc>
        <w:tc>
          <w:tcPr>
            <w:tcW w:w="1090" w:type="dxa"/>
            <w:tcBorders>
              <w:top w:val="nil"/>
              <w:left w:val="nil"/>
              <w:bottom w:val="nil"/>
              <w:right w:val="nil"/>
            </w:tcBorders>
            <w:vAlign w:val="center"/>
          </w:tcPr>
          <w:p w14:paraId="1B60A0D3"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13.23%</w:t>
            </w:r>
          </w:p>
        </w:tc>
        <w:tc>
          <w:tcPr>
            <w:tcW w:w="1130" w:type="dxa"/>
            <w:tcBorders>
              <w:top w:val="nil"/>
              <w:left w:val="nil"/>
              <w:bottom w:val="nil"/>
              <w:right w:val="nil"/>
            </w:tcBorders>
            <w:shd w:val="clear" w:color="auto" w:fill="auto"/>
            <w:noWrap/>
            <w:vAlign w:val="center"/>
          </w:tcPr>
          <w:p w14:paraId="65069232"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12.73%</w:t>
            </w:r>
          </w:p>
        </w:tc>
        <w:tc>
          <w:tcPr>
            <w:tcW w:w="1381" w:type="dxa"/>
            <w:tcBorders>
              <w:top w:val="nil"/>
              <w:left w:val="nil"/>
              <w:bottom w:val="nil"/>
              <w:right w:val="nil"/>
            </w:tcBorders>
            <w:shd w:val="clear" w:color="auto" w:fill="auto"/>
            <w:noWrap/>
            <w:vAlign w:val="center"/>
          </w:tcPr>
          <w:p w14:paraId="4823764F"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-0.50%</w:t>
            </w:r>
          </w:p>
        </w:tc>
      </w:tr>
      <w:tr w:rsidR="00813AC2" w:rsidRPr="00813AC2" w14:paraId="66AB3E17" w14:textId="77777777" w:rsidTr="00813AC2">
        <w:trPr>
          <w:trHeight w:val="300"/>
          <w:jc w:val="center"/>
        </w:trPr>
        <w:tc>
          <w:tcPr>
            <w:tcW w:w="2930" w:type="dxa"/>
            <w:tcBorders>
              <w:top w:val="nil"/>
              <w:left w:val="nil"/>
              <w:bottom w:val="nil"/>
              <w:right w:val="single" w:sz="4" w:space="0" w:color="0000FF"/>
            </w:tcBorders>
            <w:shd w:val="clear" w:color="auto" w:fill="auto"/>
            <w:noWrap/>
            <w:vAlign w:val="bottom"/>
          </w:tcPr>
          <w:p w14:paraId="79405507" w14:textId="77777777" w:rsidR="00813AC2" w:rsidRPr="00813AC2" w:rsidRDefault="00813AC2" w:rsidP="00813AC2">
            <w:pPr>
              <w:rPr>
                <w:rFonts w:ascii="Book Antiqua" w:hAnsi="Book Antiqua"/>
                <w:sz w:val="20"/>
              </w:rPr>
            </w:pPr>
            <w:r w:rsidRPr="00813AC2">
              <w:rPr>
                <w:rFonts w:ascii="Book Antiqua" w:hAnsi="Book Antiqua"/>
                <w:sz w:val="20"/>
              </w:rPr>
              <w:t>Salario Único</w:t>
            </w:r>
          </w:p>
        </w:tc>
        <w:tc>
          <w:tcPr>
            <w:tcW w:w="1090" w:type="dxa"/>
            <w:tcBorders>
              <w:top w:val="nil"/>
              <w:left w:val="nil"/>
              <w:bottom w:val="nil"/>
              <w:right w:val="nil"/>
            </w:tcBorders>
            <w:vAlign w:val="bottom"/>
          </w:tcPr>
          <w:p w14:paraId="340AD492"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58.64%</w:t>
            </w:r>
          </w:p>
        </w:tc>
        <w:tc>
          <w:tcPr>
            <w:tcW w:w="1130" w:type="dxa"/>
            <w:tcBorders>
              <w:top w:val="nil"/>
              <w:left w:val="nil"/>
              <w:bottom w:val="nil"/>
              <w:right w:val="nil"/>
            </w:tcBorders>
            <w:shd w:val="clear" w:color="auto" w:fill="auto"/>
            <w:noWrap/>
            <w:vAlign w:val="bottom"/>
          </w:tcPr>
          <w:p w14:paraId="1E89B597"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59.16%</w:t>
            </w:r>
          </w:p>
        </w:tc>
        <w:tc>
          <w:tcPr>
            <w:tcW w:w="1381" w:type="dxa"/>
            <w:tcBorders>
              <w:top w:val="nil"/>
              <w:left w:val="nil"/>
              <w:bottom w:val="nil"/>
              <w:right w:val="nil"/>
            </w:tcBorders>
            <w:shd w:val="clear" w:color="auto" w:fill="auto"/>
            <w:noWrap/>
            <w:vAlign w:val="bottom"/>
          </w:tcPr>
          <w:p w14:paraId="24081F73"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0.52%</w:t>
            </w:r>
          </w:p>
        </w:tc>
      </w:tr>
      <w:tr w:rsidR="00813AC2" w:rsidRPr="00813AC2" w14:paraId="7B0C8265" w14:textId="77777777" w:rsidTr="00813AC2">
        <w:trPr>
          <w:trHeight w:val="300"/>
          <w:jc w:val="center"/>
        </w:trPr>
        <w:tc>
          <w:tcPr>
            <w:tcW w:w="2930" w:type="dxa"/>
            <w:tcBorders>
              <w:top w:val="nil"/>
              <w:left w:val="nil"/>
              <w:bottom w:val="nil"/>
              <w:right w:val="single" w:sz="4" w:space="0" w:color="0000FF"/>
            </w:tcBorders>
            <w:shd w:val="clear" w:color="auto" w:fill="auto"/>
            <w:noWrap/>
            <w:vAlign w:val="bottom"/>
          </w:tcPr>
          <w:p w14:paraId="5279E4DA" w14:textId="77777777" w:rsidR="00813AC2" w:rsidRPr="00813AC2" w:rsidRDefault="00813AC2" w:rsidP="00813AC2">
            <w:pPr>
              <w:rPr>
                <w:rFonts w:ascii="Book Antiqua" w:hAnsi="Book Antiqua"/>
                <w:sz w:val="20"/>
              </w:rPr>
            </w:pPr>
            <w:r w:rsidRPr="00813AC2">
              <w:rPr>
                <w:rFonts w:ascii="Book Antiqua" w:hAnsi="Book Antiqua"/>
                <w:sz w:val="20"/>
              </w:rPr>
              <w:t>Servicios especiales</w:t>
            </w:r>
          </w:p>
        </w:tc>
        <w:tc>
          <w:tcPr>
            <w:tcW w:w="1090" w:type="dxa"/>
            <w:tcBorders>
              <w:top w:val="nil"/>
              <w:left w:val="nil"/>
              <w:bottom w:val="nil"/>
              <w:right w:val="nil"/>
            </w:tcBorders>
            <w:vAlign w:val="bottom"/>
          </w:tcPr>
          <w:p w14:paraId="294D59A3"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3.76%</w:t>
            </w:r>
          </w:p>
        </w:tc>
        <w:tc>
          <w:tcPr>
            <w:tcW w:w="1130" w:type="dxa"/>
            <w:tcBorders>
              <w:top w:val="nil"/>
              <w:left w:val="nil"/>
              <w:bottom w:val="nil"/>
              <w:right w:val="nil"/>
            </w:tcBorders>
            <w:shd w:val="clear" w:color="auto" w:fill="auto"/>
            <w:noWrap/>
            <w:vAlign w:val="bottom"/>
          </w:tcPr>
          <w:p w14:paraId="17747EE9"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3.74%</w:t>
            </w:r>
          </w:p>
        </w:tc>
        <w:tc>
          <w:tcPr>
            <w:tcW w:w="1381" w:type="dxa"/>
            <w:tcBorders>
              <w:top w:val="nil"/>
              <w:left w:val="nil"/>
              <w:bottom w:val="nil"/>
              <w:right w:val="nil"/>
            </w:tcBorders>
            <w:shd w:val="clear" w:color="auto" w:fill="auto"/>
            <w:noWrap/>
            <w:vAlign w:val="bottom"/>
          </w:tcPr>
          <w:p w14:paraId="6B356910"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-0.02%</w:t>
            </w:r>
          </w:p>
        </w:tc>
      </w:tr>
      <w:tr w:rsidR="00813AC2" w:rsidRPr="00813AC2" w14:paraId="7C299968" w14:textId="77777777" w:rsidTr="00813AC2">
        <w:trPr>
          <w:trHeight w:val="300"/>
          <w:jc w:val="center"/>
        </w:trPr>
        <w:tc>
          <w:tcPr>
            <w:tcW w:w="2930" w:type="dxa"/>
            <w:tcBorders>
              <w:top w:val="nil"/>
              <w:left w:val="nil"/>
              <w:bottom w:val="nil"/>
              <w:right w:val="single" w:sz="4" w:space="0" w:color="0000FF"/>
            </w:tcBorders>
            <w:shd w:val="clear" w:color="auto" w:fill="auto"/>
            <w:noWrap/>
            <w:vAlign w:val="bottom"/>
          </w:tcPr>
          <w:p w14:paraId="29F35900" w14:textId="77777777" w:rsidR="00813AC2" w:rsidRPr="00813AC2" w:rsidRDefault="00813AC2" w:rsidP="00813AC2">
            <w:pPr>
              <w:rPr>
                <w:rFonts w:ascii="Book Antiqua" w:hAnsi="Book Antiqua"/>
                <w:sz w:val="20"/>
              </w:rPr>
            </w:pPr>
            <w:r w:rsidRPr="00813AC2">
              <w:rPr>
                <w:rFonts w:ascii="Book Antiqua" w:hAnsi="Book Antiqua"/>
                <w:sz w:val="20"/>
              </w:rPr>
              <w:t>Anualidad</w:t>
            </w:r>
          </w:p>
        </w:tc>
        <w:tc>
          <w:tcPr>
            <w:tcW w:w="1090" w:type="dxa"/>
            <w:tcBorders>
              <w:top w:val="nil"/>
              <w:left w:val="nil"/>
              <w:bottom w:val="nil"/>
              <w:right w:val="nil"/>
            </w:tcBorders>
            <w:vAlign w:val="bottom"/>
          </w:tcPr>
          <w:p w14:paraId="77AA15A9"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8.70%</w:t>
            </w:r>
          </w:p>
        </w:tc>
        <w:tc>
          <w:tcPr>
            <w:tcW w:w="1130" w:type="dxa"/>
            <w:tcBorders>
              <w:top w:val="nil"/>
              <w:left w:val="nil"/>
              <w:bottom w:val="nil"/>
              <w:right w:val="nil"/>
            </w:tcBorders>
            <w:shd w:val="clear" w:color="auto" w:fill="auto"/>
            <w:noWrap/>
            <w:vAlign w:val="bottom"/>
          </w:tcPr>
          <w:p w14:paraId="530DEB3B"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8.48%</w:t>
            </w:r>
          </w:p>
        </w:tc>
        <w:tc>
          <w:tcPr>
            <w:tcW w:w="1381" w:type="dxa"/>
            <w:tcBorders>
              <w:top w:val="nil"/>
              <w:left w:val="nil"/>
              <w:bottom w:val="nil"/>
              <w:right w:val="nil"/>
            </w:tcBorders>
            <w:shd w:val="clear" w:color="auto" w:fill="auto"/>
            <w:noWrap/>
            <w:vAlign w:val="bottom"/>
          </w:tcPr>
          <w:p w14:paraId="58061391"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-0.22%</w:t>
            </w:r>
          </w:p>
        </w:tc>
      </w:tr>
      <w:tr w:rsidR="00813AC2" w:rsidRPr="00813AC2" w14:paraId="18DED615" w14:textId="77777777" w:rsidTr="00813AC2">
        <w:trPr>
          <w:trHeight w:val="300"/>
          <w:jc w:val="center"/>
        </w:trPr>
        <w:tc>
          <w:tcPr>
            <w:tcW w:w="2930" w:type="dxa"/>
            <w:tcBorders>
              <w:top w:val="nil"/>
              <w:left w:val="nil"/>
              <w:bottom w:val="nil"/>
              <w:right w:val="single" w:sz="4" w:space="0" w:color="0000FF"/>
            </w:tcBorders>
            <w:shd w:val="clear" w:color="auto" w:fill="auto"/>
            <w:noWrap/>
            <w:vAlign w:val="bottom"/>
          </w:tcPr>
          <w:p w14:paraId="62EF3506" w14:textId="77777777" w:rsidR="00813AC2" w:rsidRPr="00813AC2" w:rsidRDefault="00813AC2" w:rsidP="00813AC2">
            <w:pPr>
              <w:rPr>
                <w:rFonts w:ascii="Book Antiqua" w:hAnsi="Book Antiqua"/>
                <w:sz w:val="20"/>
              </w:rPr>
            </w:pPr>
            <w:r w:rsidRPr="00813AC2">
              <w:rPr>
                <w:rFonts w:ascii="Book Antiqua" w:hAnsi="Book Antiqua"/>
                <w:sz w:val="20"/>
              </w:rPr>
              <w:t>Méritos</w:t>
            </w:r>
          </w:p>
        </w:tc>
        <w:tc>
          <w:tcPr>
            <w:tcW w:w="1090" w:type="dxa"/>
            <w:tcBorders>
              <w:top w:val="nil"/>
              <w:left w:val="nil"/>
              <w:bottom w:val="nil"/>
              <w:right w:val="nil"/>
            </w:tcBorders>
            <w:vAlign w:val="bottom"/>
          </w:tcPr>
          <w:p w14:paraId="0DD205F8"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10.58%</w:t>
            </w:r>
          </w:p>
        </w:tc>
        <w:tc>
          <w:tcPr>
            <w:tcW w:w="1130" w:type="dxa"/>
            <w:tcBorders>
              <w:top w:val="nil"/>
              <w:left w:val="nil"/>
              <w:bottom w:val="nil"/>
              <w:right w:val="nil"/>
            </w:tcBorders>
            <w:shd w:val="clear" w:color="auto" w:fill="auto"/>
            <w:noWrap/>
            <w:vAlign w:val="bottom"/>
          </w:tcPr>
          <w:p w14:paraId="4D3BA5F4"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10.82%</w:t>
            </w:r>
          </w:p>
        </w:tc>
        <w:tc>
          <w:tcPr>
            <w:tcW w:w="1381" w:type="dxa"/>
            <w:tcBorders>
              <w:top w:val="nil"/>
              <w:left w:val="nil"/>
              <w:bottom w:val="nil"/>
              <w:right w:val="nil"/>
            </w:tcBorders>
            <w:shd w:val="clear" w:color="auto" w:fill="auto"/>
            <w:noWrap/>
            <w:vAlign w:val="bottom"/>
          </w:tcPr>
          <w:p w14:paraId="045A5796"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0.24%</w:t>
            </w:r>
          </w:p>
        </w:tc>
      </w:tr>
      <w:tr w:rsidR="00813AC2" w:rsidRPr="00813AC2" w14:paraId="0DA9F63B" w14:textId="77777777" w:rsidTr="00813AC2">
        <w:trPr>
          <w:trHeight w:val="300"/>
          <w:jc w:val="center"/>
        </w:trPr>
        <w:tc>
          <w:tcPr>
            <w:tcW w:w="2930" w:type="dxa"/>
            <w:tcBorders>
              <w:top w:val="nil"/>
              <w:left w:val="nil"/>
              <w:bottom w:val="nil"/>
              <w:right w:val="single" w:sz="4" w:space="0" w:color="0000FF"/>
            </w:tcBorders>
            <w:shd w:val="clear" w:color="auto" w:fill="auto"/>
            <w:noWrap/>
            <w:vAlign w:val="bottom"/>
          </w:tcPr>
          <w:p w14:paraId="37C7AD22" w14:textId="77777777" w:rsidR="00813AC2" w:rsidRPr="00813AC2" w:rsidRDefault="00813AC2" w:rsidP="00813AC2">
            <w:pPr>
              <w:rPr>
                <w:rFonts w:ascii="Book Antiqua" w:hAnsi="Book Antiqua"/>
                <w:sz w:val="20"/>
              </w:rPr>
            </w:pPr>
            <w:r w:rsidRPr="00813AC2">
              <w:rPr>
                <w:rFonts w:ascii="Book Antiqua" w:hAnsi="Book Antiqua"/>
                <w:sz w:val="20"/>
              </w:rPr>
              <w:t>Bonificación profesional</w:t>
            </w:r>
          </w:p>
        </w:tc>
        <w:tc>
          <w:tcPr>
            <w:tcW w:w="1090" w:type="dxa"/>
            <w:tcBorders>
              <w:top w:val="nil"/>
              <w:left w:val="nil"/>
              <w:bottom w:val="nil"/>
              <w:right w:val="nil"/>
            </w:tcBorders>
            <w:vAlign w:val="bottom"/>
          </w:tcPr>
          <w:p w14:paraId="0249D276"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2.25%</w:t>
            </w:r>
          </w:p>
        </w:tc>
        <w:tc>
          <w:tcPr>
            <w:tcW w:w="1130" w:type="dxa"/>
            <w:tcBorders>
              <w:top w:val="nil"/>
              <w:left w:val="nil"/>
              <w:bottom w:val="nil"/>
              <w:right w:val="nil"/>
            </w:tcBorders>
            <w:shd w:val="clear" w:color="auto" w:fill="auto"/>
            <w:noWrap/>
            <w:vAlign w:val="bottom"/>
          </w:tcPr>
          <w:p w14:paraId="651BBBED"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2.25%</w:t>
            </w:r>
          </w:p>
        </w:tc>
        <w:tc>
          <w:tcPr>
            <w:tcW w:w="1381" w:type="dxa"/>
            <w:tcBorders>
              <w:top w:val="nil"/>
              <w:left w:val="nil"/>
              <w:bottom w:val="nil"/>
              <w:right w:val="nil"/>
            </w:tcBorders>
            <w:shd w:val="clear" w:color="auto" w:fill="auto"/>
            <w:noWrap/>
            <w:vAlign w:val="bottom"/>
          </w:tcPr>
          <w:p w14:paraId="740562BE"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0.00%</w:t>
            </w:r>
          </w:p>
        </w:tc>
      </w:tr>
      <w:tr w:rsidR="00813AC2" w:rsidRPr="00813AC2" w14:paraId="42C334E8" w14:textId="77777777" w:rsidTr="00813AC2">
        <w:trPr>
          <w:trHeight w:val="300"/>
          <w:jc w:val="center"/>
        </w:trPr>
        <w:tc>
          <w:tcPr>
            <w:tcW w:w="2930" w:type="dxa"/>
            <w:tcBorders>
              <w:top w:val="nil"/>
              <w:left w:val="nil"/>
              <w:bottom w:val="nil"/>
              <w:right w:val="single" w:sz="4" w:space="0" w:color="0000FF"/>
            </w:tcBorders>
            <w:shd w:val="clear" w:color="auto" w:fill="auto"/>
            <w:noWrap/>
            <w:vAlign w:val="bottom"/>
          </w:tcPr>
          <w:p w14:paraId="4C57FBCA" w14:textId="77777777" w:rsidR="00813AC2" w:rsidRPr="00813AC2" w:rsidRDefault="00813AC2" w:rsidP="00813AC2">
            <w:pPr>
              <w:rPr>
                <w:rFonts w:ascii="Book Antiqua" w:hAnsi="Book Antiqua"/>
                <w:sz w:val="20"/>
              </w:rPr>
            </w:pPr>
            <w:r w:rsidRPr="00813AC2">
              <w:rPr>
                <w:rFonts w:ascii="Book Antiqua" w:hAnsi="Book Antiqua"/>
                <w:sz w:val="20"/>
              </w:rPr>
              <w:t xml:space="preserve">Prohibición </w:t>
            </w:r>
          </w:p>
        </w:tc>
        <w:tc>
          <w:tcPr>
            <w:tcW w:w="1090" w:type="dxa"/>
            <w:tcBorders>
              <w:top w:val="nil"/>
              <w:left w:val="nil"/>
              <w:bottom w:val="nil"/>
              <w:right w:val="nil"/>
            </w:tcBorders>
            <w:vAlign w:val="bottom"/>
          </w:tcPr>
          <w:p w14:paraId="666363B9"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2.48%</w:t>
            </w:r>
          </w:p>
        </w:tc>
        <w:tc>
          <w:tcPr>
            <w:tcW w:w="1130" w:type="dxa"/>
            <w:tcBorders>
              <w:top w:val="nil"/>
              <w:left w:val="nil"/>
              <w:bottom w:val="nil"/>
              <w:right w:val="nil"/>
            </w:tcBorders>
            <w:shd w:val="clear" w:color="auto" w:fill="auto"/>
            <w:noWrap/>
            <w:vAlign w:val="bottom"/>
          </w:tcPr>
          <w:p w14:paraId="0DF5AD44"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2.43%</w:t>
            </w:r>
          </w:p>
        </w:tc>
        <w:tc>
          <w:tcPr>
            <w:tcW w:w="1381" w:type="dxa"/>
            <w:tcBorders>
              <w:top w:val="nil"/>
              <w:left w:val="nil"/>
              <w:bottom w:val="nil"/>
              <w:right w:val="nil"/>
            </w:tcBorders>
            <w:shd w:val="clear" w:color="auto" w:fill="auto"/>
            <w:noWrap/>
            <w:vAlign w:val="bottom"/>
          </w:tcPr>
          <w:p w14:paraId="2504C340"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-0.05%</w:t>
            </w:r>
          </w:p>
        </w:tc>
      </w:tr>
      <w:tr w:rsidR="00813AC2" w:rsidRPr="00813AC2" w14:paraId="0575AE41" w14:textId="77777777" w:rsidTr="00813AC2">
        <w:trPr>
          <w:trHeight w:val="300"/>
          <w:jc w:val="center"/>
        </w:trPr>
        <w:tc>
          <w:tcPr>
            <w:tcW w:w="2930" w:type="dxa"/>
            <w:tcBorders>
              <w:top w:val="nil"/>
              <w:left w:val="nil"/>
              <w:right w:val="single" w:sz="4" w:space="0" w:color="0000FF"/>
            </w:tcBorders>
            <w:shd w:val="clear" w:color="auto" w:fill="auto"/>
            <w:noWrap/>
            <w:vAlign w:val="bottom"/>
          </w:tcPr>
          <w:p w14:paraId="55D18D22" w14:textId="77777777" w:rsidR="00813AC2" w:rsidRPr="00813AC2" w:rsidRDefault="00813AC2" w:rsidP="00813AC2">
            <w:pPr>
              <w:rPr>
                <w:rFonts w:ascii="Book Antiqua" w:hAnsi="Book Antiqua"/>
                <w:sz w:val="20"/>
              </w:rPr>
            </w:pPr>
            <w:r w:rsidRPr="00813AC2">
              <w:rPr>
                <w:rFonts w:ascii="Book Antiqua" w:hAnsi="Book Antiqua"/>
                <w:sz w:val="20"/>
              </w:rPr>
              <w:t>Ajuste Personal</w:t>
            </w:r>
          </w:p>
        </w:tc>
        <w:tc>
          <w:tcPr>
            <w:tcW w:w="1090" w:type="dxa"/>
            <w:tcBorders>
              <w:top w:val="nil"/>
              <w:left w:val="nil"/>
              <w:right w:val="nil"/>
            </w:tcBorders>
            <w:vAlign w:val="bottom"/>
          </w:tcPr>
          <w:p w14:paraId="63203DEC"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0.05%</w:t>
            </w:r>
          </w:p>
        </w:tc>
        <w:tc>
          <w:tcPr>
            <w:tcW w:w="1130" w:type="dxa"/>
            <w:tcBorders>
              <w:top w:val="nil"/>
              <w:left w:val="nil"/>
              <w:right w:val="nil"/>
            </w:tcBorders>
            <w:shd w:val="clear" w:color="auto" w:fill="auto"/>
            <w:noWrap/>
            <w:vAlign w:val="bottom"/>
          </w:tcPr>
          <w:p w14:paraId="66F46824"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0.04%</w:t>
            </w:r>
          </w:p>
        </w:tc>
        <w:tc>
          <w:tcPr>
            <w:tcW w:w="1381" w:type="dxa"/>
            <w:tcBorders>
              <w:top w:val="nil"/>
              <w:left w:val="nil"/>
              <w:right w:val="nil"/>
            </w:tcBorders>
            <w:shd w:val="clear" w:color="auto" w:fill="auto"/>
            <w:noWrap/>
            <w:vAlign w:val="bottom"/>
          </w:tcPr>
          <w:p w14:paraId="494C0C03"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-0.01%</w:t>
            </w:r>
          </w:p>
        </w:tc>
      </w:tr>
      <w:tr w:rsidR="00813AC2" w:rsidRPr="00813AC2" w14:paraId="2778AFB3" w14:textId="77777777" w:rsidTr="00813AC2">
        <w:trPr>
          <w:trHeight w:val="315"/>
          <w:jc w:val="center"/>
        </w:trPr>
        <w:tc>
          <w:tcPr>
            <w:tcW w:w="2930" w:type="dxa"/>
            <w:tcBorders>
              <w:top w:val="nil"/>
              <w:left w:val="nil"/>
              <w:right w:val="single" w:sz="4" w:space="0" w:color="0000FF"/>
            </w:tcBorders>
            <w:shd w:val="clear" w:color="auto" w:fill="auto"/>
            <w:noWrap/>
            <w:vAlign w:val="bottom"/>
          </w:tcPr>
          <w:p w14:paraId="0EAA9AF4" w14:textId="77777777" w:rsidR="00813AC2" w:rsidRPr="00813AC2" w:rsidRDefault="00813AC2" w:rsidP="00813AC2">
            <w:pPr>
              <w:rPr>
                <w:rFonts w:ascii="Book Antiqua" w:hAnsi="Book Antiqua"/>
                <w:bCs/>
                <w:sz w:val="20"/>
              </w:rPr>
            </w:pPr>
            <w:r w:rsidRPr="00813AC2">
              <w:rPr>
                <w:rFonts w:ascii="Book Antiqua" w:hAnsi="Book Antiqua"/>
                <w:bCs/>
                <w:sz w:val="20"/>
              </w:rPr>
              <w:t>Ajuste de mercado</w:t>
            </w:r>
          </w:p>
        </w:tc>
        <w:tc>
          <w:tcPr>
            <w:tcW w:w="1090" w:type="dxa"/>
            <w:tcBorders>
              <w:top w:val="nil"/>
              <w:left w:val="nil"/>
              <w:right w:val="nil"/>
            </w:tcBorders>
            <w:vAlign w:val="bottom"/>
          </w:tcPr>
          <w:p w14:paraId="420743FA"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0.31%</w:t>
            </w:r>
          </w:p>
        </w:tc>
        <w:tc>
          <w:tcPr>
            <w:tcW w:w="1130" w:type="dxa"/>
            <w:tcBorders>
              <w:top w:val="nil"/>
              <w:left w:val="nil"/>
              <w:right w:val="nil"/>
            </w:tcBorders>
            <w:shd w:val="clear" w:color="auto" w:fill="auto"/>
            <w:noWrap/>
            <w:vAlign w:val="bottom"/>
          </w:tcPr>
          <w:p w14:paraId="2BC7B6A6"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0.36%</w:t>
            </w:r>
          </w:p>
        </w:tc>
        <w:tc>
          <w:tcPr>
            <w:tcW w:w="1381" w:type="dxa"/>
            <w:tcBorders>
              <w:top w:val="nil"/>
              <w:left w:val="nil"/>
              <w:right w:val="nil"/>
            </w:tcBorders>
            <w:shd w:val="clear" w:color="auto" w:fill="auto"/>
            <w:noWrap/>
            <w:vAlign w:val="bottom"/>
          </w:tcPr>
          <w:p w14:paraId="27B6B634" w14:textId="77777777" w:rsidR="00813AC2" w:rsidRPr="00813AC2" w:rsidRDefault="00813AC2" w:rsidP="00813AC2">
            <w:pPr>
              <w:jc w:val="center"/>
              <w:rPr>
                <w:rFonts w:ascii="Book Antiqua" w:hAnsi="Book Antiqua"/>
                <w:sz w:val="20"/>
                <w:szCs w:val="22"/>
              </w:rPr>
            </w:pPr>
            <w:r w:rsidRPr="00813AC2">
              <w:rPr>
                <w:rFonts w:ascii="Book Antiqua" w:hAnsi="Book Antiqua"/>
                <w:sz w:val="20"/>
                <w:szCs w:val="22"/>
              </w:rPr>
              <w:t>0.05%</w:t>
            </w:r>
          </w:p>
        </w:tc>
      </w:tr>
      <w:tr w:rsidR="00813AC2" w:rsidRPr="00813AC2" w14:paraId="17CD44E5" w14:textId="77777777" w:rsidTr="00813AC2">
        <w:trPr>
          <w:trHeight w:val="315"/>
          <w:jc w:val="center"/>
        </w:trPr>
        <w:tc>
          <w:tcPr>
            <w:tcW w:w="2930" w:type="dxa"/>
            <w:tcBorders>
              <w:left w:val="nil"/>
              <w:bottom w:val="double" w:sz="6" w:space="0" w:color="0000FF"/>
              <w:right w:val="single" w:sz="4" w:space="0" w:color="0000FF"/>
            </w:tcBorders>
            <w:shd w:val="clear" w:color="auto" w:fill="auto"/>
            <w:noWrap/>
            <w:vAlign w:val="bottom"/>
          </w:tcPr>
          <w:p w14:paraId="5BF93274" w14:textId="77777777" w:rsidR="00813AC2" w:rsidRPr="00813AC2" w:rsidRDefault="00813AC2" w:rsidP="00813AC2">
            <w:pPr>
              <w:rPr>
                <w:rFonts w:ascii="Book Antiqua" w:hAnsi="Book Antiqua"/>
                <w:b/>
                <w:bCs/>
                <w:sz w:val="20"/>
              </w:rPr>
            </w:pPr>
            <w:r w:rsidRPr="00813AC2">
              <w:rPr>
                <w:rFonts w:ascii="Book Antiqua" w:hAnsi="Book Antiqua"/>
                <w:b/>
                <w:bCs/>
                <w:sz w:val="20"/>
              </w:rPr>
              <w:t>Total</w:t>
            </w:r>
          </w:p>
        </w:tc>
        <w:tc>
          <w:tcPr>
            <w:tcW w:w="1090" w:type="dxa"/>
            <w:tcBorders>
              <w:left w:val="nil"/>
              <w:bottom w:val="double" w:sz="6" w:space="0" w:color="0000FF"/>
              <w:right w:val="nil"/>
            </w:tcBorders>
            <w:vAlign w:val="bottom"/>
          </w:tcPr>
          <w:p w14:paraId="02117079" w14:textId="77777777" w:rsidR="00813AC2" w:rsidRPr="00813AC2" w:rsidRDefault="00813AC2" w:rsidP="00813AC2">
            <w:pPr>
              <w:jc w:val="center"/>
              <w:rPr>
                <w:rFonts w:ascii="Book Antiqua" w:hAnsi="Book Antiqua"/>
                <w:b/>
                <w:sz w:val="20"/>
                <w:szCs w:val="22"/>
              </w:rPr>
            </w:pPr>
            <w:r w:rsidRPr="00813AC2">
              <w:rPr>
                <w:rFonts w:ascii="Book Antiqua" w:hAnsi="Book Antiqua"/>
                <w:b/>
                <w:sz w:val="20"/>
                <w:szCs w:val="22"/>
              </w:rPr>
              <w:t>100.00%</w:t>
            </w:r>
          </w:p>
        </w:tc>
        <w:tc>
          <w:tcPr>
            <w:tcW w:w="1130" w:type="dxa"/>
            <w:tcBorders>
              <w:left w:val="nil"/>
              <w:bottom w:val="double" w:sz="6" w:space="0" w:color="0000FF"/>
              <w:right w:val="nil"/>
            </w:tcBorders>
            <w:shd w:val="clear" w:color="auto" w:fill="auto"/>
            <w:noWrap/>
            <w:vAlign w:val="bottom"/>
          </w:tcPr>
          <w:p w14:paraId="72148DBF" w14:textId="77777777" w:rsidR="00813AC2" w:rsidRPr="00813AC2" w:rsidRDefault="00813AC2" w:rsidP="00813AC2">
            <w:pPr>
              <w:jc w:val="center"/>
              <w:rPr>
                <w:rFonts w:ascii="Book Antiqua" w:hAnsi="Book Antiqua"/>
                <w:b/>
                <w:sz w:val="20"/>
                <w:szCs w:val="22"/>
              </w:rPr>
            </w:pPr>
            <w:r w:rsidRPr="00813AC2">
              <w:rPr>
                <w:rFonts w:ascii="Book Antiqua" w:hAnsi="Book Antiqua"/>
                <w:b/>
                <w:sz w:val="20"/>
                <w:szCs w:val="22"/>
              </w:rPr>
              <w:t>100.00%</w:t>
            </w:r>
          </w:p>
        </w:tc>
        <w:tc>
          <w:tcPr>
            <w:tcW w:w="1381" w:type="dxa"/>
            <w:tcBorders>
              <w:left w:val="nil"/>
              <w:bottom w:val="double" w:sz="6" w:space="0" w:color="0000FF"/>
              <w:right w:val="nil"/>
            </w:tcBorders>
            <w:shd w:val="clear" w:color="auto" w:fill="auto"/>
            <w:noWrap/>
            <w:vAlign w:val="bottom"/>
          </w:tcPr>
          <w:p w14:paraId="198ED6A5" w14:textId="77777777" w:rsidR="00813AC2" w:rsidRPr="00813AC2" w:rsidRDefault="00813AC2" w:rsidP="00813AC2">
            <w:pPr>
              <w:jc w:val="center"/>
              <w:rPr>
                <w:rFonts w:ascii="Book Antiqua" w:hAnsi="Book Antiqua"/>
                <w:b/>
                <w:sz w:val="20"/>
                <w:szCs w:val="22"/>
              </w:rPr>
            </w:pPr>
          </w:p>
        </w:tc>
      </w:tr>
    </w:tbl>
    <w:p w14:paraId="45A631A1" w14:textId="77777777" w:rsidR="00813AC2" w:rsidRDefault="00813AC2" w:rsidP="00813AC2">
      <w:pPr>
        <w:rPr>
          <w:rFonts w:ascii="Book Antiqua" w:hAnsi="Book Antiqua"/>
          <w:b/>
          <w:i/>
          <w:color w:val="800000"/>
        </w:rPr>
      </w:pPr>
    </w:p>
    <w:p w14:paraId="13CAD784" w14:textId="77777777" w:rsidR="00813AC2" w:rsidRDefault="00813AC2" w:rsidP="00813AC2">
      <w:pPr>
        <w:jc w:val="both"/>
        <w:rPr>
          <w:rFonts w:ascii="Book Antiqua" w:hAnsi="Book Antiqua"/>
        </w:rPr>
      </w:pPr>
      <w:r>
        <w:rPr>
          <w:rFonts w:ascii="Book Antiqua" w:hAnsi="Book Antiqua"/>
        </w:rPr>
        <w:t xml:space="preserve">En el siguiente Gráfico </w:t>
      </w:r>
      <w:r w:rsidRPr="00F72259">
        <w:rPr>
          <w:rFonts w:ascii="Book Antiqua" w:hAnsi="Book Antiqua"/>
        </w:rPr>
        <w:t>No.1</w:t>
      </w:r>
      <w:r>
        <w:rPr>
          <w:rFonts w:ascii="Book Antiqua" w:hAnsi="Book Antiqua"/>
        </w:rPr>
        <w:t xml:space="preserve">, se observa como el rubro salario global ha venido año con año </w:t>
      </w:r>
      <w:r w:rsidRPr="00802104">
        <w:rPr>
          <w:rFonts w:ascii="Book Antiqua" w:hAnsi="Book Antiqua"/>
        </w:rPr>
        <w:t xml:space="preserve">tomando mayor relevancia en </w:t>
      </w:r>
      <w:r>
        <w:rPr>
          <w:rFonts w:ascii="Book Antiqua" w:hAnsi="Book Antiqua"/>
        </w:rPr>
        <w:t xml:space="preserve">el ámbito de </w:t>
      </w:r>
      <w:r w:rsidRPr="00802104">
        <w:rPr>
          <w:rFonts w:ascii="Book Antiqua" w:hAnsi="Book Antiqua"/>
        </w:rPr>
        <w:t>Banco Central</w:t>
      </w:r>
      <w:r>
        <w:rPr>
          <w:rFonts w:ascii="Book Antiqua" w:hAnsi="Book Antiqua"/>
        </w:rPr>
        <w:t>, dependencia en la cual s</w:t>
      </w:r>
      <w:r w:rsidRPr="00E73C55">
        <w:rPr>
          <w:rFonts w:ascii="Book Antiqua" w:hAnsi="Book Antiqua"/>
        </w:rPr>
        <w:t xml:space="preserve">e ubica la mayor cantidad de </w:t>
      </w:r>
      <w:r>
        <w:rPr>
          <w:rFonts w:ascii="Book Antiqua" w:hAnsi="Book Antiqua"/>
        </w:rPr>
        <w:t>plazas a nivel corporativo. Por ejemplo, en los tres últimos años la partida “salario único o global” representó más de la mitad (&gt;50%) de todos los salarios formulados en dicha dependencia; mientras que la partida de salario básico, a pesar de que cada año existen menos plazas cubiertas por esa escala salarial, para el 2016 se observa una disminución de un punto porcentual (de 15% a 14%) que mantuvo en los años anteriores.</w:t>
      </w:r>
    </w:p>
    <w:p w14:paraId="6B498DFA" w14:textId="77777777" w:rsidR="00813AC2" w:rsidRDefault="00813AC2" w:rsidP="00813AC2">
      <w:pPr>
        <w:jc w:val="both"/>
        <w:rPr>
          <w:rFonts w:ascii="Book Antiqua" w:hAnsi="Book Antiqua"/>
        </w:rPr>
      </w:pPr>
    </w:p>
    <w:p w14:paraId="7FD8A18F" w14:textId="77777777" w:rsidR="00813AC2" w:rsidRDefault="00813AC2" w:rsidP="00813AC2">
      <w:pPr>
        <w:jc w:val="center"/>
        <w:rPr>
          <w:rFonts w:ascii="Book Antiqua" w:hAnsi="Book Antiqua"/>
          <w:b/>
          <w:sz w:val="20"/>
          <w:szCs w:val="20"/>
        </w:rPr>
      </w:pPr>
      <w:r>
        <w:rPr>
          <w:rFonts w:ascii="Book Antiqua" w:hAnsi="Book Antiqua"/>
          <w:b/>
          <w:sz w:val="20"/>
          <w:szCs w:val="20"/>
        </w:rPr>
        <w:t>GRÁFICO No.1</w:t>
      </w:r>
    </w:p>
    <w:p w14:paraId="34BAE0F6" w14:textId="77777777" w:rsidR="00813AC2" w:rsidRDefault="00813AC2" w:rsidP="00813AC2">
      <w:pPr>
        <w:jc w:val="center"/>
        <w:rPr>
          <w:rFonts w:ascii="Book Antiqua" w:hAnsi="Book Antiqua"/>
          <w:b/>
          <w:sz w:val="20"/>
          <w:szCs w:val="20"/>
        </w:rPr>
      </w:pPr>
      <w:r>
        <w:rPr>
          <w:rFonts w:ascii="Book Antiqua" w:hAnsi="Book Antiqua"/>
          <w:b/>
          <w:sz w:val="20"/>
          <w:szCs w:val="20"/>
        </w:rPr>
        <w:t xml:space="preserve">BCCR: </w:t>
      </w:r>
      <w:r w:rsidRPr="00010F4C">
        <w:rPr>
          <w:rFonts w:ascii="Book Antiqua" w:hAnsi="Book Antiqua"/>
          <w:b/>
          <w:sz w:val="20"/>
          <w:szCs w:val="20"/>
        </w:rPr>
        <w:t>DISTRIBUCIÓN PORCENTUAL DEL PRESUPUESTO</w:t>
      </w:r>
      <w:r>
        <w:rPr>
          <w:rFonts w:ascii="Book Antiqua" w:hAnsi="Book Antiqua"/>
          <w:b/>
          <w:sz w:val="20"/>
          <w:szCs w:val="20"/>
        </w:rPr>
        <w:t xml:space="preserve"> DE SALARIOS,</w:t>
      </w:r>
      <w:r w:rsidRPr="00010F4C">
        <w:rPr>
          <w:rFonts w:ascii="Book Antiqua" w:hAnsi="Book Antiqua"/>
          <w:b/>
          <w:sz w:val="20"/>
          <w:szCs w:val="20"/>
        </w:rPr>
        <w:t xml:space="preserve"> SEGÚN PARTIDA </w:t>
      </w:r>
    </w:p>
    <w:p w14:paraId="00551A82" w14:textId="77777777" w:rsidR="00813AC2" w:rsidRPr="00010F4C" w:rsidRDefault="00813AC2" w:rsidP="00813AC2">
      <w:pPr>
        <w:jc w:val="center"/>
        <w:rPr>
          <w:rFonts w:ascii="Book Antiqua" w:hAnsi="Book Antiqua"/>
          <w:b/>
          <w:i/>
          <w:color w:val="800000"/>
          <w:sz w:val="20"/>
          <w:szCs w:val="20"/>
        </w:rPr>
      </w:pPr>
      <w:r>
        <w:rPr>
          <w:rFonts w:ascii="Book Antiqua" w:hAnsi="Book Antiqua"/>
          <w:b/>
          <w:sz w:val="20"/>
          <w:szCs w:val="20"/>
        </w:rPr>
        <w:t>Y AÑO, PERIODO 2009-2016</w:t>
      </w:r>
    </w:p>
    <w:p w14:paraId="5BE6983C" w14:textId="77777777" w:rsidR="00813AC2" w:rsidRPr="009F0301" w:rsidRDefault="00813AC2" w:rsidP="00813AC2">
      <w:pPr>
        <w:jc w:val="center"/>
        <w:rPr>
          <w:rFonts w:ascii="Book Antiqua" w:hAnsi="Book Antiqua"/>
          <w:b/>
          <w:i/>
          <w:color w:val="800000"/>
        </w:rPr>
      </w:pPr>
      <w:r>
        <w:rPr>
          <w:rFonts w:ascii="Book Antiqua" w:hAnsi="Book Antiqua"/>
          <w:b/>
          <w:i/>
          <w:noProof/>
          <w:color w:val="800000"/>
        </w:rPr>
        <w:drawing>
          <wp:inline distT="0" distB="0" distL="0" distR="0" wp14:anchorId="70DA0FD1" wp14:editId="7227FE7A">
            <wp:extent cx="3657600" cy="2657663"/>
            <wp:effectExtent l="0" t="0" r="0" b="9525"/>
            <wp:docPr id="80479" name="Imagen 80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671319" cy="2667632"/>
                    </a:xfrm>
                    <a:prstGeom prst="rect">
                      <a:avLst/>
                    </a:prstGeom>
                    <a:noFill/>
                  </pic:spPr>
                </pic:pic>
              </a:graphicData>
            </a:graphic>
          </wp:inline>
        </w:drawing>
      </w:r>
    </w:p>
    <w:p w14:paraId="386B19AE" w14:textId="77777777" w:rsidR="00813AC2" w:rsidRDefault="00813AC2" w:rsidP="00813AC2">
      <w:pPr>
        <w:jc w:val="both"/>
        <w:rPr>
          <w:rFonts w:ascii="Book Antiqua" w:hAnsi="Book Antiqua"/>
        </w:rPr>
      </w:pPr>
    </w:p>
    <w:p w14:paraId="7FC4EEF1" w14:textId="77777777" w:rsidR="00813AC2" w:rsidRDefault="00813AC2" w:rsidP="00813AC2">
      <w:pPr>
        <w:jc w:val="both"/>
        <w:rPr>
          <w:rFonts w:ascii="Book Antiqua" w:hAnsi="Book Antiqua"/>
        </w:rPr>
      </w:pPr>
      <w:r>
        <w:rPr>
          <w:rFonts w:ascii="Book Antiqua" w:hAnsi="Book Antiqua"/>
        </w:rPr>
        <w:t xml:space="preserve">De acuerdo con el Gráfico No.2, al analizar la composición de las partidas de </w:t>
      </w:r>
      <w:r w:rsidRPr="00826A61">
        <w:rPr>
          <w:rFonts w:ascii="Book Antiqua" w:hAnsi="Book Antiqua"/>
        </w:rPr>
        <w:t>salarios de los Entes Desconcentrados para el 201</w:t>
      </w:r>
      <w:r>
        <w:rPr>
          <w:rFonts w:ascii="Book Antiqua" w:hAnsi="Book Antiqua"/>
        </w:rPr>
        <w:t>6</w:t>
      </w:r>
      <w:r w:rsidRPr="00826A61">
        <w:rPr>
          <w:rFonts w:ascii="Book Antiqua" w:hAnsi="Book Antiqua"/>
        </w:rPr>
        <w:t>, se observa poca variación al comparar</w:t>
      </w:r>
      <w:r>
        <w:rPr>
          <w:rFonts w:ascii="Book Antiqua" w:hAnsi="Book Antiqua"/>
        </w:rPr>
        <w:t xml:space="preserve"> la composición en relación con </w:t>
      </w:r>
      <w:r w:rsidRPr="00826A61">
        <w:rPr>
          <w:rFonts w:ascii="Book Antiqua" w:hAnsi="Book Antiqua"/>
        </w:rPr>
        <w:t>años anteriores</w:t>
      </w:r>
      <w:r>
        <w:rPr>
          <w:rFonts w:ascii="Book Antiqua" w:hAnsi="Book Antiqua"/>
        </w:rPr>
        <w:t>, observándose incluso, una ligera disminución de la participación de los salarios globales.</w:t>
      </w:r>
    </w:p>
    <w:p w14:paraId="410F7F5F" w14:textId="77777777" w:rsidR="00813AC2" w:rsidRDefault="00813AC2" w:rsidP="00813AC2">
      <w:pPr>
        <w:jc w:val="both"/>
        <w:rPr>
          <w:rFonts w:ascii="Book Antiqua" w:hAnsi="Book Antiqua"/>
        </w:rPr>
      </w:pPr>
    </w:p>
    <w:p w14:paraId="42566A05" w14:textId="77777777" w:rsidR="00813AC2" w:rsidRDefault="00813AC2" w:rsidP="00813AC2">
      <w:pPr>
        <w:jc w:val="both"/>
        <w:rPr>
          <w:rFonts w:ascii="Book Antiqua" w:hAnsi="Book Antiqua"/>
        </w:rPr>
      </w:pPr>
    </w:p>
    <w:p w14:paraId="082E191D" w14:textId="77777777" w:rsidR="00813AC2" w:rsidRDefault="00813AC2" w:rsidP="00813AC2">
      <w:pPr>
        <w:jc w:val="center"/>
        <w:rPr>
          <w:rFonts w:ascii="Book Antiqua" w:hAnsi="Book Antiqua"/>
          <w:b/>
          <w:sz w:val="20"/>
          <w:szCs w:val="20"/>
        </w:rPr>
      </w:pPr>
      <w:r>
        <w:rPr>
          <w:rFonts w:ascii="Book Antiqua" w:hAnsi="Book Antiqua"/>
          <w:b/>
          <w:sz w:val="20"/>
          <w:szCs w:val="20"/>
        </w:rPr>
        <w:t>GRÁFICO No.2</w:t>
      </w:r>
    </w:p>
    <w:p w14:paraId="6B861219" w14:textId="77777777" w:rsidR="00813AC2" w:rsidRDefault="00813AC2" w:rsidP="00813AC2">
      <w:pPr>
        <w:jc w:val="center"/>
        <w:rPr>
          <w:rFonts w:ascii="Book Antiqua" w:hAnsi="Book Antiqua"/>
          <w:b/>
          <w:sz w:val="20"/>
          <w:szCs w:val="20"/>
        </w:rPr>
      </w:pPr>
      <w:r>
        <w:rPr>
          <w:rFonts w:ascii="Book Antiqua" w:hAnsi="Book Antiqua"/>
          <w:b/>
          <w:sz w:val="20"/>
          <w:szCs w:val="20"/>
        </w:rPr>
        <w:t xml:space="preserve">ODM: </w:t>
      </w:r>
      <w:r w:rsidRPr="00010F4C">
        <w:rPr>
          <w:rFonts w:ascii="Book Antiqua" w:hAnsi="Book Antiqua"/>
          <w:b/>
          <w:sz w:val="20"/>
          <w:szCs w:val="20"/>
        </w:rPr>
        <w:t>DISTRIBUCIÓN PORCENTUAL DEL PRESUPUESTO</w:t>
      </w:r>
      <w:r>
        <w:rPr>
          <w:rFonts w:ascii="Book Antiqua" w:hAnsi="Book Antiqua"/>
          <w:b/>
          <w:sz w:val="20"/>
          <w:szCs w:val="20"/>
        </w:rPr>
        <w:t xml:space="preserve"> DE SALARIOS,</w:t>
      </w:r>
      <w:r w:rsidRPr="00010F4C">
        <w:rPr>
          <w:rFonts w:ascii="Book Antiqua" w:hAnsi="Book Antiqua"/>
          <w:b/>
          <w:sz w:val="20"/>
          <w:szCs w:val="20"/>
        </w:rPr>
        <w:t xml:space="preserve"> SEGÚN PARTIDA </w:t>
      </w:r>
    </w:p>
    <w:p w14:paraId="11713B80" w14:textId="77777777" w:rsidR="00813AC2" w:rsidRPr="00010F4C" w:rsidRDefault="00813AC2" w:rsidP="00813AC2">
      <w:pPr>
        <w:jc w:val="center"/>
        <w:rPr>
          <w:rFonts w:ascii="Book Antiqua" w:hAnsi="Book Antiqua"/>
          <w:b/>
          <w:i/>
          <w:color w:val="800000"/>
          <w:sz w:val="20"/>
          <w:szCs w:val="20"/>
        </w:rPr>
      </w:pPr>
      <w:r>
        <w:rPr>
          <w:rFonts w:ascii="Book Antiqua" w:hAnsi="Book Antiqua"/>
          <w:b/>
          <w:sz w:val="20"/>
          <w:szCs w:val="20"/>
        </w:rPr>
        <w:t>SEGÚN Y AÑO, PERIODO 2009-2016</w:t>
      </w:r>
    </w:p>
    <w:p w14:paraId="40045F10" w14:textId="77777777" w:rsidR="00813AC2" w:rsidRDefault="00813AC2" w:rsidP="00813AC2">
      <w:pPr>
        <w:jc w:val="center"/>
        <w:rPr>
          <w:rFonts w:ascii="Book Antiqua" w:hAnsi="Book Antiqua"/>
        </w:rPr>
      </w:pPr>
      <w:r>
        <w:rPr>
          <w:rFonts w:ascii="Book Antiqua" w:hAnsi="Book Antiqua"/>
          <w:noProof/>
        </w:rPr>
        <w:drawing>
          <wp:inline distT="0" distB="0" distL="0" distR="0" wp14:anchorId="55A21BA7" wp14:editId="13607FA1">
            <wp:extent cx="4324350" cy="3142134"/>
            <wp:effectExtent l="0" t="0" r="0" b="127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331580" cy="3147387"/>
                    </a:xfrm>
                    <a:prstGeom prst="rect">
                      <a:avLst/>
                    </a:prstGeom>
                    <a:noFill/>
                  </pic:spPr>
                </pic:pic>
              </a:graphicData>
            </a:graphic>
          </wp:inline>
        </w:drawing>
      </w:r>
    </w:p>
    <w:p w14:paraId="02BFC02F" w14:textId="77777777" w:rsidR="00813AC2" w:rsidRDefault="00813AC2" w:rsidP="00813AC2">
      <w:pPr>
        <w:jc w:val="both"/>
        <w:rPr>
          <w:rFonts w:ascii="Book Antiqua" w:hAnsi="Book Antiqua"/>
        </w:rPr>
      </w:pPr>
    </w:p>
    <w:p w14:paraId="579F069B" w14:textId="77777777" w:rsidR="00813AC2" w:rsidRPr="009F0301" w:rsidRDefault="00813AC2" w:rsidP="00813AC2">
      <w:pPr>
        <w:spacing w:after="120"/>
        <w:jc w:val="both"/>
        <w:rPr>
          <w:rFonts w:ascii="Book Antiqua" w:hAnsi="Book Antiqua"/>
          <w:b/>
          <w:i/>
          <w:color w:val="800000"/>
        </w:rPr>
      </w:pPr>
      <w:r w:rsidRPr="009F0301">
        <w:rPr>
          <w:rFonts w:ascii="Book Antiqua" w:hAnsi="Book Antiqua"/>
          <w:b/>
          <w:i/>
          <w:color w:val="800000"/>
        </w:rPr>
        <w:t>Número de plazas en el presupuesto de salarios</w:t>
      </w:r>
      <w:r>
        <w:rPr>
          <w:rFonts w:ascii="Book Antiqua" w:hAnsi="Book Antiqua"/>
          <w:b/>
          <w:i/>
          <w:color w:val="800000"/>
        </w:rPr>
        <w:t xml:space="preserve"> 2016</w:t>
      </w:r>
    </w:p>
    <w:p w14:paraId="0ACD412D" w14:textId="77777777" w:rsidR="00813AC2" w:rsidRDefault="00813AC2" w:rsidP="00813AC2">
      <w:pPr>
        <w:jc w:val="both"/>
        <w:rPr>
          <w:rFonts w:ascii="Book Antiqua" w:hAnsi="Book Antiqua"/>
        </w:rPr>
      </w:pPr>
      <w:r w:rsidRPr="009F0301">
        <w:rPr>
          <w:rFonts w:ascii="Book Antiqua" w:hAnsi="Book Antiqua"/>
        </w:rPr>
        <w:t xml:space="preserve">En relación </w:t>
      </w:r>
      <w:r w:rsidRPr="00563D90">
        <w:rPr>
          <w:rFonts w:ascii="Book Antiqua" w:hAnsi="Book Antiqua"/>
        </w:rPr>
        <w:t>con la cantidad de plazas</w:t>
      </w:r>
      <w:r>
        <w:rPr>
          <w:rFonts w:ascii="Book Antiqua" w:hAnsi="Book Antiqua"/>
        </w:rPr>
        <w:t xml:space="preserve"> aprobadas a nivel i</w:t>
      </w:r>
      <w:r w:rsidRPr="00563D90">
        <w:rPr>
          <w:rFonts w:ascii="Book Antiqua" w:hAnsi="Book Antiqua"/>
        </w:rPr>
        <w:t>nstituci</w:t>
      </w:r>
      <w:r>
        <w:rPr>
          <w:rFonts w:ascii="Book Antiqua" w:hAnsi="Book Antiqua"/>
        </w:rPr>
        <w:t>onal (BCCR y ODM) para el 2016</w:t>
      </w:r>
      <w:r w:rsidRPr="00563D90">
        <w:rPr>
          <w:rFonts w:ascii="Book Antiqua" w:hAnsi="Book Antiqua"/>
        </w:rPr>
        <w:t xml:space="preserve">, </w:t>
      </w:r>
      <w:r>
        <w:rPr>
          <w:rFonts w:ascii="Book Antiqua" w:hAnsi="Book Antiqua"/>
        </w:rPr>
        <w:t xml:space="preserve"> hay una disminución de  5 plazas </w:t>
      </w:r>
      <w:r w:rsidRPr="00730781">
        <w:rPr>
          <w:rFonts w:ascii="Book Antiqua" w:hAnsi="Book Antiqua"/>
        </w:rPr>
        <w:t>con respecto a la formulación del año 201</w:t>
      </w:r>
      <w:r>
        <w:rPr>
          <w:rFonts w:ascii="Book Antiqua" w:hAnsi="Book Antiqua"/>
        </w:rPr>
        <w:t>5</w:t>
      </w:r>
      <w:r w:rsidRPr="00730781">
        <w:rPr>
          <w:rFonts w:ascii="Book Antiqua" w:hAnsi="Book Antiqua"/>
        </w:rPr>
        <w:t>.</w:t>
      </w:r>
    </w:p>
    <w:p w14:paraId="7F4A1F27" w14:textId="77777777" w:rsidR="00813AC2" w:rsidRDefault="00813AC2" w:rsidP="00813AC2">
      <w:pPr>
        <w:jc w:val="both"/>
        <w:rPr>
          <w:rFonts w:ascii="Book Antiqua" w:hAnsi="Book Antiqua"/>
        </w:rPr>
      </w:pPr>
    </w:p>
    <w:p w14:paraId="599A2A21" w14:textId="77777777" w:rsidR="00813AC2" w:rsidRDefault="00813AC2" w:rsidP="00813AC2">
      <w:pPr>
        <w:jc w:val="both"/>
        <w:rPr>
          <w:rFonts w:ascii="Book Antiqua" w:hAnsi="Book Antiqua"/>
        </w:rPr>
      </w:pPr>
      <w:r>
        <w:rPr>
          <w:rFonts w:ascii="Book Antiqua" w:hAnsi="Book Antiqua"/>
        </w:rPr>
        <w:t xml:space="preserve"> El detalle de los cambios más relevantes se presenta seguidamente:</w:t>
      </w:r>
    </w:p>
    <w:p w14:paraId="0A4F23B6" w14:textId="77777777" w:rsidR="00813AC2" w:rsidRDefault="00813AC2" w:rsidP="00813AC2">
      <w:pPr>
        <w:jc w:val="both"/>
        <w:rPr>
          <w:rFonts w:ascii="Book Antiqua" w:hAnsi="Book Antiqua"/>
        </w:rPr>
      </w:pPr>
    </w:p>
    <w:p w14:paraId="1919A9ED" w14:textId="77777777" w:rsidR="00813AC2" w:rsidRPr="003F102D" w:rsidRDefault="00813AC2" w:rsidP="00547B19">
      <w:pPr>
        <w:pStyle w:val="Prrafodelista"/>
        <w:numPr>
          <w:ilvl w:val="0"/>
          <w:numId w:val="28"/>
        </w:numPr>
        <w:rPr>
          <w:rFonts w:ascii="Book Antiqua" w:hAnsi="Book Antiqua"/>
        </w:rPr>
      </w:pPr>
      <w:r>
        <w:rPr>
          <w:rFonts w:ascii="Book Antiqua" w:hAnsi="Book Antiqua"/>
        </w:rPr>
        <w:t>5</w:t>
      </w:r>
      <w:r w:rsidRPr="003F102D">
        <w:rPr>
          <w:rFonts w:ascii="Book Antiqua" w:hAnsi="Book Antiqua"/>
        </w:rPr>
        <w:t xml:space="preserve"> plazas </w:t>
      </w:r>
      <w:r>
        <w:rPr>
          <w:rFonts w:ascii="Book Antiqua" w:hAnsi="Book Antiqua"/>
        </w:rPr>
        <w:t xml:space="preserve">del Departamento de Investigación y Normativa se eliminan de la SUGEVAL.                   </w:t>
      </w:r>
    </w:p>
    <w:p w14:paraId="0898B468" w14:textId="77777777" w:rsidR="00813AC2" w:rsidRDefault="00813AC2" w:rsidP="00547B19">
      <w:pPr>
        <w:pStyle w:val="Prrafodelista"/>
        <w:numPr>
          <w:ilvl w:val="0"/>
          <w:numId w:val="27"/>
        </w:numPr>
        <w:rPr>
          <w:rFonts w:ascii="Book Antiqua" w:hAnsi="Book Antiqua"/>
        </w:rPr>
      </w:pPr>
      <w:r>
        <w:rPr>
          <w:rFonts w:ascii="Book Antiqua" w:hAnsi="Book Antiqua"/>
        </w:rPr>
        <w:t>1 plaza de la SUGEVAL es trasladada a la SUGESE.</w:t>
      </w:r>
    </w:p>
    <w:p w14:paraId="654D9BF2" w14:textId="77777777" w:rsidR="00813AC2" w:rsidRDefault="00813AC2" w:rsidP="00547B19">
      <w:pPr>
        <w:pStyle w:val="Prrafodelista"/>
        <w:numPr>
          <w:ilvl w:val="0"/>
          <w:numId w:val="27"/>
        </w:numPr>
        <w:rPr>
          <w:rFonts w:ascii="Book Antiqua" w:hAnsi="Book Antiqua"/>
        </w:rPr>
      </w:pPr>
      <w:r>
        <w:rPr>
          <w:rFonts w:ascii="Book Antiqua" w:hAnsi="Book Antiqua"/>
        </w:rPr>
        <w:t>41 plazas de todos los departamentos de Tecnologías de las superintendencias se trasladan a la División de Servicios Tecnológicos del BCCR. (17 de SUGEF, 15 de SUGEVAL y 9 de SUPEN)</w:t>
      </w:r>
      <w:r>
        <w:rPr>
          <w:rFonts w:ascii="Book Antiqua" w:hAnsi="Book Antiqua"/>
        </w:rPr>
        <w:tab/>
        <w:t>.</w:t>
      </w:r>
    </w:p>
    <w:p w14:paraId="456FC2F3" w14:textId="780CF430" w:rsidR="00813AC2" w:rsidRDefault="00813AC2">
      <w:pPr>
        <w:rPr>
          <w:rFonts w:ascii="Book Antiqua" w:hAnsi="Book Antiqua"/>
          <w:b/>
        </w:rPr>
      </w:pPr>
      <w:r>
        <w:rPr>
          <w:rFonts w:ascii="Book Antiqua" w:hAnsi="Book Antiqua"/>
          <w:b/>
        </w:rPr>
        <w:br w:type="page"/>
      </w:r>
    </w:p>
    <w:p w14:paraId="6B96CF33" w14:textId="77777777" w:rsidR="00813AC2" w:rsidRPr="009F0301" w:rsidRDefault="00813AC2" w:rsidP="00813AC2">
      <w:pPr>
        <w:ind w:firstLine="360"/>
        <w:jc w:val="center"/>
        <w:rPr>
          <w:rFonts w:ascii="Book Antiqua" w:hAnsi="Book Antiqua"/>
          <w:b/>
        </w:rPr>
      </w:pPr>
      <w:r w:rsidRPr="009F0301">
        <w:rPr>
          <w:rFonts w:ascii="Book Antiqua" w:hAnsi="Book Antiqua"/>
          <w:b/>
        </w:rPr>
        <w:lastRenderedPageBreak/>
        <w:t>Distribución Plazas del Presupuesto de Salarios</w:t>
      </w:r>
      <w:r>
        <w:rPr>
          <w:rFonts w:ascii="Book Antiqua" w:hAnsi="Book Antiqua"/>
          <w:b/>
        </w:rPr>
        <w:t>,</w:t>
      </w:r>
      <w:r w:rsidRPr="009F0301">
        <w:rPr>
          <w:rFonts w:ascii="Book Antiqua" w:hAnsi="Book Antiqua"/>
          <w:b/>
        </w:rPr>
        <w:t xml:space="preserve"> según dependencia</w:t>
      </w:r>
    </w:p>
    <w:p w14:paraId="1397B916" w14:textId="77777777" w:rsidR="00813AC2" w:rsidRPr="009F0301" w:rsidRDefault="00813AC2" w:rsidP="00813AC2">
      <w:pPr>
        <w:jc w:val="center"/>
        <w:rPr>
          <w:rFonts w:ascii="Book Antiqua" w:hAnsi="Book Antiqua"/>
          <w:b/>
        </w:rPr>
      </w:pPr>
      <w:r>
        <w:rPr>
          <w:rFonts w:ascii="Book Antiqua" w:hAnsi="Book Antiqua"/>
          <w:b/>
        </w:rPr>
        <w:t>Perí</w:t>
      </w:r>
      <w:r w:rsidRPr="009F0301">
        <w:rPr>
          <w:rFonts w:ascii="Book Antiqua" w:hAnsi="Book Antiqua"/>
          <w:b/>
        </w:rPr>
        <w:t>odo 20</w:t>
      </w:r>
      <w:r>
        <w:rPr>
          <w:rFonts w:ascii="Book Antiqua" w:hAnsi="Book Antiqua"/>
          <w:b/>
        </w:rPr>
        <w:t>14-2015</w:t>
      </w:r>
    </w:p>
    <w:tbl>
      <w:tblPr>
        <w:tblW w:w="5069" w:type="dxa"/>
        <w:jc w:val="center"/>
        <w:tblLook w:val="0000" w:firstRow="0" w:lastRow="0" w:firstColumn="0" w:lastColumn="0" w:noHBand="0" w:noVBand="0"/>
      </w:tblPr>
      <w:tblGrid>
        <w:gridCol w:w="1815"/>
        <w:gridCol w:w="768"/>
        <w:gridCol w:w="923"/>
        <w:gridCol w:w="1563"/>
      </w:tblGrid>
      <w:tr w:rsidR="00813AC2" w:rsidRPr="009F0301" w14:paraId="03703B1B" w14:textId="77777777" w:rsidTr="00813AC2">
        <w:trPr>
          <w:trHeight w:val="315"/>
          <w:jc w:val="center"/>
        </w:trPr>
        <w:tc>
          <w:tcPr>
            <w:tcW w:w="1815" w:type="dxa"/>
            <w:vMerge w:val="restart"/>
            <w:tcBorders>
              <w:top w:val="double" w:sz="6" w:space="0" w:color="0000FF"/>
              <w:left w:val="nil"/>
              <w:bottom w:val="single" w:sz="8" w:space="0" w:color="0000FF"/>
              <w:right w:val="single" w:sz="4" w:space="0" w:color="0000FF"/>
            </w:tcBorders>
            <w:shd w:val="clear" w:color="auto" w:fill="auto"/>
            <w:noWrap/>
            <w:vAlign w:val="center"/>
          </w:tcPr>
          <w:p w14:paraId="3EA447A6" w14:textId="77777777" w:rsidR="00813AC2" w:rsidRPr="009F0301" w:rsidRDefault="00813AC2" w:rsidP="00813AC2">
            <w:pPr>
              <w:jc w:val="center"/>
              <w:rPr>
                <w:rFonts w:ascii="Book Antiqua" w:hAnsi="Book Antiqua"/>
                <w:b/>
                <w:bCs/>
              </w:rPr>
            </w:pPr>
            <w:r w:rsidRPr="009F0301">
              <w:rPr>
                <w:rFonts w:ascii="Book Antiqua" w:hAnsi="Book Antiqua"/>
                <w:b/>
                <w:bCs/>
              </w:rPr>
              <w:t>Dependencia</w:t>
            </w:r>
          </w:p>
        </w:tc>
        <w:tc>
          <w:tcPr>
            <w:tcW w:w="3254" w:type="dxa"/>
            <w:gridSpan w:val="3"/>
            <w:tcBorders>
              <w:top w:val="double" w:sz="6" w:space="0" w:color="0000FF"/>
              <w:left w:val="nil"/>
              <w:bottom w:val="single" w:sz="4" w:space="0" w:color="0000FF"/>
              <w:right w:val="nil"/>
            </w:tcBorders>
            <w:vAlign w:val="center"/>
          </w:tcPr>
          <w:p w14:paraId="3F5D9029" w14:textId="77777777" w:rsidR="00813AC2" w:rsidRPr="009F0301" w:rsidRDefault="00813AC2" w:rsidP="00813AC2">
            <w:pPr>
              <w:jc w:val="center"/>
              <w:rPr>
                <w:rFonts w:ascii="Book Antiqua" w:hAnsi="Book Antiqua"/>
                <w:b/>
                <w:bCs/>
              </w:rPr>
            </w:pPr>
            <w:r w:rsidRPr="009F0301">
              <w:rPr>
                <w:rFonts w:ascii="Book Antiqua" w:hAnsi="Book Antiqua"/>
                <w:b/>
                <w:bCs/>
              </w:rPr>
              <w:t>Distribución plazas</w:t>
            </w:r>
          </w:p>
        </w:tc>
      </w:tr>
      <w:tr w:rsidR="00813AC2" w:rsidRPr="009F0301" w14:paraId="2D467B2E" w14:textId="77777777" w:rsidTr="00813AC2">
        <w:trPr>
          <w:trHeight w:val="315"/>
          <w:jc w:val="center"/>
        </w:trPr>
        <w:tc>
          <w:tcPr>
            <w:tcW w:w="1815" w:type="dxa"/>
            <w:vMerge/>
            <w:tcBorders>
              <w:top w:val="double" w:sz="6" w:space="0" w:color="0000FF"/>
              <w:left w:val="nil"/>
              <w:bottom w:val="single" w:sz="8" w:space="0" w:color="0000FF"/>
              <w:right w:val="single" w:sz="4" w:space="0" w:color="0000FF"/>
            </w:tcBorders>
            <w:vAlign w:val="center"/>
          </w:tcPr>
          <w:p w14:paraId="039835DB" w14:textId="77777777" w:rsidR="00813AC2" w:rsidRPr="009F0301" w:rsidRDefault="00813AC2" w:rsidP="00813AC2">
            <w:pPr>
              <w:rPr>
                <w:rFonts w:ascii="Book Antiqua" w:hAnsi="Book Antiqua"/>
                <w:b/>
                <w:bCs/>
              </w:rPr>
            </w:pPr>
          </w:p>
        </w:tc>
        <w:tc>
          <w:tcPr>
            <w:tcW w:w="768" w:type="dxa"/>
            <w:tcBorders>
              <w:top w:val="nil"/>
              <w:left w:val="nil"/>
              <w:bottom w:val="single" w:sz="8" w:space="0" w:color="0000FF"/>
              <w:right w:val="nil"/>
            </w:tcBorders>
            <w:vAlign w:val="bottom"/>
          </w:tcPr>
          <w:p w14:paraId="0156CB22" w14:textId="77777777" w:rsidR="00813AC2" w:rsidRPr="009F0301" w:rsidRDefault="00813AC2" w:rsidP="00813AC2">
            <w:pPr>
              <w:jc w:val="center"/>
              <w:rPr>
                <w:rFonts w:ascii="Book Antiqua" w:hAnsi="Book Antiqua"/>
                <w:b/>
                <w:bCs/>
              </w:rPr>
            </w:pPr>
            <w:r w:rsidRPr="009F0301">
              <w:rPr>
                <w:rFonts w:ascii="Book Antiqua" w:hAnsi="Book Antiqua"/>
                <w:b/>
                <w:bCs/>
              </w:rPr>
              <w:t>20</w:t>
            </w:r>
            <w:r>
              <w:rPr>
                <w:rFonts w:ascii="Book Antiqua" w:hAnsi="Book Antiqua"/>
                <w:b/>
                <w:bCs/>
              </w:rPr>
              <w:t>15</w:t>
            </w:r>
          </w:p>
        </w:tc>
        <w:tc>
          <w:tcPr>
            <w:tcW w:w="923" w:type="dxa"/>
            <w:tcBorders>
              <w:top w:val="nil"/>
              <w:left w:val="nil"/>
              <w:bottom w:val="single" w:sz="8" w:space="0" w:color="0000FF"/>
              <w:right w:val="nil"/>
            </w:tcBorders>
            <w:shd w:val="clear" w:color="auto" w:fill="auto"/>
            <w:noWrap/>
            <w:vAlign w:val="bottom"/>
          </w:tcPr>
          <w:p w14:paraId="79BB9025" w14:textId="77777777" w:rsidR="00813AC2" w:rsidRPr="009F0301" w:rsidRDefault="00813AC2" w:rsidP="00813AC2">
            <w:pPr>
              <w:jc w:val="center"/>
              <w:rPr>
                <w:rFonts w:ascii="Book Antiqua" w:hAnsi="Book Antiqua"/>
                <w:b/>
                <w:bCs/>
              </w:rPr>
            </w:pPr>
            <w:r w:rsidRPr="009F0301">
              <w:rPr>
                <w:rFonts w:ascii="Book Antiqua" w:hAnsi="Book Antiqua"/>
                <w:b/>
                <w:bCs/>
              </w:rPr>
              <w:t>20</w:t>
            </w:r>
            <w:r>
              <w:rPr>
                <w:rFonts w:ascii="Book Antiqua" w:hAnsi="Book Antiqua"/>
                <w:b/>
                <w:bCs/>
              </w:rPr>
              <w:t>16</w:t>
            </w:r>
          </w:p>
        </w:tc>
        <w:tc>
          <w:tcPr>
            <w:tcW w:w="1563" w:type="dxa"/>
            <w:tcBorders>
              <w:top w:val="nil"/>
              <w:left w:val="nil"/>
              <w:bottom w:val="single" w:sz="8" w:space="0" w:color="0000FF"/>
              <w:right w:val="nil"/>
            </w:tcBorders>
            <w:shd w:val="clear" w:color="auto" w:fill="auto"/>
            <w:noWrap/>
            <w:vAlign w:val="bottom"/>
          </w:tcPr>
          <w:p w14:paraId="2B95CF82" w14:textId="77777777" w:rsidR="00813AC2" w:rsidRPr="009F0301" w:rsidRDefault="00813AC2" w:rsidP="00813AC2">
            <w:pPr>
              <w:jc w:val="center"/>
              <w:rPr>
                <w:rFonts w:ascii="Book Antiqua" w:hAnsi="Book Antiqua"/>
                <w:b/>
                <w:bCs/>
              </w:rPr>
            </w:pPr>
            <w:r>
              <w:rPr>
                <w:rFonts w:ascii="Book Antiqua" w:hAnsi="Book Antiqua"/>
                <w:b/>
                <w:bCs/>
              </w:rPr>
              <w:t>Diferencia</w:t>
            </w:r>
          </w:p>
        </w:tc>
      </w:tr>
      <w:tr w:rsidR="00813AC2" w:rsidRPr="009F0301" w14:paraId="3B6D74D6" w14:textId="77777777" w:rsidTr="00813AC2">
        <w:trPr>
          <w:trHeight w:val="300"/>
          <w:jc w:val="center"/>
        </w:trPr>
        <w:tc>
          <w:tcPr>
            <w:tcW w:w="1815" w:type="dxa"/>
            <w:tcBorders>
              <w:top w:val="nil"/>
              <w:left w:val="nil"/>
              <w:bottom w:val="nil"/>
              <w:right w:val="single" w:sz="4" w:space="0" w:color="0000FF"/>
            </w:tcBorders>
            <w:shd w:val="clear" w:color="auto" w:fill="auto"/>
            <w:noWrap/>
            <w:vAlign w:val="bottom"/>
          </w:tcPr>
          <w:p w14:paraId="03F05C18" w14:textId="77777777" w:rsidR="00813AC2" w:rsidRPr="00C62974" w:rsidRDefault="00813AC2" w:rsidP="00813AC2">
            <w:pPr>
              <w:rPr>
                <w:rFonts w:ascii="Book Antiqua" w:hAnsi="Book Antiqua"/>
                <w:i/>
              </w:rPr>
            </w:pPr>
            <w:r w:rsidRPr="00C62974">
              <w:rPr>
                <w:rFonts w:ascii="Book Antiqua" w:hAnsi="Book Antiqua"/>
                <w:i/>
              </w:rPr>
              <w:t xml:space="preserve"> BCCR</w:t>
            </w:r>
          </w:p>
        </w:tc>
        <w:tc>
          <w:tcPr>
            <w:tcW w:w="768" w:type="dxa"/>
            <w:tcBorders>
              <w:top w:val="nil"/>
              <w:left w:val="nil"/>
              <w:bottom w:val="nil"/>
              <w:right w:val="nil"/>
            </w:tcBorders>
            <w:vAlign w:val="bottom"/>
          </w:tcPr>
          <w:p w14:paraId="3709CA07" w14:textId="77777777" w:rsidR="00813AC2" w:rsidRDefault="00813AC2" w:rsidP="00813AC2">
            <w:pPr>
              <w:jc w:val="center"/>
              <w:rPr>
                <w:rFonts w:ascii="Book Antiqua" w:hAnsi="Book Antiqua"/>
                <w:sz w:val="22"/>
                <w:szCs w:val="22"/>
              </w:rPr>
            </w:pPr>
            <w:r>
              <w:rPr>
                <w:rFonts w:ascii="Book Antiqua" w:hAnsi="Book Antiqua"/>
                <w:sz w:val="22"/>
                <w:szCs w:val="22"/>
              </w:rPr>
              <w:t>664</w:t>
            </w:r>
          </w:p>
        </w:tc>
        <w:tc>
          <w:tcPr>
            <w:tcW w:w="923" w:type="dxa"/>
            <w:tcBorders>
              <w:top w:val="nil"/>
              <w:left w:val="nil"/>
              <w:bottom w:val="nil"/>
              <w:right w:val="nil"/>
            </w:tcBorders>
            <w:shd w:val="clear" w:color="auto" w:fill="auto"/>
            <w:noWrap/>
            <w:vAlign w:val="bottom"/>
          </w:tcPr>
          <w:p w14:paraId="0D98490F" w14:textId="77777777" w:rsidR="00813AC2" w:rsidRDefault="00813AC2" w:rsidP="00813AC2">
            <w:pPr>
              <w:jc w:val="center"/>
              <w:rPr>
                <w:rFonts w:ascii="Book Antiqua" w:hAnsi="Book Antiqua"/>
                <w:sz w:val="22"/>
                <w:szCs w:val="22"/>
              </w:rPr>
            </w:pPr>
            <w:r>
              <w:rPr>
                <w:rFonts w:ascii="Book Antiqua" w:hAnsi="Book Antiqua"/>
                <w:sz w:val="22"/>
                <w:szCs w:val="22"/>
              </w:rPr>
              <w:t>705</w:t>
            </w:r>
          </w:p>
        </w:tc>
        <w:tc>
          <w:tcPr>
            <w:tcW w:w="1563" w:type="dxa"/>
            <w:tcBorders>
              <w:top w:val="nil"/>
              <w:left w:val="nil"/>
              <w:bottom w:val="nil"/>
              <w:right w:val="nil"/>
            </w:tcBorders>
            <w:shd w:val="clear" w:color="auto" w:fill="auto"/>
            <w:noWrap/>
            <w:vAlign w:val="bottom"/>
          </w:tcPr>
          <w:p w14:paraId="2637881D" w14:textId="77777777" w:rsidR="00813AC2" w:rsidRDefault="00813AC2" w:rsidP="00813AC2">
            <w:pPr>
              <w:jc w:val="center"/>
              <w:rPr>
                <w:rFonts w:ascii="Book Antiqua" w:hAnsi="Book Antiqua"/>
                <w:sz w:val="22"/>
                <w:szCs w:val="22"/>
              </w:rPr>
            </w:pPr>
            <w:r>
              <w:rPr>
                <w:rFonts w:ascii="Book Antiqua" w:hAnsi="Book Antiqua"/>
                <w:sz w:val="22"/>
                <w:szCs w:val="22"/>
              </w:rPr>
              <w:t>41</w:t>
            </w:r>
          </w:p>
        </w:tc>
      </w:tr>
      <w:tr w:rsidR="00813AC2" w:rsidRPr="008D098F" w14:paraId="7C516FC0" w14:textId="77777777" w:rsidTr="00813AC2">
        <w:trPr>
          <w:trHeight w:val="300"/>
          <w:jc w:val="center"/>
        </w:trPr>
        <w:tc>
          <w:tcPr>
            <w:tcW w:w="1815" w:type="dxa"/>
            <w:tcBorders>
              <w:top w:val="nil"/>
              <w:left w:val="nil"/>
              <w:bottom w:val="nil"/>
              <w:right w:val="single" w:sz="4" w:space="0" w:color="0000FF"/>
            </w:tcBorders>
            <w:shd w:val="clear" w:color="auto" w:fill="auto"/>
            <w:noWrap/>
            <w:vAlign w:val="bottom"/>
          </w:tcPr>
          <w:p w14:paraId="71280756" w14:textId="77777777" w:rsidR="00813AC2" w:rsidRPr="00C62974" w:rsidRDefault="00813AC2" w:rsidP="00813AC2">
            <w:pPr>
              <w:rPr>
                <w:rFonts w:ascii="Book Antiqua" w:hAnsi="Book Antiqua"/>
                <w:i/>
              </w:rPr>
            </w:pPr>
            <w:r w:rsidRPr="00C62974">
              <w:rPr>
                <w:rFonts w:ascii="Book Antiqua" w:hAnsi="Book Antiqua"/>
                <w:i/>
              </w:rPr>
              <w:t xml:space="preserve"> SUGEF</w:t>
            </w:r>
          </w:p>
        </w:tc>
        <w:tc>
          <w:tcPr>
            <w:tcW w:w="768" w:type="dxa"/>
            <w:tcBorders>
              <w:top w:val="nil"/>
              <w:left w:val="nil"/>
              <w:bottom w:val="nil"/>
              <w:right w:val="nil"/>
            </w:tcBorders>
            <w:vAlign w:val="bottom"/>
          </w:tcPr>
          <w:p w14:paraId="27AE6707" w14:textId="77777777" w:rsidR="00813AC2" w:rsidRDefault="00813AC2" w:rsidP="00813AC2">
            <w:pPr>
              <w:jc w:val="center"/>
              <w:rPr>
                <w:rFonts w:ascii="Book Antiqua" w:hAnsi="Book Antiqua"/>
                <w:sz w:val="22"/>
                <w:szCs w:val="22"/>
              </w:rPr>
            </w:pPr>
            <w:r>
              <w:rPr>
                <w:rFonts w:ascii="Book Antiqua" w:hAnsi="Book Antiqua"/>
                <w:sz w:val="22"/>
                <w:szCs w:val="22"/>
              </w:rPr>
              <w:t>223</w:t>
            </w:r>
          </w:p>
        </w:tc>
        <w:tc>
          <w:tcPr>
            <w:tcW w:w="923" w:type="dxa"/>
            <w:tcBorders>
              <w:top w:val="nil"/>
              <w:left w:val="nil"/>
              <w:bottom w:val="nil"/>
              <w:right w:val="nil"/>
            </w:tcBorders>
            <w:shd w:val="clear" w:color="auto" w:fill="auto"/>
            <w:noWrap/>
            <w:vAlign w:val="bottom"/>
          </w:tcPr>
          <w:p w14:paraId="68B349E3" w14:textId="77777777" w:rsidR="00813AC2" w:rsidRDefault="00813AC2" w:rsidP="00813AC2">
            <w:pPr>
              <w:jc w:val="center"/>
              <w:rPr>
                <w:rFonts w:ascii="Book Antiqua" w:hAnsi="Book Antiqua"/>
                <w:sz w:val="22"/>
                <w:szCs w:val="22"/>
              </w:rPr>
            </w:pPr>
            <w:r>
              <w:rPr>
                <w:rFonts w:ascii="Book Antiqua" w:hAnsi="Book Antiqua"/>
                <w:sz w:val="22"/>
                <w:szCs w:val="22"/>
              </w:rPr>
              <w:t>206</w:t>
            </w:r>
          </w:p>
        </w:tc>
        <w:tc>
          <w:tcPr>
            <w:tcW w:w="1563" w:type="dxa"/>
            <w:tcBorders>
              <w:top w:val="nil"/>
              <w:left w:val="nil"/>
              <w:bottom w:val="nil"/>
              <w:right w:val="nil"/>
            </w:tcBorders>
            <w:shd w:val="clear" w:color="auto" w:fill="auto"/>
            <w:noWrap/>
            <w:vAlign w:val="bottom"/>
          </w:tcPr>
          <w:p w14:paraId="41267B35" w14:textId="77777777" w:rsidR="00813AC2" w:rsidRDefault="00813AC2" w:rsidP="00813AC2">
            <w:pPr>
              <w:jc w:val="center"/>
              <w:rPr>
                <w:rFonts w:ascii="Book Antiqua" w:hAnsi="Book Antiqua"/>
                <w:sz w:val="22"/>
                <w:szCs w:val="22"/>
              </w:rPr>
            </w:pPr>
            <w:r>
              <w:rPr>
                <w:rFonts w:ascii="Book Antiqua" w:hAnsi="Book Antiqua"/>
                <w:sz w:val="22"/>
                <w:szCs w:val="22"/>
              </w:rPr>
              <w:t>-17</w:t>
            </w:r>
          </w:p>
        </w:tc>
      </w:tr>
      <w:tr w:rsidR="00813AC2" w:rsidRPr="009F0301" w14:paraId="57A38C22" w14:textId="77777777" w:rsidTr="00813AC2">
        <w:trPr>
          <w:trHeight w:val="300"/>
          <w:jc w:val="center"/>
        </w:trPr>
        <w:tc>
          <w:tcPr>
            <w:tcW w:w="1815" w:type="dxa"/>
            <w:tcBorders>
              <w:top w:val="nil"/>
              <w:left w:val="nil"/>
              <w:right w:val="single" w:sz="4" w:space="0" w:color="0000FF"/>
            </w:tcBorders>
            <w:shd w:val="clear" w:color="auto" w:fill="auto"/>
            <w:noWrap/>
            <w:vAlign w:val="bottom"/>
          </w:tcPr>
          <w:p w14:paraId="5B390E3C" w14:textId="77777777" w:rsidR="00813AC2" w:rsidRPr="00C62974" w:rsidRDefault="00813AC2" w:rsidP="00813AC2">
            <w:pPr>
              <w:rPr>
                <w:rFonts w:ascii="Book Antiqua" w:hAnsi="Book Antiqua"/>
                <w:i/>
              </w:rPr>
            </w:pPr>
            <w:r w:rsidRPr="00C62974">
              <w:rPr>
                <w:rFonts w:ascii="Book Antiqua" w:hAnsi="Book Antiqua"/>
                <w:i/>
              </w:rPr>
              <w:t xml:space="preserve"> CONASSIF</w:t>
            </w:r>
          </w:p>
        </w:tc>
        <w:tc>
          <w:tcPr>
            <w:tcW w:w="768" w:type="dxa"/>
            <w:tcBorders>
              <w:top w:val="nil"/>
              <w:left w:val="nil"/>
              <w:right w:val="nil"/>
            </w:tcBorders>
            <w:vAlign w:val="bottom"/>
          </w:tcPr>
          <w:p w14:paraId="36E40CCF" w14:textId="77777777" w:rsidR="00813AC2" w:rsidRDefault="00813AC2" w:rsidP="00813AC2">
            <w:pPr>
              <w:jc w:val="center"/>
              <w:rPr>
                <w:rFonts w:ascii="Book Antiqua" w:hAnsi="Book Antiqua"/>
                <w:sz w:val="22"/>
                <w:szCs w:val="22"/>
              </w:rPr>
            </w:pPr>
            <w:r>
              <w:rPr>
                <w:rFonts w:ascii="Book Antiqua" w:hAnsi="Book Antiqua"/>
                <w:sz w:val="22"/>
                <w:szCs w:val="22"/>
              </w:rPr>
              <w:t>25</w:t>
            </w:r>
          </w:p>
        </w:tc>
        <w:tc>
          <w:tcPr>
            <w:tcW w:w="923" w:type="dxa"/>
            <w:tcBorders>
              <w:top w:val="nil"/>
              <w:left w:val="nil"/>
              <w:right w:val="nil"/>
            </w:tcBorders>
            <w:shd w:val="clear" w:color="auto" w:fill="auto"/>
            <w:noWrap/>
            <w:vAlign w:val="bottom"/>
          </w:tcPr>
          <w:p w14:paraId="65CC2216" w14:textId="77777777" w:rsidR="00813AC2" w:rsidRDefault="00813AC2" w:rsidP="00813AC2">
            <w:pPr>
              <w:jc w:val="center"/>
              <w:rPr>
                <w:rFonts w:ascii="Book Antiqua" w:hAnsi="Book Antiqua"/>
                <w:sz w:val="22"/>
                <w:szCs w:val="22"/>
              </w:rPr>
            </w:pPr>
            <w:r>
              <w:rPr>
                <w:rFonts w:ascii="Book Antiqua" w:hAnsi="Book Antiqua"/>
                <w:sz w:val="22"/>
                <w:szCs w:val="22"/>
              </w:rPr>
              <w:t>25</w:t>
            </w:r>
          </w:p>
        </w:tc>
        <w:tc>
          <w:tcPr>
            <w:tcW w:w="1563" w:type="dxa"/>
            <w:tcBorders>
              <w:top w:val="nil"/>
              <w:left w:val="nil"/>
              <w:right w:val="nil"/>
            </w:tcBorders>
            <w:shd w:val="clear" w:color="auto" w:fill="auto"/>
            <w:noWrap/>
            <w:vAlign w:val="bottom"/>
          </w:tcPr>
          <w:p w14:paraId="63448B5E" w14:textId="77777777" w:rsidR="00813AC2" w:rsidRDefault="00813AC2" w:rsidP="00813AC2">
            <w:pPr>
              <w:jc w:val="center"/>
              <w:rPr>
                <w:rFonts w:ascii="Book Antiqua" w:hAnsi="Book Antiqua"/>
                <w:sz w:val="22"/>
                <w:szCs w:val="22"/>
              </w:rPr>
            </w:pPr>
            <w:r>
              <w:rPr>
                <w:rFonts w:ascii="Book Antiqua" w:hAnsi="Book Antiqua"/>
                <w:sz w:val="22"/>
                <w:szCs w:val="22"/>
              </w:rPr>
              <w:t>0</w:t>
            </w:r>
          </w:p>
        </w:tc>
      </w:tr>
      <w:tr w:rsidR="00813AC2" w:rsidRPr="009F0301" w14:paraId="35852BD5" w14:textId="77777777" w:rsidTr="00813AC2">
        <w:trPr>
          <w:trHeight w:val="315"/>
          <w:jc w:val="center"/>
        </w:trPr>
        <w:tc>
          <w:tcPr>
            <w:tcW w:w="1815" w:type="dxa"/>
            <w:tcBorders>
              <w:top w:val="nil"/>
              <w:left w:val="nil"/>
              <w:right w:val="single" w:sz="4" w:space="0" w:color="0000FF"/>
            </w:tcBorders>
            <w:shd w:val="clear" w:color="auto" w:fill="auto"/>
            <w:noWrap/>
            <w:vAlign w:val="bottom"/>
          </w:tcPr>
          <w:p w14:paraId="3843DF46" w14:textId="77777777" w:rsidR="00813AC2" w:rsidRPr="00C62974" w:rsidRDefault="00813AC2" w:rsidP="00813AC2">
            <w:pPr>
              <w:rPr>
                <w:rFonts w:ascii="Book Antiqua" w:hAnsi="Book Antiqua"/>
                <w:i/>
              </w:rPr>
            </w:pPr>
            <w:r w:rsidRPr="00C62974">
              <w:rPr>
                <w:rFonts w:ascii="Book Antiqua" w:hAnsi="Book Antiqua"/>
                <w:i/>
              </w:rPr>
              <w:t xml:space="preserve"> SUPEN</w:t>
            </w:r>
          </w:p>
        </w:tc>
        <w:tc>
          <w:tcPr>
            <w:tcW w:w="768" w:type="dxa"/>
            <w:tcBorders>
              <w:top w:val="nil"/>
              <w:left w:val="nil"/>
              <w:right w:val="nil"/>
            </w:tcBorders>
            <w:vAlign w:val="bottom"/>
          </w:tcPr>
          <w:p w14:paraId="1ED961FD" w14:textId="77777777" w:rsidR="00813AC2" w:rsidRDefault="00813AC2" w:rsidP="00813AC2">
            <w:pPr>
              <w:jc w:val="center"/>
              <w:rPr>
                <w:rFonts w:ascii="Book Antiqua" w:hAnsi="Book Antiqua"/>
                <w:sz w:val="22"/>
                <w:szCs w:val="22"/>
              </w:rPr>
            </w:pPr>
            <w:r>
              <w:rPr>
                <w:rFonts w:ascii="Book Antiqua" w:hAnsi="Book Antiqua"/>
                <w:sz w:val="22"/>
                <w:szCs w:val="22"/>
              </w:rPr>
              <w:t>89</w:t>
            </w:r>
          </w:p>
        </w:tc>
        <w:tc>
          <w:tcPr>
            <w:tcW w:w="923" w:type="dxa"/>
            <w:tcBorders>
              <w:top w:val="nil"/>
              <w:left w:val="nil"/>
              <w:right w:val="nil"/>
            </w:tcBorders>
            <w:shd w:val="clear" w:color="auto" w:fill="auto"/>
            <w:noWrap/>
            <w:vAlign w:val="bottom"/>
          </w:tcPr>
          <w:p w14:paraId="1490ED6C" w14:textId="77777777" w:rsidR="00813AC2" w:rsidRDefault="00813AC2" w:rsidP="00813AC2">
            <w:pPr>
              <w:jc w:val="center"/>
              <w:rPr>
                <w:rFonts w:ascii="Book Antiqua" w:hAnsi="Book Antiqua"/>
                <w:sz w:val="22"/>
                <w:szCs w:val="22"/>
              </w:rPr>
            </w:pPr>
            <w:r>
              <w:rPr>
                <w:rFonts w:ascii="Book Antiqua" w:hAnsi="Book Antiqua"/>
                <w:sz w:val="22"/>
                <w:szCs w:val="22"/>
              </w:rPr>
              <w:t>80</w:t>
            </w:r>
          </w:p>
        </w:tc>
        <w:tc>
          <w:tcPr>
            <w:tcW w:w="1563" w:type="dxa"/>
            <w:tcBorders>
              <w:top w:val="nil"/>
              <w:left w:val="nil"/>
              <w:right w:val="nil"/>
            </w:tcBorders>
            <w:shd w:val="clear" w:color="auto" w:fill="auto"/>
            <w:noWrap/>
            <w:vAlign w:val="bottom"/>
          </w:tcPr>
          <w:p w14:paraId="16F0F8CA" w14:textId="77777777" w:rsidR="00813AC2" w:rsidRDefault="00813AC2" w:rsidP="00813AC2">
            <w:pPr>
              <w:jc w:val="center"/>
              <w:rPr>
                <w:rFonts w:ascii="Book Antiqua" w:hAnsi="Book Antiqua"/>
                <w:sz w:val="22"/>
                <w:szCs w:val="22"/>
              </w:rPr>
            </w:pPr>
            <w:r>
              <w:rPr>
                <w:rFonts w:ascii="Book Antiqua" w:hAnsi="Book Antiqua"/>
                <w:sz w:val="22"/>
                <w:szCs w:val="22"/>
              </w:rPr>
              <w:t>-9</w:t>
            </w:r>
          </w:p>
        </w:tc>
      </w:tr>
      <w:tr w:rsidR="00813AC2" w:rsidRPr="009F0301" w14:paraId="434436FF" w14:textId="77777777" w:rsidTr="00813AC2">
        <w:trPr>
          <w:trHeight w:val="315"/>
          <w:jc w:val="center"/>
        </w:trPr>
        <w:tc>
          <w:tcPr>
            <w:tcW w:w="1815" w:type="dxa"/>
            <w:tcBorders>
              <w:top w:val="nil"/>
              <w:left w:val="nil"/>
              <w:right w:val="single" w:sz="4" w:space="0" w:color="0000FF"/>
            </w:tcBorders>
            <w:shd w:val="clear" w:color="auto" w:fill="auto"/>
            <w:noWrap/>
            <w:vAlign w:val="bottom"/>
          </w:tcPr>
          <w:p w14:paraId="50EF6B09" w14:textId="77777777" w:rsidR="00813AC2" w:rsidRPr="00C62974" w:rsidRDefault="00813AC2" w:rsidP="00813AC2">
            <w:pPr>
              <w:rPr>
                <w:rFonts w:ascii="Book Antiqua" w:hAnsi="Book Antiqua"/>
                <w:i/>
              </w:rPr>
            </w:pPr>
            <w:r w:rsidRPr="00C62974">
              <w:rPr>
                <w:rFonts w:ascii="Book Antiqua" w:hAnsi="Book Antiqua"/>
                <w:i/>
              </w:rPr>
              <w:t xml:space="preserve"> SUGEVAL</w:t>
            </w:r>
          </w:p>
        </w:tc>
        <w:tc>
          <w:tcPr>
            <w:tcW w:w="768" w:type="dxa"/>
            <w:tcBorders>
              <w:top w:val="nil"/>
              <w:left w:val="nil"/>
              <w:right w:val="nil"/>
            </w:tcBorders>
            <w:vAlign w:val="bottom"/>
          </w:tcPr>
          <w:p w14:paraId="0BEA1E40" w14:textId="77777777" w:rsidR="00813AC2" w:rsidRDefault="00813AC2" w:rsidP="00813AC2">
            <w:pPr>
              <w:jc w:val="center"/>
              <w:rPr>
                <w:rFonts w:ascii="Book Antiqua" w:hAnsi="Book Antiqua"/>
                <w:sz w:val="22"/>
                <w:szCs w:val="22"/>
              </w:rPr>
            </w:pPr>
            <w:r>
              <w:rPr>
                <w:rFonts w:ascii="Book Antiqua" w:hAnsi="Book Antiqua"/>
                <w:sz w:val="22"/>
                <w:szCs w:val="22"/>
              </w:rPr>
              <w:t>116</w:t>
            </w:r>
          </w:p>
        </w:tc>
        <w:tc>
          <w:tcPr>
            <w:tcW w:w="923" w:type="dxa"/>
            <w:tcBorders>
              <w:top w:val="nil"/>
              <w:left w:val="nil"/>
              <w:right w:val="nil"/>
            </w:tcBorders>
            <w:shd w:val="clear" w:color="auto" w:fill="auto"/>
            <w:noWrap/>
            <w:vAlign w:val="bottom"/>
          </w:tcPr>
          <w:p w14:paraId="2F9738E5" w14:textId="77777777" w:rsidR="00813AC2" w:rsidRDefault="00813AC2" w:rsidP="00813AC2">
            <w:pPr>
              <w:jc w:val="center"/>
              <w:rPr>
                <w:rFonts w:ascii="Book Antiqua" w:hAnsi="Book Antiqua"/>
                <w:sz w:val="22"/>
                <w:szCs w:val="22"/>
              </w:rPr>
            </w:pPr>
            <w:r>
              <w:rPr>
                <w:rFonts w:ascii="Book Antiqua" w:hAnsi="Book Antiqua"/>
                <w:sz w:val="22"/>
                <w:szCs w:val="22"/>
              </w:rPr>
              <w:t>95</w:t>
            </w:r>
          </w:p>
        </w:tc>
        <w:tc>
          <w:tcPr>
            <w:tcW w:w="1563" w:type="dxa"/>
            <w:tcBorders>
              <w:top w:val="nil"/>
              <w:left w:val="nil"/>
              <w:right w:val="nil"/>
            </w:tcBorders>
            <w:shd w:val="clear" w:color="auto" w:fill="auto"/>
            <w:noWrap/>
            <w:vAlign w:val="bottom"/>
          </w:tcPr>
          <w:p w14:paraId="576E7325" w14:textId="77777777" w:rsidR="00813AC2" w:rsidRDefault="00813AC2" w:rsidP="00813AC2">
            <w:pPr>
              <w:jc w:val="center"/>
              <w:rPr>
                <w:rFonts w:ascii="Book Antiqua" w:hAnsi="Book Antiqua"/>
                <w:sz w:val="22"/>
                <w:szCs w:val="22"/>
              </w:rPr>
            </w:pPr>
            <w:r>
              <w:rPr>
                <w:rFonts w:ascii="Book Antiqua" w:hAnsi="Book Antiqua"/>
                <w:sz w:val="22"/>
                <w:szCs w:val="22"/>
              </w:rPr>
              <w:t>-21</w:t>
            </w:r>
          </w:p>
        </w:tc>
      </w:tr>
      <w:tr w:rsidR="00813AC2" w:rsidRPr="009F0301" w14:paraId="060D3349" w14:textId="77777777" w:rsidTr="00813AC2">
        <w:trPr>
          <w:trHeight w:val="315"/>
          <w:jc w:val="center"/>
        </w:trPr>
        <w:tc>
          <w:tcPr>
            <w:tcW w:w="1815" w:type="dxa"/>
            <w:tcBorders>
              <w:top w:val="nil"/>
              <w:left w:val="nil"/>
              <w:right w:val="single" w:sz="4" w:space="0" w:color="0000FF"/>
            </w:tcBorders>
            <w:shd w:val="clear" w:color="auto" w:fill="auto"/>
            <w:noWrap/>
            <w:vAlign w:val="bottom"/>
          </w:tcPr>
          <w:p w14:paraId="2AFEA556" w14:textId="77777777" w:rsidR="00813AC2" w:rsidRPr="00C62974" w:rsidRDefault="00813AC2" w:rsidP="00813AC2">
            <w:pPr>
              <w:rPr>
                <w:rFonts w:ascii="Book Antiqua" w:hAnsi="Book Antiqua"/>
                <w:i/>
              </w:rPr>
            </w:pPr>
            <w:r>
              <w:rPr>
                <w:rFonts w:ascii="Book Antiqua" w:hAnsi="Book Antiqua"/>
                <w:i/>
              </w:rPr>
              <w:t>SUGESE</w:t>
            </w:r>
          </w:p>
        </w:tc>
        <w:tc>
          <w:tcPr>
            <w:tcW w:w="768" w:type="dxa"/>
            <w:tcBorders>
              <w:top w:val="nil"/>
              <w:left w:val="nil"/>
              <w:right w:val="nil"/>
            </w:tcBorders>
            <w:vAlign w:val="bottom"/>
          </w:tcPr>
          <w:p w14:paraId="06199FC6" w14:textId="77777777" w:rsidR="00813AC2" w:rsidRDefault="00813AC2" w:rsidP="00813AC2">
            <w:pPr>
              <w:jc w:val="center"/>
              <w:rPr>
                <w:rFonts w:ascii="Book Antiqua" w:hAnsi="Book Antiqua"/>
                <w:sz w:val="22"/>
                <w:szCs w:val="22"/>
              </w:rPr>
            </w:pPr>
            <w:r>
              <w:rPr>
                <w:rFonts w:ascii="Book Antiqua" w:hAnsi="Book Antiqua"/>
                <w:sz w:val="22"/>
                <w:szCs w:val="22"/>
              </w:rPr>
              <w:t>41</w:t>
            </w:r>
          </w:p>
        </w:tc>
        <w:tc>
          <w:tcPr>
            <w:tcW w:w="923" w:type="dxa"/>
            <w:tcBorders>
              <w:top w:val="nil"/>
              <w:left w:val="nil"/>
              <w:right w:val="nil"/>
            </w:tcBorders>
            <w:shd w:val="clear" w:color="auto" w:fill="auto"/>
            <w:noWrap/>
            <w:vAlign w:val="bottom"/>
          </w:tcPr>
          <w:p w14:paraId="20132601" w14:textId="77777777" w:rsidR="00813AC2" w:rsidRDefault="00813AC2" w:rsidP="00813AC2">
            <w:pPr>
              <w:jc w:val="center"/>
              <w:rPr>
                <w:rFonts w:ascii="Book Antiqua" w:hAnsi="Book Antiqua"/>
                <w:sz w:val="22"/>
                <w:szCs w:val="22"/>
              </w:rPr>
            </w:pPr>
            <w:r>
              <w:rPr>
                <w:rFonts w:ascii="Book Antiqua" w:hAnsi="Book Antiqua"/>
                <w:sz w:val="22"/>
                <w:szCs w:val="22"/>
              </w:rPr>
              <w:t>42</w:t>
            </w:r>
          </w:p>
        </w:tc>
        <w:tc>
          <w:tcPr>
            <w:tcW w:w="1563" w:type="dxa"/>
            <w:tcBorders>
              <w:top w:val="nil"/>
              <w:left w:val="nil"/>
              <w:right w:val="nil"/>
            </w:tcBorders>
            <w:shd w:val="clear" w:color="auto" w:fill="auto"/>
            <w:noWrap/>
            <w:vAlign w:val="bottom"/>
          </w:tcPr>
          <w:p w14:paraId="19A5BB40" w14:textId="77777777" w:rsidR="00813AC2" w:rsidRDefault="00813AC2" w:rsidP="00813AC2">
            <w:pPr>
              <w:jc w:val="center"/>
              <w:rPr>
                <w:rFonts w:ascii="Book Antiqua" w:hAnsi="Book Antiqua"/>
                <w:sz w:val="22"/>
                <w:szCs w:val="22"/>
              </w:rPr>
            </w:pPr>
            <w:r>
              <w:rPr>
                <w:rFonts w:ascii="Book Antiqua" w:hAnsi="Book Antiqua"/>
                <w:sz w:val="22"/>
                <w:szCs w:val="22"/>
              </w:rPr>
              <w:t>1</w:t>
            </w:r>
          </w:p>
        </w:tc>
      </w:tr>
      <w:tr w:rsidR="00813AC2" w:rsidRPr="00DF09AF" w14:paraId="52109B40" w14:textId="77777777" w:rsidTr="00813AC2">
        <w:trPr>
          <w:trHeight w:val="315"/>
          <w:jc w:val="center"/>
        </w:trPr>
        <w:tc>
          <w:tcPr>
            <w:tcW w:w="1815" w:type="dxa"/>
            <w:tcBorders>
              <w:left w:val="nil"/>
              <w:bottom w:val="double" w:sz="6" w:space="0" w:color="0000FF"/>
              <w:right w:val="single" w:sz="4" w:space="0" w:color="0000FF"/>
            </w:tcBorders>
            <w:shd w:val="clear" w:color="auto" w:fill="auto"/>
            <w:noWrap/>
            <w:vAlign w:val="bottom"/>
          </w:tcPr>
          <w:p w14:paraId="4375315D" w14:textId="77777777" w:rsidR="00813AC2" w:rsidRPr="009F0301" w:rsidRDefault="00813AC2" w:rsidP="00813AC2">
            <w:pPr>
              <w:jc w:val="center"/>
              <w:rPr>
                <w:rFonts w:ascii="Book Antiqua" w:hAnsi="Book Antiqua"/>
                <w:b/>
                <w:bCs/>
              </w:rPr>
            </w:pPr>
            <w:r w:rsidRPr="009F0301">
              <w:rPr>
                <w:rFonts w:ascii="Book Antiqua" w:hAnsi="Book Antiqua"/>
                <w:b/>
                <w:bCs/>
              </w:rPr>
              <w:t>Total</w:t>
            </w:r>
          </w:p>
        </w:tc>
        <w:tc>
          <w:tcPr>
            <w:tcW w:w="768" w:type="dxa"/>
            <w:tcBorders>
              <w:left w:val="nil"/>
              <w:bottom w:val="double" w:sz="6" w:space="0" w:color="0000FF"/>
              <w:right w:val="nil"/>
            </w:tcBorders>
            <w:vAlign w:val="bottom"/>
          </w:tcPr>
          <w:p w14:paraId="01F39F52" w14:textId="77777777" w:rsidR="00813AC2" w:rsidRPr="00B34DC7" w:rsidRDefault="00813AC2" w:rsidP="00813AC2">
            <w:pPr>
              <w:jc w:val="center"/>
              <w:rPr>
                <w:rFonts w:ascii="Book Antiqua" w:hAnsi="Book Antiqua"/>
                <w:b/>
                <w:sz w:val="22"/>
                <w:szCs w:val="22"/>
              </w:rPr>
            </w:pPr>
            <w:r w:rsidRPr="00B34DC7">
              <w:rPr>
                <w:rFonts w:ascii="Book Antiqua" w:hAnsi="Book Antiqua"/>
                <w:b/>
                <w:sz w:val="22"/>
                <w:szCs w:val="22"/>
              </w:rPr>
              <w:t>1,158</w:t>
            </w:r>
          </w:p>
        </w:tc>
        <w:tc>
          <w:tcPr>
            <w:tcW w:w="923" w:type="dxa"/>
            <w:tcBorders>
              <w:left w:val="nil"/>
              <w:bottom w:val="double" w:sz="6" w:space="0" w:color="0000FF"/>
              <w:right w:val="nil"/>
            </w:tcBorders>
            <w:shd w:val="clear" w:color="auto" w:fill="auto"/>
            <w:noWrap/>
            <w:vAlign w:val="bottom"/>
          </w:tcPr>
          <w:p w14:paraId="7A33BACB" w14:textId="77777777" w:rsidR="00813AC2" w:rsidRPr="00B34DC7" w:rsidRDefault="00813AC2" w:rsidP="00813AC2">
            <w:pPr>
              <w:jc w:val="center"/>
              <w:rPr>
                <w:rFonts w:ascii="Book Antiqua" w:hAnsi="Book Antiqua"/>
                <w:b/>
                <w:sz w:val="22"/>
                <w:szCs w:val="22"/>
              </w:rPr>
            </w:pPr>
            <w:r w:rsidRPr="00B34DC7">
              <w:rPr>
                <w:rFonts w:ascii="Book Antiqua" w:hAnsi="Book Antiqua"/>
                <w:b/>
                <w:sz w:val="22"/>
                <w:szCs w:val="22"/>
              </w:rPr>
              <w:t>1,153</w:t>
            </w:r>
          </w:p>
        </w:tc>
        <w:tc>
          <w:tcPr>
            <w:tcW w:w="1563" w:type="dxa"/>
            <w:tcBorders>
              <w:left w:val="nil"/>
              <w:bottom w:val="double" w:sz="6" w:space="0" w:color="0000FF"/>
              <w:right w:val="nil"/>
            </w:tcBorders>
            <w:shd w:val="clear" w:color="auto" w:fill="auto"/>
            <w:noWrap/>
            <w:vAlign w:val="bottom"/>
          </w:tcPr>
          <w:p w14:paraId="2D91EBD2" w14:textId="77777777" w:rsidR="00813AC2" w:rsidRPr="00B34DC7" w:rsidRDefault="00813AC2" w:rsidP="00813AC2">
            <w:pPr>
              <w:jc w:val="center"/>
              <w:rPr>
                <w:rFonts w:ascii="Book Antiqua" w:hAnsi="Book Antiqua"/>
                <w:b/>
                <w:sz w:val="22"/>
                <w:szCs w:val="22"/>
              </w:rPr>
            </w:pPr>
            <w:r w:rsidRPr="00B34DC7">
              <w:rPr>
                <w:rFonts w:ascii="Book Antiqua" w:hAnsi="Book Antiqua"/>
                <w:b/>
                <w:sz w:val="22"/>
                <w:szCs w:val="22"/>
              </w:rPr>
              <w:t>-5</w:t>
            </w:r>
          </w:p>
        </w:tc>
      </w:tr>
    </w:tbl>
    <w:p w14:paraId="1C0334B6" w14:textId="77777777" w:rsidR="00813AC2" w:rsidRDefault="00813AC2" w:rsidP="00813AC2">
      <w:pPr>
        <w:jc w:val="both"/>
        <w:rPr>
          <w:rFonts w:ascii="Book Antiqua" w:hAnsi="Book Antiqua"/>
        </w:rPr>
      </w:pPr>
    </w:p>
    <w:p w14:paraId="4209FE09" w14:textId="77777777" w:rsidR="00813AC2" w:rsidRDefault="00813AC2" w:rsidP="00813AC2">
      <w:pPr>
        <w:jc w:val="both"/>
        <w:rPr>
          <w:rFonts w:ascii="Book Antiqua" w:hAnsi="Book Antiqua"/>
          <w:b/>
          <w:i/>
          <w:color w:val="800000"/>
        </w:rPr>
      </w:pPr>
      <w:r w:rsidRPr="009F0301">
        <w:rPr>
          <w:rFonts w:ascii="Book Antiqua" w:hAnsi="Book Antiqua"/>
          <w:b/>
          <w:i/>
          <w:color w:val="800000"/>
        </w:rPr>
        <w:t xml:space="preserve">Variaciones de plazas </w:t>
      </w:r>
      <w:r>
        <w:rPr>
          <w:rFonts w:ascii="Book Antiqua" w:hAnsi="Book Antiqua"/>
          <w:b/>
          <w:i/>
          <w:color w:val="800000"/>
        </w:rPr>
        <w:t>entre escalas salariales</w:t>
      </w:r>
    </w:p>
    <w:p w14:paraId="146389E5" w14:textId="77777777" w:rsidR="00813AC2" w:rsidRPr="009F0301" w:rsidRDefault="00813AC2" w:rsidP="00813AC2">
      <w:pPr>
        <w:jc w:val="both"/>
        <w:rPr>
          <w:rFonts w:ascii="Book Antiqua" w:hAnsi="Book Antiqua"/>
          <w:b/>
          <w:i/>
          <w:color w:val="800000"/>
        </w:rPr>
      </w:pPr>
    </w:p>
    <w:p w14:paraId="49ADDBE0" w14:textId="77777777" w:rsidR="00813AC2" w:rsidRDefault="00813AC2" w:rsidP="00813AC2">
      <w:pPr>
        <w:jc w:val="both"/>
        <w:rPr>
          <w:rFonts w:ascii="Book Antiqua" w:hAnsi="Book Antiqua"/>
        </w:rPr>
      </w:pPr>
      <w:r w:rsidRPr="009F0301">
        <w:rPr>
          <w:rFonts w:ascii="Book Antiqua" w:hAnsi="Book Antiqua"/>
        </w:rPr>
        <w:t xml:space="preserve">En </w:t>
      </w:r>
      <w:r w:rsidRPr="00386963">
        <w:rPr>
          <w:rFonts w:ascii="Book Antiqua" w:hAnsi="Book Antiqua"/>
        </w:rPr>
        <w:t xml:space="preserve">el siguiente cuadro se </w:t>
      </w:r>
      <w:r>
        <w:rPr>
          <w:rFonts w:ascii="Book Antiqua" w:hAnsi="Book Antiqua"/>
        </w:rPr>
        <w:t>presentan</w:t>
      </w:r>
      <w:r w:rsidRPr="00386963">
        <w:rPr>
          <w:rFonts w:ascii="Book Antiqua" w:hAnsi="Book Antiqua"/>
        </w:rPr>
        <w:t xml:space="preserve"> las variaciones de plazas </w:t>
      </w:r>
      <w:r>
        <w:rPr>
          <w:rFonts w:ascii="Book Antiqua" w:hAnsi="Book Antiqua"/>
        </w:rPr>
        <w:t>entre</w:t>
      </w:r>
      <w:r w:rsidRPr="00386963">
        <w:rPr>
          <w:rFonts w:ascii="Book Antiqua" w:hAnsi="Book Antiqua"/>
        </w:rPr>
        <w:t xml:space="preserve"> escala</w:t>
      </w:r>
      <w:r>
        <w:rPr>
          <w:rFonts w:ascii="Book Antiqua" w:hAnsi="Book Antiqua"/>
        </w:rPr>
        <w:t>s</w:t>
      </w:r>
      <w:r w:rsidRPr="00386963">
        <w:rPr>
          <w:rFonts w:ascii="Book Antiqua" w:hAnsi="Book Antiqua"/>
        </w:rPr>
        <w:t xml:space="preserve"> salarial</w:t>
      </w:r>
      <w:r>
        <w:rPr>
          <w:rFonts w:ascii="Book Antiqua" w:hAnsi="Book Antiqua"/>
        </w:rPr>
        <w:t>es</w:t>
      </w:r>
      <w:r w:rsidRPr="00386963">
        <w:rPr>
          <w:rFonts w:ascii="Book Antiqua" w:hAnsi="Book Antiqua"/>
        </w:rPr>
        <w:t xml:space="preserve">, </w:t>
      </w:r>
      <w:r>
        <w:rPr>
          <w:rFonts w:ascii="Book Antiqua" w:hAnsi="Book Antiqua"/>
        </w:rPr>
        <w:t>siendo</w:t>
      </w:r>
      <w:r w:rsidRPr="00386963">
        <w:rPr>
          <w:rFonts w:ascii="Book Antiqua" w:hAnsi="Book Antiqua"/>
        </w:rPr>
        <w:t xml:space="preserve"> la principal variación </w:t>
      </w:r>
      <w:r>
        <w:rPr>
          <w:rFonts w:ascii="Book Antiqua" w:hAnsi="Book Antiqua"/>
        </w:rPr>
        <w:t xml:space="preserve">originada por la conversión que se dio de plazas vacantes </w:t>
      </w:r>
    </w:p>
    <w:p w14:paraId="2DD8F75E" w14:textId="4F7281ED" w:rsidR="00813AC2" w:rsidRDefault="00813AC2" w:rsidP="00813AC2">
      <w:pPr>
        <w:jc w:val="both"/>
        <w:rPr>
          <w:rFonts w:ascii="Book Antiqua" w:hAnsi="Book Antiqua"/>
        </w:rPr>
      </w:pPr>
      <w:r>
        <w:rPr>
          <w:rFonts w:ascii="Book Antiqua" w:hAnsi="Book Antiqua"/>
        </w:rPr>
        <w:t xml:space="preserve">cubiertas por la </w:t>
      </w:r>
      <w:r w:rsidRPr="00386963">
        <w:rPr>
          <w:rFonts w:ascii="Book Antiqua" w:hAnsi="Book Antiqua"/>
        </w:rPr>
        <w:t xml:space="preserve">escala regular </w:t>
      </w:r>
      <w:r>
        <w:rPr>
          <w:rFonts w:ascii="Book Antiqua" w:hAnsi="Book Antiqua"/>
        </w:rPr>
        <w:t xml:space="preserve">de básico más </w:t>
      </w:r>
      <w:r w:rsidRPr="00386963">
        <w:rPr>
          <w:rFonts w:ascii="Book Antiqua" w:hAnsi="Book Antiqua"/>
        </w:rPr>
        <w:t>pluses</w:t>
      </w:r>
      <w:r>
        <w:rPr>
          <w:rFonts w:ascii="Book Antiqua" w:hAnsi="Book Antiqua"/>
        </w:rPr>
        <w:t xml:space="preserve"> hacia la escala regular global.  Se resalta también el hecho de que la plaza de Sub-auditor Interno de Banco Central que fue formulada en la escala Gerencial con Pluses para el 2015 está siendo formulada en la escala Gerencial Global para el 2016, toda vez que el anterior  titular se acogió a la pensión.</w:t>
      </w:r>
    </w:p>
    <w:p w14:paraId="7796A690" w14:textId="77777777" w:rsidR="00813AC2" w:rsidRDefault="00813AC2" w:rsidP="00813AC2">
      <w:pPr>
        <w:jc w:val="both"/>
        <w:rPr>
          <w:rFonts w:ascii="Book Antiqua" w:hAnsi="Book Antiqua"/>
          <w:b/>
        </w:rPr>
      </w:pPr>
    </w:p>
    <w:p w14:paraId="10E62F0C" w14:textId="77777777" w:rsidR="00813AC2" w:rsidRPr="009F0301" w:rsidRDefault="00813AC2" w:rsidP="00813AC2">
      <w:pPr>
        <w:jc w:val="center"/>
        <w:rPr>
          <w:rFonts w:ascii="Book Antiqua" w:hAnsi="Book Antiqua"/>
          <w:b/>
        </w:rPr>
      </w:pPr>
      <w:r w:rsidRPr="009F0301">
        <w:rPr>
          <w:rFonts w:ascii="Book Antiqua" w:hAnsi="Book Antiqua"/>
          <w:b/>
        </w:rPr>
        <w:t>Distribución de Plazas en Presupuestos Formulados</w:t>
      </w:r>
      <w:r>
        <w:rPr>
          <w:rFonts w:ascii="Book Antiqua" w:hAnsi="Book Antiqua"/>
          <w:b/>
        </w:rPr>
        <w:t>,</w:t>
      </w:r>
    </w:p>
    <w:p w14:paraId="69A79E72" w14:textId="77777777" w:rsidR="00813AC2" w:rsidRPr="009F0301" w:rsidRDefault="00813AC2" w:rsidP="00813AC2">
      <w:pPr>
        <w:jc w:val="center"/>
        <w:rPr>
          <w:rFonts w:ascii="Book Antiqua" w:hAnsi="Book Antiqua"/>
          <w:b/>
        </w:rPr>
      </w:pPr>
      <w:r>
        <w:rPr>
          <w:rFonts w:ascii="Book Antiqua" w:hAnsi="Book Antiqua"/>
          <w:b/>
        </w:rPr>
        <w:t>S</w:t>
      </w:r>
      <w:r w:rsidRPr="009F0301">
        <w:rPr>
          <w:rFonts w:ascii="Book Antiqua" w:hAnsi="Book Antiqua"/>
          <w:b/>
        </w:rPr>
        <w:t>egún Escala por Año, Periodo 20</w:t>
      </w:r>
      <w:r>
        <w:rPr>
          <w:rFonts w:ascii="Book Antiqua" w:hAnsi="Book Antiqua"/>
          <w:b/>
        </w:rPr>
        <w:t>15-2016</w:t>
      </w:r>
    </w:p>
    <w:tbl>
      <w:tblPr>
        <w:tblW w:w="5861" w:type="dxa"/>
        <w:jc w:val="center"/>
        <w:tblLook w:val="0000" w:firstRow="0" w:lastRow="0" w:firstColumn="0" w:lastColumn="0" w:noHBand="0" w:noVBand="0"/>
      </w:tblPr>
      <w:tblGrid>
        <w:gridCol w:w="2463"/>
        <w:gridCol w:w="846"/>
        <w:gridCol w:w="989"/>
        <w:gridCol w:w="1563"/>
      </w:tblGrid>
      <w:tr w:rsidR="00813AC2" w:rsidRPr="009F0301" w14:paraId="5EC0D935" w14:textId="77777777" w:rsidTr="00813AC2">
        <w:trPr>
          <w:trHeight w:val="315"/>
          <w:jc w:val="center"/>
        </w:trPr>
        <w:tc>
          <w:tcPr>
            <w:tcW w:w="2463" w:type="dxa"/>
            <w:vMerge w:val="restart"/>
            <w:tcBorders>
              <w:top w:val="double" w:sz="6" w:space="0" w:color="0000FF"/>
              <w:left w:val="nil"/>
              <w:bottom w:val="single" w:sz="4" w:space="0" w:color="0000FF"/>
              <w:right w:val="single" w:sz="4" w:space="0" w:color="0000FF"/>
            </w:tcBorders>
            <w:shd w:val="clear" w:color="auto" w:fill="auto"/>
            <w:noWrap/>
            <w:vAlign w:val="center"/>
          </w:tcPr>
          <w:p w14:paraId="5E76795E" w14:textId="77777777" w:rsidR="00813AC2" w:rsidRPr="009F0301" w:rsidRDefault="00813AC2" w:rsidP="00813AC2">
            <w:pPr>
              <w:jc w:val="center"/>
              <w:rPr>
                <w:rFonts w:ascii="Book Antiqua" w:hAnsi="Book Antiqua"/>
                <w:b/>
                <w:bCs/>
              </w:rPr>
            </w:pPr>
            <w:r w:rsidRPr="009F0301">
              <w:rPr>
                <w:rFonts w:ascii="Book Antiqua" w:hAnsi="Book Antiqua"/>
                <w:b/>
                <w:bCs/>
              </w:rPr>
              <w:t>Escala</w:t>
            </w:r>
          </w:p>
        </w:tc>
        <w:tc>
          <w:tcPr>
            <w:tcW w:w="3398" w:type="dxa"/>
            <w:gridSpan w:val="3"/>
            <w:tcBorders>
              <w:top w:val="double" w:sz="6" w:space="0" w:color="0000FF"/>
              <w:left w:val="nil"/>
              <w:bottom w:val="nil"/>
              <w:right w:val="nil"/>
            </w:tcBorders>
            <w:shd w:val="clear" w:color="auto" w:fill="auto"/>
            <w:noWrap/>
            <w:vAlign w:val="center"/>
          </w:tcPr>
          <w:p w14:paraId="021AF1F4" w14:textId="77777777" w:rsidR="00813AC2" w:rsidRPr="009F0301" w:rsidRDefault="00813AC2" w:rsidP="00813AC2">
            <w:pPr>
              <w:jc w:val="center"/>
              <w:rPr>
                <w:rFonts w:ascii="Book Antiqua" w:hAnsi="Book Antiqua"/>
                <w:b/>
                <w:bCs/>
              </w:rPr>
            </w:pPr>
            <w:r w:rsidRPr="009F0301">
              <w:rPr>
                <w:rFonts w:ascii="Book Antiqua" w:hAnsi="Book Antiqua"/>
                <w:b/>
                <w:bCs/>
              </w:rPr>
              <w:t>Año</w:t>
            </w:r>
          </w:p>
        </w:tc>
      </w:tr>
      <w:tr w:rsidR="00813AC2" w:rsidRPr="009F0301" w14:paraId="6F7BFE12" w14:textId="77777777" w:rsidTr="00813AC2">
        <w:trPr>
          <w:trHeight w:val="300"/>
          <w:jc w:val="center"/>
        </w:trPr>
        <w:tc>
          <w:tcPr>
            <w:tcW w:w="2463" w:type="dxa"/>
            <w:vMerge/>
            <w:tcBorders>
              <w:top w:val="double" w:sz="6" w:space="0" w:color="0000FF"/>
              <w:left w:val="nil"/>
              <w:bottom w:val="single" w:sz="4" w:space="0" w:color="0000FF"/>
              <w:right w:val="single" w:sz="4" w:space="0" w:color="0000FF"/>
            </w:tcBorders>
            <w:vAlign w:val="center"/>
          </w:tcPr>
          <w:p w14:paraId="2759AF9B" w14:textId="77777777" w:rsidR="00813AC2" w:rsidRPr="009F0301" w:rsidRDefault="00813AC2" w:rsidP="00813AC2">
            <w:pPr>
              <w:rPr>
                <w:rFonts w:ascii="Book Antiqua" w:hAnsi="Book Antiqua"/>
                <w:b/>
                <w:bCs/>
              </w:rPr>
            </w:pPr>
          </w:p>
        </w:tc>
        <w:tc>
          <w:tcPr>
            <w:tcW w:w="846" w:type="dxa"/>
            <w:tcBorders>
              <w:top w:val="nil"/>
              <w:left w:val="nil"/>
              <w:bottom w:val="single" w:sz="4" w:space="0" w:color="0000FF"/>
              <w:right w:val="nil"/>
            </w:tcBorders>
            <w:shd w:val="clear" w:color="auto" w:fill="auto"/>
            <w:noWrap/>
            <w:vAlign w:val="bottom"/>
          </w:tcPr>
          <w:p w14:paraId="36B2A6A0" w14:textId="77777777" w:rsidR="00813AC2" w:rsidRPr="009F0301" w:rsidRDefault="00813AC2" w:rsidP="00813AC2">
            <w:pPr>
              <w:jc w:val="center"/>
              <w:rPr>
                <w:rFonts w:ascii="Book Antiqua" w:hAnsi="Book Antiqua"/>
                <w:b/>
                <w:bCs/>
              </w:rPr>
            </w:pPr>
            <w:r>
              <w:rPr>
                <w:rFonts w:ascii="Book Antiqua" w:hAnsi="Book Antiqua"/>
                <w:b/>
                <w:bCs/>
              </w:rPr>
              <w:t>2015</w:t>
            </w:r>
          </w:p>
        </w:tc>
        <w:tc>
          <w:tcPr>
            <w:tcW w:w="989" w:type="dxa"/>
            <w:tcBorders>
              <w:top w:val="nil"/>
              <w:left w:val="nil"/>
              <w:bottom w:val="single" w:sz="4" w:space="0" w:color="0000FF"/>
              <w:right w:val="nil"/>
            </w:tcBorders>
            <w:shd w:val="clear" w:color="auto" w:fill="auto"/>
            <w:noWrap/>
            <w:vAlign w:val="bottom"/>
          </w:tcPr>
          <w:p w14:paraId="7EAF0F61" w14:textId="77777777" w:rsidR="00813AC2" w:rsidRPr="009F0301" w:rsidRDefault="00813AC2" w:rsidP="00813AC2">
            <w:pPr>
              <w:jc w:val="center"/>
              <w:rPr>
                <w:rFonts w:ascii="Book Antiqua" w:hAnsi="Book Antiqua"/>
                <w:b/>
                <w:bCs/>
              </w:rPr>
            </w:pPr>
            <w:r>
              <w:rPr>
                <w:rFonts w:ascii="Book Antiqua" w:hAnsi="Book Antiqua"/>
                <w:b/>
                <w:bCs/>
              </w:rPr>
              <w:t>2016</w:t>
            </w:r>
          </w:p>
        </w:tc>
        <w:tc>
          <w:tcPr>
            <w:tcW w:w="1563" w:type="dxa"/>
            <w:tcBorders>
              <w:top w:val="nil"/>
              <w:left w:val="nil"/>
              <w:bottom w:val="single" w:sz="4" w:space="0" w:color="0000FF"/>
              <w:right w:val="nil"/>
            </w:tcBorders>
            <w:shd w:val="clear" w:color="auto" w:fill="auto"/>
            <w:noWrap/>
            <w:vAlign w:val="bottom"/>
          </w:tcPr>
          <w:p w14:paraId="1CEDF27A" w14:textId="77777777" w:rsidR="00813AC2" w:rsidRPr="009F0301" w:rsidRDefault="00813AC2" w:rsidP="00813AC2">
            <w:pPr>
              <w:jc w:val="center"/>
              <w:rPr>
                <w:rFonts w:ascii="Book Antiqua" w:hAnsi="Book Antiqua"/>
                <w:b/>
                <w:bCs/>
              </w:rPr>
            </w:pPr>
            <w:r>
              <w:rPr>
                <w:rFonts w:ascii="Book Antiqua" w:hAnsi="Book Antiqua"/>
                <w:b/>
                <w:bCs/>
              </w:rPr>
              <w:t>Crecimiento</w:t>
            </w:r>
          </w:p>
        </w:tc>
      </w:tr>
      <w:tr w:rsidR="00813AC2" w:rsidRPr="009F0301" w14:paraId="37F14941" w14:textId="77777777" w:rsidTr="00813AC2">
        <w:trPr>
          <w:trHeight w:val="300"/>
          <w:jc w:val="center"/>
        </w:trPr>
        <w:tc>
          <w:tcPr>
            <w:tcW w:w="2463" w:type="dxa"/>
            <w:tcBorders>
              <w:top w:val="nil"/>
              <w:left w:val="nil"/>
              <w:bottom w:val="nil"/>
              <w:right w:val="single" w:sz="4" w:space="0" w:color="0000FF"/>
            </w:tcBorders>
            <w:shd w:val="clear" w:color="auto" w:fill="auto"/>
            <w:noWrap/>
            <w:vAlign w:val="bottom"/>
          </w:tcPr>
          <w:p w14:paraId="02CEEAE2" w14:textId="77777777" w:rsidR="00813AC2" w:rsidRPr="009F0301" w:rsidRDefault="00813AC2" w:rsidP="00813AC2">
            <w:pPr>
              <w:rPr>
                <w:rFonts w:ascii="Book Antiqua" w:hAnsi="Book Antiqua"/>
              </w:rPr>
            </w:pPr>
            <w:r w:rsidRPr="009F0301">
              <w:rPr>
                <w:rFonts w:ascii="Book Antiqua" w:hAnsi="Book Antiqua"/>
              </w:rPr>
              <w:t>Gerencial Global</w:t>
            </w:r>
          </w:p>
        </w:tc>
        <w:tc>
          <w:tcPr>
            <w:tcW w:w="846" w:type="dxa"/>
            <w:tcBorders>
              <w:top w:val="nil"/>
              <w:left w:val="nil"/>
              <w:bottom w:val="nil"/>
              <w:right w:val="nil"/>
            </w:tcBorders>
            <w:shd w:val="clear" w:color="auto" w:fill="auto"/>
            <w:noWrap/>
            <w:vAlign w:val="bottom"/>
          </w:tcPr>
          <w:p w14:paraId="57159AC5" w14:textId="77777777" w:rsidR="00813AC2" w:rsidRDefault="00813AC2" w:rsidP="00813AC2">
            <w:pPr>
              <w:jc w:val="right"/>
              <w:rPr>
                <w:rFonts w:ascii="Book Antiqua" w:hAnsi="Book Antiqua"/>
                <w:sz w:val="22"/>
                <w:szCs w:val="22"/>
              </w:rPr>
            </w:pPr>
            <w:r>
              <w:rPr>
                <w:rFonts w:ascii="Book Antiqua" w:hAnsi="Book Antiqua"/>
                <w:sz w:val="22"/>
                <w:szCs w:val="22"/>
              </w:rPr>
              <w:t>11</w:t>
            </w:r>
          </w:p>
        </w:tc>
        <w:tc>
          <w:tcPr>
            <w:tcW w:w="989" w:type="dxa"/>
            <w:tcBorders>
              <w:top w:val="nil"/>
              <w:left w:val="nil"/>
              <w:bottom w:val="nil"/>
              <w:right w:val="nil"/>
            </w:tcBorders>
            <w:shd w:val="clear" w:color="auto" w:fill="auto"/>
            <w:noWrap/>
            <w:vAlign w:val="bottom"/>
          </w:tcPr>
          <w:p w14:paraId="72DF5A06" w14:textId="77777777" w:rsidR="00813AC2" w:rsidRDefault="00813AC2" w:rsidP="00813AC2">
            <w:pPr>
              <w:jc w:val="right"/>
              <w:rPr>
                <w:rFonts w:ascii="Book Antiqua" w:hAnsi="Book Antiqua"/>
                <w:sz w:val="22"/>
                <w:szCs w:val="22"/>
              </w:rPr>
            </w:pPr>
            <w:r>
              <w:rPr>
                <w:rFonts w:ascii="Book Antiqua" w:hAnsi="Book Antiqua"/>
                <w:sz w:val="22"/>
                <w:szCs w:val="22"/>
              </w:rPr>
              <w:t>12</w:t>
            </w:r>
          </w:p>
        </w:tc>
        <w:tc>
          <w:tcPr>
            <w:tcW w:w="1563" w:type="dxa"/>
            <w:tcBorders>
              <w:top w:val="nil"/>
              <w:left w:val="nil"/>
              <w:bottom w:val="nil"/>
              <w:right w:val="nil"/>
            </w:tcBorders>
            <w:shd w:val="clear" w:color="auto" w:fill="auto"/>
            <w:noWrap/>
            <w:vAlign w:val="bottom"/>
          </w:tcPr>
          <w:p w14:paraId="7D8D7C95" w14:textId="77777777" w:rsidR="00813AC2" w:rsidRDefault="00813AC2" w:rsidP="00813AC2">
            <w:pPr>
              <w:jc w:val="center"/>
              <w:rPr>
                <w:rFonts w:ascii="Book Antiqua" w:hAnsi="Book Antiqua"/>
                <w:sz w:val="22"/>
                <w:szCs w:val="22"/>
              </w:rPr>
            </w:pPr>
            <w:r>
              <w:rPr>
                <w:rFonts w:ascii="Book Antiqua" w:hAnsi="Book Antiqua"/>
                <w:sz w:val="22"/>
                <w:szCs w:val="22"/>
              </w:rPr>
              <w:t>1</w:t>
            </w:r>
          </w:p>
        </w:tc>
      </w:tr>
      <w:tr w:rsidR="00813AC2" w:rsidRPr="009F0301" w14:paraId="64EEE7E1" w14:textId="77777777" w:rsidTr="00813AC2">
        <w:trPr>
          <w:trHeight w:val="300"/>
          <w:jc w:val="center"/>
        </w:trPr>
        <w:tc>
          <w:tcPr>
            <w:tcW w:w="2463" w:type="dxa"/>
            <w:tcBorders>
              <w:top w:val="nil"/>
              <w:left w:val="nil"/>
              <w:bottom w:val="nil"/>
              <w:right w:val="single" w:sz="4" w:space="0" w:color="0000FF"/>
            </w:tcBorders>
            <w:shd w:val="clear" w:color="auto" w:fill="auto"/>
            <w:noWrap/>
            <w:vAlign w:val="bottom"/>
          </w:tcPr>
          <w:p w14:paraId="3E941675" w14:textId="77777777" w:rsidR="00813AC2" w:rsidRPr="009F0301" w:rsidRDefault="00813AC2" w:rsidP="00813AC2">
            <w:pPr>
              <w:rPr>
                <w:rFonts w:ascii="Book Antiqua" w:hAnsi="Book Antiqua"/>
              </w:rPr>
            </w:pPr>
            <w:r w:rsidRPr="009F0301">
              <w:rPr>
                <w:rFonts w:ascii="Book Antiqua" w:hAnsi="Book Antiqua"/>
              </w:rPr>
              <w:t>Gerencial Pluses</w:t>
            </w:r>
          </w:p>
        </w:tc>
        <w:tc>
          <w:tcPr>
            <w:tcW w:w="846" w:type="dxa"/>
            <w:tcBorders>
              <w:top w:val="nil"/>
              <w:left w:val="nil"/>
              <w:bottom w:val="nil"/>
              <w:right w:val="nil"/>
            </w:tcBorders>
            <w:shd w:val="clear" w:color="auto" w:fill="auto"/>
            <w:noWrap/>
            <w:vAlign w:val="bottom"/>
          </w:tcPr>
          <w:p w14:paraId="522E6A28" w14:textId="77777777" w:rsidR="00813AC2" w:rsidRDefault="00813AC2" w:rsidP="00813AC2">
            <w:pPr>
              <w:jc w:val="right"/>
              <w:rPr>
                <w:rFonts w:ascii="Book Antiqua" w:hAnsi="Book Antiqua"/>
                <w:sz w:val="22"/>
                <w:szCs w:val="22"/>
              </w:rPr>
            </w:pPr>
            <w:r>
              <w:rPr>
                <w:rFonts w:ascii="Book Antiqua" w:hAnsi="Book Antiqua"/>
                <w:sz w:val="22"/>
                <w:szCs w:val="22"/>
              </w:rPr>
              <w:t>3</w:t>
            </w:r>
          </w:p>
        </w:tc>
        <w:tc>
          <w:tcPr>
            <w:tcW w:w="989" w:type="dxa"/>
            <w:tcBorders>
              <w:top w:val="nil"/>
              <w:left w:val="nil"/>
              <w:bottom w:val="nil"/>
              <w:right w:val="nil"/>
            </w:tcBorders>
            <w:shd w:val="clear" w:color="auto" w:fill="auto"/>
            <w:noWrap/>
            <w:vAlign w:val="bottom"/>
          </w:tcPr>
          <w:p w14:paraId="59AB70B3" w14:textId="77777777" w:rsidR="00813AC2" w:rsidRDefault="00813AC2" w:rsidP="00813AC2">
            <w:pPr>
              <w:jc w:val="right"/>
              <w:rPr>
                <w:rFonts w:ascii="Book Antiqua" w:hAnsi="Book Antiqua"/>
                <w:sz w:val="22"/>
                <w:szCs w:val="22"/>
              </w:rPr>
            </w:pPr>
            <w:r>
              <w:rPr>
                <w:rFonts w:ascii="Book Antiqua" w:hAnsi="Book Antiqua"/>
                <w:sz w:val="22"/>
                <w:szCs w:val="22"/>
              </w:rPr>
              <w:t>2</w:t>
            </w:r>
          </w:p>
        </w:tc>
        <w:tc>
          <w:tcPr>
            <w:tcW w:w="1563" w:type="dxa"/>
            <w:tcBorders>
              <w:top w:val="nil"/>
              <w:left w:val="nil"/>
              <w:bottom w:val="nil"/>
              <w:right w:val="nil"/>
            </w:tcBorders>
            <w:shd w:val="clear" w:color="auto" w:fill="auto"/>
            <w:noWrap/>
            <w:vAlign w:val="bottom"/>
          </w:tcPr>
          <w:p w14:paraId="210F59A6" w14:textId="77777777" w:rsidR="00813AC2" w:rsidRDefault="00813AC2" w:rsidP="00813AC2">
            <w:pPr>
              <w:jc w:val="center"/>
              <w:rPr>
                <w:rFonts w:ascii="Book Antiqua" w:hAnsi="Book Antiqua"/>
                <w:sz w:val="22"/>
                <w:szCs w:val="22"/>
              </w:rPr>
            </w:pPr>
            <w:r>
              <w:rPr>
                <w:rFonts w:ascii="Book Antiqua" w:hAnsi="Book Antiqua"/>
                <w:sz w:val="22"/>
                <w:szCs w:val="22"/>
              </w:rPr>
              <w:t>-1</w:t>
            </w:r>
          </w:p>
        </w:tc>
      </w:tr>
      <w:tr w:rsidR="00813AC2" w:rsidRPr="009F0301" w14:paraId="5CA13348" w14:textId="77777777" w:rsidTr="00813AC2">
        <w:trPr>
          <w:trHeight w:val="300"/>
          <w:jc w:val="center"/>
        </w:trPr>
        <w:tc>
          <w:tcPr>
            <w:tcW w:w="2463" w:type="dxa"/>
            <w:tcBorders>
              <w:top w:val="nil"/>
              <w:left w:val="nil"/>
              <w:bottom w:val="nil"/>
              <w:right w:val="single" w:sz="4" w:space="0" w:color="0000FF"/>
            </w:tcBorders>
            <w:shd w:val="clear" w:color="auto" w:fill="auto"/>
            <w:noWrap/>
            <w:vAlign w:val="bottom"/>
          </w:tcPr>
          <w:p w14:paraId="3C4293E1" w14:textId="77777777" w:rsidR="00813AC2" w:rsidRPr="009F0301" w:rsidRDefault="00813AC2" w:rsidP="00813AC2">
            <w:pPr>
              <w:rPr>
                <w:rFonts w:ascii="Book Antiqua" w:hAnsi="Book Antiqua"/>
              </w:rPr>
            </w:pPr>
            <w:r w:rsidRPr="009F0301">
              <w:rPr>
                <w:rFonts w:ascii="Book Antiqua" w:hAnsi="Book Antiqua"/>
              </w:rPr>
              <w:t>Regular Global</w:t>
            </w:r>
          </w:p>
        </w:tc>
        <w:tc>
          <w:tcPr>
            <w:tcW w:w="846" w:type="dxa"/>
            <w:tcBorders>
              <w:top w:val="nil"/>
              <w:left w:val="nil"/>
              <w:bottom w:val="nil"/>
              <w:right w:val="nil"/>
            </w:tcBorders>
            <w:shd w:val="clear" w:color="auto" w:fill="auto"/>
            <w:noWrap/>
            <w:vAlign w:val="bottom"/>
          </w:tcPr>
          <w:p w14:paraId="61300337" w14:textId="77777777" w:rsidR="00813AC2" w:rsidRDefault="00813AC2" w:rsidP="00813AC2">
            <w:pPr>
              <w:jc w:val="right"/>
              <w:rPr>
                <w:rFonts w:ascii="Book Antiqua" w:hAnsi="Book Antiqua"/>
                <w:sz w:val="22"/>
                <w:szCs w:val="22"/>
              </w:rPr>
            </w:pPr>
            <w:r>
              <w:rPr>
                <w:rFonts w:ascii="Book Antiqua" w:hAnsi="Book Antiqua"/>
                <w:sz w:val="22"/>
                <w:szCs w:val="22"/>
              </w:rPr>
              <w:t>671</w:t>
            </w:r>
          </w:p>
        </w:tc>
        <w:tc>
          <w:tcPr>
            <w:tcW w:w="989" w:type="dxa"/>
            <w:tcBorders>
              <w:top w:val="nil"/>
              <w:left w:val="nil"/>
              <w:bottom w:val="nil"/>
              <w:right w:val="nil"/>
            </w:tcBorders>
            <w:shd w:val="clear" w:color="auto" w:fill="auto"/>
            <w:noWrap/>
            <w:vAlign w:val="bottom"/>
          </w:tcPr>
          <w:p w14:paraId="09F84514" w14:textId="77777777" w:rsidR="00813AC2" w:rsidRDefault="00813AC2" w:rsidP="00813AC2">
            <w:pPr>
              <w:jc w:val="right"/>
              <w:rPr>
                <w:rFonts w:ascii="Book Antiqua" w:hAnsi="Book Antiqua"/>
                <w:sz w:val="22"/>
                <w:szCs w:val="22"/>
              </w:rPr>
            </w:pPr>
            <w:r>
              <w:rPr>
                <w:rFonts w:ascii="Book Antiqua" w:hAnsi="Book Antiqua"/>
                <w:sz w:val="22"/>
                <w:szCs w:val="22"/>
              </w:rPr>
              <w:t>676</w:t>
            </w:r>
          </w:p>
        </w:tc>
        <w:tc>
          <w:tcPr>
            <w:tcW w:w="1563" w:type="dxa"/>
            <w:tcBorders>
              <w:top w:val="nil"/>
              <w:left w:val="nil"/>
              <w:bottom w:val="nil"/>
              <w:right w:val="nil"/>
            </w:tcBorders>
            <w:shd w:val="clear" w:color="auto" w:fill="auto"/>
            <w:noWrap/>
            <w:vAlign w:val="bottom"/>
          </w:tcPr>
          <w:p w14:paraId="147EB98E" w14:textId="77777777" w:rsidR="00813AC2" w:rsidRDefault="00813AC2" w:rsidP="00813AC2">
            <w:pPr>
              <w:jc w:val="center"/>
              <w:rPr>
                <w:rFonts w:ascii="Book Antiqua" w:hAnsi="Book Antiqua"/>
                <w:sz w:val="22"/>
                <w:szCs w:val="22"/>
              </w:rPr>
            </w:pPr>
            <w:r>
              <w:rPr>
                <w:rFonts w:ascii="Book Antiqua" w:hAnsi="Book Antiqua"/>
                <w:sz w:val="22"/>
                <w:szCs w:val="22"/>
              </w:rPr>
              <w:t>5</w:t>
            </w:r>
          </w:p>
        </w:tc>
      </w:tr>
      <w:tr w:rsidR="00813AC2" w:rsidRPr="009F0301" w14:paraId="61EE70F1" w14:textId="77777777" w:rsidTr="00813AC2">
        <w:trPr>
          <w:trHeight w:val="300"/>
          <w:jc w:val="center"/>
        </w:trPr>
        <w:tc>
          <w:tcPr>
            <w:tcW w:w="2463" w:type="dxa"/>
            <w:tcBorders>
              <w:top w:val="nil"/>
              <w:left w:val="nil"/>
              <w:bottom w:val="nil"/>
              <w:right w:val="single" w:sz="4" w:space="0" w:color="0000FF"/>
            </w:tcBorders>
            <w:shd w:val="clear" w:color="auto" w:fill="auto"/>
            <w:noWrap/>
            <w:vAlign w:val="bottom"/>
          </w:tcPr>
          <w:p w14:paraId="2F3941ED" w14:textId="77777777" w:rsidR="00813AC2" w:rsidRPr="009F0301" w:rsidRDefault="00813AC2" w:rsidP="00813AC2">
            <w:pPr>
              <w:rPr>
                <w:rFonts w:ascii="Book Antiqua" w:hAnsi="Book Antiqua"/>
              </w:rPr>
            </w:pPr>
            <w:r w:rsidRPr="009F0301">
              <w:rPr>
                <w:rFonts w:ascii="Book Antiqua" w:hAnsi="Book Antiqua"/>
              </w:rPr>
              <w:t>Regular Pluses</w:t>
            </w:r>
          </w:p>
        </w:tc>
        <w:tc>
          <w:tcPr>
            <w:tcW w:w="846" w:type="dxa"/>
            <w:tcBorders>
              <w:top w:val="nil"/>
              <w:left w:val="nil"/>
              <w:bottom w:val="nil"/>
              <w:right w:val="nil"/>
            </w:tcBorders>
            <w:shd w:val="clear" w:color="auto" w:fill="auto"/>
            <w:noWrap/>
            <w:vAlign w:val="bottom"/>
          </w:tcPr>
          <w:p w14:paraId="42A2E2BC" w14:textId="77777777" w:rsidR="00813AC2" w:rsidRDefault="00813AC2" w:rsidP="00813AC2">
            <w:pPr>
              <w:jc w:val="right"/>
              <w:rPr>
                <w:rFonts w:ascii="Book Antiqua" w:hAnsi="Book Antiqua"/>
                <w:sz w:val="22"/>
                <w:szCs w:val="22"/>
              </w:rPr>
            </w:pPr>
            <w:r>
              <w:rPr>
                <w:rFonts w:ascii="Book Antiqua" w:hAnsi="Book Antiqua"/>
                <w:sz w:val="22"/>
                <w:szCs w:val="22"/>
              </w:rPr>
              <w:t>407</w:t>
            </w:r>
          </w:p>
        </w:tc>
        <w:tc>
          <w:tcPr>
            <w:tcW w:w="989" w:type="dxa"/>
            <w:tcBorders>
              <w:top w:val="nil"/>
              <w:left w:val="nil"/>
              <w:bottom w:val="nil"/>
              <w:right w:val="nil"/>
            </w:tcBorders>
            <w:shd w:val="clear" w:color="auto" w:fill="auto"/>
            <w:noWrap/>
            <w:vAlign w:val="bottom"/>
          </w:tcPr>
          <w:p w14:paraId="7DE124A1" w14:textId="77777777" w:rsidR="00813AC2" w:rsidRDefault="00813AC2" w:rsidP="00813AC2">
            <w:pPr>
              <w:jc w:val="right"/>
              <w:rPr>
                <w:rFonts w:ascii="Book Antiqua" w:hAnsi="Book Antiqua"/>
                <w:sz w:val="22"/>
                <w:szCs w:val="22"/>
              </w:rPr>
            </w:pPr>
            <w:r>
              <w:rPr>
                <w:rFonts w:ascii="Book Antiqua" w:hAnsi="Book Antiqua"/>
                <w:sz w:val="22"/>
                <w:szCs w:val="22"/>
              </w:rPr>
              <w:t>397</w:t>
            </w:r>
          </w:p>
        </w:tc>
        <w:tc>
          <w:tcPr>
            <w:tcW w:w="1563" w:type="dxa"/>
            <w:tcBorders>
              <w:top w:val="nil"/>
              <w:left w:val="nil"/>
              <w:bottom w:val="nil"/>
              <w:right w:val="nil"/>
            </w:tcBorders>
            <w:shd w:val="clear" w:color="auto" w:fill="auto"/>
            <w:noWrap/>
            <w:vAlign w:val="bottom"/>
          </w:tcPr>
          <w:p w14:paraId="414728A1" w14:textId="77777777" w:rsidR="00813AC2" w:rsidRDefault="00813AC2" w:rsidP="00813AC2">
            <w:pPr>
              <w:jc w:val="center"/>
              <w:rPr>
                <w:rFonts w:ascii="Book Antiqua" w:hAnsi="Book Antiqua"/>
                <w:sz w:val="22"/>
                <w:szCs w:val="22"/>
              </w:rPr>
            </w:pPr>
            <w:r>
              <w:rPr>
                <w:rFonts w:ascii="Book Antiqua" w:hAnsi="Book Antiqua"/>
                <w:sz w:val="22"/>
                <w:szCs w:val="22"/>
              </w:rPr>
              <w:t>-10</w:t>
            </w:r>
          </w:p>
        </w:tc>
      </w:tr>
      <w:tr w:rsidR="00813AC2" w:rsidRPr="009F0301" w14:paraId="7B4BAA8C" w14:textId="77777777" w:rsidTr="00813AC2">
        <w:trPr>
          <w:trHeight w:val="300"/>
          <w:jc w:val="center"/>
        </w:trPr>
        <w:tc>
          <w:tcPr>
            <w:tcW w:w="2463" w:type="dxa"/>
            <w:tcBorders>
              <w:top w:val="nil"/>
              <w:left w:val="nil"/>
              <w:bottom w:val="nil"/>
              <w:right w:val="single" w:sz="4" w:space="0" w:color="0000FF"/>
            </w:tcBorders>
            <w:shd w:val="clear" w:color="auto" w:fill="auto"/>
            <w:noWrap/>
            <w:vAlign w:val="bottom"/>
          </w:tcPr>
          <w:p w14:paraId="136FC032" w14:textId="77777777" w:rsidR="00813AC2" w:rsidRPr="009F0301" w:rsidRDefault="00813AC2" w:rsidP="00813AC2">
            <w:pPr>
              <w:rPr>
                <w:rFonts w:ascii="Book Antiqua" w:hAnsi="Book Antiqua"/>
              </w:rPr>
            </w:pPr>
            <w:r w:rsidRPr="009F0301">
              <w:rPr>
                <w:rFonts w:ascii="Book Antiqua" w:hAnsi="Book Antiqua"/>
              </w:rPr>
              <w:t>Servicios Especiales</w:t>
            </w:r>
          </w:p>
        </w:tc>
        <w:tc>
          <w:tcPr>
            <w:tcW w:w="846" w:type="dxa"/>
            <w:tcBorders>
              <w:top w:val="nil"/>
              <w:left w:val="nil"/>
              <w:bottom w:val="nil"/>
              <w:right w:val="nil"/>
            </w:tcBorders>
            <w:shd w:val="clear" w:color="auto" w:fill="auto"/>
            <w:noWrap/>
            <w:vAlign w:val="bottom"/>
          </w:tcPr>
          <w:p w14:paraId="412CEE31" w14:textId="77777777" w:rsidR="00813AC2" w:rsidRDefault="00813AC2" w:rsidP="00813AC2">
            <w:pPr>
              <w:jc w:val="right"/>
              <w:rPr>
                <w:rFonts w:ascii="Book Antiqua" w:hAnsi="Book Antiqua"/>
                <w:sz w:val="22"/>
                <w:szCs w:val="22"/>
              </w:rPr>
            </w:pPr>
            <w:r>
              <w:rPr>
                <w:rFonts w:ascii="Book Antiqua" w:hAnsi="Book Antiqua"/>
                <w:sz w:val="22"/>
                <w:szCs w:val="22"/>
              </w:rPr>
              <w:t>66</w:t>
            </w:r>
          </w:p>
        </w:tc>
        <w:tc>
          <w:tcPr>
            <w:tcW w:w="989" w:type="dxa"/>
            <w:tcBorders>
              <w:top w:val="nil"/>
              <w:left w:val="nil"/>
              <w:bottom w:val="nil"/>
              <w:right w:val="nil"/>
            </w:tcBorders>
            <w:shd w:val="clear" w:color="auto" w:fill="auto"/>
            <w:noWrap/>
            <w:vAlign w:val="bottom"/>
          </w:tcPr>
          <w:p w14:paraId="73BAB832" w14:textId="77777777" w:rsidR="00813AC2" w:rsidRDefault="00813AC2" w:rsidP="00813AC2">
            <w:pPr>
              <w:jc w:val="right"/>
              <w:rPr>
                <w:rFonts w:ascii="Book Antiqua" w:hAnsi="Book Antiqua"/>
                <w:sz w:val="22"/>
                <w:szCs w:val="22"/>
              </w:rPr>
            </w:pPr>
            <w:r>
              <w:rPr>
                <w:rFonts w:ascii="Book Antiqua" w:hAnsi="Book Antiqua"/>
                <w:sz w:val="22"/>
                <w:szCs w:val="22"/>
              </w:rPr>
              <w:t>66</w:t>
            </w:r>
          </w:p>
        </w:tc>
        <w:tc>
          <w:tcPr>
            <w:tcW w:w="1563" w:type="dxa"/>
            <w:tcBorders>
              <w:top w:val="nil"/>
              <w:left w:val="nil"/>
              <w:bottom w:val="nil"/>
              <w:right w:val="nil"/>
            </w:tcBorders>
            <w:shd w:val="clear" w:color="auto" w:fill="auto"/>
            <w:noWrap/>
            <w:vAlign w:val="bottom"/>
          </w:tcPr>
          <w:p w14:paraId="5D3953AB" w14:textId="77777777" w:rsidR="00813AC2" w:rsidRDefault="00813AC2" w:rsidP="00813AC2">
            <w:pPr>
              <w:jc w:val="center"/>
              <w:rPr>
                <w:rFonts w:ascii="Book Antiqua" w:hAnsi="Book Antiqua"/>
                <w:sz w:val="22"/>
                <w:szCs w:val="22"/>
              </w:rPr>
            </w:pPr>
            <w:r>
              <w:rPr>
                <w:rFonts w:ascii="Book Antiqua" w:hAnsi="Book Antiqua"/>
                <w:sz w:val="22"/>
                <w:szCs w:val="22"/>
              </w:rPr>
              <w:t>0</w:t>
            </w:r>
          </w:p>
        </w:tc>
      </w:tr>
      <w:tr w:rsidR="00813AC2" w:rsidRPr="009F0301" w14:paraId="2382CC2F" w14:textId="77777777" w:rsidTr="00813AC2">
        <w:trPr>
          <w:trHeight w:val="315"/>
          <w:jc w:val="center"/>
        </w:trPr>
        <w:tc>
          <w:tcPr>
            <w:tcW w:w="2463" w:type="dxa"/>
            <w:tcBorders>
              <w:top w:val="nil"/>
              <w:left w:val="nil"/>
              <w:bottom w:val="double" w:sz="6" w:space="0" w:color="0000FF"/>
              <w:right w:val="single" w:sz="4" w:space="0" w:color="0000FF"/>
            </w:tcBorders>
            <w:shd w:val="clear" w:color="auto" w:fill="auto"/>
            <w:noWrap/>
            <w:vAlign w:val="bottom"/>
          </w:tcPr>
          <w:p w14:paraId="20DABE7D" w14:textId="77777777" w:rsidR="00813AC2" w:rsidRPr="009F0301" w:rsidRDefault="00813AC2" w:rsidP="00813AC2">
            <w:pPr>
              <w:rPr>
                <w:rFonts w:ascii="Book Antiqua" w:hAnsi="Book Antiqua"/>
                <w:b/>
                <w:bCs/>
              </w:rPr>
            </w:pPr>
            <w:r w:rsidRPr="009F0301">
              <w:rPr>
                <w:rFonts w:ascii="Book Antiqua" w:hAnsi="Book Antiqua"/>
                <w:b/>
                <w:bCs/>
              </w:rPr>
              <w:t>Total</w:t>
            </w:r>
          </w:p>
        </w:tc>
        <w:tc>
          <w:tcPr>
            <w:tcW w:w="846" w:type="dxa"/>
            <w:tcBorders>
              <w:top w:val="nil"/>
              <w:left w:val="nil"/>
              <w:bottom w:val="double" w:sz="6" w:space="0" w:color="0000FF"/>
              <w:right w:val="nil"/>
            </w:tcBorders>
            <w:shd w:val="clear" w:color="auto" w:fill="auto"/>
            <w:noWrap/>
            <w:vAlign w:val="bottom"/>
          </w:tcPr>
          <w:p w14:paraId="02CA7E2E" w14:textId="77777777" w:rsidR="00813AC2" w:rsidRDefault="00813AC2" w:rsidP="00813AC2">
            <w:pPr>
              <w:jc w:val="right"/>
              <w:rPr>
                <w:rFonts w:ascii="Book Antiqua" w:hAnsi="Book Antiqua"/>
                <w:b/>
                <w:bCs/>
                <w:sz w:val="22"/>
                <w:szCs w:val="22"/>
              </w:rPr>
            </w:pPr>
            <w:r>
              <w:rPr>
                <w:rFonts w:ascii="Book Antiqua" w:hAnsi="Book Antiqua"/>
                <w:b/>
                <w:bCs/>
                <w:sz w:val="22"/>
                <w:szCs w:val="22"/>
              </w:rPr>
              <w:t>1 158</w:t>
            </w:r>
          </w:p>
        </w:tc>
        <w:tc>
          <w:tcPr>
            <w:tcW w:w="989" w:type="dxa"/>
            <w:tcBorders>
              <w:top w:val="nil"/>
              <w:left w:val="nil"/>
              <w:bottom w:val="double" w:sz="6" w:space="0" w:color="0000FF"/>
              <w:right w:val="nil"/>
            </w:tcBorders>
            <w:shd w:val="clear" w:color="auto" w:fill="auto"/>
            <w:noWrap/>
            <w:vAlign w:val="bottom"/>
          </w:tcPr>
          <w:p w14:paraId="2D576A1A" w14:textId="77777777" w:rsidR="00813AC2" w:rsidRPr="00AB7425" w:rsidRDefault="00813AC2" w:rsidP="00813AC2">
            <w:pPr>
              <w:jc w:val="right"/>
              <w:rPr>
                <w:rFonts w:ascii="Book Antiqua" w:hAnsi="Book Antiqua"/>
                <w:b/>
                <w:sz w:val="22"/>
                <w:szCs w:val="22"/>
              </w:rPr>
            </w:pPr>
            <w:r w:rsidRPr="00AB7425">
              <w:rPr>
                <w:rFonts w:ascii="Book Antiqua" w:hAnsi="Book Antiqua"/>
                <w:b/>
                <w:sz w:val="22"/>
                <w:szCs w:val="22"/>
              </w:rPr>
              <w:t>1</w:t>
            </w:r>
            <w:r>
              <w:rPr>
                <w:rFonts w:ascii="Book Antiqua" w:hAnsi="Book Antiqua"/>
                <w:b/>
                <w:sz w:val="22"/>
                <w:szCs w:val="22"/>
              </w:rPr>
              <w:t xml:space="preserve"> </w:t>
            </w:r>
            <w:r w:rsidRPr="00AB7425">
              <w:rPr>
                <w:rFonts w:ascii="Book Antiqua" w:hAnsi="Book Antiqua"/>
                <w:b/>
                <w:sz w:val="22"/>
                <w:szCs w:val="22"/>
              </w:rPr>
              <w:t>153</w:t>
            </w:r>
          </w:p>
        </w:tc>
        <w:tc>
          <w:tcPr>
            <w:tcW w:w="1563" w:type="dxa"/>
            <w:tcBorders>
              <w:top w:val="nil"/>
              <w:left w:val="nil"/>
              <w:bottom w:val="double" w:sz="6" w:space="0" w:color="0000FF"/>
              <w:right w:val="nil"/>
            </w:tcBorders>
            <w:shd w:val="clear" w:color="auto" w:fill="auto"/>
            <w:noWrap/>
            <w:vAlign w:val="bottom"/>
          </w:tcPr>
          <w:p w14:paraId="0D8E348D" w14:textId="77777777" w:rsidR="00813AC2" w:rsidRPr="00AB7425" w:rsidRDefault="00813AC2" w:rsidP="00813AC2">
            <w:pPr>
              <w:jc w:val="center"/>
              <w:rPr>
                <w:rFonts w:ascii="Book Antiqua" w:hAnsi="Book Antiqua"/>
                <w:b/>
                <w:sz w:val="22"/>
                <w:szCs w:val="22"/>
              </w:rPr>
            </w:pPr>
            <w:r w:rsidRPr="00AB7425">
              <w:rPr>
                <w:rFonts w:ascii="Book Antiqua" w:hAnsi="Book Antiqua"/>
                <w:b/>
                <w:sz w:val="22"/>
                <w:szCs w:val="22"/>
              </w:rPr>
              <w:t>-5</w:t>
            </w:r>
          </w:p>
        </w:tc>
      </w:tr>
    </w:tbl>
    <w:p w14:paraId="05E443FE" w14:textId="77777777" w:rsidR="00813AC2" w:rsidRDefault="00813AC2" w:rsidP="00813AC2">
      <w:pPr>
        <w:rPr>
          <w:rFonts w:ascii="Book Antiqua" w:hAnsi="Book Antiqua"/>
          <w:b/>
          <w:i/>
          <w:color w:val="800000"/>
        </w:rPr>
      </w:pPr>
    </w:p>
    <w:p w14:paraId="211123E5" w14:textId="77777777" w:rsidR="00813AC2" w:rsidRPr="009F0301" w:rsidRDefault="00813AC2" w:rsidP="00813AC2">
      <w:pPr>
        <w:rPr>
          <w:rFonts w:ascii="Book Antiqua" w:hAnsi="Book Antiqua"/>
          <w:b/>
          <w:i/>
          <w:color w:val="800000"/>
        </w:rPr>
      </w:pPr>
      <w:r w:rsidRPr="009F0301">
        <w:rPr>
          <w:rFonts w:ascii="Book Antiqua" w:hAnsi="Book Antiqua"/>
          <w:b/>
          <w:i/>
          <w:color w:val="800000"/>
        </w:rPr>
        <w:t xml:space="preserve">Variaciones </w:t>
      </w:r>
      <w:r>
        <w:rPr>
          <w:rFonts w:ascii="Book Antiqua" w:hAnsi="Book Antiqua"/>
          <w:b/>
          <w:i/>
          <w:color w:val="800000"/>
        </w:rPr>
        <w:t>en</w:t>
      </w:r>
      <w:r w:rsidRPr="009F0301">
        <w:rPr>
          <w:rFonts w:ascii="Book Antiqua" w:hAnsi="Book Antiqua"/>
          <w:b/>
          <w:i/>
          <w:color w:val="800000"/>
        </w:rPr>
        <w:t xml:space="preserve"> </w:t>
      </w:r>
      <w:r>
        <w:rPr>
          <w:rFonts w:ascii="Book Antiqua" w:hAnsi="Book Antiqua"/>
          <w:b/>
          <w:i/>
          <w:color w:val="800000"/>
        </w:rPr>
        <w:t xml:space="preserve">las </w:t>
      </w:r>
      <w:r w:rsidRPr="009F0301">
        <w:rPr>
          <w:rFonts w:ascii="Book Antiqua" w:hAnsi="Book Antiqua"/>
          <w:b/>
          <w:i/>
          <w:color w:val="800000"/>
        </w:rPr>
        <w:t>Escala</w:t>
      </w:r>
      <w:r>
        <w:rPr>
          <w:rFonts w:ascii="Book Antiqua" w:hAnsi="Book Antiqua"/>
          <w:b/>
          <w:i/>
          <w:color w:val="800000"/>
        </w:rPr>
        <w:t>s</w:t>
      </w:r>
      <w:r w:rsidRPr="009F0301">
        <w:rPr>
          <w:rFonts w:ascii="Book Antiqua" w:hAnsi="Book Antiqua"/>
          <w:b/>
          <w:i/>
          <w:color w:val="800000"/>
        </w:rPr>
        <w:t xml:space="preserve"> Salarial</w:t>
      </w:r>
      <w:r>
        <w:rPr>
          <w:rFonts w:ascii="Book Antiqua" w:hAnsi="Book Antiqua"/>
          <w:b/>
          <w:i/>
          <w:color w:val="800000"/>
        </w:rPr>
        <w:t>es Globales</w:t>
      </w:r>
    </w:p>
    <w:p w14:paraId="299AB9A5" w14:textId="77777777" w:rsidR="00813AC2" w:rsidRDefault="00813AC2" w:rsidP="00813AC2">
      <w:pPr>
        <w:jc w:val="both"/>
        <w:rPr>
          <w:rFonts w:ascii="Book Antiqua" w:hAnsi="Book Antiqua"/>
        </w:rPr>
      </w:pPr>
    </w:p>
    <w:p w14:paraId="2FD0C449" w14:textId="77777777" w:rsidR="00813AC2" w:rsidRDefault="00813AC2" w:rsidP="00813AC2">
      <w:pPr>
        <w:jc w:val="both"/>
        <w:rPr>
          <w:rFonts w:ascii="Book Antiqua" w:hAnsi="Book Antiqua"/>
        </w:rPr>
      </w:pPr>
      <w:r w:rsidRPr="009F0301">
        <w:rPr>
          <w:rFonts w:ascii="Book Antiqua" w:hAnsi="Book Antiqua"/>
        </w:rPr>
        <w:t xml:space="preserve">Para la </w:t>
      </w:r>
      <w:r>
        <w:rPr>
          <w:rFonts w:ascii="Book Antiqua" w:hAnsi="Book Antiqua"/>
        </w:rPr>
        <w:t>definición</w:t>
      </w:r>
      <w:r w:rsidRPr="009F0301">
        <w:rPr>
          <w:rFonts w:ascii="Book Antiqua" w:hAnsi="Book Antiqua"/>
        </w:rPr>
        <w:t xml:space="preserve"> de los salarios </w:t>
      </w:r>
      <w:r>
        <w:rPr>
          <w:rFonts w:ascii="Book Antiqua" w:hAnsi="Book Antiqua"/>
        </w:rPr>
        <w:t>presupuestarios de cada</w:t>
      </w:r>
      <w:r w:rsidRPr="009F0301">
        <w:rPr>
          <w:rFonts w:ascii="Book Antiqua" w:hAnsi="Book Antiqua"/>
        </w:rPr>
        <w:t xml:space="preserve"> categoría de las escalas globales </w:t>
      </w:r>
      <w:r>
        <w:rPr>
          <w:rFonts w:ascii="Book Antiqua" w:hAnsi="Book Antiqua"/>
        </w:rPr>
        <w:t xml:space="preserve">del </w:t>
      </w:r>
      <w:r w:rsidRPr="009F0301">
        <w:rPr>
          <w:rFonts w:ascii="Book Antiqua" w:hAnsi="Book Antiqua"/>
        </w:rPr>
        <w:t>20</w:t>
      </w:r>
      <w:r>
        <w:rPr>
          <w:rFonts w:ascii="Book Antiqua" w:hAnsi="Book Antiqua"/>
        </w:rPr>
        <w:t>16,</w:t>
      </w:r>
      <w:r w:rsidRPr="009F0301">
        <w:rPr>
          <w:rFonts w:ascii="Book Antiqua" w:hAnsi="Book Antiqua"/>
        </w:rPr>
        <w:t xml:space="preserve"> se increment</w:t>
      </w:r>
      <w:r>
        <w:rPr>
          <w:rFonts w:ascii="Book Antiqua" w:hAnsi="Book Antiqua"/>
        </w:rPr>
        <w:t xml:space="preserve">ó en un </w:t>
      </w:r>
      <w:r>
        <w:rPr>
          <w:rFonts w:ascii="Book Antiqua" w:hAnsi="Book Antiqua"/>
          <w:b/>
        </w:rPr>
        <w:t>12</w:t>
      </w:r>
      <w:r w:rsidRPr="006753C0">
        <w:rPr>
          <w:rFonts w:ascii="Book Antiqua" w:hAnsi="Book Antiqua"/>
          <w:b/>
        </w:rPr>
        <w:t>.</w:t>
      </w:r>
      <w:r>
        <w:rPr>
          <w:rFonts w:ascii="Book Antiqua" w:hAnsi="Book Antiqua"/>
          <w:b/>
        </w:rPr>
        <w:t>7</w:t>
      </w:r>
      <w:r w:rsidRPr="006753C0">
        <w:rPr>
          <w:rFonts w:ascii="Book Antiqua" w:hAnsi="Book Antiqua"/>
          <w:b/>
        </w:rPr>
        <w:t>%</w:t>
      </w:r>
      <w:r>
        <w:rPr>
          <w:rFonts w:ascii="Book Antiqua" w:hAnsi="Book Antiqua"/>
        </w:rPr>
        <w:t xml:space="preserve"> cada categoría salarial de las escalas vigentes al segundo semestre del 2015 utilizadas para el pago de planilla</w:t>
      </w:r>
      <w:r w:rsidRPr="001E4C78">
        <w:rPr>
          <w:rFonts w:ascii="Book Antiqua" w:hAnsi="Book Antiqua"/>
        </w:rPr>
        <w:t xml:space="preserve">, </w:t>
      </w:r>
      <w:r>
        <w:rPr>
          <w:rFonts w:ascii="Book Antiqua" w:hAnsi="Book Antiqua"/>
        </w:rPr>
        <w:t xml:space="preserve">con el objetivo de respetar el parámetro de crecimiento máximo a nivel del presupuesto de </w:t>
      </w:r>
      <w:r>
        <w:rPr>
          <w:rFonts w:ascii="Book Antiqua" w:hAnsi="Book Antiqua"/>
          <w:b/>
        </w:rPr>
        <w:t>5</w:t>
      </w:r>
      <w:r w:rsidRPr="00F1069D">
        <w:rPr>
          <w:rFonts w:ascii="Book Antiqua" w:hAnsi="Book Antiqua"/>
          <w:b/>
        </w:rPr>
        <w:t>.0%</w:t>
      </w:r>
      <w:r>
        <w:rPr>
          <w:rFonts w:ascii="Book Antiqua" w:hAnsi="Book Antiqua"/>
        </w:rPr>
        <w:t xml:space="preserve"> para la partida de Remuneraciones a nivel institucional. L</w:t>
      </w:r>
      <w:r w:rsidRPr="009F0301">
        <w:rPr>
          <w:rFonts w:ascii="Book Antiqua" w:hAnsi="Book Antiqua"/>
        </w:rPr>
        <w:t xml:space="preserve">as escalas salariales de planilla utilizadas como </w:t>
      </w:r>
      <w:r w:rsidRPr="009F0301">
        <w:rPr>
          <w:rFonts w:ascii="Book Antiqua" w:hAnsi="Book Antiqua"/>
        </w:rPr>
        <w:lastRenderedPageBreak/>
        <w:t>base para definir el incremento en las escalas presupuestarias del</w:t>
      </w:r>
      <w:r>
        <w:rPr>
          <w:rFonts w:ascii="Book Antiqua" w:hAnsi="Book Antiqua"/>
        </w:rPr>
        <w:t xml:space="preserve"> 2016, son las que se presentan a</w:t>
      </w:r>
      <w:r w:rsidRPr="009F0301">
        <w:rPr>
          <w:rFonts w:ascii="Book Antiqua" w:hAnsi="Book Antiqua"/>
        </w:rPr>
        <w:t xml:space="preserve"> continuación</w:t>
      </w:r>
      <w:r>
        <w:rPr>
          <w:rFonts w:ascii="Book Antiqua" w:hAnsi="Book Antiqua"/>
        </w:rPr>
        <w:t>:</w:t>
      </w:r>
    </w:p>
    <w:p w14:paraId="61B50877" w14:textId="77777777" w:rsidR="00813AC2" w:rsidRDefault="00813AC2" w:rsidP="00813AC2">
      <w:pPr>
        <w:jc w:val="both"/>
        <w:rPr>
          <w:rFonts w:ascii="Book Antiqua" w:hAnsi="Book Antiqua"/>
        </w:rPr>
      </w:pPr>
    </w:p>
    <w:tbl>
      <w:tblPr>
        <w:tblW w:w="5558" w:type="dxa"/>
        <w:jc w:val="center"/>
        <w:tblLook w:val="0000" w:firstRow="0" w:lastRow="0" w:firstColumn="0" w:lastColumn="0" w:noHBand="0" w:noVBand="0"/>
      </w:tblPr>
      <w:tblGrid>
        <w:gridCol w:w="1270"/>
        <w:gridCol w:w="1252"/>
        <w:gridCol w:w="1603"/>
        <w:gridCol w:w="1433"/>
      </w:tblGrid>
      <w:tr w:rsidR="00813AC2" w:rsidRPr="009F0301" w14:paraId="59E117B5" w14:textId="77777777" w:rsidTr="00813AC2">
        <w:trPr>
          <w:trHeight w:val="390"/>
          <w:jc w:val="center"/>
        </w:trPr>
        <w:tc>
          <w:tcPr>
            <w:tcW w:w="5558" w:type="dxa"/>
            <w:gridSpan w:val="4"/>
            <w:tcBorders>
              <w:top w:val="nil"/>
              <w:left w:val="nil"/>
              <w:bottom w:val="double" w:sz="4" w:space="0" w:color="0000FF"/>
              <w:right w:val="nil"/>
            </w:tcBorders>
            <w:shd w:val="clear" w:color="auto" w:fill="auto"/>
            <w:noWrap/>
            <w:vAlign w:val="center"/>
          </w:tcPr>
          <w:p w14:paraId="79129B6A" w14:textId="77777777" w:rsidR="00813AC2" w:rsidRPr="009F0301" w:rsidRDefault="00813AC2" w:rsidP="00813AC2">
            <w:pPr>
              <w:jc w:val="center"/>
              <w:rPr>
                <w:rFonts w:ascii="Book Antiqua" w:hAnsi="Book Antiqua"/>
                <w:b/>
                <w:bCs/>
              </w:rPr>
            </w:pPr>
            <w:r>
              <w:rPr>
                <w:rFonts w:ascii="Book Antiqua" w:hAnsi="Book Antiqua"/>
              </w:rPr>
              <w:br w:type="page"/>
            </w:r>
            <w:r>
              <w:rPr>
                <w:rFonts w:ascii="Book Antiqua" w:hAnsi="Book Antiqua"/>
              </w:rPr>
              <w:br w:type="page"/>
            </w:r>
            <w:r>
              <w:br w:type="page"/>
            </w:r>
            <w:r w:rsidRPr="009F0301">
              <w:rPr>
                <w:rFonts w:ascii="Book Antiqua" w:hAnsi="Book Antiqua"/>
                <w:b/>
                <w:bCs/>
              </w:rPr>
              <w:t>Escala Regular Global</w:t>
            </w:r>
            <w:r>
              <w:rPr>
                <w:rFonts w:ascii="Book Antiqua" w:hAnsi="Book Antiqua"/>
                <w:b/>
                <w:bCs/>
              </w:rPr>
              <w:t xml:space="preserve"> Presupuestaria</w:t>
            </w:r>
          </w:p>
        </w:tc>
      </w:tr>
      <w:tr w:rsidR="00813AC2" w:rsidRPr="009F0301" w14:paraId="506FF1F6" w14:textId="77777777" w:rsidTr="00813AC2">
        <w:trPr>
          <w:trHeight w:val="585"/>
          <w:jc w:val="center"/>
        </w:trPr>
        <w:tc>
          <w:tcPr>
            <w:tcW w:w="1270" w:type="dxa"/>
            <w:tcBorders>
              <w:top w:val="double" w:sz="4" w:space="0" w:color="0000FF"/>
              <w:bottom w:val="single" w:sz="4" w:space="0" w:color="0000FF"/>
            </w:tcBorders>
            <w:shd w:val="clear" w:color="auto" w:fill="auto"/>
            <w:vAlign w:val="center"/>
          </w:tcPr>
          <w:p w14:paraId="2B5771AB" w14:textId="77777777" w:rsidR="00813AC2" w:rsidRPr="009F0301" w:rsidRDefault="00813AC2" w:rsidP="00813AC2">
            <w:pPr>
              <w:jc w:val="center"/>
              <w:rPr>
                <w:rFonts w:ascii="Book Antiqua" w:hAnsi="Book Antiqua"/>
                <w:b/>
                <w:bCs/>
              </w:rPr>
            </w:pPr>
            <w:r w:rsidRPr="009F0301">
              <w:rPr>
                <w:rFonts w:ascii="Book Antiqua" w:hAnsi="Book Antiqua"/>
                <w:b/>
                <w:bCs/>
              </w:rPr>
              <w:t>Categoría</w:t>
            </w:r>
          </w:p>
        </w:tc>
        <w:tc>
          <w:tcPr>
            <w:tcW w:w="1252" w:type="dxa"/>
            <w:tcBorders>
              <w:top w:val="double" w:sz="4" w:space="0" w:color="0000FF"/>
              <w:bottom w:val="single" w:sz="4" w:space="0" w:color="0000FF"/>
            </w:tcBorders>
            <w:shd w:val="clear" w:color="auto" w:fill="auto"/>
            <w:vAlign w:val="center"/>
          </w:tcPr>
          <w:p w14:paraId="54B06AB6" w14:textId="77777777" w:rsidR="00813AC2" w:rsidRPr="009F0301" w:rsidRDefault="00813AC2" w:rsidP="00813AC2">
            <w:pPr>
              <w:jc w:val="center"/>
              <w:rPr>
                <w:rFonts w:ascii="Book Antiqua" w:hAnsi="Book Antiqua"/>
                <w:b/>
                <w:bCs/>
              </w:rPr>
            </w:pPr>
            <w:r w:rsidRPr="009F0301">
              <w:rPr>
                <w:rFonts w:ascii="Book Antiqua" w:hAnsi="Book Antiqua"/>
                <w:b/>
                <w:bCs/>
              </w:rPr>
              <w:t>Planilla 20</w:t>
            </w:r>
            <w:r>
              <w:rPr>
                <w:rFonts w:ascii="Book Antiqua" w:hAnsi="Book Antiqua"/>
                <w:b/>
                <w:bCs/>
              </w:rPr>
              <w:t>15</w:t>
            </w:r>
          </w:p>
        </w:tc>
        <w:tc>
          <w:tcPr>
            <w:tcW w:w="1603" w:type="dxa"/>
            <w:tcBorders>
              <w:top w:val="double" w:sz="4" w:space="0" w:color="0000FF"/>
              <w:bottom w:val="single" w:sz="4" w:space="0" w:color="0000FF"/>
            </w:tcBorders>
            <w:shd w:val="clear" w:color="auto" w:fill="auto"/>
            <w:vAlign w:val="center"/>
          </w:tcPr>
          <w:p w14:paraId="0EFAADCC" w14:textId="77777777" w:rsidR="00813AC2" w:rsidRPr="009F0301" w:rsidRDefault="00813AC2" w:rsidP="00813AC2">
            <w:pPr>
              <w:jc w:val="center"/>
              <w:rPr>
                <w:rFonts w:ascii="Book Antiqua" w:hAnsi="Book Antiqua"/>
                <w:b/>
                <w:bCs/>
              </w:rPr>
            </w:pPr>
            <w:r w:rsidRPr="009F0301">
              <w:rPr>
                <w:rFonts w:ascii="Book Antiqua" w:hAnsi="Book Antiqua"/>
                <w:b/>
                <w:bCs/>
              </w:rPr>
              <w:t>Formulación 20</w:t>
            </w:r>
            <w:r>
              <w:rPr>
                <w:rFonts w:ascii="Book Antiqua" w:hAnsi="Book Antiqua"/>
                <w:b/>
                <w:bCs/>
              </w:rPr>
              <w:t>16</w:t>
            </w:r>
          </w:p>
        </w:tc>
        <w:tc>
          <w:tcPr>
            <w:tcW w:w="1433" w:type="dxa"/>
            <w:tcBorders>
              <w:top w:val="double" w:sz="4" w:space="0" w:color="0000FF"/>
              <w:bottom w:val="single" w:sz="4" w:space="0" w:color="0000FF"/>
            </w:tcBorders>
            <w:shd w:val="clear" w:color="auto" w:fill="auto"/>
            <w:vAlign w:val="center"/>
          </w:tcPr>
          <w:p w14:paraId="41EA313E" w14:textId="77777777" w:rsidR="00813AC2" w:rsidRPr="009F0301" w:rsidRDefault="00813AC2" w:rsidP="00813AC2">
            <w:pPr>
              <w:jc w:val="center"/>
              <w:rPr>
                <w:rFonts w:ascii="Book Antiqua" w:hAnsi="Book Antiqua"/>
                <w:b/>
                <w:bCs/>
              </w:rPr>
            </w:pPr>
            <w:r w:rsidRPr="009F0301">
              <w:rPr>
                <w:rFonts w:ascii="Book Antiqua" w:hAnsi="Book Antiqua"/>
                <w:b/>
                <w:bCs/>
              </w:rPr>
              <w:t>Variación</w:t>
            </w:r>
          </w:p>
        </w:tc>
      </w:tr>
      <w:tr w:rsidR="00813AC2" w:rsidRPr="009F0301" w14:paraId="65F0151D" w14:textId="77777777" w:rsidTr="00813AC2">
        <w:trPr>
          <w:trHeight w:val="300"/>
          <w:jc w:val="center"/>
        </w:trPr>
        <w:tc>
          <w:tcPr>
            <w:tcW w:w="1270" w:type="dxa"/>
            <w:tcBorders>
              <w:top w:val="single" w:sz="4" w:space="0" w:color="0000FF"/>
              <w:left w:val="nil"/>
              <w:bottom w:val="nil"/>
              <w:right w:val="nil"/>
            </w:tcBorders>
            <w:shd w:val="clear" w:color="auto" w:fill="auto"/>
            <w:vAlign w:val="bottom"/>
          </w:tcPr>
          <w:p w14:paraId="71A24D6B" w14:textId="77777777" w:rsidR="00813AC2" w:rsidRPr="00810531" w:rsidRDefault="00813AC2" w:rsidP="00813AC2">
            <w:pPr>
              <w:jc w:val="center"/>
              <w:rPr>
                <w:rFonts w:ascii="Book Antiqua" w:hAnsi="Book Antiqua"/>
              </w:rPr>
            </w:pPr>
            <w:r w:rsidRPr="00810531">
              <w:rPr>
                <w:rFonts w:ascii="Book Antiqua" w:hAnsi="Book Antiqua"/>
              </w:rPr>
              <w:t>01</w:t>
            </w:r>
          </w:p>
        </w:tc>
        <w:tc>
          <w:tcPr>
            <w:tcW w:w="1252" w:type="dxa"/>
            <w:tcBorders>
              <w:top w:val="single" w:sz="4" w:space="0" w:color="0000FF"/>
              <w:left w:val="nil"/>
              <w:bottom w:val="nil"/>
              <w:right w:val="nil"/>
            </w:tcBorders>
            <w:shd w:val="clear" w:color="auto" w:fill="auto"/>
            <w:noWrap/>
          </w:tcPr>
          <w:p w14:paraId="7A810704" w14:textId="77777777" w:rsidR="00813AC2" w:rsidRPr="00AB7425" w:rsidRDefault="00813AC2" w:rsidP="00813AC2">
            <w:pPr>
              <w:jc w:val="center"/>
              <w:rPr>
                <w:rFonts w:ascii="Book Antiqua" w:hAnsi="Book Antiqua"/>
              </w:rPr>
            </w:pPr>
            <w:r w:rsidRPr="00AB7425">
              <w:rPr>
                <w:rFonts w:ascii="Book Antiqua" w:hAnsi="Book Antiqua"/>
              </w:rPr>
              <w:t>93,647</w:t>
            </w:r>
          </w:p>
        </w:tc>
        <w:tc>
          <w:tcPr>
            <w:tcW w:w="1603" w:type="dxa"/>
            <w:tcBorders>
              <w:top w:val="single" w:sz="4" w:space="0" w:color="0000FF"/>
              <w:left w:val="nil"/>
              <w:bottom w:val="nil"/>
              <w:right w:val="nil"/>
            </w:tcBorders>
            <w:shd w:val="clear" w:color="auto" w:fill="auto"/>
            <w:noWrap/>
            <w:vAlign w:val="bottom"/>
          </w:tcPr>
          <w:p w14:paraId="42F71C1D" w14:textId="77777777" w:rsidR="00813AC2" w:rsidRPr="00B93FA6" w:rsidRDefault="00813AC2" w:rsidP="00813AC2">
            <w:pPr>
              <w:jc w:val="center"/>
              <w:rPr>
                <w:rFonts w:ascii="Book Antiqua" w:hAnsi="Book Antiqua"/>
              </w:rPr>
            </w:pPr>
            <w:r w:rsidRPr="00B93FA6">
              <w:rPr>
                <w:rFonts w:ascii="Book Antiqua" w:hAnsi="Book Antiqua"/>
              </w:rPr>
              <w:t>105,540</w:t>
            </w:r>
          </w:p>
        </w:tc>
        <w:tc>
          <w:tcPr>
            <w:tcW w:w="1433" w:type="dxa"/>
            <w:tcBorders>
              <w:top w:val="single" w:sz="4" w:space="0" w:color="0000FF"/>
              <w:left w:val="nil"/>
              <w:bottom w:val="nil"/>
              <w:right w:val="nil"/>
            </w:tcBorders>
            <w:shd w:val="clear" w:color="auto" w:fill="auto"/>
            <w:noWrap/>
            <w:vAlign w:val="bottom"/>
          </w:tcPr>
          <w:p w14:paraId="1CFE6186" w14:textId="77777777" w:rsidR="00813AC2" w:rsidRPr="00810531" w:rsidRDefault="00813AC2" w:rsidP="00813AC2">
            <w:pPr>
              <w:jc w:val="center"/>
              <w:rPr>
                <w:rFonts w:ascii="Book Antiqua" w:hAnsi="Book Antiqua"/>
              </w:rPr>
            </w:pPr>
            <w:r>
              <w:rPr>
                <w:rFonts w:ascii="Book Antiqua" w:hAnsi="Book Antiqua"/>
              </w:rPr>
              <w:t>12</w:t>
            </w:r>
            <w:r w:rsidRPr="00810531">
              <w:rPr>
                <w:rFonts w:ascii="Book Antiqua" w:hAnsi="Book Antiqua"/>
              </w:rPr>
              <w:t>.</w:t>
            </w:r>
            <w:r>
              <w:rPr>
                <w:rFonts w:ascii="Book Antiqua" w:hAnsi="Book Antiqua"/>
              </w:rPr>
              <w:t>7</w:t>
            </w:r>
            <w:r w:rsidRPr="00810531">
              <w:rPr>
                <w:rFonts w:ascii="Book Antiqua" w:hAnsi="Book Antiqua"/>
              </w:rPr>
              <w:t>%</w:t>
            </w:r>
          </w:p>
        </w:tc>
      </w:tr>
      <w:tr w:rsidR="00813AC2" w:rsidRPr="009F0301" w14:paraId="66A2A5FA" w14:textId="77777777" w:rsidTr="00813AC2">
        <w:trPr>
          <w:trHeight w:val="300"/>
          <w:jc w:val="center"/>
        </w:trPr>
        <w:tc>
          <w:tcPr>
            <w:tcW w:w="1270" w:type="dxa"/>
            <w:tcBorders>
              <w:top w:val="nil"/>
              <w:left w:val="nil"/>
              <w:bottom w:val="nil"/>
              <w:right w:val="nil"/>
            </w:tcBorders>
            <w:shd w:val="clear" w:color="auto" w:fill="auto"/>
            <w:vAlign w:val="bottom"/>
          </w:tcPr>
          <w:p w14:paraId="4666E5A8" w14:textId="77777777" w:rsidR="00813AC2" w:rsidRPr="00810531" w:rsidRDefault="00813AC2" w:rsidP="00813AC2">
            <w:pPr>
              <w:jc w:val="center"/>
              <w:rPr>
                <w:rFonts w:ascii="Book Antiqua" w:hAnsi="Book Antiqua"/>
              </w:rPr>
            </w:pPr>
            <w:r w:rsidRPr="00810531">
              <w:rPr>
                <w:rFonts w:ascii="Book Antiqua" w:hAnsi="Book Antiqua"/>
              </w:rPr>
              <w:t>02</w:t>
            </w:r>
          </w:p>
        </w:tc>
        <w:tc>
          <w:tcPr>
            <w:tcW w:w="1252" w:type="dxa"/>
            <w:tcBorders>
              <w:top w:val="nil"/>
              <w:left w:val="nil"/>
              <w:bottom w:val="nil"/>
              <w:right w:val="nil"/>
            </w:tcBorders>
            <w:shd w:val="clear" w:color="auto" w:fill="auto"/>
            <w:noWrap/>
          </w:tcPr>
          <w:p w14:paraId="74853BFD" w14:textId="77777777" w:rsidR="00813AC2" w:rsidRPr="00AB7425" w:rsidRDefault="00813AC2" w:rsidP="00813AC2">
            <w:pPr>
              <w:jc w:val="center"/>
              <w:rPr>
                <w:rFonts w:ascii="Book Antiqua" w:hAnsi="Book Antiqua"/>
              </w:rPr>
            </w:pPr>
            <w:r w:rsidRPr="00AB7425">
              <w:rPr>
                <w:rFonts w:ascii="Book Antiqua" w:hAnsi="Book Antiqua"/>
              </w:rPr>
              <w:t>114,734</w:t>
            </w:r>
          </w:p>
        </w:tc>
        <w:tc>
          <w:tcPr>
            <w:tcW w:w="1603" w:type="dxa"/>
            <w:tcBorders>
              <w:top w:val="nil"/>
              <w:left w:val="nil"/>
              <w:bottom w:val="nil"/>
              <w:right w:val="nil"/>
            </w:tcBorders>
            <w:shd w:val="clear" w:color="auto" w:fill="auto"/>
            <w:noWrap/>
            <w:vAlign w:val="bottom"/>
          </w:tcPr>
          <w:p w14:paraId="365B5092" w14:textId="77777777" w:rsidR="00813AC2" w:rsidRPr="00B93FA6" w:rsidRDefault="00813AC2" w:rsidP="00813AC2">
            <w:pPr>
              <w:jc w:val="center"/>
              <w:rPr>
                <w:rFonts w:ascii="Book Antiqua" w:hAnsi="Book Antiqua"/>
              </w:rPr>
            </w:pPr>
            <w:r w:rsidRPr="00B93FA6">
              <w:rPr>
                <w:rFonts w:ascii="Book Antiqua" w:hAnsi="Book Antiqua"/>
              </w:rPr>
              <w:t>129,305</w:t>
            </w:r>
          </w:p>
        </w:tc>
        <w:tc>
          <w:tcPr>
            <w:tcW w:w="1433" w:type="dxa"/>
            <w:tcBorders>
              <w:top w:val="nil"/>
              <w:left w:val="nil"/>
              <w:bottom w:val="nil"/>
              <w:right w:val="nil"/>
            </w:tcBorders>
            <w:shd w:val="clear" w:color="auto" w:fill="auto"/>
            <w:noWrap/>
            <w:vAlign w:val="bottom"/>
          </w:tcPr>
          <w:p w14:paraId="682ECE06" w14:textId="77777777" w:rsidR="00813AC2" w:rsidRPr="00810531" w:rsidRDefault="00813AC2" w:rsidP="00813AC2">
            <w:pPr>
              <w:jc w:val="center"/>
              <w:rPr>
                <w:rFonts w:ascii="Book Antiqua" w:hAnsi="Book Antiqua"/>
              </w:rPr>
            </w:pPr>
            <w:r>
              <w:rPr>
                <w:rFonts w:ascii="Book Antiqua" w:hAnsi="Book Antiqua"/>
              </w:rPr>
              <w:t>12</w:t>
            </w:r>
            <w:r w:rsidRPr="00810531">
              <w:rPr>
                <w:rFonts w:ascii="Book Antiqua" w:hAnsi="Book Antiqua"/>
              </w:rPr>
              <w:t>.</w:t>
            </w:r>
            <w:r>
              <w:rPr>
                <w:rFonts w:ascii="Book Antiqua" w:hAnsi="Book Antiqua"/>
              </w:rPr>
              <w:t>7</w:t>
            </w:r>
            <w:r w:rsidRPr="00810531">
              <w:rPr>
                <w:rFonts w:ascii="Book Antiqua" w:hAnsi="Book Antiqua"/>
              </w:rPr>
              <w:t>%</w:t>
            </w:r>
          </w:p>
        </w:tc>
      </w:tr>
      <w:tr w:rsidR="00813AC2" w:rsidRPr="009F0301" w14:paraId="41882EB5" w14:textId="77777777" w:rsidTr="00813AC2">
        <w:trPr>
          <w:trHeight w:val="300"/>
          <w:jc w:val="center"/>
        </w:trPr>
        <w:tc>
          <w:tcPr>
            <w:tcW w:w="1270" w:type="dxa"/>
            <w:tcBorders>
              <w:top w:val="nil"/>
              <w:left w:val="nil"/>
              <w:bottom w:val="nil"/>
              <w:right w:val="nil"/>
            </w:tcBorders>
            <w:shd w:val="clear" w:color="auto" w:fill="auto"/>
            <w:vAlign w:val="bottom"/>
          </w:tcPr>
          <w:p w14:paraId="08C653F2" w14:textId="77777777" w:rsidR="00813AC2" w:rsidRPr="00810531" w:rsidRDefault="00813AC2" w:rsidP="00813AC2">
            <w:pPr>
              <w:jc w:val="center"/>
              <w:rPr>
                <w:rFonts w:ascii="Book Antiqua" w:hAnsi="Book Antiqua"/>
              </w:rPr>
            </w:pPr>
            <w:r w:rsidRPr="00810531">
              <w:rPr>
                <w:rFonts w:ascii="Book Antiqua" w:hAnsi="Book Antiqua"/>
              </w:rPr>
              <w:t>03</w:t>
            </w:r>
          </w:p>
        </w:tc>
        <w:tc>
          <w:tcPr>
            <w:tcW w:w="1252" w:type="dxa"/>
            <w:tcBorders>
              <w:top w:val="nil"/>
              <w:left w:val="nil"/>
              <w:bottom w:val="nil"/>
              <w:right w:val="nil"/>
            </w:tcBorders>
            <w:shd w:val="clear" w:color="auto" w:fill="auto"/>
            <w:noWrap/>
          </w:tcPr>
          <w:p w14:paraId="3B8F2283" w14:textId="77777777" w:rsidR="00813AC2" w:rsidRPr="00AB7425" w:rsidRDefault="00813AC2" w:rsidP="00813AC2">
            <w:pPr>
              <w:jc w:val="center"/>
              <w:rPr>
                <w:rFonts w:ascii="Book Antiqua" w:hAnsi="Book Antiqua"/>
              </w:rPr>
            </w:pPr>
            <w:r w:rsidRPr="00AB7425">
              <w:rPr>
                <w:rFonts w:ascii="Book Antiqua" w:hAnsi="Book Antiqua"/>
              </w:rPr>
              <w:t>123,977</w:t>
            </w:r>
          </w:p>
        </w:tc>
        <w:tc>
          <w:tcPr>
            <w:tcW w:w="1603" w:type="dxa"/>
            <w:tcBorders>
              <w:top w:val="nil"/>
              <w:left w:val="nil"/>
              <w:bottom w:val="nil"/>
              <w:right w:val="nil"/>
            </w:tcBorders>
            <w:shd w:val="clear" w:color="auto" w:fill="auto"/>
            <w:noWrap/>
            <w:vAlign w:val="bottom"/>
          </w:tcPr>
          <w:p w14:paraId="7D2BCCE2" w14:textId="77777777" w:rsidR="00813AC2" w:rsidRPr="00B93FA6" w:rsidRDefault="00813AC2" w:rsidP="00813AC2">
            <w:pPr>
              <w:jc w:val="center"/>
              <w:rPr>
                <w:rFonts w:ascii="Book Antiqua" w:hAnsi="Book Antiqua"/>
              </w:rPr>
            </w:pPr>
            <w:r w:rsidRPr="00B93FA6">
              <w:rPr>
                <w:rFonts w:ascii="Book Antiqua" w:hAnsi="Book Antiqua"/>
              </w:rPr>
              <w:t>139,722</w:t>
            </w:r>
          </w:p>
        </w:tc>
        <w:tc>
          <w:tcPr>
            <w:tcW w:w="1433" w:type="dxa"/>
            <w:tcBorders>
              <w:top w:val="nil"/>
              <w:left w:val="nil"/>
              <w:bottom w:val="nil"/>
              <w:right w:val="nil"/>
            </w:tcBorders>
            <w:shd w:val="clear" w:color="auto" w:fill="auto"/>
            <w:noWrap/>
            <w:vAlign w:val="bottom"/>
          </w:tcPr>
          <w:p w14:paraId="145FFD61" w14:textId="77777777" w:rsidR="00813AC2" w:rsidRPr="00810531" w:rsidRDefault="00813AC2" w:rsidP="00813AC2">
            <w:pPr>
              <w:jc w:val="center"/>
              <w:rPr>
                <w:rFonts w:ascii="Book Antiqua" w:hAnsi="Book Antiqua"/>
              </w:rPr>
            </w:pPr>
            <w:r>
              <w:rPr>
                <w:rFonts w:ascii="Book Antiqua" w:hAnsi="Book Antiqua"/>
              </w:rPr>
              <w:t>12</w:t>
            </w:r>
            <w:r w:rsidRPr="00810531">
              <w:rPr>
                <w:rFonts w:ascii="Book Antiqua" w:hAnsi="Book Antiqua"/>
              </w:rPr>
              <w:t>.</w:t>
            </w:r>
            <w:r>
              <w:rPr>
                <w:rFonts w:ascii="Book Antiqua" w:hAnsi="Book Antiqua"/>
              </w:rPr>
              <w:t>7</w:t>
            </w:r>
            <w:r w:rsidRPr="00810531">
              <w:rPr>
                <w:rFonts w:ascii="Book Antiqua" w:hAnsi="Book Antiqua"/>
              </w:rPr>
              <w:t>%</w:t>
            </w:r>
          </w:p>
        </w:tc>
      </w:tr>
      <w:tr w:rsidR="00813AC2" w:rsidRPr="009F0301" w14:paraId="0D6AA033" w14:textId="77777777" w:rsidTr="00813AC2">
        <w:trPr>
          <w:trHeight w:val="300"/>
          <w:jc w:val="center"/>
        </w:trPr>
        <w:tc>
          <w:tcPr>
            <w:tcW w:w="1270" w:type="dxa"/>
            <w:tcBorders>
              <w:top w:val="nil"/>
              <w:left w:val="nil"/>
              <w:bottom w:val="nil"/>
              <w:right w:val="nil"/>
            </w:tcBorders>
            <w:shd w:val="clear" w:color="auto" w:fill="auto"/>
            <w:vAlign w:val="bottom"/>
          </w:tcPr>
          <w:p w14:paraId="20749FA3" w14:textId="77777777" w:rsidR="00813AC2" w:rsidRPr="00810531" w:rsidRDefault="00813AC2" w:rsidP="00813AC2">
            <w:pPr>
              <w:jc w:val="center"/>
              <w:rPr>
                <w:rFonts w:ascii="Book Antiqua" w:hAnsi="Book Antiqua"/>
              </w:rPr>
            </w:pPr>
            <w:r w:rsidRPr="00810531">
              <w:rPr>
                <w:rFonts w:ascii="Book Antiqua" w:hAnsi="Book Antiqua"/>
              </w:rPr>
              <w:t>04</w:t>
            </w:r>
          </w:p>
        </w:tc>
        <w:tc>
          <w:tcPr>
            <w:tcW w:w="1252" w:type="dxa"/>
            <w:tcBorders>
              <w:top w:val="nil"/>
              <w:left w:val="nil"/>
              <w:bottom w:val="nil"/>
              <w:right w:val="nil"/>
            </w:tcBorders>
            <w:shd w:val="clear" w:color="auto" w:fill="auto"/>
            <w:noWrap/>
          </w:tcPr>
          <w:p w14:paraId="351CE770" w14:textId="77777777" w:rsidR="00813AC2" w:rsidRPr="00AB7425" w:rsidRDefault="00813AC2" w:rsidP="00813AC2">
            <w:pPr>
              <w:jc w:val="center"/>
              <w:rPr>
                <w:rFonts w:ascii="Book Antiqua" w:hAnsi="Book Antiqua"/>
              </w:rPr>
            </w:pPr>
            <w:r w:rsidRPr="00AB7425">
              <w:rPr>
                <w:rFonts w:ascii="Book Antiqua" w:hAnsi="Book Antiqua"/>
              </w:rPr>
              <w:t>161,124</w:t>
            </w:r>
          </w:p>
        </w:tc>
        <w:tc>
          <w:tcPr>
            <w:tcW w:w="1603" w:type="dxa"/>
            <w:tcBorders>
              <w:top w:val="nil"/>
              <w:left w:val="nil"/>
              <w:bottom w:val="nil"/>
              <w:right w:val="nil"/>
            </w:tcBorders>
            <w:shd w:val="clear" w:color="auto" w:fill="auto"/>
            <w:noWrap/>
            <w:vAlign w:val="bottom"/>
          </w:tcPr>
          <w:p w14:paraId="30E78882" w14:textId="77777777" w:rsidR="00813AC2" w:rsidRPr="00B93FA6" w:rsidRDefault="00813AC2" w:rsidP="00813AC2">
            <w:pPr>
              <w:jc w:val="center"/>
              <w:rPr>
                <w:rFonts w:ascii="Book Antiqua" w:hAnsi="Book Antiqua"/>
              </w:rPr>
            </w:pPr>
            <w:r w:rsidRPr="00B93FA6">
              <w:rPr>
                <w:rFonts w:ascii="Book Antiqua" w:hAnsi="Book Antiqua"/>
              </w:rPr>
              <w:t>181,587</w:t>
            </w:r>
          </w:p>
        </w:tc>
        <w:tc>
          <w:tcPr>
            <w:tcW w:w="1433" w:type="dxa"/>
            <w:tcBorders>
              <w:top w:val="nil"/>
              <w:left w:val="nil"/>
              <w:bottom w:val="nil"/>
              <w:right w:val="nil"/>
            </w:tcBorders>
            <w:shd w:val="clear" w:color="auto" w:fill="auto"/>
            <w:noWrap/>
            <w:vAlign w:val="bottom"/>
          </w:tcPr>
          <w:p w14:paraId="3D6CAE61" w14:textId="77777777" w:rsidR="00813AC2" w:rsidRPr="00810531" w:rsidRDefault="00813AC2" w:rsidP="00813AC2">
            <w:pPr>
              <w:jc w:val="center"/>
              <w:rPr>
                <w:rFonts w:ascii="Book Antiqua" w:hAnsi="Book Antiqua"/>
              </w:rPr>
            </w:pPr>
            <w:r>
              <w:rPr>
                <w:rFonts w:ascii="Book Antiqua" w:hAnsi="Book Antiqua"/>
              </w:rPr>
              <w:t>12</w:t>
            </w:r>
            <w:r w:rsidRPr="00810531">
              <w:rPr>
                <w:rFonts w:ascii="Book Antiqua" w:hAnsi="Book Antiqua"/>
              </w:rPr>
              <w:t>.</w:t>
            </w:r>
            <w:r>
              <w:rPr>
                <w:rFonts w:ascii="Book Antiqua" w:hAnsi="Book Antiqua"/>
              </w:rPr>
              <w:t>7</w:t>
            </w:r>
            <w:r w:rsidRPr="00810531">
              <w:rPr>
                <w:rFonts w:ascii="Book Antiqua" w:hAnsi="Book Antiqua"/>
              </w:rPr>
              <w:t>%</w:t>
            </w:r>
          </w:p>
        </w:tc>
      </w:tr>
      <w:tr w:rsidR="00813AC2" w:rsidRPr="009F0301" w14:paraId="0F0130A3" w14:textId="77777777" w:rsidTr="00813AC2">
        <w:trPr>
          <w:trHeight w:val="300"/>
          <w:jc w:val="center"/>
        </w:trPr>
        <w:tc>
          <w:tcPr>
            <w:tcW w:w="1270" w:type="dxa"/>
            <w:tcBorders>
              <w:top w:val="nil"/>
              <w:left w:val="nil"/>
              <w:bottom w:val="nil"/>
              <w:right w:val="nil"/>
            </w:tcBorders>
            <w:shd w:val="clear" w:color="auto" w:fill="auto"/>
            <w:vAlign w:val="bottom"/>
          </w:tcPr>
          <w:p w14:paraId="4E9079A7" w14:textId="77777777" w:rsidR="00813AC2" w:rsidRPr="00810531" w:rsidRDefault="00813AC2" w:rsidP="00813AC2">
            <w:pPr>
              <w:jc w:val="center"/>
              <w:rPr>
                <w:rFonts w:ascii="Book Antiqua" w:hAnsi="Book Antiqua"/>
              </w:rPr>
            </w:pPr>
            <w:r w:rsidRPr="00810531">
              <w:rPr>
                <w:rFonts w:ascii="Book Antiqua" w:hAnsi="Book Antiqua"/>
              </w:rPr>
              <w:t>05</w:t>
            </w:r>
          </w:p>
        </w:tc>
        <w:tc>
          <w:tcPr>
            <w:tcW w:w="1252" w:type="dxa"/>
            <w:tcBorders>
              <w:top w:val="nil"/>
              <w:left w:val="nil"/>
              <w:bottom w:val="nil"/>
              <w:right w:val="nil"/>
            </w:tcBorders>
            <w:shd w:val="clear" w:color="auto" w:fill="auto"/>
            <w:noWrap/>
          </w:tcPr>
          <w:p w14:paraId="1797CD31" w14:textId="77777777" w:rsidR="00813AC2" w:rsidRPr="00AB7425" w:rsidRDefault="00813AC2" w:rsidP="00813AC2">
            <w:pPr>
              <w:jc w:val="center"/>
              <w:rPr>
                <w:rFonts w:ascii="Book Antiqua" w:hAnsi="Book Antiqua"/>
              </w:rPr>
            </w:pPr>
            <w:r w:rsidRPr="00AB7425">
              <w:rPr>
                <w:rFonts w:ascii="Book Antiqua" w:hAnsi="Book Antiqua"/>
              </w:rPr>
              <w:t>173,091</w:t>
            </w:r>
          </w:p>
        </w:tc>
        <w:tc>
          <w:tcPr>
            <w:tcW w:w="1603" w:type="dxa"/>
            <w:tcBorders>
              <w:top w:val="nil"/>
              <w:left w:val="nil"/>
              <w:bottom w:val="nil"/>
              <w:right w:val="nil"/>
            </w:tcBorders>
            <w:shd w:val="clear" w:color="auto" w:fill="auto"/>
            <w:noWrap/>
            <w:vAlign w:val="bottom"/>
          </w:tcPr>
          <w:p w14:paraId="35A79C41" w14:textId="77777777" w:rsidR="00813AC2" w:rsidRPr="00B93FA6" w:rsidRDefault="00813AC2" w:rsidP="00813AC2">
            <w:pPr>
              <w:jc w:val="center"/>
              <w:rPr>
                <w:rFonts w:ascii="Book Antiqua" w:hAnsi="Book Antiqua"/>
              </w:rPr>
            </w:pPr>
            <w:r w:rsidRPr="00B93FA6">
              <w:rPr>
                <w:rFonts w:ascii="Book Antiqua" w:hAnsi="Book Antiqua"/>
              </w:rPr>
              <w:t>195,074</w:t>
            </w:r>
          </w:p>
        </w:tc>
        <w:tc>
          <w:tcPr>
            <w:tcW w:w="1433" w:type="dxa"/>
            <w:tcBorders>
              <w:top w:val="nil"/>
              <w:left w:val="nil"/>
              <w:bottom w:val="nil"/>
              <w:right w:val="nil"/>
            </w:tcBorders>
            <w:shd w:val="clear" w:color="auto" w:fill="auto"/>
            <w:noWrap/>
            <w:vAlign w:val="bottom"/>
          </w:tcPr>
          <w:p w14:paraId="7A224014" w14:textId="77777777" w:rsidR="00813AC2" w:rsidRPr="00810531" w:rsidRDefault="00813AC2" w:rsidP="00813AC2">
            <w:pPr>
              <w:jc w:val="center"/>
              <w:rPr>
                <w:rFonts w:ascii="Book Antiqua" w:hAnsi="Book Antiqua"/>
              </w:rPr>
            </w:pPr>
            <w:r>
              <w:rPr>
                <w:rFonts w:ascii="Book Antiqua" w:hAnsi="Book Antiqua"/>
              </w:rPr>
              <w:t>12</w:t>
            </w:r>
            <w:r w:rsidRPr="00810531">
              <w:rPr>
                <w:rFonts w:ascii="Book Antiqua" w:hAnsi="Book Antiqua"/>
              </w:rPr>
              <w:t>.</w:t>
            </w:r>
            <w:r>
              <w:rPr>
                <w:rFonts w:ascii="Book Antiqua" w:hAnsi="Book Antiqua"/>
              </w:rPr>
              <w:t>7</w:t>
            </w:r>
            <w:r w:rsidRPr="00810531">
              <w:rPr>
                <w:rFonts w:ascii="Book Antiqua" w:hAnsi="Book Antiqua"/>
              </w:rPr>
              <w:t>%</w:t>
            </w:r>
          </w:p>
        </w:tc>
      </w:tr>
      <w:tr w:rsidR="00813AC2" w:rsidRPr="009F0301" w14:paraId="4F3BCEF0" w14:textId="77777777" w:rsidTr="00813AC2">
        <w:trPr>
          <w:trHeight w:val="300"/>
          <w:jc w:val="center"/>
        </w:trPr>
        <w:tc>
          <w:tcPr>
            <w:tcW w:w="1270" w:type="dxa"/>
            <w:tcBorders>
              <w:top w:val="nil"/>
              <w:left w:val="nil"/>
              <w:bottom w:val="nil"/>
              <w:right w:val="nil"/>
            </w:tcBorders>
            <w:shd w:val="clear" w:color="auto" w:fill="auto"/>
            <w:vAlign w:val="bottom"/>
          </w:tcPr>
          <w:p w14:paraId="3BB389F3" w14:textId="77777777" w:rsidR="00813AC2" w:rsidRPr="00810531" w:rsidRDefault="00813AC2" w:rsidP="00813AC2">
            <w:pPr>
              <w:jc w:val="center"/>
              <w:rPr>
                <w:rFonts w:ascii="Book Antiqua" w:hAnsi="Book Antiqua"/>
              </w:rPr>
            </w:pPr>
            <w:r w:rsidRPr="00810531">
              <w:rPr>
                <w:rFonts w:ascii="Book Antiqua" w:hAnsi="Book Antiqua"/>
              </w:rPr>
              <w:t>06</w:t>
            </w:r>
          </w:p>
        </w:tc>
        <w:tc>
          <w:tcPr>
            <w:tcW w:w="1252" w:type="dxa"/>
            <w:tcBorders>
              <w:top w:val="nil"/>
              <w:left w:val="nil"/>
              <w:bottom w:val="nil"/>
              <w:right w:val="nil"/>
            </w:tcBorders>
            <w:shd w:val="clear" w:color="auto" w:fill="auto"/>
            <w:noWrap/>
          </w:tcPr>
          <w:p w14:paraId="71BFF39C" w14:textId="77777777" w:rsidR="00813AC2" w:rsidRPr="00AB7425" w:rsidRDefault="00813AC2" w:rsidP="00813AC2">
            <w:pPr>
              <w:jc w:val="center"/>
              <w:rPr>
                <w:rFonts w:ascii="Book Antiqua" w:hAnsi="Book Antiqua"/>
              </w:rPr>
            </w:pPr>
            <w:r w:rsidRPr="00AB7425">
              <w:rPr>
                <w:rFonts w:ascii="Book Antiqua" w:hAnsi="Book Antiqua"/>
              </w:rPr>
              <w:t>245,109</w:t>
            </w:r>
          </w:p>
        </w:tc>
        <w:tc>
          <w:tcPr>
            <w:tcW w:w="1603" w:type="dxa"/>
            <w:tcBorders>
              <w:top w:val="nil"/>
              <w:left w:val="nil"/>
              <w:bottom w:val="nil"/>
              <w:right w:val="nil"/>
            </w:tcBorders>
            <w:shd w:val="clear" w:color="auto" w:fill="auto"/>
            <w:noWrap/>
            <w:vAlign w:val="bottom"/>
          </w:tcPr>
          <w:p w14:paraId="6BF19AAF" w14:textId="77777777" w:rsidR="00813AC2" w:rsidRPr="00B93FA6" w:rsidRDefault="00813AC2" w:rsidP="00813AC2">
            <w:pPr>
              <w:jc w:val="center"/>
              <w:rPr>
                <w:rFonts w:ascii="Book Antiqua" w:hAnsi="Book Antiqua"/>
              </w:rPr>
            </w:pPr>
            <w:r w:rsidRPr="00B93FA6">
              <w:rPr>
                <w:rFonts w:ascii="Book Antiqua" w:hAnsi="Book Antiqua"/>
              </w:rPr>
              <w:t>276,238</w:t>
            </w:r>
          </w:p>
        </w:tc>
        <w:tc>
          <w:tcPr>
            <w:tcW w:w="1433" w:type="dxa"/>
            <w:tcBorders>
              <w:top w:val="nil"/>
              <w:left w:val="nil"/>
              <w:bottom w:val="nil"/>
              <w:right w:val="nil"/>
            </w:tcBorders>
            <w:shd w:val="clear" w:color="auto" w:fill="auto"/>
            <w:noWrap/>
            <w:vAlign w:val="bottom"/>
          </w:tcPr>
          <w:p w14:paraId="2EC824E2" w14:textId="77777777" w:rsidR="00813AC2" w:rsidRPr="00810531" w:rsidRDefault="00813AC2" w:rsidP="00813AC2">
            <w:pPr>
              <w:jc w:val="center"/>
              <w:rPr>
                <w:rFonts w:ascii="Book Antiqua" w:hAnsi="Book Antiqua"/>
              </w:rPr>
            </w:pPr>
            <w:r>
              <w:rPr>
                <w:rFonts w:ascii="Book Antiqua" w:hAnsi="Book Antiqua"/>
              </w:rPr>
              <w:t>12</w:t>
            </w:r>
            <w:r w:rsidRPr="00810531">
              <w:rPr>
                <w:rFonts w:ascii="Book Antiqua" w:hAnsi="Book Antiqua"/>
              </w:rPr>
              <w:t>.</w:t>
            </w:r>
            <w:r>
              <w:rPr>
                <w:rFonts w:ascii="Book Antiqua" w:hAnsi="Book Antiqua"/>
              </w:rPr>
              <w:t>7</w:t>
            </w:r>
            <w:r w:rsidRPr="00810531">
              <w:rPr>
                <w:rFonts w:ascii="Book Antiqua" w:hAnsi="Book Antiqua"/>
              </w:rPr>
              <w:t>%</w:t>
            </w:r>
          </w:p>
        </w:tc>
      </w:tr>
      <w:tr w:rsidR="00813AC2" w:rsidRPr="009F0301" w14:paraId="40453361" w14:textId="77777777" w:rsidTr="00813AC2">
        <w:trPr>
          <w:trHeight w:val="300"/>
          <w:jc w:val="center"/>
        </w:trPr>
        <w:tc>
          <w:tcPr>
            <w:tcW w:w="1270" w:type="dxa"/>
            <w:tcBorders>
              <w:top w:val="nil"/>
              <w:left w:val="nil"/>
              <w:bottom w:val="nil"/>
              <w:right w:val="nil"/>
            </w:tcBorders>
            <w:shd w:val="clear" w:color="auto" w:fill="auto"/>
            <w:vAlign w:val="bottom"/>
          </w:tcPr>
          <w:p w14:paraId="447EA90D" w14:textId="77777777" w:rsidR="00813AC2" w:rsidRPr="00810531" w:rsidRDefault="00813AC2" w:rsidP="00813AC2">
            <w:pPr>
              <w:jc w:val="center"/>
              <w:rPr>
                <w:rFonts w:ascii="Book Antiqua" w:hAnsi="Book Antiqua"/>
              </w:rPr>
            </w:pPr>
            <w:r w:rsidRPr="00810531">
              <w:rPr>
                <w:rFonts w:ascii="Book Antiqua" w:hAnsi="Book Antiqua"/>
              </w:rPr>
              <w:t>07</w:t>
            </w:r>
          </w:p>
        </w:tc>
        <w:tc>
          <w:tcPr>
            <w:tcW w:w="1252" w:type="dxa"/>
            <w:tcBorders>
              <w:top w:val="nil"/>
              <w:left w:val="nil"/>
              <w:bottom w:val="nil"/>
              <w:right w:val="nil"/>
            </w:tcBorders>
            <w:shd w:val="clear" w:color="auto" w:fill="auto"/>
            <w:noWrap/>
          </w:tcPr>
          <w:p w14:paraId="4A2825B9" w14:textId="77777777" w:rsidR="00813AC2" w:rsidRPr="00AB7425" w:rsidRDefault="00813AC2" w:rsidP="00813AC2">
            <w:pPr>
              <w:jc w:val="center"/>
              <w:rPr>
                <w:rFonts w:ascii="Book Antiqua" w:hAnsi="Book Antiqua"/>
              </w:rPr>
            </w:pPr>
            <w:r w:rsidRPr="00AB7425">
              <w:rPr>
                <w:rFonts w:ascii="Book Antiqua" w:hAnsi="Book Antiqua"/>
              </w:rPr>
              <w:t>303,933</w:t>
            </w:r>
          </w:p>
        </w:tc>
        <w:tc>
          <w:tcPr>
            <w:tcW w:w="1603" w:type="dxa"/>
            <w:tcBorders>
              <w:top w:val="nil"/>
              <w:left w:val="nil"/>
              <w:bottom w:val="nil"/>
              <w:right w:val="nil"/>
            </w:tcBorders>
            <w:shd w:val="clear" w:color="auto" w:fill="auto"/>
            <w:noWrap/>
            <w:vAlign w:val="bottom"/>
          </w:tcPr>
          <w:p w14:paraId="013C076C" w14:textId="77777777" w:rsidR="00813AC2" w:rsidRPr="00B93FA6" w:rsidRDefault="00813AC2" w:rsidP="00813AC2">
            <w:pPr>
              <w:jc w:val="center"/>
              <w:rPr>
                <w:rFonts w:ascii="Book Antiqua" w:hAnsi="Book Antiqua"/>
              </w:rPr>
            </w:pPr>
            <w:r w:rsidRPr="00B93FA6">
              <w:rPr>
                <w:rFonts w:ascii="Book Antiqua" w:hAnsi="Book Antiqua"/>
              </w:rPr>
              <w:t>342,532</w:t>
            </w:r>
          </w:p>
        </w:tc>
        <w:tc>
          <w:tcPr>
            <w:tcW w:w="1433" w:type="dxa"/>
            <w:tcBorders>
              <w:top w:val="nil"/>
              <w:left w:val="nil"/>
              <w:bottom w:val="nil"/>
              <w:right w:val="nil"/>
            </w:tcBorders>
            <w:shd w:val="clear" w:color="auto" w:fill="auto"/>
            <w:noWrap/>
            <w:vAlign w:val="bottom"/>
          </w:tcPr>
          <w:p w14:paraId="76F56C35" w14:textId="77777777" w:rsidR="00813AC2" w:rsidRPr="00810531" w:rsidRDefault="00813AC2" w:rsidP="00813AC2">
            <w:pPr>
              <w:jc w:val="center"/>
              <w:rPr>
                <w:rFonts w:ascii="Book Antiqua" w:hAnsi="Book Antiqua"/>
              </w:rPr>
            </w:pPr>
            <w:r>
              <w:rPr>
                <w:rFonts w:ascii="Book Antiqua" w:hAnsi="Book Antiqua"/>
              </w:rPr>
              <w:t>12</w:t>
            </w:r>
            <w:r w:rsidRPr="00810531">
              <w:rPr>
                <w:rFonts w:ascii="Book Antiqua" w:hAnsi="Book Antiqua"/>
              </w:rPr>
              <w:t>.</w:t>
            </w:r>
            <w:r>
              <w:rPr>
                <w:rFonts w:ascii="Book Antiqua" w:hAnsi="Book Antiqua"/>
              </w:rPr>
              <w:t>7</w:t>
            </w:r>
            <w:r w:rsidRPr="00810531">
              <w:rPr>
                <w:rFonts w:ascii="Book Antiqua" w:hAnsi="Book Antiqua"/>
              </w:rPr>
              <w:t>%</w:t>
            </w:r>
          </w:p>
        </w:tc>
      </w:tr>
      <w:tr w:rsidR="00813AC2" w:rsidRPr="009F0301" w14:paraId="199F2AC2" w14:textId="77777777" w:rsidTr="00813AC2">
        <w:trPr>
          <w:trHeight w:val="300"/>
          <w:jc w:val="center"/>
        </w:trPr>
        <w:tc>
          <w:tcPr>
            <w:tcW w:w="1270" w:type="dxa"/>
            <w:tcBorders>
              <w:top w:val="nil"/>
              <w:left w:val="nil"/>
              <w:bottom w:val="nil"/>
              <w:right w:val="nil"/>
            </w:tcBorders>
            <w:shd w:val="clear" w:color="auto" w:fill="auto"/>
            <w:vAlign w:val="bottom"/>
          </w:tcPr>
          <w:p w14:paraId="39D0D480" w14:textId="77777777" w:rsidR="00813AC2" w:rsidRPr="00810531" w:rsidRDefault="00813AC2" w:rsidP="00813AC2">
            <w:pPr>
              <w:jc w:val="center"/>
              <w:rPr>
                <w:rFonts w:ascii="Book Antiqua" w:hAnsi="Book Antiqua"/>
              </w:rPr>
            </w:pPr>
            <w:r w:rsidRPr="00810531">
              <w:rPr>
                <w:rFonts w:ascii="Book Antiqua" w:hAnsi="Book Antiqua"/>
              </w:rPr>
              <w:t>08</w:t>
            </w:r>
          </w:p>
        </w:tc>
        <w:tc>
          <w:tcPr>
            <w:tcW w:w="1252" w:type="dxa"/>
            <w:tcBorders>
              <w:top w:val="nil"/>
              <w:left w:val="nil"/>
              <w:bottom w:val="nil"/>
              <w:right w:val="nil"/>
            </w:tcBorders>
            <w:shd w:val="clear" w:color="auto" w:fill="auto"/>
            <w:noWrap/>
          </w:tcPr>
          <w:p w14:paraId="1B74F830" w14:textId="77777777" w:rsidR="00813AC2" w:rsidRPr="00AB7425" w:rsidRDefault="00813AC2" w:rsidP="00813AC2">
            <w:pPr>
              <w:jc w:val="center"/>
              <w:rPr>
                <w:rFonts w:ascii="Book Antiqua" w:hAnsi="Book Antiqua"/>
              </w:rPr>
            </w:pPr>
            <w:r w:rsidRPr="00AB7425">
              <w:rPr>
                <w:rFonts w:ascii="Book Antiqua" w:hAnsi="Book Antiqua"/>
              </w:rPr>
              <w:t>372,494</w:t>
            </w:r>
          </w:p>
        </w:tc>
        <w:tc>
          <w:tcPr>
            <w:tcW w:w="1603" w:type="dxa"/>
            <w:tcBorders>
              <w:top w:val="nil"/>
              <w:left w:val="nil"/>
              <w:bottom w:val="nil"/>
              <w:right w:val="nil"/>
            </w:tcBorders>
            <w:shd w:val="clear" w:color="auto" w:fill="auto"/>
            <w:noWrap/>
            <w:vAlign w:val="bottom"/>
          </w:tcPr>
          <w:p w14:paraId="7161FA10" w14:textId="77777777" w:rsidR="00813AC2" w:rsidRPr="00B93FA6" w:rsidRDefault="00813AC2" w:rsidP="00813AC2">
            <w:pPr>
              <w:jc w:val="center"/>
              <w:rPr>
                <w:rFonts w:ascii="Book Antiqua" w:hAnsi="Book Antiqua"/>
              </w:rPr>
            </w:pPr>
            <w:r w:rsidRPr="00B93FA6">
              <w:rPr>
                <w:rFonts w:ascii="Book Antiqua" w:hAnsi="Book Antiqua"/>
              </w:rPr>
              <w:t>419,801</w:t>
            </w:r>
          </w:p>
        </w:tc>
        <w:tc>
          <w:tcPr>
            <w:tcW w:w="1433" w:type="dxa"/>
            <w:tcBorders>
              <w:top w:val="nil"/>
              <w:left w:val="nil"/>
              <w:bottom w:val="nil"/>
              <w:right w:val="nil"/>
            </w:tcBorders>
            <w:shd w:val="clear" w:color="auto" w:fill="auto"/>
            <w:noWrap/>
            <w:vAlign w:val="bottom"/>
          </w:tcPr>
          <w:p w14:paraId="56C33398" w14:textId="77777777" w:rsidR="00813AC2" w:rsidRPr="00810531" w:rsidRDefault="00813AC2" w:rsidP="00813AC2">
            <w:pPr>
              <w:jc w:val="center"/>
              <w:rPr>
                <w:rFonts w:ascii="Book Antiqua" w:hAnsi="Book Antiqua"/>
              </w:rPr>
            </w:pPr>
            <w:r>
              <w:rPr>
                <w:rFonts w:ascii="Book Antiqua" w:hAnsi="Book Antiqua"/>
              </w:rPr>
              <w:t>12</w:t>
            </w:r>
            <w:r w:rsidRPr="00810531">
              <w:rPr>
                <w:rFonts w:ascii="Book Antiqua" w:hAnsi="Book Antiqua"/>
              </w:rPr>
              <w:t>.</w:t>
            </w:r>
            <w:r>
              <w:rPr>
                <w:rFonts w:ascii="Book Antiqua" w:hAnsi="Book Antiqua"/>
              </w:rPr>
              <w:t>7</w:t>
            </w:r>
            <w:r w:rsidRPr="00810531">
              <w:rPr>
                <w:rFonts w:ascii="Book Antiqua" w:hAnsi="Book Antiqua"/>
              </w:rPr>
              <w:t>%</w:t>
            </w:r>
          </w:p>
        </w:tc>
      </w:tr>
      <w:tr w:rsidR="00813AC2" w:rsidRPr="009F0301" w14:paraId="2EB27786" w14:textId="77777777" w:rsidTr="00813AC2">
        <w:trPr>
          <w:trHeight w:val="300"/>
          <w:jc w:val="center"/>
        </w:trPr>
        <w:tc>
          <w:tcPr>
            <w:tcW w:w="1270" w:type="dxa"/>
            <w:tcBorders>
              <w:top w:val="nil"/>
              <w:left w:val="nil"/>
              <w:bottom w:val="nil"/>
              <w:right w:val="nil"/>
            </w:tcBorders>
            <w:shd w:val="clear" w:color="auto" w:fill="auto"/>
            <w:vAlign w:val="bottom"/>
          </w:tcPr>
          <w:p w14:paraId="0A381478" w14:textId="77777777" w:rsidR="00813AC2" w:rsidRPr="00810531" w:rsidRDefault="00813AC2" w:rsidP="00813AC2">
            <w:pPr>
              <w:jc w:val="center"/>
              <w:rPr>
                <w:rFonts w:ascii="Book Antiqua" w:hAnsi="Book Antiqua"/>
              </w:rPr>
            </w:pPr>
            <w:r w:rsidRPr="00810531">
              <w:rPr>
                <w:rFonts w:ascii="Book Antiqua" w:hAnsi="Book Antiqua"/>
              </w:rPr>
              <w:t>09</w:t>
            </w:r>
          </w:p>
        </w:tc>
        <w:tc>
          <w:tcPr>
            <w:tcW w:w="1252" w:type="dxa"/>
            <w:tcBorders>
              <w:top w:val="nil"/>
              <w:left w:val="nil"/>
              <w:bottom w:val="nil"/>
              <w:right w:val="nil"/>
            </w:tcBorders>
            <w:shd w:val="clear" w:color="auto" w:fill="auto"/>
            <w:noWrap/>
          </w:tcPr>
          <w:p w14:paraId="2475F7B8" w14:textId="77777777" w:rsidR="00813AC2" w:rsidRPr="00AB7425" w:rsidRDefault="00813AC2" w:rsidP="00813AC2">
            <w:pPr>
              <w:jc w:val="center"/>
              <w:rPr>
                <w:rFonts w:ascii="Book Antiqua" w:hAnsi="Book Antiqua"/>
              </w:rPr>
            </w:pPr>
            <w:r w:rsidRPr="00AB7425">
              <w:rPr>
                <w:rFonts w:ascii="Book Antiqua" w:hAnsi="Book Antiqua"/>
              </w:rPr>
              <w:t>459,618</w:t>
            </w:r>
          </w:p>
        </w:tc>
        <w:tc>
          <w:tcPr>
            <w:tcW w:w="1603" w:type="dxa"/>
            <w:tcBorders>
              <w:top w:val="nil"/>
              <w:left w:val="nil"/>
              <w:bottom w:val="nil"/>
              <w:right w:val="nil"/>
            </w:tcBorders>
            <w:shd w:val="clear" w:color="auto" w:fill="auto"/>
            <w:noWrap/>
            <w:vAlign w:val="bottom"/>
          </w:tcPr>
          <w:p w14:paraId="5CAD0331" w14:textId="77777777" w:rsidR="00813AC2" w:rsidRPr="00B93FA6" w:rsidRDefault="00813AC2" w:rsidP="00813AC2">
            <w:pPr>
              <w:jc w:val="center"/>
              <w:rPr>
                <w:rFonts w:ascii="Book Antiqua" w:hAnsi="Book Antiqua"/>
              </w:rPr>
            </w:pPr>
            <w:r w:rsidRPr="00B93FA6">
              <w:rPr>
                <w:rFonts w:ascii="Book Antiqua" w:hAnsi="Book Antiqua"/>
              </w:rPr>
              <w:t>517,989</w:t>
            </w:r>
          </w:p>
        </w:tc>
        <w:tc>
          <w:tcPr>
            <w:tcW w:w="1433" w:type="dxa"/>
            <w:tcBorders>
              <w:top w:val="nil"/>
              <w:left w:val="nil"/>
              <w:bottom w:val="nil"/>
              <w:right w:val="nil"/>
            </w:tcBorders>
            <w:shd w:val="clear" w:color="auto" w:fill="auto"/>
            <w:noWrap/>
            <w:vAlign w:val="bottom"/>
          </w:tcPr>
          <w:p w14:paraId="7460553A" w14:textId="77777777" w:rsidR="00813AC2" w:rsidRPr="00810531" w:rsidRDefault="00813AC2" w:rsidP="00813AC2">
            <w:pPr>
              <w:jc w:val="center"/>
              <w:rPr>
                <w:rFonts w:ascii="Book Antiqua" w:hAnsi="Book Antiqua"/>
              </w:rPr>
            </w:pPr>
            <w:r>
              <w:rPr>
                <w:rFonts w:ascii="Book Antiqua" w:hAnsi="Book Antiqua"/>
              </w:rPr>
              <w:t>12</w:t>
            </w:r>
            <w:r w:rsidRPr="00810531">
              <w:rPr>
                <w:rFonts w:ascii="Book Antiqua" w:hAnsi="Book Antiqua"/>
              </w:rPr>
              <w:t>.</w:t>
            </w:r>
            <w:r>
              <w:rPr>
                <w:rFonts w:ascii="Book Antiqua" w:hAnsi="Book Antiqua"/>
              </w:rPr>
              <w:t>7</w:t>
            </w:r>
            <w:r w:rsidRPr="00810531">
              <w:rPr>
                <w:rFonts w:ascii="Book Antiqua" w:hAnsi="Book Antiqua"/>
              </w:rPr>
              <w:t>%</w:t>
            </w:r>
          </w:p>
        </w:tc>
      </w:tr>
      <w:tr w:rsidR="00813AC2" w:rsidRPr="009F0301" w14:paraId="045328F4" w14:textId="77777777" w:rsidTr="00813AC2">
        <w:trPr>
          <w:trHeight w:val="300"/>
          <w:jc w:val="center"/>
        </w:trPr>
        <w:tc>
          <w:tcPr>
            <w:tcW w:w="1270" w:type="dxa"/>
            <w:tcBorders>
              <w:top w:val="nil"/>
              <w:left w:val="nil"/>
              <w:bottom w:val="nil"/>
              <w:right w:val="nil"/>
            </w:tcBorders>
            <w:shd w:val="clear" w:color="auto" w:fill="auto"/>
            <w:vAlign w:val="bottom"/>
          </w:tcPr>
          <w:p w14:paraId="0FA0276D" w14:textId="77777777" w:rsidR="00813AC2" w:rsidRPr="00810531" w:rsidRDefault="00813AC2" w:rsidP="00813AC2">
            <w:pPr>
              <w:jc w:val="center"/>
              <w:rPr>
                <w:rFonts w:ascii="Book Antiqua" w:hAnsi="Book Antiqua"/>
              </w:rPr>
            </w:pPr>
            <w:r w:rsidRPr="00810531">
              <w:rPr>
                <w:rFonts w:ascii="Book Antiqua" w:hAnsi="Book Antiqua"/>
              </w:rPr>
              <w:t>10</w:t>
            </w:r>
          </w:p>
        </w:tc>
        <w:tc>
          <w:tcPr>
            <w:tcW w:w="1252" w:type="dxa"/>
            <w:tcBorders>
              <w:top w:val="nil"/>
              <w:left w:val="nil"/>
              <w:bottom w:val="nil"/>
              <w:right w:val="nil"/>
            </w:tcBorders>
            <w:shd w:val="clear" w:color="auto" w:fill="auto"/>
            <w:noWrap/>
          </w:tcPr>
          <w:p w14:paraId="0E15289D" w14:textId="77777777" w:rsidR="00813AC2" w:rsidRPr="00AB7425" w:rsidRDefault="00813AC2" w:rsidP="00813AC2">
            <w:pPr>
              <w:jc w:val="center"/>
              <w:rPr>
                <w:rFonts w:ascii="Book Antiqua" w:hAnsi="Book Antiqua"/>
              </w:rPr>
            </w:pPr>
            <w:r w:rsidRPr="00AB7425">
              <w:rPr>
                <w:rFonts w:ascii="Book Antiqua" w:hAnsi="Book Antiqua"/>
              </w:rPr>
              <w:t>771,089</w:t>
            </w:r>
          </w:p>
        </w:tc>
        <w:tc>
          <w:tcPr>
            <w:tcW w:w="1603" w:type="dxa"/>
            <w:tcBorders>
              <w:top w:val="nil"/>
              <w:left w:val="nil"/>
              <w:bottom w:val="nil"/>
              <w:right w:val="nil"/>
            </w:tcBorders>
            <w:shd w:val="clear" w:color="auto" w:fill="auto"/>
            <w:noWrap/>
            <w:vAlign w:val="bottom"/>
          </w:tcPr>
          <w:p w14:paraId="5CC3C25C" w14:textId="77777777" w:rsidR="00813AC2" w:rsidRPr="00B93FA6" w:rsidRDefault="00813AC2" w:rsidP="00813AC2">
            <w:pPr>
              <w:jc w:val="center"/>
              <w:rPr>
                <w:rFonts w:ascii="Book Antiqua" w:hAnsi="Book Antiqua"/>
              </w:rPr>
            </w:pPr>
            <w:r w:rsidRPr="00B93FA6">
              <w:rPr>
                <w:rFonts w:ascii="Book Antiqua" w:hAnsi="Book Antiqua"/>
              </w:rPr>
              <w:t>869,017</w:t>
            </w:r>
          </w:p>
        </w:tc>
        <w:tc>
          <w:tcPr>
            <w:tcW w:w="1433" w:type="dxa"/>
            <w:tcBorders>
              <w:top w:val="nil"/>
              <w:left w:val="nil"/>
              <w:bottom w:val="nil"/>
              <w:right w:val="nil"/>
            </w:tcBorders>
            <w:shd w:val="clear" w:color="auto" w:fill="auto"/>
            <w:noWrap/>
            <w:vAlign w:val="bottom"/>
          </w:tcPr>
          <w:p w14:paraId="5D042D85" w14:textId="77777777" w:rsidR="00813AC2" w:rsidRPr="00810531" w:rsidRDefault="00813AC2" w:rsidP="00813AC2">
            <w:pPr>
              <w:jc w:val="center"/>
              <w:rPr>
                <w:rFonts w:ascii="Book Antiqua" w:hAnsi="Book Antiqua"/>
              </w:rPr>
            </w:pPr>
            <w:r>
              <w:rPr>
                <w:rFonts w:ascii="Book Antiqua" w:hAnsi="Book Antiqua"/>
              </w:rPr>
              <w:t>12</w:t>
            </w:r>
            <w:r w:rsidRPr="00810531">
              <w:rPr>
                <w:rFonts w:ascii="Book Antiqua" w:hAnsi="Book Antiqua"/>
              </w:rPr>
              <w:t>.</w:t>
            </w:r>
            <w:r>
              <w:rPr>
                <w:rFonts w:ascii="Book Antiqua" w:hAnsi="Book Antiqua"/>
              </w:rPr>
              <w:t>7</w:t>
            </w:r>
            <w:r w:rsidRPr="00810531">
              <w:rPr>
                <w:rFonts w:ascii="Book Antiqua" w:hAnsi="Book Antiqua"/>
              </w:rPr>
              <w:t>%</w:t>
            </w:r>
          </w:p>
        </w:tc>
      </w:tr>
      <w:tr w:rsidR="00813AC2" w:rsidRPr="009F0301" w14:paraId="0566354F" w14:textId="77777777" w:rsidTr="00813AC2">
        <w:trPr>
          <w:trHeight w:val="300"/>
          <w:jc w:val="center"/>
        </w:trPr>
        <w:tc>
          <w:tcPr>
            <w:tcW w:w="1270" w:type="dxa"/>
            <w:tcBorders>
              <w:top w:val="nil"/>
              <w:left w:val="nil"/>
              <w:right w:val="nil"/>
            </w:tcBorders>
            <w:shd w:val="clear" w:color="auto" w:fill="auto"/>
            <w:vAlign w:val="bottom"/>
          </w:tcPr>
          <w:p w14:paraId="0556BFC2" w14:textId="77777777" w:rsidR="00813AC2" w:rsidRPr="00810531" w:rsidRDefault="00813AC2" w:rsidP="00813AC2">
            <w:pPr>
              <w:jc w:val="center"/>
              <w:rPr>
                <w:rFonts w:ascii="Book Antiqua" w:hAnsi="Book Antiqua"/>
              </w:rPr>
            </w:pPr>
            <w:r w:rsidRPr="00810531">
              <w:rPr>
                <w:rFonts w:ascii="Book Antiqua" w:hAnsi="Book Antiqua"/>
              </w:rPr>
              <w:t>11</w:t>
            </w:r>
          </w:p>
        </w:tc>
        <w:tc>
          <w:tcPr>
            <w:tcW w:w="1252" w:type="dxa"/>
            <w:tcBorders>
              <w:top w:val="nil"/>
              <w:left w:val="nil"/>
              <w:right w:val="nil"/>
            </w:tcBorders>
            <w:shd w:val="clear" w:color="auto" w:fill="auto"/>
            <w:noWrap/>
          </w:tcPr>
          <w:p w14:paraId="6C0721E8" w14:textId="77777777" w:rsidR="00813AC2" w:rsidRPr="00AB7425" w:rsidRDefault="00813AC2" w:rsidP="00813AC2">
            <w:pPr>
              <w:jc w:val="center"/>
              <w:rPr>
                <w:rFonts w:ascii="Book Antiqua" w:hAnsi="Book Antiqua"/>
              </w:rPr>
            </w:pPr>
            <w:r w:rsidRPr="00AB7425">
              <w:rPr>
                <w:rFonts w:ascii="Book Antiqua" w:hAnsi="Book Antiqua"/>
              </w:rPr>
              <w:t>774,247</w:t>
            </w:r>
          </w:p>
        </w:tc>
        <w:tc>
          <w:tcPr>
            <w:tcW w:w="1603" w:type="dxa"/>
            <w:tcBorders>
              <w:top w:val="nil"/>
              <w:left w:val="nil"/>
              <w:right w:val="nil"/>
            </w:tcBorders>
            <w:shd w:val="clear" w:color="auto" w:fill="auto"/>
            <w:noWrap/>
            <w:vAlign w:val="bottom"/>
          </w:tcPr>
          <w:p w14:paraId="68ACB678" w14:textId="77777777" w:rsidR="00813AC2" w:rsidRPr="00B93FA6" w:rsidRDefault="00813AC2" w:rsidP="00813AC2">
            <w:pPr>
              <w:jc w:val="center"/>
              <w:rPr>
                <w:rFonts w:ascii="Book Antiqua" w:hAnsi="Book Antiqua"/>
              </w:rPr>
            </w:pPr>
            <w:r w:rsidRPr="00B93FA6">
              <w:rPr>
                <w:rFonts w:ascii="Book Antiqua" w:hAnsi="Book Antiqua"/>
              </w:rPr>
              <w:t>872,576</w:t>
            </w:r>
          </w:p>
        </w:tc>
        <w:tc>
          <w:tcPr>
            <w:tcW w:w="1433" w:type="dxa"/>
            <w:tcBorders>
              <w:top w:val="nil"/>
              <w:left w:val="nil"/>
              <w:right w:val="nil"/>
            </w:tcBorders>
            <w:shd w:val="clear" w:color="auto" w:fill="auto"/>
            <w:noWrap/>
            <w:vAlign w:val="bottom"/>
          </w:tcPr>
          <w:p w14:paraId="44E0F6BB" w14:textId="77777777" w:rsidR="00813AC2" w:rsidRPr="00810531" w:rsidRDefault="00813AC2" w:rsidP="00813AC2">
            <w:pPr>
              <w:jc w:val="center"/>
              <w:rPr>
                <w:rFonts w:ascii="Book Antiqua" w:hAnsi="Book Antiqua"/>
              </w:rPr>
            </w:pPr>
            <w:r>
              <w:rPr>
                <w:rFonts w:ascii="Book Antiqua" w:hAnsi="Book Antiqua"/>
              </w:rPr>
              <w:t>12</w:t>
            </w:r>
            <w:r w:rsidRPr="00810531">
              <w:rPr>
                <w:rFonts w:ascii="Book Antiqua" w:hAnsi="Book Antiqua"/>
              </w:rPr>
              <w:t>.</w:t>
            </w:r>
            <w:r>
              <w:rPr>
                <w:rFonts w:ascii="Book Antiqua" w:hAnsi="Book Antiqua"/>
              </w:rPr>
              <w:t>7</w:t>
            </w:r>
            <w:r w:rsidRPr="00810531">
              <w:rPr>
                <w:rFonts w:ascii="Book Antiqua" w:hAnsi="Book Antiqua"/>
              </w:rPr>
              <w:t>%</w:t>
            </w:r>
          </w:p>
        </w:tc>
      </w:tr>
      <w:tr w:rsidR="00813AC2" w:rsidRPr="009F0301" w14:paraId="3FD104E2" w14:textId="77777777" w:rsidTr="00813AC2">
        <w:trPr>
          <w:trHeight w:val="315"/>
          <w:jc w:val="center"/>
        </w:trPr>
        <w:tc>
          <w:tcPr>
            <w:tcW w:w="1270" w:type="dxa"/>
            <w:tcBorders>
              <w:top w:val="nil"/>
              <w:left w:val="nil"/>
              <w:bottom w:val="nil"/>
              <w:right w:val="nil"/>
            </w:tcBorders>
            <w:shd w:val="clear" w:color="auto" w:fill="auto"/>
            <w:vAlign w:val="bottom"/>
          </w:tcPr>
          <w:p w14:paraId="3D17D537" w14:textId="77777777" w:rsidR="00813AC2" w:rsidRPr="00810531" w:rsidRDefault="00813AC2" w:rsidP="00813AC2">
            <w:pPr>
              <w:jc w:val="center"/>
              <w:rPr>
                <w:rFonts w:ascii="Book Antiqua" w:hAnsi="Book Antiqua"/>
              </w:rPr>
            </w:pPr>
            <w:r w:rsidRPr="00810531">
              <w:rPr>
                <w:rFonts w:ascii="Book Antiqua" w:hAnsi="Book Antiqua"/>
              </w:rPr>
              <w:t>12</w:t>
            </w:r>
          </w:p>
        </w:tc>
        <w:tc>
          <w:tcPr>
            <w:tcW w:w="1252" w:type="dxa"/>
            <w:tcBorders>
              <w:top w:val="nil"/>
              <w:left w:val="nil"/>
              <w:bottom w:val="nil"/>
              <w:right w:val="nil"/>
            </w:tcBorders>
            <w:shd w:val="clear" w:color="auto" w:fill="auto"/>
            <w:noWrap/>
          </w:tcPr>
          <w:p w14:paraId="565B7DB0" w14:textId="77777777" w:rsidR="00813AC2" w:rsidRPr="00AB7425" w:rsidRDefault="00813AC2" w:rsidP="00813AC2">
            <w:pPr>
              <w:jc w:val="center"/>
              <w:rPr>
                <w:rFonts w:ascii="Book Antiqua" w:hAnsi="Book Antiqua"/>
              </w:rPr>
            </w:pPr>
            <w:r w:rsidRPr="00AB7425">
              <w:rPr>
                <w:rFonts w:ascii="Book Antiqua" w:hAnsi="Book Antiqua"/>
              </w:rPr>
              <w:t>1,085,543</w:t>
            </w:r>
          </w:p>
        </w:tc>
        <w:tc>
          <w:tcPr>
            <w:tcW w:w="1603" w:type="dxa"/>
            <w:tcBorders>
              <w:top w:val="nil"/>
              <w:left w:val="nil"/>
              <w:bottom w:val="nil"/>
              <w:right w:val="nil"/>
            </w:tcBorders>
            <w:shd w:val="clear" w:color="auto" w:fill="auto"/>
            <w:noWrap/>
            <w:vAlign w:val="bottom"/>
          </w:tcPr>
          <w:p w14:paraId="0EF1B98F" w14:textId="77777777" w:rsidR="00813AC2" w:rsidRPr="00B93FA6" w:rsidRDefault="00813AC2" w:rsidP="00813AC2">
            <w:pPr>
              <w:jc w:val="center"/>
              <w:rPr>
                <w:rFonts w:ascii="Book Antiqua" w:hAnsi="Book Antiqua"/>
              </w:rPr>
            </w:pPr>
            <w:r w:rsidRPr="00B93FA6">
              <w:rPr>
                <w:rFonts w:ascii="Book Antiqua" w:hAnsi="Book Antiqua"/>
              </w:rPr>
              <w:t>1,223,407</w:t>
            </w:r>
          </w:p>
        </w:tc>
        <w:tc>
          <w:tcPr>
            <w:tcW w:w="1433" w:type="dxa"/>
            <w:tcBorders>
              <w:top w:val="nil"/>
              <w:left w:val="nil"/>
              <w:bottom w:val="nil"/>
              <w:right w:val="nil"/>
            </w:tcBorders>
            <w:shd w:val="clear" w:color="auto" w:fill="auto"/>
            <w:noWrap/>
            <w:vAlign w:val="bottom"/>
          </w:tcPr>
          <w:p w14:paraId="6A6856A6" w14:textId="77777777" w:rsidR="00813AC2" w:rsidRPr="00810531" w:rsidRDefault="00813AC2" w:rsidP="00813AC2">
            <w:pPr>
              <w:jc w:val="center"/>
              <w:rPr>
                <w:rFonts w:ascii="Book Antiqua" w:hAnsi="Book Antiqua"/>
              </w:rPr>
            </w:pPr>
            <w:r>
              <w:rPr>
                <w:rFonts w:ascii="Book Antiqua" w:hAnsi="Book Antiqua"/>
              </w:rPr>
              <w:t>12</w:t>
            </w:r>
            <w:r w:rsidRPr="00810531">
              <w:rPr>
                <w:rFonts w:ascii="Book Antiqua" w:hAnsi="Book Antiqua"/>
              </w:rPr>
              <w:t>.</w:t>
            </w:r>
            <w:r>
              <w:rPr>
                <w:rFonts w:ascii="Book Antiqua" w:hAnsi="Book Antiqua"/>
              </w:rPr>
              <w:t>7</w:t>
            </w:r>
            <w:r w:rsidRPr="00810531">
              <w:rPr>
                <w:rFonts w:ascii="Book Antiqua" w:hAnsi="Book Antiqua"/>
              </w:rPr>
              <w:t>%</w:t>
            </w:r>
          </w:p>
        </w:tc>
      </w:tr>
      <w:tr w:rsidR="00813AC2" w:rsidRPr="009F0301" w14:paraId="0A1B495B" w14:textId="77777777" w:rsidTr="00813AC2">
        <w:trPr>
          <w:trHeight w:val="315"/>
          <w:jc w:val="center"/>
        </w:trPr>
        <w:tc>
          <w:tcPr>
            <w:tcW w:w="1270" w:type="dxa"/>
            <w:tcBorders>
              <w:top w:val="nil"/>
              <w:left w:val="nil"/>
              <w:bottom w:val="double" w:sz="4" w:space="0" w:color="0000FF"/>
              <w:right w:val="nil"/>
            </w:tcBorders>
            <w:shd w:val="clear" w:color="auto" w:fill="auto"/>
            <w:vAlign w:val="bottom"/>
          </w:tcPr>
          <w:p w14:paraId="50B51F21" w14:textId="77777777" w:rsidR="00813AC2" w:rsidRPr="00810531" w:rsidRDefault="00813AC2" w:rsidP="00813AC2">
            <w:pPr>
              <w:jc w:val="center"/>
              <w:rPr>
                <w:rFonts w:ascii="Book Antiqua" w:hAnsi="Book Antiqua"/>
              </w:rPr>
            </w:pPr>
            <w:r>
              <w:rPr>
                <w:rFonts w:ascii="Book Antiqua" w:hAnsi="Book Antiqua"/>
              </w:rPr>
              <w:t>13</w:t>
            </w:r>
          </w:p>
        </w:tc>
        <w:tc>
          <w:tcPr>
            <w:tcW w:w="1252" w:type="dxa"/>
            <w:tcBorders>
              <w:top w:val="nil"/>
              <w:left w:val="nil"/>
              <w:bottom w:val="double" w:sz="4" w:space="0" w:color="0000FF"/>
              <w:right w:val="nil"/>
            </w:tcBorders>
            <w:shd w:val="clear" w:color="auto" w:fill="auto"/>
            <w:noWrap/>
          </w:tcPr>
          <w:p w14:paraId="4F780456" w14:textId="77777777" w:rsidR="00813AC2" w:rsidRPr="00AB7425" w:rsidRDefault="00813AC2" w:rsidP="00813AC2">
            <w:pPr>
              <w:jc w:val="center"/>
              <w:rPr>
                <w:rFonts w:ascii="Book Antiqua" w:hAnsi="Book Antiqua"/>
              </w:rPr>
            </w:pPr>
            <w:r w:rsidRPr="00AB7425">
              <w:rPr>
                <w:rFonts w:ascii="Book Antiqua" w:hAnsi="Book Antiqua"/>
              </w:rPr>
              <w:t>1,305,192</w:t>
            </w:r>
          </w:p>
        </w:tc>
        <w:tc>
          <w:tcPr>
            <w:tcW w:w="1603" w:type="dxa"/>
            <w:tcBorders>
              <w:top w:val="nil"/>
              <w:left w:val="nil"/>
              <w:bottom w:val="double" w:sz="4" w:space="0" w:color="0000FF"/>
              <w:right w:val="nil"/>
            </w:tcBorders>
            <w:shd w:val="clear" w:color="auto" w:fill="auto"/>
            <w:noWrap/>
            <w:vAlign w:val="bottom"/>
          </w:tcPr>
          <w:p w14:paraId="4A4B3ECB" w14:textId="77777777" w:rsidR="00813AC2" w:rsidRPr="00B93FA6" w:rsidRDefault="00813AC2" w:rsidP="00813AC2">
            <w:pPr>
              <w:jc w:val="center"/>
              <w:rPr>
                <w:rFonts w:ascii="Book Antiqua" w:hAnsi="Book Antiqua"/>
              </w:rPr>
            </w:pPr>
            <w:r w:rsidRPr="00B93FA6">
              <w:rPr>
                <w:rFonts w:ascii="Book Antiqua" w:hAnsi="Book Antiqua"/>
              </w:rPr>
              <w:t>1,470,951</w:t>
            </w:r>
          </w:p>
        </w:tc>
        <w:tc>
          <w:tcPr>
            <w:tcW w:w="1433" w:type="dxa"/>
            <w:tcBorders>
              <w:top w:val="nil"/>
              <w:left w:val="nil"/>
              <w:bottom w:val="double" w:sz="4" w:space="0" w:color="0000FF"/>
              <w:right w:val="nil"/>
            </w:tcBorders>
            <w:shd w:val="clear" w:color="auto" w:fill="auto"/>
            <w:noWrap/>
            <w:vAlign w:val="bottom"/>
          </w:tcPr>
          <w:p w14:paraId="43B4CCA2" w14:textId="77777777" w:rsidR="00813AC2" w:rsidRPr="00810531" w:rsidRDefault="00813AC2" w:rsidP="00813AC2">
            <w:pPr>
              <w:jc w:val="center"/>
              <w:rPr>
                <w:rFonts w:ascii="Book Antiqua" w:hAnsi="Book Antiqua"/>
              </w:rPr>
            </w:pPr>
            <w:r>
              <w:rPr>
                <w:rFonts w:ascii="Book Antiqua" w:hAnsi="Book Antiqua"/>
              </w:rPr>
              <w:t>12</w:t>
            </w:r>
            <w:r w:rsidRPr="00810531">
              <w:rPr>
                <w:rFonts w:ascii="Book Antiqua" w:hAnsi="Book Antiqua"/>
              </w:rPr>
              <w:t>.</w:t>
            </w:r>
            <w:r>
              <w:rPr>
                <w:rFonts w:ascii="Book Antiqua" w:hAnsi="Book Antiqua"/>
              </w:rPr>
              <w:t>7</w:t>
            </w:r>
            <w:r w:rsidRPr="00810531">
              <w:rPr>
                <w:rFonts w:ascii="Book Antiqua" w:hAnsi="Book Antiqua"/>
              </w:rPr>
              <w:t>%</w:t>
            </w:r>
          </w:p>
        </w:tc>
      </w:tr>
    </w:tbl>
    <w:p w14:paraId="53D9EE1E" w14:textId="77777777" w:rsidR="00813AC2" w:rsidRPr="009F0301" w:rsidRDefault="00813AC2" w:rsidP="00813AC2">
      <w:pPr>
        <w:jc w:val="both"/>
        <w:rPr>
          <w:rFonts w:ascii="Book Antiqua" w:hAnsi="Book Antiqua"/>
        </w:rPr>
      </w:pPr>
    </w:p>
    <w:p w14:paraId="6A90C85E" w14:textId="77777777" w:rsidR="00813AC2" w:rsidRDefault="00813AC2" w:rsidP="00813AC2">
      <w:pPr>
        <w:jc w:val="both"/>
        <w:rPr>
          <w:rFonts w:ascii="Book Antiqua" w:hAnsi="Book Antiqua"/>
        </w:rPr>
      </w:pPr>
      <w:r w:rsidRPr="009F0301">
        <w:rPr>
          <w:rFonts w:ascii="Book Antiqua" w:hAnsi="Book Antiqua"/>
        </w:rPr>
        <w:t xml:space="preserve">Al comparar las escalas presupuestarias </w:t>
      </w:r>
      <w:r>
        <w:rPr>
          <w:rFonts w:ascii="Book Antiqua" w:hAnsi="Book Antiqua"/>
        </w:rPr>
        <w:t xml:space="preserve">(de formulación) </w:t>
      </w:r>
      <w:r w:rsidRPr="009F0301">
        <w:rPr>
          <w:rFonts w:ascii="Book Antiqua" w:hAnsi="Book Antiqua"/>
        </w:rPr>
        <w:t>del 20</w:t>
      </w:r>
      <w:r>
        <w:rPr>
          <w:rFonts w:ascii="Book Antiqua" w:hAnsi="Book Antiqua"/>
        </w:rPr>
        <w:t>15</w:t>
      </w:r>
      <w:r w:rsidRPr="009F0301">
        <w:rPr>
          <w:rFonts w:ascii="Book Antiqua" w:hAnsi="Book Antiqua"/>
        </w:rPr>
        <w:t xml:space="preserve"> contra las del 20</w:t>
      </w:r>
      <w:r>
        <w:rPr>
          <w:rFonts w:ascii="Book Antiqua" w:hAnsi="Book Antiqua"/>
        </w:rPr>
        <w:t>16</w:t>
      </w:r>
      <w:r w:rsidRPr="009F0301">
        <w:rPr>
          <w:rFonts w:ascii="Book Antiqua" w:hAnsi="Book Antiqua"/>
        </w:rPr>
        <w:t xml:space="preserve">, </w:t>
      </w:r>
      <w:r>
        <w:rPr>
          <w:rFonts w:ascii="Book Antiqua" w:hAnsi="Book Antiqua"/>
        </w:rPr>
        <w:t>tal y como s</w:t>
      </w:r>
      <w:r w:rsidRPr="009F0301">
        <w:rPr>
          <w:rFonts w:ascii="Book Antiqua" w:hAnsi="Book Antiqua"/>
        </w:rPr>
        <w:t xml:space="preserve">e observa </w:t>
      </w:r>
      <w:r>
        <w:rPr>
          <w:rFonts w:ascii="Book Antiqua" w:hAnsi="Book Antiqua"/>
        </w:rPr>
        <w:t xml:space="preserve">en la tabla siguiente, </w:t>
      </w:r>
      <w:r w:rsidRPr="009F0301">
        <w:rPr>
          <w:rFonts w:ascii="Book Antiqua" w:hAnsi="Book Antiqua"/>
        </w:rPr>
        <w:t xml:space="preserve">las categorías no crecieron en la misma proporción, </w:t>
      </w:r>
      <w:r>
        <w:rPr>
          <w:rFonts w:ascii="Book Antiqua" w:hAnsi="Book Antiqua"/>
        </w:rPr>
        <w:t>en razón de que durante el 2015</w:t>
      </w:r>
      <w:r w:rsidRPr="009F0301">
        <w:rPr>
          <w:rFonts w:ascii="Book Antiqua" w:hAnsi="Book Antiqua"/>
        </w:rPr>
        <w:t xml:space="preserve"> </w:t>
      </w:r>
      <w:r>
        <w:rPr>
          <w:rFonts w:ascii="Book Antiqua" w:hAnsi="Book Antiqua"/>
        </w:rPr>
        <w:t>los incrementos salariales realmente aplicados en planilla a cada categoría fueron diferentes entre sí.</w:t>
      </w:r>
      <w:r w:rsidRPr="009F0301">
        <w:rPr>
          <w:rFonts w:ascii="Book Antiqua" w:hAnsi="Book Antiqua"/>
        </w:rPr>
        <w:t xml:space="preserve"> </w:t>
      </w:r>
    </w:p>
    <w:p w14:paraId="4F63A553" w14:textId="77777777" w:rsidR="00813AC2" w:rsidRDefault="00813AC2" w:rsidP="00813AC2">
      <w:pPr>
        <w:jc w:val="both"/>
        <w:rPr>
          <w:rFonts w:ascii="Book Antiqua" w:hAnsi="Book Antiqua"/>
        </w:rPr>
      </w:pPr>
    </w:p>
    <w:p w14:paraId="3CCA3F90" w14:textId="77777777" w:rsidR="00813AC2" w:rsidRDefault="00813AC2" w:rsidP="00813AC2">
      <w:pPr>
        <w:jc w:val="both"/>
        <w:rPr>
          <w:rFonts w:ascii="Book Antiqua" w:hAnsi="Book Antiqua"/>
        </w:rPr>
      </w:pPr>
      <w:r w:rsidRPr="009F0301">
        <w:rPr>
          <w:rFonts w:ascii="Book Antiqua" w:hAnsi="Book Antiqua"/>
        </w:rPr>
        <w:t>E</w:t>
      </w:r>
      <w:r>
        <w:rPr>
          <w:rFonts w:ascii="Book Antiqua" w:hAnsi="Book Antiqua"/>
        </w:rPr>
        <w:t>n e</w:t>
      </w:r>
      <w:r w:rsidRPr="009F0301">
        <w:rPr>
          <w:rFonts w:ascii="Book Antiqua" w:hAnsi="Book Antiqua"/>
        </w:rPr>
        <w:t xml:space="preserve">l siguiente cuadro </w:t>
      </w:r>
      <w:r>
        <w:rPr>
          <w:rFonts w:ascii="Book Antiqua" w:hAnsi="Book Antiqua"/>
        </w:rPr>
        <w:t>se presentan en detalle las diferencias de las escalas salariales presupuestarias del 2016 versus 2015</w:t>
      </w:r>
      <w:r w:rsidRPr="00D64E29">
        <w:rPr>
          <w:rFonts w:ascii="Book Antiqua" w:hAnsi="Book Antiqua"/>
        </w:rPr>
        <w:t xml:space="preserve">, donde </w:t>
      </w:r>
      <w:r>
        <w:rPr>
          <w:rFonts w:ascii="Book Antiqua" w:hAnsi="Book Antiqua"/>
        </w:rPr>
        <w:t>las categorías cuyos aumentos salariales en planilla fueron del 60% del valor del IPC del 2014 (3.08%), las variaciones presupuestarias oscilan alrededor del 1.24%, a las categorías que recibieron el ajuste del doble de la inflación (10.26%) las variaciones corresponden al 8.29% y el resto de categorías varían en forma distinta debido a que recibieron el ajuste directo del mercado, con excepción de la categoría 12, que recibió un ajuste retroactivo para los años 2014 y 2015 que no había sido considerado en la formulación del presupuesto 2015.</w:t>
      </w:r>
    </w:p>
    <w:p w14:paraId="35F54C0F" w14:textId="2620A06A" w:rsidR="00EE55AD" w:rsidRDefault="00EE55AD">
      <w:pPr>
        <w:rPr>
          <w:rFonts w:ascii="Book Antiqua" w:hAnsi="Book Antiqua"/>
        </w:rPr>
      </w:pPr>
      <w:r>
        <w:rPr>
          <w:rFonts w:ascii="Book Antiqua" w:hAnsi="Book Antiqua"/>
        </w:rPr>
        <w:br w:type="page"/>
      </w:r>
    </w:p>
    <w:tbl>
      <w:tblPr>
        <w:tblW w:w="6113" w:type="dxa"/>
        <w:jc w:val="center"/>
        <w:tblLook w:val="0000" w:firstRow="0" w:lastRow="0" w:firstColumn="0" w:lastColumn="0" w:noHBand="0" w:noVBand="0"/>
      </w:tblPr>
      <w:tblGrid>
        <w:gridCol w:w="1348"/>
        <w:gridCol w:w="1701"/>
        <w:gridCol w:w="1701"/>
        <w:gridCol w:w="1363"/>
      </w:tblGrid>
      <w:tr w:rsidR="00813AC2" w:rsidRPr="00EE55AD" w14:paraId="54BFEEEE" w14:textId="77777777" w:rsidTr="00813AC2">
        <w:trPr>
          <w:trHeight w:val="348"/>
          <w:jc w:val="center"/>
        </w:trPr>
        <w:tc>
          <w:tcPr>
            <w:tcW w:w="6113" w:type="dxa"/>
            <w:gridSpan w:val="4"/>
            <w:tcBorders>
              <w:top w:val="nil"/>
              <w:left w:val="nil"/>
              <w:bottom w:val="double" w:sz="4" w:space="0" w:color="0000FF"/>
              <w:right w:val="nil"/>
            </w:tcBorders>
            <w:shd w:val="clear" w:color="auto" w:fill="auto"/>
            <w:noWrap/>
            <w:vAlign w:val="center"/>
          </w:tcPr>
          <w:p w14:paraId="1E739FA3" w14:textId="77777777" w:rsidR="00813AC2" w:rsidRPr="00EE55AD" w:rsidRDefault="00813AC2" w:rsidP="00813AC2">
            <w:pPr>
              <w:jc w:val="center"/>
              <w:rPr>
                <w:rFonts w:ascii="Book Antiqua" w:hAnsi="Book Antiqua"/>
                <w:b/>
                <w:bCs/>
                <w:sz w:val="20"/>
              </w:rPr>
            </w:pPr>
            <w:r w:rsidRPr="00EE55AD">
              <w:rPr>
                <w:rFonts w:ascii="Book Antiqua" w:hAnsi="Book Antiqua"/>
                <w:sz w:val="20"/>
              </w:rPr>
              <w:lastRenderedPageBreak/>
              <w:br w:type="page"/>
            </w:r>
            <w:r w:rsidRPr="00EE55AD">
              <w:rPr>
                <w:rFonts w:ascii="Book Antiqua" w:hAnsi="Book Antiqua"/>
                <w:sz w:val="20"/>
              </w:rPr>
              <w:br w:type="page"/>
            </w:r>
            <w:r w:rsidRPr="00EE55AD">
              <w:rPr>
                <w:rFonts w:ascii="Book Antiqua" w:hAnsi="Book Antiqua"/>
                <w:sz w:val="20"/>
              </w:rPr>
              <w:br w:type="page"/>
            </w:r>
            <w:r w:rsidRPr="00EE55AD">
              <w:rPr>
                <w:rFonts w:ascii="Book Antiqua" w:hAnsi="Book Antiqua"/>
                <w:b/>
                <w:bCs/>
                <w:sz w:val="20"/>
              </w:rPr>
              <w:t>Escala Regular Global Presupuestaria</w:t>
            </w:r>
          </w:p>
        </w:tc>
      </w:tr>
      <w:tr w:rsidR="00813AC2" w:rsidRPr="00EE55AD" w14:paraId="5D76AF93" w14:textId="77777777" w:rsidTr="00813AC2">
        <w:trPr>
          <w:trHeight w:val="678"/>
          <w:jc w:val="center"/>
        </w:trPr>
        <w:tc>
          <w:tcPr>
            <w:tcW w:w="1348" w:type="dxa"/>
            <w:tcBorders>
              <w:top w:val="double" w:sz="4" w:space="0" w:color="0000FF"/>
              <w:bottom w:val="single" w:sz="4" w:space="0" w:color="0000FF"/>
            </w:tcBorders>
            <w:shd w:val="clear" w:color="auto" w:fill="auto"/>
            <w:vAlign w:val="center"/>
          </w:tcPr>
          <w:p w14:paraId="623DFB92" w14:textId="77777777" w:rsidR="00813AC2" w:rsidRPr="00EE55AD" w:rsidRDefault="00813AC2" w:rsidP="00813AC2">
            <w:pPr>
              <w:jc w:val="center"/>
              <w:rPr>
                <w:rFonts w:ascii="Book Antiqua" w:hAnsi="Book Antiqua"/>
                <w:b/>
                <w:bCs/>
                <w:sz w:val="20"/>
              </w:rPr>
            </w:pPr>
            <w:r w:rsidRPr="00EE55AD">
              <w:rPr>
                <w:rFonts w:ascii="Book Antiqua" w:hAnsi="Book Antiqua"/>
                <w:b/>
                <w:bCs/>
                <w:sz w:val="20"/>
              </w:rPr>
              <w:t>Categoría</w:t>
            </w:r>
          </w:p>
        </w:tc>
        <w:tc>
          <w:tcPr>
            <w:tcW w:w="1701" w:type="dxa"/>
            <w:tcBorders>
              <w:top w:val="double" w:sz="4" w:space="0" w:color="0000FF"/>
              <w:bottom w:val="single" w:sz="4" w:space="0" w:color="0000FF"/>
            </w:tcBorders>
            <w:shd w:val="clear" w:color="auto" w:fill="auto"/>
            <w:vAlign w:val="center"/>
          </w:tcPr>
          <w:p w14:paraId="7EE90B71" w14:textId="77777777" w:rsidR="00813AC2" w:rsidRPr="00EE55AD" w:rsidRDefault="00813AC2" w:rsidP="00813AC2">
            <w:pPr>
              <w:jc w:val="center"/>
              <w:rPr>
                <w:rFonts w:ascii="Book Antiqua" w:hAnsi="Book Antiqua"/>
                <w:b/>
                <w:bCs/>
                <w:sz w:val="20"/>
              </w:rPr>
            </w:pPr>
            <w:r w:rsidRPr="00EE55AD">
              <w:rPr>
                <w:rFonts w:ascii="Book Antiqua" w:hAnsi="Book Antiqua"/>
                <w:b/>
                <w:bCs/>
                <w:sz w:val="20"/>
              </w:rPr>
              <w:t>Formulación 2015</w:t>
            </w:r>
          </w:p>
        </w:tc>
        <w:tc>
          <w:tcPr>
            <w:tcW w:w="1701" w:type="dxa"/>
            <w:tcBorders>
              <w:top w:val="double" w:sz="4" w:space="0" w:color="0000FF"/>
              <w:bottom w:val="single" w:sz="4" w:space="0" w:color="0000FF"/>
            </w:tcBorders>
            <w:shd w:val="clear" w:color="auto" w:fill="auto"/>
            <w:vAlign w:val="center"/>
          </w:tcPr>
          <w:p w14:paraId="4D68F479" w14:textId="77777777" w:rsidR="00813AC2" w:rsidRPr="00EE55AD" w:rsidRDefault="00813AC2" w:rsidP="00813AC2">
            <w:pPr>
              <w:jc w:val="center"/>
              <w:rPr>
                <w:rFonts w:ascii="Book Antiqua" w:hAnsi="Book Antiqua"/>
                <w:b/>
                <w:bCs/>
                <w:sz w:val="20"/>
              </w:rPr>
            </w:pPr>
            <w:r w:rsidRPr="00EE55AD">
              <w:rPr>
                <w:rFonts w:ascii="Book Antiqua" w:hAnsi="Book Antiqua"/>
                <w:b/>
                <w:bCs/>
                <w:sz w:val="20"/>
              </w:rPr>
              <w:t>Formulación 2016</w:t>
            </w:r>
          </w:p>
        </w:tc>
        <w:tc>
          <w:tcPr>
            <w:tcW w:w="1363" w:type="dxa"/>
            <w:tcBorders>
              <w:top w:val="double" w:sz="4" w:space="0" w:color="0000FF"/>
              <w:bottom w:val="single" w:sz="4" w:space="0" w:color="0000FF"/>
            </w:tcBorders>
            <w:shd w:val="clear" w:color="auto" w:fill="auto"/>
            <w:vAlign w:val="center"/>
          </w:tcPr>
          <w:p w14:paraId="4E779AB3" w14:textId="77777777" w:rsidR="00813AC2" w:rsidRPr="00EE55AD" w:rsidRDefault="00813AC2" w:rsidP="00813AC2">
            <w:pPr>
              <w:jc w:val="center"/>
              <w:rPr>
                <w:rFonts w:ascii="Book Antiqua" w:hAnsi="Book Antiqua"/>
                <w:b/>
                <w:bCs/>
                <w:sz w:val="20"/>
              </w:rPr>
            </w:pPr>
            <w:r w:rsidRPr="00EE55AD">
              <w:rPr>
                <w:rFonts w:ascii="Book Antiqua" w:hAnsi="Book Antiqua"/>
                <w:b/>
                <w:bCs/>
                <w:sz w:val="20"/>
              </w:rPr>
              <w:t>Variación</w:t>
            </w:r>
          </w:p>
        </w:tc>
      </w:tr>
      <w:tr w:rsidR="00813AC2" w:rsidRPr="00EE55AD" w14:paraId="6AD058A9" w14:textId="77777777" w:rsidTr="00813AC2">
        <w:trPr>
          <w:trHeight w:val="348"/>
          <w:jc w:val="center"/>
        </w:trPr>
        <w:tc>
          <w:tcPr>
            <w:tcW w:w="1348" w:type="dxa"/>
            <w:tcBorders>
              <w:top w:val="single" w:sz="4" w:space="0" w:color="0000FF"/>
              <w:left w:val="nil"/>
              <w:bottom w:val="nil"/>
              <w:right w:val="nil"/>
            </w:tcBorders>
            <w:shd w:val="clear" w:color="auto" w:fill="auto"/>
            <w:vAlign w:val="center"/>
          </w:tcPr>
          <w:p w14:paraId="2D3A7F7B"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01</w:t>
            </w:r>
          </w:p>
        </w:tc>
        <w:tc>
          <w:tcPr>
            <w:tcW w:w="1701" w:type="dxa"/>
            <w:tcBorders>
              <w:top w:val="single" w:sz="4" w:space="0" w:color="0000FF"/>
              <w:left w:val="nil"/>
              <w:bottom w:val="nil"/>
              <w:right w:val="nil"/>
            </w:tcBorders>
            <w:shd w:val="clear" w:color="auto" w:fill="auto"/>
            <w:noWrap/>
            <w:vAlign w:val="bottom"/>
          </w:tcPr>
          <w:p w14:paraId="38396CCC"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95,125</w:t>
            </w:r>
          </w:p>
        </w:tc>
        <w:tc>
          <w:tcPr>
            <w:tcW w:w="1701" w:type="dxa"/>
            <w:tcBorders>
              <w:top w:val="single" w:sz="4" w:space="0" w:color="0000FF"/>
              <w:left w:val="nil"/>
              <w:bottom w:val="nil"/>
              <w:right w:val="nil"/>
            </w:tcBorders>
            <w:shd w:val="clear" w:color="auto" w:fill="auto"/>
            <w:noWrap/>
            <w:vAlign w:val="center"/>
          </w:tcPr>
          <w:p w14:paraId="0E0FA328"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105,540</w:t>
            </w:r>
          </w:p>
        </w:tc>
        <w:tc>
          <w:tcPr>
            <w:tcW w:w="1363" w:type="dxa"/>
            <w:tcBorders>
              <w:top w:val="single" w:sz="4" w:space="0" w:color="0000FF"/>
              <w:left w:val="nil"/>
              <w:bottom w:val="nil"/>
              <w:right w:val="nil"/>
            </w:tcBorders>
            <w:shd w:val="clear" w:color="auto" w:fill="auto"/>
            <w:noWrap/>
            <w:vAlign w:val="bottom"/>
          </w:tcPr>
          <w:p w14:paraId="08F2EF3B" w14:textId="77777777" w:rsidR="00813AC2" w:rsidRPr="00EE55AD" w:rsidRDefault="00813AC2" w:rsidP="00813AC2">
            <w:pPr>
              <w:jc w:val="center"/>
              <w:rPr>
                <w:rFonts w:ascii="Book Antiqua" w:hAnsi="Book Antiqua" w:cs="Arial"/>
                <w:sz w:val="20"/>
                <w:szCs w:val="20"/>
              </w:rPr>
            </w:pPr>
            <w:r w:rsidRPr="00EE55AD">
              <w:rPr>
                <w:rFonts w:ascii="Book Antiqua" w:hAnsi="Book Antiqua" w:cs="Arial"/>
                <w:sz w:val="20"/>
                <w:szCs w:val="20"/>
              </w:rPr>
              <w:t>10.95%</w:t>
            </w:r>
          </w:p>
        </w:tc>
      </w:tr>
      <w:tr w:rsidR="00813AC2" w:rsidRPr="00EE55AD" w14:paraId="76A77600" w14:textId="77777777" w:rsidTr="00813AC2">
        <w:trPr>
          <w:trHeight w:val="348"/>
          <w:jc w:val="center"/>
        </w:trPr>
        <w:tc>
          <w:tcPr>
            <w:tcW w:w="1348" w:type="dxa"/>
            <w:tcBorders>
              <w:top w:val="nil"/>
              <w:left w:val="nil"/>
              <w:bottom w:val="nil"/>
              <w:right w:val="nil"/>
            </w:tcBorders>
            <w:shd w:val="clear" w:color="auto" w:fill="auto"/>
            <w:vAlign w:val="center"/>
          </w:tcPr>
          <w:p w14:paraId="55E64E5E"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02</w:t>
            </w:r>
          </w:p>
        </w:tc>
        <w:tc>
          <w:tcPr>
            <w:tcW w:w="1701" w:type="dxa"/>
            <w:tcBorders>
              <w:top w:val="nil"/>
              <w:left w:val="nil"/>
              <w:bottom w:val="nil"/>
              <w:right w:val="nil"/>
            </w:tcBorders>
            <w:shd w:val="clear" w:color="auto" w:fill="auto"/>
            <w:noWrap/>
            <w:vAlign w:val="bottom"/>
          </w:tcPr>
          <w:p w14:paraId="7F595977"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118,401</w:t>
            </w:r>
          </w:p>
        </w:tc>
        <w:tc>
          <w:tcPr>
            <w:tcW w:w="1701" w:type="dxa"/>
            <w:tcBorders>
              <w:top w:val="nil"/>
              <w:left w:val="nil"/>
              <w:bottom w:val="nil"/>
              <w:right w:val="nil"/>
            </w:tcBorders>
            <w:shd w:val="clear" w:color="auto" w:fill="auto"/>
            <w:noWrap/>
            <w:vAlign w:val="center"/>
          </w:tcPr>
          <w:p w14:paraId="21CA2AF6"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129,305</w:t>
            </w:r>
          </w:p>
        </w:tc>
        <w:tc>
          <w:tcPr>
            <w:tcW w:w="1363" w:type="dxa"/>
            <w:tcBorders>
              <w:top w:val="nil"/>
              <w:left w:val="nil"/>
              <w:bottom w:val="nil"/>
              <w:right w:val="nil"/>
            </w:tcBorders>
            <w:shd w:val="clear" w:color="auto" w:fill="auto"/>
            <w:noWrap/>
            <w:vAlign w:val="bottom"/>
          </w:tcPr>
          <w:p w14:paraId="63DED53D" w14:textId="77777777" w:rsidR="00813AC2" w:rsidRPr="00EE55AD" w:rsidRDefault="00813AC2" w:rsidP="00813AC2">
            <w:pPr>
              <w:jc w:val="center"/>
              <w:rPr>
                <w:rFonts w:ascii="Book Antiqua" w:hAnsi="Book Antiqua" w:cs="Arial"/>
                <w:sz w:val="20"/>
                <w:szCs w:val="20"/>
              </w:rPr>
            </w:pPr>
            <w:r w:rsidRPr="00EE55AD">
              <w:rPr>
                <w:rFonts w:ascii="Book Antiqua" w:hAnsi="Book Antiqua" w:cs="Arial"/>
                <w:sz w:val="20"/>
                <w:szCs w:val="20"/>
              </w:rPr>
              <w:t>9.21%</w:t>
            </w:r>
          </w:p>
        </w:tc>
      </w:tr>
      <w:tr w:rsidR="00813AC2" w:rsidRPr="00EE55AD" w14:paraId="0801747D" w14:textId="77777777" w:rsidTr="00813AC2">
        <w:trPr>
          <w:trHeight w:val="348"/>
          <w:jc w:val="center"/>
        </w:trPr>
        <w:tc>
          <w:tcPr>
            <w:tcW w:w="1348" w:type="dxa"/>
            <w:tcBorders>
              <w:top w:val="nil"/>
              <w:left w:val="nil"/>
              <w:bottom w:val="nil"/>
              <w:right w:val="nil"/>
            </w:tcBorders>
            <w:shd w:val="clear" w:color="auto" w:fill="auto"/>
            <w:vAlign w:val="center"/>
          </w:tcPr>
          <w:p w14:paraId="1166CCF9"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03</w:t>
            </w:r>
          </w:p>
        </w:tc>
        <w:tc>
          <w:tcPr>
            <w:tcW w:w="1701" w:type="dxa"/>
            <w:tcBorders>
              <w:top w:val="nil"/>
              <w:left w:val="nil"/>
              <w:bottom w:val="nil"/>
              <w:right w:val="nil"/>
            </w:tcBorders>
            <w:shd w:val="clear" w:color="auto" w:fill="auto"/>
            <w:noWrap/>
            <w:vAlign w:val="bottom"/>
          </w:tcPr>
          <w:p w14:paraId="2FD22062"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134,706</w:t>
            </w:r>
          </w:p>
        </w:tc>
        <w:tc>
          <w:tcPr>
            <w:tcW w:w="1701" w:type="dxa"/>
            <w:tcBorders>
              <w:top w:val="nil"/>
              <w:left w:val="nil"/>
              <w:bottom w:val="nil"/>
              <w:right w:val="nil"/>
            </w:tcBorders>
            <w:shd w:val="clear" w:color="auto" w:fill="auto"/>
            <w:noWrap/>
            <w:vAlign w:val="center"/>
          </w:tcPr>
          <w:p w14:paraId="2B3124B9"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139,722</w:t>
            </w:r>
          </w:p>
        </w:tc>
        <w:tc>
          <w:tcPr>
            <w:tcW w:w="1363" w:type="dxa"/>
            <w:tcBorders>
              <w:top w:val="nil"/>
              <w:left w:val="nil"/>
              <w:bottom w:val="nil"/>
              <w:right w:val="nil"/>
            </w:tcBorders>
            <w:shd w:val="clear" w:color="auto" w:fill="auto"/>
            <w:noWrap/>
            <w:vAlign w:val="bottom"/>
          </w:tcPr>
          <w:p w14:paraId="175A8DDF" w14:textId="77777777" w:rsidR="00813AC2" w:rsidRPr="00EE55AD" w:rsidRDefault="00813AC2" w:rsidP="00813AC2">
            <w:pPr>
              <w:jc w:val="center"/>
              <w:rPr>
                <w:rFonts w:ascii="Book Antiqua" w:hAnsi="Book Antiqua" w:cs="Arial"/>
                <w:sz w:val="20"/>
                <w:szCs w:val="20"/>
              </w:rPr>
            </w:pPr>
            <w:r w:rsidRPr="00EE55AD">
              <w:rPr>
                <w:rFonts w:ascii="Book Antiqua" w:hAnsi="Book Antiqua" w:cs="Arial"/>
                <w:sz w:val="20"/>
                <w:szCs w:val="20"/>
              </w:rPr>
              <w:t>3.72%</w:t>
            </w:r>
          </w:p>
        </w:tc>
      </w:tr>
      <w:tr w:rsidR="00813AC2" w:rsidRPr="00EE55AD" w14:paraId="6966E4AB" w14:textId="77777777" w:rsidTr="00813AC2">
        <w:trPr>
          <w:trHeight w:val="348"/>
          <w:jc w:val="center"/>
        </w:trPr>
        <w:tc>
          <w:tcPr>
            <w:tcW w:w="1348" w:type="dxa"/>
            <w:tcBorders>
              <w:top w:val="nil"/>
              <w:left w:val="nil"/>
              <w:bottom w:val="nil"/>
              <w:right w:val="nil"/>
            </w:tcBorders>
            <w:shd w:val="clear" w:color="auto" w:fill="auto"/>
            <w:vAlign w:val="center"/>
          </w:tcPr>
          <w:p w14:paraId="3ADE9609"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04</w:t>
            </w:r>
          </w:p>
        </w:tc>
        <w:tc>
          <w:tcPr>
            <w:tcW w:w="1701" w:type="dxa"/>
            <w:tcBorders>
              <w:top w:val="nil"/>
              <w:left w:val="nil"/>
              <w:bottom w:val="nil"/>
              <w:right w:val="nil"/>
            </w:tcBorders>
            <w:shd w:val="clear" w:color="auto" w:fill="auto"/>
            <w:noWrap/>
            <w:vAlign w:val="bottom"/>
          </w:tcPr>
          <w:p w14:paraId="082E9AB5"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163,667</w:t>
            </w:r>
          </w:p>
        </w:tc>
        <w:tc>
          <w:tcPr>
            <w:tcW w:w="1701" w:type="dxa"/>
            <w:tcBorders>
              <w:top w:val="nil"/>
              <w:left w:val="nil"/>
              <w:bottom w:val="nil"/>
              <w:right w:val="nil"/>
            </w:tcBorders>
            <w:shd w:val="clear" w:color="auto" w:fill="auto"/>
            <w:noWrap/>
            <w:vAlign w:val="center"/>
          </w:tcPr>
          <w:p w14:paraId="7EF1D782"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181,587</w:t>
            </w:r>
          </w:p>
        </w:tc>
        <w:tc>
          <w:tcPr>
            <w:tcW w:w="1363" w:type="dxa"/>
            <w:tcBorders>
              <w:top w:val="nil"/>
              <w:left w:val="nil"/>
              <w:bottom w:val="nil"/>
              <w:right w:val="nil"/>
            </w:tcBorders>
            <w:shd w:val="clear" w:color="auto" w:fill="auto"/>
            <w:noWrap/>
            <w:vAlign w:val="bottom"/>
          </w:tcPr>
          <w:p w14:paraId="1EE59A8D" w14:textId="77777777" w:rsidR="00813AC2" w:rsidRPr="00EE55AD" w:rsidRDefault="00813AC2" w:rsidP="00813AC2">
            <w:pPr>
              <w:jc w:val="center"/>
              <w:rPr>
                <w:rFonts w:ascii="Book Antiqua" w:hAnsi="Book Antiqua" w:cs="Arial"/>
                <w:sz w:val="20"/>
                <w:szCs w:val="20"/>
              </w:rPr>
            </w:pPr>
            <w:r w:rsidRPr="00EE55AD">
              <w:rPr>
                <w:rFonts w:ascii="Book Antiqua" w:hAnsi="Book Antiqua" w:cs="Arial"/>
                <w:sz w:val="20"/>
                <w:szCs w:val="20"/>
              </w:rPr>
              <w:t>10.95%</w:t>
            </w:r>
          </w:p>
        </w:tc>
      </w:tr>
      <w:tr w:rsidR="00813AC2" w:rsidRPr="00EE55AD" w14:paraId="0BDFE74D" w14:textId="77777777" w:rsidTr="00813AC2">
        <w:trPr>
          <w:trHeight w:val="348"/>
          <w:jc w:val="center"/>
        </w:trPr>
        <w:tc>
          <w:tcPr>
            <w:tcW w:w="1348" w:type="dxa"/>
            <w:tcBorders>
              <w:top w:val="nil"/>
              <w:left w:val="nil"/>
              <w:bottom w:val="nil"/>
              <w:right w:val="nil"/>
            </w:tcBorders>
            <w:shd w:val="clear" w:color="auto" w:fill="auto"/>
            <w:vAlign w:val="center"/>
          </w:tcPr>
          <w:p w14:paraId="2B5F5EF8"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05</w:t>
            </w:r>
          </w:p>
        </w:tc>
        <w:tc>
          <w:tcPr>
            <w:tcW w:w="1701" w:type="dxa"/>
            <w:tcBorders>
              <w:top w:val="nil"/>
              <w:left w:val="nil"/>
              <w:bottom w:val="nil"/>
              <w:right w:val="nil"/>
            </w:tcBorders>
            <w:shd w:val="clear" w:color="auto" w:fill="auto"/>
            <w:noWrap/>
            <w:vAlign w:val="bottom"/>
          </w:tcPr>
          <w:p w14:paraId="04CB2AB0"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188,069</w:t>
            </w:r>
          </w:p>
        </w:tc>
        <w:tc>
          <w:tcPr>
            <w:tcW w:w="1701" w:type="dxa"/>
            <w:tcBorders>
              <w:top w:val="nil"/>
              <w:left w:val="nil"/>
              <w:bottom w:val="nil"/>
              <w:right w:val="nil"/>
            </w:tcBorders>
            <w:shd w:val="clear" w:color="auto" w:fill="auto"/>
            <w:noWrap/>
            <w:vAlign w:val="center"/>
          </w:tcPr>
          <w:p w14:paraId="01314635"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195,074</w:t>
            </w:r>
          </w:p>
        </w:tc>
        <w:tc>
          <w:tcPr>
            <w:tcW w:w="1363" w:type="dxa"/>
            <w:tcBorders>
              <w:top w:val="nil"/>
              <w:left w:val="nil"/>
              <w:bottom w:val="nil"/>
              <w:right w:val="nil"/>
            </w:tcBorders>
            <w:shd w:val="clear" w:color="auto" w:fill="auto"/>
            <w:noWrap/>
            <w:vAlign w:val="bottom"/>
          </w:tcPr>
          <w:p w14:paraId="5A5F0F6E" w14:textId="77777777" w:rsidR="00813AC2" w:rsidRPr="00EE55AD" w:rsidRDefault="00813AC2" w:rsidP="00813AC2">
            <w:pPr>
              <w:jc w:val="center"/>
              <w:rPr>
                <w:rFonts w:ascii="Book Antiqua" w:hAnsi="Book Antiqua" w:cs="Arial"/>
                <w:sz w:val="20"/>
                <w:szCs w:val="20"/>
              </w:rPr>
            </w:pPr>
            <w:r w:rsidRPr="00EE55AD">
              <w:rPr>
                <w:rFonts w:ascii="Book Antiqua" w:hAnsi="Book Antiqua" w:cs="Arial"/>
                <w:sz w:val="20"/>
                <w:szCs w:val="20"/>
              </w:rPr>
              <w:t>3.72%</w:t>
            </w:r>
          </w:p>
        </w:tc>
      </w:tr>
      <w:tr w:rsidR="00813AC2" w:rsidRPr="00EE55AD" w14:paraId="4C0A7D2B" w14:textId="77777777" w:rsidTr="00813AC2">
        <w:trPr>
          <w:trHeight w:val="348"/>
          <w:jc w:val="center"/>
        </w:trPr>
        <w:tc>
          <w:tcPr>
            <w:tcW w:w="1348" w:type="dxa"/>
            <w:tcBorders>
              <w:top w:val="nil"/>
              <w:left w:val="nil"/>
              <w:bottom w:val="nil"/>
              <w:right w:val="nil"/>
            </w:tcBorders>
            <w:shd w:val="clear" w:color="auto" w:fill="auto"/>
            <w:vAlign w:val="center"/>
          </w:tcPr>
          <w:p w14:paraId="27B928FA"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06</w:t>
            </w:r>
          </w:p>
        </w:tc>
        <w:tc>
          <w:tcPr>
            <w:tcW w:w="1701" w:type="dxa"/>
            <w:tcBorders>
              <w:top w:val="nil"/>
              <w:left w:val="nil"/>
              <w:bottom w:val="nil"/>
              <w:right w:val="nil"/>
            </w:tcBorders>
            <w:shd w:val="clear" w:color="auto" w:fill="auto"/>
            <w:noWrap/>
            <w:vAlign w:val="bottom"/>
          </w:tcPr>
          <w:p w14:paraId="0565B48C"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266,319</w:t>
            </w:r>
          </w:p>
        </w:tc>
        <w:tc>
          <w:tcPr>
            <w:tcW w:w="1701" w:type="dxa"/>
            <w:tcBorders>
              <w:top w:val="nil"/>
              <w:left w:val="nil"/>
              <w:bottom w:val="nil"/>
              <w:right w:val="nil"/>
            </w:tcBorders>
            <w:shd w:val="clear" w:color="auto" w:fill="auto"/>
            <w:noWrap/>
            <w:vAlign w:val="center"/>
          </w:tcPr>
          <w:p w14:paraId="29CC1B67"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276,238</w:t>
            </w:r>
          </w:p>
        </w:tc>
        <w:tc>
          <w:tcPr>
            <w:tcW w:w="1363" w:type="dxa"/>
            <w:tcBorders>
              <w:top w:val="nil"/>
              <w:left w:val="nil"/>
              <w:bottom w:val="nil"/>
              <w:right w:val="nil"/>
            </w:tcBorders>
            <w:shd w:val="clear" w:color="auto" w:fill="auto"/>
            <w:noWrap/>
            <w:vAlign w:val="bottom"/>
          </w:tcPr>
          <w:p w14:paraId="16440F45" w14:textId="77777777" w:rsidR="00813AC2" w:rsidRPr="00EE55AD" w:rsidRDefault="00813AC2" w:rsidP="00813AC2">
            <w:pPr>
              <w:jc w:val="center"/>
              <w:rPr>
                <w:rFonts w:ascii="Book Antiqua" w:hAnsi="Book Antiqua" w:cs="Arial"/>
                <w:sz w:val="20"/>
                <w:szCs w:val="20"/>
              </w:rPr>
            </w:pPr>
            <w:r w:rsidRPr="00EE55AD">
              <w:rPr>
                <w:rFonts w:ascii="Book Antiqua" w:hAnsi="Book Antiqua" w:cs="Arial"/>
                <w:sz w:val="20"/>
                <w:szCs w:val="20"/>
              </w:rPr>
              <w:t>3.72%</w:t>
            </w:r>
          </w:p>
        </w:tc>
      </w:tr>
      <w:tr w:rsidR="00813AC2" w:rsidRPr="00EE55AD" w14:paraId="2CBF0B3C" w14:textId="77777777" w:rsidTr="00813AC2">
        <w:trPr>
          <w:trHeight w:val="348"/>
          <w:jc w:val="center"/>
        </w:trPr>
        <w:tc>
          <w:tcPr>
            <w:tcW w:w="1348" w:type="dxa"/>
            <w:tcBorders>
              <w:top w:val="nil"/>
              <w:left w:val="nil"/>
              <w:bottom w:val="nil"/>
              <w:right w:val="nil"/>
            </w:tcBorders>
            <w:shd w:val="clear" w:color="auto" w:fill="auto"/>
            <w:vAlign w:val="center"/>
          </w:tcPr>
          <w:p w14:paraId="4970AFD0"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07</w:t>
            </w:r>
          </w:p>
        </w:tc>
        <w:tc>
          <w:tcPr>
            <w:tcW w:w="1701" w:type="dxa"/>
            <w:tcBorders>
              <w:top w:val="nil"/>
              <w:left w:val="nil"/>
              <w:bottom w:val="nil"/>
              <w:right w:val="nil"/>
            </w:tcBorders>
            <w:shd w:val="clear" w:color="auto" w:fill="auto"/>
            <w:noWrap/>
            <w:vAlign w:val="bottom"/>
          </w:tcPr>
          <w:p w14:paraId="0315AC90"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330,234</w:t>
            </w:r>
          </w:p>
        </w:tc>
        <w:tc>
          <w:tcPr>
            <w:tcW w:w="1701" w:type="dxa"/>
            <w:tcBorders>
              <w:top w:val="nil"/>
              <w:left w:val="nil"/>
              <w:bottom w:val="nil"/>
              <w:right w:val="nil"/>
            </w:tcBorders>
            <w:shd w:val="clear" w:color="auto" w:fill="auto"/>
            <w:noWrap/>
            <w:vAlign w:val="center"/>
          </w:tcPr>
          <w:p w14:paraId="7189B64C"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342,532</w:t>
            </w:r>
          </w:p>
        </w:tc>
        <w:tc>
          <w:tcPr>
            <w:tcW w:w="1363" w:type="dxa"/>
            <w:tcBorders>
              <w:top w:val="nil"/>
              <w:left w:val="nil"/>
              <w:bottom w:val="nil"/>
              <w:right w:val="nil"/>
            </w:tcBorders>
            <w:shd w:val="clear" w:color="auto" w:fill="auto"/>
            <w:noWrap/>
            <w:vAlign w:val="bottom"/>
          </w:tcPr>
          <w:p w14:paraId="4B238556" w14:textId="77777777" w:rsidR="00813AC2" w:rsidRPr="00EE55AD" w:rsidRDefault="00813AC2" w:rsidP="00813AC2">
            <w:pPr>
              <w:jc w:val="center"/>
              <w:rPr>
                <w:rFonts w:ascii="Book Antiqua" w:hAnsi="Book Antiqua" w:cs="Arial"/>
                <w:sz w:val="20"/>
                <w:szCs w:val="20"/>
              </w:rPr>
            </w:pPr>
            <w:r w:rsidRPr="00EE55AD">
              <w:rPr>
                <w:rFonts w:ascii="Book Antiqua" w:hAnsi="Book Antiqua" w:cs="Arial"/>
                <w:sz w:val="20"/>
                <w:szCs w:val="20"/>
              </w:rPr>
              <w:t>3.72%</w:t>
            </w:r>
          </w:p>
        </w:tc>
      </w:tr>
      <w:tr w:rsidR="00813AC2" w:rsidRPr="00EE55AD" w14:paraId="40AB7C00" w14:textId="77777777" w:rsidTr="00813AC2">
        <w:trPr>
          <w:trHeight w:val="348"/>
          <w:jc w:val="center"/>
        </w:trPr>
        <w:tc>
          <w:tcPr>
            <w:tcW w:w="1348" w:type="dxa"/>
            <w:tcBorders>
              <w:top w:val="nil"/>
              <w:left w:val="nil"/>
              <w:bottom w:val="nil"/>
              <w:right w:val="nil"/>
            </w:tcBorders>
            <w:shd w:val="clear" w:color="auto" w:fill="auto"/>
            <w:vAlign w:val="center"/>
          </w:tcPr>
          <w:p w14:paraId="381ED237"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08</w:t>
            </w:r>
          </w:p>
        </w:tc>
        <w:tc>
          <w:tcPr>
            <w:tcW w:w="1701" w:type="dxa"/>
            <w:tcBorders>
              <w:top w:val="nil"/>
              <w:left w:val="nil"/>
              <w:bottom w:val="nil"/>
              <w:right w:val="nil"/>
            </w:tcBorders>
            <w:shd w:val="clear" w:color="auto" w:fill="auto"/>
            <w:noWrap/>
            <w:vAlign w:val="bottom"/>
          </w:tcPr>
          <w:p w14:paraId="11736485"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398,692</w:t>
            </w:r>
          </w:p>
        </w:tc>
        <w:tc>
          <w:tcPr>
            <w:tcW w:w="1701" w:type="dxa"/>
            <w:tcBorders>
              <w:top w:val="nil"/>
              <w:left w:val="nil"/>
              <w:bottom w:val="nil"/>
              <w:right w:val="nil"/>
            </w:tcBorders>
            <w:shd w:val="clear" w:color="auto" w:fill="auto"/>
            <w:noWrap/>
            <w:vAlign w:val="center"/>
          </w:tcPr>
          <w:p w14:paraId="12E4024F"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419,801</w:t>
            </w:r>
          </w:p>
        </w:tc>
        <w:tc>
          <w:tcPr>
            <w:tcW w:w="1363" w:type="dxa"/>
            <w:tcBorders>
              <w:top w:val="nil"/>
              <w:left w:val="nil"/>
              <w:bottom w:val="nil"/>
              <w:right w:val="nil"/>
            </w:tcBorders>
            <w:shd w:val="clear" w:color="auto" w:fill="auto"/>
            <w:noWrap/>
            <w:vAlign w:val="bottom"/>
          </w:tcPr>
          <w:p w14:paraId="503948D2" w14:textId="77777777" w:rsidR="00813AC2" w:rsidRPr="00EE55AD" w:rsidRDefault="00813AC2" w:rsidP="00813AC2">
            <w:pPr>
              <w:jc w:val="center"/>
              <w:rPr>
                <w:rFonts w:ascii="Book Antiqua" w:hAnsi="Book Antiqua" w:cs="Arial"/>
                <w:sz w:val="20"/>
                <w:szCs w:val="20"/>
              </w:rPr>
            </w:pPr>
            <w:r w:rsidRPr="00EE55AD">
              <w:rPr>
                <w:rFonts w:ascii="Book Antiqua" w:hAnsi="Book Antiqua" w:cs="Arial"/>
                <w:sz w:val="20"/>
                <w:szCs w:val="20"/>
              </w:rPr>
              <w:t>5.29%</w:t>
            </w:r>
          </w:p>
        </w:tc>
      </w:tr>
      <w:tr w:rsidR="00813AC2" w:rsidRPr="00EE55AD" w14:paraId="1F36CA38" w14:textId="77777777" w:rsidTr="00813AC2">
        <w:trPr>
          <w:trHeight w:val="348"/>
          <w:jc w:val="center"/>
        </w:trPr>
        <w:tc>
          <w:tcPr>
            <w:tcW w:w="1348" w:type="dxa"/>
            <w:tcBorders>
              <w:top w:val="nil"/>
              <w:left w:val="nil"/>
              <w:bottom w:val="nil"/>
              <w:right w:val="nil"/>
            </w:tcBorders>
            <w:shd w:val="clear" w:color="auto" w:fill="auto"/>
            <w:vAlign w:val="center"/>
          </w:tcPr>
          <w:p w14:paraId="0DC0F26E"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09</w:t>
            </w:r>
          </w:p>
        </w:tc>
        <w:tc>
          <w:tcPr>
            <w:tcW w:w="1701" w:type="dxa"/>
            <w:tcBorders>
              <w:top w:val="nil"/>
              <w:left w:val="nil"/>
              <w:bottom w:val="nil"/>
              <w:right w:val="nil"/>
            </w:tcBorders>
            <w:shd w:val="clear" w:color="auto" w:fill="auto"/>
            <w:noWrap/>
            <w:vAlign w:val="bottom"/>
          </w:tcPr>
          <w:p w14:paraId="3E21250D"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499,391</w:t>
            </w:r>
          </w:p>
        </w:tc>
        <w:tc>
          <w:tcPr>
            <w:tcW w:w="1701" w:type="dxa"/>
            <w:tcBorders>
              <w:top w:val="nil"/>
              <w:left w:val="nil"/>
              <w:bottom w:val="nil"/>
              <w:right w:val="nil"/>
            </w:tcBorders>
            <w:shd w:val="clear" w:color="auto" w:fill="auto"/>
            <w:noWrap/>
            <w:vAlign w:val="center"/>
          </w:tcPr>
          <w:p w14:paraId="18973B51"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517,989</w:t>
            </w:r>
          </w:p>
        </w:tc>
        <w:tc>
          <w:tcPr>
            <w:tcW w:w="1363" w:type="dxa"/>
            <w:tcBorders>
              <w:top w:val="nil"/>
              <w:left w:val="nil"/>
              <w:bottom w:val="nil"/>
              <w:right w:val="nil"/>
            </w:tcBorders>
            <w:shd w:val="clear" w:color="auto" w:fill="auto"/>
            <w:noWrap/>
            <w:vAlign w:val="bottom"/>
          </w:tcPr>
          <w:p w14:paraId="7CCB52DC" w14:textId="77777777" w:rsidR="00813AC2" w:rsidRPr="00EE55AD" w:rsidRDefault="00813AC2" w:rsidP="00813AC2">
            <w:pPr>
              <w:jc w:val="center"/>
              <w:rPr>
                <w:rFonts w:ascii="Book Antiqua" w:hAnsi="Book Antiqua" w:cs="Arial"/>
                <w:sz w:val="20"/>
                <w:szCs w:val="20"/>
              </w:rPr>
            </w:pPr>
            <w:r w:rsidRPr="00EE55AD">
              <w:rPr>
                <w:rFonts w:ascii="Book Antiqua" w:hAnsi="Book Antiqua" w:cs="Arial"/>
                <w:sz w:val="20"/>
                <w:szCs w:val="20"/>
              </w:rPr>
              <w:t>3.72%</w:t>
            </w:r>
          </w:p>
        </w:tc>
      </w:tr>
      <w:tr w:rsidR="00813AC2" w:rsidRPr="00EE55AD" w14:paraId="1D223DE6" w14:textId="77777777" w:rsidTr="00813AC2">
        <w:trPr>
          <w:trHeight w:val="348"/>
          <w:jc w:val="center"/>
        </w:trPr>
        <w:tc>
          <w:tcPr>
            <w:tcW w:w="1348" w:type="dxa"/>
            <w:tcBorders>
              <w:top w:val="nil"/>
              <w:left w:val="nil"/>
              <w:bottom w:val="nil"/>
              <w:right w:val="nil"/>
            </w:tcBorders>
            <w:shd w:val="clear" w:color="auto" w:fill="auto"/>
            <w:vAlign w:val="center"/>
          </w:tcPr>
          <w:p w14:paraId="13F88968"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10</w:t>
            </w:r>
          </w:p>
        </w:tc>
        <w:tc>
          <w:tcPr>
            <w:tcW w:w="1701" w:type="dxa"/>
            <w:tcBorders>
              <w:top w:val="nil"/>
              <w:left w:val="nil"/>
              <w:bottom w:val="nil"/>
              <w:right w:val="nil"/>
            </w:tcBorders>
            <w:shd w:val="clear" w:color="auto" w:fill="auto"/>
            <w:noWrap/>
            <w:vAlign w:val="bottom"/>
          </w:tcPr>
          <w:p w14:paraId="40BC2410"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783,257</w:t>
            </w:r>
          </w:p>
        </w:tc>
        <w:tc>
          <w:tcPr>
            <w:tcW w:w="1701" w:type="dxa"/>
            <w:tcBorders>
              <w:top w:val="nil"/>
              <w:left w:val="nil"/>
              <w:bottom w:val="nil"/>
              <w:right w:val="nil"/>
            </w:tcBorders>
            <w:shd w:val="clear" w:color="auto" w:fill="auto"/>
            <w:noWrap/>
            <w:vAlign w:val="center"/>
          </w:tcPr>
          <w:p w14:paraId="0CC04605"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869,017</w:t>
            </w:r>
          </w:p>
        </w:tc>
        <w:tc>
          <w:tcPr>
            <w:tcW w:w="1363" w:type="dxa"/>
            <w:tcBorders>
              <w:top w:val="nil"/>
              <w:left w:val="nil"/>
              <w:bottom w:val="nil"/>
              <w:right w:val="nil"/>
            </w:tcBorders>
            <w:shd w:val="clear" w:color="auto" w:fill="auto"/>
            <w:noWrap/>
            <w:vAlign w:val="bottom"/>
          </w:tcPr>
          <w:p w14:paraId="474AD6E1" w14:textId="77777777" w:rsidR="00813AC2" w:rsidRPr="00EE55AD" w:rsidRDefault="00813AC2" w:rsidP="00813AC2">
            <w:pPr>
              <w:jc w:val="center"/>
              <w:rPr>
                <w:rFonts w:ascii="Book Antiqua" w:hAnsi="Book Antiqua" w:cs="Arial"/>
                <w:sz w:val="20"/>
                <w:szCs w:val="20"/>
              </w:rPr>
            </w:pPr>
            <w:r w:rsidRPr="00EE55AD">
              <w:rPr>
                <w:rFonts w:ascii="Book Antiqua" w:hAnsi="Book Antiqua" w:cs="Arial"/>
                <w:sz w:val="20"/>
                <w:szCs w:val="20"/>
              </w:rPr>
              <w:t>10.95%</w:t>
            </w:r>
          </w:p>
        </w:tc>
      </w:tr>
      <w:tr w:rsidR="00813AC2" w:rsidRPr="00EE55AD" w14:paraId="74E2A319" w14:textId="77777777" w:rsidTr="00813AC2">
        <w:trPr>
          <w:trHeight w:val="348"/>
          <w:jc w:val="center"/>
        </w:trPr>
        <w:tc>
          <w:tcPr>
            <w:tcW w:w="1348" w:type="dxa"/>
            <w:tcBorders>
              <w:top w:val="nil"/>
              <w:left w:val="nil"/>
              <w:right w:val="nil"/>
            </w:tcBorders>
            <w:shd w:val="clear" w:color="auto" w:fill="auto"/>
            <w:vAlign w:val="center"/>
          </w:tcPr>
          <w:p w14:paraId="45AD50F5"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11</w:t>
            </w:r>
          </w:p>
        </w:tc>
        <w:tc>
          <w:tcPr>
            <w:tcW w:w="1701" w:type="dxa"/>
            <w:tcBorders>
              <w:top w:val="nil"/>
              <w:left w:val="nil"/>
              <w:right w:val="nil"/>
            </w:tcBorders>
            <w:shd w:val="clear" w:color="auto" w:fill="auto"/>
            <w:noWrap/>
            <w:vAlign w:val="bottom"/>
          </w:tcPr>
          <w:p w14:paraId="2507ADE2"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841,246</w:t>
            </w:r>
          </w:p>
        </w:tc>
        <w:tc>
          <w:tcPr>
            <w:tcW w:w="1701" w:type="dxa"/>
            <w:tcBorders>
              <w:top w:val="nil"/>
              <w:left w:val="nil"/>
              <w:right w:val="nil"/>
            </w:tcBorders>
            <w:shd w:val="clear" w:color="auto" w:fill="auto"/>
            <w:noWrap/>
            <w:vAlign w:val="center"/>
          </w:tcPr>
          <w:p w14:paraId="32A679A4"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872,576</w:t>
            </w:r>
          </w:p>
        </w:tc>
        <w:tc>
          <w:tcPr>
            <w:tcW w:w="1363" w:type="dxa"/>
            <w:tcBorders>
              <w:top w:val="nil"/>
              <w:left w:val="nil"/>
              <w:right w:val="nil"/>
            </w:tcBorders>
            <w:shd w:val="clear" w:color="auto" w:fill="auto"/>
            <w:noWrap/>
            <w:vAlign w:val="bottom"/>
          </w:tcPr>
          <w:p w14:paraId="37954772" w14:textId="77777777" w:rsidR="00813AC2" w:rsidRPr="00EE55AD" w:rsidRDefault="00813AC2" w:rsidP="00813AC2">
            <w:pPr>
              <w:jc w:val="center"/>
              <w:rPr>
                <w:rFonts w:ascii="Book Antiqua" w:hAnsi="Book Antiqua" w:cs="Arial"/>
                <w:sz w:val="20"/>
                <w:szCs w:val="20"/>
              </w:rPr>
            </w:pPr>
            <w:r w:rsidRPr="00EE55AD">
              <w:rPr>
                <w:rFonts w:ascii="Book Antiqua" w:hAnsi="Book Antiqua" w:cs="Arial"/>
                <w:sz w:val="20"/>
                <w:szCs w:val="20"/>
              </w:rPr>
              <w:t>3.72%</w:t>
            </w:r>
          </w:p>
        </w:tc>
      </w:tr>
      <w:tr w:rsidR="00813AC2" w:rsidRPr="00EE55AD" w14:paraId="4D15AD4B" w14:textId="77777777" w:rsidTr="00813AC2">
        <w:trPr>
          <w:trHeight w:val="365"/>
          <w:jc w:val="center"/>
        </w:trPr>
        <w:tc>
          <w:tcPr>
            <w:tcW w:w="1348" w:type="dxa"/>
            <w:tcBorders>
              <w:top w:val="nil"/>
              <w:left w:val="nil"/>
              <w:bottom w:val="nil"/>
              <w:right w:val="nil"/>
            </w:tcBorders>
            <w:shd w:val="clear" w:color="auto" w:fill="auto"/>
            <w:vAlign w:val="center"/>
          </w:tcPr>
          <w:p w14:paraId="3597E93F"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12</w:t>
            </w:r>
          </w:p>
        </w:tc>
        <w:tc>
          <w:tcPr>
            <w:tcW w:w="1701" w:type="dxa"/>
            <w:tcBorders>
              <w:top w:val="nil"/>
              <w:left w:val="nil"/>
              <w:bottom w:val="nil"/>
              <w:right w:val="nil"/>
            </w:tcBorders>
            <w:shd w:val="clear" w:color="auto" w:fill="auto"/>
            <w:noWrap/>
            <w:vAlign w:val="bottom"/>
          </w:tcPr>
          <w:p w14:paraId="1FDBF6C5"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1,087,377</w:t>
            </w:r>
          </w:p>
        </w:tc>
        <w:tc>
          <w:tcPr>
            <w:tcW w:w="1701" w:type="dxa"/>
            <w:tcBorders>
              <w:top w:val="nil"/>
              <w:left w:val="nil"/>
              <w:bottom w:val="nil"/>
              <w:right w:val="nil"/>
            </w:tcBorders>
            <w:shd w:val="clear" w:color="auto" w:fill="auto"/>
            <w:noWrap/>
            <w:vAlign w:val="center"/>
          </w:tcPr>
          <w:p w14:paraId="5496B816"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1,223,407</w:t>
            </w:r>
          </w:p>
        </w:tc>
        <w:tc>
          <w:tcPr>
            <w:tcW w:w="1363" w:type="dxa"/>
            <w:tcBorders>
              <w:top w:val="nil"/>
              <w:left w:val="nil"/>
              <w:bottom w:val="nil"/>
              <w:right w:val="nil"/>
            </w:tcBorders>
            <w:shd w:val="clear" w:color="auto" w:fill="auto"/>
            <w:noWrap/>
            <w:vAlign w:val="bottom"/>
          </w:tcPr>
          <w:p w14:paraId="3520F9A3" w14:textId="77777777" w:rsidR="00813AC2" w:rsidRPr="00EE55AD" w:rsidRDefault="00813AC2" w:rsidP="00813AC2">
            <w:pPr>
              <w:jc w:val="center"/>
              <w:rPr>
                <w:rFonts w:ascii="Book Antiqua" w:hAnsi="Book Antiqua" w:cs="Arial"/>
                <w:sz w:val="20"/>
                <w:szCs w:val="20"/>
              </w:rPr>
            </w:pPr>
            <w:r w:rsidRPr="00EE55AD">
              <w:rPr>
                <w:rFonts w:ascii="Book Antiqua" w:hAnsi="Book Antiqua" w:cs="Arial"/>
                <w:sz w:val="20"/>
                <w:szCs w:val="20"/>
              </w:rPr>
              <w:t>12.51%</w:t>
            </w:r>
          </w:p>
        </w:tc>
      </w:tr>
      <w:tr w:rsidR="00813AC2" w:rsidRPr="00EE55AD" w14:paraId="5967D98C" w14:textId="77777777" w:rsidTr="00813AC2">
        <w:trPr>
          <w:trHeight w:val="365"/>
          <w:jc w:val="center"/>
        </w:trPr>
        <w:tc>
          <w:tcPr>
            <w:tcW w:w="1348" w:type="dxa"/>
            <w:tcBorders>
              <w:top w:val="nil"/>
              <w:left w:val="nil"/>
              <w:bottom w:val="single" w:sz="8" w:space="0" w:color="0000FF"/>
              <w:right w:val="nil"/>
            </w:tcBorders>
            <w:shd w:val="clear" w:color="auto" w:fill="auto"/>
            <w:vAlign w:val="center"/>
          </w:tcPr>
          <w:p w14:paraId="53A5F03C"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13</w:t>
            </w:r>
          </w:p>
        </w:tc>
        <w:tc>
          <w:tcPr>
            <w:tcW w:w="1701" w:type="dxa"/>
            <w:tcBorders>
              <w:top w:val="nil"/>
              <w:left w:val="nil"/>
              <w:bottom w:val="single" w:sz="8" w:space="0" w:color="0000FF"/>
              <w:right w:val="nil"/>
            </w:tcBorders>
            <w:shd w:val="clear" w:color="auto" w:fill="auto"/>
            <w:noWrap/>
            <w:vAlign w:val="center"/>
          </w:tcPr>
          <w:p w14:paraId="1FFE0D68"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NA</w:t>
            </w:r>
          </w:p>
        </w:tc>
        <w:tc>
          <w:tcPr>
            <w:tcW w:w="1701" w:type="dxa"/>
            <w:tcBorders>
              <w:top w:val="nil"/>
              <w:left w:val="nil"/>
              <w:bottom w:val="single" w:sz="8" w:space="0" w:color="0000FF"/>
              <w:right w:val="nil"/>
            </w:tcBorders>
            <w:shd w:val="clear" w:color="auto" w:fill="auto"/>
            <w:noWrap/>
            <w:vAlign w:val="center"/>
          </w:tcPr>
          <w:p w14:paraId="70551FED"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1,470,951</w:t>
            </w:r>
          </w:p>
        </w:tc>
        <w:tc>
          <w:tcPr>
            <w:tcW w:w="1363" w:type="dxa"/>
            <w:tcBorders>
              <w:top w:val="nil"/>
              <w:left w:val="nil"/>
              <w:bottom w:val="single" w:sz="8" w:space="0" w:color="0000FF"/>
              <w:right w:val="nil"/>
            </w:tcBorders>
            <w:shd w:val="clear" w:color="auto" w:fill="auto"/>
            <w:noWrap/>
            <w:vAlign w:val="center"/>
          </w:tcPr>
          <w:p w14:paraId="0CB6BC70" w14:textId="77777777" w:rsidR="00813AC2" w:rsidRPr="00EE55AD" w:rsidRDefault="00813AC2" w:rsidP="00813AC2">
            <w:pPr>
              <w:spacing w:before="120"/>
              <w:jc w:val="center"/>
              <w:rPr>
                <w:rFonts w:ascii="Book Antiqua" w:hAnsi="Book Antiqua"/>
                <w:sz w:val="20"/>
                <w:szCs w:val="22"/>
              </w:rPr>
            </w:pPr>
            <w:r w:rsidRPr="00EE55AD">
              <w:rPr>
                <w:rFonts w:ascii="Book Antiqua" w:hAnsi="Book Antiqua"/>
                <w:sz w:val="20"/>
                <w:szCs w:val="22"/>
              </w:rPr>
              <w:t>--</w:t>
            </w:r>
          </w:p>
        </w:tc>
      </w:tr>
    </w:tbl>
    <w:p w14:paraId="0011A6EE" w14:textId="77777777" w:rsidR="00813AC2" w:rsidRDefault="00813AC2" w:rsidP="00813AC2">
      <w:pPr>
        <w:spacing w:before="120"/>
        <w:jc w:val="both"/>
        <w:rPr>
          <w:rFonts w:ascii="Book Antiqua" w:hAnsi="Book Antiqua"/>
        </w:rPr>
      </w:pPr>
    </w:p>
    <w:p w14:paraId="403DAE7C" w14:textId="77777777" w:rsidR="00813AC2" w:rsidRDefault="00813AC2" w:rsidP="00813AC2">
      <w:pPr>
        <w:spacing w:before="120"/>
        <w:jc w:val="both"/>
        <w:rPr>
          <w:rFonts w:ascii="Book Antiqua" w:hAnsi="Book Antiqua"/>
        </w:rPr>
      </w:pPr>
      <w:r>
        <w:rPr>
          <w:rFonts w:ascii="Book Antiqua" w:hAnsi="Book Antiqua"/>
        </w:rPr>
        <w:t xml:space="preserve">Para la definición de la escala regular de básicos más pluses presupuestaria 2016, se estableció una variación de un </w:t>
      </w:r>
      <w:r>
        <w:rPr>
          <w:rFonts w:ascii="Book Antiqua" w:hAnsi="Book Antiqua"/>
          <w:b/>
        </w:rPr>
        <w:t>7</w:t>
      </w:r>
      <w:r w:rsidRPr="0036270A">
        <w:rPr>
          <w:rFonts w:ascii="Book Antiqua" w:hAnsi="Book Antiqua"/>
          <w:b/>
        </w:rPr>
        <w:t>.0%</w:t>
      </w:r>
      <w:r>
        <w:rPr>
          <w:rFonts w:ascii="Book Antiqua" w:hAnsi="Book Antiqua"/>
          <w:b/>
        </w:rPr>
        <w:t xml:space="preserve"> </w:t>
      </w:r>
      <w:r>
        <w:rPr>
          <w:rFonts w:ascii="Book Antiqua" w:hAnsi="Book Antiqua"/>
        </w:rPr>
        <w:t>a partir de la planilla vigente del segundo semestre del 2015, la cual se estima técnicamente suficiente para cubrir los aumentos que se lleguen a autorizar a partir del 2016 para dicha escala salarial.</w:t>
      </w:r>
    </w:p>
    <w:p w14:paraId="2EB2E6A5" w14:textId="77777777" w:rsidR="00813AC2" w:rsidRDefault="00813AC2" w:rsidP="00813AC2">
      <w:pPr>
        <w:spacing w:before="120"/>
        <w:jc w:val="both"/>
        <w:rPr>
          <w:rFonts w:ascii="Book Antiqua" w:hAnsi="Book Antiqua"/>
        </w:rPr>
      </w:pPr>
      <w:r w:rsidRPr="00ED0B99">
        <w:rPr>
          <w:rFonts w:ascii="Book Antiqua" w:hAnsi="Book Antiqua"/>
        </w:rPr>
        <w:t xml:space="preserve">En </w:t>
      </w:r>
      <w:r>
        <w:rPr>
          <w:rFonts w:ascii="Book Antiqua" w:hAnsi="Book Antiqua"/>
        </w:rPr>
        <w:t>lo que respecta a</w:t>
      </w:r>
      <w:r w:rsidRPr="00ED0B99">
        <w:rPr>
          <w:rFonts w:ascii="Book Antiqua" w:hAnsi="Book Antiqua"/>
        </w:rPr>
        <w:t xml:space="preserve"> la </w:t>
      </w:r>
      <w:r>
        <w:rPr>
          <w:rFonts w:ascii="Book Antiqua" w:hAnsi="Book Antiqua"/>
        </w:rPr>
        <w:t xml:space="preserve">definición de la </w:t>
      </w:r>
      <w:r w:rsidRPr="00ED0B99">
        <w:rPr>
          <w:rFonts w:ascii="Book Antiqua" w:hAnsi="Book Antiqua"/>
        </w:rPr>
        <w:t xml:space="preserve">escala </w:t>
      </w:r>
      <w:r>
        <w:rPr>
          <w:rFonts w:ascii="Book Antiqua" w:hAnsi="Book Antiqua"/>
        </w:rPr>
        <w:t>presupuestaria 2016 G</w:t>
      </w:r>
      <w:r w:rsidRPr="00ED0B99">
        <w:rPr>
          <w:rFonts w:ascii="Book Antiqua" w:hAnsi="Book Antiqua"/>
        </w:rPr>
        <w:t xml:space="preserve">erencial </w:t>
      </w:r>
      <w:r>
        <w:rPr>
          <w:rFonts w:ascii="Book Antiqua" w:hAnsi="Book Antiqua"/>
        </w:rPr>
        <w:t>G</w:t>
      </w:r>
      <w:r w:rsidRPr="00ED0B99">
        <w:rPr>
          <w:rFonts w:ascii="Book Antiqua" w:hAnsi="Book Antiqua"/>
        </w:rPr>
        <w:t>lobal</w:t>
      </w:r>
      <w:r>
        <w:rPr>
          <w:rFonts w:ascii="Book Antiqua" w:hAnsi="Book Antiqua"/>
        </w:rPr>
        <w:t xml:space="preserve">, se determinó al igual que para la escala regular global una </w:t>
      </w:r>
      <w:r w:rsidRPr="006A1390">
        <w:rPr>
          <w:rFonts w:ascii="Book Antiqua" w:hAnsi="Book Antiqua"/>
        </w:rPr>
        <w:t xml:space="preserve">variación del </w:t>
      </w:r>
      <w:r w:rsidRPr="006A1390">
        <w:rPr>
          <w:rFonts w:ascii="Book Antiqua" w:hAnsi="Book Antiqua"/>
          <w:b/>
        </w:rPr>
        <w:t>1</w:t>
      </w:r>
      <w:r>
        <w:rPr>
          <w:rFonts w:ascii="Book Antiqua" w:hAnsi="Book Antiqua"/>
          <w:b/>
        </w:rPr>
        <w:t>2</w:t>
      </w:r>
      <w:r w:rsidRPr="006A1390">
        <w:rPr>
          <w:rFonts w:ascii="Book Antiqua" w:hAnsi="Book Antiqua"/>
          <w:b/>
        </w:rPr>
        <w:t>.0%</w:t>
      </w:r>
      <w:r>
        <w:rPr>
          <w:rFonts w:ascii="Book Antiqua" w:hAnsi="Book Antiqua"/>
        </w:rPr>
        <w:t xml:space="preserve"> </w:t>
      </w:r>
      <w:r w:rsidRPr="00ED0B99">
        <w:rPr>
          <w:rFonts w:ascii="Book Antiqua" w:hAnsi="Book Antiqua"/>
        </w:rPr>
        <w:t>con respecto a la planilla</w:t>
      </w:r>
      <w:r>
        <w:rPr>
          <w:rFonts w:ascii="Book Antiqua" w:hAnsi="Book Antiqua"/>
        </w:rPr>
        <w:t xml:space="preserve"> vigente al segundo semestre del</w:t>
      </w:r>
      <w:r w:rsidRPr="00ED0B99">
        <w:rPr>
          <w:rFonts w:ascii="Book Antiqua" w:hAnsi="Book Antiqua"/>
        </w:rPr>
        <w:t xml:space="preserve"> 201</w:t>
      </w:r>
      <w:r>
        <w:rPr>
          <w:rFonts w:ascii="Book Antiqua" w:hAnsi="Book Antiqua"/>
        </w:rPr>
        <w:t>5,</w:t>
      </w:r>
      <w:r w:rsidRPr="00ED0B99">
        <w:rPr>
          <w:rFonts w:ascii="Book Antiqua" w:hAnsi="Book Antiqua"/>
        </w:rPr>
        <w:t xml:space="preserve"> </w:t>
      </w:r>
      <w:r>
        <w:rPr>
          <w:rFonts w:ascii="Book Antiqua" w:hAnsi="Book Antiqua"/>
        </w:rPr>
        <w:t xml:space="preserve">cuyo detalle por categoría se </w:t>
      </w:r>
      <w:r w:rsidRPr="00ED0B99">
        <w:rPr>
          <w:rFonts w:ascii="Book Antiqua" w:hAnsi="Book Antiqua"/>
        </w:rPr>
        <w:t>presenta</w:t>
      </w:r>
      <w:r>
        <w:rPr>
          <w:rFonts w:ascii="Book Antiqua" w:hAnsi="Book Antiqua"/>
        </w:rPr>
        <w:t xml:space="preserve"> en la siguiente tabla.</w:t>
      </w:r>
    </w:p>
    <w:p w14:paraId="20472049" w14:textId="77777777" w:rsidR="00813AC2" w:rsidRDefault="00813AC2" w:rsidP="00813AC2">
      <w:pPr>
        <w:spacing w:before="120"/>
        <w:jc w:val="both"/>
        <w:rPr>
          <w:rFonts w:ascii="Book Antiqua" w:hAnsi="Book Antiqua"/>
        </w:rPr>
      </w:pPr>
    </w:p>
    <w:tbl>
      <w:tblPr>
        <w:tblStyle w:val="Tablabsica1"/>
        <w:tblW w:w="6336" w:type="dxa"/>
        <w:tblInd w:w="1514" w:type="dxa"/>
        <w:tblLook w:val="04A0" w:firstRow="1" w:lastRow="0" w:firstColumn="1" w:lastColumn="0" w:noHBand="0" w:noVBand="1"/>
      </w:tblPr>
      <w:tblGrid>
        <w:gridCol w:w="1633"/>
        <w:gridCol w:w="1310"/>
        <w:gridCol w:w="1995"/>
        <w:gridCol w:w="1398"/>
      </w:tblGrid>
      <w:tr w:rsidR="00813AC2" w:rsidRPr="00901DC7" w14:paraId="11F7E11C" w14:textId="77777777" w:rsidTr="00813AC2">
        <w:trPr>
          <w:cnfStyle w:val="100000000000" w:firstRow="1" w:lastRow="0" w:firstColumn="0" w:lastColumn="0" w:oddVBand="0" w:evenVBand="0" w:oddHBand="0" w:evenHBand="0" w:firstRowFirstColumn="0" w:firstRowLastColumn="0" w:lastRowFirstColumn="0" w:lastRowLastColumn="0"/>
        </w:trPr>
        <w:tc>
          <w:tcPr>
            <w:tcW w:w="1633" w:type="dxa"/>
            <w:vAlign w:val="center"/>
          </w:tcPr>
          <w:p w14:paraId="63AE49EA" w14:textId="77777777" w:rsidR="00813AC2" w:rsidRPr="009E4DCC" w:rsidRDefault="00813AC2" w:rsidP="00813AC2">
            <w:pPr>
              <w:jc w:val="center"/>
              <w:rPr>
                <w:rFonts w:ascii="Book Antiqua" w:hAnsi="Book Antiqua"/>
              </w:rPr>
            </w:pPr>
            <w:r>
              <w:rPr>
                <w:rFonts w:ascii="Book Antiqua" w:hAnsi="Book Antiqua"/>
              </w:rPr>
              <w:br w:type="page"/>
            </w:r>
            <w:r w:rsidRPr="009E4DCC">
              <w:rPr>
                <w:rFonts w:ascii="Book Antiqua" w:hAnsi="Book Antiqua"/>
              </w:rPr>
              <w:t>Categoría</w:t>
            </w:r>
          </w:p>
        </w:tc>
        <w:tc>
          <w:tcPr>
            <w:tcW w:w="1310" w:type="dxa"/>
            <w:vAlign w:val="center"/>
          </w:tcPr>
          <w:p w14:paraId="30567518" w14:textId="77777777" w:rsidR="00813AC2" w:rsidRPr="009E4DCC" w:rsidRDefault="00813AC2" w:rsidP="00813AC2">
            <w:pPr>
              <w:jc w:val="center"/>
              <w:rPr>
                <w:rFonts w:ascii="Book Antiqua" w:hAnsi="Book Antiqua"/>
              </w:rPr>
            </w:pPr>
            <w:r w:rsidRPr="009E4DCC">
              <w:rPr>
                <w:rFonts w:ascii="Book Antiqua" w:hAnsi="Book Antiqua"/>
              </w:rPr>
              <w:t>Salario planilla</w:t>
            </w:r>
          </w:p>
        </w:tc>
        <w:tc>
          <w:tcPr>
            <w:tcW w:w="1995" w:type="dxa"/>
            <w:vAlign w:val="center"/>
          </w:tcPr>
          <w:p w14:paraId="7FD6E073" w14:textId="77777777" w:rsidR="00813AC2" w:rsidRPr="009E4DCC" w:rsidRDefault="00813AC2" w:rsidP="00813AC2">
            <w:pPr>
              <w:jc w:val="center"/>
              <w:rPr>
                <w:rFonts w:ascii="Book Antiqua" w:hAnsi="Book Antiqua"/>
              </w:rPr>
            </w:pPr>
            <w:r w:rsidRPr="009E4DCC">
              <w:rPr>
                <w:rFonts w:ascii="Book Antiqua" w:hAnsi="Book Antiqua"/>
              </w:rPr>
              <w:t>Formulación 20</w:t>
            </w:r>
            <w:r>
              <w:rPr>
                <w:rFonts w:ascii="Book Antiqua" w:hAnsi="Book Antiqua"/>
              </w:rPr>
              <w:t>15</w:t>
            </w:r>
          </w:p>
        </w:tc>
        <w:tc>
          <w:tcPr>
            <w:tcW w:w="1398" w:type="dxa"/>
            <w:vAlign w:val="center"/>
          </w:tcPr>
          <w:p w14:paraId="716D8799" w14:textId="77777777" w:rsidR="00813AC2" w:rsidRPr="00901DC7" w:rsidRDefault="00813AC2" w:rsidP="00813AC2">
            <w:pPr>
              <w:jc w:val="center"/>
              <w:rPr>
                <w:rFonts w:ascii="Book Antiqua" w:hAnsi="Book Antiqua"/>
                <w:lang w:val="en-US"/>
              </w:rPr>
            </w:pPr>
            <w:r w:rsidRPr="00901DC7">
              <w:rPr>
                <w:rFonts w:ascii="Book Antiqua" w:hAnsi="Book Antiqua"/>
                <w:lang w:val="en-US"/>
              </w:rPr>
              <w:t xml:space="preserve">Form. </w:t>
            </w:r>
            <w:r>
              <w:rPr>
                <w:rFonts w:ascii="Book Antiqua" w:hAnsi="Book Antiqua"/>
                <w:lang w:val="en-US"/>
              </w:rPr>
              <w:t>2015</w:t>
            </w:r>
            <w:r w:rsidRPr="00901DC7">
              <w:rPr>
                <w:rFonts w:ascii="Book Antiqua" w:hAnsi="Book Antiqua"/>
                <w:lang w:val="en-US"/>
              </w:rPr>
              <w:t xml:space="preserve"> vs </w:t>
            </w:r>
            <w:proofErr w:type="spellStart"/>
            <w:r w:rsidRPr="00901DC7">
              <w:rPr>
                <w:rFonts w:ascii="Book Antiqua" w:hAnsi="Book Antiqua"/>
                <w:lang w:val="en-US"/>
              </w:rPr>
              <w:t>Planilla</w:t>
            </w:r>
            <w:proofErr w:type="spellEnd"/>
          </w:p>
        </w:tc>
      </w:tr>
      <w:tr w:rsidR="00813AC2" w:rsidRPr="00901DC7" w14:paraId="4134D7AC" w14:textId="77777777" w:rsidTr="00813AC2">
        <w:tc>
          <w:tcPr>
            <w:tcW w:w="1633" w:type="dxa"/>
            <w:vAlign w:val="center"/>
          </w:tcPr>
          <w:p w14:paraId="6D83B1A1" w14:textId="77777777" w:rsidR="00813AC2" w:rsidRDefault="00813AC2" w:rsidP="00813AC2">
            <w:pPr>
              <w:spacing w:before="120"/>
              <w:jc w:val="center"/>
              <w:rPr>
                <w:rFonts w:ascii="Book Antiqua" w:hAnsi="Book Antiqua"/>
                <w:lang w:val="en-US"/>
              </w:rPr>
            </w:pPr>
            <w:r>
              <w:rPr>
                <w:rFonts w:ascii="Book Antiqua" w:hAnsi="Book Antiqua"/>
                <w:lang w:val="en-US"/>
              </w:rPr>
              <w:t>01</w:t>
            </w:r>
          </w:p>
        </w:tc>
        <w:tc>
          <w:tcPr>
            <w:tcW w:w="1310" w:type="dxa"/>
            <w:vAlign w:val="center"/>
          </w:tcPr>
          <w:p w14:paraId="7042721C" w14:textId="77777777" w:rsidR="00813AC2" w:rsidRPr="0036270A" w:rsidRDefault="00813AC2" w:rsidP="00813AC2">
            <w:pPr>
              <w:jc w:val="center"/>
              <w:rPr>
                <w:rFonts w:ascii="Book Antiqua" w:hAnsi="Book Antiqua"/>
                <w:color w:val="000000"/>
                <w:szCs w:val="22"/>
              </w:rPr>
            </w:pPr>
            <w:r w:rsidRPr="0036270A">
              <w:rPr>
                <w:rFonts w:ascii="Book Antiqua" w:hAnsi="Book Antiqua"/>
                <w:color w:val="000000"/>
                <w:szCs w:val="22"/>
              </w:rPr>
              <w:t>885,905</w:t>
            </w:r>
          </w:p>
        </w:tc>
        <w:tc>
          <w:tcPr>
            <w:tcW w:w="1995" w:type="dxa"/>
            <w:vAlign w:val="center"/>
          </w:tcPr>
          <w:p w14:paraId="4020897E" w14:textId="77777777" w:rsidR="00813AC2" w:rsidRPr="00B93FA6" w:rsidRDefault="00813AC2" w:rsidP="00813AC2">
            <w:pPr>
              <w:jc w:val="center"/>
              <w:rPr>
                <w:rFonts w:ascii="Book Antiqua" w:hAnsi="Book Antiqua"/>
                <w:color w:val="000000"/>
                <w:szCs w:val="22"/>
              </w:rPr>
            </w:pPr>
            <w:r w:rsidRPr="00B93FA6">
              <w:rPr>
                <w:rFonts w:ascii="Book Antiqua" w:hAnsi="Book Antiqua"/>
                <w:color w:val="000000"/>
                <w:szCs w:val="22"/>
              </w:rPr>
              <w:t>992,214</w:t>
            </w:r>
          </w:p>
        </w:tc>
        <w:tc>
          <w:tcPr>
            <w:tcW w:w="1398" w:type="dxa"/>
            <w:vAlign w:val="center"/>
          </w:tcPr>
          <w:p w14:paraId="3B478136" w14:textId="77777777" w:rsidR="00813AC2" w:rsidRPr="00667C3A" w:rsidRDefault="00813AC2" w:rsidP="00813AC2">
            <w:pPr>
              <w:jc w:val="center"/>
              <w:rPr>
                <w:rFonts w:ascii="Book Antiqua" w:hAnsi="Book Antiqua"/>
                <w:color w:val="000000"/>
                <w:szCs w:val="22"/>
              </w:rPr>
            </w:pPr>
            <w:r w:rsidRPr="00667C3A">
              <w:rPr>
                <w:rFonts w:ascii="Book Antiqua" w:hAnsi="Book Antiqua"/>
                <w:color w:val="000000"/>
                <w:szCs w:val="22"/>
              </w:rPr>
              <w:t>1</w:t>
            </w:r>
            <w:r>
              <w:rPr>
                <w:rFonts w:ascii="Book Antiqua" w:hAnsi="Book Antiqua"/>
                <w:color w:val="000000"/>
                <w:szCs w:val="22"/>
              </w:rPr>
              <w:t>2</w:t>
            </w:r>
            <w:r w:rsidRPr="00667C3A">
              <w:rPr>
                <w:rFonts w:ascii="Book Antiqua" w:hAnsi="Book Antiqua"/>
                <w:color w:val="000000"/>
                <w:szCs w:val="22"/>
              </w:rPr>
              <w:t>.0%</w:t>
            </w:r>
          </w:p>
        </w:tc>
      </w:tr>
      <w:tr w:rsidR="00813AC2" w:rsidRPr="00901DC7" w14:paraId="548528D0" w14:textId="77777777" w:rsidTr="00813AC2">
        <w:tc>
          <w:tcPr>
            <w:tcW w:w="1633" w:type="dxa"/>
            <w:vAlign w:val="center"/>
          </w:tcPr>
          <w:p w14:paraId="2342C045" w14:textId="77777777" w:rsidR="00813AC2" w:rsidRPr="00901DC7" w:rsidRDefault="00813AC2" w:rsidP="00813AC2">
            <w:pPr>
              <w:spacing w:before="120"/>
              <w:jc w:val="center"/>
              <w:rPr>
                <w:rFonts w:ascii="Book Antiqua" w:hAnsi="Book Antiqua"/>
                <w:lang w:val="en-US"/>
              </w:rPr>
            </w:pPr>
            <w:r>
              <w:rPr>
                <w:rFonts w:ascii="Book Antiqua" w:hAnsi="Book Antiqua"/>
                <w:lang w:val="en-US"/>
              </w:rPr>
              <w:t>02</w:t>
            </w:r>
          </w:p>
        </w:tc>
        <w:tc>
          <w:tcPr>
            <w:tcW w:w="1310" w:type="dxa"/>
            <w:vAlign w:val="center"/>
          </w:tcPr>
          <w:p w14:paraId="52D6E84A" w14:textId="77777777" w:rsidR="00813AC2" w:rsidRPr="0036270A" w:rsidRDefault="00813AC2" w:rsidP="00813AC2">
            <w:pPr>
              <w:jc w:val="center"/>
              <w:rPr>
                <w:rFonts w:ascii="Book Antiqua" w:hAnsi="Book Antiqua"/>
                <w:color w:val="000000"/>
                <w:szCs w:val="22"/>
              </w:rPr>
            </w:pPr>
            <w:r w:rsidRPr="0036270A">
              <w:rPr>
                <w:rFonts w:ascii="Book Antiqua" w:hAnsi="Book Antiqua"/>
                <w:color w:val="000000"/>
                <w:szCs w:val="22"/>
              </w:rPr>
              <w:t>1,122,147</w:t>
            </w:r>
          </w:p>
        </w:tc>
        <w:tc>
          <w:tcPr>
            <w:tcW w:w="1995" w:type="dxa"/>
            <w:vAlign w:val="center"/>
          </w:tcPr>
          <w:p w14:paraId="199A34D4" w14:textId="77777777" w:rsidR="00813AC2" w:rsidRPr="00B93FA6" w:rsidRDefault="00813AC2" w:rsidP="00813AC2">
            <w:pPr>
              <w:jc w:val="center"/>
              <w:rPr>
                <w:rFonts w:ascii="Book Antiqua" w:hAnsi="Book Antiqua"/>
                <w:color w:val="000000"/>
                <w:szCs w:val="22"/>
              </w:rPr>
            </w:pPr>
            <w:r w:rsidRPr="00B93FA6">
              <w:rPr>
                <w:rFonts w:ascii="Book Antiqua" w:hAnsi="Book Antiqua"/>
                <w:color w:val="000000"/>
                <w:szCs w:val="22"/>
              </w:rPr>
              <w:t>1,256,805</w:t>
            </w:r>
          </w:p>
        </w:tc>
        <w:tc>
          <w:tcPr>
            <w:tcW w:w="1398" w:type="dxa"/>
            <w:vAlign w:val="center"/>
          </w:tcPr>
          <w:p w14:paraId="4BE9699A" w14:textId="77777777" w:rsidR="00813AC2" w:rsidRPr="00667C3A" w:rsidRDefault="00813AC2" w:rsidP="00813AC2">
            <w:pPr>
              <w:jc w:val="center"/>
              <w:rPr>
                <w:rFonts w:ascii="Book Antiqua" w:hAnsi="Book Antiqua"/>
                <w:color w:val="000000"/>
                <w:szCs w:val="22"/>
              </w:rPr>
            </w:pPr>
            <w:r w:rsidRPr="00667C3A">
              <w:rPr>
                <w:rFonts w:ascii="Book Antiqua" w:hAnsi="Book Antiqua"/>
                <w:color w:val="000000"/>
                <w:szCs w:val="22"/>
              </w:rPr>
              <w:t>1</w:t>
            </w:r>
            <w:r>
              <w:rPr>
                <w:rFonts w:ascii="Book Antiqua" w:hAnsi="Book Antiqua"/>
                <w:color w:val="000000"/>
                <w:szCs w:val="22"/>
              </w:rPr>
              <w:t>2</w:t>
            </w:r>
            <w:r w:rsidRPr="00667C3A">
              <w:rPr>
                <w:rFonts w:ascii="Book Antiqua" w:hAnsi="Book Antiqua"/>
                <w:color w:val="000000"/>
                <w:szCs w:val="22"/>
              </w:rPr>
              <w:t>.0%</w:t>
            </w:r>
          </w:p>
        </w:tc>
      </w:tr>
      <w:tr w:rsidR="00813AC2" w:rsidRPr="00901DC7" w14:paraId="4968CB94" w14:textId="77777777" w:rsidTr="00813AC2">
        <w:tc>
          <w:tcPr>
            <w:tcW w:w="1633" w:type="dxa"/>
            <w:vAlign w:val="center"/>
          </w:tcPr>
          <w:p w14:paraId="137B94AC" w14:textId="77777777" w:rsidR="00813AC2" w:rsidRPr="00901DC7" w:rsidRDefault="00813AC2" w:rsidP="00813AC2">
            <w:pPr>
              <w:spacing w:before="120"/>
              <w:jc w:val="center"/>
              <w:rPr>
                <w:rFonts w:ascii="Book Antiqua" w:hAnsi="Book Antiqua"/>
                <w:lang w:val="en-US"/>
              </w:rPr>
            </w:pPr>
            <w:r>
              <w:rPr>
                <w:rFonts w:ascii="Book Antiqua" w:hAnsi="Book Antiqua"/>
                <w:lang w:val="en-US"/>
              </w:rPr>
              <w:t>03</w:t>
            </w:r>
          </w:p>
        </w:tc>
        <w:tc>
          <w:tcPr>
            <w:tcW w:w="1310" w:type="dxa"/>
            <w:vAlign w:val="center"/>
          </w:tcPr>
          <w:p w14:paraId="07034D8D" w14:textId="77777777" w:rsidR="00813AC2" w:rsidRPr="0036270A" w:rsidRDefault="00813AC2" w:rsidP="00813AC2">
            <w:pPr>
              <w:jc w:val="center"/>
              <w:rPr>
                <w:rFonts w:ascii="Book Antiqua" w:hAnsi="Book Antiqua"/>
                <w:color w:val="000000"/>
                <w:szCs w:val="22"/>
              </w:rPr>
            </w:pPr>
            <w:r w:rsidRPr="0036270A">
              <w:rPr>
                <w:rFonts w:ascii="Book Antiqua" w:hAnsi="Book Antiqua"/>
                <w:color w:val="000000"/>
                <w:szCs w:val="22"/>
              </w:rPr>
              <w:t>1,181,206</w:t>
            </w:r>
          </w:p>
        </w:tc>
        <w:tc>
          <w:tcPr>
            <w:tcW w:w="1995" w:type="dxa"/>
            <w:vAlign w:val="center"/>
          </w:tcPr>
          <w:p w14:paraId="24C2BD24" w14:textId="77777777" w:rsidR="00813AC2" w:rsidRPr="00B93FA6" w:rsidRDefault="00813AC2" w:rsidP="00813AC2">
            <w:pPr>
              <w:jc w:val="center"/>
              <w:rPr>
                <w:rFonts w:ascii="Book Antiqua" w:hAnsi="Book Antiqua"/>
                <w:color w:val="000000"/>
                <w:szCs w:val="22"/>
              </w:rPr>
            </w:pPr>
            <w:r w:rsidRPr="00B93FA6">
              <w:rPr>
                <w:rFonts w:ascii="Book Antiqua" w:hAnsi="Book Antiqua"/>
                <w:color w:val="000000"/>
                <w:szCs w:val="22"/>
              </w:rPr>
              <w:t>1,322,951</w:t>
            </w:r>
          </w:p>
        </w:tc>
        <w:tc>
          <w:tcPr>
            <w:tcW w:w="1398" w:type="dxa"/>
            <w:vAlign w:val="center"/>
          </w:tcPr>
          <w:p w14:paraId="5DDEDA47" w14:textId="77777777" w:rsidR="00813AC2" w:rsidRPr="00667C3A" w:rsidRDefault="00813AC2" w:rsidP="00813AC2">
            <w:pPr>
              <w:jc w:val="center"/>
              <w:rPr>
                <w:rFonts w:ascii="Book Antiqua" w:hAnsi="Book Antiqua"/>
                <w:color w:val="000000"/>
                <w:szCs w:val="22"/>
              </w:rPr>
            </w:pPr>
            <w:r w:rsidRPr="00667C3A">
              <w:rPr>
                <w:rFonts w:ascii="Book Antiqua" w:hAnsi="Book Antiqua"/>
                <w:color w:val="000000"/>
                <w:szCs w:val="22"/>
              </w:rPr>
              <w:t>1</w:t>
            </w:r>
            <w:r>
              <w:rPr>
                <w:rFonts w:ascii="Book Antiqua" w:hAnsi="Book Antiqua"/>
                <w:color w:val="000000"/>
                <w:szCs w:val="22"/>
              </w:rPr>
              <w:t>2</w:t>
            </w:r>
            <w:r w:rsidRPr="00667C3A">
              <w:rPr>
                <w:rFonts w:ascii="Book Antiqua" w:hAnsi="Book Antiqua"/>
                <w:color w:val="000000"/>
                <w:szCs w:val="22"/>
              </w:rPr>
              <w:t>.0%</w:t>
            </w:r>
          </w:p>
        </w:tc>
      </w:tr>
      <w:tr w:rsidR="00813AC2" w14:paraId="335D0216" w14:textId="77777777" w:rsidTr="00813AC2">
        <w:tc>
          <w:tcPr>
            <w:tcW w:w="1633" w:type="dxa"/>
            <w:vAlign w:val="center"/>
          </w:tcPr>
          <w:p w14:paraId="5456DB49" w14:textId="77777777" w:rsidR="00813AC2" w:rsidRPr="00901DC7" w:rsidRDefault="00813AC2" w:rsidP="00813AC2">
            <w:pPr>
              <w:spacing w:before="120"/>
              <w:jc w:val="center"/>
              <w:rPr>
                <w:rFonts w:ascii="Book Antiqua" w:hAnsi="Book Antiqua"/>
                <w:lang w:val="en-US"/>
              </w:rPr>
            </w:pPr>
            <w:r w:rsidRPr="00901DC7">
              <w:rPr>
                <w:rFonts w:ascii="Book Antiqua" w:hAnsi="Book Antiqua"/>
                <w:lang w:val="en-US"/>
              </w:rPr>
              <w:t>0</w:t>
            </w:r>
            <w:r>
              <w:rPr>
                <w:rFonts w:ascii="Book Antiqua" w:hAnsi="Book Antiqua"/>
                <w:lang w:val="en-US"/>
              </w:rPr>
              <w:t>4</w:t>
            </w:r>
          </w:p>
        </w:tc>
        <w:tc>
          <w:tcPr>
            <w:tcW w:w="1310" w:type="dxa"/>
            <w:vAlign w:val="center"/>
          </w:tcPr>
          <w:p w14:paraId="2327564A" w14:textId="77777777" w:rsidR="00813AC2" w:rsidRPr="0036270A" w:rsidRDefault="00813AC2" w:rsidP="00813AC2">
            <w:pPr>
              <w:jc w:val="center"/>
              <w:rPr>
                <w:rFonts w:ascii="Book Antiqua" w:hAnsi="Book Antiqua"/>
                <w:color w:val="000000"/>
                <w:szCs w:val="22"/>
              </w:rPr>
            </w:pPr>
            <w:r w:rsidRPr="0036270A">
              <w:rPr>
                <w:rFonts w:ascii="Book Antiqua" w:hAnsi="Book Antiqua"/>
                <w:color w:val="000000"/>
                <w:szCs w:val="22"/>
              </w:rPr>
              <w:t>1,603,715</w:t>
            </w:r>
          </w:p>
        </w:tc>
        <w:tc>
          <w:tcPr>
            <w:tcW w:w="1995" w:type="dxa"/>
            <w:vAlign w:val="center"/>
          </w:tcPr>
          <w:p w14:paraId="37261566" w14:textId="77777777" w:rsidR="00813AC2" w:rsidRPr="00B93FA6" w:rsidRDefault="00813AC2" w:rsidP="00813AC2">
            <w:pPr>
              <w:jc w:val="center"/>
              <w:rPr>
                <w:rFonts w:ascii="Book Antiqua" w:hAnsi="Book Antiqua"/>
                <w:color w:val="000000"/>
                <w:szCs w:val="22"/>
              </w:rPr>
            </w:pPr>
            <w:r w:rsidRPr="00B93FA6">
              <w:rPr>
                <w:rFonts w:ascii="Book Antiqua" w:hAnsi="Book Antiqua"/>
                <w:color w:val="000000"/>
                <w:szCs w:val="22"/>
              </w:rPr>
              <w:t>1,796,161</w:t>
            </w:r>
          </w:p>
        </w:tc>
        <w:tc>
          <w:tcPr>
            <w:tcW w:w="1398" w:type="dxa"/>
            <w:vAlign w:val="center"/>
          </w:tcPr>
          <w:p w14:paraId="4B0FAC97" w14:textId="77777777" w:rsidR="00813AC2" w:rsidRPr="00667C3A" w:rsidRDefault="00813AC2" w:rsidP="00813AC2">
            <w:pPr>
              <w:jc w:val="center"/>
              <w:rPr>
                <w:rFonts w:ascii="Book Antiqua" w:hAnsi="Book Antiqua"/>
                <w:color w:val="000000"/>
                <w:szCs w:val="22"/>
              </w:rPr>
            </w:pPr>
            <w:r w:rsidRPr="00667C3A">
              <w:rPr>
                <w:rFonts w:ascii="Book Antiqua" w:hAnsi="Book Antiqua"/>
                <w:color w:val="000000"/>
                <w:szCs w:val="22"/>
              </w:rPr>
              <w:t>1</w:t>
            </w:r>
            <w:r>
              <w:rPr>
                <w:rFonts w:ascii="Book Antiqua" w:hAnsi="Book Antiqua"/>
                <w:color w:val="000000"/>
                <w:szCs w:val="22"/>
              </w:rPr>
              <w:t>2</w:t>
            </w:r>
            <w:r w:rsidRPr="00667C3A">
              <w:rPr>
                <w:rFonts w:ascii="Book Antiqua" w:hAnsi="Book Antiqua"/>
                <w:color w:val="000000"/>
                <w:szCs w:val="22"/>
              </w:rPr>
              <w:t>.0%</w:t>
            </w:r>
          </w:p>
        </w:tc>
      </w:tr>
      <w:tr w:rsidR="00813AC2" w14:paraId="0B4AC994" w14:textId="77777777" w:rsidTr="00813AC2">
        <w:tc>
          <w:tcPr>
            <w:tcW w:w="1633" w:type="dxa"/>
            <w:vAlign w:val="center"/>
          </w:tcPr>
          <w:p w14:paraId="1225C8AE" w14:textId="77777777" w:rsidR="00813AC2" w:rsidRPr="00901DC7" w:rsidRDefault="00813AC2" w:rsidP="00813AC2">
            <w:pPr>
              <w:spacing w:before="120"/>
              <w:jc w:val="center"/>
              <w:rPr>
                <w:rFonts w:ascii="Book Antiqua" w:hAnsi="Book Antiqua"/>
                <w:lang w:val="en-US"/>
              </w:rPr>
            </w:pPr>
            <w:r>
              <w:rPr>
                <w:rFonts w:ascii="Book Antiqua" w:hAnsi="Book Antiqua"/>
                <w:lang w:val="en-US"/>
              </w:rPr>
              <w:t>05</w:t>
            </w:r>
          </w:p>
        </w:tc>
        <w:tc>
          <w:tcPr>
            <w:tcW w:w="1310" w:type="dxa"/>
            <w:vAlign w:val="center"/>
          </w:tcPr>
          <w:p w14:paraId="4E908803" w14:textId="77777777" w:rsidR="00813AC2" w:rsidRPr="0036270A" w:rsidRDefault="00813AC2" w:rsidP="00813AC2">
            <w:pPr>
              <w:jc w:val="center"/>
              <w:rPr>
                <w:rFonts w:ascii="Book Antiqua" w:hAnsi="Book Antiqua"/>
                <w:color w:val="000000"/>
                <w:szCs w:val="22"/>
              </w:rPr>
            </w:pPr>
            <w:r w:rsidRPr="0036270A">
              <w:rPr>
                <w:rFonts w:ascii="Book Antiqua" w:hAnsi="Book Antiqua"/>
                <w:color w:val="000000"/>
                <w:szCs w:val="22"/>
              </w:rPr>
              <w:t>1,696,950</w:t>
            </w:r>
          </w:p>
        </w:tc>
        <w:tc>
          <w:tcPr>
            <w:tcW w:w="1995" w:type="dxa"/>
            <w:vAlign w:val="center"/>
          </w:tcPr>
          <w:p w14:paraId="19BEBBE6" w14:textId="77777777" w:rsidR="00813AC2" w:rsidRPr="00B93FA6" w:rsidRDefault="00813AC2" w:rsidP="00813AC2">
            <w:pPr>
              <w:jc w:val="center"/>
              <w:rPr>
                <w:rFonts w:ascii="Book Antiqua" w:hAnsi="Book Antiqua"/>
                <w:color w:val="000000"/>
                <w:szCs w:val="22"/>
              </w:rPr>
            </w:pPr>
            <w:r w:rsidRPr="00B93FA6">
              <w:rPr>
                <w:rFonts w:ascii="Book Antiqua" w:hAnsi="Book Antiqua"/>
                <w:color w:val="000000"/>
                <w:szCs w:val="22"/>
              </w:rPr>
              <w:t>1,900,584</w:t>
            </w:r>
          </w:p>
        </w:tc>
        <w:tc>
          <w:tcPr>
            <w:tcW w:w="1398" w:type="dxa"/>
            <w:vAlign w:val="center"/>
          </w:tcPr>
          <w:p w14:paraId="453B341B" w14:textId="77777777" w:rsidR="00813AC2" w:rsidRPr="00667C3A" w:rsidRDefault="00813AC2" w:rsidP="00813AC2">
            <w:pPr>
              <w:jc w:val="center"/>
              <w:rPr>
                <w:rFonts w:ascii="Book Antiqua" w:hAnsi="Book Antiqua"/>
                <w:color w:val="000000"/>
                <w:szCs w:val="22"/>
              </w:rPr>
            </w:pPr>
            <w:r w:rsidRPr="00667C3A">
              <w:rPr>
                <w:rFonts w:ascii="Book Antiqua" w:hAnsi="Book Antiqua"/>
                <w:color w:val="000000"/>
                <w:szCs w:val="22"/>
              </w:rPr>
              <w:t>1</w:t>
            </w:r>
            <w:r>
              <w:rPr>
                <w:rFonts w:ascii="Book Antiqua" w:hAnsi="Book Antiqua"/>
                <w:color w:val="000000"/>
                <w:szCs w:val="22"/>
              </w:rPr>
              <w:t>2</w:t>
            </w:r>
            <w:r w:rsidRPr="00667C3A">
              <w:rPr>
                <w:rFonts w:ascii="Book Antiqua" w:hAnsi="Book Antiqua"/>
                <w:color w:val="000000"/>
                <w:szCs w:val="22"/>
              </w:rPr>
              <w:t>.0%</w:t>
            </w:r>
          </w:p>
        </w:tc>
      </w:tr>
    </w:tbl>
    <w:p w14:paraId="74B28BA3" w14:textId="77777777" w:rsidR="00813AC2" w:rsidRDefault="00813AC2" w:rsidP="00813AC2">
      <w:pPr>
        <w:jc w:val="both"/>
        <w:rPr>
          <w:rFonts w:ascii="Book Antiqua" w:hAnsi="Book Antiqua"/>
          <w:b/>
          <w:i/>
          <w:color w:val="800000"/>
        </w:rPr>
      </w:pPr>
      <w:r w:rsidRPr="009F0301">
        <w:rPr>
          <w:rFonts w:ascii="Book Antiqua" w:hAnsi="Book Antiqua"/>
          <w:b/>
          <w:i/>
          <w:color w:val="800000"/>
        </w:rPr>
        <w:lastRenderedPageBreak/>
        <w:t>Montos presupuestados según partida</w:t>
      </w:r>
      <w:r>
        <w:rPr>
          <w:rFonts w:ascii="Book Antiqua" w:hAnsi="Book Antiqua"/>
          <w:b/>
          <w:i/>
          <w:color w:val="800000"/>
        </w:rPr>
        <w:t xml:space="preserve"> 2015 - 2016</w:t>
      </w:r>
    </w:p>
    <w:p w14:paraId="00A3E1DB" w14:textId="77777777" w:rsidR="00813AC2" w:rsidRPr="009F0301" w:rsidRDefault="00813AC2" w:rsidP="00813AC2">
      <w:pPr>
        <w:jc w:val="both"/>
        <w:rPr>
          <w:rFonts w:ascii="Book Antiqua" w:hAnsi="Book Antiqua"/>
          <w:b/>
          <w:i/>
          <w:color w:val="800000"/>
        </w:rPr>
      </w:pPr>
    </w:p>
    <w:p w14:paraId="2A1C48EE" w14:textId="77777777" w:rsidR="00813AC2" w:rsidRDefault="00813AC2" w:rsidP="00813AC2">
      <w:pPr>
        <w:jc w:val="both"/>
        <w:rPr>
          <w:rFonts w:ascii="Book Antiqua" w:hAnsi="Book Antiqua"/>
          <w:bCs/>
        </w:rPr>
      </w:pPr>
      <w:r w:rsidRPr="009F0301">
        <w:rPr>
          <w:rFonts w:ascii="Book Antiqua" w:hAnsi="Book Antiqua"/>
          <w:bCs/>
        </w:rPr>
        <w:t>E</w:t>
      </w:r>
      <w:r>
        <w:rPr>
          <w:rFonts w:ascii="Book Antiqua" w:hAnsi="Book Antiqua"/>
          <w:bCs/>
        </w:rPr>
        <w:t>n e</w:t>
      </w:r>
      <w:r w:rsidRPr="009F0301">
        <w:rPr>
          <w:rFonts w:ascii="Book Antiqua" w:hAnsi="Book Antiqua"/>
          <w:bCs/>
        </w:rPr>
        <w:t xml:space="preserve">l siguiente cuadro </w:t>
      </w:r>
      <w:r>
        <w:rPr>
          <w:rFonts w:ascii="Book Antiqua" w:hAnsi="Book Antiqua"/>
          <w:bCs/>
        </w:rPr>
        <w:t>se comparan</w:t>
      </w:r>
      <w:r w:rsidRPr="009F0301">
        <w:rPr>
          <w:rFonts w:ascii="Book Antiqua" w:hAnsi="Book Antiqua"/>
          <w:bCs/>
        </w:rPr>
        <w:t xml:space="preserve"> los montos presupuestarios </w:t>
      </w:r>
      <w:r>
        <w:rPr>
          <w:rFonts w:ascii="Book Antiqua" w:hAnsi="Book Antiqua"/>
          <w:bCs/>
        </w:rPr>
        <w:t xml:space="preserve">del 2015 y 2016 para toda la corporación Banco Central y los Órganos de Desconcentración Máxima, por </w:t>
      </w:r>
      <w:r w:rsidRPr="009F0301">
        <w:rPr>
          <w:rFonts w:ascii="Book Antiqua" w:hAnsi="Book Antiqua"/>
          <w:bCs/>
        </w:rPr>
        <w:t>partida</w:t>
      </w:r>
      <w:r>
        <w:rPr>
          <w:rFonts w:ascii="Book Antiqua" w:hAnsi="Book Antiqua"/>
          <w:bCs/>
        </w:rPr>
        <w:t xml:space="preserve"> con su respectiva </w:t>
      </w:r>
      <w:r w:rsidRPr="009F0301">
        <w:rPr>
          <w:rFonts w:ascii="Book Antiqua" w:hAnsi="Book Antiqua"/>
          <w:bCs/>
        </w:rPr>
        <w:t>variación porcentual</w:t>
      </w:r>
      <w:r>
        <w:rPr>
          <w:rFonts w:ascii="Book Antiqua" w:hAnsi="Book Antiqua"/>
          <w:bCs/>
        </w:rPr>
        <w:t xml:space="preserve">, </w:t>
      </w:r>
      <w:r w:rsidRPr="009F0301">
        <w:rPr>
          <w:rFonts w:ascii="Book Antiqua" w:hAnsi="Book Antiqua"/>
          <w:bCs/>
        </w:rPr>
        <w:t xml:space="preserve">en el cual se puede observar que la </w:t>
      </w:r>
      <w:r w:rsidRPr="00D078B0">
        <w:rPr>
          <w:rFonts w:ascii="Book Antiqua" w:hAnsi="Book Antiqua"/>
          <w:b/>
          <w:bCs/>
        </w:rPr>
        <w:t>variación total</w:t>
      </w:r>
      <w:r w:rsidRPr="00F67982">
        <w:rPr>
          <w:rFonts w:ascii="Book Antiqua" w:hAnsi="Book Antiqua"/>
          <w:bCs/>
        </w:rPr>
        <w:t xml:space="preserve"> promedio del presupuesto </w:t>
      </w:r>
      <w:r>
        <w:rPr>
          <w:rFonts w:ascii="Book Antiqua" w:hAnsi="Book Antiqua"/>
          <w:bCs/>
        </w:rPr>
        <w:t xml:space="preserve">Institucional </w:t>
      </w:r>
      <w:r w:rsidRPr="00F67982">
        <w:rPr>
          <w:rFonts w:ascii="Book Antiqua" w:hAnsi="Book Antiqua"/>
          <w:bCs/>
        </w:rPr>
        <w:t xml:space="preserve">de un año a otro es de </w:t>
      </w:r>
      <w:r>
        <w:rPr>
          <w:rFonts w:ascii="Book Antiqua" w:hAnsi="Book Antiqua"/>
          <w:b/>
          <w:bCs/>
        </w:rPr>
        <w:t>5</w:t>
      </w:r>
      <w:r w:rsidRPr="00504EE6">
        <w:rPr>
          <w:rFonts w:ascii="Book Antiqua" w:hAnsi="Book Antiqua"/>
          <w:b/>
          <w:bCs/>
        </w:rPr>
        <w:t>%</w:t>
      </w:r>
      <w:r w:rsidRPr="001A2D93">
        <w:rPr>
          <w:rFonts w:ascii="Book Antiqua" w:hAnsi="Book Antiqua"/>
          <w:b/>
          <w:bCs/>
        </w:rPr>
        <w:t>,</w:t>
      </w:r>
      <w:r>
        <w:rPr>
          <w:rFonts w:ascii="Book Antiqua" w:hAnsi="Book Antiqua"/>
          <w:bCs/>
        </w:rPr>
        <w:t xml:space="preserve"> crecimiento porcentual que es equivalente al</w:t>
      </w:r>
      <w:r w:rsidRPr="009F0301">
        <w:rPr>
          <w:rFonts w:ascii="Book Antiqua" w:hAnsi="Book Antiqua"/>
          <w:bCs/>
        </w:rPr>
        <w:t xml:space="preserve"> </w:t>
      </w:r>
      <w:r>
        <w:rPr>
          <w:rFonts w:ascii="Book Antiqua" w:hAnsi="Book Antiqua"/>
          <w:bCs/>
        </w:rPr>
        <w:t xml:space="preserve">definido como </w:t>
      </w:r>
      <w:r w:rsidRPr="009F0301">
        <w:rPr>
          <w:rFonts w:ascii="Book Antiqua" w:hAnsi="Book Antiqua"/>
          <w:bCs/>
        </w:rPr>
        <w:t>lineamiento de</w:t>
      </w:r>
      <w:r>
        <w:rPr>
          <w:rFonts w:ascii="Book Antiqua" w:hAnsi="Book Antiqua"/>
          <w:bCs/>
        </w:rPr>
        <w:t xml:space="preserve"> gasto por la Junta </w:t>
      </w:r>
      <w:r w:rsidRPr="001A2D93">
        <w:rPr>
          <w:rFonts w:ascii="Book Antiqua" w:hAnsi="Book Antiqua"/>
          <w:bCs/>
        </w:rPr>
        <w:t xml:space="preserve">Directiva </w:t>
      </w:r>
      <w:r>
        <w:rPr>
          <w:rFonts w:ascii="Book Antiqua" w:hAnsi="Book Antiqua"/>
          <w:bCs/>
        </w:rPr>
        <w:t>para la partida de Remuneraciones para el 2016.</w:t>
      </w:r>
    </w:p>
    <w:p w14:paraId="7E9DBB2B" w14:textId="77777777" w:rsidR="00813AC2" w:rsidRDefault="00813AC2" w:rsidP="00813AC2">
      <w:pPr>
        <w:jc w:val="both"/>
        <w:rPr>
          <w:rFonts w:ascii="Book Antiqua" w:hAnsi="Book Antiqua"/>
          <w:bCs/>
        </w:rPr>
      </w:pPr>
    </w:p>
    <w:p w14:paraId="042265EC" w14:textId="77777777" w:rsidR="00813AC2" w:rsidRPr="009F0301" w:rsidRDefault="00813AC2" w:rsidP="00813AC2">
      <w:pPr>
        <w:jc w:val="center"/>
        <w:rPr>
          <w:rFonts w:ascii="Book Antiqua" w:hAnsi="Book Antiqua"/>
          <w:b/>
        </w:rPr>
      </w:pPr>
      <w:r w:rsidRPr="009F0301">
        <w:rPr>
          <w:rFonts w:ascii="Book Antiqua" w:hAnsi="Book Antiqua"/>
          <w:b/>
        </w:rPr>
        <w:t>Distribución del Presupuesto Formulado de Salarios</w:t>
      </w:r>
      <w:r>
        <w:rPr>
          <w:rFonts w:ascii="Book Antiqua" w:hAnsi="Book Antiqua"/>
          <w:b/>
        </w:rPr>
        <w:t>,</w:t>
      </w:r>
    </w:p>
    <w:p w14:paraId="36ACC79B" w14:textId="77777777" w:rsidR="00813AC2" w:rsidRPr="009F0301" w:rsidRDefault="00813AC2" w:rsidP="00813AC2">
      <w:pPr>
        <w:jc w:val="center"/>
        <w:rPr>
          <w:rFonts w:ascii="Book Antiqua" w:hAnsi="Book Antiqua"/>
          <w:b/>
        </w:rPr>
      </w:pPr>
      <w:r>
        <w:rPr>
          <w:rFonts w:ascii="Book Antiqua" w:hAnsi="Book Antiqua"/>
          <w:b/>
        </w:rPr>
        <w:t>S</w:t>
      </w:r>
      <w:r w:rsidRPr="009F0301">
        <w:rPr>
          <w:rFonts w:ascii="Book Antiqua" w:hAnsi="Book Antiqua"/>
          <w:b/>
        </w:rPr>
        <w:t>egún Partida por Año, Periodo 20</w:t>
      </w:r>
      <w:r>
        <w:rPr>
          <w:rFonts w:ascii="Book Antiqua" w:hAnsi="Book Antiqua"/>
          <w:b/>
        </w:rPr>
        <w:t>16-2015</w:t>
      </w:r>
    </w:p>
    <w:tbl>
      <w:tblPr>
        <w:tblW w:w="9777" w:type="dxa"/>
        <w:jc w:val="center"/>
        <w:tblLook w:val="0000" w:firstRow="0" w:lastRow="0" w:firstColumn="0" w:lastColumn="0" w:noHBand="0" w:noVBand="0"/>
      </w:tblPr>
      <w:tblGrid>
        <w:gridCol w:w="2518"/>
        <w:gridCol w:w="1927"/>
        <w:gridCol w:w="1862"/>
        <w:gridCol w:w="1615"/>
        <w:gridCol w:w="1855"/>
      </w:tblGrid>
      <w:tr w:rsidR="00813AC2" w:rsidRPr="009F0301" w14:paraId="6C61EAA3" w14:textId="77777777" w:rsidTr="00813AC2">
        <w:trPr>
          <w:trHeight w:val="300"/>
          <w:jc w:val="center"/>
        </w:trPr>
        <w:tc>
          <w:tcPr>
            <w:tcW w:w="2518" w:type="dxa"/>
            <w:tcBorders>
              <w:top w:val="double" w:sz="4" w:space="0" w:color="1A25F8"/>
              <w:left w:val="nil"/>
              <w:bottom w:val="single" w:sz="4" w:space="0" w:color="0000FF"/>
              <w:right w:val="single" w:sz="4" w:space="0" w:color="0000FF"/>
            </w:tcBorders>
            <w:shd w:val="clear" w:color="auto" w:fill="auto"/>
            <w:noWrap/>
            <w:vAlign w:val="center"/>
          </w:tcPr>
          <w:p w14:paraId="1D7259FB" w14:textId="77777777" w:rsidR="00813AC2" w:rsidRPr="009F0301" w:rsidRDefault="00813AC2" w:rsidP="00813AC2">
            <w:pPr>
              <w:spacing w:before="120" w:after="120"/>
              <w:jc w:val="center"/>
              <w:rPr>
                <w:rFonts w:ascii="Book Antiqua" w:hAnsi="Book Antiqua"/>
                <w:b/>
                <w:bCs/>
              </w:rPr>
            </w:pPr>
            <w:r w:rsidRPr="009F0301">
              <w:rPr>
                <w:rFonts w:ascii="Book Antiqua" w:hAnsi="Book Antiqua"/>
                <w:b/>
                <w:bCs/>
              </w:rPr>
              <w:t>Partida</w:t>
            </w:r>
          </w:p>
        </w:tc>
        <w:tc>
          <w:tcPr>
            <w:tcW w:w="1927" w:type="dxa"/>
            <w:tcBorders>
              <w:top w:val="double" w:sz="4" w:space="0" w:color="1A25F8"/>
              <w:left w:val="single" w:sz="4" w:space="0" w:color="0000FF"/>
              <w:bottom w:val="single" w:sz="4" w:space="0" w:color="0000FF"/>
            </w:tcBorders>
            <w:vAlign w:val="center"/>
          </w:tcPr>
          <w:p w14:paraId="46F2AF66" w14:textId="77777777" w:rsidR="00813AC2" w:rsidRPr="009F0301" w:rsidRDefault="00813AC2" w:rsidP="00813AC2">
            <w:pPr>
              <w:spacing w:before="120" w:after="120"/>
              <w:ind w:left="-141" w:firstLine="141"/>
              <w:jc w:val="center"/>
              <w:rPr>
                <w:rFonts w:ascii="Book Antiqua" w:hAnsi="Book Antiqua"/>
                <w:b/>
                <w:bCs/>
              </w:rPr>
            </w:pPr>
            <w:r>
              <w:rPr>
                <w:rFonts w:ascii="Book Antiqua" w:hAnsi="Book Antiqua"/>
                <w:b/>
                <w:bCs/>
              </w:rPr>
              <w:t>2016</w:t>
            </w:r>
          </w:p>
        </w:tc>
        <w:tc>
          <w:tcPr>
            <w:tcW w:w="1862" w:type="dxa"/>
            <w:tcBorders>
              <w:top w:val="double" w:sz="4" w:space="0" w:color="1A25F8"/>
              <w:bottom w:val="single" w:sz="4" w:space="0" w:color="0000FF"/>
            </w:tcBorders>
            <w:shd w:val="clear" w:color="auto" w:fill="auto"/>
            <w:noWrap/>
            <w:vAlign w:val="center"/>
          </w:tcPr>
          <w:p w14:paraId="673FC540" w14:textId="77777777" w:rsidR="00813AC2" w:rsidRPr="009F0301" w:rsidRDefault="00813AC2" w:rsidP="00813AC2">
            <w:pPr>
              <w:spacing w:before="120" w:after="120"/>
              <w:jc w:val="center"/>
              <w:rPr>
                <w:rFonts w:ascii="Book Antiqua" w:hAnsi="Book Antiqua"/>
                <w:b/>
                <w:bCs/>
              </w:rPr>
            </w:pPr>
            <w:r>
              <w:rPr>
                <w:rFonts w:ascii="Book Antiqua" w:hAnsi="Book Antiqua"/>
                <w:b/>
                <w:bCs/>
              </w:rPr>
              <w:t>2015</w:t>
            </w:r>
          </w:p>
        </w:tc>
        <w:tc>
          <w:tcPr>
            <w:tcW w:w="1615" w:type="dxa"/>
            <w:tcBorders>
              <w:top w:val="double" w:sz="4" w:space="0" w:color="1A25F8"/>
              <w:bottom w:val="single" w:sz="4" w:space="0" w:color="0000FF"/>
            </w:tcBorders>
            <w:vAlign w:val="center"/>
          </w:tcPr>
          <w:p w14:paraId="147F295B" w14:textId="77777777" w:rsidR="00813AC2" w:rsidRPr="009F0301" w:rsidRDefault="00813AC2" w:rsidP="00813AC2">
            <w:pPr>
              <w:spacing w:before="120" w:after="120"/>
              <w:jc w:val="center"/>
              <w:rPr>
                <w:rFonts w:ascii="Book Antiqua" w:hAnsi="Book Antiqua"/>
                <w:b/>
                <w:bCs/>
              </w:rPr>
            </w:pPr>
            <w:r>
              <w:rPr>
                <w:rFonts w:ascii="Book Antiqua" w:hAnsi="Book Antiqua"/>
                <w:b/>
                <w:bCs/>
              </w:rPr>
              <w:t>Diferencia</w:t>
            </w:r>
          </w:p>
        </w:tc>
        <w:tc>
          <w:tcPr>
            <w:tcW w:w="1855" w:type="dxa"/>
            <w:tcBorders>
              <w:top w:val="double" w:sz="4" w:space="0" w:color="1A25F8"/>
              <w:bottom w:val="single" w:sz="4" w:space="0" w:color="0000FF"/>
              <w:right w:val="nil"/>
            </w:tcBorders>
            <w:shd w:val="clear" w:color="auto" w:fill="auto"/>
            <w:noWrap/>
            <w:vAlign w:val="center"/>
          </w:tcPr>
          <w:p w14:paraId="6D623A42" w14:textId="77777777" w:rsidR="00813AC2" w:rsidRPr="009F0301" w:rsidRDefault="00813AC2" w:rsidP="00813AC2">
            <w:pPr>
              <w:spacing w:before="120" w:after="120"/>
              <w:jc w:val="center"/>
              <w:rPr>
                <w:rFonts w:ascii="Book Antiqua" w:hAnsi="Book Antiqua"/>
                <w:b/>
                <w:bCs/>
              </w:rPr>
            </w:pPr>
            <w:r w:rsidRPr="009F0301">
              <w:rPr>
                <w:rFonts w:ascii="Book Antiqua" w:hAnsi="Book Antiqua"/>
                <w:b/>
                <w:bCs/>
              </w:rPr>
              <w:t>Variación %</w:t>
            </w:r>
          </w:p>
        </w:tc>
      </w:tr>
      <w:tr w:rsidR="00813AC2" w:rsidRPr="009F0301" w14:paraId="2BDDD519" w14:textId="77777777" w:rsidTr="00813AC2">
        <w:trPr>
          <w:trHeight w:val="300"/>
          <w:jc w:val="center"/>
        </w:trPr>
        <w:tc>
          <w:tcPr>
            <w:tcW w:w="2518" w:type="dxa"/>
            <w:tcBorders>
              <w:top w:val="single" w:sz="4" w:space="0" w:color="0000FF"/>
              <w:left w:val="nil"/>
              <w:bottom w:val="nil"/>
              <w:right w:val="single" w:sz="4" w:space="0" w:color="0000FF"/>
            </w:tcBorders>
            <w:shd w:val="clear" w:color="auto" w:fill="auto"/>
            <w:noWrap/>
            <w:vAlign w:val="bottom"/>
          </w:tcPr>
          <w:p w14:paraId="03736861" w14:textId="77777777" w:rsidR="00813AC2" w:rsidRPr="009F0301" w:rsidRDefault="00813AC2" w:rsidP="00813AC2">
            <w:pPr>
              <w:rPr>
                <w:rFonts w:ascii="Book Antiqua" w:hAnsi="Book Antiqua"/>
              </w:rPr>
            </w:pPr>
            <w:r w:rsidRPr="009F0301">
              <w:rPr>
                <w:rFonts w:ascii="Book Antiqua" w:hAnsi="Book Antiqua"/>
              </w:rPr>
              <w:t>Sueldos Básicos</w:t>
            </w:r>
          </w:p>
        </w:tc>
        <w:tc>
          <w:tcPr>
            <w:tcW w:w="1927" w:type="dxa"/>
            <w:tcBorders>
              <w:top w:val="single" w:sz="4" w:space="0" w:color="0000FF"/>
              <w:left w:val="nil"/>
              <w:bottom w:val="nil"/>
              <w:right w:val="nil"/>
            </w:tcBorders>
            <w:vAlign w:val="bottom"/>
          </w:tcPr>
          <w:p w14:paraId="7D77F9C5" w14:textId="77777777" w:rsidR="00813AC2" w:rsidRDefault="00813AC2" w:rsidP="00813AC2">
            <w:pPr>
              <w:jc w:val="right"/>
              <w:rPr>
                <w:rFonts w:ascii="Book Antiqua" w:hAnsi="Book Antiqua"/>
                <w:sz w:val="22"/>
                <w:szCs w:val="22"/>
              </w:rPr>
            </w:pPr>
            <w:r>
              <w:rPr>
                <w:rFonts w:ascii="Book Antiqua" w:hAnsi="Book Antiqua"/>
                <w:sz w:val="22"/>
                <w:szCs w:val="22"/>
              </w:rPr>
              <w:t>3,501,852,484</w:t>
            </w:r>
          </w:p>
        </w:tc>
        <w:tc>
          <w:tcPr>
            <w:tcW w:w="1862" w:type="dxa"/>
            <w:tcBorders>
              <w:top w:val="single" w:sz="4" w:space="0" w:color="0000FF"/>
              <w:left w:val="nil"/>
              <w:bottom w:val="nil"/>
              <w:right w:val="nil"/>
            </w:tcBorders>
            <w:shd w:val="clear" w:color="auto" w:fill="auto"/>
            <w:noWrap/>
            <w:vAlign w:val="bottom"/>
          </w:tcPr>
          <w:p w14:paraId="7EB60508" w14:textId="77777777" w:rsidR="00813AC2" w:rsidRDefault="00813AC2" w:rsidP="00813AC2">
            <w:pPr>
              <w:jc w:val="right"/>
              <w:rPr>
                <w:rFonts w:ascii="Book Antiqua" w:hAnsi="Book Antiqua"/>
                <w:sz w:val="22"/>
                <w:szCs w:val="22"/>
              </w:rPr>
            </w:pPr>
            <w:r>
              <w:rPr>
                <w:rFonts w:ascii="Book Antiqua" w:hAnsi="Book Antiqua"/>
                <w:sz w:val="22"/>
                <w:szCs w:val="22"/>
              </w:rPr>
              <w:t>3,466,855,340</w:t>
            </w:r>
          </w:p>
        </w:tc>
        <w:tc>
          <w:tcPr>
            <w:tcW w:w="1615" w:type="dxa"/>
            <w:tcBorders>
              <w:top w:val="single" w:sz="4" w:space="0" w:color="0000FF"/>
              <w:left w:val="nil"/>
              <w:bottom w:val="nil"/>
              <w:right w:val="nil"/>
            </w:tcBorders>
            <w:vAlign w:val="bottom"/>
          </w:tcPr>
          <w:p w14:paraId="27EBF786" w14:textId="77777777" w:rsidR="00813AC2" w:rsidRDefault="00813AC2" w:rsidP="00813AC2">
            <w:pPr>
              <w:jc w:val="right"/>
              <w:rPr>
                <w:rFonts w:ascii="Book Antiqua" w:hAnsi="Book Antiqua"/>
                <w:sz w:val="22"/>
                <w:szCs w:val="22"/>
              </w:rPr>
            </w:pPr>
            <w:r>
              <w:rPr>
                <w:rFonts w:ascii="Book Antiqua" w:hAnsi="Book Antiqua"/>
                <w:sz w:val="22"/>
                <w:szCs w:val="22"/>
              </w:rPr>
              <w:t>34,997,144</w:t>
            </w:r>
          </w:p>
        </w:tc>
        <w:tc>
          <w:tcPr>
            <w:tcW w:w="1855" w:type="dxa"/>
            <w:tcBorders>
              <w:top w:val="single" w:sz="4" w:space="0" w:color="0000FF"/>
              <w:left w:val="nil"/>
              <w:bottom w:val="nil"/>
              <w:right w:val="nil"/>
            </w:tcBorders>
            <w:shd w:val="clear" w:color="auto" w:fill="auto"/>
            <w:noWrap/>
            <w:vAlign w:val="bottom"/>
          </w:tcPr>
          <w:p w14:paraId="22838DA6" w14:textId="77777777" w:rsidR="00813AC2" w:rsidRDefault="00813AC2" w:rsidP="00813AC2">
            <w:pPr>
              <w:jc w:val="center"/>
              <w:rPr>
                <w:rFonts w:ascii="Book Antiqua" w:hAnsi="Book Antiqua"/>
                <w:sz w:val="22"/>
                <w:szCs w:val="22"/>
              </w:rPr>
            </w:pPr>
            <w:r>
              <w:rPr>
                <w:rFonts w:ascii="Book Antiqua" w:hAnsi="Book Antiqua"/>
                <w:sz w:val="22"/>
                <w:szCs w:val="22"/>
              </w:rPr>
              <w:t>1.0%</w:t>
            </w:r>
          </w:p>
        </w:tc>
      </w:tr>
      <w:tr w:rsidR="00813AC2" w:rsidRPr="009F0301" w14:paraId="4CC5D8EC" w14:textId="77777777" w:rsidTr="00813AC2">
        <w:trPr>
          <w:trHeight w:val="300"/>
          <w:jc w:val="center"/>
        </w:trPr>
        <w:tc>
          <w:tcPr>
            <w:tcW w:w="2518" w:type="dxa"/>
            <w:tcBorders>
              <w:top w:val="nil"/>
              <w:left w:val="nil"/>
              <w:bottom w:val="nil"/>
              <w:right w:val="single" w:sz="4" w:space="0" w:color="0000FF"/>
            </w:tcBorders>
            <w:shd w:val="clear" w:color="auto" w:fill="auto"/>
            <w:noWrap/>
            <w:vAlign w:val="bottom"/>
          </w:tcPr>
          <w:p w14:paraId="7844F7F8" w14:textId="77777777" w:rsidR="00813AC2" w:rsidRPr="009F0301" w:rsidRDefault="00813AC2" w:rsidP="00813AC2">
            <w:pPr>
              <w:rPr>
                <w:rFonts w:ascii="Book Antiqua" w:hAnsi="Book Antiqua"/>
              </w:rPr>
            </w:pPr>
            <w:r w:rsidRPr="009F0301">
              <w:rPr>
                <w:rFonts w:ascii="Book Antiqua" w:hAnsi="Book Antiqua"/>
              </w:rPr>
              <w:t>Salario Único</w:t>
            </w:r>
          </w:p>
        </w:tc>
        <w:tc>
          <w:tcPr>
            <w:tcW w:w="1927" w:type="dxa"/>
            <w:tcBorders>
              <w:top w:val="nil"/>
              <w:left w:val="nil"/>
              <w:bottom w:val="nil"/>
              <w:right w:val="nil"/>
            </w:tcBorders>
            <w:vAlign w:val="bottom"/>
          </w:tcPr>
          <w:p w14:paraId="08E9E7C6" w14:textId="77777777" w:rsidR="00813AC2" w:rsidRDefault="00813AC2" w:rsidP="00813AC2">
            <w:pPr>
              <w:jc w:val="right"/>
              <w:rPr>
                <w:rFonts w:ascii="Book Antiqua" w:hAnsi="Book Antiqua"/>
                <w:sz w:val="22"/>
                <w:szCs w:val="22"/>
              </w:rPr>
            </w:pPr>
            <w:r>
              <w:rPr>
                <w:rFonts w:ascii="Book Antiqua" w:hAnsi="Book Antiqua"/>
                <w:sz w:val="22"/>
                <w:szCs w:val="22"/>
              </w:rPr>
              <w:t>16,277,512,160</w:t>
            </w:r>
          </w:p>
        </w:tc>
        <w:tc>
          <w:tcPr>
            <w:tcW w:w="1862" w:type="dxa"/>
            <w:tcBorders>
              <w:top w:val="nil"/>
              <w:left w:val="nil"/>
              <w:bottom w:val="nil"/>
              <w:right w:val="nil"/>
            </w:tcBorders>
            <w:shd w:val="clear" w:color="auto" w:fill="auto"/>
            <w:noWrap/>
            <w:vAlign w:val="bottom"/>
          </w:tcPr>
          <w:p w14:paraId="106D4204" w14:textId="77777777" w:rsidR="00813AC2" w:rsidRDefault="00813AC2" w:rsidP="00813AC2">
            <w:pPr>
              <w:jc w:val="right"/>
              <w:rPr>
                <w:rFonts w:ascii="Book Antiqua" w:hAnsi="Book Antiqua"/>
                <w:sz w:val="22"/>
                <w:szCs w:val="22"/>
              </w:rPr>
            </w:pPr>
            <w:r>
              <w:rPr>
                <w:rFonts w:ascii="Book Antiqua" w:hAnsi="Book Antiqua"/>
                <w:sz w:val="22"/>
                <w:szCs w:val="22"/>
              </w:rPr>
              <w:t>15,368,483,936</w:t>
            </w:r>
          </w:p>
        </w:tc>
        <w:tc>
          <w:tcPr>
            <w:tcW w:w="1615" w:type="dxa"/>
            <w:tcBorders>
              <w:top w:val="nil"/>
              <w:left w:val="nil"/>
              <w:bottom w:val="nil"/>
              <w:right w:val="nil"/>
            </w:tcBorders>
            <w:vAlign w:val="bottom"/>
          </w:tcPr>
          <w:p w14:paraId="4A8A57F0" w14:textId="77777777" w:rsidR="00813AC2" w:rsidRDefault="00813AC2" w:rsidP="00813AC2">
            <w:pPr>
              <w:jc w:val="right"/>
              <w:rPr>
                <w:rFonts w:ascii="Book Antiqua" w:hAnsi="Book Antiqua"/>
                <w:sz w:val="22"/>
                <w:szCs w:val="22"/>
              </w:rPr>
            </w:pPr>
            <w:r>
              <w:rPr>
                <w:rFonts w:ascii="Book Antiqua" w:hAnsi="Book Antiqua"/>
                <w:sz w:val="22"/>
                <w:szCs w:val="22"/>
              </w:rPr>
              <w:t>909,028,224</w:t>
            </w:r>
          </w:p>
        </w:tc>
        <w:tc>
          <w:tcPr>
            <w:tcW w:w="1855" w:type="dxa"/>
            <w:tcBorders>
              <w:top w:val="nil"/>
              <w:left w:val="nil"/>
              <w:bottom w:val="nil"/>
              <w:right w:val="nil"/>
            </w:tcBorders>
            <w:shd w:val="clear" w:color="auto" w:fill="auto"/>
            <w:noWrap/>
            <w:vAlign w:val="bottom"/>
          </w:tcPr>
          <w:p w14:paraId="385C6CC7" w14:textId="77777777" w:rsidR="00813AC2" w:rsidRDefault="00813AC2" w:rsidP="00813AC2">
            <w:pPr>
              <w:jc w:val="center"/>
              <w:rPr>
                <w:rFonts w:ascii="Book Antiqua" w:hAnsi="Book Antiqua"/>
                <w:sz w:val="22"/>
                <w:szCs w:val="22"/>
              </w:rPr>
            </w:pPr>
            <w:r>
              <w:rPr>
                <w:rFonts w:ascii="Book Antiqua" w:hAnsi="Book Antiqua"/>
                <w:sz w:val="22"/>
                <w:szCs w:val="22"/>
              </w:rPr>
              <w:t>5.9%</w:t>
            </w:r>
          </w:p>
        </w:tc>
      </w:tr>
      <w:tr w:rsidR="00813AC2" w:rsidRPr="009F0301" w14:paraId="0FF7F44A" w14:textId="77777777" w:rsidTr="00813AC2">
        <w:trPr>
          <w:trHeight w:val="300"/>
          <w:jc w:val="center"/>
        </w:trPr>
        <w:tc>
          <w:tcPr>
            <w:tcW w:w="2518" w:type="dxa"/>
            <w:tcBorders>
              <w:top w:val="nil"/>
              <w:left w:val="nil"/>
              <w:bottom w:val="nil"/>
              <w:right w:val="single" w:sz="4" w:space="0" w:color="0000FF"/>
            </w:tcBorders>
            <w:shd w:val="clear" w:color="auto" w:fill="auto"/>
            <w:noWrap/>
            <w:vAlign w:val="bottom"/>
          </w:tcPr>
          <w:p w14:paraId="5D1FAC46" w14:textId="77777777" w:rsidR="00813AC2" w:rsidRPr="009F0301" w:rsidRDefault="00813AC2" w:rsidP="00813AC2">
            <w:pPr>
              <w:rPr>
                <w:rFonts w:ascii="Book Antiqua" w:hAnsi="Book Antiqua"/>
              </w:rPr>
            </w:pPr>
            <w:r w:rsidRPr="009F0301">
              <w:rPr>
                <w:rFonts w:ascii="Book Antiqua" w:hAnsi="Book Antiqua"/>
              </w:rPr>
              <w:t>Servicios especiales</w:t>
            </w:r>
          </w:p>
        </w:tc>
        <w:tc>
          <w:tcPr>
            <w:tcW w:w="1927" w:type="dxa"/>
            <w:tcBorders>
              <w:top w:val="nil"/>
              <w:left w:val="nil"/>
              <w:bottom w:val="nil"/>
              <w:right w:val="nil"/>
            </w:tcBorders>
            <w:vAlign w:val="bottom"/>
          </w:tcPr>
          <w:p w14:paraId="2320F1C4" w14:textId="77777777" w:rsidR="00813AC2" w:rsidRDefault="00813AC2" w:rsidP="00813AC2">
            <w:pPr>
              <w:jc w:val="right"/>
              <w:rPr>
                <w:rFonts w:ascii="Book Antiqua" w:hAnsi="Book Antiqua"/>
                <w:sz w:val="22"/>
                <w:szCs w:val="22"/>
              </w:rPr>
            </w:pPr>
            <w:r>
              <w:rPr>
                <w:rFonts w:ascii="Book Antiqua" w:hAnsi="Book Antiqua"/>
                <w:sz w:val="22"/>
                <w:szCs w:val="22"/>
              </w:rPr>
              <w:t>1,027,911,248</w:t>
            </w:r>
          </w:p>
        </w:tc>
        <w:tc>
          <w:tcPr>
            <w:tcW w:w="1862" w:type="dxa"/>
            <w:tcBorders>
              <w:top w:val="nil"/>
              <w:left w:val="nil"/>
              <w:bottom w:val="nil"/>
              <w:right w:val="nil"/>
            </w:tcBorders>
            <w:shd w:val="clear" w:color="auto" w:fill="auto"/>
            <w:noWrap/>
            <w:vAlign w:val="bottom"/>
          </w:tcPr>
          <w:p w14:paraId="41E7BB1A" w14:textId="77777777" w:rsidR="00813AC2" w:rsidRDefault="00813AC2" w:rsidP="00813AC2">
            <w:pPr>
              <w:jc w:val="right"/>
              <w:rPr>
                <w:rFonts w:ascii="Book Antiqua" w:hAnsi="Book Antiqua"/>
                <w:sz w:val="22"/>
                <w:szCs w:val="22"/>
              </w:rPr>
            </w:pPr>
            <w:r>
              <w:rPr>
                <w:rFonts w:ascii="Book Antiqua" w:hAnsi="Book Antiqua"/>
                <w:sz w:val="22"/>
                <w:szCs w:val="22"/>
              </w:rPr>
              <w:t>985,352,836</w:t>
            </w:r>
          </w:p>
        </w:tc>
        <w:tc>
          <w:tcPr>
            <w:tcW w:w="1615" w:type="dxa"/>
            <w:tcBorders>
              <w:top w:val="nil"/>
              <w:left w:val="nil"/>
              <w:bottom w:val="nil"/>
              <w:right w:val="nil"/>
            </w:tcBorders>
            <w:vAlign w:val="bottom"/>
          </w:tcPr>
          <w:p w14:paraId="7201B88C" w14:textId="77777777" w:rsidR="00813AC2" w:rsidRDefault="00813AC2" w:rsidP="00813AC2">
            <w:pPr>
              <w:jc w:val="right"/>
              <w:rPr>
                <w:rFonts w:ascii="Book Antiqua" w:hAnsi="Book Antiqua"/>
                <w:sz w:val="22"/>
                <w:szCs w:val="22"/>
              </w:rPr>
            </w:pPr>
            <w:r>
              <w:rPr>
                <w:rFonts w:ascii="Book Antiqua" w:hAnsi="Book Antiqua"/>
                <w:sz w:val="22"/>
                <w:szCs w:val="22"/>
              </w:rPr>
              <w:t>42,558,412</w:t>
            </w:r>
          </w:p>
        </w:tc>
        <w:tc>
          <w:tcPr>
            <w:tcW w:w="1855" w:type="dxa"/>
            <w:tcBorders>
              <w:top w:val="nil"/>
              <w:left w:val="nil"/>
              <w:bottom w:val="nil"/>
              <w:right w:val="nil"/>
            </w:tcBorders>
            <w:shd w:val="clear" w:color="auto" w:fill="auto"/>
            <w:noWrap/>
            <w:vAlign w:val="bottom"/>
          </w:tcPr>
          <w:p w14:paraId="4711C679" w14:textId="77777777" w:rsidR="00813AC2" w:rsidRDefault="00813AC2" w:rsidP="00813AC2">
            <w:pPr>
              <w:jc w:val="center"/>
              <w:rPr>
                <w:rFonts w:ascii="Book Antiqua" w:hAnsi="Book Antiqua"/>
                <w:sz w:val="22"/>
                <w:szCs w:val="22"/>
              </w:rPr>
            </w:pPr>
            <w:r>
              <w:rPr>
                <w:rFonts w:ascii="Book Antiqua" w:hAnsi="Book Antiqua"/>
                <w:sz w:val="22"/>
                <w:szCs w:val="22"/>
              </w:rPr>
              <w:t>4.3%</w:t>
            </w:r>
          </w:p>
        </w:tc>
      </w:tr>
      <w:tr w:rsidR="00813AC2" w:rsidRPr="009F0301" w14:paraId="7F53B2CA" w14:textId="77777777" w:rsidTr="00813AC2">
        <w:trPr>
          <w:trHeight w:val="300"/>
          <w:jc w:val="center"/>
        </w:trPr>
        <w:tc>
          <w:tcPr>
            <w:tcW w:w="2518" w:type="dxa"/>
            <w:tcBorders>
              <w:top w:val="nil"/>
              <w:left w:val="nil"/>
              <w:bottom w:val="nil"/>
              <w:right w:val="single" w:sz="4" w:space="0" w:color="0000FF"/>
            </w:tcBorders>
            <w:shd w:val="clear" w:color="auto" w:fill="auto"/>
            <w:noWrap/>
            <w:vAlign w:val="bottom"/>
          </w:tcPr>
          <w:p w14:paraId="366376AD" w14:textId="77777777" w:rsidR="00813AC2" w:rsidRPr="009F0301" w:rsidRDefault="00813AC2" w:rsidP="00813AC2">
            <w:pPr>
              <w:rPr>
                <w:rFonts w:ascii="Book Antiqua" w:hAnsi="Book Antiqua"/>
              </w:rPr>
            </w:pPr>
            <w:r w:rsidRPr="009F0301">
              <w:rPr>
                <w:rFonts w:ascii="Book Antiqua" w:hAnsi="Book Antiqua"/>
              </w:rPr>
              <w:t xml:space="preserve">Anualidad </w:t>
            </w:r>
          </w:p>
        </w:tc>
        <w:tc>
          <w:tcPr>
            <w:tcW w:w="1927" w:type="dxa"/>
            <w:tcBorders>
              <w:top w:val="nil"/>
              <w:left w:val="nil"/>
              <w:bottom w:val="nil"/>
              <w:right w:val="nil"/>
            </w:tcBorders>
            <w:vAlign w:val="bottom"/>
          </w:tcPr>
          <w:p w14:paraId="20CCA2BE" w14:textId="77777777" w:rsidR="00813AC2" w:rsidRDefault="00813AC2" w:rsidP="00813AC2">
            <w:pPr>
              <w:jc w:val="right"/>
              <w:rPr>
                <w:rFonts w:ascii="Book Antiqua" w:hAnsi="Book Antiqua"/>
                <w:sz w:val="22"/>
                <w:szCs w:val="22"/>
              </w:rPr>
            </w:pPr>
            <w:r>
              <w:rPr>
                <w:rFonts w:ascii="Book Antiqua" w:hAnsi="Book Antiqua"/>
                <w:sz w:val="22"/>
                <w:szCs w:val="22"/>
              </w:rPr>
              <w:t>2,334,185,524</w:t>
            </w:r>
          </w:p>
        </w:tc>
        <w:tc>
          <w:tcPr>
            <w:tcW w:w="1862" w:type="dxa"/>
            <w:tcBorders>
              <w:top w:val="nil"/>
              <w:left w:val="nil"/>
              <w:bottom w:val="nil"/>
              <w:right w:val="nil"/>
            </w:tcBorders>
            <w:shd w:val="clear" w:color="auto" w:fill="auto"/>
            <w:noWrap/>
            <w:vAlign w:val="bottom"/>
          </w:tcPr>
          <w:p w14:paraId="658C08F8" w14:textId="77777777" w:rsidR="00813AC2" w:rsidRDefault="00813AC2" w:rsidP="00813AC2">
            <w:pPr>
              <w:jc w:val="right"/>
              <w:rPr>
                <w:rFonts w:ascii="Book Antiqua" w:hAnsi="Book Antiqua"/>
                <w:sz w:val="22"/>
                <w:szCs w:val="22"/>
              </w:rPr>
            </w:pPr>
            <w:r>
              <w:rPr>
                <w:rFonts w:ascii="Book Antiqua" w:hAnsi="Book Antiqua"/>
                <w:sz w:val="22"/>
                <w:szCs w:val="22"/>
              </w:rPr>
              <w:t>2,279,439,768</w:t>
            </w:r>
          </w:p>
        </w:tc>
        <w:tc>
          <w:tcPr>
            <w:tcW w:w="1615" w:type="dxa"/>
            <w:tcBorders>
              <w:top w:val="nil"/>
              <w:left w:val="nil"/>
              <w:bottom w:val="nil"/>
              <w:right w:val="nil"/>
            </w:tcBorders>
            <w:vAlign w:val="bottom"/>
          </w:tcPr>
          <w:p w14:paraId="484109E7" w14:textId="77777777" w:rsidR="00813AC2" w:rsidRDefault="00813AC2" w:rsidP="00813AC2">
            <w:pPr>
              <w:jc w:val="right"/>
              <w:rPr>
                <w:rFonts w:ascii="Book Antiqua" w:hAnsi="Book Antiqua"/>
                <w:sz w:val="22"/>
                <w:szCs w:val="22"/>
              </w:rPr>
            </w:pPr>
            <w:r>
              <w:rPr>
                <w:rFonts w:ascii="Book Antiqua" w:hAnsi="Book Antiqua"/>
                <w:sz w:val="22"/>
                <w:szCs w:val="22"/>
              </w:rPr>
              <w:t>54,745,757</w:t>
            </w:r>
          </w:p>
        </w:tc>
        <w:tc>
          <w:tcPr>
            <w:tcW w:w="1855" w:type="dxa"/>
            <w:tcBorders>
              <w:top w:val="nil"/>
              <w:left w:val="nil"/>
              <w:bottom w:val="nil"/>
              <w:right w:val="nil"/>
            </w:tcBorders>
            <w:shd w:val="clear" w:color="auto" w:fill="auto"/>
            <w:noWrap/>
            <w:vAlign w:val="bottom"/>
          </w:tcPr>
          <w:p w14:paraId="0225CDC5" w14:textId="77777777" w:rsidR="00813AC2" w:rsidRDefault="00813AC2" w:rsidP="00813AC2">
            <w:pPr>
              <w:jc w:val="center"/>
              <w:rPr>
                <w:rFonts w:ascii="Book Antiqua" w:hAnsi="Book Antiqua"/>
                <w:sz w:val="22"/>
                <w:szCs w:val="22"/>
              </w:rPr>
            </w:pPr>
            <w:r>
              <w:rPr>
                <w:rFonts w:ascii="Book Antiqua" w:hAnsi="Book Antiqua"/>
                <w:sz w:val="22"/>
                <w:szCs w:val="22"/>
              </w:rPr>
              <w:t>2.4%</w:t>
            </w:r>
          </w:p>
        </w:tc>
      </w:tr>
      <w:tr w:rsidR="00813AC2" w:rsidRPr="009F0301" w14:paraId="043ECE73" w14:textId="77777777" w:rsidTr="00813AC2">
        <w:trPr>
          <w:trHeight w:val="300"/>
          <w:jc w:val="center"/>
        </w:trPr>
        <w:tc>
          <w:tcPr>
            <w:tcW w:w="2518" w:type="dxa"/>
            <w:tcBorders>
              <w:top w:val="nil"/>
              <w:left w:val="nil"/>
              <w:bottom w:val="nil"/>
              <w:right w:val="single" w:sz="4" w:space="0" w:color="0000FF"/>
            </w:tcBorders>
            <w:shd w:val="clear" w:color="auto" w:fill="auto"/>
            <w:noWrap/>
            <w:vAlign w:val="bottom"/>
          </w:tcPr>
          <w:p w14:paraId="48FEE060" w14:textId="77777777" w:rsidR="00813AC2" w:rsidRPr="009F0301" w:rsidRDefault="00813AC2" w:rsidP="00813AC2">
            <w:pPr>
              <w:rPr>
                <w:rFonts w:ascii="Book Antiqua" w:hAnsi="Book Antiqua"/>
              </w:rPr>
            </w:pPr>
            <w:r w:rsidRPr="009F0301">
              <w:rPr>
                <w:rFonts w:ascii="Book Antiqua" w:hAnsi="Book Antiqua"/>
              </w:rPr>
              <w:t>Méritos</w:t>
            </w:r>
          </w:p>
        </w:tc>
        <w:tc>
          <w:tcPr>
            <w:tcW w:w="1927" w:type="dxa"/>
            <w:tcBorders>
              <w:top w:val="nil"/>
              <w:left w:val="nil"/>
              <w:bottom w:val="nil"/>
              <w:right w:val="nil"/>
            </w:tcBorders>
            <w:vAlign w:val="bottom"/>
          </w:tcPr>
          <w:p w14:paraId="74F2B07E" w14:textId="77777777" w:rsidR="00813AC2" w:rsidRDefault="00813AC2" w:rsidP="00813AC2">
            <w:pPr>
              <w:jc w:val="right"/>
              <w:rPr>
                <w:rFonts w:ascii="Book Antiqua" w:hAnsi="Book Antiqua"/>
                <w:sz w:val="22"/>
                <w:szCs w:val="22"/>
              </w:rPr>
            </w:pPr>
            <w:r>
              <w:rPr>
                <w:rFonts w:ascii="Book Antiqua" w:hAnsi="Book Antiqua"/>
                <w:sz w:val="22"/>
                <w:szCs w:val="22"/>
              </w:rPr>
              <w:t>2,975,618,824</w:t>
            </w:r>
          </w:p>
        </w:tc>
        <w:tc>
          <w:tcPr>
            <w:tcW w:w="1862" w:type="dxa"/>
            <w:tcBorders>
              <w:top w:val="nil"/>
              <w:left w:val="nil"/>
              <w:bottom w:val="nil"/>
              <w:right w:val="nil"/>
            </w:tcBorders>
            <w:shd w:val="clear" w:color="auto" w:fill="auto"/>
            <w:noWrap/>
            <w:vAlign w:val="bottom"/>
          </w:tcPr>
          <w:p w14:paraId="1D69C803" w14:textId="77777777" w:rsidR="00813AC2" w:rsidRDefault="00813AC2" w:rsidP="00813AC2">
            <w:pPr>
              <w:jc w:val="right"/>
              <w:rPr>
                <w:rFonts w:ascii="Book Antiqua" w:hAnsi="Book Antiqua"/>
                <w:sz w:val="22"/>
                <w:szCs w:val="22"/>
              </w:rPr>
            </w:pPr>
            <w:r>
              <w:rPr>
                <w:rFonts w:ascii="Book Antiqua" w:hAnsi="Book Antiqua"/>
                <w:sz w:val="22"/>
                <w:szCs w:val="22"/>
              </w:rPr>
              <w:t>2,771,772,499</w:t>
            </w:r>
          </w:p>
        </w:tc>
        <w:tc>
          <w:tcPr>
            <w:tcW w:w="1615" w:type="dxa"/>
            <w:tcBorders>
              <w:top w:val="nil"/>
              <w:left w:val="nil"/>
              <w:bottom w:val="nil"/>
              <w:right w:val="nil"/>
            </w:tcBorders>
            <w:vAlign w:val="center"/>
          </w:tcPr>
          <w:p w14:paraId="7E2AE6D7" w14:textId="77777777" w:rsidR="00813AC2" w:rsidRDefault="00813AC2" w:rsidP="00813AC2">
            <w:pPr>
              <w:jc w:val="right"/>
              <w:rPr>
                <w:rFonts w:ascii="Book Antiqua" w:hAnsi="Book Antiqua"/>
                <w:sz w:val="22"/>
                <w:szCs w:val="22"/>
              </w:rPr>
            </w:pPr>
            <w:r>
              <w:rPr>
                <w:rFonts w:ascii="Book Antiqua" w:hAnsi="Book Antiqua"/>
                <w:sz w:val="22"/>
                <w:szCs w:val="22"/>
              </w:rPr>
              <w:t>203,846,325</w:t>
            </w:r>
          </w:p>
        </w:tc>
        <w:tc>
          <w:tcPr>
            <w:tcW w:w="1855" w:type="dxa"/>
            <w:tcBorders>
              <w:top w:val="nil"/>
              <w:left w:val="nil"/>
              <w:bottom w:val="nil"/>
              <w:right w:val="nil"/>
            </w:tcBorders>
            <w:shd w:val="clear" w:color="auto" w:fill="auto"/>
            <w:noWrap/>
            <w:vAlign w:val="center"/>
          </w:tcPr>
          <w:p w14:paraId="4EE6B872" w14:textId="77777777" w:rsidR="00813AC2" w:rsidRDefault="00813AC2" w:rsidP="00813AC2">
            <w:pPr>
              <w:jc w:val="center"/>
              <w:rPr>
                <w:rFonts w:ascii="Book Antiqua" w:hAnsi="Book Antiqua"/>
                <w:sz w:val="22"/>
                <w:szCs w:val="22"/>
              </w:rPr>
            </w:pPr>
            <w:r>
              <w:rPr>
                <w:rFonts w:ascii="Book Antiqua" w:hAnsi="Book Antiqua"/>
                <w:sz w:val="22"/>
                <w:szCs w:val="22"/>
              </w:rPr>
              <w:t>7.4%</w:t>
            </w:r>
          </w:p>
        </w:tc>
      </w:tr>
      <w:tr w:rsidR="00813AC2" w:rsidRPr="009F0301" w14:paraId="13B2ACB4" w14:textId="77777777" w:rsidTr="00813AC2">
        <w:trPr>
          <w:trHeight w:val="300"/>
          <w:jc w:val="center"/>
        </w:trPr>
        <w:tc>
          <w:tcPr>
            <w:tcW w:w="2518" w:type="dxa"/>
            <w:tcBorders>
              <w:top w:val="nil"/>
              <w:left w:val="nil"/>
              <w:bottom w:val="nil"/>
              <w:right w:val="single" w:sz="4" w:space="0" w:color="0000FF"/>
            </w:tcBorders>
            <w:shd w:val="clear" w:color="auto" w:fill="auto"/>
            <w:noWrap/>
            <w:vAlign w:val="bottom"/>
          </w:tcPr>
          <w:p w14:paraId="7882CDDE" w14:textId="77777777" w:rsidR="00813AC2" w:rsidRPr="009F0301" w:rsidRDefault="00813AC2" w:rsidP="00813AC2">
            <w:pPr>
              <w:rPr>
                <w:rFonts w:ascii="Book Antiqua" w:hAnsi="Book Antiqua"/>
              </w:rPr>
            </w:pPr>
            <w:r w:rsidRPr="00504EE6">
              <w:rPr>
                <w:rFonts w:ascii="Book Antiqua" w:hAnsi="Book Antiqua"/>
                <w:sz w:val="20"/>
              </w:rPr>
              <w:t>Bonificación profesional</w:t>
            </w:r>
          </w:p>
        </w:tc>
        <w:tc>
          <w:tcPr>
            <w:tcW w:w="1927" w:type="dxa"/>
            <w:tcBorders>
              <w:top w:val="nil"/>
              <w:left w:val="nil"/>
              <w:bottom w:val="nil"/>
              <w:right w:val="nil"/>
            </w:tcBorders>
            <w:vAlign w:val="bottom"/>
          </w:tcPr>
          <w:p w14:paraId="4D20B16A" w14:textId="77777777" w:rsidR="00813AC2" w:rsidRDefault="00813AC2" w:rsidP="00813AC2">
            <w:pPr>
              <w:jc w:val="right"/>
              <w:rPr>
                <w:rFonts w:ascii="Book Antiqua" w:hAnsi="Book Antiqua"/>
                <w:sz w:val="22"/>
                <w:szCs w:val="22"/>
              </w:rPr>
            </w:pPr>
            <w:r>
              <w:rPr>
                <w:rFonts w:ascii="Book Antiqua" w:hAnsi="Book Antiqua"/>
                <w:sz w:val="22"/>
                <w:szCs w:val="22"/>
              </w:rPr>
              <w:t>617,862,752</w:t>
            </w:r>
          </w:p>
        </w:tc>
        <w:tc>
          <w:tcPr>
            <w:tcW w:w="1862" w:type="dxa"/>
            <w:tcBorders>
              <w:top w:val="nil"/>
              <w:left w:val="nil"/>
              <w:bottom w:val="nil"/>
              <w:right w:val="nil"/>
            </w:tcBorders>
            <w:shd w:val="clear" w:color="auto" w:fill="auto"/>
            <w:noWrap/>
            <w:vAlign w:val="bottom"/>
          </w:tcPr>
          <w:p w14:paraId="7A42FB68" w14:textId="77777777" w:rsidR="00813AC2" w:rsidRDefault="00813AC2" w:rsidP="00813AC2">
            <w:pPr>
              <w:jc w:val="right"/>
              <w:rPr>
                <w:rFonts w:ascii="Book Antiqua" w:hAnsi="Book Antiqua"/>
                <w:sz w:val="22"/>
                <w:szCs w:val="22"/>
              </w:rPr>
            </w:pPr>
            <w:r>
              <w:rPr>
                <w:rFonts w:ascii="Book Antiqua" w:hAnsi="Book Antiqua"/>
                <w:sz w:val="22"/>
                <w:szCs w:val="22"/>
              </w:rPr>
              <w:t>590,321,888</w:t>
            </w:r>
          </w:p>
        </w:tc>
        <w:tc>
          <w:tcPr>
            <w:tcW w:w="1615" w:type="dxa"/>
            <w:tcBorders>
              <w:top w:val="nil"/>
              <w:left w:val="nil"/>
              <w:bottom w:val="nil"/>
              <w:right w:val="nil"/>
            </w:tcBorders>
            <w:vAlign w:val="bottom"/>
          </w:tcPr>
          <w:p w14:paraId="76B3C50E" w14:textId="77777777" w:rsidR="00813AC2" w:rsidRDefault="00813AC2" w:rsidP="00813AC2">
            <w:pPr>
              <w:jc w:val="right"/>
              <w:rPr>
                <w:rFonts w:ascii="Book Antiqua" w:hAnsi="Book Antiqua"/>
                <w:sz w:val="22"/>
                <w:szCs w:val="22"/>
              </w:rPr>
            </w:pPr>
            <w:r>
              <w:rPr>
                <w:rFonts w:ascii="Book Antiqua" w:hAnsi="Book Antiqua"/>
                <w:sz w:val="22"/>
                <w:szCs w:val="22"/>
              </w:rPr>
              <w:t>27,540,864</w:t>
            </w:r>
          </w:p>
        </w:tc>
        <w:tc>
          <w:tcPr>
            <w:tcW w:w="1855" w:type="dxa"/>
            <w:tcBorders>
              <w:top w:val="nil"/>
              <w:left w:val="nil"/>
              <w:bottom w:val="nil"/>
              <w:right w:val="nil"/>
            </w:tcBorders>
            <w:shd w:val="clear" w:color="auto" w:fill="auto"/>
            <w:noWrap/>
            <w:vAlign w:val="bottom"/>
          </w:tcPr>
          <w:p w14:paraId="699BA916" w14:textId="77777777" w:rsidR="00813AC2" w:rsidRDefault="00813AC2" w:rsidP="00813AC2">
            <w:pPr>
              <w:jc w:val="center"/>
              <w:rPr>
                <w:rFonts w:ascii="Book Antiqua" w:hAnsi="Book Antiqua"/>
                <w:sz w:val="22"/>
                <w:szCs w:val="22"/>
              </w:rPr>
            </w:pPr>
            <w:r>
              <w:rPr>
                <w:rFonts w:ascii="Book Antiqua" w:hAnsi="Book Antiqua"/>
                <w:sz w:val="22"/>
                <w:szCs w:val="22"/>
              </w:rPr>
              <w:t>4.7%</w:t>
            </w:r>
          </w:p>
        </w:tc>
      </w:tr>
      <w:tr w:rsidR="00813AC2" w:rsidRPr="009F0301" w14:paraId="565ECCCE" w14:textId="77777777" w:rsidTr="00813AC2">
        <w:trPr>
          <w:trHeight w:val="300"/>
          <w:jc w:val="center"/>
        </w:trPr>
        <w:tc>
          <w:tcPr>
            <w:tcW w:w="2518" w:type="dxa"/>
            <w:tcBorders>
              <w:top w:val="nil"/>
              <w:left w:val="nil"/>
              <w:bottom w:val="nil"/>
              <w:right w:val="single" w:sz="4" w:space="0" w:color="0000FF"/>
            </w:tcBorders>
            <w:shd w:val="clear" w:color="auto" w:fill="auto"/>
            <w:noWrap/>
            <w:vAlign w:val="bottom"/>
          </w:tcPr>
          <w:p w14:paraId="48982498" w14:textId="77777777" w:rsidR="00813AC2" w:rsidRPr="009F0301" w:rsidRDefault="00813AC2" w:rsidP="00813AC2">
            <w:pPr>
              <w:rPr>
                <w:rFonts w:ascii="Book Antiqua" w:hAnsi="Book Antiqua"/>
              </w:rPr>
            </w:pPr>
            <w:r w:rsidRPr="009F0301">
              <w:rPr>
                <w:rFonts w:ascii="Book Antiqua" w:hAnsi="Book Antiqua"/>
              </w:rPr>
              <w:t xml:space="preserve">Prohibición </w:t>
            </w:r>
          </w:p>
        </w:tc>
        <w:tc>
          <w:tcPr>
            <w:tcW w:w="1927" w:type="dxa"/>
            <w:tcBorders>
              <w:top w:val="nil"/>
              <w:left w:val="nil"/>
              <w:bottom w:val="nil"/>
              <w:right w:val="nil"/>
            </w:tcBorders>
            <w:vAlign w:val="bottom"/>
          </w:tcPr>
          <w:p w14:paraId="0FC0C5B2" w14:textId="77777777" w:rsidR="00813AC2" w:rsidRDefault="00813AC2" w:rsidP="00813AC2">
            <w:pPr>
              <w:jc w:val="right"/>
              <w:rPr>
                <w:rFonts w:ascii="Book Antiqua" w:hAnsi="Book Antiqua"/>
                <w:sz w:val="22"/>
                <w:szCs w:val="22"/>
              </w:rPr>
            </w:pPr>
            <w:r>
              <w:rPr>
                <w:rFonts w:ascii="Book Antiqua" w:hAnsi="Book Antiqua"/>
                <w:sz w:val="22"/>
                <w:szCs w:val="22"/>
              </w:rPr>
              <w:t>668,265,421</w:t>
            </w:r>
          </w:p>
        </w:tc>
        <w:tc>
          <w:tcPr>
            <w:tcW w:w="1862" w:type="dxa"/>
            <w:tcBorders>
              <w:top w:val="nil"/>
              <w:left w:val="nil"/>
              <w:bottom w:val="nil"/>
              <w:right w:val="nil"/>
            </w:tcBorders>
            <w:shd w:val="clear" w:color="auto" w:fill="auto"/>
            <w:noWrap/>
            <w:vAlign w:val="bottom"/>
          </w:tcPr>
          <w:p w14:paraId="716CF568" w14:textId="77777777" w:rsidR="00813AC2" w:rsidRDefault="00813AC2" w:rsidP="00813AC2">
            <w:pPr>
              <w:jc w:val="right"/>
              <w:rPr>
                <w:rFonts w:ascii="Book Antiqua" w:hAnsi="Book Antiqua"/>
                <w:sz w:val="22"/>
                <w:szCs w:val="22"/>
              </w:rPr>
            </w:pPr>
            <w:r>
              <w:rPr>
                <w:rFonts w:ascii="Book Antiqua" w:hAnsi="Book Antiqua"/>
                <w:sz w:val="22"/>
                <w:szCs w:val="22"/>
              </w:rPr>
              <w:t>649,930,977</w:t>
            </w:r>
          </w:p>
        </w:tc>
        <w:tc>
          <w:tcPr>
            <w:tcW w:w="1615" w:type="dxa"/>
            <w:tcBorders>
              <w:top w:val="nil"/>
              <w:left w:val="nil"/>
              <w:bottom w:val="nil"/>
              <w:right w:val="nil"/>
            </w:tcBorders>
            <w:vAlign w:val="bottom"/>
          </w:tcPr>
          <w:p w14:paraId="7C0F9C60" w14:textId="77777777" w:rsidR="00813AC2" w:rsidRDefault="00813AC2" w:rsidP="00813AC2">
            <w:pPr>
              <w:jc w:val="right"/>
              <w:rPr>
                <w:rFonts w:ascii="Book Antiqua" w:hAnsi="Book Antiqua"/>
                <w:sz w:val="22"/>
                <w:szCs w:val="22"/>
              </w:rPr>
            </w:pPr>
            <w:r>
              <w:rPr>
                <w:rFonts w:ascii="Book Antiqua" w:hAnsi="Book Antiqua"/>
                <w:sz w:val="22"/>
                <w:szCs w:val="22"/>
              </w:rPr>
              <w:t>18,334,443</w:t>
            </w:r>
          </w:p>
        </w:tc>
        <w:tc>
          <w:tcPr>
            <w:tcW w:w="1855" w:type="dxa"/>
            <w:tcBorders>
              <w:top w:val="nil"/>
              <w:left w:val="nil"/>
              <w:bottom w:val="nil"/>
              <w:right w:val="nil"/>
            </w:tcBorders>
            <w:shd w:val="clear" w:color="auto" w:fill="auto"/>
            <w:noWrap/>
            <w:vAlign w:val="bottom"/>
          </w:tcPr>
          <w:p w14:paraId="7DEF09FB" w14:textId="77777777" w:rsidR="00813AC2" w:rsidRDefault="00813AC2" w:rsidP="00813AC2">
            <w:pPr>
              <w:jc w:val="center"/>
              <w:rPr>
                <w:rFonts w:ascii="Book Antiqua" w:hAnsi="Book Antiqua"/>
                <w:sz w:val="22"/>
                <w:szCs w:val="22"/>
              </w:rPr>
            </w:pPr>
            <w:r>
              <w:rPr>
                <w:rFonts w:ascii="Book Antiqua" w:hAnsi="Book Antiqua"/>
                <w:sz w:val="22"/>
                <w:szCs w:val="22"/>
              </w:rPr>
              <w:t>2.8%</w:t>
            </w:r>
          </w:p>
        </w:tc>
      </w:tr>
      <w:tr w:rsidR="00813AC2" w:rsidRPr="009F0301" w14:paraId="73CB1439" w14:textId="77777777" w:rsidTr="00813AC2">
        <w:trPr>
          <w:trHeight w:val="300"/>
          <w:jc w:val="center"/>
        </w:trPr>
        <w:tc>
          <w:tcPr>
            <w:tcW w:w="2518" w:type="dxa"/>
            <w:tcBorders>
              <w:top w:val="nil"/>
              <w:left w:val="nil"/>
              <w:right w:val="single" w:sz="4" w:space="0" w:color="0000FF"/>
            </w:tcBorders>
            <w:shd w:val="clear" w:color="auto" w:fill="auto"/>
            <w:noWrap/>
            <w:vAlign w:val="bottom"/>
          </w:tcPr>
          <w:p w14:paraId="0DE3E6F6" w14:textId="77777777" w:rsidR="00813AC2" w:rsidRPr="009F0301" w:rsidRDefault="00813AC2" w:rsidP="00813AC2">
            <w:pPr>
              <w:rPr>
                <w:rFonts w:ascii="Book Antiqua" w:hAnsi="Book Antiqua"/>
              </w:rPr>
            </w:pPr>
            <w:r w:rsidRPr="009F0301">
              <w:rPr>
                <w:rFonts w:ascii="Book Antiqua" w:hAnsi="Book Antiqua"/>
              </w:rPr>
              <w:t>Ajuste Personal</w:t>
            </w:r>
          </w:p>
        </w:tc>
        <w:tc>
          <w:tcPr>
            <w:tcW w:w="1927" w:type="dxa"/>
            <w:tcBorders>
              <w:top w:val="nil"/>
              <w:left w:val="nil"/>
              <w:right w:val="nil"/>
            </w:tcBorders>
            <w:vAlign w:val="bottom"/>
          </w:tcPr>
          <w:p w14:paraId="7B2022F6" w14:textId="77777777" w:rsidR="00813AC2" w:rsidRDefault="00813AC2" w:rsidP="00813AC2">
            <w:pPr>
              <w:jc w:val="right"/>
              <w:rPr>
                <w:rFonts w:ascii="Book Antiqua" w:hAnsi="Book Antiqua"/>
                <w:sz w:val="22"/>
                <w:szCs w:val="22"/>
              </w:rPr>
            </w:pPr>
            <w:r>
              <w:rPr>
                <w:rFonts w:ascii="Book Antiqua" w:hAnsi="Book Antiqua"/>
                <w:sz w:val="22"/>
                <w:szCs w:val="22"/>
              </w:rPr>
              <w:t>11,171,787</w:t>
            </w:r>
          </w:p>
        </w:tc>
        <w:tc>
          <w:tcPr>
            <w:tcW w:w="1862" w:type="dxa"/>
            <w:tcBorders>
              <w:top w:val="nil"/>
              <w:left w:val="nil"/>
              <w:right w:val="nil"/>
            </w:tcBorders>
            <w:shd w:val="clear" w:color="auto" w:fill="auto"/>
            <w:noWrap/>
            <w:vAlign w:val="bottom"/>
          </w:tcPr>
          <w:p w14:paraId="1AEA2F08" w14:textId="77777777" w:rsidR="00813AC2" w:rsidRDefault="00813AC2" w:rsidP="00813AC2">
            <w:pPr>
              <w:jc w:val="right"/>
              <w:rPr>
                <w:rFonts w:ascii="Book Antiqua" w:hAnsi="Book Antiqua"/>
                <w:sz w:val="22"/>
                <w:szCs w:val="22"/>
              </w:rPr>
            </w:pPr>
            <w:r>
              <w:rPr>
                <w:rFonts w:ascii="Book Antiqua" w:hAnsi="Book Antiqua"/>
                <w:sz w:val="22"/>
                <w:szCs w:val="22"/>
              </w:rPr>
              <w:t>12,305,405</w:t>
            </w:r>
          </w:p>
        </w:tc>
        <w:tc>
          <w:tcPr>
            <w:tcW w:w="1615" w:type="dxa"/>
            <w:tcBorders>
              <w:top w:val="nil"/>
              <w:left w:val="nil"/>
              <w:right w:val="nil"/>
            </w:tcBorders>
            <w:vAlign w:val="bottom"/>
          </w:tcPr>
          <w:p w14:paraId="251AFC88" w14:textId="77777777" w:rsidR="00813AC2" w:rsidRDefault="00813AC2" w:rsidP="00813AC2">
            <w:pPr>
              <w:jc w:val="right"/>
              <w:rPr>
                <w:rFonts w:ascii="Book Antiqua" w:hAnsi="Book Antiqua"/>
                <w:sz w:val="22"/>
                <w:szCs w:val="22"/>
              </w:rPr>
            </w:pPr>
            <w:r>
              <w:rPr>
                <w:rFonts w:ascii="Book Antiqua" w:hAnsi="Book Antiqua"/>
                <w:sz w:val="22"/>
                <w:szCs w:val="22"/>
              </w:rPr>
              <w:t>-1,133,618</w:t>
            </w:r>
          </w:p>
        </w:tc>
        <w:tc>
          <w:tcPr>
            <w:tcW w:w="1855" w:type="dxa"/>
            <w:tcBorders>
              <w:top w:val="nil"/>
              <w:left w:val="nil"/>
              <w:right w:val="nil"/>
            </w:tcBorders>
            <w:shd w:val="clear" w:color="auto" w:fill="auto"/>
            <w:noWrap/>
            <w:vAlign w:val="bottom"/>
          </w:tcPr>
          <w:p w14:paraId="1756B0D8" w14:textId="77777777" w:rsidR="00813AC2" w:rsidRDefault="00813AC2" w:rsidP="00813AC2">
            <w:pPr>
              <w:jc w:val="center"/>
              <w:rPr>
                <w:rFonts w:ascii="Book Antiqua" w:hAnsi="Book Antiqua"/>
                <w:sz w:val="22"/>
                <w:szCs w:val="22"/>
              </w:rPr>
            </w:pPr>
            <w:r>
              <w:rPr>
                <w:rFonts w:ascii="Book Antiqua" w:hAnsi="Book Antiqua"/>
                <w:sz w:val="22"/>
                <w:szCs w:val="22"/>
              </w:rPr>
              <w:t>-9.2%</w:t>
            </w:r>
          </w:p>
        </w:tc>
      </w:tr>
      <w:tr w:rsidR="00813AC2" w:rsidRPr="009F0301" w14:paraId="23FDAD4E" w14:textId="77777777" w:rsidTr="00EE55AD">
        <w:trPr>
          <w:trHeight w:val="315"/>
          <w:jc w:val="center"/>
        </w:trPr>
        <w:tc>
          <w:tcPr>
            <w:tcW w:w="2518" w:type="dxa"/>
            <w:tcBorders>
              <w:top w:val="nil"/>
              <w:left w:val="nil"/>
              <w:bottom w:val="single" w:sz="4" w:space="0" w:color="auto"/>
              <w:right w:val="single" w:sz="4" w:space="0" w:color="0000FF"/>
            </w:tcBorders>
            <w:shd w:val="clear" w:color="auto" w:fill="auto"/>
            <w:noWrap/>
            <w:vAlign w:val="bottom"/>
          </w:tcPr>
          <w:p w14:paraId="50D3D308" w14:textId="77777777" w:rsidR="00813AC2" w:rsidRPr="009F0301" w:rsidRDefault="00813AC2" w:rsidP="00813AC2">
            <w:pPr>
              <w:rPr>
                <w:rFonts w:ascii="Book Antiqua" w:hAnsi="Book Antiqua"/>
                <w:bCs/>
              </w:rPr>
            </w:pPr>
            <w:r w:rsidRPr="009F0301">
              <w:rPr>
                <w:rFonts w:ascii="Book Antiqua" w:hAnsi="Book Antiqua"/>
                <w:bCs/>
              </w:rPr>
              <w:t>Ajuste de mercado</w:t>
            </w:r>
          </w:p>
        </w:tc>
        <w:tc>
          <w:tcPr>
            <w:tcW w:w="1927" w:type="dxa"/>
            <w:tcBorders>
              <w:top w:val="nil"/>
              <w:left w:val="nil"/>
              <w:bottom w:val="single" w:sz="4" w:space="0" w:color="auto"/>
              <w:right w:val="nil"/>
            </w:tcBorders>
            <w:vAlign w:val="bottom"/>
          </w:tcPr>
          <w:p w14:paraId="6953AB5A" w14:textId="77777777" w:rsidR="00813AC2" w:rsidRDefault="00813AC2" w:rsidP="00813AC2">
            <w:pPr>
              <w:jc w:val="right"/>
              <w:rPr>
                <w:rFonts w:ascii="Book Antiqua" w:hAnsi="Book Antiqua"/>
                <w:sz w:val="22"/>
                <w:szCs w:val="22"/>
              </w:rPr>
            </w:pPr>
            <w:r>
              <w:rPr>
                <w:rFonts w:ascii="Book Antiqua" w:hAnsi="Book Antiqua"/>
                <w:sz w:val="22"/>
                <w:szCs w:val="22"/>
              </w:rPr>
              <w:t>98,610,452</w:t>
            </w:r>
          </w:p>
        </w:tc>
        <w:tc>
          <w:tcPr>
            <w:tcW w:w="1862" w:type="dxa"/>
            <w:tcBorders>
              <w:top w:val="nil"/>
              <w:left w:val="nil"/>
              <w:bottom w:val="single" w:sz="4" w:space="0" w:color="auto"/>
              <w:right w:val="nil"/>
            </w:tcBorders>
            <w:shd w:val="clear" w:color="auto" w:fill="auto"/>
            <w:noWrap/>
            <w:vAlign w:val="bottom"/>
          </w:tcPr>
          <w:p w14:paraId="49E1868B" w14:textId="77777777" w:rsidR="00813AC2" w:rsidRDefault="00813AC2" w:rsidP="00813AC2">
            <w:pPr>
              <w:jc w:val="right"/>
              <w:rPr>
                <w:rFonts w:ascii="Book Antiqua" w:hAnsi="Book Antiqua"/>
                <w:sz w:val="22"/>
                <w:szCs w:val="22"/>
              </w:rPr>
            </w:pPr>
            <w:r>
              <w:rPr>
                <w:rFonts w:ascii="Book Antiqua" w:hAnsi="Book Antiqua"/>
                <w:sz w:val="22"/>
                <w:szCs w:val="22"/>
              </w:rPr>
              <w:t>81,604,396</w:t>
            </w:r>
          </w:p>
        </w:tc>
        <w:tc>
          <w:tcPr>
            <w:tcW w:w="1615" w:type="dxa"/>
            <w:tcBorders>
              <w:top w:val="nil"/>
              <w:left w:val="nil"/>
              <w:bottom w:val="single" w:sz="4" w:space="0" w:color="auto"/>
              <w:right w:val="nil"/>
            </w:tcBorders>
            <w:vAlign w:val="bottom"/>
          </w:tcPr>
          <w:p w14:paraId="6BF35D15" w14:textId="77777777" w:rsidR="00813AC2" w:rsidRDefault="00813AC2" w:rsidP="00813AC2">
            <w:pPr>
              <w:jc w:val="right"/>
              <w:rPr>
                <w:rFonts w:ascii="Book Antiqua" w:hAnsi="Book Antiqua"/>
                <w:sz w:val="22"/>
                <w:szCs w:val="22"/>
              </w:rPr>
            </w:pPr>
            <w:r>
              <w:rPr>
                <w:rFonts w:ascii="Book Antiqua" w:hAnsi="Book Antiqua"/>
                <w:sz w:val="22"/>
                <w:szCs w:val="22"/>
              </w:rPr>
              <w:t>17,006,056</w:t>
            </w:r>
          </w:p>
        </w:tc>
        <w:tc>
          <w:tcPr>
            <w:tcW w:w="1855" w:type="dxa"/>
            <w:tcBorders>
              <w:top w:val="nil"/>
              <w:left w:val="nil"/>
              <w:bottom w:val="single" w:sz="4" w:space="0" w:color="auto"/>
              <w:right w:val="nil"/>
            </w:tcBorders>
            <w:shd w:val="clear" w:color="auto" w:fill="auto"/>
            <w:noWrap/>
            <w:vAlign w:val="bottom"/>
          </w:tcPr>
          <w:p w14:paraId="7246DF9E" w14:textId="77777777" w:rsidR="00813AC2" w:rsidRDefault="00813AC2" w:rsidP="00813AC2">
            <w:pPr>
              <w:jc w:val="center"/>
              <w:rPr>
                <w:rFonts w:ascii="Book Antiqua" w:hAnsi="Book Antiqua"/>
                <w:sz w:val="22"/>
                <w:szCs w:val="22"/>
              </w:rPr>
            </w:pPr>
            <w:r>
              <w:rPr>
                <w:rFonts w:ascii="Book Antiqua" w:hAnsi="Book Antiqua"/>
                <w:sz w:val="22"/>
                <w:szCs w:val="22"/>
              </w:rPr>
              <w:t>20.8%</w:t>
            </w:r>
          </w:p>
        </w:tc>
      </w:tr>
      <w:tr w:rsidR="00813AC2" w:rsidRPr="009F0301" w14:paraId="67EDA365" w14:textId="77777777" w:rsidTr="00EE55AD">
        <w:trPr>
          <w:trHeight w:val="315"/>
          <w:jc w:val="center"/>
        </w:trPr>
        <w:tc>
          <w:tcPr>
            <w:tcW w:w="2518" w:type="dxa"/>
            <w:tcBorders>
              <w:top w:val="single" w:sz="4" w:space="0" w:color="auto"/>
              <w:left w:val="nil"/>
              <w:bottom w:val="double" w:sz="6" w:space="0" w:color="0000FF"/>
              <w:right w:val="single" w:sz="4" w:space="0" w:color="0000FF"/>
            </w:tcBorders>
            <w:shd w:val="clear" w:color="auto" w:fill="auto"/>
            <w:noWrap/>
            <w:vAlign w:val="bottom"/>
          </w:tcPr>
          <w:p w14:paraId="55EE5B62" w14:textId="77777777" w:rsidR="00813AC2" w:rsidRPr="009F0301" w:rsidRDefault="00813AC2" w:rsidP="00813AC2">
            <w:pPr>
              <w:rPr>
                <w:rFonts w:ascii="Book Antiqua" w:hAnsi="Book Antiqua"/>
                <w:b/>
                <w:bCs/>
              </w:rPr>
            </w:pPr>
            <w:r w:rsidRPr="009F0301">
              <w:rPr>
                <w:rFonts w:ascii="Book Antiqua" w:hAnsi="Book Antiqua"/>
                <w:b/>
                <w:bCs/>
              </w:rPr>
              <w:t>Total</w:t>
            </w:r>
          </w:p>
        </w:tc>
        <w:tc>
          <w:tcPr>
            <w:tcW w:w="1927" w:type="dxa"/>
            <w:tcBorders>
              <w:top w:val="single" w:sz="4" w:space="0" w:color="auto"/>
              <w:left w:val="nil"/>
              <w:bottom w:val="double" w:sz="6" w:space="0" w:color="0000FF"/>
              <w:right w:val="nil"/>
            </w:tcBorders>
            <w:vAlign w:val="bottom"/>
          </w:tcPr>
          <w:p w14:paraId="34349478" w14:textId="77777777" w:rsidR="00813AC2" w:rsidRDefault="00813AC2" w:rsidP="00813AC2">
            <w:pPr>
              <w:jc w:val="right"/>
              <w:rPr>
                <w:rFonts w:ascii="Book Antiqua" w:hAnsi="Book Antiqua"/>
                <w:b/>
                <w:bCs/>
                <w:sz w:val="22"/>
                <w:szCs w:val="22"/>
              </w:rPr>
            </w:pPr>
            <w:r>
              <w:rPr>
                <w:rFonts w:ascii="Book Antiqua" w:hAnsi="Book Antiqua"/>
                <w:b/>
                <w:bCs/>
                <w:sz w:val="22"/>
                <w:szCs w:val="22"/>
              </w:rPr>
              <w:t>27,512,990,651</w:t>
            </w:r>
          </w:p>
        </w:tc>
        <w:tc>
          <w:tcPr>
            <w:tcW w:w="1862" w:type="dxa"/>
            <w:tcBorders>
              <w:top w:val="single" w:sz="4" w:space="0" w:color="auto"/>
              <w:left w:val="nil"/>
              <w:bottom w:val="double" w:sz="6" w:space="0" w:color="0000FF"/>
              <w:right w:val="nil"/>
            </w:tcBorders>
            <w:shd w:val="clear" w:color="auto" w:fill="auto"/>
            <w:noWrap/>
            <w:vAlign w:val="bottom"/>
          </w:tcPr>
          <w:p w14:paraId="60309F93" w14:textId="77777777" w:rsidR="00813AC2" w:rsidRDefault="00813AC2" w:rsidP="00813AC2">
            <w:pPr>
              <w:jc w:val="right"/>
              <w:rPr>
                <w:rFonts w:ascii="Book Antiqua" w:hAnsi="Book Antiqua"/>
                <w:b/>
                <w:bCs/>
                <w:sz w:val="22"/>
                <w:szCs w:val="22"/>
              </w:rPr>
            </w:pPr>
            <w:r>
              <w:rPr>
                <w:rFonts w:ascii="Book Antiqua" w:hAnsi="Book Antiqua"/>
                <w:b/>
                <w:bCs/>
                <w:sz w:val="22"/>
                <w:szCs w:val="22"/>
              </w:rPr>
              <w:t>26,206,067,045</w:t>
            </w:r>
          </w:p>
        </w:tc>
        <w:tc>
          <w:tcPr>
            <w:tcW w:w="1615" w:type="dxa"/>
            <w:tcBorders>
              <w:top w:val="single" w:sz="4" w:space="0" w:color="auto"/>
              <w:left w:val="nil"/>
              <w:bottom w:val="double" w:sz="6" w:space="0" w:color="0000FF"/>
              <w:right w:val="nil"/>
            </w:tcBorders>
            <w:vAlign w:val="bottom"/>
          </w:tcPr>
          <w:p w14:paraId="4466BE64" w14:textId="77777777" w:rsidR="00813AC2" w:rsidRDefault="00813AC2" w:rsidP="00813AC2">
            <w:pPr>
              <w:jc w:val="right"/>
              <w:rPr>
                <w:rFonts w:ascii="Book Antiqua" w:hAnsi="Book Antiqua"/>
                <w:b/>
                <w:bCs/>
                <w:sz w:val="22"/>
                <w:szCs w:val="22"/>
              </w:rPr>
            </w:pPr>
            <w:r>
              <w:rPr>
                <w:rFonts w:ascii="Book Antiqua" w:hAnsi="Book Antiqua"/>
                <w:b/>
                <w:bCs/>
                <w:sz w:val="22"/>
                <w:szCs w:val="22"/>
              </w:rPr>
              <w:t>1,306,923,607</w:t>
            </w:r>
          </w:p>
        </w:tc>
        <w:tc>
          <w:tcPr>
            <w:tcW w:w="1855" w:type="dxa"/>
            <w:tcBorders>
              <w:top w:val="single" w:sz="4" w:space="0" w:color="auto"/>
              <w:left w:val="nil"/>
              <w:bottom w:val="double" w:sz="6" w:space="0" w:color="0000FF"/>
              <w:right w:val="nil"/>
            </w:tcBorders>
            <w:shd w:val="clear" w:color="auto" w:fill="auto"/>
            <w:noWrap/>
            <w:vAlign w:val="bottom"/>
          </w:tcPr>
          <w:p w14:paraId="34A2E310" w14:textId="77777777" w:rsidR="00813AC2" w:rsidRDefault="00813AC2" w:rsidP="00813AC2">
            <w:pPr>
              <w:jc w:val="center"/>
              <w:rPr>
                <w:rFonts w:ascii="Book Antiqua" w:hAnsi="Book Antiqua"/>
                <w:b/>
                <w:bCs/>
                <w:sz w:val="22"/>
                <w:szCs w:val="22"/>
              </w:rPr>
            </w:pPr>
            <w:r>
              <w:rPr>
                <w:rFonts w:ascii="Book Antiqua" w:hAnsi="Book Antiqua"/>
                <w:b/>
                <w:bCs/>
                <w:sz w:val="22"/>
                <w:szCs w:val="22"/>
              </w:rPr>
              <w:t>5.0%</w:t>
            </w:r>
          </w:p>
        </w:tc>
      </w:tr>
    </w:tbl>
    <w:p w14:paraId="22A23794" w14:textId="77777777" w:rsidR="00813AC2" w:rsidRDefault="00813AC2" w:rsidP="00813AC2">
      <w:pPr>
        <w:tabs>
          <w:tab w:val="left" w:pos="3765"/>
        </w:tabs>
        <w:jc w:val="both"/>
        <w:rPr>
          <w:rFonts w:ascii="Book Antiqua" w:hAnsi="Book Antiqua"/>
        </w:rPr>
      </w:pPr>
    </w:p>
    <w:p w14:paraId="248CC0C1" w14:textId="77777777" w:rsidR="00813AC2" w:rsidRDefault="00813AC2" w:rsidP="00813AC2">
      <w:pPr>
        <w:tabs>
          <w:tab w:val="left" w:pos="3765"/>
        </w:tabs>
        <w:jc w:val="both"/>
        <w:rPr>
          <w:rFonts w:ascii="Book Antiqua" w:hAnsi="Book Antiqua"/>
        </w:rPr>
      </w:pPr>
      <w:r w:rsidRPr="00FF0144">
        <w:rPr>
          <w:rFonts w:ascii="Book Antiqua" w:hAnsi="Book Antiqua"/>
        </w:rPr>
        <w:t xml:space="preserve">Las disminuciones observadas </w:t>
      </w:r>
      <w:r>
        <w:rPr>
          <w:rFonts w:ascii="Book Antiqua" w:hAnsi="Book Antiqua"/>
        </w:rPr>
        <w:t xml:space="preserve">en algunas partidas </w:t>
      </w:r>
      <w:r w:rsidRPr="00FF0144">
        <w:rPr>
          <w:rFonts w:ascii="Book Antiqua" w:hAnsi="Book Antiqua"/>
        </w:rPr>
        <w:t xml:space="preserve">entre un año y otro tienen su explicación </w:t>
      </w:r>
      <w:r>
        <w:rPr>
          <w:rFonts w:ascii="Book Antiqua" w:hAnsi="Book Antiqua"/>
        </w:rPr>
        <w:t>en</w:t>
      </w:r>
      <w:r w:rsidRPr="00FF0144">
        <w:rPr>
          <w:rFonts w:ascii="Book Antiqua" w:hAnsi="Book Antiqua"/>
        </w:rPr>
        <w:t xml:space="preserve"> tres distintas situaciones. Con la salida de personal de básico más pluses la partida de </w:t>
      </w:r>
      <w:r>
        <w:rPr>
          <w:rFonts w:ascii="Book Antiqua" w:hAnsi="Book Antiqua"/>
        </w:rPr>
        <w:t>“</w:t>
      </w:r>
      <w:r w:rsidRPr="00FF0144">
        <w:rPr>
          <w:rFonts w:ascii="Book Antiqua" w:hAnsi="Book Antiqua"/>
        </w:rPr>
        <w:t>ajuste personal</w:t>
      </w:r>
      <w:r>
        <w:rPr>
          <w:rFonts w:ascii="Book Antiqua" w:hAnsi="Book Antiqua"/>
        </w:rPr>
        <w:t>”</w:t>
      </w:r>
      <w:r w:rsidRPr="00FF0144">
        <w:rPr>
          <w:rFonts w:ascii="Book Antiqua" w:hAnsi="Book Antiqua"/>
        </w:rPr>
        <w:t xml:space="preserve"> tiende a disminuir cada año, debido a que </w:t>
      </w:r>
      <w:r>
        <w:rPr>
          <w:rFonts w:ascii="Book Antiqua" w:hAnsi="Book Antiqua"/>
        </w:rPr>
        <w:t>este es</w:t>
      </w:r>
      <w:r w:rsidRPr="00FF0144">
        <w:rPr>
          <w:rFonts w:ascii="Book Antiqua" w:hAnsi="Book Antiqua"/>
        </w:rPr>
        <w:t xml:space="preserve"> un monto invariable </w:t>
      </w:r>
      <w:r>
        <w:rPr>
          <w:rFonts w:ascii="Book Antiqua" w:hAnsi="Book Antiqua"/>
        </w:rPr>
        <w:t xml:space="preserve">y </w:t>
      </w:r>
      <w:r w:rsidRPr="00FF0144">
        <w:rPr>
          <w:rFonts w:ascii="Book Antiqua" w:hAnsi="Book Antiqua"/>
        </w:rPr>
        <w:t>que solo disminuirá con la salida de personal</w:t>
      </w:r>
      <w:r>
        <w:rPr>
          <w:rFonts w:ascii="Book Antiqua" w:hAnsi="Book Antiqua"/>
        </w:rPr>
        <w:t xml:space="preserve"> y la partida de sueldos básicos, a pesar de su crecimiento anualmente, el hecho de que haya menos plazas en la escala de básico más pluses afecta el crecimiento en dicha partida.</w:t>
      </w:r>
    </w:p>
    <w:p w14:paraId="46CB6835" w14:textId="77777777" w:rsidR="00813AC2" w:rsidRDefault="00813AC2" w:rsidP="00813AC2">
      <w:pPr>
        <w:tabs>
          <w:tab w:val="left" w:pos="3765"/>
        </w:tabs>
        <w:jc w:val="both"/>
        <w:rPr>
          <w:rFonts w:ascii="Book Antiqua" w:hAnsi="Book Antiqua"/>
        </w:rPr>
      </w:pPr>
    </w:p>
    <w:p w14:paraId="046986A9" w14:textId="77777777" w:rsidR="00813AC2" w:rsidRDefault="00813AC2" w:rsidP="00813AC2">
      <w:pPr>
        <w:tabs>
          <w:tab w:val="left" w:pos="3765"/>
        </w:tabs>
        <w:jc w:val="both"/>
        <w:rPr>
          <w:rFonts w:ascii="Book Antiqua" w:hAnsi="Book Antiqua"/>
        </w:rPr>
      </w:pPr>
      <w:r>
        <w:rPr>
          <w:rFonts w:ascii="Book Antiqua" w:hAnsi="Book Antiqua"/>
        </w:rPr>
        <w:t>Las partidas de A</w:t>
      </w:r>
      <w:r w:rsidRPr="00FF0144">
        <w:rPr>
          <w:rFonts w:ascii="Book Antiqua" w:hAnsi="Book Antiqua"/>
        </w:rPr>
        <w:t xml:space="preserve">juste de </w:t>
      </w:r>
      <w:r>
        <w:rPr>
          <w:rFonts w:ascii="Book Antiqua" w:hAnsi="Book Antiqua"/>
        </w:rPr>
        <w:t>m</w:t>
      </w:r>
      <w:r w:rsidRPr="00FF0144">
        <w:rPr>
          <w:rFonts w:ascii="Book Antiqua" w:hAnsi="Book Antiqua"/>
        </w:rPr>
        <w:t>ercado</w:t>
      </w:r>
      <w:r>
        <w:rPr>
          <w:rFonts w:ascii="Book Antiqua" w:hAnsi="Book Antiqua"/>
        </w:rPr>
        <w:t>, Bonificación profesional, méritos y en menor medida anualidades, fueron estimadas con cierto grado de holgura que permita mantenerlas con un crecimiento superior al definido para el salario básico.</w:t>
      </w:r>
    </w:p>
    <w:p w14:paraId="5F5FA6DB" w14:textId="77777777" w:rsidR="00813AC2" w:rsidRDefault="00813AC2" w:rsidP="00813AC2">
      <w:pPr>
        <w:tabs>
          <w:tab w:val="left" w:pos="3765"/>
        </w:tabs>
        <w:jc w:val="both"/>
        <w:rPr>
          <w:rFonts w:ascii="Book Antiqua" w:hAnsi="Book Antiqua"/>
        </w:rPr>
      </w:pPr>
    </w:p>
    <w:p w14:paraId="739118DD" w14:textId="77777777" w:rsidR="00813AC2" w:rsidRPr="00FF0144" w:rsidRDefault="00813AC2" w:rsidP="00813AC2">
      <w:pPr>
        <w:tabs>
          <w:tab w:val="left" w:pos="3765"/>
        </w:tabs>
        <w:jc w:val="both"/>
        <w:rPr>
          <w:rFonts w:ascii="Book Antiqua" w:hAnsi="Book Antiqua"/>
        </w:rPr>
      </w:pPr>
      <w:r>
        <w:rPr>
          <w:rFonts w:ascii="Book Antiqua" w:hAnsi="Book Antiqua"/>
        </w:rPr>
        <w:t xml:space="preserve">Los crecimientos observados en las partidas de salarios globales y servicios especiales no son tan elevados como se presentó el crecimiento en la variación de planilla, debido a que la mayor parte de las plazas durante el 2015 mantuvo un crecimiento mayormente asociado al 60% del valor del IPC y por ende la variación salarial fue la mínima. </w:t>
      </w:r>
      <w:r w:rsidRPr="00FF0144">
        <w:rPr>
          <w:rFonts w:ascii="Book Antiqua" w:hAnsi="Book Antiqua"/>
        </w:rPr>
        <w:t xml:space="preserve"> </w:t>
      </w:r>
    </w:p>
    <w:p w14:paraId="2073D969" w14:textId="77777777" w:rsidR="00813AC2" w:rsidRDefault="00813AC2" w:rsidP="00813AC2">
      <w:pPr>
        <w:tabs>
          <w:tab w:val="left" w:pos="3765"/>
        </w:tabs>
        <w:jc w:val="both"/>
        <w:rPr>
          <w:rFonts w:ascii="Book Antiqua" w:hAnsi="Book Antiqua"/>
        </w:rPr>
      </w:pPr>
    </w:p>
    <w:p w14:paraId="17686631" w14:textId="77777777" w:rsidR="00813AC2" w:rsidRDefault="00813AC2" w:rsidP="00813AC2">
      <w:pPr>
        <w:tabs>
          <w:tab w:val="left" w:pos="3765"/>
        </w:tabs>
        <w:jc w:val="both"/>
        <w:rPr>
          <w:rFonts w:ascii="Book Antiqua" w:hAnsi="Book Antiqua"/>
        </w:rPr>
      </w:pPr>
    </w:p>
    <w:p w14:paraId="1B251F80" w14:textId="77777777" w:rsidR="00813AC2" w:rsidRPr="00EE55AD" w:rsidRDefault="00813AC2" w:rsidP="00813AC2">
      <w:pPr>
        <w:jc w:val="center"/>
        <w:rPr>
          <w:rFonts w:ascii="Book Antiqua" w:hAnsi="Book Antiqua"/>
          <w:b/>
          <w:sz w:val="20"/>
        </w:rPr>
      </w:pPr>
      <w:r w:rsidRPr="00EE55AD">
        <w:rPr>
          <w:rFonts w:ascii="Book Antiqua" w:hAnsi="Book Antiqua"/>
          <w:b/>
          <w:sz w:val="20"/>
        </w:rPr>
        <w:lastRenderedPageBreak/>
        <w:t>Distribución del Presupuesto Formulado de Salarios,</w:t>
      </w:r>
    </w:p>
    <w:p w14:paraId="7A361FBA" w14:textId="77777777" w:rsidR="00813AC2" w:rsidRPr="00EE55AD" w:rsidRDefault="00813AC2" w:rsidP="00813AC2">
      <w:pPr>
        <w:jc w:val="center"/>
        <w:rPr>
          <w:rFonts w:ascii="Book Antiqua" w:hAnsi="Book Antiqua"/>
          <w:b/>
          <w:sz w:val="20"/>
        </w:rPr>
      </w:pPr>
      <w:r w:rsidRPr="00EE55AD">
        <w:rPr>
          <w:rFonts w:ascii="Book Antiqua" w:hAnsi="Book Antiqua"/>
          <w:b/>
          <w:sz w:val="20"/>
        </w:rPr>
        <w:t>Según Partida por Año, Período 2016-2015, BCCR</w:t>
      </w:r>
    </w:p>
    <w:tbl>
      <w:tblPr>
        <w:tblW w:w="9777" w:type="dxa"/>
        <w:jc w:val="center"/>
        <w:tblLook w:val="0000" w:firstRow="0" w:lastRow="0" w:firstColumn="0" w:lastColumn="0" w:noHBand="0" w:noVBand="0"/>
      </w:tblPr>
      <w:tblGrid>
        <w:gridCol w:w="2518"/>
        <w:gridCol w:w="1927"/>
        <w:gridCol w:w="1862"/>
        <w:gridCol w:w="1615"/>
        <w:gridCol w:w="1855"/>
      </w:tblGrid>
      <w:tr w:rsidR="00813AC2" w:rsidRPr="00EE55AD" w14:paraId="5F5D39D9" w14:textId="77777777" w:rsidTr="00813AC2">
        <w:trPr>
          <w:trHeight w:val="315"/>
          <w:jc w:val="center"/>
        </w:trPr>
        <w:tc>
          <w:tcPr>
            <w:tcW w:w="2518" w:type="dxa"/>
            <w:tcBorders>
              <w:top w:val="double" w:sz="4" w:space="0" w:color="1A25F8"/>
              <w:left w:val="nil"/>
              <w:bottom w:val="single" w:sz="4" w:space="0" w:color="0000FF"/>
              <w:right w:val="single" w:sz="4" w:space="0" w:color="0000FF"/>
            </w:tcBorders>
            <w:shd w:val="clear" w:color="auto" w:fill="auto"/>
            <w:vAlign w:val="center"/>
          </w:tcPr>
          <w:p w14:paraId="096C258C" w14:textId="77777777" w:rsidR="00813AC2" w:rsidRPr="00EE55AD" w:rsidRDefault="00813AC2" w:rsidP="00813AC2">
            <w:pPr>
              <w:spacing w:before="120" w:after="120"/>
              <w:jc w:val="center"/>
              <w:rPr>
                <w:rFonts w:ascii="Book Antiqua" w:hAnsi="Book Antiqua"/>
                <w:b/>
                <w:bCs/>
                <w:sz w:val="20"/>
              </w:rPr>
            </w:pPr>
            <w:r w:rsidRPr="00EE55AD">
              <w:rPr>
                <w:rFonts w:ascii="Book Antiqua" w:hAnsi="Book Antiqua"/>
                <w:b/>
                <w:bCs/>
                <w:sz w:val="20"/>
              </w:rPr>
              <w:t>Partida</w:t>
            </w:r>
          </w:p>
        </w:tc>
        <w:tc>
          <w:tcPr>
            <w:tcW w:w="1927" w:type="dxa"/>
            <w:tcBorders>
              <w:top w:val="double" w:sz="4" w:space="0" w:color="1A25F8"/>
              <w:left w:val="nil"/>
              <w:bottom w:val="single" w:sz="4" w:space="0" w:color="0000FF"/>
              <w:right w:val="nil"/>
            </w:tcBorders>
            <w:vAlign w:val="center"/>
          </w:tcPr>
          <w:p w14:paraId="14E932D2" w14:textId="77777777" w:rsidR="00813AC2" w:rsidRPr="00EE55AD" w:rsidRDefault="00813AC2" w:rsidP="00813AC2">
            <w:pPr>
              <w:spacing w:before="120" w:after="120"/>
              <w:ind w:left="-141" w:firstLine="141"/>
              <w:jc w:val="center"/>
              <w:rPr>
                <w:rFonts w:ascii="Book Antiqua" w:hAnsi="Book Antiqua"/>
                <w:b/>
                <w:bCs/>
                <w:sz w:val="20"/>
              </w:rPr>
            </w:pPr>
            <w:r w:rsidRPr="00EE55AD">
              <w:rPr>
                <w:rFonts w:ascii="Book Antiqua" w:hAnsi="Book Antiqua"/>
                <w:b/>
                <w:bCs/>
                <w:sz w:val="20"/>
              </w:rPr>
              <w:t>2015</w:t>
            </w:r>
          </w:p>
        </w:tc>
        <w:tc>
          <w:tcPr>
            <w:tcW w:w="1862" w:type="dxa"/>
            <w:tcBorders>
              <w:top w:val="double" w:sz="4" w:space="0" w:color="1A25F8"/>
              <w:left w:val="nil"/>
              <w:bottom w:val="single" w:sz="4" w:space="0" w:color="0000FF"/>
              <w:right w:val="nil"/>
            </w:tcBorders>
            <w:shd w:val="clear" w:color="auto" w:fill="auto"/>
            <w:noWrap/>
            <w:vAlign w:val="center"/>
          </w:tcPr>
          <w:p w14:paraId="514F564A" w14:textId="77777777" w:rsidR="00813AC2" w:rsidRPr="00EE55AD" w:rsidRDefault="00813AC2" w:rsidP="00813AC2">
            <w:pPr>
              <w:spacing w:before="120" w:after="120"/>
              <w:jc w:val="center"/>
              <w:rPr>
                <w:rFonts w:ascii="Book Antiqua" w:hAnsi="Book Antiqua"/>
                <w:b/>
                <w:bCs/>
                <w:sz w:val="20"/>
              </w:rPr>
            </w:pPr>
            <w:r w:rsidRPr="00EE55AD">
              <w:rPr>
                <w:rFonts w:ascii="Book Antiqua" w:hAnsi="Book Antiqua"/>
                <w:b/>
                <w:bCs/>
                <w:sz w:val="20"/>
              </w:rPr>
              <w:t>2014</w:t>
            </w:r>
          </w:p>
        </w:tc>
        <w:tc>
          <w:tcPr>
            <w:tcW w:w="1615" w:type="dxa"/>
            <w:tcBorders>
              <w:top w:val="double" w:sz="4" w:space="0" w:color="1A25F8"/>
              <w:left w:val="nil"/>
              <w:bottom w:val="single" w:sz="4" w:space="0" w:color="0000FF"/>
              <w:right w:val="nil"/>
            </w:tcBorders>
            <w:vAlign w:val="center"/>
          </w:tcPr>
          <w:p w14:paraId="6BAE30F8" w14:textId="77777777" w:rsidR="00813AC2" w:rsidRPr="00EE55AD" w:rsidRDefault="00813AC2" w:rsidP="00813AC2">
            <w:pPr>
              <w:spacing w:before="120" w:after="120"/>
              <w:jc w:val="center"/>
              <w:rPr>
                <w:rFonts w:ascii="Book Antiqua" w:hAnsi="Book Antiqua"/>
                <w:b/>
                <w:bCs/>
                <w:sz w:val="20"/>
              </w:rPr>
            </w:pPr>
            <w:r w:rsidRPr="00EE55AD">
              <w:rPr>
                <w:rFonts w:ascii="Book Antiqua" w:hAnsi="Book Antiqua"/>
                <w:b/>
                <w:bCs/>
                <w:sz w:val="20"/>
              </w:rPr>
              <w:t>Diferencia</w:t>
            </w:r>
          </w:p>
        </w:tc>
        <w:tc>
          <w:tcPr>
            <w:tcW w:w="1855" w:type="dxa"/>
            <w:tcBorders>
              <w:top w:val="double" w:sz="4" w:space="0" w:color="1A25F8"/>
              <w:left w:val="nil"/>
              <w:bottom w:val="single" w:sz="4" w:space="0" w:color="0000FF"/>
              <w:right w:val="nil"/>
            </w:tcBorders>
            <w:shd w:val="clear" w:color="auto" w:fill="auto"/>
            <w:noWrap/>
            <w:vAlign w:val="center"/>
          </w:tcPr>
          <w:p w14:paraId="14997D01" w14:textId="77777777" w:rsidR="00813AC2" w:rsidRPr="00EE55AD" w:rsidRDefault="00813AC2" w:rsidP="00813AC2">
            <w:pPr>
              <w:spacing w:before="120" w:after="120"/>
              <w:jc w:val="center"/>
              <w:rPr>
                <w:rFonts w:ascii="Book Antiqua" w:hAnsi="Book Antiqua"/>
                <w:b/>
                <w:bCs/>
                <w:sz w:val="20"/>
              </w:rPr>
            </w:pPr>
            <w:r w:rsidRPr="00EE55AD">
              <w:rPr>
                <w:rFonts w:ascii="Book Antiqua" w:hAnsi="Book Antiqua"/>
                <w:b/>
                <w:bCs/>
                <w:sz w:val="20"/>
              </w:rPr>
              <w:t>Variación %</w:t>
            </w:r>
          </w:p>
        </w:tc>
      </w:tr>
      <w:tr w:rsidR="00813AC2" w:rsidRPr="00EE55AD" w14:paraId="1E362CB6" w14:textId="77777777" w:rsidTr="00813AC2">
        <w:trPr>
          <w:trHeight w:val="300"/>
          <w:jc w:val="center"/>
        </w:trPr>
        <w:tc>
          <w:tcPr>
            <w:tcW w:w="2518" w:type="dxa"/>
            <w:tcBorders>
              <w:top w:val="nil"/>
              <w:left w:val="nil"/>
              <w:bottom w:val="nil"/>
              <w:right w:val="single" w:sz="4" w:space="0" w:color="0000FF"/>
            </w:tcBorders>
            <w:shd w:val="clear" w:color="auto" w:fill="auto"/>
            <w:noWrap/>
            <w:vAlign w:val="bottom"/>
          </w:tcPr>
          <w:p w14:paraId="1681134D" w14:textId="77777777" w:rsidR="00813AC2" w:rsidRPr="00EE55AD" w:rsidRDefault="00813AC2" w:rsidP="00813AC2">
            <w:pPr>
              <w:rPr>
                <w:rFonts w:ascii="Book Antiqua" w:hAnsi="Book Antiqua"/>
                <w:sz w:val="20"/>
              </w:rPr>
            </w:pPr>
            <w:r w:rsidRPr="00EE55AD">
              <w:rPr>
                <w:rFonts w:ascii="Book Antiqua" w:hAnsi="Book Antiqua"/>
                <w:sz w:val="20"/>
              </w:rPr>
              <w:t>Sueldos Básicos</w:t>
            </w:r>
          </w:p>
        </w:tc>
        <w:tc>
          <w:tcPr>
            <w:tcW w:w="1927" w:type="dxa"/>
            <w:tcBorders>
              <w:top w:val="nil"/>
              <w:left w:val="nil"/>
              <w:bottom w:val="nil"/>
              <w:right w:val="nil"/>
            </w:tcBorders>
            <w:vAlign w:val="bottom"/>
          </w:tcPr>
          <w:p w14:paraId="70CE1FCD"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2,219,619,480</w:t>
            </w:r>
          </w:p>
        </w:tc>
        <w:tc>
          <w:tcPr>
            <w:tcW w:w="1862" w:type="dxa"/>
            <w:tcBorders>
              <w:top w:val="nil"/>
              <w:left w:val="nil"/>
              <w:bottom w:val="nil"/>
              <w:right w:val="nil"/>
            </w:tcBorders>
            <w:shd w:val="clear" w:color="auto" w:fill="auto"/>
            <w:noWrap/>
            <w:vAlign w:val="bottom"/>
          </w:tcPr>
          <w:p w14:paraId="2EA6E978"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2,086,623,448</w:t>
            </w:r>
          </w:p>
        </w:tc>
        <w:tc>
          <w:tcPr>
            <w:tcW w:w="1615" w:type="dxa"/>
            <w:tcBorders>
              <w:top w:val="nil"/>
              <w:left w:val="nil"/>
              <w:bottom w:val="nil"/>
              <w:right w:val="nil"/>
            </w:tcBorders>
            <w:vAlign w:val="bottom"/>
          </w:tcPr>
          <w:p w14:paraId="54576CF2"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132,996,032</w:t>
            </w:r>
          </w:p>
        </w:tc>
        <w:tc>
          <w:tcPr>
            <w:tcW w:w="1855" w:type="dxa"/>
            <w:tcBorders>
              <w:top w:val="nil"/>
              <w:left w:val="nil"/>
              <w:bottom w:val="nil"/>
              <w:right w:val="nil"/>
            </w:tcBorders>
            <w:shd w:val="clear" w:color="auto" w:fill="auto"/>
            <w:noWrap/>
            <w:vAlign w:val="bottom"/>
          </w:tcPr>
          <w:p w14:paraId="38FB5D47" w14:textId="77777777" w:rsidR="00813AC2" w:rsidRPr="00EE55AD" w:rsidRDefault="00813AC2" w:rsidP="00813AC2">
            <w:pPr>
              <w:jc w:val="center"/>
              <w:rPr>
                <w:rFonts w:ascii="Book Antiqua" w:hAnsi="Book Antiqua"/>
                <w:sz w:val="18"/>
                <w:szCs w:val="22"/>
              </w:rPr>
            </w:pPr>
            <w:r w:rsidRPr="00EE55AD">
              <w:rPr>
                <w:rFonts w:ascii="Book Antiqua" w:hAnsi="Book Antiqua"/>
                <w:sz w:val="18"/>
                <w:szCs w:val="22"/>
              </w:rPr>
              <w:t>6.4%</w:t>
            </w:r>
          </w:p>
        </w:tc>
      </w:tr>
      <w:tr w:rsidR="00813AC2" w:rsidRPr="00EE55AD" w14:paraId="052EAC69" w14:textId="77777777" w:rsidTr="00813AC2">
        <w:trPr>
          <w:trHeight w:val="300"/>
          <w:jc w:val="center"/>
        </w:trPr>
        <w:tc>
          <w:tcPr>
            <w:tcW w:w="2518" w:type="dxa"/>
            <w:tcBorders>
              <w:top w:val="nil"/>
              <w:left w:val="nil"/>
              <w:bottom w:val="nil"/>
              <w:right w:val="single" w:sz="4" w:space="0" w:color="0000FF"/>
            </w:tcBorders>
            <w:shd w:val="clear" w:color="auto" w:fill="auto"/>
            <w:noWrap/>
            <w:vAlign w:val="bottom"/>
          </w:tcPr>
          <w:p w14:paraId="1F5DF346" w14:textId="77777777" w:rsidR="00813AC2" w:rsidRPr="00EE55AD" w:rsidRDefault="00813AC2" w:rsidP="00813AC2">
            <w:pPr>
              <w:rPr>
                <w:rFonts w:ascii="Book Antiqua" w:hAnsi="Book Antiqua"/>
                <w:sz w:val="20"/>
              </w:rPr>
            </w:pPr>
            <w:r w:rsidRPr="00EE55AD">
              <w:rPr>
                <w:rFonts w:ascii="Book Antiqua" w:hAnsi="Book Antiqua"/>
                <w:sz w:val="20"/>
              </w:rPr>
              <w:t>Salario Único</w:t>
            </w:r>
          </w:p>
        </w:tc>
        <w:tc>
          <w:tcPr>
            <w:tcW w:w="1927" w:type="dxa"/>
            <w:tcBorders>
              <w:top w:val="nil"/>
              <w:left w:val="nil"/>
              <w:bottom w:val="nil"/>
              <w:right w:val="nil"/>
            </w:tcBorders>
            <w:vAlign w:val="bottom"/>
          </w:tcPr>
          <w:p w14:paraId="724A7DE6"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8,702,100,160</w:t>
            </w:r>
          </w:p>
        </w:tc>
        <w:tc>
          <w:tcPr>
            <w:tcW w:w="1862" w:type="dxa"/>
            <w:tcBorders>
              <w:top w:val="nil"/>
              <w:left w:val="nil"/>
              <w:bottom w:val="nil"/>
              <w:right w:val="nil"/>
            </w:tcBorders>
            <w:shd w:val="clear" w:color="auto" w:fill="auto"/>
            <w:noWrap/>
            <w:vAlign w:val="bottom"/>
          </w:tcPr>
          <w:p w14:paraId="2ECCC69C"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7,309,834,324</w:t>
            </w:r>
          </w:p>
        </w:tc>
        <w:tc>
          <w:tcPr>
            <w:tcW w:w="1615" w:type="dxa"/>
            <w:tcBorders>
              <w:top w:val="nil"/>
              <w:left w:val="nil"/>
              <w:bottom w:val="nil"/>
              <w:right w:val="nil"/>
            </w:tcBorders>
            <w:vAlign w:val="bottom"/>
          </w:tcPr>
          <w:p w14:paraId="00EC1170"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1,392,265,836</w:t>
            </w:r>
          </w:p>
        </w:tc>
        <w:tc>
          <w:tcPr>
            <w:tcW w:w="1855" w:type="dxa"/>
            <w:tcBorders>
              <w:top w:val="nil"/>
              <w:left w:val="nil"/>
              <w:bottom w:val="nil"/>
              <w:right w:val="nil"/>
            </w:tcBorders>
            <w:shd w:val="clear" w:color="auto" w:fill="auto"/>
            <w:noWrap/>
            <w:vAlign w:val="bottom"/>
          </w:tcPr>
          <w:p w14:paraId="7B65A317" w14:textId="77777777" w:rsidR="00813AC2" w:rsidRPr="00EE55AD" w:rsidRDefault="00813AC2" w:rsidP="00813AC2">
            <w:pPr>
              <w:jc w:val="center"/>
              <w:rPr>
                <w:rFonts w:ascii="Book Antiqua" w:hAnsi="Book Antiqua"/>
                <w:sz w:val="18"/>
                <w:szCs w:val="22"/>
              </w:rPr>
            </w:pPr>
            <w:r w:rsidRPr="00EE55AD">
              <w:rPr>
                <w:rFonts w:ascii="Book Antiqua" w:hAnsi="Book Antiqua"/>
                <w:sz w:val="18"/>
                <w:szCs w:val="22"/>
              </w:rPr>
              <w:t>19.0%</w:t>
            </w:r>
          </w:p>
        </w:tc>
      </w:tr>
      <w:tr w:rsidR="00813AC2" w:rsidRPr="00EE55AD" w14:paraId="3D6FCFA7" w14:textId="77777777" w:rsidTr="00813AC2">
        <w:trPr>
          <w:trHeight w:val="300"/>
          <w:jc w:val="center"/>
        </w:trPr>
        <w:tc>
          <w:tcPr>
            <w:tcW w:w="2518" w:type="dxa"/>
            <w:tcBorders>
              <w:top w:val="nil"/>
              <w:left w:val="nil"/>
              <w:bottom w:val="nil"/>
              <w:right w:val="single" w:sz="4" w:space="0" w:color="0000FF"/>
            </w:tcBorders>
            <w:shd w:val="clear" w:color="auto" w:fill="auto"/>
            <w:noWrap/>
            <w:vAlign w:val="bottom"/>
          </w:tcPr>
          <w:p w14:paraId="6A98EB51" w14:textId="77777777" w:rsidR="00813AC2" w:rsidRPr="00EE55AD" w:rsidRDefault="00813AC2" w:rsidP="00813AC2">
            <w:pPr>
              <w:rPr>
                <w:rFonts w:ascii="Book Antiqua" w:hAnsi="Book Antiqua"/>
                <w:sz w:val="20"/>
              </w:rPr>
            </w:pPr>
            <w:r w:rsidRPr="00EE55AD">
              <w:rPr>
                <w:rFonts w:ascii="Book Antiqua" w:hAnsi="Book Antiqua"/>
                <w:sz w:val="20"/>
              </w:rPr>
              <w:t>Servicios especiales</w:t>
            </w:r>
          </w:p>
        </w:tc>
        <w:tc>
          <w:tcPr>
            <w:tcW w:w="1927" w:type="dxa"/>
            <w:tcBorders>
              <w:top w:val="nil"/>
              <w:left w:val="nil"/>
              <w:bottom w:val="nil"/>
              <w:right w:val="nil"/>
            </w:tcBorders>
            <w:vAlign w:val="bottom"/>
          </w:tcPr>
          <w:p w14:paraId="078884F4"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1,027,911,248</w:t>
            </w:r>
          </w:p>
        </w:tc>
        <w:tc>
          <w:tcPr>
            <w:tcW w:w="1862" w:type="dxa"/>
            <w:tcBorders>
              <w:top w:val="nil"/>
              <w:left w:val="nil"/>
              <w:bottom w:val="nil"/>
              <w:right w:val="nil"/>
            </w:tcBorders>
            <w:shd w:val="clear" w:color="auto" w:fill="auto"/>
            <w:noWrap/>
            <w:vAlign w:val="bottom"/>
          </w:tcPr>
          <w:p w14:paraId="1B614827"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985,352,836</w:t>
            </w:r>
          </w:p>
        </w:tc>
        <w:tc>
          <w:tcPr>
            <w:tcW w:w="1615" w:type="dxa"/>
            <w:tcBorders>
              <w:top w:val="nil"/>
              <w:left w:val="nil"/>
              <w:bottom w:val="nil"/>
              <w:right w:val="nil"/>
            </w:tcBorders>
            <w:vAlign w:val="bottom"/>
          </w:tcPr>
          <w:p w14:paraId="7E19CCE4"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42,558,412</w:t>
            </w:r>
          </w:p>
        </w:tc>
        <w:tc>
          <w:tcPr>
            <w:tcW w:w="1855" w:type="dxa"/>
            <w:tcBorders>
              <w:top w:val="nil"/>
              <w:left w:val="nil"/>
              <w:bottom w:val="nil"/>
              <w:right w:val="nil"/>
            </w:tcBorders>
            <w:shd w:val="clear" w:color="auto" w:fill="auto"/>
            <w:noWrap/>
            <w:vAlign w:val="bottom"/>
          </w:tcPr>
          <w:p w14:paraId="3ED64708" w14:textId="77777777" w:rsidR="00813AC2" w:rsidRPr="00EE55AD" w:rsidRDefault="00813AC2" w:rsidP="00813AC2">
            <w:pPr>
              <w:jc w:val="center"/>
              <w:rPr>
                <w:rFonts w:ascii="Book Antiqua" w:hAnsi="Book Antiqua"/>
                <w:sz w:val="18"/>
                <w:szCs w:val="22"/>
              </w:rPr>
            </w:pPr>
            <w:r w:rsidRPr="00EE55AD">
              <w:rPr>
                <w:rFonts w:ascii="Book Antiqua" w:hAnsi="Book Antiqua"/>
                <w:sz w:val="18"/>
                <w:szCs w:val="22"/>
              </w:rPr>
              <w:t>4.3%</w:t>
            </w:r>
          </w:p>
        </w:tc>
      </w:tr>
      <w:tr w:rsidR="00813AC2" w:rsidRPr="00EE55AD" w14:paraId="68843937" w14:textId="77777777" w:rsidTr="00813AC2">
        <w:trPr>
          <w:trHeight w:val="300"/>
          <w:jc w:val="center"/>
        </w:trPr>
        <w:tc>
          <w:tcPr>
            <w:tcW w:w="2518" w:type="dxa"/>
            <w:tcBorders>
              <w:top w:val="nil"/>
              <w:left w:val="nil"/>
              <w:bottom w:val="nil"/>
              <w:right w:val="single" w:sz="4" w:space="0" w:color="0000FF"/>
            </w:tcBorders>
            <w:shd w:val="clear" w:color="auto" w:fill="auto"/>
            <w:noWrap/>
            <w:vAlign w:val="bottom"/>
          </w:tcPr>
          <w:p w14:paraId="057E1A08" w14:textId="77777777" w:rsidR="00813AC2" w:rsidRPr="00EE55AD" w:rsidRDefault="00813AC2" w:rsidP="00813AC2">
            <w:pPr>
              <w:rPr>
                <w:rFonts w:ascii="Book Antiqua" w:hAnsi="Book Antiqua"/>
                <w:sz w:val="20"/>
              </w:rPr>
            </w:pPr>
            <w:r w:rsidRPr="00EE55AD">
              <w:rPr>
                <w:rFonts w:ascii="Book Antiqua" w:hAnsi="Book Antiqua"/>
                <w:sz w:val="20"/>
              </w:rPr>
              <w:t xml:space="preserve">Anualidad </w:t>
            </w:r>
          </w:p>
        </w:tc>
        <w:tc>
          <w:tcPr>
            <w:tcW w:w="1927" w:type="dxa"/>
            <w:tcBorders>
              <w:top w:val="nil"/>
              <w:left w:val="nil"/>
              <w:bottom w:val="nil"/>
              <w:right w:val="nil"/>
            </w:tcBorders>
            <w:vAlign w:val="bottom"/>
          </w:tcPr>
          <w:p w14:paraId="51B948A5"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1,472,837,921</w:t>
            </w:r>
          </w:p>
        </w:tc>
        <w:tc>
          <w:tcPr>
            <w:tcW w:w="1862" w:type="dxa"/>
            <w:tcBorders>
              <w:top w:val="nil"/>
              <w:left w:val="nil"/>
              <w:bottom w:val="nil"/>
              <w:right w:val="nil"/>
            </w:tcBorders>
            <w:shd w:val="clear" w:color="auto" w:fill="auto"/>
            <w:noWrap/>
            <w:vAlign w:val="bottom"/>
          </w:tcPr>
          <w:p w14:paraId="4C24D46E"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1,388,296,430</w:t>
            </w:r>
          </w:p>
        </w:tc>
        <w:tc>
          <w:tcPr>
            <w:tcW w:w="1615" w:type="dxa"/>
            <w:tcBorders>
              <w:top w:val="nil"/>
              <w:left w:val="nil"/>
              <w:bottom w:val="nil"/>
              <w:right w:val="nil"/>
            </w:tcBorders>
            <w:vAlign w:val="bottom"/>
          </w:tcPr>
          <w:p w14:paraId="3BF66EC8"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84,541,491</w:t>
            </w:r>
          </w:p>
        </w:tc>
        <w:tc>
          <w:tcPr>
            <w:tcW w:w="1855" w:type="dxa"/>
            <w:tcBorders>
              <w:top w:val="nil"/>
              <w:left w:val="nil"/>
              <w:bottom w:val="nil"/>
              <w:right w:val="nil"/>
            </w:tcBorders>
            <w:shd w:val="clear" w:color="auto" w:fill="auto"/>
            <w:noWrap/>
            <w:vAlign w:val="bottom"/>
          </w:tcPr>
          <w:p w14:paraId="7804BAEE" w14:textId="77777777" w:rsidR="00813AC2" w:rsidRPr="00EE55AD" w:rsidRDefault="00813AC2" w:rsidP="00813AC2">
            <w:pPr>
              <w:jc w:val="center"/>
              <w:rPr>
                <w:rFonts w:ascii="Book Antiqua" w:hAnsi="Book Antiqua"/>
                <w:sz w:val="18"/>
                <w:szCs w:val="22"/>
              </w:rPr>
            </w:pPr>
            <w:r w:rsidRPr="00EE55AD">
              <w:rPr>
                <w:rFonts w:ascii="Book Antiqua" w:hAnsi="Book Antiqua"/>
                <w:sz w:val="18"/>
                <w:szCs w:val="22"/>
              </w:rPr>
              <w:t>6.1%</w:t>
            </w:r>
          </w:p>
        </w:tc>
      </w:tr>
      <w:tr w:rsidR="00813AC2" w:rsidRPr="00EE55AD" w14:paraId="790A9063" w14:textId="77777777" w:rsidTr="00813AC2">
        <w:trPr>
          <w:trHeight w:val="300"/>
          <w:jc w:val="center"/>
        </w:trPr>
        <w:tc>
          <w:tcPr>
            <w:tcW w:w="2518" w:type="dxa"/>
            <w:tcBorders>
              <w:top w:val="nil"/>
              <w:left w:val="nil"/>
              <w:bottom w:val="nil"/>
              <w:right w:val="single" w:sz="4" w:space="0" w:color="0000FF"/>
            </w:tcBorders>
            <w:shd w:val="clear" w:color="auto" w:fill="auto"/>
            <w:noWrap/>
            <w:vAlign w:val="bottom"/>
          </w:tcPr>
          <w:p w14:paraId="3393DD74" w14:textId="77777777" w:rsidR="00813AC2" w:rsidRPr="00EE55AD" w:rsidRDefault="00813AC2" w:rsidP="00813AC2">
            <w:pPr>
              <w:rPr>
                <w:rFonts w:ascii="Book Antiqua" w:hAnsi="Book Antiqua"/>
                <w:sz w:val="20"/>
              </w:rPr>
            </w:pPr>
            <w:r w:rsidRPr="00EE55AD">
              <w:rPr>
                <w:rFonts w:ascii="Book Antiqua" w:hAnsi="Book Antiqua"/>
                <w:sz w:val="20"/>
              </w:rPr>
              <w:t>Méritos</w:t>
            </w:r>
          </w:p>
        </w:tc>
        <w:tc>
          <w:tcPr>
            <w:tcW w:w="1927" w:type="dxa"/>
            <w:tcBorders>
              <w:top w:val="nil"/>
              <w:left w:val="nil"/>
              <w:bottom w:val="nil"/>
              <w:right w:val="nil"/>
            </w:tcBorders>
            <w:vAlign w:val="center"/>
          </w:tcPr>
          <w:p w14:paraId="4AA38940"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1,851,503,659</w:t>
            </w:r>
          </w:p>
        </w:tc>
        <w:tc>
          <w:tcPr>
            <w:tcW w:w="1862" w:type="dxa"/>
            <w:tcBorders>
              <w:top w:val="nil"/>
              <w:left w:val="nil"/>
              <w:bottom w:val="nil"/>
              <w:right w:val="nil"/>
            </w:tcBorders>
            <w:shd w:val="clear" w:color="auto" w:fill="auto"/>
            <w:noWrap/>
            <w:vAlign w:val="center"/>
          </w:tcPr>
          <w:p w14:paraId="7ED53B7B"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1,644,681,106</w:t>
            </w:r>
          </w:p>
        </w:tc>
        <w:tc>
          <w:tcPr>
            <w:tcW w:w="1615" w:type="dxa"/>
            <w:tcBorders>
              <w:top w:val="nil"/>
              <w:left w:val="nil"/>
              <w:bottom w:val="nil"/>
              <w:right w:val="nil"/>
            </w:tcBorders>
            <w:vAlign w:val="center"/>
          </w:tcPr>
          <w:p w14:paraId="5557D8B7"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206,822,552</w:t>
            </w:r>
          </w:p>
        </w:tc>
        <w:tc>
          <w:tcPr>
            <w:tcW w:w="1855" w:type="dxa"/>
            <w:tcBorders>
              <w:top w:val="nil"/>
              <w:left w:val="nil"/>
              <w:bottom w:val="nil"/>
              <w:right w:val="nil"/>
            </w:tcBorders>
            <w:shd w:val="clear" w:color="auto" w:fill="auto"/>
            <w:noWrap/>
            <w:vAlign w:val="center"/>
          </w:tcPr>
          <w:p w14:paraId="2621C836" w14:textId="77777777" w:rsidR="00813AC2" w:rsidRPr="00EE55AD" w:rsidRDefault="00813AC2" w:rsidP="00813AC2">
            <w:pPr>
              <w:jc w:val="center"/>
              <w:rPr>
                <w:rFonts w:ascii="Book Antiqua" w:hAnsi="Book Antiqua"/>
                <w:sz w:val="18"/>
                <w:szCs w:val="22"/>
              </w:rPr>
            </w:pPr>
            <w:r w:rsidRPr="00EE55AD">
              <w:rPr>
                <w:rFonts w:ascii="Book Antiqua" w:hAnsi="Book Antiqua"/>
                <w:sz w:val="18"/>
                <w:szCs w:val="22"/>
              </w:rPr>
              <w:t>12.6%</w:t>
            </w:r>
          </w:p>
        </w:tc>
      </w:tr>
      <w:tr w:rsidR="00813AC2" w:rsidRPr="00EE55AD" w14:paraId="6A261959" w14:textId="77777777" w:rsidTr="00813AC2">
        <w:trPr>
          <w:trHeight w:val="300"/>
          <w:jc w:val="center"/>
        </w:trPr>
        <w:tc>
          <w:tcPr>
            <w:tcW w:w="2518" w:type="dxa"/>
            <w:tcBorders>
              <w:top w:val="nil"/>
              <w:left w:val="nil"/>
              <w:bottom w:val="nil"/>
              <w:right w:val="single" w:sz="4" w:space="0" w:color="0000FF"/>
            </w:tcBorders>
            <w:shd w:val="clear" w:color="auto" w:fill="auto"/>
            <w:noWrap/>
            <w:vAlign w:val="bottom"/>
          </w:tcPr>
          <w:p w14:paraId="25521ED3" w14:textId="77777777" w:rsidR="00813AC2" w:rsidRPr="00EE55AD" w:rsidRDefault="00813AC2" w:rsidP="00813AC2">
            <w:pPr>
              <w:rPr>
                <w:rFonts w:ascii="Book Antiqua" w:hAnsi="Book Antiqua"/>
                <w:sz w:val="20"/>
              </w:rPr>
            </w:pPr>
            <w:proofErr w:type="spellStart"/>
            <w:r w:rsidRPr="00EE55AD">
              <w:rPr>
                <w:rFonts w:ascii="Book Antiqua" w:hAnsi="Book Antiqua"/>
                <w:sz w:val="20"/>
              </w:rPr>
              <w:t>Bonific</w:t>
            </w:r>
            <w:proofErr w:type="spellEnd"/>
            <w:r w:rsidRPr="00EE55AD">
              <w:rPr>
                <w:rFonts w:ascii="Book Antiqua" w:hAnsi="Book Antiqua"/>
                <w:sz w:val="20"/>
              </w:rPr>
              <w:t>. profesional</w:t>
            </w:r>
          </w:p>
        </w:tc>
        <w:tc>
          <w:tcPr>
            <w:tcW w:w="1927" w:type="dxa"/>
            <w:tcBorders>
              <w:top w:val="nil"/>
              <w:left w:val="nil"/>
              <w:bottom w:val="nil"/>
              <w:right w:val="nil"/>
            </w:tcBorders>
            <w:vAlign w:val="bottom"/>
          </w:tcPr>
          <w:p w14:paraId="5A755E0A"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370,293,508</w:t>
            </w:r>
          </w:p>
        </w:tc>
        <w:tc>
          <w:tcPr>
            <w:tcW w:w="1862" w:type="dxa"/>
            <w:tcBorders>
              <w:top w:val="nil"/>
              <w:left w:val="nil"/>
              <w:bottom w:val="nil"/>
              <w:right w:val="nil"/>
            </w:tcBorders>
            <w:shd w:val="clear" w:color="auto" w:fill="auto"/>
            <w:noWrap/>
            <w:vAlign w:val="bottom"/>
          </w:tcPr>
          <w:p w14:paraId="63A59A38"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334,802,260</w:t>
            </w:r>
          </w:p>
        </w:tc>
        <w:tc>
          <w:tcPr>
            <w:tcW w:w="1615" w:type="dxa"/>
            <w:tcBorders>
              <w:top w:val="nil"/>
              <w:left w:val="nil"/>
              <w:bottom w:val="nil"/>
              <w:right w:val="nil"/>
            </w:tcBorders>
            <w:vAlign w:val="bottom"/>
          </w:tcPr>
          <w:p w14:paraId="631A4875"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35,491,248</w:t>
            </w:r>
          </w:p>
        </w:tc>
        <w:tc>
          <w:tcPr>
            <w:tcW w:w="1855" w:type="dxa"/>
            <w:tcBorders>
              <w:top w:val="nil"/>
              <w:left w:val="nil"/>
              <w:bottom w:val="nil"/>
              <w:right w:val="nil"/>
            </w:tcBorders>
            <w:shd w:val="clear" w:color="auto" w:fill="auto"/>
            <w:noWrap/>
            <w:vAlign w:val="bottom"/>
          </w:tcPr>
          <w:p w14:paraId="025AA2D9" w14:textId="77777777" w:rsidR="00813AC2" w:rsidRPr="00EE55AD" w:rsidRDefault="00813AC2" w:rsidP="00813AC2">
            <w:pPr>
              <w:jc w:val="center"/>
              <w:rPr>
                <w:rFonts w:ascii="Book Antiqua" w:hAnsi="Book Antiqua"/>
                <w:sz w:val="18"/>
                <w:szCs w:val="22"/>
              </w:rPr>
            </w:pPr>
            <w:r w:rsidRPr="00EE55AD">
              <w:rPr>
                <w:rFonts w:ascii="Book Antiqua" w:hAnsi="Book Antiqua"/>
                <w:sz w:val="18"/>
                <w:szCs w:val="22"/>
              </w:rPr>
              <w:t>10.6%</w:t>
            </w:r>
          </w:p>
        </w:tc>
      </w:tr>
      <w:tr w:rsidR="00813AC2" w:rsidRPr="00EE55AD" w14:paraId="023D40A8" w14:textId="77777777" w:rsidTr="00813AC2">
        <w:trPr>
          <w:trHeight w:val="300"/>
          <w:jc w:val="center"/>
        </w:trPr>
        <w:tc>
          <w:tcPr>
            <w:tcW w:w="2518" w:type="dxa"/>
            <w:tcBorders>
              <w:top w:val="nil"/>
              <w:left w:val="nil"/>
              <w:bottom w:val="nil"/>
              <w:right w:val="single" w:sz="4" w:space="0" w:color="0000FF"/>
            </w:tcBorders>
            <w:shd w:val="clear" w:color="auto" w:fill="auto"/>
            <w:noWrap/>
            <w:vAlign w:val="bottom"/>
          </w:tcPr>
          <w:p w14:paraId="52A76637" w14:textId="77777777" w:rsidR="00813AC2" w:rsidRPr="00EE55AD" w:rsidRDefault="00813AC2" w:rsidP="00813AC2">
            <w:pPr>
              <w:rPr>
                <w:rFonts w:ascii="Book Antiqua" w:hAnsi="Book Antiqua"/>
                <w:sz w:val="20"/>
              </w:rPr>
            </w:pPr>
            <w:r w:rsidRPr="00EE55AD">
              <w:rPr>
                <w:rFonts w:ascii="Book Antiqua" w:hAnsi="Book Antiqua"/>
                <w:sz w:val="20"/>
              </w:rPr>
              <w:t xml:space="preserve">Prohibición </w:t>
            </w:r>
          </w:p>
        </w:tc>
        <w:tc>
          <w:tcPr>
            <w:tcW w:w="1927" w:type="dxa"/>
            <w:tcBorders>
              <w:top w:val="nil"/>
              <w:left w:val="nil"/>
              <w:bottom w:val="nil"/>
              <w:right w:val="nil"/>
            </w:tcBorders>
            <w:vAlign w:val="bottom"/>
          </w:tcPr>
          <w:p w14:paraId="7B0938A0"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337,071,821</w:t>
            </w:r>
          </w:p>
        </w:tc>
        <w:tc>
          <w:tcPr>
            <w:tcW w:w="1862" w:type="dxa"/>
            <w:tcBorders>
              <w:top w:val="nil"/>
              <w:left w:val="nil"/>
              <w:bottom w:val="nil"/>
              <w:right w:val="nil"/>
            </w:tcBorders>
            <w:shd w:val="clear" w:color="auto" w:fill="auto"/>
            <w:noWrap/>
            <w:vAlign w:val="bottom"/>
          </w:tcPr>
          <w:p w14:paraId="2BCE3A80"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320,460,005</w:t>
            </w:r>
          </w:p>
        </w:tc>
        <w:tc>
          <w:tcPr>
            <w:tcW w:w="1615" w:type="dxa"/>
            <w:tcBorders>
              <w:top w:val="nil"/>
              <w:left w:val="nil"/>
              <w:bottom w:val="nil"/>
              <w:right w:val="nil"/>
            </w:tcBorders>
            <w:vAlign w:val="bottom"/>
          </w:tcPr>
          <w:p w14:paraId="21A71B64"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16,611,816</w:t>
            </w:r>
          </w:p>
        </w:tc>
        <w:tc>
          <w:tcPr>
            <w:tcW w:w="1855" w:type="dxa"/>
            <w:tcBorders>
              <w:top w:val="nil"/>
              <w:left w:val="nil"/>
              <w:bottom w:val="nil"/>
              <w:right w:val="nil"/>
            </w:tcBorders>
            <w:shd w:val="clear" w:color="auto" w:fill="auto"/>
            <w:noWrap/>
            <w:vAlign w:val="bottom"/>
          </w:tcPr>
          <w:p w14:paraId="22D28B78" w14:textId="77777777" w:rsidR="00813AC2" w:rsidRPr="00EE55AD" w:rsidRDefault="00813AC2" w:rsidP="00813AC2">
            <w:pPr>
              <w:jc w:val="center"/>
              <w:rPr>
                <w:rFonts w:ascii="Book Antiqua" w:hAnsi="Book Antiqua"/>
                <w:sz w:val="18"/>
                <w:szCs w:val="22"/>
              </w:rPr>
            </w:pPr>
            <w:r w:rsidRPr="00EE55AD">
              <w:rPr>
                <w:rFonts w:ascii="Book Antiqua" w:hAnsi="Book Antiqua"/>
                <w:sz w:val="18"/>
                <w:szCs w:val="22"/>
              </w:rPr>
              <w:t>5.2%</w:t>
            </w:r>
          </w:p>
        </w:tc>
      </w:tr>
      <w:tr w:rsidR="00813AC2" w:rsidRPr="00EE55AD" w14:paraId="145183C5" w14:textId="77777777" w:rsidTr="00813AC2">
        <w:trPr>
          <w:trHeight w:val="300"/>
          <w:jc w:val="center"/>
        </w:trPr>
        <w:tc>
          <w:tcPr>
            <w:tcW w:w="2518" w:type="dxa"/>
            <w:tcBorders>
              <w:top w:val="nil"/>
              <w:left w:val="nil"/>
              <w:right w:val="single" w:sz="4" w:space="0" w:color="0000FF"/>
            </w:tcBorders>
            <w:shd w:val="clear" w:color="auto" w:fill="auto"/>
            <w:noWrap/>
            <w:vAlign w:val="bottom"/>
          </w:tcPr>
          <w:p w14:paraId="02E61A24" w14:textId="77777777" w:rsidR="00813AC2" w:rsidRPr="00EE55AD" w:rsidRDefault="00813AC2" w:rsidP="00813AC2">
            <w:pPr>
              <w:rPr>
                <w:rFonts w:ascii="Book Antiqua" w:hAnsi="Book Antiqua"/>
                <w:sz w:val="20"/>
              </w:rPr>
            </w:pPr>
            <w:r w:rsidRPr="00EE55AD">
              <w:rPr>
                <w:rFonts w:ascii="Book Antiqua" w:hAnsi="Book Antiqua"/>
                <w:sz w:val="20"/>
              </w:rPr>
              <w:t>Ajuste Personal</w:t>
            </w:r>
          </w:p>
        </w:tc>
        <w:tc>
          <w:tcPr>
            <w:tcW w:w="1927" w:type="dxa"/>
            <w:tcBorders>
              <w:top w:val="nil"/>
              <w:left w:val="nil"/>
              <w:right w:val="nil"/>
            </w:tcBorders>
            <w:vAlign w:val="bottom"/>
          </w:tcPr>
          <w:p w14:paraId="508597E5"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7,810,943</w:t>
            </w:r>
          </w:p>
        </w:tc>
        <w:tc>
          <w:tcPr>
            <w:tcW w:w="1862" w:type="dxa"/>
            <w:tcBorders>
              <w:top w:val="nil"/>
              <w:left w:val="nil"/>
              <w:right w:val="nil"/>
            </w:tcBorders>
            <w:shd w:val="clear" w:color="auto" w:fill="auto"/>
            <w:noWrap/>
            <w:vAlign w:val="bottom"/>
          </w:tcPr>
          <w:p w14:paraId="3020FB3D"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8,692,726</w:t>
            </w:r>
          </w:p>
        </w:tc>
        <w:tc>
          <w:tcPr>
            <w:tcW w:w="1615" w:type="dxa"/>
            <w:tcBorders>
              <w:top w:val="nil"/>
              <w:left w:val="nil"/>
              <w:right w:val="nil"/>
            </w:tcBorders>
            <w:vAlign w:val="bottom"/>
          </w:tcPr>
          <w:p w14:paraId="7C531731"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-881,782</w:t>
            </w:r>
          </w:p>
        </w:tc>
        <w:tc>
          <w:tcPr>
            <w:tcW w:w="1855" w:type="dxa"/>
            <w:tcBorders>
              <w:top w:val="nil"/>
              <w:left w:val="nil"/>
              <w:right w:val="nil"/>
            </w:tcBorders>
            <w:shd w:val="clear" w:color="auto" w:fill="auto"/>
            <w:noWrap/>
            <w:vAlign w:val="bottom"/>
          </w:tcPr>
          <w:p w14:paraId="1AADB04F" w14:textId="77777777" w:rsidR="00813AC2" w:rsidRPr="00EE55AD" w:rsidRDefault="00813AC2" w:rsidP="00813AC2">
            <w:pPr>
              <w:jc w:val="center"/>
              <w:rPr>
                <w:rFonts w:ascii="Book Antiqua" w:hAnsi="Book Antiqua"/>
                <w:sz w:val="18"/>
                <w:szCs w:val="22"/>
              </w:rPr>
            </w:pPr>
            <w:r w:rsidRPr="00EE55AD">
              <w:rPr>
                <w:rFonts w:ascii="Book Antiqua" w:hAnsi="Book Antiqua"/>
                <w:sz w:val="18"/>
                <w:szCs w:val="22"/>
              </w:rPr>
              <w:t>-10.1%</w:t>
            </w:r>
          </w:p>
        </w:tc>
      </w:tr>
      <w:tr w:rsidR="00813AC2" w:rsidRPr="00EE55AD" w14:paraId="3ACD9A69" w14:textId="77777777" w:rsidTr="00EE55AD">
        <w:trPr>
          <w:trHeight w:val="315"/>
          <w:jc w:val="center"/>
        </w:trPr>
        <w:tc>
          <w:tcPr>
            <w:tcW w:w="2518" w:type="dxa"/>
            <w:tcBorders>
              <w:top w:val="nil"/>
              <w:left w:val="nil"/>
              <w:bottom w:val="single" w:sz="4" w:space="0" w:color="auto"/>
              <w:right w:val="single" w:sz="4" w:space="0" w:color="0000FF"/>
            </w:tcBorders>
            <w:shd w:val="clear" w:color="auto" w:fill="auto"/>
            <w:noWrap/>
            <w:vAlign w:val="bottom"/>
          </w:tcPr>
          <w:p w14:paraId="1638D178" w14:textId="77777777" w:rsidR="00813AC2" w:rsidRPr="00EE55AD" w:rsidRDefault="00813AC2" w:rsidP="00813AC2">
            <w:pPr>
              <w:rPr>
                <w:rFonts w:ascii="Book Antiqua" w:hAnsi="Book Antiqua"/>
                <w:bCs/>
                <w:sz w:val="20"/>
              </w:rPr>
            </w:pPr>
            <w:r w:rsidRPr="00EE55AD">
              <w:rPr>
                <w:rFonts w:ascii="Book Antiqua" w:hAnsi="Book Antiqua"/>
                <w:bCs/>
                <w:sz w:val="20"/>
              </w:rPr>
              <w:t>Ajuste de mercado</w:t>
            </w:r>
          </w:p>
        </w:tc>
        <w:tc>
          <w:tcPr>
            <w:tcW w:w="1927" w:type="dxa"/>
            <w:tcBorders>
              <w:top w:val="nil"/>
              <w:left w:val="nil"/>
              <w:bottom w:val="single" w:sz="4" w:space="0" w:color="auto"/>
              <w:right w:val="nil"/>
            </w:tcBorders>
            <w:vAlign w:val="bottom"/>
          </w:tcPr>
          <w:p w14:paraId="1CC8A537"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72,956,993</w:t>
            </w:r>
          </w:p>
        </w:tc>
        <w:tc>
          <w:tcPr>
            <w:tcW w:w="1862" w:type="dxa"/>
            <w:tcBorders>
              <w:top w:val="nil"/>
              <w:left w:val="nil"/>
              <w:bottom w:val="single" w:sz="4" w:space="0" w:color="auto"/>
              <w:right w:val="nil"/>
            </w:tcBorders>
            <w:shd w:val="clear" w:color="auto" w:fill="auto"/>
            <w:noWrap/>
            <w:vAlign w:val="bottom"/>
          </w:tcPr>
          <w:p w14:paraId="5876E06F"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54,864,620</w:t>
            </w:r>
          </w:p>
        </w:tc>
        <w:tc>
          <w:tcPr>
            <w:tcW w:w="1615" w:type="dxa"/>
            <w:tcBorders>
              <w:top w:val="nil"/>
              <w:left w:val="nil"/>
              <w:bottom w:val="single" w:sz="4" w:space="0" w:color="auto"/>
              <w:right w:val="nil"/>
            </w:tcBorders>
            <w:vAlign w:val="bottom"/>
          </w:tcPr>
          <w:p w14:paraId="638CD7AA"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18,092,373</w:t>
            </w:r>
          </w:p>
        </w:tc>
        <w:tc>
          <w:tcPr>
            <w:tcW w:w="1855" w:type="dxa"/>
            <w:tcBorders>
              <w:top w:val="nil"/>
              <w:left w:val="nil"/>
              <w:bottom w:val="single" w:sz="4" w:space="0" w:color="auto"/>
              <w:right w:val="nil"/>
            </w:tcBorders>
            <w:shd w:val="clear" w:color="auto" w:fill="auto"/>
            <w:noWrap/>
            <w:vAlign w:val="bottom"/>
          </w:tcPr>
          <w:p w14:paraId="2D3A90B1" w14:textId="77777777" w:rsidR="00813AC2" w:rsidRPr="00EE55AD" w:rsidRDefault="00813AC2" w:rsidP="00813AC2">
            <w:pPr>
              <w:jc w:val="center"/>
              <w:rPr>
                <w:rFonts w:ascii="Book Antiqua" w:hAnsi="Book Antiqua"/>
                <w:sz w:val="18"/>
                <w:szCs w:val="22"/>
              </w:rPr>
            </w:pPr>
            <w:r w:rsidRPr="00EE55AD">
              <w:rPr>
                <w:rFonts w:ascii="Book Antiqua" w:hAnsi="Book Antiqua"/>
                <w:sz w:val="18"/>
                <w:szCs w:val="22"/>
              </w:rPr>
              <w:t>33.0%</w:t>
            </w:r>
          </w:p>
        </w:tc>
      </w:tr>
      <w:tr w:rsidR="00813AC2" w:rsidRPr="00EE55AD" w14:paraId="51851F2C" w14:textId="77777777" w:rsidTr="00EE55AD">
        <w:trPr>
          <w:trHeight w:val="315"/>
          <w:jc w:val="center"/>
        </w:trPr>
        <w:tc>
          <w:tcPr>
            <w:tcW w:w="2518" w:type="dxa"/>
            <w:tcBorders>
              <w:top w:val="single" w:sz="4" w:space="0" w:color="auto"/>
              <w:left w:val="nil"/>
              <w:bottom w:val="double" w:sz="6" w:space="0" w:color="0000FF"/>
              <w:right w:val="single" w:sz="4" w:space="0" w:color="0000FF"/>
            </w:tcBorders>
            <w:shd w:val="clear" w:color="auto" w:fill="auto"/>
            <w:noWrap/>
            <w:vAlign w:val="bottom"/>
          </w:tcPr>
          <w:p w14:paraId="7CA98C40" w14:textId="77777777" w:rsidR="00813AC2" w:rsidRPr="00EE55AD" w:rsidRDefault="00813AC2" w:rsidP="00813AC2">
            <w:pPr>
              <w:rPr>
                <w:rFonts w:ascii="Book Antiqua" w:hAnsi="Book Antiqua"/>
                <w:b/>
                <w:bCs/>
                <w:sz w:val="20"/>
              </w:rPr>
            </w:pPr>
            <w:r w:rsidRPr="00EE55AD">
              <w:rPr>
                <w:rFonts w:ascii="Book Antiqua" w:hAnsi="Book Antiqua"/>
                <w:b/>
                <w:bCs/>
                <w:sz w:val="20"/>
              </w:rPr>
              <w:t>Total</w:t>
            </w:r>
          </w:p>
        </w:tc>
        <w:tc>
          <w:tcPr>
            <w:tcW w:w="1927" w:type="dxa"/>
            <w:tcBorders>
              <w:top w:val="single" w:sz="4" w:space="0" w:color="auto"/>
              <w:left w:val="nil"/>
              <w:bottom w:val="double" w:sz="6" w:space="0" w:color="0000FF"/>
              <w:right w:val="nil"/>
            </w:tcBorders>
            <w:vAlign w:val="bottom"/>
          </w:tcPr>
          <w:p w14:paraId="0F7678DA" w14:textId="77777777" w:rsidR="00813AC2" w:rsidRPr="00EE55AD" w:rsidRDefault="00813AC2" w:rsidP="00813AC2">
            <w:pPr>
              <w:jc w:val="right"/>
              <w:rPr>
                <w:rFonts w:ascii="Book Antiqua" w:hAnsi="Book Antiqua"/>
                <w:b/>
                <w:bCs/>
                <w:sz w:val="18"/>
                <w:szCs w:val="22"/>
              </w:rPr>
            </w:pPr>
            <w:r w:rsidRPr="00EE55AD">
              <w:rPr>
                <w:rFonts w:ascii="Book Antiqua" w:hAnsi="Book Antiqua"/>
                <w:b/>
                <w:bCs/>
                <w:sz w:val="18"/>
                <w:szCs w:val="22"/>
              </w:rPr>
              <w:t>16,062,105,733</w:t>
            </w:r>
          </w:p>
        </w:tc>
        <w:tc>
          <w:tcPr>
            <w:tcW w:w="1862" w:type="dxa"/>
            <w:tcBorders>
              <w:top w:val="single" w:sz="4" w:space="0" w:color="auto"/>
              <w:left w:val="nil"/>
              <w:bottom w:val="double" w:sz="6" w:space="0" w:color="0000FF"/>
              <w:right w:val="nil"/>
            </w:tcBorders>
            <w:shd w:val="clear" w:color="auto" w:fill="auto"/>
            <w:noWrap/>
            <w:vAlign w:val="bottom"/>
          </w:tcPr>
          <w:p w14:paraId="4F06F193" w14:textId="77777777" w:rsidR="00813AC2" w:rsidRPr="00EE55AD" w:rsidRDefault="00813AC2" w:rsidP="00813AC2">
            <w:pPr>
              <w:jc w:val="right"/>
              <w:rPr>
                <w:rFonts w:ascii="Book Antiqua" w:hAnsi="Book Antiqua"/>
                <w:b/>
                <w:bCs/>
                <w:sz w:val="18"/>
                <w:szCs w:val="22"/>
              </w:rPr>
            </w:pPr>
            <w:r w:rsidRPr="00EE55AD">
              <w:rPr>
                <w:rFonts w:ascii="Book Antiqua" w:hAnsi="Book Antiqua"/>
                <w:b/>
                <w:bCs/>
                <w:sz w:val="18"/>
                <w:szCs w:val="22"/>
              </w:rPr>
              <w:t>14,133,607,755</w:t>
            </w:r>
          </w:p>
        </w:tc>
        <w:tc>
          <w:tcPr>
            <w:tcW w:w="1615" w:type="dxa"/>
            <w:tcBorders>
              <w:top w:val="single" w:sz="4" w:space="0" w:color="auto"/>
              <w:left w:val="nil"/>
              <w:bottom w:val="double" w:sz="6" w:space="0" w:color="0000FF"/>
              <w:right w:val="nil"/>
            </w:tcBorders>
            <w:vAlign w:val="bottom"/>
          </w:tcPr>
          <w:p w14:paraId="586E7EF3" w14:textId="77777777" w:rsidR="00813AC2" w:rsidRPr="00EE55AD" w:rsidRDefault="00813AC2" w:rsidP="00813AC2">
            <w:pPr>
              <w:jc w:val="right"/>
              <w:rPr>
                <w:rFonts w:ascii="Book Antiqua" w:hAnsi="Book Antiqua"/>
                <w:b/>
                <w:bCs/>
                <w:sz w:val="18"/>
                <w:szCs w:val="22"/>
              </w:rPr>
            </w:pPr>
            <w:r w:rsidRPr="00EE55AD">
              <w:rPr>
                <w:rFonts w:ascii="Book Antiqua" w:hAnsi="Book Antiqua"/>
                <w:b/>
                <w:bCs/>
                <w:sz w:val="18"/>
                <w:szCs w:val="22"/>
              </w:rPr>
              <w:t>1,928,497,978</w:t>
            </w:r>
          </w:p>
        </w:tc>
        <w:tc>
          <w:tcPr>
            <w:tcW w:w="1855" w:type="dxa"/>
            <w:tcBorders>
              <w:top w:val="single" w:sz="4" w:space="0" w:color="auto"/>
              <w:left w:val="nil"/>
              <w:bottom w:val="double" w:sz="6" w:space="0" w:color="0000FF"/>
              <w:right w:val="nil"/>
            </w:tcBorders>
            <w:shd w:val="clear" w:color="auto" w:fill="auto"/>
            <w:noWrap/>
            <w:vAlign w:val="bottom"/>
          </w:tcPr>
          <w:p w14:paraId="2209155C" w14:textId="77777777" w:rsidR="00813AC2" w:rsidRPr="00EE55AD" w:rsidRDefault="00813AC2" w:rsidP="00813AC2">
            <w:pPr>
              <w:jc w:val="center"/>
              <w:rPr>
                <w:rFonts w:ascii="Book Antiqua" w:hAnsi="Book Antiqua"/>
                <w:b/>
                <w:bCs/>
                <w:sz w:val="18"/>
                <w:szCs w:val="22"/>
              </w:rPr>
            </w:pPr>
            <w:r w:rsidRPr="00EE55AD">
              <w:rPr>
                <w:rFonts w:ascii="Book Antiqua" w:hAnsi="Book Antiqua"/>
                <w:b/>
                <w:bCs/>
                <w:sz w:val="18"/>
                <w:szCs w:val="22"/>
              </w:rPr>
              <w:t>13.6%</w:t>
            </w:r>
          </w:p>
        </w:tc>
      </w:tr>
    </w:tbl>
    <w:p w14:paraId="7B09B006" w14:textId="77777777" w:rsidR="00813AC2" w:rsidRPr="00EE55AD" w:rsidRDefault="00813AC2" w:rsidP="00813AC2">
      <w:pPr>
        <w:tabs>
          <w:tab w:val="left" w:pos="3765"/>
        </w:tabs>
        <w:jc w:val="both"/>
        <w:rPr>
          <w:rFonts w:ascii="Book Antiqua" w:hAnsi="Book Antiqua"/>
          <w:sz w:val="22"/>
        </w:rPr>
      </w:pPr>
    </w:p>
    <w:p w14:paraId="3DB2DC9A" w14:textId="77777777" w:rsidR="00813AC2" w:rsidRDefault="00813AC2" w:rsidP="00813AC2">
      <w:pPr>
        <w:tabs>
          <w:tab w:val="left" w:pos="3765"/>
        </w:tabs>
        <w:jc w:val="both"/>
        <w:rPr>
          <w:rFonts w:ascii="Book Antiqua" w:hAnsi="Book Antiqua"/>
        </w:rPr>
      </w:pPr>
      <w:r w:rsidRPr="00FF0144">
        <w:rPr>
          <w:rFonts w:ascii="Book Antiqua" w:hAnsi="Book Antiqua"/>
        </w:rPr>
        <w:t>Al analizar el comportamiento de las partidas del ámbito Banco Central</w:t>
      </w:r>
      <w:r>
        <w:rPr>
          <w:rFonts w:ascii="Book Antiqua" w:hAnsi="Book Antiqua"/>
        </w:rPr>
        <w:t>,</w:t>
      </w:r>
      <w:r w:rsidRPr="00FF0144">
        <w:rPr>
          <w:rFonts w:ascii="Book Antiqua" w:hAnsi="Book Antiqua"/>
        </w:rPr>
        <w:t xml:space="preserve"> independiente de los Entes de Desconcentración Máxima, la </w:t>
      </w:r>
      <w:r>
        <w:rPr>
          <w:rFonts w:ascii="Book Antiqua" w:hAnsi="Book Antiqua"/>
        </w:rPr>
        <w:t>variación total resulta notoriamente mayor a lo observado para toda la Institución en general, sin embargo, esta situación se explica por el traslado de las plazas de todos los departamentos de Tecnologías de Información al Banco Central, situación que provoca un notorio crecimiento en las remuneraciones que no necesariamente corresponde a la provisión del aumento determinado para el 2016</w:t>
      </w:r>
      <w:r w:rsidRPr="00FF0144">
        <w:rPr>
          <w:rFonts w:ascii="Book Antiqua" w:hAnsi="Book Antiqua"/>
        </w:rPr>
        <w:t>.</w:t>
      </w:r>
    </w:p>
    <w:p w14:paraId="11C5D4B1" w14:textId="77777777" w:rsidR="00813AC2" w:rsidRDefault="00813AC2" w:rsidP="00813AC2">
      <w:pPr>
        <w:tabs>
          <w:tab w:val="left" w:pos="3765"/>
        </w:tabs>
        <w:spacing w:before="240"/>
        <w:jc w:val="both"/>
        <w:rPr>
          <w:rFonts w:ascii="Book Antiqua" w:hAnsi="Book Antiqua"/>
        </w:rPr>
      </w:pPr>
      <w:r>
        <w:rPr>
          <w:rFonts w:ascii="Book Antiqua" w:hAnsi="Book Antiqua"/>
        </w:rPr>
        <w:t>En el caso de los Órganos de Desconcentración Máxima, el comportamiento de las partidas es totalmente opuesto al observado en BCCR, por cuanto la salida de las dependencias antes mencionadas provoca una notoria disminución del presupuesto de remuneraciones y que no es compensado por el crecimiento en la provisión para el año entrante, aunado a la eliminación de 5 plazas en la  SUGEVAL.</w:t>
      </w:r>
    </w:p>
    <w:p w14:paraId="4D9536D0" w14:textId="77777777" w:rsidR="00813AC2" w:rsidRDefault="00813AC2" w:rsidP="00813AC2">
      <w:pPr>
        <w:jc w:val="center"/>
        <w:rPr>
          <w:rFonts w:ascii="Book Antiqua" w:hAnsi="Book Antiqua"/>
          <w:b/>
        </w:rPr>
      </w:pPr>
    </w:p>
    <w:p w14:paraId="7064A5A6" w14:textId="77777777" w:rsidR="00813AC2" w:rsidRPr="00EE55AD" w:rsidRDefault="00813AC2" w:rsidP="00813AC2">
      <w:pPr>
        <w:jc w:val="center"/>
        <w:rPr>
          <w:rFonts w:ascii="Book Antiqua" w:hAnsi="Book Antiqua"/>
          <w:b/>
          <w:sz w:val="20"/>
        </w:rPr>
      </w:pPr>
      <w:r w:rsidRPr="00EE55AD">
        <w:rPr>
          <w:rFonts w:ascii="Book Antiqua" w:hAnsi="Book Antiqua"/>
          <w:b/>
          <w:sz w:val="20"/>
        </w:rPr>
        <w:t>Distribución del Presupuesto Formulado de Salarios,</w:t>
      </w:r>
    </w:p>
    <w:p w14:paraId="6033B435" w14:textId="77777777" w:rsidR="00813AC2" w:rsidRPr="00EE55AD" w:rsidRDefault="00813AC2" w:rsidP="00813AC2">
      <w:pPr>
        <w:jc w:val="center"/>
        <w:rPr>
          <w:rFonts w:ascii="Book Antiqua" w:hAnsi="Book Antiqua"/>
          <w:b/>
          <w:sz w:val="20"/>
        </w:rPr>
      </w:pPr>
      <w:r w:rsidRPr="00EE55AD">
        <w:rPr>
          <w:rFonts w:ascii="Book Antiqua" w:hAnsi="Book Antiqua"/>
          <w:b/>
          <w:sz w:val="20"/>
        </w:rPr>
        <w:t>Según Partida por Año, Período 2015-2014, ODM</w:t>
      </w:r>
    </w:p>
    <w:tbl>
      <w:tblPr>
        <w:tblW w:w="9777" w:type="dxa"/>
        <w:jc w:val="center"/>
        <w:tblLook w:val="0000" w:firstRow="0" w:lastRow="0" w:firstColumn="0" w:lastColumn="0" w:noHBand="0" w:noVBand="0"/>
      </w:tblPr>
      <w:tblGrid>
        <w:gridCol w:w="2518"/>
        <w:gridCol w:w="1927"/>
        <w:gridCol w:w="1862"/>
        <w:gridCol w:w="1615"/>
        <w:gridCol w:w="1855"/>
      </w:tblGrid>
      <w:tr w:rsidR="00813AC2" w:rsidRPr="00EE55AD" w14:paraId="1EF4A18D" w14:textId="77777777" w:rsidTr="00813AC2">
        <w:trPr>
          <w:trHeight w:val="315"/>
          <w:jc w:val="center"/>
        </w:trPr>
        <w:tc>
          <w:tcPr>
            <w:tcW w:w="2518" w:type="dxa"/>
            <w:tcBorders>
              <w:top w:val="double" w:sz="4" w:space="0" w:color="1A25F8"/>
              <w:left w:val="nil"/>
              <w:bottom w:val="single" w:sz="4" w:space="0" w:color="0000FF"/>
              <w:right w:val="single" w:sz="4" w:space="0" w:color="0000FF"/>
            </w:tcBorders>
            <w:shd w:val="clear" w:color="auto" w:fill="auto"/>
            <w:vAlign w:val="center"/>
          </w:tcPr>
          <w:p w14:paraId="3A954C77" w14:textId="77777777" w:rsidR="00813AC2" w:rsidRPr="00EE55AD" w:rsidRDefault="00813AC2" w:rsidP="00813AC2">
            <w:pPr>
              <w:spacing w:before="120" w:after="120"/>
              <w:jc w:val="center"/>
              <w:rPr>
                <w:rFonts w:ascii="Book Antiqua" w:hAnsi="Book Antiqua"/>
                <w:b/>
                <w:bCs/>
                <w:sz w:val="20"/>
              </w:rPr>
            </w:pPr>
            <w:r w:rsidRPr="00EE55AD">
              <w:rPr>
                <w:rFonts w:ascii="Book Antiqua" w:hAnsi="Book Antiqua"/>
                <w:b/>
                <w:bCs/>
                <w:sz w:val="20"/>
              </w:rPr>
              <w:t>Partida</w:t>
            </w:r>
          </w:p>
        </w:tc>
        <w:tc>
          <w:tcPr>
            <w:tcW w:w="1927" w:type="dxa"/>
            <w:tcBorders>
              <w:top w:val="double" w:sz="4" w:space="0" w:color="1A25F8"/>
              <w:left w:val="nil"/>
              <w:bottom w:val="single" w:sz="4" w:space="0" w:color="0000FF"/>
              <w:right w:val="nil"/>
            </w:tcBorders>
            <w:vAlign w:val="center"/>
          </w:tcPr>
          <w:p w14:paraId="0CA34AB3" w14:textId="77777777" w:rsidR="00813AC2" w:rsidRPr="00EE55AD" w:rsidRDefault="00813AC2" w:rsidP="00813AC2">
            <w:pPr>
              <w:spacing w:before="120" w:after="120"/>
              <w:ind w:left="-141" w:firstLine="141"/>
              <w:jc w:val="center"/>
              <w:rPr>
                <w:rFonts w:ascii="Book Antiqua" w:hAnsi="Book Antiqua"/>
                <w:b/>
                <w:bCs/>
                <w:sz w:val="20"/>
              </w:rPr>
            </w:pPr>
            <w:r w:rsidRPr="00EE55AD">
              <w:rPr>
                <w:rFonts w:ascii="Book Antiqua" w:hAnsi="Book Antiqua"/>
                <w:b/>
                <w:bCs/>
                <w:sz w:val="20"/>
              </w:rPr>
              <w:t>2015</w:t>
            </w:r>
          </w:p>
        </w:tc>
        <w:tc>
          <w:tcPr>
            <w:tcW w:w="1862" w:type="dxa"/>
            <w:tcBorders>
              <w:top w:val="double" w:sz="4" w:space="0" w:color="1A25F8"/>
              <w:left w:val="nil"/>
              <w:bottom w:val="single" w:sz="4" w:space="0" w:color="0000FF"/>
              <w:right w:val="nil"/>
            </w:tcBorders>
            <w:shd w:val="clear" w:color="auto" w:fill="auto"/>
            <w:noWrap/>
            <w:vAlign w:val="center"/>
          </w:tcPr>
          <w:p w14:paraId="6F7563DB" w14:textId="77777777" w:rsidR="00813AC2" w:rsidRPr="00EE55AD" w:rsidRDefault="00813AC2" w:rsidP="00813AC2">
            <w:pPr>
              <w:spacing w:before="120" w:after="120"/>
              <w:jc w:val="center"/>
              <w:rPr>
                <w:rFonts w:ascii="Book Antiqua" w:hAnsi="Book Antiqua"/>
                <w:b/>
                <w:bCs/>
                <w:sz w:val="20"/>
              </w:rPr>
            </w:pPr>
            <w:r w:rsidRPr="00EE55AD">
              <w:rPr>
                <w:rFonts w:ascii="Book Antiqua" w:hAnsi="Book Antiqua"/>
                <w:b/>
                <w:bCs/>
                <w:sz w:val="20"/>
              </w:rPr>
              <w:t>2014</w:t>
            </w:r>
          </w:p>
        </w:tc>
        <w:tc>
          <w:tcPr>
            <w:tcW w:w="1615" w:type="dxa"/>
            <w:tcBorders>
              <w:top w:val="double" w:sz="4" w:space="0" w:color="1A25F8"/>
              <w:left w:val="nil"/>
              <w:bottom w:val="single" w:sz="4" w:space="0" w:color="0000FF"/>
              <w:right w:val="nil"/>
            </w:tcBorders>
            <w:vAlign w:val="center"/>
          </w:tcPr>
          <w:p w14:paraId="0584B68F" w14:textId="77777777" w:rsidR="00813AC2" w:rsidRPr="00EE55AD" w:rsidRDefault="00813AC2" w:rsidP="00813AC2">
            <w:pPr>
              <w:spacing w:before="120" w:after="120"/>
              <w:jc w:val="center"/>
              <w:rPr>
                <w:rFonts w:ascii="Book Antiqua" w:hAnsi="Book Antiqua"/>
                <w:b/>
                <w:bCs/>
                <w:sz w:val="20"/>
              </w:rPr>
            </w:pPr>
            <w:r w:rsidRPr="00EE55AD">
              <w:rPr>
                <w:rFonts w:ascii="Book Antiqua" w:hAnsi="Book Antiqua"/>
                <w:b/>
                <w:bCs/>
                <w:sz w:val="20"/>
              </w:rPr>
              <w:t>Diferencia</w:t>
            </w:r>
          </w:p>
        </w:tc>
        <w:tc>
          <w:tcPr>
            <w:tcW w:w="1855" w:type="dxa"/>
            <w:tcBorders>
              <w:top w:val="double" w:sz="4" w:space="0" w:color="1A25F8"/>
              <w:left w:val="nil"/>
              <w:bottom w:val="single" w:sz="4" w:space="0" w:color="0000FF"/>
              <w:right w:val="nil"/>
            </w:tcBorders>
            <w:shd w:val="clear" w:color="auto" w:fill="auto"/>
            <w:noWrap/>
            <w:vAlign w:val="center"/>
          </w:tcPr>
          <w:p w14:paraId="4F5C31F0" w14:textId="77777777" w:rsidR="00813AC2" w:rsidRPr="00EE55AD" w:rsidRDefault="00813AC2" w:rsidP="00813AC2">
            <w:pPr>
              <w:spacing w:before="120" w:after="120"/>
              <w:jc w:val="center"/>
              <w:rPr>
                <w:rFonts w:ascii="Book Antiqua" w:hAnsi="Book Antiqua"/>
                <w:b/>
                <w:bCs/>
                <w:sz w:val="20"/>
              </w:rPr>
            </w:pPr>
            <w:r w:rsidRPr="00EE55AD">
              <w:rPr>
                <w:rFonts w:ascii="Book Antiqua" w:hAnsi="Book Antiqua"/>
                <w:b/>
                <w:bCs/>
                <w:sz w:val="20"/>
              </w:rPr>
              <w:t>Variación %</w:t>
            </w:r>
          </w:p>
        </w:tc>
      </w:tr>
      <w:tr w:rsidR="00813AC2" w:rsidRPr="00EE55AD" w14:paraId="388E6E44" w14:textId="77777777" w:rsidTr="00813AC2">
        <w:trPr>
          <w:trHeight w:val="300"/>
          <w:jc w:val="center"/>
        </w:trPr>
        <w:tc>
          <w:tcPr>
            <w:tcW w:w="2518" w:type="dxa"/>
            <w:tcBorders>
              <w:top w:val="nil"/>
              <w:left w:val="nil"/>
              <w:bottom w:val="nil"/>
              <w:right w:val="single" w:sz="4" w:space="0" w:color="0000FF"/>
            </w:tcBorders>
            <w:shd w:val="clear" w:color="auto" w:fill="auto"/>
            <w:noWrap/>
            <w:vAlign w:val="bottom"/>
          </w:tcPr>
          <w:p w14:paraId="29E65E23" w14:textId="77777777" w:rsidR="00813AC2" w:rsidRPr="00EE55AD" w:rsidRDefault="00813AC2" w:rsidP="00813AC2">
            <w:pPr>
              <w:rPr>
                <w:rFonts w:ascii="Book Antiqua" w:hAnsi="Book Antiqua"/>
                <w:sz w:val="20"/>
              </w:rPr>
            </w:pPr>
            <w:r w:rsidRPr="00EE55AD">
              <w:rPr>
                <w:rFonts w:ascii="Book Antiqua" w:hAnsi="Book Antiqua"/>
                <w:sz w:val="20"/>
              </w:rPr>
              <w:t>Sueldos Básicos</w:t>
            </w:r>
          </w:p>
        </w:tc>
        <w:tc>
          <w:tcPr>
            <w:tcW w:w="1927" w:type="dxa"/>
            <w:tcBorders>
              <w:top w:val="nil"/>
              <w:left w:val="nil"/>
              <w:bottom w:val="nil"/>
              <w:right w:val="nil"/>
            </w:tcBorders>
            <w:vAlign w:val="bottom"/>
          </w:tcPr>
          <w:p w14:paraId="05B63C3C"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1,282,233,004</w:t>
            </w:r>
          </w:p>
        </w:tc>
        <w:tc>
          <w:tcPr>
            <w:tcW w:w="1862" w:type="dxa"/>
            <w:tcBorders>
              <w:top w:val="nil"/>
              <w:left w:val="nil"/>
              <w:bottom w:val="nil"/>
              <w:right w:val="nil"/>
            </w:tcBorders>
            <w:shd w:val="clear" w:color="auto" w:fill="auto"/>
            <w:noWrap/>
            <w:vAlign w:val="bottom"/>
          </w:tcPr>
          <w:p w14:paraId="3B318344"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1,380,231,892</w:t>
            </w:r>
          </w:p>
        </w:tc>
        <w:tc>
          <w:tcPr>
            <w:tcW w:w="1615" w:type="dxa"/>
            <w:tcBorders>
              <w:top w:val="nil"/>
              <w:left w:val="nil"/>
              <w:bottom w:val="nil"/>
              <w:right w:val="nil"/>
            </w:tcBorders>
            <w:vAlign w:val="bottom"/>
          </w:tcPr>
          <w:p w14:paraId="7585ADC1"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-97,998,888</w:t>
            </w:r>
          </w:p>
        </w:tc>
        <w:tc>
          <w:tcPr>
            <w:tcW w:w="1855" w:type="dxa"/>
            <w:tcBorders>
              <w:top w:val="nil"/>
              <w:left w:val="nil"/>
              <w:bottom w:val="nil"/>
              <w:right w:val="nil"/>
            </w:tcBorders>
            <w:shd w:val="clear" w:color="auto" w:fill="auto"/>
            <w:noWrap/>
            <w:vAlign w:val="bottom"/>
          </w:tcPr>
          <w:p w14:paraId="2467AE17" w14:textId="77777777" w:rsidR="00813AC2" w:rsidRPr="00EE55AD" w:rsidRDefault="00813AC2" w:rsidP="00813AC2">
            <w:pPr>
              <w:jc w:val="center"/>
              <w:rPr>
                <w:rFonts w:ascii="Book Antiqua" w:hAnsi="Book Antiqua"/>
                <w:sz w:val="18"/>
                <w:szCs w:val="22"/>
              </w:rPr>
            </w:pPr>
            <w:r w:rsidRPr="00EE55AD">
              <w:rPr>
                <w:rFonts w:ascii="Book Antiqua" w:hAnsi="Book Antiqua"/>
                <w:sz w:val="18"/>
                <w:szCs w:val="22"/>
              </w:rPr>
              <w:t>-7.1%</w:t>
            </w:r>
          </w:p>
        </w:tc>
      </w:tr>
      <w:tr w:rsidR="00813AC2" w:rsidRPr="00EE55AD" w14:paraId="707D9549" w14:textId="77777777" w:rsidTr="00813AC2">
        <w:trPr>
          <w:trHeight w:val="300"/>
          <w:jc w:val="center"/>
        </w:trPr>
        <w:tc>
          <w:tcPr>
            <w:tcW w:w="2518" w:type="dxa"/>
            <w:tcBorders>
              <w:top w:val="nil"/>
              <w:left w:val="nil"/>
              <w:bottom w:val="nil"/>
              <w:right w:val="single" w:sz="4" w:space="0" w:color="0000FF"/>
            </w:tcBorders>
            <w:shd w:val="clear" w:color="auto" w:fill="auto"/>
            <w:noWrap/>
            <w:vAlign w:val="bottom"/>
          </w:tcPr>
          <w:p w14:paraId="4B28EC3C" w14:textId="77777777" w:rsidR="00813AC2" w:rsidRPr="00EE55AD" w:rsidRDefault="00813AC2" w:rsidP="00813AC2">
            <w:pPr>
              <w:rPr>
                <w:rFonts w:ascii="Book Antiqua" w:hAnsi="Book Antiqua"/>
                <w:sz w:val="20"/>
              </w:rPr>
            </w:pPr>
            <w:r w:rsidRPr="00EE55AD">
              <w:rPr>
                <w:rFonts w:ascii="Book Antiqua" w:hAnsi="Book Antiqua"/>
                <w:sz w:val="20"/>
              </w:rPr>
              <w:t>Salario Único</w:t>
            </w:r>
          </w:p>
        </w:tc>
        <w:tc>
          <w:tcPr>
            <w:tcW w:w="1927" w:type="dxa"/>
            <w:tcBorders>
              <w:top w:val="nil"/>
              <w:left w:val="nil"/>
              <w:bottom w:val="nil"/>
              <w:right w:val="nil"/>
            </w:tcBorders>
            <w:vAlign w:val="bottom"/>
          </w:tcPr>
          <w:p w14:paraId="7BFBA936"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7,575,412,000</w:t>
            </w:r>
          </w:p>
        </w:tc>
        <w:tc>
          <w:tcPr>
            <w:tcW w:w="1862" w:type="dxa"/>
            <w:tcBorders>
              <w:top w:val="nil"/>
              <w:left w:val="nil"/>
              <w:bottom w:val="nil"/>
              <w:right w:val="nil"/>
            </w:tcBorders>
            <w:shd w:val="clear" w:color="auto" w:fill="auto"/>
            <w:noWrap/>
            <w:vAlign w:val="bottom"/>
          </w:tcPr>
          <w:p w14:paraId="009780A5"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8,058,649,612</w:t>
            </w:r>
          </w:p>
        </w:tc>
        <w:tc>
          <w:tcPr>
            <w:tcW w:w="1615" w:type="dxa"/>
            <w:tcBorders>
              <w:top w:val="nil"/>
              <w:left w:val="nil"/>
              <w:bottom w:val="nil"/>
              <w:right w:val="nil"/>
            </w:tcBorders>
            <w:vAlign w:val="bottom"/>
          </w:tcPr>
          <w:p w14:paraId="4F2EEF84"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-483,237,612</w:t>
            </w:r>
          </w:p>
        </w:tc>
        <w:tc>
          <w:tcPr>
            <w:tcW w:w="1855" w:type="dxa"/>
            <w:tcBorders>
              <w:top w:val="nil"/>
              <w:left w:val="nil"/>
              <w:bottom w:val="nil"/>
              <w:right w:val="nil"/>
            </w:tcBorders>
            <w:shd w:val="clear" w:color="auto" w:fill="auto"/>
            <w:noWrap/>
            <w:vAlign w:val="bottom"/>
          </w:tcPr>
          <w:p w14:paraId="56A76FEC" w14:textId="77777777" w:rsidR="00813AC2" w:rsidRPr="00EE55AD" w:rsidRDefault="00813AC2" w:rsidP="00813AC2">
            <w:pPr>
              <w:jc w:val="center"/>
              <w:rPr>
                <w:rFonts w:ascii="Book Antiqua" w:hAnsi="Book Antiqua"/>
                <w:sz w:val="18"/>
                <w:szCs w:val="22"/>
              </w:rPr>
            </w:pPr>
            <w:r w:rsidRPr="00EE55AD">
              <w:rPr>
                <w:rFonts w:ascii="Book Antiqua" w:hAnsi="Book Antiqua"/>
                <w:sz w:val="18"/>
                <w:szCs w:val="22"/>
              </w:rPr>
              <w:t>-6.0%</w:t>
            </w:r>
          </w:p>
        </w:tc>
      </w:tr>
      <w:tr w:rsidR="00813AC2" w:rsidRPr="00EE55AD" w14:paraId="12442E36" w14:textId="77777777" w:rsidTr="00813AC2">
        <w:trPr>
          <w:trHeight w:val="300"/>
          <w:jc w:val="center"/>
        </w:trPr>
        <w:tc>
          <w:tcPr>
            <w:tcW w:w="2518" w:type="dxa"/>
            <w:tcBorders>
              <w:top w:val="nil"/>
              <w:left w:val="nil"/>
              <w:bottom w:val="nil"/>
              <w:right w:val="single" w:sz="4" w:space="0" w:color="0000FF"/>
            </w:tcBorders>
            <w:shd w:val="clear" w:color="auto" w:fill="auto"/>
            <w:noWrap/>
            <w:vAlign w:val="bottom"/>
          </w:tcPr>
          <w:p w14:paraId="1CD50895" w14:textId="77777777" w:rsidR="00813AC2" w:rsidRPr="00EE55AD" w:rsidRDefault="00813AC2" w:rsidP="00813AC2">
            <w:pPr>
              <w:rPr>
                <w:rFonts w:ascii="Book Antiqua" w:hAnsi="Book Antiqua"/>
                <w:sz w:val="20"/>
              </w:rPr>
            </w:pPr>
            <w:r w:rsidRPr="00EE55AD">
              <w:rPr>
                <w:rFonts w:ascii="Book Antiqua" w:hAnsi="Book Antiqua"/>
                <w:sz w:val="20"/>
              </w:rPr>
              <w:t>Servicios especiales</w:t>
            </w:r>
          </w:p>
        </w:tc>
        <w:tc>
          <w:tcPr>
            <w:tcW w:w="1927" w:type="dxa"/>
            <w:tcBorders>
              <w:top w:val="nil"/>
              <w:left w:val="nil"/>
              <w:bottom w:val="nil"/>
              <w:right w:val="nil"/>
            </w:tcBorders>
            <w:vAlign w:val="bottom"/>
          </w:tcPr>
          <w:p w14:paraId="33B707BC"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0</w:t>
            </w:r>
          </w:p>
        </w:tc>
        <w:tc>
          <w:tcPr>
            <w:tcW w:w="1862" w:type="dxa"/>
            <w:tcBorders>
              <w:top w:val="nil"/>
              <w:left w:val="nil"/>
              <w:bottom w:val="nil"/>
              <w:right w:val="nil"/>
            </w:tcBorders>
            <w:shd w:val="clear" w:color="auto" w:fill="auto"/>
            <w:noWrap/>
            <w:vAlign w:val="bottom"/>
          </w:tcPr>
          <w:p w14:paraId="0FB07557"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0</w:t>
            </w:r>
          </w:p>
        </w:tc>
        <w:tc>
          <w:tcPr>
            <w:tcW w:w="1615" w:type="dxa"/>
            <w:tcBorders>
              <w:top w:val="nil"/>
              <w:left w:val="nil"/>
              <w:bottom w:val="nil"/>
              <w:right w:val="nil"/>
            </w:tcBorders>
            <w:vAlign w:val="bottom"/>
          </w:tcPr>
          <w:p w14:paraId="7F924D5D"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0</w:t>
            </w:r>
          </w:p>
        </w:tc>
        <w:tc>
          <w:tcPr>
            <w:tcW w:w="1855" w:type="dxa"/>
            <w:tcBorders>
              <w:top w:val="nil"/>
              <w:left w:val="nil"/>
              <w:bottom w:val="nil"/>
              <w:right w:val="nil"/>
            </w:tcBorders>
            <w:shd w:val="clear" w:color="auto" w:fill="auto"/>
            <w:noWrap/>
            <w:vAlign w:val="bottom"/>
          </w:tcPr>
          <w:p w14:paraId="2AAEE2EB" w14:textId="77777777" w:rsidR="00813AC2" w:rsidRPr="00EE55AD" w:rsidRDefault="00813AC2" w:rsidP="00813AC2">
            <w:pPr>
              <w:jc w:val="center"/>
              <w:rPr>
                <w:rFonts w:ascii="Book Antiqua" w:hAnsi="Book Antiqua"/>
                <w:sz w:val="18"/>
                <w:szCs w:val="22"/>
              </w:rPr>
            </w:pPr>
            <w:r w:rsidRPr="00EE55AD">
              <w:rPr>
                <w:rFonts w:ascii="Book Antiqua" w:hAnsi="Book Antiqua"/>
                <w:sz w:val="18"/>
                <w:szCs w:val="22"/>
              </w:rPr>
              <w:t> </w:t>
            </w:r>
          </w:p>
        </w:tc>
      </w:tr>
      <w:tr w:rsidR="00813AC2" w:rsidRPr="00EE55AD" w14:paraId="0DE326B3" w14:textId="77777777" w:rsidTr="00813AC2">
        <w:trPr>
          <w:trHeight w:val="300"/>
          <w:jc w:val="center"/>
        </w:trPr>
        <w:tc>
          <w:tcPr>
            <w:tcW w:w="2518" w:type="dxa"/>
            <w:tcBorders>
              <w:top w:val="nil"/>
              <w:left w:val="nil"/>
              <w:bottom w:val="nil"/>
              <w:right w:val="single" w:sz="4" w:space="0" w:color="0000FF"/>
            </w:tcBorders>
            <w:shd w:val="clear" w:color="auto" w:fill="auto"/>
            <w:noWrap/>
            <w:vAlign w:val="bottom"/>
          </w:tcPr>
          <w:p w14:paraId="5CAD831D" w14:textId="77777777" w:rsidR="00813AC2" w:rsidRPr="00EE55AD" w:rsidRDefault="00813AC2" w:rsidP="00813AC2">
            <w:pPr>
              <w:rPr>
                <w:rFonts w:ascii="Book Antiqua" w:hAnsi="Book Antiqua"/>
                <w:sz w:val="20"/>
              </w:rPr>
            </w:pPr>
            <w:r w:rsidRPr="00EE55AD">
              <w:rPr>
                <w:rFonts w:ascii="Book Antiqua" w:hAnsi="Book Antiqua"/>
                <w:sz w:val="20"/>
              </w:rPr>
              <w:t xml:space="preserve">Anualidad </w:t>
            </w:r>
          </w:p>
        </w:tc>
        <w:tc>
          <w:tcPr>
            <w:tcW w:w="1927" w:type="dxa"/>
            <w:tcBorders>
              <w:top w:val="nil"/>
              <w:left w:val="nil"/>
              <w:bottom w:val="nil"/>
              <w:right w:val="nil"/>
            </w:tcBorders>
            <w:vAlign w:val="bottom"/>
          </w:tcPr>
          <w:p w14:paraId="078BE3E7"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861,347,603</w:t>
            </w:r>
          </w:p>
        </w:tc>
        <w:tc>
          <w:tcPr>
            <w:tcW w:w="1862" w:type="dxa"/>
            <w:tcBorders>
              <w:top w:val="nil"/>
              <w:left w:val="nil"/>
              <w:bottom w:val="nil"/>
              <w:right w:val="nil"/>
            </w:tcBorders>
            <w:shd w:val="clear" w:color="auto" w:fill="auto"/>
            <w:noWrap/>
            <w:vAlign w:val="bottom"/>
          </w:tcPr>
          <w:p w14:paraId="1CB2CBC5"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891,143,337</w:t>
            </w:r>
          </w:p>
        </w:tc>
        <w:tc>
          <w:tcPr>
            <w:tcW w:w="1615" w:type="dxa"/>
            <w:tcBorders>
              <w:top w:val="nil"/>
              <w:left w:val="nil"/>
              <w:bottom w:val="nil"/>
              <w:right w:val="nil"/>
            </w:tcBorders>
            <w:vAlign w:val="bottom"/>
          </w:tcPr>
          <w:p w14:paraId="123FF68C"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-29,795,734</w:t>
            </w:r>
          </w:p>
        </w:tc>
        <w:tc>
          <w:tcPr>
            <w:tcW w:w="1855" w:type="dxa"/>
            <w:tcBorders>
              <w:top w:val="nil"/>
              <w:left w:val="nil"/>
              <w:bottom w:val="nil"/>
              <w:right w:val="nil"/>
            </w:tcBorders>
            <w:shd w:val="clear" w:color="auto" w:fill="auto"/>
            <w:noWrap/>
            <w:vAlign w:val="bottom"/>
          </w:tcPr>
          <w:p w14:paraId="3AE21241" w14:textId="77777777" w:rsidR="00813AC2" w:rsidRPr="00EE55AD" w:rsidRDefault="00813AC2" w:rsidP="00813AC2">
            <w:pPr>
              <w:jc w:val="center"/>
              <w:rPr>
                <w:rFonts w:ascii="Book Antiqua" w:hAnsi="Book Antiqua"/>
                <w:sz w:val="18"/>
                <w:szCs w:val="22"/>
              </w:rPr>
            </w:pPr>
            <w:r w:rsidRPr="00EE55AD">
              <w:rPr>
                <w:rFonts w:ascii="Book Antiqua" w:hAnsi="Book Antiqua"/>
                <w:sz w:val="18"/>
                <w:szCs w:val="22"/>
              </w:rPr>
              <w:t>-3.3%</w:t>
            </w:r>
          </w:p>
        </w:tc>
      </w:tr>
      <w:tr w:rsidR="00813AC2" w:rsidRPr="00EE55AD" w14:paraId="0B22F756" w14:textId="77777777" w:rsidTr="00813AC2">
        <w:trPr>
          <w:trHeight w:val="300"/>
          <w:jc w:val="center"/>
        </w:trPr>
        <w:tc>
          <w:tcPr>
            <w:tcW w:w="2518" w:type="dxa"/>
            <w:tcBorders>
              <w:top w:val="nil"/>
              <w:left w:val="nil"/>
              <w:bottom w:val="nil"/>
              <w:right w:val="single" w:sz="4" w:space="0" w:color="0000FF"/>
            </w:tcBorders>
            <w:shd w:val="clear" w:color="auto" w:fill="auto"/>
            <w:noWrap/>
            <w:vAlign w:val="bottom"/>
          </w:tcPr>
          <w:p w14:paraId="5E5067C2" w14:textId="77777777" w:rsidR="00813AC2" w:rsidRPr="00EE55AD" w:rsidRDefault="00813AC2" w:rsidP="00813AC2">
            <w:pPr>
              <w:rPr>
                <w:rFonts w:ascii="Book Antiqua" w:hAnsi="Book Antiqua"/>
                <w:sz w:val="20"/>
              </w:rPr>
            </w:pPr>
            <w:r w:rsidRPr="00EE55AD">
              <w:rPr>
                <w:rFonts w:ascii="Book Antiqua" w:hAnsi="Book Antiqua"/>
                <w:sz w:val="20"/>
              </w:rPr>
              <w:t>Méritos</w:t>
            </w:r>
          </w:p>
        </w:tc>
        <w:tc>
          <w:tcPr>
            <w:tcW w:w="1927" w:type="dxa"/>
            <w:tcBorders>
              <w:top w:val="nil"/>
              <w:left w:val="nil"/>
              <w:bottom w:val="nil"/>
              <w:right w:val="nil"/>
            </w:tcBorders>
            <w:vAlign w:val="center"/>
          </w:tcPr>
          <w:p w14:paraId="4DA9694C"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1,124,115,165</w:t>
            </w:r>
          </w:p>
        </w:tc>
        <w:tc>
          <w:tcPr>
            <w:tcW w:w="1862" w:type="dxa"/>
            <w:tcBorders>
              <w:top w:val="nil"/>
              <w:left w:val="nil"/>
              <w:bottom w:val="nil"/>
              <w:right w:val="nil"/>
            </w:tcBorders>
            <w:shd w:val="clear" w:color="auto" w:fill="auto"/>
            <w:noWrap/>
            <w:vAlign w:val="center"/>
          </w:tcPr>
          <w:p w14:paraId="7739710E"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1,127,091,393</w:t>
            </w:r>
          </w:p>
        </w:tc>
        <w:tc>
          <w:tcPr>
            <w:tcW w:w="1615" w:type="dxa"/>
            <w:tcBorders>
              <w:top w:val="nil"/>
              <w:left w:val="nil"/>
              <w:bottom w:val="nil"/>
              <w:right w:val="nil"/>
            </w:tcBorders>
            <w:vAlign w:val="center"/>
          </w:tcPr>
          <w:p w14:paraId="71B32E3A"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-2,976,228</w:t>
            </w:r>
          </w:p>
        </w:tc>
        <w:tc>
          <w:tcPr>
            <w:tcW w:w="1855" w:type="dxa"/>
            <w:tcBorders>
              <w:top w:val="nil"/>
              <w:left w:val="nil"/>
              <w:bottom w:val="nil"/>
              <w:right w:val="nil"/>
            </w:tcBorders>
            <w:shd w:val="clear" w:color="auto" w:fill="auto"/>
            <w:noWrap/>
            <w:vAlign w:val="center"/>
          </w:tcPr>
          <w:p w14:paraId="020168ED" w14:textId="77777777" w:rsidR="00813AC2" w:rsidRPr="00EE55AD" w:rsidRDefault="00813AC2" w:rsidP="00813AC2">
            <w:pPr>
              <w:jc w:val="center"/>
              <w:rPr>
                <w:rFonts w:ascii="Book Antiqua" w:hAnsi="Book Antiqua"/>
                <w:sz w:val="18"/>
                <w:szCs w:val="22"/>
              </w:rPr>
            </w:pPr>
            <w:r w:rsidRPr="00EE55AD">
              <w:rPr>
                <w:rFonts w:ascii="Book Antiqua" w:hAnsi="Book Antiqua"/>
                <w:sz w:val="18"/>
                <w:szCs w:val="22"/>
              </w:rPr>
              <w:t>-0.3%</w:t>
            </w:r>
          </w:p>
        </w:tc>
      </w:tr>
      <w:tr w:rsidR="00813AC2" w:rsidRPr="00EE55AD" w14:paraId="5B2B69E5" w14:textId="77777777" w:rsidTr="00813AC2">
        <w:trPr>
          <w:trHeight w:val="300"/>
          <w:jc w:val="center"/>
        </w:trPr>
        <w:tc>
          <w:tcPr>
            <w:tcW w:w="2518" w:type="dxa"/>
            <w:tcBorders>
              <w:top w:val="nil"/>
              <w:left w:val="nil"/>
              <w:bottom w:val="nil"/>
              <w:right w:val="single" w:sz="4" w:space="0" w:color="0000FF"/>
            </w:tcBorders>
            <w:shd w:val="clear" w:color="auto" w:fill="auto"/>
            <w:noWrap/>
            <w:vAlign w:val="bottom"/>
          </w:tcPr>
          <w:p w14:paraId="57774A4D" w14:textId="77777777" w:rsidR="00813AC2" w:rsidRPr="00EE55AD" w:rsidRDefault="00813AC2" w:rsidP="00813AC2">
            <w:pPr>
              <w:rPr>
                <w:rFonts w:ascii="Book Antiqua" w:hAnsi="Book Antiqua"/>
                <w:sz w:val="20"/>
              </w:rPr>
            </w:pPr>
            <w:proofErr w:type="spellStart"/>
            <w:r w:rsidRPr="00EE55AD">
              <w:rPr>
                <w:rFonts w:ascii="Book Antiqua" w:hAnsi="Book Antiqua"/>
                <w:sz w:val="20"/>
              </w:rPr>
              <w:t>Bonific</w:t>
            </w:r>
            <w:proofErr w:type="spellEnd"/>
            <w:r w:rsidRPr="00EE55AD">
              <w:rPr>
                <w:rFonts w:ascii="Book Antiqua" w:hAnsi="Book Antiqua"/>
                <w:sz w:val="20"/>
              </w:rPr>
              <w:t>. profesional</w:t>
            </w:r>
          </w:p>
        </w:tc>
        <w:tc>
          <w:tcPr>
            <w:tcW w:w="1927" w:type="dxa"/>
            <w:tcBorders>
              <w:top w:val="nil"/>
              <w:left w:val="nil"/>
              <w:bottom w:val="nil"/>
              <w:right w:val="nil"/>
            </w:tcBorders>
            <w:vAlign w:val="bottom"/>
          </w:tcPr>
          <w:p w14:paraId="166A5551"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247,569,244</w:t>
            </w:r>
          </w:p>
        </w:tc>
        <w:tc>
          <w:tcPr>
            <w:tcW w:w="1862" w:type="dxa"/>
            <w:tcBorders>
              <w:top w:val="nil"/>
              <w:left w:val="nil"/>
              <w:bottom w:val="nil"/>
              <w:right w:val="nil"/>
            </w:tcBorders>
            <w:shd w:val="clear" w:color="auto" w:fill="auto"/>
            <w:noWrap/>
            <w:vAlign w:val="bottom"/>
          </w:tcPr>
          <w:p w14:paraId="0857B775"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255,519,628</w:t>
            </w:r>
          </w:p>
        </w:tc>
        <w:tc>
          <w:tcPr>
            <w:tcW w:w="1615" w:type="dxa"/>
            <w:tcBorders>
              <w:top w:val="nil"/>
              <w:left w:val="nil"/>
              <w:bottom w:val="nil"/>
              <w:right w:val="nil"/>
            </w:tcBorders>
            <w:vAlign w:val="bottom"/>
          </w:tcPr>
          <w:p w14:paraId="2825AB5E"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-7,950,384</w:t>
            </w:r>
          </w:p>
        </w:tc>
        <w:tc>
          <w:tcPr>
            <w:tcW w:w="1855" w:type="dxa"/>
            <w:tcBorders>
              <w:top w:val="nil"/>
              <w:left w:val="nil"/>
              <w:bottom w:val="nil"/>
              <w:right w:val="nil"/>
            </w:tcBorders>
            <w:shd w:val="clear" w:color="auto" w:fill="auto"/>
            <w:noWrap/>
            <w:vAlign w:val="bottom"/>
          </w:tcPr>
          <w:p w14:paraId="482C00E7" w14:textId="77777777" w:rsidR="00813AC2" w:rsidRPr="00EE55AD" w:rsidRDefault="00813AC2" w:rsidP="00813AC2">
            <w:pPr>
              <w:jc w:val="center"/>
              <w:rPr>
                <w:rFonts w:ascii="Book Antiqua" w:hAnsi="Book Antiqua"/>
                <w:sz w:val="18"/>
                <w:szCs w:val="22"/>
              </w:rPr>
            </w:pPr>
            <w:r w:rsidRPr="00EE55AD">
              <w:rPr>
                <w:rFonts w:ascii="Book Antiqua" w:hAnsi="Book Antiqua"/>
                <w:sz w:val="18"/>
                <w:szCs w:val="22"/>
              </w:rPr>
              <w:t>-3.1%</w:t>
            </w:r>
          </w:p>
        </w:tc>
      </w:tr>
      <w:tr w:rsidR="00813AC2" w:rsidRPr="00EE55AD" w14:paraId="3073C761" w14:textId="77777777" w:rsidTr="00813AC2">
        <w:trPr>
          <w:trHeight w:val="300"/>
          <w:jc w:val="center"/>
        </w:trPr>
        <w:tc>
          <w:tcPr>
            <w:tcW w:w="2518" w:type="dxa"/>
            <w:tcBorders>
              <w:top w:val="nil"/>
              <w:left w:val="nil"/>
              <w:bottom w:val="nil"/>
              <w:right w:val="single" w:sz="4" w:space="0" w:color="0000FF"/>
            </w:tcBorders>
            <w:shd w:val="clear" w:color="auto" w:fill="auto"/>
            <w:noWrap/>
            <w:vAlign w:val="bottom"/>
          </w:tcPr>
          <w:p w14:paraId="2B8A5713" w14:textId="77777777" w:rsidR="00813AC2" w:rsidRPr="00EE55AD" w:rsidRDefault="00813AC2" w:rsidP="00813AC2">
            <w:pPr>
              <w:rPr>
                <w:rFonts w:ascii="Book Antiqua" w:hAnsi="Book Antiqua"/>
                <w:sz w:val="20"/>
              </w:rPr>
            </w:pPr>
            <w:r w:rsidRPr="00EE55AD">
              <w:rPr>
                <w:rFonts w:ascii="Book Antiqua" w:hAnsi="Book Antiqua"/>
                <w:sz w:val="20"/>
              </w:rPr>
              <w:t xml:space="preserve">Prohibición </w:t>
            </w:r>
          </w:p>
        </w:tc>
        <w:tc>
          <w:tcPr>
            <w:tcW w:w="1927" w:type="dxa"/>
            <w:tcBorders>
              <w:top w:val="nil"/>
              <w:left w:val="nil"/>
              <w:bottom w:val="nil"/>
              <w:right w:val="nil"/>
            </w:tcBorders>
            <w:vAlign w:val="bottom"/>
          </w:tcPr>
          <w:p w14:paraId="753B486B"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331,193,600</w:t>
            </w:r>
          </w:p>
        </w:tc>
        <w:tc>
          <w:tcPr>
            <w:tcW w:w="1862" w:type="dxa"/>
            <w:tcBorders>
              <w:top w:val="nil"/>
              <w:left w:val="nil"/>
              <w:bottom w:val="nil"/>
              <w:right w:val="nil"/>
            </w:tcBorders>
            <w:shd w:val="clear" w:color="auto" w:fill="auto"/>
            <w:noWrap/>
            <w:vAlign w:val="bottom"/>
          </w:tcPr>
          <w:p w14:paraId="7E562CE0"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329,470,973</w:t>
            </w:r>
          </w:p>
        </w:tc>
        <w:tc>
          <w:tcPr>
            <w:tcW w:w="1615" w:type="dxa"/>
            <w:tcBorders>
              <w:top w:val="nil"/>
              <w:left w:val="nil"/>
              <w:bottom w:val="nil"/>
              <w:right w:val="nil"/>
            </w:tcBorders>
            <w:vAlign w:val="bottom"/>
          </w:tcPr>
          <w:p w14:paraId="4B047EE4"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1,722,627</w:t>
            </w:r>
          </w:p>
        </w:tc>
        <w:tc>
          <w:tcPr>
            <w:tcW w:w="1855" w:type="dxa"/>
            <w:tcBorders>
              <w:top w:val="nil"/>
              <w:left w:val="nil"/>
              <w:bottom w:val="nil"/>
              <w:right w:val="nil"/>
            </w:tcBorders>
            <w:shd w:val="clear" w:color="auto" w:fill="auto"/>
            <w:noWrap/>
            <w:vAlign w:val="bottom"/>
          </w:tcPr>
          <w:p w14:paraId="0684D1DD" w14:textId="77777777" w:rsidR="00813AC2" w:rsidRPr="00EE55AD" w:rsidRDefault="00813AC2" w:rsidP="00813AC2">
            <w:pPr>
              <w:jc w:val="center"/>
              <w:rPr>
                <w:rFonts w:ascii="Book Antiqua" w:hAnsi="Book Antiqua"/>
                <w:sz w:val="18"/>
                <w:szCs w:val="22"/>
              </w:rPr>
            </w:pPr>
            <w:r w:rsidRPr="00EE55AD">
              <w:rPr>
                <w:rFonts w:ascii="Book Antiqua" w:hAnsi="Book Antiqua"/>
                <w:sz w:val="18"/>
                <w:szCs w:val="22"/>
              </w:rPr>
              <w:t>0.5%</w:t>
            </w:r>
          </w:p>
        </w:tc>
      </w:tr>
      <w:tr w:rsidR="00813AC2" w:rsidRPr="00EE55AD" w14:paraId="3D79A73D" w14:textId="77777777" w:rsidTr="00813AC2">
        <w:trPr>
          <w:trHeight w:val="300"/>
          <w:jc w:val="center"/>
        </w:trPr>
        <w:tc>
          <w:tcPr>
            <w:tcW w:w="2518" w:type="dxa"/>
            <w:tcBorders>
              <w:top w:val="nil"/>
              <w:left w:val="nil"/>
              <w:right w:val="single" w:sz="4" w:space="0" w:color="0000FF"/>
            </w:tcBorders>
            <w:shd w:val="clear" w:color="auto" w:fill="auto"/>
            <w:noWrap/>
            <w:vAlign w:val="bottom"/>
          </w:tcPr>
          <w:p w14:paraId="64B4A1A3" w14:textId="77777777" w:rsidR="00813AC2" w:rsidRPr="00EE55AD" w:rsidRDefault="00813AC2" w:rsidP="00813AC2">
            <w:pPr>
              <w:rPr>
                <w:rFonts w:ascii="Book Antiqua" w:hAnsi="Book Antiqua"/>
                <w:sz w:val="20"/>
              </w:rPr>
            </w:pPr>
            <w:r w:rsidRPr="00EE55AD">
              <w:rPr>
                <w:rFonts w:ascii="Book Antiqua" w:hAnsi="Book Antiqua"/>
                <w:sz w:val="20"/>
              </w:rPr>
              <w:t>Ajuste Personal</w:t>
            </w:r>
          </w:p>
        </w:tc>
        <w:tc>
          <w:tcPr>
            <w:tcW w:w="1927" w:type="dxa"/>
            <w:tcBorders>
              <w:top w:val="nil"/>
              <w:left w:val="nil"/>
              <w:right w:val="nil"/>
            </w:tcBorders>
            <w:vAlign w:val="bottom"/>
          </w:tcPr>
          <w:p w14:paraId="00A9DC69"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3,360,843</w:t>
            </w:r>
          </w:p>
        </w:tc>
        <w:tc>
          <w:tcPr>
            <w:tcW w:w="1862" w:type="dxa"/>
            <w:tcBorders>
              <w:top w:val="nil"/>
              <w:left w:val="nil"/>
              <w:right w:val="nil"/>
            </w:tcBorders>
            <w:shd w:val="clear" w:color="auto" w:fill="auto"/>
            <w:noWrap/>
            <w:vAlign w:val="bottom"/>
          </w:tcPr>
          <w:p w14:paraId="0F7954BB"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3,612,679</w:t>
            </w:r>
          </w:p>
        </w:tc>
        <w:tc>
          <w:tcPr>
            <w:tcW w:w="1615" w:type="dxa"/>
            <w:tcBorders>
              <w:top w:val="nil"/>
              <w:left w:val="nil"/>
              <w:right w:val="nil"/>
            </w:tcBorders>
            <w:vAlign w:val="bottom"/>
          </w:tcPr>
          <w:p w14:paraId="3CB44055"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-251,836</w:t>
            </w:r>
          </w:p>
        </w:tc>
        <w:tc>
          <w:tcPr>
            <w:tcW w:w="1855" w:type="dxa"/>
            <w:tcBorders>
              <w:top w:val="nil"/>
              <w:left w:val="nil"/>
              <w:right w:val="nil"/>
            </w:tcBorders>
            <w:shd w:val="clear" w:color="auto" w:fill="auto"/>
            <w:noWrap/>
            <w:vAlign w:val="bottom"/>
          </w:tcPr>
          <w:p w14:paraId="6A14DD46" w14:textId="77777777" w:rsidR="00813AC2" w:rsidRPr="00EE55AD" w:rsidRDefault="00813AC2" w:rsidP="00813AC2">
            <w:pPr>
              <w:jc w:val="center"/>
              <w:rPr>
                <w:rFonts w:ascii="Book Antiqua" w:hAnsi="Book Antiqua"/>
                <w:sz w:val="18"/>
                <w:szCs w:val="22"/>
              </w:rPr>
            </w:pPr>
            <w:r w:rsidRPr="00EE55AD">
              <w:rPr>
                <w:rFonts w:ascii="Book Antiqua" w:hAnsi="Book Antiqua"/>
                <w:sz w:val="18"/>
                <w:szCs w:val="22"/>
              </w:rPr>
              <w:t>-7.0%</w:t>
            </w:r>
          </w:p>
        </w:tc>
      </w:tr>
      <w:tr w:rsidR="00813AC2" w:rsidRPr="00EE55AD" w14:paraId="7BE72DC0" w14:textId="77777777" w:rsidTr="00EE55AD">
        <w:trPr>
          <w:trHeight w:val="315"/>
          <w:jc w:val="center"/>
        </w:trPr>
        <w:tc>
          <w:tcPr>
            <w:tcW w:w="2518" w:type="dxa"/>
            <w:tcBorders>
              <w:top w:val="nil"/>
              <w:left w:val="nil"/>
              <w:bottom w:val="single" w:sz="4" w:space="0" w:color="auto"/>
              <w:right w:val="single" w:sz="4" w:space="0" w:color="0000FF"/>
            </w:tcBorders>
            <w:shd w:val="clear" w:color="auto" w:fill="auto"/>
            <w:noWrap/>
            <w:vAlign w:val="bottom"/>
          </w:tcPr>
          <w:p w14:paraId="7F119CB5" w14:textId="77777777" w:rsidR="00813AC2" w:rsidRPr="00EE55AD" w:rsidRDefault="00813AC2" w:rsidP="00813AC2">
            <w:pPr>
              <w:rPr>
                <w:rFonts w:ascii="Book Antiqua" w:hAnsi="Book Antiqua"/>
                <w:bCs/>
                <w:sz w:val="20"/>
              </w:rPr>
            </w:pPr>
            <w:r w:rsidRPr="00EE55AD">
              <w:rPr>
                <w:rFonts w:ascii="Book Antiqua" w:hAnsi="Book Antiqua"/>
                <w:bCs/>
                <w:sz w:val="20"/>
              </w:rPr>
              <w:t>Ajuste de mercado</w:t>
            </w:r>
          </w:p>
        </w:tc>
        <w:tc>
          <w:tcPr>
            <w:tcW w:w="1927" w:type="dxa"/>
            <w:tcBorders>
              <w:top w:val="nil"/>
              <w:left w:val="nil"/>
              <w:bottom w:val="single" w:sz="4" w:space="0" w:color="auto"/>
              <w:right w:val="nil"/>
            </w:tcBorders>
            <w:vAlign w:val="bottom"/>
          </w:tcPr>
          <w:p w14:paraId="61B5CBE1"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25,653,459</w:t>
            </w:r>
          </w:p>
        </w:tc>
        <w:tc>
          <w:tcPr>
            <w:tcW w:w="1862" w:type="dxa"/>
            <w:tcBorders>
              <w:top w:val="nil"/>
              <w:left w:val="nil"/>
              <w:bottom w:val="single" w:sz="4" w:space="0" w:color="auto"/>
              <w:right w:val="nil"/>
            </w:tcBorders>
            <w:shd w:val="clear" w:color="auto" w:fill="auto"/>
            <w:noWrap/>
            <w:vAlign w:val="bottom"/>
          </w:tcPr>
          <w:p w14:paraId="165B67F5"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26,739,776</w:t>
            </w:r>
          </w:p>
        </w:tc>
        <w:tc>
          <w:tcPr>
            <w:tcW w:w="1615" w:type="dxa"/>
            <w:tcBorders>
              <w:top w:val="nil"/>
              <w:left w:val="nil"/>
              <w:bottom w:val="single" w:sz="4" w:space="0" w:color="auto"/>
              <w:right w:val="nil"/>
            </w:tcBorders>
            <w:vAlign w:val="bottom"/>
          </w:tcPr>
          <w:p w14:paraId="4BAFE716" w14:textId="77777777" w:rsidR="00813AC2" w:rsidRPr="00EE55AD" w:rsidRDefault="00813AC2" w:rsidP="00813AC2">
            <w:pPr>
              <w:jc w:val="right"/>
              <w:rPr>
                <w:rFonts w:ascii="Book Antiqua" w:hAnsi="Book Antiqua"/>
                <w:sz w:val="18"/>
                <w:szCs w:val="22"/>
              </w:rPr>
            </w:pPr>
            <w:r w:rsidRPr="00EE55AD">
              <w:rPr>
                <w:rFonts w:ascii="Book Antiqua" w:hAnsi="Book Antiqua"/>
                <w:sz w:val="18"/>
                <w:szCs w:val="22"/>
              </w:rPr>
              <w:t>-1,086,317</w:t>
            </w:r>
          </w:p>
        </w:tc>
        <w:tc>
          <w:tcPr>
            <w:tcW w:w="1855" w:type="dxa"/>
            <w:tcBorders>
              <w:top w:val="nil"/>
              <w:left w:val="nil"/>
              <w:bottom w:val="single" w:sz="4" w:space="0" w:color="auto"/>
              <w:right w:val="nil"/>
            </w:tcBorders>
            <w:shd w:val="clear" w:color="auto" w:fill="auto"/>
            <w:noWrap/>
            <w:vAlign w:val="bottom"/>
          </w:tcPr>
          <w:p w14:paraId="364122F7" w14:textId="77777777" w:rsidR="00813AC2" w:rsidRPr="00EE55AD" w:rsidRDefault="00813AC2" w:rsidP="00813AC2">
            <w:pPr>
              <w:jc w:val="center"/>
              <w:rPr>
                <w:rFonts w:ascii="Book Antiqua" w:hAnsi="Book Antiqua"/>
                <w:sz w:val="18"/>
                <w:szCs w:val="22"/>
              </w:rPr>
            </w:pPr>
            <w:r w:rsidRPr="00EE55AD">
              <w:rPr>
                <w:rFonts w:ascii="Book Antiqua" w:hAnsi="Book Antiqua"/>
                <w:sz w:val="18"/>
                <w:szCs w:val="22"/>
              </w:rPr>
              <w:t>-4.1%</w:t>
            </w:r>
          </w:p>
        </w:tc>
      </w:tr>
      <w:tr w:rsidR="00813AC2" w:rsidRPr="00EE55AD" w14:paraId="67B6E8D7" w14:textId="77777777" w:rsidTr="00EE55AD">
        <w:trPr>
          <w:trHeight w:val="315"/>
          <w:jc w:val="center"/>
        </w:trPr>
        <w:tc>
          <w:tcPr>
            <w:tcW w:w="2518" w:type="dxa"/>
            <w:tcBorders>
              <w:top w:val="single" w:sz="4" w:space="0" w:color="auto"/>
              <w:left w:val="nil"/>
              <w:bottom w:val="double" w:sz="6" w:space="0" w:color="0000FF"/>
              <w:right w:val="single" w:sz="4" w:space="0" w:color="0000FF"/>
            </w:tcBorders>
            <w:shd w:val="clear" w:color="auto" w:fill="auto"/>
            <w:noWrap/>
            <w:vAlign w:val="bottom"/>
          </w:tcPr>
          <w:p w14:paraId="6ED31EA6" w14:textId="77777777" w:rsidR="00813AC2" w:rsidRPr="00EE55AD" w:rsidRDefault="00813AC2" w:rsidP="00813AC2">
            <w:pPr>
              <w:rPr>
                <w:rFonts w:ascii="Book Antiqua" w:hAnsi="Book Antiqua"/>
                <w:b/>
                <w:bCs/>
                <w:sz w:val="20"/>
              </w:rPr>
            </w:pPr>
            <w:r w:rsidRPr="00EE55AD">
              <w:rPr>
                <w:rFonts w:ascii="Book Antiqua" w:hAnsi="Book Antiqua"/>
                <w:b/>
                <w:bCs/>
                <w:sz w:val="20"/>
              </w:rPr>
              <w:t>Total</w:t>
            </w:r>
          </w:p>
        </w:tc>
        <w:tc>
          <w:tcPr>
            <w:tcW w:w="1927" w:type="dxa"/>
            <w:tcBorders>
              <w:top w:val="single" w:sz="4" w:space="0" w:color="auto"/>
              <w:left w:val="nil"/>
              <w:bottom w:val="double" w:sz="6" w:space="0" w:color="0000FF"/>
              <w:right w:val="nil"/>
            </w:tcBorders>
            <w:vAlign w:val="bottom"/>
          </w:tcPr>
          <w:p w14:paraId="344BC8E8" w14:textId="77777777" w:rsidR="00813AC2" w:rsidRPr="00EE55AD" w:rsidRDefault="00813AC2" w:rsidP="00813AC2">
            <w:pPr>
              <w:jc w:val="right"/>
              <w:rPr>
                <w:rFonts w:ascii="Book Antiqua" w:hAnsi="Book Antiqua"/>
                <w:b/>
                <w:bCs/>
                <w:sz w:val="18"/>
                <w:szCs w:val="22"/>
              </w:rPr>
            </w:pPr>
            <w:r w:rsidRPr="00EE55AD">
              <w:rPr>
                <w:rFonts w:ascii="Book Antiqua" w:hAnsi="Book Antiqua"/>
                <w:b/>
                <w:bCs/>
                <w:sz w:val="18"/>
                <w:szCs w:val="22"/>
              </w:rPr>
              <w:t>11,450,884,918</w:t>
            </w:r>
          </w:p>
        </w:tc>
        <w:tc>
          <w:tcPr>
            <w:tcW w:w="1862" w:type="dxa"/>
            <w:tcBorders>
              <w:top w:val="single" w:sz="4" w:space="0" w:color="auto"/>
              <w:left w:val="nil"/>
              <w:bottom w:val="double" w:sz="6" w:space="0" w:color="0000FF"/>
              <w:right w:val="nil"/>
            </w:tcBorders>
            <w:shd w:val="clear" w:color="auto" w:fill="auto"/>
            <w:noWrap/>
            <w:vAlign w:val="bottom"/>
          </w:tcPr>
          <w:p w14:paraId="5A6736D5" w14:textId="77777777" w:rsidR="00813AC2" w:rsidRPr="00EE55AD" w:rsidRDefault="00813AC2" w:rsidP="00813AC2">
            <w:pPr>
              <w:jc w:val="right"/>
              <w:rPr>
                <w:rFonts w:ascii="Book Antiqua" w:hAnsi="Book Antiqua"/>
                <w:b/>
                <w:bCs/>
                <w:sz w:val="18"/>
                <w:szCs w:val="22"/>
              </w:rPr>
            </w:pPr>
            <w:r w:rsidRPr="00EE55AD">
              <w:rPr>
                <w:rFonts w:ascii="Book Antiqua" w:hAnsi="Book Antiqua"/>
                <w:b/>
                <w:bCs/>
                <w:sz w:val="18"/>
                <w:szCs w:val="22"/>
              </w:rPr>
              <w:t>12,072,459,290</w:t>
            </w:r>
          </w:p>
        </w:tc>
        <w:tc>
          <w:tcPr>
            <w:tcW w:w="1615" w:type="dxa"/>
            <w:tcBorders>
              <w:top w:val="single" w:sz="4" w:space="0" w:color="auto"/>
              <w:left w:val="nil"/>
              <w:bottom w:val="double" w:sz="6" w:space="0" w:color="0000FF"/>
              <w:right w:val="nil"/>
            </w:tcBorders>
            <w:vAlign w:val="bottom"/>
          </w:tcPr>
          <w:p w14:paraId="44AF7F51" w14:textId="77777777" w:rsidR="00813AC2" w:rsidRPr="00EE55AD" w:rsidRDefault="00813AC2" w:rsidP="00813AC2">
            <w:pPr>
              <w:jc w:val="right"/>
              <w:rPr>
                <w:rFonts w:ascii="Book Antiqua" w:hAnsi="Book Antiqua"/>
                <w:b/>
                <w:bCs/>
                <w:sz w:val="18"/>
                <w:szCs w:val="22"/>
              </w:rPr>
            </w:pPr>
            <w:r w:rsidRPr="00EE55AD">
              <w:rPr>
                <w:rFonts w:ascii="Book Antiqua" w:hAnsi="Book Antiqua"/>
                <w:b/>
                <w:bCs/>
                <w:sz w:val="18"/>
                <w:szCs w:val="22"/>
              </w:rPr>
              <w:t>-621,574,372</w:t>
            </w:r>
          </w:p>
        </w:tc>
        <w:tc>
          <w:tcPr>
            <w:tcW w:w="1855" w:type="dxa"/>
            <w:tcBorders>
              <w:top w:val="single" w:sz="4" w:space="0" w:color="auto"/>
              <w:left w:val="nil"/>
              <w:bottom w:val="double" w:sz="6" w:space="0" w:color="0000FF"/>
              <w:right w:val="nil"/>
            </w:tcBorders>
            <w:shd w:val="clear" w:color="auto" w:fill="auto"/>
            <w:noWrap/>
            <w:vAlign w:val="bottom"/>
          </w:tcPr>
          <w:p w14:paraId="1BB41C85" w14:textId="77777777" w:rsidR="00813AC2" w:rsidRPr="00EE55AD" w:rsidRDefault="00813AC2" w:rsidP="00813AC2">
            <w:pPr>
              <w:jc w:val="center"/>
              <w:rPr>
                <w:rFonts w:ascii="Book Antiqua" w:hAnsi="Book Antiqua"/>
                <w:b/>
                <w:bCs/>
                <w:sz w:val="18"/>
                <w:szCs w:val="22"/>
              </w:rPr>
            </w:pPr>
            <w:r w:rsidRPr="00EE55AD">
              <w:rPr>
                <w:rFonts w:ascii="Book Antiqua" w:hAnsi="Book Antiqua"/>
                <w:b/>
                <w:bCs/>
                <w:sz w:val="18"/>
                <w:szCs w:val="22"/>
              </w:rPr>
              <w:t>-5.1%</w:t>
            </w:r>
          </w:p>
        </w:tc>
      </w:tr>
    </w:tbl>
    <w:p w14:paraId="54E7F617" w14:textId="77777777" w:rsidR="00EE55AD" w:rsidRDefault="00EE55AD" w:rsidP="00813AC2">
      <w:pPr>
        <w:tabs>
          <w:tab w:val="left" w:pos="3765"/>
        </w:tabs>
        <w:jc w:val="both"/>
        <w:rPr>
          <w:rFonts w:ascii="Book Antiqua" w:hAnsi="Book Antiqua"/>
        </w:rPr>
      </w:pPr>
    </w:p>
    <w:p w14:paraId="7673F1E9" w14:textId="5CEC373D" w:rsidR="00813AC2" w:rsidRDefault="00813AC2" w:rsidP="00813AC2">
      <w:pPr>
        <w:tabs>
          <w:tab w:val="left" w:pos="3765"/>
        </w:tabs>
        <w:jc w:val="both"/>
        <w:rPr>
          <w:rFonts w:ascii="Book Antiqua" w:hAnsi="Book Antiqua"/>
        </w:rPr>
      </w:pPr>
      <w:r>
        <w:rPr>
          <w:rFonts w:ascii="Book Antiqua" w:hAnsi="Book Antiqua"/>
        </w:rPr>
        <w:t>En resumen, con las cifras propuestas en el siguiente cuadro, correspondientes a las subpartidas ordinarias de salarios, para la formulación del presupuesto de Remuneraciones del 2016, se cumple con el lineamiento presupuestario de crecimiento máximo de un 5</w:t>
      </w:r>
      <w:r w:rsidRPr="005F5A4F">
        <w:rPr>
          <w:rFonts w:ascii="Book Antiqua" w:hAnsi="Book Antiqua"/>
          <w:b/>
        </w:rPr>
        <w:t>%</w:t>
      </w:r>
      <w:r>
        <w:rPr>
          <w:rFonts w:ascii="Book Antiqua" w:hAnsi="Book Antiqua"/>
          <w:b/>
        </w:rPr>
        <w:t xml:space="preserve"> </w:t>
      </w:r>
      <w:r>
        <w:rPr>
          <w:rFonts w:ascii="Book Antiqua" w:hAnsi="Book Antiqua"/>
        </w:rPr>
        <w:t>en dicha partida, con el cual se tiene la expectativa de que será suficiente para solventar los aumentos salariales que se apruebe para el próximo ejercicio presupuestario.</w:t>
      </w:r>
    </w:p>
    <w:p w14:paraId="6D0FF6AD" w14:textId="77777777" w:rsidR="00813AC2" w:rsidRDefault="00813AC2" w:rsidP="00813AC2">
      <w:pPr>
        <w:tabs>
          <w:tab w:val="left" w:pos="3765"/>
        </w:tabs>
        <w:jc w:val="both"/>
        <w:rPr>
          <w:rFonts w:ascii="Book Antiqua" w:hAnsi="Book Antiqua"/>
        </w:rPr>
      </w:pPr>
    </w:p>
    <w:p w14:paraId="59147260" w14:textId="77777777" w:rsidR="00813AC2" w:rsidRDefault="00813AC2" w:rsidP="00813AC2">
      <w:pPr>
        <w:tabs>
          <w:tab w:val="left" w:pos="3765"/>
        </w:tabs>
        <w:jc w:val="both"/>
        <w:rPr>
          <w:rFonts w:ascii="Book Antiqua" w:hAnsi="Book Antiqua"/>
        </w:rPr>
        <w:sectPr w:rsidR="00813AC2" w:rsidSect="00813AC2">
          <w:headerReference w:type="default" r:id="rId89"/>
          <w:footerReference w:type="even" r:id="rId90"/>
          <w:footerReference w:type="default" r:id="rId91"/>
          <w:headerReference w:type="first" r:id="rId92"/>
          <w:pgSz w:w="12240" w:h="15840" w:code="1"/>
          <w:pgMar w:top="1440" w:right="1440" w:bottom="1440" w:left="1440" w:header="720" w:footer="720" w:gutter="0"/>
          <w:cols w:space="708"/>
          <w:titlePg/>
          <w:docGrid w:linePitch="360"/>
        </w:sectPr>
      </w:pPr>
    </w:p>
    <w:p w14:paraId="0074BB19" w14:textId="77777777" w:rsidR="00813AC2" w:rsidRDefault="00813AC2" w:rsidP="00813AC2">
      <w:pPr>
        <w:spacing w:after="240"/>
        <w:jc w:val="center"/>
        <w:rPr>
          <w:noProof/>
          <w:lang w:eastAsia="es-CR"/>
        </w:rPr>
      </w:pPr>
      <w:r w:rsidRPr="003A5DDB">
        <w:rPr>
          <w:b/>
        </w:rPr>
        <w:lastRenderedPageBreak/>
        <w:t>FORMULACIÓN PRESUP</w:t>
      </w:r>
      <w:r>
        <w:rPr>
          <w:b/>
        </w:rPr>
        <w:t>U</w:t>
      </w:r>
      <w:r w:rsidRPr="003A5DDB">
        <w:rPr>
          <w:b/>
        </w:rPr>
        <w:t xml:space="preserve">ESTO </w:t>
      </w:r>
      <w:r>
        <w:rPr>
          <w:b/>
        </w:rPr>
        <w:t xml:space="preserve">PARTIDAS SALARIO ORDINARIO </w:t>
      </w:r>
      <w:r w:rsidRPr="003A5DDB">
        <w:rPr>
          <w:b/>
        </w:rPr>
        <w:t>201</w:t>
      </w:r>
      <w:r>
        <w:rPr>
          <w:b/>
        </w:rPr>
        <w:t>6</w:t>
      </w:r>
    </w:p>
    <w:p w14:paraId="193A68FA" w14:textId="77777777" w:rsidR="00813AC2" w:rsidRPr="009F0301" w:rsidRDefault="00813AC2" w:rsidP="00813AC2">
      <w:pPr>
        <w:spacing w:after="240" w:line="276" w:lineRule="auto"/>
        <w:jc w:val="center"/>
        <w:rPr>
          <w:rFonts w:ascii="Book Antiqua" w:hAnsi="Book Antiqua"/>
        </w:rPr>
      </w:pPr>
      <w:r w:rsidRPr="00797E27">
        <w:rPr>
          <w:noProof/>
        </w:rPr>
        <w:drawing>
          <wp:inline distT="0" distB="0" distL="0" distR="0" wp14:anchorId="27335612" wp14:editId="7779C3A2">
            <wp:extent cx="8257540" cy="4594905"/>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257540" cy="4594905"/>
                    </a:xfrm>
                    <a:prstGeom prst="rect">
                      <a:avLst/>
                    </a:prstGeom>
                    <a:noFill/>
                    <a:ln>
                      <a:noFill/>
                    </a:ln>
                  </pic:spPr>
                </pic:pic>
              </a:graphicData>
            </a:graphic>
          </wp:inline>
        </w:drawing>
      </w:r>
    </w:p>
    <w:p w14:paraId="317A3A17" w14:textId="77777777" w:rsidR="00A964FD" w:rsidRDefault="00A964FD" w:rsidP="004A2776">
      <w:pPr>
        <w:rPr>
          <w:lang w:val="es-ES_tradnl" w:eastAsia="es-ES_tradnl"/>
        </w:rPr>
      </w:pPr>
    </w:p>
    <w:p w14:paraId="2F5E3F8E" w14:textId="77777777" w:rsidR="00BD3052" w:rsidRDefault="00BD3052" w:rsidP="004A2776">
      <w:pPr>
        <w:rPr>
          <w:lang w:val="es-ES_tradnl" w:eastAsia="es-ES_tradnl"/>
        </w:rPr>
        <w:sectPr w:rsidR="00BD3052" w:rsidSect="00A75A08">
          <w:headerReference w:type="default" r:id="rId94"/>
          <w:footerReference w:type="even" r:id="rId95"/>
          <w:footerReference w:type="default" r:id="rId96"/>
          <w:headerReference w:type="first" r:id="rId97"/>
          <w:pgSz w:w="15842" w:h="12242" w:orient="landscape" w:code="1"/>
          <w:pgMar w:top="1701" w:right="1418" w:bottom="1701" w:left="1418" w:header="709" w:footer="709" w:gutter="0"/>
          <w:cols w:space="708"/>
          <w:docGrid w:linePitch="360"/>
        </w:sectPr>
      </w:pPr>
    </w:p>
    <w:p w14:paraId="73966F22" w14:textId="240861AE" w:rsidR="00BD3052" w:rsidRPr="004A2776" w:rsidRDefault="00680446" w:rsidP="00BD3052">
      <w:pPr>
        <w:pStyle w:val="NormalWeb"/>
        <w:tabs>
          <w:tab w:val="left" w:pos="567"/>
        </w:tabs>
        <w:outlineLvl w:val="0"/>
        <w:rPr>
          <w:rFonts w:asciiTheme="majorHAnsi" w:hAnsiTheme="majorHAnsi" w:cs="Tahoma"/>
          <w:b/>
          <w:bCs/>
          <w:smallCaps/>
          <w:sz w:val="28"/>
          <w:u w:val="single"/>
        </w:rPr>
      </w:pPr>
      <w:bookmarkStart w:id="378" w:name="_Toc442253276"/>
      <w:r>
        <w:rPr>
          <w:rFonts w:asciiTheme="majorHAnsi" w:hAnsiTheme="majorHAnsi" w:cs="Tahoma"/>
          <w:b/>
          <w:bCs/>
          <w:smallCaps/>
          <w:sz w:val="28"/>
          <w:u w:val="single"/>
        </w:rPr>
        <w:lastRenderedPageBreak/>
        <w:t>11</w:t>
      </w:r>
      <w:r w:rsidR="00BD3052">
        <w:rPr>
          <w:rFonts w:asciiTheme="majorHAnsi" w:hAnsiTheme="majorHAnsi" w:cs="Tahoma"/>
          <w:b/>
          <w:bCs/>
          <w:smallCaps/>
          <w:sz w:val="28"/>
          <w:u w:val="single"/>
        </w:rPr>
        <w:t xml:space="preserve">. </w:t>
      </w:r>
      <w:r w:rsidR="00BD3052">
        <w:rPr>
          <w:rFonts w:asciiTheme="majorHAnsi" w:hAnsiTheme="majorHAnsi" w:cs="Tahoma"/>
          <w:b/>
          <w:bCs/>
          <w:smallCaps/>
          <w:sz w:val="28"/>
          <w:u w:val="single"/>
        </w:rPr>
        <w:tab/>
      </w:r>
      <w:r w:rsidR="00C2480F">
        <w:rPr>
          <w:rFonts w:asciiTheme="majorHAnsi" w:hAnsiTheme="majorHAnsi" w:cs="Tahoma"/>
          <w:b/>
          <w:bCs/>
          <w:smallCaps/>
          <w:sz w:val="28"/>
          <w:u w:val="single"/>
        </w:rPr>
        <w:t>Notas de Aprobación</w:t>
      </w:r>
      <w:bookmarkEnd w:id="378"/>
    </w:p>
    <w:p w14:paraId="2BAA3EB8" w14:textId="77777777" w:rsidR="00EA2524" w:rsidRPr="00721FC9" w:rsidRDefault="00EA2524" w:rsidP="00EA2524">
      <w:pPr>
        <w:jc w:val="both"/>
        <w:rPr>
          <w:b/>
          <w:i/>
          <w:sz w:val="22"/>
          <w:szCs w:val="22"/>
        </w:rPr>
      </w:pPr>
    </w:p>
    <w:p w14:paraId="56794DBE" w14:textId="77777777" w:rsidR="00EA2524" w:rsidRDefault="00EA2524" w:rsidP="00EA2524">
      <w:pPr>
        <w:pStyle w:val="Encabezado"/>
      </w:pPr>
      <w:r>
        <w:rPr>
          <w:noProof/>
          <w:lang w:val="es-ES" w:eastAsia="es-ES"/>
        </w:rPr>
        <w:drawing>
          <wp:anchor distT="0" distB="0" distL="114300" distR="114300" simplePos="0" relativeHeight="251729920" behindDoc="0" locked="0" layoutInCell="1" allowOverlap="1" wp14:anchorId="06A85229" wp14:editId="0264A419">
            <wp:simplePos x="0" y="0"/>
            <wp:positionH relativeFrom="column">
              <wp:posOffset>-120015</wp:posOffset>
            </wp:positionH>
            <wp:positionV relativeFrom="paragraph">
              <wp:posOffset>135890</wp:posOffset>
            </wp:positionV>
            <wp:extent cx="4697730" cy="398780"/>
            <wp:effectExtent l="0" t="0" r="0" b="1270"/>
            <wp:wrapTight wrapText="bothSides">
              <wp:wrapPolygon edited="0">
                <wp:start x="438" y="0"/>
                <wp:lineTo x="0" y="9287"/>
                <wp:lineTo x="0" y="14446"/>
                <wp:lineTo x="876" y="20637"/>
                <wp:lineTo x="964" y="20637"/>
                <wp:lineTo x="1401" y="20637"/>
                <wp:lineTo x="15854" y="17541"/>
                <wp:lineTo x="15854" y="5159"/>
                <wp:lineTo x="1314" y="0"/>
                <wp:lineTo x="438"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0">
                      <a:extLst>
                        <a:ext uri="{28A0092B-C50C-407E-A947-70E740481C1C}">
                          <a14:useLocalDpi xmlns:a14="http://schemas.microsoft.com/office/drawing/2010/main" val="0"/>
                        </a:ext>
                      </a:extLst>
                    </a:blip>
                    <a:srcRect r="14087"/>
                    <a:stretch>
                      <a:fillRect/>
                    </a:stretch>
                  </pic:blipFill>
                  <pic:spPr bwMode="auto">
                    <a:xfrm>
                      <a:off x="0" y="0"/>
                      <a:ext cx="4697730" cy="398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34EA5E" w14:textId="77777777" w:rsidR="00EA2524" w:rsidRDefault="00EA2524" w:rsidP="00EA2524">
      <w:pPr>
        <w:widowControl w:val="0"/>
        <w:jc w:val="both"/>
        <w:rPr>
          <w:sz w:val="22"/>
          <w:szCs w:val="22"/>
          <w:lang w:val="es-CR"/>
        </w:rPr>
      </w:pPr>
    </w:p>
    <w:p w14:paraId="1CF08A44" w14:textId="77777777" w:rsidR="00EA2524" w:rsidRPr="00721FC9" w:rsidRDefault="00EA2524" w:rsidP="00EA2524">
      <w:pPr>
        <w:widowControl w:val="0"/>
        <w:jc w:val="both"/>
        <w:rPr>
          <w:sz w:val="22"/>
          <w:szCs w:val="22"/>
          <w:lang w:val="es-CR"/>
        </w:rPr>
      </w:pPr>
    </w:p>
    <w:p w14:paraId="320FE39A" w14:textId="77777777" w:rsidR="00EA2524" w:rsidRDefault="00EA2524" w:rsidP="00EA2524">
      <w:pPr>
        <w:jc w:val="both"/>
        <w:rPr>
          <w:b/>
          <w:i/>
          <w:sz w:val="22"/>
          <w:szCs w:val="22"/>
        </w:rPr>
      </w:pPr>
    </w:p>
    <w:p w14:paraId="69F80535" w14:textId="77777777" w:rsidR="00EA2524" w:rsidRPr="00721FC9" w:rsidRDefault="00EA2524" w:rsidP="00EA2524">
      <w:pPr>
        <w:jc w:val="both"/>
        <w:rPr>
          <w:b/>
          <w:i/>
          <w:sz w:val="22"/>
          <w:szCs w:val="22"/>
        </w:rPr>
      </w:pPr>
    </w:p>
    <w:p w14:paraId="269B616A" w14:textId="77777777" w:rsidR="00EA2524" w:rsidRPr="00721FC9" w:rsidRDefault="00EA2524" w:rsidP="00EA2524">
      <w:pPr>
        <w:ind w:left="567" w:hanging="567"/>
        <w:jc w:val="both"/>
        <w:rPr>
          <w:sz w:val="22"/>
          <w:szCs w:val="22"/>
        </w:rPr>
      </w:pPr>
      <w:r w:rsidRPr="00721FC9">
        <w:rPr>
          <w:sz w:val="22"/>
          <w:szCs w:val="22"/>
        </w:rPr>
        <w:t>24 de agosto del 2015</w:t>
      </w:r>
    </w:p>
    <w:p w14:paraId="31F4EA83" w14:textId="77777777" w:rsidR="00EA2524" w:rsidRDefault="00EA2524" w:rsidP="00EA2524">
      <w:pPr>
        <w:ind w:left="567" w:hanging="567"/>
        <w:jc w:val="both"/>
        <w:rPr>
          <w:sz w:val="22"/>
          <w:szCs w:val="22"/>
        </w:rPr>
      </w:pPr>
      <w:r w:rsidRPr="00721FC9">
        <w:rPr>
          <w:sz w:val="22"/>
          <w:szCs w:val="22"/>
        </w:rPr>
        <w:t>CNS-1189/10</w:t>
      </w:r>
    </w:p>
    <w:p w14:paraId="1BD5769D" w14:textId="77777777" w:rsidR="00EA2524" w:rsidRPr="00721FC9" w:rsidRDefault="00EA2524" w:rsidP="00EA2524">
      <w:pPr>
        <w:ind w:left="567" w:hanging="567"/>
        <w:jc w:val="both"/>
        <w:rPr>
          <w:sz w:val="22"/>
          <w:szCs w:val="22"/>
        </w:rPr>
      </w:pPr>
      <w:r>
        <w:rPr>
          <w:sz w:val="22"/>
          <w:szCs w:val="22"/>
        </w:rPr>
        <w:t>CNS-1190/12</w:t>
      </w:r>
    </w:p>
    <w:p w14:paraId="67342266" w14:textId="77777777" w:rsidR="00EA2524" w:rsidRPr="00721FC9" w:rsidRDefault="00EA2524" w:rsidP="00EA2524">
      <w:pPr>
        <w:jc w:val="both"/>
        <w:rPr>
          <w:b/>
          <w:i/>
          <w:sz w:val="22"/>
          <w:szCs w:val="22"/>
        </w:rPr>
      </w:pPr>
    </w:p>
    <w:p w14:paraId="56189A31" w14:textId="77777777" w:rsidR="00EA2524" w:rsidRPr="00721FC9" w:rsidRDefault="00EA2524" w:rsidP="00EA2524">
      <w:pPr>
        <w:jc w:val="both"/>
        <w:rPr>
          <w:b/>
          <w:i/>
          <w:sz w:val="22"/>
          <w:szCs w:val="22"/>
        </w:rPr>
      </w:pPr>
    </w:p>
    <w:p w14:paraId="08E01C4D" w14:textId="77777777" w:rsidR="00EA2524" w:rsidRPr="00721FC9" w:rsidRDefault="00EA2524" w:rsidP="00EA2524">
      <w:pPr>
        <w:jc w:val="both"/>
        <w:rPr>
          <w:b/>
          <w:i/>
          <w:sz w:val="22"/>
          <w:szCs w:val="22"/>
        </w:rPr>
      </w:pPr>
    </w:p>
    <w:p w14:paraId="18AA68ED" w14:textId="77777777" w:rsidR="00EA2524" w:rsidRPr="00721FC9" w:rsidRDefault="00EA2524" w:rsidP="00EA2524">
      <w:pPr>
        <w:widowControl w:val="0"/>
        <w:jc w:val="both"/>
        <w:rPr>
          <w:sz w:val="22"/>
          <w:szCs w:val="22"/>
        </w:rPr>
      </w:pPr>
      <w:r w:rsidRPr="00721FC9">
        <w:rPr>
          <w:sz w:val="22"/>
          <w:szCs w:val="22"/>
        </w:rPr>
        <w:t>Señor</w:t>
      </w:r>
    </w:p>
    <w:p w14:paraId="5C88135A" w14:textId="77777777" w:rsidR="00EA2524" w:rsidRPr="00721FC9" w:rsidRDefault="00EA2524" w:rsidP="00EA2524">
      <w:pPr>
        <w:widowControl w:val="0"/>
        <w:jc w:val="both"/>
        <w:rPr>
          <w:b/>
          <w:i/>
          <w:sz w:val="22"/>
          <w:szCs w:val="22"/>
        </w:rPr>
      </w:pPr>
      <w:r w:rsidRPr="00721FC9">
        <w:rPr>
          <w:sz w:val="22"/>
          <w:szCs w:val="22"/>
        </w:rPr>
        <w:t xml:space="preserve">Luis Carlos Delgado Murillo, </w:t>
      </w:r>
      <w:r w:rsidRPr="00721FC9">
        <w:rPr>
          <w:b/>
          <w:i/>
          <w:sz w:val="22"/>
          <w:szCs w:val="22"/>
        </w:rPr>
        <w:t>Presidente</w:t>
      </w:r>
    </w:p>
    <w:p w14:paraId="6B5B59EE" w14:textId="77777777" w:rsidR="00EA2524" w:rsidRPr="00721FC9" w:rsidRDefault="00EA2524" w:rsidP="00EA2524">
      <w:pPr>
        <w:widowControl w:val="0"/>
        <w:jc w:val="both"/>
        <w:rPr>
          <w:b/>
          <w:i/>
          <w:sz w:val="22"/>
          <w:szCs w:val="22"/>
        </w:rPr>
      </w:pPr>
      <w:r w:rsidRPr="00721FC9">
        <w:rPr>
          <w:b/>
          <w:i/>
          <w:sz w:val="22"/>
          <w:szCs w:val="22"/>
        </w:rPr>
        <w:t xml:space="preserve">CONSEJO NACIONAL DE SUPERVISIÓN </w:t>
      </w:r>
    </w:p>
    <w:p w14:paraId="2A95F16E" w14:textId="77777777" w:rsidR="00EA2524" w:rsidRPr="00721FC9" w:rsidRDefault="00EA2524" w:rsidP="00EA2524">
      <w:pPr>
        <w:widowControl w:val="0"/>
        <w:jc w:val="both"/>
        <w:rPr>
          <w:b/>
          <w:i/>
          <w:sz w:val="22"/>
          <w:szCs w:val="22"/>
        </w:rPr>
      </w:pPr>
      <w:r w:rsidRPr="00721FC9">
        <w:rPr>
          <w:b/>
          <w:i/>
          <w:sz w:val="22"/>
          <w:szCs w:val="22"/>
        </w:rPr>
        <w:t>DEL SISTEMA FINANCIERO</w:t>
      </w:r>
    </w:p>
    <w:p w14:paraId="555BC713" w14:textId="77777777" w:rsidR="00EA2524" w:rsidRPr="00721FC9" w:rsidRDefault="00EA2524" w:rsidP="00EA2524">
      <w:pPr>
        <w:jc w:val="both"/>
        <w:rPr>
          <w:b/>
          <w:i/>
          <w:sz w:val="22"/>
          <w:szCs w:val="22"/>
        </w:rPr>
      </w:pPr>
    </w:p>
    <w:p w14:paraId="3CF113FF" w14:textId="77777777" w:rsidR="00EA2524" w:rsidRPr="00721FC9" w:rsidRDefault="00EA2524" w:rsidP="00EA2524">
      <w:pPr>
        <w:jc w:val="both"/>
        <w:rPr>
          <w:b/>
          <w:i/>
          <w:sz w:val="22"/>
          <w:szCs w:val="22"/>
        </w:rPr>
      </w:pPr>
    </w:p>
    <w:p w14:paraId="0798ED4A" w14:textId="77777777" w:rsidR="00EA2524" w:rsidRPr="00721FC9" w:rsidRDefault="00EA2524" w:rsidP="00EA2524">
      <w:pPr>
        <w:widowControl w:val="0"/>
        <w:jc w:val="both"/>
        <w:rPr>
          <w:sz w:val="22"/>
          <w:szCs w:val="22"/>
        </w:rPr>
      </w:pPr>
      <w:r w:rsidRPr="00721FC9">
        <w:rPr>
          <w:sz w:val="22"/>
          <w:szCs w:val="22"/>
        </w:rPr>
        <w:t>Estimado señor:</w:t>
      </w:r>
    </w:p>
    <w:p w14:paraId="10D3E695" w14:textId="77777777" w:rsidR="00EA2524" w:rsidRPr="00721FC9" w:rsidRDefault="00EA2524" w:rsidP="00EA2524">
      <w:pPr>
        <w:jc w:val="both"/>
        <w:rPr>
          <w:b/>
          <w:i/>
          <w:sz w:val="22"/>
          <w:szCs w:val="22"/>
        </w:rPr>
      </w:pPr>
    </w:p>
    <w:p w14:paraId="2C41AC89" w14:textId="77777777" w:rsidR="00EA2524" w:rsidRPr="00721FC9" w:rsidRDefault="00EA2524" w:rsidP="00EA2524">
      <w:pPr>
        <w:widowControl w:val="0"/>
        <w:jc w:val="both"/>
        <w:rPr>
          <w:sz w:val="22"/>
          <w:szCs w:val="22"/>
        </w:rPr>
      </w:pPr>
      <w:r w:rsidRPr="00721FC9">
        <w:rPr>
          <w:sz w:val="22"/>
          <w:szCs w:val="22"/>
        </w:rPr>
        <w:t>El Consejo Nacional de Supervisión del Sis</w:t>
      </w:r>
      <w:r>
        <w:rPr>
          <w:sz w:val="22"/>
          <w:szCs w:val="22"/>
        </w:rPr>
        <w:t>tema Financiero en los</w:t>
      </w:r>
      <w:r w:rsidRPr="00721FC9">
        <w:rPr>
          <w:sz w:val="22"/>
          <w:szCs w:val="22"/>
        </w:rPr>
        <w:t xml:space="preserve"> artículo</w:t>
      </w:r>
      <w:r>
        <w:rPr>
          <w:sz w:val="22"/>
          <w:szCs w:val="22"/>
        </w:rPr>
        <w:t>s</w:t>
      </w:r>
      <w:r w:rsidRPr="00721FC9">
        <w:rPr>
          <w:sz w:val="22"/>
          <w:szCs w:val="22"/>
        </w:rPr>
        <w:t xml:space="preserve"> 10</w:t>
      </w:r>
      <w:r>
        <w:rPr>
          <w:sz w:val="22"/>
          <w:szCs w:val="22"/>
        </w:rPr>
        <w:t xml:space="preserve"> y 12</w:t>
      </w:r>
      <w:r w:rsidRPr="00721FC9">
        <w:rPr>
          <w:sz w:val="22"/>
          <w:szCs w:val="22"/>
        </w:rPr>
        <w:t xml:space="preserve"> de</w:t>
      </w:r>
      <w:r>
        <w:rPr>
          <w:sz w:val="22"/>
          <w:szCs w:val="22"/>
        </w:rPr>
        <w:t xml:space="preserve"> </w:t>
      </w:r>
      <w:r w:rsidRPr="00721FC9">
        <w:rPr>
          <w:sz w:val="22"/>
          <w:szCs w:val="22"/>
        </w:rPr>
        <w:t>l</w:t>
      </w:r>
      <w:r>
        <w:rPr>
          <w:sz w:val="22"/>
          <w:szCs w:val="22"/>
        </w:rPr>
        <w:t>as</w:t>
      </w:r>
      <w:r w:rsidRPr="00721FC9">
        <w:rPr>
          <w:sz w:val="22"/>
          <w:szCs w:val="22"/>
        </w:rPr>
        <w:t xml:space="preserve"> acta</w:t>
      </w:r>
      <w:r>
        <w:rPr>
          <w:sz w:val="22"/>
          <w:szCs w:val="22"/>
        </w:rPr>
        <w:t>s</w:t>
      </w:r>
      <w:r w:rsidRPr="00721FC9">
        <w:rPr>
          <w:sz w:val="22"/>
          <w:szCs w:val="22"/>
        </w:rPr>
        <w:t xml:space="preserve"> de la</w:t>
      </w:r>
      <w:r>
        <w:rPr>
          <w:sz w:val="22"/>
          <w:szCs w:val="22"/>
        </w:rPr>
        <w:t>s</w:t>
      </w:r>
      <w:r w:rsidRPr="00721FC9">
        <w:rPr>
          <w:sz w:val="22"/>
          <w:szCs w:val="22"/>
        </w:rPr>
        <w:t xml:space="preserve"> sesi</w:t>
      </w:r>
      <w:r>
        <w:rPr>
          <w:sz w:val="22"/>
          <w:szCs w:val="22"/>
        </w:rPr>
        <w:t>ones</w:t>
      </w:r>
      <w:r w:rsidRPr="00721FC9">
        <w:rPr>
          <w:sz w:val="22"/>
          <w:szCs w:val="22"/>
        </w:rPr>
        <w:t xml:space="preserve"> 1189-2015</w:t>
      </w:r>
      <w:r>
        <w:rPr>
          <w:sz w:val="22"/>
          <w:szCs w:val="22"/>
        </w:rPr>
        <w:t xml:space="preserve"> y 1190-2015 </w:t>
      </w:r>
      <w:r w:rsidRPr="00721FC9">
        <w:rPr>
          <w:sz w:val="22"/>
          <w:szCs w:val="22"/>
        </w:rPr>
        <w:t>celebrada</w:t>
      </w:r>
      <w:r>
        <w:rPr>
          <w:sz w:val="22"/>
          <w:szCs w:val="22"/>
        </w:rPr>
        <w:t>s</w:t>
      </w:r>
      <w:r w:rsidRPr="00721FC9">
        <w:rPr>
          <w:sz w:val="22"/>
          <w:szCs w:val="22"/>
        </w:rPr>
        <w:t xml:space="preserve"> el 10 </w:t>
      </w:r>
      <w:r>
        <w:rPr>
          <w:sz w:val="22"/>
          <w:szCs w:val="22"/>
        </w:rPr>
        <w:t>y 17 de agosto del 2015, respectivamente,</w:t>
      </w:r>
    </w:p>
    <w:p w14:paraId="6E84C567" w14:textId="77777777" w:rsidR="00EA2524" w:rsidRPr="00721FC9" w:rsidRDefault="00EA2524" w:rsidP="00EA2524">
      <w:pPr>
        <w:widowControl w:val="0"/>
        <w:jc w:val="both"/>
        <w:rPr>
          <w:sz w:val="12"/>
          <w:szCs w:val="22"/>
        </w:rPr>
      </w:pPr>
    </w:p>
    <w:p w14:paraId="7696051D" w14:textId="77777777" w:rsidR="00EA2524" w:rsidRPr="00721FC9" w:rsidRDefault="00EA2524" w:rsidP="00EA2524">
      <w:pPr>
        <w:widowControl w:val="0"/>
        <w:jc w:val="both"/>
        <w:rPr>
          <w:b/>
          <w:sz w:val="22"/>
          <w:szCs w:val="22"/>
        </w:rPr>
      </w:pPr>
      <w:r w:rsidRPr="00721FC9">
        <w:rPr>
          <w:b/>
          <w:sz w:val="22"/>
          <w:szCs w:val="22"/>
        </w:rPr>
        <w:t>considerando que:</w:t>
      </w:r>
    </w:p>
    <w:p w14:paraId="744F1DBF" w14:textId="77777777" w:rsidR="00EA2524" w:rsidRPr="00721FC9" w:rsidRDefault="00EA2524" w:rsidP="00EA2524">
      <w:pPr>
        <w:widowControl w:val="0"/>
        <w:jc w:val="both"/>
        <w:rPr>
          <w:sz w:val="12"/>
          <w:szCs w:val="22"/>
        </w:rPr>
      </w:pPr>
    </w:p>
    <w:p w14:paraId="1A351E1A" w14:textId="77777777" w:rsidR="00EA2524" w:rsidRPr="00721FC9" w:rsidRDefault="00EA2524" w:rsidP="00EA2524">
      <w:pPr>
        <w:widowControl w:val="0"/>
        <w:ind w:left="567" w:hanging="567"/>
        <w:jc w:val="both"/>
        <w:rPr>
          <w:sz w:val="22"/>
          <w:szCs w:val="22"/>
        </w:rPr>
      </w:pPr>
      <w:r w:rsidRPr="00721FC9">
        <w:rPr>
          <w:sz w:val="22"/>
          <w:szCs w:val="22"/>
        </w:rPr>
        <w:t xml:space="preserve">A. </w:t>
      </w:r>
      <w:r w:rsidRPr="00721FC9">
        <w:rPr>
          <w:sz w:val="22"/>
          <w:szCs w:val="22"/>
        </w:rPr>
        <w:tab/>
        <w:t>El Consejo Nacional de Supervisión del Sistema Financiero, en el artículo 9, del acta de la sesión 1187-2015, y en el artículo 6, del acta de la sesión 1188-2015, ambas celebradas 3 de agosto del 2015, dispuso solicitar a la Junta Directiva del Banco Central de Costa Rica la aprobación de una transferencia por ¢28.363.932.779,00, para efectos del financiamiento de los presupuestos ordinarios de las Superintendencias y del Consejo Nacional de Supervisión del Sistema Financiero, correspondientes al 2016.</w:t>
      </w:r>
    </w:p>
    <w:p w14:paraId="02D08CB6" w14:textId="77777777" w:rsidR="00EA2524" w:rsidRPr="00721FC9" w:rsidRDefault="00EA2524" w:rsidP="00EA2524">
      <w:pPr>
        <w:widowControl w:val="0"/>
        <w:jc w:val="both"/>
        <w:rPr>
          <w:sz w:val="12"/>
          <w:szCs w:val="22"/>
        </w:rPr>
      </w:pPr>
    </w:p>
    <w:p w14:paraId="15B2DD9D" w14:textId="77777777" w:rsidR="00EA2524" w:rsidRPr="00721FC9" w:rsidRDefault="00EA2524" w:rsidP="00EA2524">
      <w:pPr>
        <w:widowControl w:val="0"/>
        <w:ind w:left="567" w:right="-1" w:hanging="567"/>
        <w:jc w:val="both"/>
        <w:rPr>
          <w:sz w:val="22"/>
          <w:szCs w:val="22"/>
        </w:rPr>
      </w:pPr>
      <w:r w:rsidRPr="00721FC9">
        <w:rPr>
          <w:sz w:val="22"/>
          <w:szCs w:val="22"/>
        </w:rPr>
        <w:t xml:space="preserve">B. </w:t>
      </w:r>
      <w:r w:rsidRPr="00721FC9">
        <w:rPr>
          <w:sz w:val="22"/>
          <w:szCs w:val="22"/>
        </w:rPr>
        <w:tab/>
        <w:t>En el oficio CP-010-2015, del 5 de agosto del 2015, la señora Silena Alvarado Víquez, Asistente Administrativa del Consejo, en representación del Comité de Riesgo, Evaluación y Presupuesto, solicita a los señores miembros del CONASSIF, por un lado, ajustar, de ¢28.363.932.779,00 a ¢28.712.396.742,00, el monto de la transferencia que daría contenido a los presupuestos ordinarios de las Superintendencias y del Consejo Nacional de Supervisión del Sistema Financiero, correspondientes al 2016, aprobada en el artículo 9, del acta de la sesión 1187-2015, y en el 6, de la 1188-2015, ambas celebradas 3 de agosto del 2015 y, por el otro, autorización para que se gestione ante la Junta Directiva del Banco Central de Costa Rica la aprobación del citado nuevo monto global de ¢28.712.396.742,00, solicitud que se fundamenta en lo siguiente.</w:t>
      </w:r>
    </w:p>
    <w:p w14:paraId="09EC8C0F" w14:textId="77777777" w:rsidR="00EA2524" w:rsidRPr="00721FC9" w:rsidRDefault="00EA2524" w:rsidP="00EA2524">
      <w:pPr>
        <w:widowControl w:val="0"/>
        <w:jc w:val="both"/>
        <w:rPr>
          <w:sz w:val="12"/>
          <w:szCs w:val="22"/>
        </w:rPr>
      </w:pPr>
    </w:p>
    <w:p w14:paraId="52C5D285" w14:textId="77777777" w:rsidR="00EA2524" w:rsidRPr="00721FC9" w:rsidRDefault="00EA2524" w:rsidP="00EA2524">
      <w:pPr>
        <w:widowControl w:val="0"/>
        <w:ind w:left="1134" w:hanging="567"/>
        <w:jc w:val="both"/>
        <w:rPr>
          <w:sz w:val="22"/>
          <w:szCs w:val="22"/>
        </w:rPr>
      </w:pPr>
      <w:r w:rsidRPr="00721FC9">
        <w:rPr>
          <w:sz w:val="22"/>
          <w:szCs w:val="22"/>
        </w:rPr>
        <w:t>i.</w:t>
      </w:r>
      <w:r w:rsidRPr="00721FC9">
        <w:rPr>
          <w:sz w:val="22"/>
          <w:szCs w:val="22"/>
        </w:rPr>
        <w:tab/>
        <w:t>Mediante correo electrónico del 3 de agosto del 2015, la señora Carolina Villalobos Hidalgo, Directora del Departamento de Contabilidad de la Gestión del Ente Emisor, informa acerca de una nueva carga de salarios para el Banco Central de Costa Rica, realizada por el Departamento de Gestión del Factor Humano, la cual se hizo con el fin de ajustar las cifras presupuestarias de salarios a un crecimiento del 5% entre formulaciones presupuestarias del 2015 versus 2016.</w:t>
      </w:r>
    </w:p>
    <w:p w14:paraId="0A2A2591" w14:textId="77777777" w:rsidR="00EA2524" w:rsidRPr="00721FC9" w:rsidRDefault="00EA2524" w:rsidP="00EA2524">
      <w:pPr>
        <w:widowControl w:val="0"/>
        <w:jc w:val="both"/>
        <w:rPr>
          <w:sz w:val="12"/>
          <w:szCs w:val="22"/>
        </w:rPr>
      </w:pPr>
    </w:p>
    <w:p w14:paraId="0DEFD8B6" w14:textId="77777777" w:rsidR="00EA2524" w:rsidRPr="00721FC9" w:rsidRDefault="00EA2524" w:rsidP="00EA2524">
      <w:pPr>
        <w:widowControl w:val="0"/>
        <w:ind w:left="1134" w:hanging="567"/>
        <w:jc w:val="both"/>
        <w:rPr>
          <w:sz w:val="22"/>
          <w:szCs w:val="22"/>
        </w:rPr>
      </w:pPr>
      <w:r w:rsidRPr="00721FC9">
        <w:rPr>
          <w:sz w:val="22"/>
          <w:szCs w:val="22"/>
        </w:rPr>
        <w:lastRenderedPageBreak/>
        <w:t>ii.</w:t>
      </w:r>
      <w:r w:rsidRPr="00721FC9">
        <w:rPr>
          <w:sz w:val="22"/>
          <w:szCs w:val="22"/>
        </w:rPr>
        <w:tab/>
        <w:t>Producto de ese proceso, se determinó que el efecto del aumento en el monto total del presupuesto consolidado de los Órganos de Desconcentración Máxima asciende a ¢348,46 millones, lo cual implica que el presupuesto originalmente aprobado por ¢28.363,9 millones, después del ajuste, quedaría en ¢28.712,4 millones, lo cual representa un aumento en la transferencia solicitada de 1,23%.</w:t>
      </w:r>
    </w:p>
    <w:p w14:paraId="455977F6" w14:textId="77777777" w:rsidR="00EA2524" w:rsidRPr="00721FC9" w:rsidRDefault="00EA2524" w:rsidP="00EA2524">
      <w:pPr>
        <w:widowControl w:val="0"/>
        <w:ind w:left="567" w:hanging="567"/>
        <w:jc w:val="both"/>
        <w:rPr>
          <w:sz w:val="22"/>
          <w:szCs w:val="22"/>
        </w:rPr>
      </w:pPr>
    </w:p>
    <w:p w14:paraId="145BFAE7" w14:textId="77777777" w:rsidR="00EA2524" w:rsidRPr="00721FC9" w:rsidRDefault="00EA2524" w:rsidP="00EA2524">
      <w:pPr>
        <w:widowControl w:val="0"/>
        <w:ind w:left="567" w:hanging="567"/>
        <w:jc w:val="both"/>
        <w:rPr>
          <w:sz w:val="22"/>
          <w:szCs w:val="22"/>
        </w:rPr>
      </w:pPr>
      <w:r w:rsidRPr="00721FC9">
        <w:rPr>
          <w:sz w:val="22"/>
          <w:szCs w:val="22"/>
        </w:rPr>
        <w:t xml:space="preserve">C. </w:t>
      </w:r>
      <w:r w:rsidRPr="00721FC9">
        <w:rPr>
          <w:sz w:val="22"/>
          <w:szCs w:val="22"/>
        </w:rPr>
        <w:tab/>
        <w:t xml:space="preserve">El Consejo Nacional avala el monto del presupuesto global recomendado en esta ocasión para el ejercicio presupuestario del 2016, para efectos de la solicitud de transferencia que, de conformidad con lo dispuesto en el artículo 171 de la </w:t>
      </w:r>
      <w:r w:rsidRPr="00721FC9">
        <w:rPr>
          <w:i/>
          <w:sz w:val="22"/>
          <w:szCs w:val="22"/>
        </w:rPr>
        <w:t xml:space="preserve">Ley Reguladora del Mercado de Valores, Ley 7732, </w:t>
      </w:r>
      <w:r w:rsidRPr="00721FC9">
        <w:rPr>
          <w:sz w:val="22"/>
          <w:szCs w:val="22"/>
        </w:rPr>
        <w:t xml:space="preserve"> debe hacerse al Banco Central.</w:t>
      </w:r>
    </w:p>
    <w:p w14:paraId="27B51DED" w14:textId="77777777" w:rsidR="00EA2524" w:rsidRPr="00721FC9" w:rsidRDefault="00EA2524" w:rsidP="00EA2524">
      <w:pPr>
        <w:widowControl w:val="0"/>
        <w:jc w:val="both"/>
        <w:rPr>
          <w:sz w:val="12"/>
          <w:szCs w:val="22"/>
        </w:rPr>
      </w:pPr>
    </w:p>
    <w:p w14:paraId="6A49D4CD" w14:textId="77777777" w:rsidR="00EA2524" w:rsidRPr="00721FC9" w:rsidRDefault="00EA2524" w:rsidP="00EA2524">
      <w:pPr>
        <w:widowControl w:val="0"/>
        <w:jc w:val="both"/>
        <w:rPr>
          <w:b/>
          <w:sz w:val="22"/>
          <w:szCs w:val="22"/>
        </w:rPr>
      </w:pPr>
      <w:r w:rsidRPr="00721FC9">
        <w:rPr>
          <w:b/>
          <w:sz w:val="22"/>
          <w:szCs w:val="22"/>
        </w:rPr>
        <w:t>dispuso:</w:t>
      </w:r>
    </w:p>
    <w:p w14:paraId="2D75B628" w14:textId="77777777" w:rsidR="00EA2524" w:rsidRPr="00721FC9" w:rsidRDefault="00EA2524" w:rsidP="00EA2524">
      <w:pPr>
        <w:widowControl w:val="0"/>
        <w:jc w:val="both"/>
        <w:rPr>
          <w:sz w:val="12"/>
          <w:szCs w:val="22"/>
        </w:rPr>
      </w:pPr>
    </w:p>
    <w:p w14:paraId="17D9F5C6" w14:textId="77777777" w:rsidR="00EA2524" w:rsidRPr="00721FC9" w:rsidRDefault="00EA2524" w:rsidP="00EA2524">
      <w:pPr>
        <w:widowControl w:val="0"/>
        <w:ind w:left="567" w:hanging="567"/>
        <w:jc w:val="both"/>
        <w:rPr>
          <w:sz w:val="22"/>
          <w:szCs w:val="22"/>
        </w:rPr>
      </w:pPr>
      <w:r w:rsidRPr="00721FC9">
        <w:rPr>
          <w:sz w:val="22"/>
          <w:szCs w:val="22"/>
        </w:rPr>
        <w:t xml:space="preserve">1) </w:t>
      </w:r>
      <w:r w:rsidRPr="00721FC9">
        <w:rPr>
          <w:sz w:val="22"/>
          <w:szCs w:val="22"/>
        </w:rPr>
        <w:tab/>
        <w:t>Modificar los acuerdos adoptados por el Consejo Nacional de Supervisión del Sistema Financiero mediante artículo</w:t>
      </w:r>
      <w:r>
        <w:rPr>
          <w:sz w:val="22"/>
          <w:szCs w:val="22"/>
        </w:rPr>
        <w:t>s</w:t>
      </w:r>
      <w:r w:rsidRPr="00721FC9">
        <w:rPr>
          <w:sz w:val="22"/>
          <w:szCs w:val="22"/>
        </w:rPr>
        <w:t xml:space="preserve"> 9</w:t>
      </w:r>
      <w:r>
        <w:rPr>
          <w:sz w:val="22"/>
          <w:szCs w:val="22"/>
        </w:rPr>
        <w:t xml:space="preserve"> y 6</w:t>
      </w:r>
      <w:r w:rsidRPr="00721FC9">
        <w:rPr>
          <w:sz w:val="22"/>
          <w:szCs w:val="22"/>
        </w:rPr>
        <w:t>, de</w:t>
      </w:r>
      <w:r>
        <w:rPr>
          <w:sz w:val="22"/>
          <w:szCs w:val="22"/>
        </w:rPr>
        <w:t xml:space="preserve"> </w:t>
      </w:r>
      <w:r w:rsidRPr="00721FC9">
        <w:rPr>
          <w:sz w:val="22"/>
          <w:szCs w:val="22"/>
        </w:rPr>
        <w:t>l</w:t>
      </w:r>
      <w:r>
        <w:rPr>
          <w:sz w:val="22"/>
          <w:szCs w:val="22"/>
        </w:rPr>
        <w:t>as</w:t>
      </w:r>
      <w:r w:rsidRPr="00721FC9">
        <w:rPr>
          <w:sz w:val="22"/>
          <w:szCs w:val="22"/>
        </w:rPr>
        <w:t xml:space="preserve"> acta</w:t>
      </w:r>
      <w:r>
        <w:rPr>
          <w:sz w:val="22"/>
          <w:szCs w:val="22"/>
        </w:rPr>
        <w:t>s</w:t>
      </w:r>
      <w:r w:rsidRPr="00721FC9">
        <w:rPr>
          <w:sz w:val="22"/>
          <w:szCs w:val="22"/>
        </w:rPr>
        <w:t xml:space="preserve"> de la sesi</w:t>
      </w:r>
      <w:r>
        <w:rPr>
          <w:sz w:val="22"/>
          <w:szCs w:val="22"/>
        </w:rPr>
        <w:t>ones</w:t>
      </w:r>
      <w:r w:rsidRPr="00721FC9">
        <w:rPr>
          <w:sz w:val="22"/>
          <w:szCs w:val="22"/>
        </w:rPr>
        <w:t xml:space="preserve"> 1187-2015 y 1188-2015, ambas celebradas 3 de agosto del 2015, de manera que el texto de su parte resolutiva se lea así:</w:t>
      </w:r>
    </w:p>
    <w:p w14:paraId="1FB66D38" w14:textId="77777777" w:rsidR="00EA2524" w:rsidRPr="00721FC9" w:rsidRDefault="00EA2524" w:rsidP="00EA2524">
      <w:pPr>
        <w:widowControl w:val="0"/>
        <w:jc w:val="both"/>
        <w:rPr>
          <w:sz w:val="12"/>
          <w:szCs w:val="22"/>
        </w:rPr>
      </w:pPr>
    </w:p>
    <w:p w14:paraId="3488D157" w14:textId="77777777" w:rsidR="00EA2524" w:rsidRPr="00721FC9" w:rsidRDefault="00EA2524" w:rsidP="00EA2524">
      <w:pPr>
        <w:widowControl w:val="0"/>
        <w:ind w:left="567" w:hanging="567"/>
        <w:jc w:val="both"/>
        <w:rPr>
          <w:i/>
          <w:sz w:val="22"/>
          <w:szCs w:val="22"/>
        </w:rPr>
      </w:pPr>
      <w:r w:rsidRPr="00721FC9">
        <w:rPr>
          <w:i/>
          <w:sz w:val="22"/>
          <w:szCs w:val="22"/>
        </w:rPr>
        <w:tab/>
        <w:t>“[…]</w:t>
      </w:r>
    </w:p>
    <w:p w14:paraId="7FD3C1D4" w14:textId="77777777" w:rsidR="00EA2524" w:rsidRPr="00721FC9" w:rsidRDefault="00EA2524" w:rsidP="00EA2524">
      <w:pPr>
        <w:widowControl w:val="0"/>
        <w:jc w:val="both"/>
        <w:rPr>
          <w:sz w:val="12"/>
          <w:szCs w:val="22"/>
        </w:rPr>
      </w:pPr>
    </w:p>
    <w:p w14:paraId="79BFF04D" w14:textId="77777777" w:rsidR="00EA2524" w:rsidRPr="00721FC9" w:rsidRDefault="00EA2524" w:rsidP="00EA2524">
      <w:pPr>
        <w:widowControl w:val="0"/>
        <w:ind w:left="567"/>
        <w:jc w:val="both"/>
        <w:rPr>
          <w:i/>
          <w:sz w:val="22"/>
          <w:szCs w:val="22"/>
        </w:rPr>
      </w:pPr>
      <w:r w:rsidRPr="00721FC9">
        <w:rPr>
          <w:i/>
          <w:sz w:val="22"/>
          <w:szCs w:val="22"/>
        </w:rPr>
        <w:t xml:space="preserve"> Solicitar a la Junta Directiva del Banco Central de Costa Rica la aprobación de una transferencia por ¢28.712.396.742,00, con sustento en lo previsto en el literal k, artículo 171, de la Ley Reguladora del Mercado de Valores, Ley 7732, del 27 de enero de 1998, y sus reformas, para efectos del financiamiento de los presupuestos ordinarios de las Superintendencias y del Consejo Nacional de Supervisión del Sistema Financiero, correspondientes al 2016.”</w:t>
      </w:r>
    </w:p>
    <w:p w14:paraId="5372B7C7" w14:textId="77777777" w:rsidR="00EA2524" w:rsidRPr="00721FC9" w:rsidRDefault="00EA2524" w:rsidP="00EA2524">
      <w:pPr>
        <w:widowControl w:val="0"/>
        <w:jc w:val="both"/>
        <w:rPr>
          <w:sz w:val="12"/>
          <w:szCs w:val="22"/>
        </w:rPr>
      </w:pPr>
    </w:p>
    <w:p w14:paraId="7301263B" w14:textId="77777777" w:rsidR="00EA2524" w:rsidRPr="00721FC9" w:rsidRDefault="00EA2524" w:rsidP="00EA2524">
      <w:pPr>
        <w:widowControl w:val="0"/>
        <w:ind w:left="567" w:hanging="567"/>
        <w:jc w:val="both"/>
        <w:rPr>
          <w:sz w:val="22"/>
          <w:szCs w:val="22"/>
        </w:rPr>
      </w:pPr>
      <w:r w:rsidRPr="00721FC9">
        <w:rPr>
          <w:sz w:val="22"/>
          <w:szCs w:val="22"/>
        </w:rPr>
        <w:t xml:space="preserve">2) </w:t>
      </w:r>
      <w:r w:rsidRPr="00721FC9">
        <w:rPr>
          <w:sz w:val="22"/>
          <w:szCs w:val="22"/>
        </w:rPr>
        <w:tab/>
        <w:t xml:space="preserve">Solicitar a la Junta Directiva del Banco Central de Costa Rica la aprobación de una transferencia por ¢28.712.396.742,00, con sustento en lo previsto en el literal k, artículo 171, de la </w:t>
      </w:r>
      <w:r w:rsidRPr="00721FC9">
        <w:rPr>
          <w:i/>
          <w:sz w:val="22"/>
          <w:szCs w:val="22"/>
        </w:rPr>
        <w:t>Ley Reguladora del Mercado de Valores</w:t>
      </w:r>
      <w:r w:rsidRPr="00721FC9">
        <w:rPr>
          <w:sz w:val="22"/>
          <w:szCs w:val="22"/>
        </w:rPr>
        <w:t>, Ley 7732, del 27 de enero de 1998, y sus reformas, para efectos del financiamiento de los presupuestos ordinarios de las Superintendencias y del Consejo Nacional de Supervisión del Sistema Financiero, correspondientes al 2016.</w:t>
      </w:r>
    </w:p>
    <w:p w14:paraId="0E249694" w14:textId="77777777" w:rsidR="00EA2524" w:rsidRPr="00721FC9" w:rsidRDefault="00EA2524" w:rsidP="00EA2524">
      <w:pPr>
        <w:widowControl w:val="0"/>
        <w:jc w:val="both"/>
        <w:rPr>
          <w:sz w:val="12"/>
          <w:szCs w:val="22"/>
        </w:rPr>
      </w:pPr>
    </w:p>
    <w:p w14:paraId="2CB16A08" w14:textId="77777777" w:rsidR="00EA2524" w:rsidRPr="00721FC9" w:rsidRDefault="00EA2524" w:rsidP="00EA2524">
      <w:pPr>
        <w:widowControl w:val="0"/>
        <w:jc w:val="both"/>
        <w:rPr>
          <w:sz w:val="22"/>
          <w:szCs w:val="22"/>
        </w:rPr>
      </w:pPr>
      <w:r w:rsidRPr="00721FC9">
        <w:rPr>
          <w:sz w:val="22"/>
          <w:szCs w:val="22"/>
        </w:rPr>
        <w:t>Atentamente,</w:t>
      </w:r>
    </w:p>
    <w:p w14:paraId="2D3D8C93" w14:textId="77777777" w:rsidR="00EA2524" w:rsidRPr="00721FC9" w:rsidRDefault="00EA2524" w:rsidP="00EA2524">
      <w:pPr>
        <w:widowControl w:val="0"/>
        <w:jc w:val="both"/>
        <w:rPr>
          <w:sz w:val="22"/>
          <w:szCs w:val="22"/>
        </w:rPr>
      </w:pPr>
      <w:r w:rsidRPr="00721FC9">
        <w:rPr>
          <w:noProof/>
          <w:sz w:val="22"/>
          <w:szCs w:val="22"/>
        </w:rPr>
        <w:drawing>
          <wp:anchor distT="0" distB="0" distL="114300" distR="114300" simplePos="0" relativeHeight="251727872" behindDoc="1" locked="0" layoutInCell="1" allowOverlap="1" wp14:anchorId="4569CB8B" wp14:editId="06B2646C">
            <wp:simplePos x="0" y="0"/>
            <wp:positionH relativeFrom="column">
              <wp:posOffset>-162560</wp:posOffset>
            </wp:positionH>
            <wp:positionV relativeFrom="paragraph">
              <wp:posOffset>1905</wp:posOffset>
            </wp:positionV>
            <wp:extent cx="2553970" cy="396240"/>
            <wp:effectExtent l="0" t="0" r="0" b="3810"/>
            <wp:wrapTight wrapText="bothSides">
              <wp:wrapPolygon edited="0">
                <wp:start x="0" y="0"/>
                <wp:lineTo x="0" y="20769"/>
                <wp:lineTo x="21428" y="20769"/>
                <wp:lineTo x="21428" y="0"/>
                <wp:lineTo x="0" y="0"/>
              </wp:wrapPolygon>
            </wp:wrapTight>
            <wp:docPr id="10" name="Imagen 10" descr="F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di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553970" cy="396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6AACF" w14:textId="77777777" w:rsidR="00EA2524" w:rsidRPr="00721FC9" w:rsidRDefault="00EA2524" w:rsidP="00EA2524">
      <w:pPr>
        <w:widowControl w:val="0"/>
        <w:jc w:val="both"/>
        <w:rPr>
          <w:sz w:val="22"/>
          <w:szCs w:val="22"/>
        </w:rPr>
      </w:pPr>
    </w:p>
    <w:p w14:paraId="0B13A503" w14:textId="77777777" w:rsidR="00EA2524" w:rsidRPr="00721FC9" w:rsidRDefault="00EA2524" w:rsidP="00EA2524">
      <w:pPr>
        <w:widowControl w:val="0"/>
        <w:jc w:val="both"/>
        <w:rPr>
          <w:sz w:val="22"/>
          <w:szCs w:val="22"/>
        </w:rPr>
      </w:pPr>
    </w:p>
    <w:p w14:paraId="0BAE2774" w14:textId="77777777" w:rsidR="00EA2524" w:rsidRPr="00721FC9" w:rsidRDefault="00EA2524" w:rsidP="00EA2524">
      <w:pPr>
        <w:widowControl w:val="0"/>
        <w:rPr>
          <w:sz w:val="22"/>
          <w:szCs w:val="22"/>
        </w:rPr>
      </w:pPr>
      <w:r w:rsidRPr="00721FC9">
        <w:rPr>
          <w:sz w:val="22"/>
          <w:szCs w:val="22"/>
        </w:rPr>
        <w:t>Jorge Monge Bonilla</w:t>
      </w:r>
    </w:p>
    <w:p w14:paraId="332C4BEF" w14:textId="77777777" w:rsidR="00EA2524" w:rsidRPr="00721FC9" w:rsidRDefault="00EA2524" w:rsidP="00EA2524">
      <w:pPr>
        <w:widowControl w:val="0"/>
        <w:rPr>
          <w:i/>
          <w:sz w:val="22"/>
          <w:szCs w:val="22"/>
        </w:rPr>
      </w:pPr>
      <w:r w:rsidRPr="00721FC9">
        <w:rPr>
          <w:i/>
          <w:sz w:val="22"/>
          <w:szCs w:val="22"/>
        </w:rPr>
        <w:t>Secretario del Consejo</w:t>
      </w:r>
    </w:p>
    <w:p w14:paraId="02D9D67E" w14:textId="77777777" w:rsidR="00661E34" w:rsidRDefault="00661E34" w:rsidP="00661E34">
      <w:pPr>
        <w:widowControl w:val="0"/>
        <w:jc w:val="both"/>
      </w:pPr>
    </w:p>
    <w:p w14:paraId="19839EC2" w14:textId="77777777" w:rsidR="003C6406" w:rsidRPr="00A9787F" w:rsidRDefault="003C6406" w:rsidP="003C6406">
      <w:pPr>
        <w:widowControl w:val="0"/>
        <w:jc w:val="both"/>
      </w:pPr>
    </w:p>
    <w:p w14:paraId="0ED70F05" w14:textId="6367EA53" w:rsidR="00CA6A26" w:rsidRPr="00661E34" w:rsidRDefault="00CA6A26">
      <w:pPr>
        <w:rPr>
          <w:lang w:eastAsia="es-ES_tradnl"/>
        </w:rPr>
      </w:pPr>
    </w:p>
    <w:p w14:paraId="19004704" w14:textId="72D81828" w:rsidR="009400B0" w:rsidRDefault="009400B0">
      <w:pPr>
        <w:rPr>
          <w:lang w:val="es-ES_tradnl" w:eastAsia="es-ES_tradnl"/>
        </w:rPr>
      </w:pPr>
      <w:r>
        <w:rPr>
          <w:lang w:val="es-ES_tradnl" w:eastAsia="es-ES_tradnl"/>
        </w:rPr>
        <w:br w:type="page"/>
      </w:r>
    </w:p>
    <w:p w14:paraId="6BC7B8E5" w14:textId="77777777" w:rsidR="00DC377B" w:rsidRDefault="00DC377B" w:rsidP="00DC377B">
      <w:pPr>
        <w:tabs>
          <w:tab w:val="center" w:pos="4419"/>
          <w:tab w:val="right" w:pos="8838"/>
        </w:tabs>
        <w:spacing w:before="120" w:after="120"/>
        <w:jc w:val="both"/>
        <w:rPr>
          <w:szCs w:val="20"/>
        </w:rPr>
      </w:pPr>
      <w:r>
        <w:rPr>
          <w:noProof/>
          <w:szCs w:val="20"/>
        </w:rPr>
        <w:lastRenderedPageBreak/>
        <w:drawing>
          <wp:inline distT="0" distB="0" distL="0" distR="0" wp14:anchorId="5055E3AB" wp14:editId="29A344C5">
            <wp:extent cx="5469255" cy="414020"/>
            <wp:effectExtent l="0" t="0" r="0" b="508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69255" cy="414020"/>
                    </a:xfrm>
                    <a:prstGeom prst="rect">
                      <a:avLst/>
                    </a:prstGeom>
                    <a:noFill/>
                  </pic:spPr>
                </pic:pic>
              </a:graphicData>
            </a:graphic>
          </wp:inline>
        </w:drawing>
      </w:r>
    </w:p>
    <w:p w14:paraId="4C7DEF0D" w14:textId="77777777" w:rsidR="00DC377B" w:rsidRDefault="00DC377B" w:rsidP="00DC377B">
      <w:pPr>
        <w:widowControl w:val="0"/>
        <w:jc w:val="both"/>
        <w:rPr>
          <w:vanish/>
          <w:lang w:val="es-ES_tradnl" w:eastAsia="es-ES_tradnl"/>
        </w:rPr>
      </w:pPr>
    </w:p>
    <w:p w14:paraId="722D5935" w14:textId="1648AF60" w:rsidR="00DC377B" w:rsidRPr="00C50647" w:rsidRDefault="00DC377B" w:rsidP="00DC377B">
      <w:pPr>
        <w:widowControl w:val="0"/>
        <w:jc w:val="both"/>
        <w:rPr>
          <w:sz w:val="18"/>
          <w:szCs w:val="18"/>
        </w:rPr>
      </w:pPr>
      <w:r w:rsidRPr="00C50647">
        <w:rPr>
          <w:sz w:val="18"/>
          <w:szCs w:val="18"/>
        </w:rPr>
        <w:t>23 de setiembre del 2015</w:t>
      </w:r>
    </w:p>
    <w:p w14:paraId="50C4493A" w14:textId="77777777" w:rsidR="00DC377B" w:rsidRPr="00C50647" w:rsidRDefault="00DC377B" w:rsidP="00DC377B">
      <w:pPr>
        <w:widowControl w:val="0"/>
        <w:jc w:val="both"/>
        <w:rPr>
          <w:sz w:val="18"/>
          <w:szCs w:val="18"/>
        </w:rPr>
      </w:pPr>
      <w:r w:rsidRPr="00C50647">
        <w:rPr>
          <w:sz w:val="18"/>
          <w:szCs w:val="18"/>
        </w:rPr>
        <w:t>JD-5700/06</w:t>
      </w:r>
    </w:p>
    <w:p w14:paraId="153A2365" w14:textId="77777777" w:rsidR="00DC377B" w:rsidRPr="00C50647" w:rsidRDefault="00DC377B" w:rsidP="00DC377B">
      <w:pPr>
        <w:widowControl w:val="0"/>
        <w:jc w:val="both"/>
        <w:rPr>
          <w:sz w:val="18"/>
          <w:szCs w:val="18"/>
        </w:rPr>
      </w:pPr>
    </w:p>
    <w:p w14:paraId="561FA6BB" w14:textId="77777777" w:rsidR="00DC377B" w:rsidRPr="00C50647" w:rsidRDefault="00DC377B" w:rsidP="00DC377B">
      <w:pPr>
        <w:widowControl w:val="0"/>
        <w:jc w:val="both"/>
        <w:rPr>
          <w:sz w:val="18"/>
          <w:szCs w:val="18"/>
        </w:rPr>
      </w:pPr>
      <w:r w:rsidRPr="00C50647">
        <w:rPr>
          <w:sz w:val="18"/>
          <w:szCs w:val="18"/>
        </w:rPr>
        <w:t>Señor</w:t>
      </w:r>
    </w:p>
    <w:p w14:paraId="174C2948" w14:textId="77777777" w:rsidR="00DC377B" w:rsidRPr="00C50647" w:rsidRDefault="00DC377B" w:rsidP="00DC377B">
      <w:pPr>
        <w:widowControl w:val="0"/>
        <w:jc w:val="both"/>
        <w:rPr>
          <w:b/>
          <w:i/>
          <w:sz w:val="18"/>
          <w:szCs w:val="18"/>
        </w:rPr>
      </w:pPr>
      <w:r w:rsidRPr="00C50647">
        <w:rPr>
          <w:sz w:val="18"/>
          <w:szCs w:val="18"/>
        </w:rPr>
        <w:t xml:space="preserve">Luis Carlos Delgado Murillo, </w:t>
      </w:r>
      <w:r w:rsidRPr="00C50647">
        <w:rPr>
          <w:b/>
          <w:i/>
          <w:sz w:val="18"/>
          <w:szCs w:val="18"/>
        </w:rPr>
        <w:t>Presidente</w:t>
      </w:r>
    </w:p>
    <w:p w14:paraId="5FD85E5C" w14:textId="77777777" w:rsidR="00DC377B" w:rsidRPr="00C50647" w:rsidRDefault="00DC377B" w:rsidP="00DC377B">
      <w:pPr>
        <w:widowControl w:val="0"/>
        <w:jc w:val="both"/>
        <w:rPr>
          <w:b/>
          <w:i/>
          <w:sz w:val="18"/>
          <w:szCs w:val="18"/>
        </w:rPr>
      </w:pPr>
      <w:r w:rsidRPr="00C50647">
        <w:rPr>
          <w:b/>
          <w:i/>
          <w:sz w:val="18"/>
          <w:szCs w:val="18"/>
        </w:rPr>
        <w:t xml:space="preserve">CONSEJO NACIONAL DE SUPERVISIÓN </w:t>
      </w:r>
    </w:p>
    <w:p w14:paraId="0AA8D9E6" w14:textId="77777777" w:rsidR="00DC377B" w:rsidRPr="00C50647" w:rsidRDefault="00DC377B" w:rsidP="00DC377B">
      <w:pPr>
        <w:widowControl w:val="0"/>
        <w:jc w:val="both"/>
        <w:rPr>
          <w:b/>
          <w:i/>
          <w:sz w:val="18"/>
          <w:szCs w:val="18"/>
        </w:rPr>
      </w:pPr>
      <w:r w:rsidRPr="00C50647">
        <w:rPr>
          <w:b/>
          <w:i/>
          <w:sz w:val="18"/>
          <w:szCs w:val="18"/>
        </w:rPr>
        <w:t>DEL SISTEMA FINANCIERO</w:t>
      </w:r>
    </w:p>
    <w:p w14:paraId="0ABC044E" w14:textId="77777777" w:rsidR="00DC377B" w:rsidRPr="00C50647" w:rsidRDefault="00DC377B" w:rsidP="00DC377B">
      <w:pPr>
        <w:widowControl w:val="0"/>
        <w:jc w:val="both"/>
        <w:rPr>
          <w:sz w:val="18"/>
          <w:szCs w:val="18"/>
        </w:rPr>
      </w:pPr>
    </w:p>
    <w:p w14:paraId="69FDDD34" w14:textId="77777777" w:rsidR="00DC377B" w:rsidRPr="00C50647" w:rsidRDefault="00DC377B" w:rsidP="00DC377B">
      <w:pPr>
        <w:widowControl w:val="0"/>
        <w:jc w:val="both"/>
        <w:rPr>
          <w:sz w:val="12"/>
          <w:szCs w:val="18"/>
        </w:rPr>
      </w:pPr>
    </w:p>
    <w:p w14:paraId="4B1C0EEC" w14:textId="77777777" w:rsidR="00DC377B" w:rsidRPr="00C50647" w:rsidRDefault="00DC377B" w:rsidP="00DC377B">
      <w:pPr>
        <w:widowControl w:val="0"/>
        <w:jc w:val="both"/>
        <w:rPr>
          <w:sz w:val="18"/>
          <w:szCs w:val="18"/>
        </w:rPr>
      </w:pPr>
      <w:r w:rsidRPr="00C50647">
        <w:rPr>
          <w:sz w:val="18"/>
          <w:szCs w:val="18"/>
        </w:rPr>
        <w:t>Estimado señor:</w:t>
      </w:r>
    </w:p>
    <w:p w14:paraId="0E755751" w14:textId="77777777" w:rsidR="00DC377B" w:rsidRPr="00C50647" w:rsidRDefault="00DC377B" w:rsidP="00DC377B">
      <w:pPr>
        <w:widowControl w:val="0"/>
        <w:jc w:val="both"/>
        <w:rPr>
          <w:sz w:val="12"/>
          <w:szCs w:val="18"/>
        </w:rPr>
      </w:pPr>
    </w:p>
    <w:p w14:paraId="46A38143" w14:textId="77777777" w:rsidR="00DC377B" w:rsidRPr="00C50647" w:rsidRDefault="00DC377B" w:rsidP="00DC377B">
      <w:pPr>
        <w:widowControl w:val="0"/>
        <w:jc w:val="both"/>
        <w:rPr>
          <w:sz w:val="18"/>
          <w:szCs w:val="18"/>
        </w:rPr>
      </w:pPr>
      <w:r w:rsidRPr="00C50647">
        <w:rPr>
          <w:sz w:val="18"/>
          <w:szCs w:val="18"/>
        </w:rPr>
        <w:t xml:space="preserve">La Junta Directiva del Banco Central de Costa Rica en el inciso II del artículo 6 del acta de la sesión 5700-2015, celebrada el 16 de setiembre del 2015, </w:t>
      </w:r>
    </w:p>
    <w:p w14:paraId="09A2C215" w14:textId="77777777" w:rsidR="00DC377B" w:rsidRPr="00C50647" w:rsidRDefault="00DC377B" w:rsidP="00DC377B">
      <w:pPr>
        <w:jc w:val="both"/>
        <w:rPr>
          <w:sz w:val="10"/>
          <w:szCs w:val="18"/>
        </w:rPr>
      </w:pPr>
    </w:p>
    <w:p w14:paraId="43FC51D5" w14:textId="77777777" w:rsidR="00DC377B" w:rsidRPr="00C50647" w:rsidRDefault="00DC377B" w:rsidP="00DC377B">
      <w:pPr>
        <w:jc w:val="both"/>
        <w:rPr>
          <w:b/>
          <w:color w:val="000000" w:themeColor="text1"/>
          <w:sz w:val="18"/>
          <w:szCs w:val="18"/>
        </w:rPr>
      </w:pPr>
      <w:r w:rsidRPr="00C50647">
        <w:rPr>
          <w:b/>
          <w:color w:val="000000" w:themeColor="text1"/>
          <w:sz w:val="18"/>
          <w:szCs w:val="18"/>
        </w:rPr>
        <w:t>considerando que:</w:t>
      </w:r>
    </w:p>
    <w:p w14:paraId="41DC26AE" w14:textId="77777777" w:rsidR="00DC377B" w:rsidRPr="00C50647" w:rsidRDefault="00DC377B" w:rsidP="00DC377B">
      <w:pPr>
        <w:jc w:val="both"/>
        <w:rPr>
          <w:color w:val="000000" w:themeColor="text1"/>
          <w:sz w:val="12"/>
          <w:szCs w:val="18"/>
        </w:rPr>
      </w:pPr>
    </w:p>
    <w:p w14:paraId="35C4B3EF" w14:textId="77777777" w:rsidR="00DC377B" w:rsidRPr="00C50647" w:rsidRDefault="00DC377B" w:rsidP="00DC377B">
      <w:pPr>
        <w:ind w:left="426" w:hanging="426"/>
        <w:jc w:val="both"/>
        <w:rPr>
          <w:color w:val="000000" w:themeColor="text1"/>
          <w:sz w:val="18"/>
          <w:szCs w:val="18"/>
        </w:rPr>
      </w:pPr>
      <w:r w:rsidRPr="00C50647">
        <w:rPr>
          <w:color w:val="000000" w:themeColor="text1"/>
          <w:sz w:val="18"/>
          <w:szCs w:val="18"/>
        </w:rPr>
        <w:t xml:space="preserve">A. </w:t>
      </w:r>
      <w:r w:rsidRPr="00C50647">
        <w:rPr>
          <w:color w:val="000000" w:themeColor="text1"/>
          <w:sz w:val="18"/>
          <w:szCs w:val="18"/>
        </w:rPr>
        <w:tab/>
        <w:t xml:space="preserve">El Consejo Nacional de Supervisión del Sistema Financiero, en  los artículos 9 y 6 de las actas de las sesiones 1187-2015 y 1188-2015, del 3 de agosto del 2015, y  modificados estos últimos según lo resuelto en las sesiones 1189-2015 y 1190-2015, artículos 10 y 12, respectivamente,  del 10 y 17 de agosto  del 2015, en su orden,  con sustento en lo que prevé el literal k, del artículo 171, de la </w:t>
      </w:r>
      <w:r w:rsidRPr="00C50647">
        <w:rPr>
          <w:i/>
          <w:color w:val="000000" w:themeColor="text1"/>
          <w:sz w:val="18"/>
          <w:szCs w:val="18"/>
        </w:rPr>
        <w:t>Ley Reguladora del Mercado de Valores</w:t>
      </w:r>
      <w:r w:rsidRPr="00C50647">
        <w:rPr>
          <w:color w:val="000000" w:themeColor="text1"/>
          <w:sz w:val="18"/>
          <w:szCs w:val="18"/>
        </w:rPr>
        <w:t>, Ley 7732, y sus reformas, resolvió solicitar a la Junta Directiva del Banco Central de Costa Rica la aprobación de una transferencia por ¢28.712.396.742,00, para efectos del financiamiento de los presupuestos ordinarios de los órganos desconcentrados  y del Consejo Nacional de Supervisión del Sistema Financiero, correspondientes al 2016.</w:t>
      </w:r>
    </w:p>
    <w:p w14:paraId="56379FAE" w14:textId="77777777" w:rsidR="00DC377B" w:rsidRPr="00C50647" w:rsidRDefault="00DC377B" w:rsidP="00DC377B">
      <w:pPr>
        <w:jc w:val="both"/>
        <w:rPr>
          <w:color w:val="000000" w:themeColor="text1"/>
          <w:sz w:val="6"/>
          <w:szCs w:val="18"/>
        </w:rPr>
      </w:pPr>
    </w:p>
    <w:p w14:paraId="2EF5B778" w14:textId="77777777" w:rsidR="00DC377B" w:rsidRPr="00C50647" w:rsidRDefault="00DC377B" w:rsidP="00DC377B">
      <w:pPr>
        <w:ind w:left="426" w:hanging="426"/>
        <w:jc w:val="both"/>
        <w:rPr>
          <w:color w:val="000000" w:themeColor="text1"/>
          <w:sz w:val="18"/>
          <w:szCs w:val="18"/>
        </w:rPr>
      </w:pPr>
      <w:r w:rsidRPr="00C50647">
        <w:rPr>
          <w:color w:val="000000" w:themeColor="text1"/>
          <w:sz w:val="18"/>
          <w:szCs w:val="18"/>
        </w:rPr>
        <w:t xml:space="preserve">B. </w:t>
      </w:r>
      <w:r w:rsidRPr="00C50647">
        <w:rPr>
          <w:color w:val="000000" w:themeColor="text1"/>
          <w:sz w:val="18"/>
          <w:szCs w:val="18"/>
        </w:rPr>
        <w:tab/>
        <w:t xml:space="preserve">El artículo 174 de la </w:t>
      </w:r>
      <w:r w:rsidRPr="00C50647">
        <w:rPr>
          <w:i/>
          <w:color w:val="000000" w:themeColor="text1"/>
          <w:sz w:val="18"/>
          <w:szCs w:val="18"/>
        </w:rPr>
        <w:t>Ley Reguladora del Mercado de Valores</w:t>
      </w:r>
      <w:r w:rsidRPr="00C50647">
        <w:rPr>
          <w:color w:val="000000" w:themeColor="text1"/>
          <w:sz w:val="18"/>
          <w:szCs w:val="18"/>
        </w:rPr>
        <w:t>, Ley 7732, establece que los presupuestos de la Superintendencia General de Entidades Financieras, la Superintendencia General de Valores y de la Superintendencia de Pensiones serán financiados, en un 80%, con recursos provenientes del Banco Central de Costa Rica y, en un 20% de los gastos efectivamente incurridos, mediante contribuciones obligatorias de los sujetos fiscalizados.</w:t>
      </w:r>
    </w:p>
    <w:p w14:paraId="238C4798" w14:textId="77777777" w:rsidR="00DC377B" w:rsidRPr="00C50647" w:rsidRDefault="00DC377B" w:rsidP="00DC377B">
      <w:pPr>
        <w:jc w:val="both"/>
        <w:rPr>
          <w:color w:val="000000" w:themeColor="text1"/>
          <w:sz w:val="6"/>
          <w:szCs w:val="18"/>
        </w:rPr>
      </w:pPr>
    </w:p>
    <w:p w14:paraId="57A35341" w14:textId="77777777" w:rsidR="00DC377B" w:rsidRPr="00C50647" w:rsidRDefault="00DC377B" w:rsidP="00DC377B">
      <w:pPr>
        <w:ind w:left="426" w:hanging="426"/>
        <w:jc w:val="both"/>
        <w:rPr>
          <w:color w:val="000000" w:themeColor="text1"/>
          <w:sz w:val="18"/>
          <w:szCs w:val="18"/>
        </w:rPr>
      </w:pPr>
      <w:r w:rsidRPr="00C50647">
        <w:rPr>
          <w:color w:val="000000" w:themeColor="text1"/>
          <w:sz w:val="18"/>
          <w:szCs w:val="18"/>
        </w:rPr>
        <w:t xml:space="preserve">C. </w:t>
      </w:r>
      <w:r w:rsidRPr="00C50647">
        <w:rPr>
          <w:color w:val="000000" w:themeColor="text1"/>
          <w:sz w:val="18"/>
          <w:szCs w:val="18"/>
        </w:rPr>
        <w:tab/>
        <w:t xml:space="preserve">El artículo 28 de la </w:t>
      </w:r>
      <w:r w:rsidRPr="00C50647">
        <w:rPr>
          <w:i/>
          <w:color w:val="000000" w:themeColor="text1"/>
          <w:sz w:val="18"/>
          <w:szCs w:val="18"/>
        </w:rPr>
        <w:t>Ley Reguladora del Mercado de Seguros</w:t>
      </w:r>
      <w:r w:rsidRPr="00C50647">
        <w:rPr>
          <w:color w:val="000000" w:themeColor="text1"/>
          <w:sz w:val="18"/>
          <w:szCs w:val="18"/>
        </w:rPr>
        <w:t>, Ley 8653, indica que el Banco Central de Costa Rica sufragará los gastos necesarios para garantizar el correcto y eficiente funcionamiento de la Superintendencia General de Seguros.</w:t>
      </w:r>
    </w:p>
    <w:p w14:paraId="2FBDD7EE" w14:textId="77777777" w:rsidR="00DC377B" w:rsidRPr="00C50647" w:rsidRDefault="00DC377B" w:rsidP="00DC377B">
      <w:pPr>
        <w:jc w:val="both"/>
        <w:rPr>
          <w:color w:val="000000" w:themeColor="text1"/>
          <w:sz w:val="12"/>
          <w:szCs w:val="18"/>
        </w:rPr>
      </w:pPr>
    </w:p>
    <w:p w14:paraId="21118DD8" w14:textId="77777777" w:rsidR="00DC377B" w:rsidRPr="00C50647" w:rsidRDefault="00DC377B" w:rsidP="00DC377B">
      <w:pPr>
        <w:jc w:val="both"/>
        <w:rPr>
          <w:b/>
          <w:color w:val="000000" w:themeColor="text1"/>
          <w:sz w:val="18"/>
          <w:szCs w:val="18"/>
        </w:rPr>
      </w:pPr>
      <w:r w:rsidRPr="00C50647">
        <w:rPr>
          <w:b/>
          <w:color w:val="000000" w:themeColor="text1"/>
          <w:sz w:val="18"/>
          <w:szCs w:val="18"/>
        </w:rPr>
        <w:t>resolvió:</w:t>
      </w:r>
    </w:p>
    <w:p w14:paraId="397B5CC7" w14:textId="77777777" w:rsidR="00DC377B" w:rsidRPr="00C50647" w:rsidRDefault="00DC377B" w:rsidP="00DC377B">
      <w:pPr>
        <w:jc w:val="both"/>
        <w:rPr>
          <w:color w:val="000000" w:themeColor="text1"/>
          <w:sz w:val="12"/>
          <w:szCs w:val="18"/>
        </w:rPr>
      </w:pPr>
    </w:p>
    <w:p w14:paraId="4CA318CE" w14:textId="77777777" w:rsidR="00DC377B" w:rsidRPr="00C50647" w:rsidRDefault="00DC377B" w:rsidP="00DC377B">
      <w:pPr>
        <w:jc w:val="both"/>
        <w:rPr>
          <w:color w:val="000000" w:themeColor="text1"/>
          <w:sz w:val="18"/>
          <w:szCs w:val="18"/>
        </w:rPr>
      </w:pPr>
      <w:r w:rsidRPr="00C50647">
        <w:rPr>
          <w:color w:val="000000" w:themeColor="text1"/>
          <w:sz w:val="18"/>
          <w:szCs w:val="18"/>
        </w:rPr>
        <w:t xml:space="preserve">aprobar una transferencia de ¢28.712.396.742,00 como el límite global, con base en la cual se dará contenido al Presupuesto Ordinario del Consejo Nacional de Supervisión del Sistema Financiero, la Superintendencia General de Entidades Financieras, la Superintendencia General de Valores, la Superintendencia de Pensiones y la Superintendencia General de Seguros, para el 2016. </w:t>
      </w:r>
    </w:p>
    <w:p w14:paraId="27FB80DC" w14:textId="77777777" w:rsidR="00DC377B" w:rsidRPr="00C50647" w:rsidRDefault="00DC377B" w:rsidP="00DC377B">
      <w:pPr>
        <w:jc w:val="both"/>
        <w:rPr>
          <w:color w:val="000000" w:themeColor="text1"/>
          <w:sz w:val="12"/>
          <w:szCs w:val="18"/>
        </w:rPr>
      </w:pPr>
    </w:p>
    <w:p w14:paraId="768B5295" w14:textId="77777777" w:rsidR="00DC377B" w:rsidRPr="00C50647" w:rsidRDefault="00DC377B" w:rsidP="00DC377B">
      <w:pPr>
        <w:jc w:val="both"/>
        <w:rPr>
          <w:color w:val="000000" w:themeColor="text1"/>
          <w:sz w:val="18"/>
          <w:szCs w:val="18"/>
        </w:rPr>
      </w:pPr>
      <w:r w:rsidRPr="00C50647">
        <w:rPr>
          <w:color w:val="000000" w:themeColor="text1"/>
          <w:sz w:val="18"/>
          <w:szCs w:val="18"/>
        </w:rPr>
        <w:t>El 20% del presupuesto efectivo que aportarán los órganos supervisados por la Superintendencia General de Entidades Financieras, la Superintendencia General de Valores y la Superintendencia de Pensiones será rembolsado al Banco Central de Costa Rica, para compensar, en lo que corresponda, la transferencia incluida en el Presupuesto Ordinario del Banco Central para financiar los presupuestos ordinarios del CONASSIF y las Superintendencias, a la luz de lo establecido en el Reglamento para Regular la Participación de los Sujetos Fiscalizados y del Banco Central en el Financiamiento del Presupuesto de las Superintendencias, publicado en el diario oficial La Gaceta 79, del 25 de abril del 2014.</w:t>
      </w:r>
    </w:p>
    <w:p w14:paraId="59EC1616" w14:textId="77777777" w:rsidR="00DC377B" w:rsidRPr="00C50647" w:rsidRDefault="00DC377B" w:rsidP="00DC377B">
      <w:pPr>
        <w:jc w:val="both"/>
        <w:rPr>
          <w:color w:val="000000" w:themeColor="text1"/>
          <w:sz w:val="12"/>
          <w:szCs w:val="18"/>
        </w:rPr>
      </w:pPr>
    </w:p>
    <w:p w14:paraId="511842DA" w14:textId="77777777" w:rsidR="00DC377B" w:rsidRPr="00C50647" w:rsidRDefault="00DC377B" w:rsidP="00DC377B">
      <w:pPr>
        <w:jc w:val="both"/>
        <w:rPr>
          <w:color w:val="000000" w:themeColor="text1"/>
          <w:sz w:val="18"/>
          <w:szCs w:val="18"/>
        </w:rPr>
      </w:pPr>
      <w:r w:rsidRPr="00C50647">
        <w:rPr>
          <w:color w:val="000000" w:themeColor="text1"/>
          <w:sz w:val="18"/>
          <w:szCs w:val="18"/>
        </w:rPr>
        <w:t xml:space="preserve">En el caso del financiamiento del presupuesto de la Superintendencia General de Seguros, de conformidad con lo dispuesto en el artículo 28 de la </w:t>
      </w:r>
      <w:r w:rsidRPr="00C50647">
        <w:rPr>
          <w:i/>
          <w:color w:val="000000" w:themeColor="text1"/>
          <w:sz w:val="18"/>
          <w:szCs w:val="18"/>
        </w:rPr>
        <w:t>Ley Reguladora del Mercado de Seguros</w:t>
      </w:r>
      <w:r w:rsidRPr="00C50647">
        <w:rPr>
          <w:color w:val="000000" w:themeColor="text1"/>
          <w:sz w:val="18"/>
          <w:szCs w:val="18"/>
        </w:rPr>
        <w:t>, Ley 8653, el Banco Central de Costa Rica sufragará los gastos necesarios para garantizar el funcionamiento de esa Superintendencia.</w:t>
      </w:r>
    </w:p>
    <w:p w14:paraId="2AC97E83" w14:textId="77777777" w:rsidR="00DC377B" w:rsidRPr="00C50647" w:rsidRDefault="00DC377B" w:rsidP="00DC377B">
      <w:pPr>
        <w:jc w:val="both"/>
        <w:rPr>
          <w:color w:val="000000" w:themeColor="text1"/>
          <w:sz w:val="8"/>
          <w:szCs w:val="18"/>
        </w:rPr>
      </w:pPr>
    </w:p>
    <w:p w14:paraId="0F072EDA" w14:textId="77777777" w:rsidR="00DC377B" w:rsidRPr="00C50647" w:rsidRDefault="00DC377B" w:rsidP="00DC377B">
      <w:pPr>
        <w:widowControl w:val="0"/>
        <w:jc w:val="both"/>
        <w:rPr>
          <w:sz w:val="16"/>
          <w:szCs w:val="18"/>
        </w:rPr>
      </w:pPr>
      <w:r w:rsidRPr="00C50647">
        <w:rPr>
          <w:sz w:val="16"/>
          <w:szCs w:val="18"/>
        </w:rPr>
        <w:t>Atentamente,</w:t>
      </w:r>
    </w:p>
    <w:p w14:paraId="219D0AB5" w14:textId="77777777" w:rsidR="00DC377B" w:rsidRPr="00C50647" w:rsidRDefault="00DC377B" w:rsidP="00DC377B">
      <w:pPr>
        <w:widowControl w:val="0"/>
        <w:jc w:val="both"/>
        <w:rPr>
          <w:sz w:val="18"/>
          <w:szCs w:val="18"/>
        </w:rPr>
      </w:pPr>
      <w:r w:rsidRPr="00C50647">
        <w:rPr>
          <w:noProof/>
          <w:sz w:val="18"/>
          <w:szCs w:val="18"/>
        </w:rPr>
        <w:drawing>
          <wp:anchor distT="0" distB="0" distL="114300" distR="114300" simplePos="0" relativeHeight="251735040" behindDoc="1" locked="0" layoutInCell="1" allowOverlap="1" wp14:anchorId="780F1CBD" wp14:editId="76CE818F">
            <wp:simplePos x="0" y="0"/>
            <wp:positionH relativeFrom="column">
              <wp:posOffset>-194945</wp:posOffset>
            </wp:positionH>
            <wp:positionV relativeFrom="paragraph">
              <wp:posOffset>71120</wp:posOffset>
            </wp:positionV>
            <wp:extent cx="1376045" cy="213360"/>
            <wp:effectExtent l="0" t="0" r="0" b="0"/>
            <wp:wrapTight wrapText="bothSides">
              <wp:wrapPolygon edited="0">
                <wp:start x="0" y="0"/>
                <wp:lineTo x="0" y="19286"/>
                <wp:lineTo x="21231" y="19286"/>
                <wp:lineTo x="21231" y="0"/>
                <wp:lineTo x="0" y="0"/>
              </wp:wrapPolygon>
            </wp:wrapTight>
            <wp:docPr id="56" name="Imagen 56" descr="F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i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376045" cy="213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B08D5C" w14:textId="77777777" w:rsidR="00DC377B" w:rsidRPr="00C50647" w:rsidRDefault="00DC377B" w:rsidP="00DC377B">
      <w:pPr>
        <w:widowControl w:val="0"/>
        <w:jc w:val="both"/>
        <w:rPr>
          <w:sz w:val="18"/>
          <w:szCs w:val="18"/>
        </w:rPr>
      </w:pPr>
    </w:p>
    <w:p w14:paraId="302BC077" w14:textId="77777777" w:rsidR="00DC377B" w:rsidRPr="00C50647" w:rsidRDefault="00DC377B" w:rsidP="00DC377B">
      <w:pPr>
        <w:widowControl w:val="0"/>
        <w:jc w:val="both"/>
        <w:rPr>
          <w:sz w:val="8"/>
          <w:szCs w:val="18"/>
        </w:rPr>
      </w:pPr>
    </w:p>
    <w:p w14:paraId="198357FF" w14:textId="77777777" w:rsidR="00DC377B" w:rsidRPr="00C50647" w:rsidRDefault="00DC377B" w:rsidP="00DC377B">
      <w:pPr>
        <w:widowControl w:val="0"/>
        <w:ind w:left="567" w:hanging="567"/>
        <w:jc w:val="both"/>
        <w:rPr>
          <w:sz w:val="16"/>
          <w:szCs w:val="18"/>
        </w:rPr>
      </w:pPr>
      <w:r w:rsidRPr="00C50647">
        <w:rPr>
          <w:sz w:val="16"/>
          <w:szCs w:val="18"/>
        </w:rPr>
        <w:t>Jorge Monge Bonilla</w:t>
      </w:r>
    </w:p>
    <w:p w14:paraId="5ED37F0B" w14:textId="77777777" w:rsidR="00DC377B" w:rsidRDefault="00DC377B" w:rsidP="00DC377B">
      <w:pPr>
        <w:widowControl w:val="0"/>
        <w:ind w:left="567" w:hanging="567"/>
        <w:jc w:val="both"/>
        <w:rPr>
          <w:i/>
          <w:sz w:val="18"/>
          <w:szCs w:val="18"/>
        </w:rPr>
      </w:pPr>
      <w:r w:rsidRPr="00C50647">
        <w:rPr>
          <w:i/>
          <w:sz w:val="18"/>
          <w:szCs w:val="18"/>
        </w:rPr>
        <w:t>Secretario General</w:t>
      </w:r>
    </w:p>
    <w:p w14:paraId="72BDA5AE" w14:textId="77777777" w:rsidR="00DC377B" w:rsidRDefault="00DC377B" w:rsidP="00DC377B">
      <w:pPr>
        <w:widowControl w:val="0"/>
        <w:ind w:left="567" w:hanging="567"/>
        <w:jc w:val="both"/>
        <w:rPr>
          <w:i/>
          <w:sz w:val="18"/>
          <w:szCs w:val="18"/>
        </w:rPr>
      </w:pPr>
    </w:p>
    <w:p w14:paraId="7089F87F" w14:textId="77777777" w:rsidR="00DC377B" w:rsidRPr="008A5F8B" w:rsidRDefault="00DC377B" w:rsidP="00DC377B">
      <w:pPr>
        <w:widowControl w:val="0"/>
        <w:jc w:val="both"/>
        <w:rPr>
          <w:sz w:val="18"/>
          <w:szCs w:val="18"/>
        </w:rPr>
      </w:pPr>
      <w:r w:rsidRPr="00C50647">
        <w:rPr>
          <w:b/>
          <w:i/>
          <w:sz w:val="16"/>
          <w:szCs w:val="18"/>
        </w:rPr>
        <w:t>Con copia a:</w:t>
      </w:r>
      <w:r>
        <w:rPr>
          <w:i/>
          <w:sz w:val="16"/>
          <w:szCs w:val="18"/>
        </w:rPr>
        <w:t xml:space="preserve">     </w:t>
      </w:r>
      <w:proofErr w:type="spellStart"/>
      <w:r>
        <w:rPr>
          <w:i/>
          <w:sz w:val="16"/>
          <w:szCs w:val="18"/>
        </w:rPr>
        <w:t>ODM</w:t>
      </w:r>
      <w:r w:rsidRPr="00C50647">
        <w:rPr>
          <w:i/>
          <w:sz w:val="16"/>
          <w:szCs w:val="18"/>
        </w:rPr>
        <w:t>s</w:t>
      </w:r>
      <w:proofErr w:type="spellEnd"/>
    </w:p>
    <w:p w14:paraId="45AA0CE8" w14:textId="77777777" w:rsidR="00DC377B" w:rsidRDefault="00DC377B" w:rsidP="004A2776">
      <w:pPr>
        <w:rPr>
          <w:vanish/>
          <w:lang w:val="es-ES_tradnl" w:eastAsia="es-ES_tradnl"/>
        </w:rPr>
      </w:pPr>
    </w:p>
    <w:p w14:paraId="3D795136" w14:textId="77777777" w:rsidR="00DC377B" w:rsidRDefault="00DC377B">
      <w:pPr>
        <w:rPr>
          <w:vanish/>
          <w:lang w:val="es-ES_tradnl" w:eastAsia="es-ES_tradnl"/>
        </w:rPr>
      </w:pPr>
      <w:r>
        <w:rPr>
          <w:vanish/>
          <w:lang w:val="es-ES_tradnl" w:eastAsia="es-ES_tradnl"/>
        </w:rPr>
        <w:br w:type="page"/>
      </w:r>
    </w:p>
    <w:p w14:paraId="1F479DDC" w14:textId="27BDF554" w:rsidR="00DC377B" w:rsidRDefault="00DC377B" w:rsidP="004A2776">
      <w:pPr>
        <w:rPr>
          <w:vanish/>
          <w:lang w:val="es-ES_tradnl" w:eastAsia="es-ES_tradnl"/>
        </w:rPr>
      </w:pPr>
    </w:p>
    <w:p w14:paraId="64610061" w14:textId="0FBDDF52" w:rsidR="009400B0" w:rsidRDefault="00DC377B" w:rsidP="004A2776">
      <w:pPr>
        <w:rPr>
          <w:vanish/>
          <w:lang w:val="es-ES_tradnl" w:eastAsia="es-ES_tradnl"/>
        </w:rPr>
      </w:pPr>
      <w:r>
        <w:rPr>
          <w:noProof/>
        </w:rPr>
        <w:drawing>
          <wp:inline distT="0" distB="0" distL="0" distR="0" wp14:anchorId="4A74D721" wp14:editId="28A56C8B">
            <wp:extent cx="5645150" cy="7075695"/>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extLst>
                        <a:ext uri="{28A0092B-C50C-407E-A947-70E740481C1C}">
                          <a14:useLocalDpi xmlns:a14="http://schemas.microsoft.com/office/drawing/2010/main" val="0"/>
                        </a:ext>
                      </a:extLst>
                    </a:blip>
                    <a:stretch>
                      <a:fillRect/>
                    </a:stretch>
                  </pic:blipFill>
                  <pic:spPr>
                    <a:xfrm>
                      <a:off x="0" y="0"/>
                      <a:ext cx="5651712" cy="7083920"/>
                    </a:xfrm>
                    <a:prstGeom prst="rect">
                      <a:avLst/>
                    </a:prstGeom>
                  </pic:spPr>
                </pic:pic>
              </a:graphicData>
            </a:graphic>
          </wp:inline>
        </w:drawing>
      </w:r>
    </w:p>
    <w:p w14:paraId="3FB3AB48" w14:textId="77777777" w:rsidR="00DC377B" w:rsidRDefault="00DC377B">
      <w:pPr>
        <w:rPr>
          <w:vanish/>
          <w:lang w:val="es-ES_tradnl" w:eastAsia="es-ES_tradnl"/>
        </w:rPr>
      </w:pPr>
      <w:r>
        <w:rPr>
          <w:vanish/>
          <w:lang w:val="es-ES_tradnl" w:eastAsia="es-ES_tradnl"/>
        </w:rPr>
        <w:br w:type="page"/>
      </w:r>
    </w:p>
    <w:p w14:paraId="16928FC8" w14:textId="77777777" w:rsidR="00BD0A8F" w:rsidRDefault="00BD0A8F" w:rsidP="00BD0A8F">
      <w:pPr>
        <w:pStyle w:val="Encabezado"/>
      </w:pPr>
      <w:r>
        <w:rPr>
          <w:noProof/>
          <w:lang w:val="es-ES" w:eastAsia="es-ES"/>
        </w:rPr>
        <w:lastRenderedPageBreak/>
        <w:drawing>
          <wp:anchor distT="0" distB="0" distL="114300" distR="114300" simplePos="0" relativeHeight="251739136" behindDoc="0" locked="0" layoutInCell="1" allowOverlap="1" wp14:anchorId="0FA2ADD2" wp14:editId="6EF313AC">
            <wp:simplePos x="0" y="0"/>
            <wp:positionH relativeFrom="column">
              <wp:posOffset>-120015</wp:posOffset>
            </wp:positionH>
            <wp:positionV relativeFrom="paragraph">
              <wp:posOffset>135890</wp:posOffset>
            </wp:positionV>
            <wp:extent cx="4697730" cy="398780"/>
            <wp:effectExtent l="0" t="0" r="0" b="1270"/>
            <wp:wrapTight wrapText="bothSides">
              <wp:wrapPolygon edited="0">
                <wp:start x="438" y="0"/>
                <wp:lineTo x="0" y="9287"/>
                <wp:lineTo x="0" y="14446"/>
                <wp:lineTo x="876" y="20637"/>
                <wp:lineTo x="964" y="20637"/>
                <wp:lineTo x="1401" y="20637"/>
                <wp:lineTo x="15854" y="17541"/>
                <wp:lineTo x="15854" y="5159"/>
                <wp:lineTo x="1314" y="0"/>
                <wp:lineTo x="438" y="0"/>
              </wp:wrapPolygon>
            </wp:wrapTight>
            <wp:docPr id="80455" name="Imagen 80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0">
                      <a:extLst>
                        <a:ext uri="{28A0092B-C50C-407E-A947-70E740481C1C}">
                          <a14:useLocalDpi xmlns:a14="http://schemas.microsoft.com/office/drawing/2010/main" val="0"/>
                        </a:ext>
                      </a:extLst>
                    </a:blip>
                    <a:srcRect r="14087"/>
                    <a:stretch>
                      <a:fillRect/>
                    </a:stretch>
                  </pic:blipFill>
                  <pic:spPr bwMode="auto">
                    <a:xfrm>
                      <a:off x="0" y="0"/>
                      <a:ext cx="4697730" cy="398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411BB4" w14:textId="77777777" w:rsidR="00BD0A8F" w:rsidRDefault="00BD0A8F" w:rsidP="00BD0A8F">
      <w:pPr>
        <w:ind w:left="567" w:hanging="567"/>
        <w:jc w:val="both"/>
        <w:rPr>
          <w:sz w:val="22"/>
          <w:szCs w:val="22"/>
        </w:rPr>
      </w:pPr>
    </w:p>
    <w:p w14:paraId="63DAE3A8" w14:textId="77777777" w:rsidR="00BD0A8F" w:rsidRDefault="00BD0A8F" w:rsidP="00BD0A8F">
      <w:pPr>
        <w:ind w:left="567" w:hanging="567"/>
        <w:jc w:val="both"/>
        <w:rPr>
          <w:sz w:val="22"/>
          <w:szCs w:val="22"/>
        </w:rPr>
      </w:pPr>
    </w:p>
    <w:p w14:paraId="53A1CE53" w14:textId="77777777" w:rsidR="00BD0A8F" w:rsidRDefault="00BD0A8F" w:rsidP="00BD0A8F">
      <w:pPr>
        <w:ind w:left="567" w:hanging="567"/>
        <w:jc w:val="both"/>
        <w:rPr>
          <w:sz w:val="22"/>
          <w:szCs w:val="22"/>
        </w:rPr>
      </w:pPr>
    </w:p>
    <w:p w14:paraId="7C651C5B" w14:textId="77777777" w:rsidR="00BD0A8F" w:rsidRPr="00CB6FBF" w:rsidRDefault="00BD0A8F" w:rsidP="00BD0A8F">
      <w:pPr>
        <w:ind w:left="567" w:hanging="567"/>
        <w:jc w:val="both"/>
        <w:rPr>
          <w:sz w:val="22"/>
          <w:szCs w:val="22"/>
        </w:rPr>
      </w:pPr>
    </w:p>
    <w:p w14:paraId="67D0763F" w14:textId="77777777" w:rsidR="00BD0A8F" w:rsidRPr="00CB6FBF" w:rsidRDefault="00BD0A8F" w:rsidP="00BD0A8F">
      <w:pPr>
        <w:ind w:left="567" w:hanging="567"/>
        <w:jc w:val="both"/>
        <w:rPr>
          <w:sz w:val="22"/>
          <w:szCs w:val="22"/>
        </w:rPr>
      </w:pPr>
      <w:r w:rsidRPr="00CB6FBF">
        <w:rPr>
          <w:sz w:val="22"/>
          <w:szCs w:val="22"/>
        </w:rPr>
        <w:t>28 de setiembre del 2015</w:t>
      </w:r>
    </w:p>
    <w:p w14:paraId="43552F05" w14:textId="77777777" w:rsidR="00BD0A8F" w:rsidRPr="00CB6FBF" w:rsidRDefault="00BD0A8F" w:rsidP="00BD0A8F">
      <w:pPr>
        <w:ind w:left="567" w:hanging="567"/>
        <w:jc w:val="both"/>
        <w:rPr>
          <w:sz w:val="22"/>
          <w:szCs w:val="22"/>
        </w:rPr>
      </w:pPr>
      <w:r w:rsidRPr="00CB6FBF">
        <w:rPr>
          <w:sz w:val="22"/>
          <w:szCs w:val="22"/>
        </w:rPr>
        <w:t>CNS-1200/09</w:t>
      </w:r>
    </w:p>
    <w:p w14:paraId="35F9AE61" w14:textId="77777777" w:rsidR="00BD0A8F" w:rsidRPr="00CB6FBF" w:rsidRDefault="00BD0A8F" w:rsidP="00BD0A8F">
      <w:pPr>
        <w:jc w:val="both"/>
        <w:rPr>
          <w:sz w:val="22"/>
          <w:szCs w:val="22"/>
        </w:rPr>
      </w:pPr>
    </w:p>
    <w:p w14:paraId="46A397BA" w14:textId="77777777" w:rsidR="00BD0A8F" w:rsidRPr="00CB6FBF" w:rsidRDefault="00BD0A8F" w:rsidP="00BD0A8F">
      <w:pPr>
        <w:jc w:val="both"/>
        <w:rPr>
          <w:sz w:val="22"/>
          <w:szCs w:val="22"/>
        </w:rPr>
      </w:pPr>
    </w:p>
    <w:p w14:paraId="0D00A845" w14:textId="77777777" w:rsidR="00BD0A8F" w:rsidRPr="00CB6FBF" w:rsidRDefault="00BD0A8F" w:rsidP="00BD0A8F">
      <w:pPr>
        <w:jc w:val="both"/>
        <w:rPr>
          <w:sz w:val="22"/>
          <w:szCs w:val="22"/>
        </w:rPr>
      </w:pPr>
    </w:p>
    <w:p w14:paraId="6D440F8B" w14:textId="77777777" w:rsidR="00BD0A8F" w:rsidRPr="00CB6FBF" w:rsidRDefault="00BD0A8F" w:rsidP="00BD0A8F">
      <w:pPr>
        <w:widowControl w:val="0"/>
        <w:jc w:val="both"/>
        <w:rPr>
          <w:sz w:val="22"/>
          <w:szCs w:val="22"/>
        </w:rPr>
      </w:pPr>
      <w:r w:rsidRPr="00CB6FBF">
        <w:rPr>
          <w:sz w:val="22"/>
          <w:szCs w:val="22"/>
        </w:rPr>
        <w:t>Señor</w:t>
      </w:r>
    </w:p>
    <w:p w14:paraId="67153557" w14:textId="77777777" w:rsidR="00BD0A8F" w:rsidRPr="00CB6FBF" w:rsidRDefault="00BD0A8F" w:rsidP="00BD0A8F">
      <w:pPr>
        <w:widowControl w:val="0"/>
        <w:jc w:val="both"/>
        <w:rPr>
          <w:b/>
          <w:i/>
          <w:sz w:val="22"/>
          <w:szCs w:val="22"/>
        </w:rPr>
      </w:pPr>
      <w:r w:rsidRPr="00CB6FBF">
        <w:rPr>
          <w:i/>
          <w:sz w:val="22"/>
          <w:szCs w:val="22"/>
        </w:rPr>
        <w:t>Alvaro Ramos Chaves,</w:t>
      </w:r>
      <w:r w:rsidRPr="00CB6FBF">
        <w:rPr>
          <w:b/>
          <w:i/>
          <w:sz w:val="22"/>
          <w:szCs w:val="22"/>
        </w:rPr>
        <w:t xml:space="preserve"> Superintendente </w:t>
      </w:r>
    </w:p>
    <w:p w14:paraId="33AC2F89" w14:textId="77777777" w:rsidR="00BD0A8F" w:rsidRPr="00CB6FBF" w:rsidRDefault="00BD0A8F" w:rsidP="00BD0A8F">
      <w:pPr>
        <w:widowControl w:val="0"/>
        <w:jc w:val="both"/>
        <w:rPr>
          <w:b/>
          <w:i/>
          <w:sz w:val="22"/>
          <w:szCs w:val="22"/>
        </w:rPr>
      </w:pPr>
      <w:r w:rsidRPr="00CB6FBF">
        <w:rPr>
          <w:b/>
          <w:i/>
          <w:sz w:val="22"/>
          <w:szCs w:val="22"/>
        </w:rPr>
        <w:t>SUPERINTENDENCIA DE PENSIONES</w:t>
      </w:r>
    </w:p>
    <w:p w14:paraId="6FA867F1" w14:textId="77777777" w:rsidR="00BD0A8F" w:rsidRPr="00CB6FBF" w:rsidRDefault="00BD0A8F" w:rsidP="00BD0A8F">
      <w:pPr>
        <w:widowControl w:val="0"/>
        <w:jc w:val="both"/>
        <w:rPr>
          <w:sz w:val="22"/>
          <w:szCs w:val="22"/>
        </w:rPr>
      </w:pPr>
    </w:p>
    <w:p w14:paraId="2AA88C34" w14:textId="77777777" w:rsidR="00BD0A8F" w:rsidRPr="00CB6FBF" w:rsidRDefault="00BD0A8F" w:rsidP="00BD0A8F">
      <w:pPr>
        <w:jc w:val="both"/>
        <w:rPr>
          <w:b/>
          <w:i/>
          <w:sz w:val="22"/>
          <w:szCs w:val="22"/>
        </w:rPr>
      </w:pPr>
    </w:p>
    <w:p w14:paraId="1F175FEA" w14:textId="77777777" w:rsidR="00BD0A8F" w:rsidRPr="00CB6FBF" w:rsidRDefault="00BD0A8F" w:rsidP="00BD0A8F">
      <w:pPr>
        <w:widowControl w:val="0"/>
        <w:jc w:val="both"/>
        <w:rPr>
          <w:sz w:val="22"/>
          <w:szCs w:val="22"/>
        </w:rPr>
      </w:pPr>
      <w:r w:rsidRPr="00CB6FBF">
        <w:rPr>
          <w:sz w:val="22"/>
          <w:szCs w:val="22"/>
        </w:rPr>
        <w:t>Estimado señor:</w:t>
      </w:r>
    </w:p>
    <w:p w14:paraId="5EC75040" w14:textId="77777777" w:rsidR="00BD0A8F" w:rsidRPr="00CB6FBF" w:rsidRDefault="00BD0A8F" w:rsidP="00BD0A8F">
      <w:pPr>
        <w:jc w:val="both"/>
        <w:rPr>
          <w:b/>
          <w:i/>
          <w:sz w:val="22"/>
          <w:szCs w:val="22"/>
        </w:rPr>
      </w:pPr>
    </w:p>
    <w:p w14:paraId="1F5E8297" w14:textId="77777777" w:rsidR="00BD0A8F" w:rsidRPr="00CB6FBF" w:rsidRDefault="00BD0A8F" w:rsidP="00BD0A8F">
      <w:pPr>
        <w:widowControl w:val="0"/>
        <w:jc w:val="both"/>
        <w:rPr>
          <w:sz w:val="22"/>
          <w:szCs w:val="22"/>
        </w:rPr>
      </w:pPr>
      <w:r w:rsidRPr="00CB6FBF">
        <w:rPr>
          <w:sz w:val="22"/>
          <w:szCs w:val="22"/>
        </w:rPr>
        <w:t>El Consejo Nacional de Supervisión del Sistema Financiero en el literal B del artículo 9, del acta de la</w:t>
      </w:r>
      <w:r>
        <w:rPr>
          <w:sz w:val="22"/>
          <w:szCs w:val="22"/>
        </w:rPr>
        <w:t xml:space="preserve"> sesió</w:t>
      </w:r>
      <w:r w:rsidRPr="00CB6FBF">
        <w:rPr>
          <w:sz w:val="22"/>
          <w:szCs w:val="22"/>
        </w:rPr>
        <w:t xml:space="preserve">n 1200-2015, celebrada el  28 de setiembre del 2015, </w:t>
      </w:r>
    </w:p>
    <w:p w14:paraId="07C49E72" w14:textId="77777777" w:rsidR="00BD0A8F" w:rsidRPr="00CB6FBF" w:rsidRDefault="00BD0A8F" w:rsidP="00BD0A8F">
      <w:pPr>
        <w:widowControl w:val="0"/>
        <w:jc w:val="both"/>
        <w:rPr>
          <w:sz w:val="22"/>
          <w:szCs w:val="22"/>
        </w:rPr>
      </w:pPr>
    </w:p>
    <w:p w14:paraId="1CFF28C0" w14:textId="77777777" w:rsidR="00BD0A8F" w:rsidRPr="00CB6FBF" w:rsidRDefault="00BD0A8F" w:rsidP="00BD0A8F">
      <w:pPr>
        <w:widowControl w:val="0"/>
        <w:jc w:val="both"/>
        <w:rPr>
          <w:b/>
          <w:sz w:val="22"/>
          <w:szCs w:val="22"/>
        </w:rPr>
      </w:pPr>
      <w:r w:rsidRPr="00CB6FBF">
        <w:rPr>
          <w:b/>
          <w:sz w:val="22"/>
          <w:szCs w:val="22"/>
        </w:rPr>
        <w:t>considerando que:</w:t>
      </w:r>
    </w:p>
    <w:p w14:paraId="03CAFD1C" w14:textId="77777777" w:rsidR="00BD0A8F" w:rsidRPr="00CB6FBF" w:rsidRDefault="00BD0A8F" w:rsidP="00BD0A8F">
      <w:pPr>
        <w:widowControl w:val="0"/>
        <w:jc w:val="both"/>
        <w:rPr>
          <w:sz w:val="22"/>
          <w:szCs w:val="22"/>
        </w:rPr>
      </w:pPr>
    </w:p>
    <w:p w14:paraId="1D5CC6DC" w14:textId="77777777" w:rsidR="00BD0A8F" w:rsidRPr="00CB6FBF" w:rsidRDefault="00BD0A8F" w:rsidP="00BD0A8F">
      <w:pPr>
        <w:ind w:left="567" w:hanging="567"/>
        <w:jc w:val="both"/>
        <w:rPr>
          <w:sz w:val="22"/>
          <w:szCs w:val="22"/>
        </w:rPr>
      </w:pPr>
      <w:r w:rsidRPr="00CB6FBF">
        <w:rPr>
          <w:sz w:val="22"/>
          <w:szCs w:val="22"/>
        </w:rPr>
        <w:t xml:space="preserve">a.- </w:t>
      </w:r>
      <w:r w:rsidRPr="00CB6FBF">
        <w:rPr>
          <w:sz w:val="22"/>
          <w:szCs w:val="22"/>
        </w:rPr>
        <w:tab/>
        <w:t xml:space="preserve">Con sustento en lo previsto en el literal k), artículo 171, de la </w:t>
      </w:r>
      <w:r w:rsidRPr="00CB6FBF">
        <w:rPr>
          <w:i/>
          <w:sz w:val="22"/>
          <w:szCs w:val="22"/>
        </w:rPr>
        <w:t>Ley Reguladora del Mercado de Valores</w:t>
      </w:r>
      <w:r w:rsidRPr="00CB6FBF">
        <w:rPr>
          <w:sz w:val="22"/>
          <w:szCs w:val="22"/>
        </w:rPr>
        <w:t>, Ley 7732, y sus reformas, según se consigna en</w:t>
      </w:r>
      <w:r w:rsidRPr="00CB6FBF">
        <w:rPr>
          <w:color w:val="000000"/>
          <w:sz w:val="22"/>
          <w:szCs w:val="22"/>
        </w:rPr>
        <w:t xml:space="preserve"> los artículos 9 y 6 de las actas de las sesiones 1187-2015 y 1188-2015, del 3 de agosto del 2015, y modificados estos últimos según lo resuelto en las sesiones 1189-2015 y 1190-2015, artículos 10 y 12, respectivamente, del 10 y 17 de agosto  del 2015, en su orden, </w:t>
      </w:r>
      <w:r w:rsidRPr="00CB6FBF">
        <w:rPr>
          <w:sz w:val="22"/>
          <w:szCs w:val="22"/>
        </w:rPr>
        <w:t xml:space="preserve">el Consejo Nacional de Supervisión del Sistema Financiero solicitó al Banco Central de Costa Rica la aprobación de una transferencia por </w:t>
      </w:r>
      <w:r w:rsidRPr="00CB6FBF">
        <w:rPr>
          <w:color w:val="000000"/>
          <w:sz w:val="22"/>
          <w:szCs w:val="22"/>
        </w:rPr>
        <w:t>¢28.712.396.742,00, para efectos del financiamiento de los presupuestos ordinarios de los órganos desconcentrados y del CONASSIF, correspondientes al 2016</w:t>
      </w:r>
      <w:r w:rsidRPr="00CB6FBF">
        <w:rPr>
          <w:sz w:val="22"/>
          <w:szCs w:val="22"/>
        </w:rPr>
        <w:t>.</w:t>
      </w:r>
    </w:p>
    <w:p w14:paraId="0B45956E" w14:textId="77777777" w:rsidR="00BD0A8F" w:rsidRPr="00CB6FBF" w:rsidRDefault="00BD0A8F" w:rsidP="00BD0A8F">
      <w:pPr>
        <w:jc w:val="both"/>
        <w:rPr>
          <w:sz w:val="22"/>
          <w:szCs w:val="22"/>
        </w:rPr>
      </w:pPr>
    </w:p>
    <w:p w14:paraId="07825696" w14:textId="77777777" w:rsidR="00BD0A8F" w:rsidRPr="00CB6FBF" w:rsidRDefault="00BD0A8F" w:rsidP="00BD0A8F">
      <w:pPr>
        <w:ind w:left="567" w:hanging="567"/>
        <w:jc w:val="both"/>
        <w:rPr>
          <w:sz w:val="22"/>
          <w:szCs w:val="22"/>
        </w:rPr>
      </w:pPr>
      <w:r w:rsidRPr="00CB6FBF">
        <w:rPr>
          <w:sz w:val="22"/>
          <w:szCs w:val="22"/>
        </w:rPr>
        <w:t xml:space="preserve">b.- </w:t>
      </w:r>
      <w:r w:rsidRPr="00CB6FBF">
        <w:rPr>
          <w:sz w:val="22"/>
          <w:szCs w:val="22"/>
        </w:rPr>
        <w:tab/>
        <w:t xml:space="preserve">La Junta Directiva del Banco Central de Costa Rica, según se consigna en </w:t>
      </w:r>
      <w:r>
        <w:rPr>
          <w:sz w:val="22"/>
          <w:szCs w:val="22"/>
        </w:rPr>
        <w:t xml:space="preserve">el </w:t>
      </w:r>
      <w:r w:rsidRPr="00CB6FBF">
        <w:rPr>
          <w:sz w:val="22"/>
          <w:szCs w:val="22"/>
        </w:rPr>
        <w:t xml:space="preserve">inciso II, artículo 6, del acta de la sesión 5700-2015, celebrada el 16 de setiembre del 2015, de conformidad con lo establecido en el artículo 171 de la susodicha Ley 7732, aprobó la transferencia por </w:t>
      </w:r>
      <w:r w:rsidRPr="00CB6FBF">
        <w:rPr>
          <w:color w:val="000000"/>
          <w:sz w:val="22"/>
          <w:szCs w:val="22"/>
        </w:rPr>
        <w:t>¢28.712.396.742,00</w:t>
      </w:r>
      <w:r w:rsidRPr="00CB6FBF">
        <w:rPr>
          <w:sz w:val="22"/>
          <w:szCs w:val="22"/>
        </w:rPr>
        <w:t>, como límite global, con base en la cual se financiará el Presupuesto Ordinario del Consejo Nacional de Supervisión del Sistema Financiero y las Superintendencias, para el 2016.</w:t>
      </w:r>
    </w:p>
    <w:p w14:paraId="2E405FC2" w14:textId="77777777" w:rsidR="00BD0A8F" w:rsidRPr="00CB6FBF" w:rsidRDefault="00BD0A8F" w:rsidP="00BD0A8F">
      <w:pPr>
        <w:jc w:val="both"/>
        <w:rPr>
          <w:sz w:val="22"/>
          <w:szCs w:val="22"/>
        </w:rPr>
      </w:pPr>
    </w:p>
    <w:p w14:paraId="76A64FD8" w14:textId="77777777" w:rsidR="00BD0A8F" w:rsidRPr="00CB6FBF" w:rsidRDefault="00BD0A8F" w:rsidP="00BD0A8F">
      <w:pPr>
        <w:ind w:left="567" w:hanging="567"/>
        <w:jc w:val="both"/>
        <w:rPr>
          <w:sz w:val="22"/>
          <w:szCs w:val="22"/>
        </w:rPr>
      </w:pPr>
      <w:r w:rsidRPr="00CB6FBF">
        <w:rPr>
          <w:sz w:val="22"/>
          <w:szCs w:val="22"/>
        </w:rPr>
        <w:t xml:space="preserve">c.- </w:t>
      </w:r>
      <w:r w:rsidRPr="00CB6FBF">
        <w:rPr>
          <w:sz w:val="22"/>
          <w:szCs w:val="22"/>
        </w:rPr>
        <w:tab/>
        <w:t>La Superintendencia de Pensiones, en su informe del Plan Operativo Institucional, del Plan Estratégico 2016-2020 y del Presupuesto para el 2016, adjunto al oficio SP 1011-2015, del 14 de setiembre del 2015, indica que su Presupuesto de Ingresos y Egresos para el 2016 asciende a ¢5.197.891.979,34.</w:t>
      </w:r>
    </w:p>
    <w:p w14:paraId="6551FE6A" w14:textId="77777777" w:rsidR="00BD0A8F" w:rsidRPr="00CB6FBF" w:rsidRDefault="00BD0A8F" w:rsidP="00BD0A8F">
      <w:pPr>
        <w:jc w:val="both"/>
        <w:rPr>
          <w:sz w:val="22"/>
          <w:szCs w:val="22"/>
        </w:rPr>
      </w:pPr>
    </w:p>
    <w:p w14:paraId="159A068C" w14:textId="77777777" w:rsidR="00BD0A8F" w:rsidRPr="00CB6FBF" w:rsidRDefault="00BD0A8F" w:rsidP="00BD0A8F">
      <w:pPr>
        <w:jc w:val="both"/>
        <w:rPr>
          <w:b/>
          <w:sz w:val="22"/>
          <w:szCs w:val="22"/>
        </w:rPr>
      </w:pPr>
      <w:r w:rsidRPr="00CB6FBF">
        <w:rPr>
          <w:b/>
          <w:sz w:val="22"/>
          <w:szCs w:val="22"/>
        </w:rPr>
        <w:t>dispuso, por mayoría y en firme:</w:t>
      </w:r>
    </w:p>
    <w:p w14:paraId="50F9DAC3" w14:textId="77777777" w:rsidR="00BD0A8F" w:rsidRPr="00CB6FBF" w:rsidRDefault="00BD0A8F" w:rsidP="00BD0A8F">
      <w:pPr>
        <w:jc w:val="both"/>
        <w:rPr>
          <w:sz w:val="22"/>
          <w:szCs w:val="22"/>
        </w:rPr>
      </w:pPr>
    </w:p>
    <w:p w14:paraId="1C4A43A2" w14:textId="77777777" w:rsidR="00BD0A8F" w:rsidRPr="00CB6FBF" w:rsidRDefault="00BD0A8F" w:rsidP="00BD0A8F">
      <w:pPr>
        <w:jc w:val="both"/>
        <w:rPr>
          <w:sz w:val="22"/>
          <w:szCs w:val="22"/>
        </w:rPr>
      </w:pPr>
      <w:r w:rsidRPr="00CB6FBF">
        <w:rPr>
          <w:sz w:val="22"/>
          <w:szCs w:val="22"/>
        </w:rPr>
        <w:t>aprobar, conforme a la documentación conocida en esta ocasión, el Plan Operativo Institucional, el Plan Estratégico 2016-2020 y el Presupuesto para el 2016, adjunto al oficio SP 1011-2015, del 14 de setiembre del 2015, de la Superintendencia de Pensiones, por un monto de ¢5.197.891.979,34, el cual será financiado con la transferencia aprobada para tales fines por la Junta Directiva del Banco Central de Costa Rica, según se consigna en el artículo 6, del acta de la sesión 5700-2015, del 16 de setiembre del 2015.</w:t>
      </w:r>
    </w:p>
    <w:p w14:paraId="68115AB1" w14:textId="77777777" w:rsidR="00BD0A8F" w:rsidRPr="00CB6FBF" w:rsidRDefault="00BD0A8F" w:rsidP="00BD0A8F">
      <w:pPr>
        <w:jc w:val="both"/>
        <w:rPr>
          <w:sz w:val="22"/>
          <w:szCs w:val="22"/>
        </w:rPr>
      </w:pPr>
    </w:p>
    <w:p w14:paraId="7CD12505" w14:textId="77777777" w:rsidR="00BD0A8F" w:rsidRPr="00CB6FBF" w:rsidRDefault="00BD0A8F" w:rsidP="00BD0A8F">
      <w:pPr>
        <w:jc w:val="both"/>
        <w:rPr>
          <w:sz w:val="22"/>
          <w:szCs w:val="22"/>
        </w:rPr>
      </w:pPr>
      <w:r w:rsidRPr="00CB6FBF">
        <w:rPr>
          <w:sz w:val="22"/>
          <w:szCs w:val="22"/>
        </w:rPr>
        <w:t xml:space="preserve">El 20% del presupuesto efectivo que aportarán los órganos supervisados de la Superintendencia de Pensiones, será reembolsado al Banco Central de Costa Rica para compensar, en lo que corresponda, la transferencia incluida en el Presupuesto Ordinario del Banco Central de Costa Rica para el 2016 para financiar los presupuestos ordinarios del CONASSIF y la SUPEN, a la luz de lo establecido en el Reglamento para regular la participación de los sujetos fiscalizados y del Banco Central en el financiamiento del Presupuesto de las Superintendencias, publicado en el diario oficial </w:t>
      </w:r>
      <w:r w:rsidRPr="00CB6FBF">
        <w:rPr>
          <w:i/>
          <w:sz w:val="22"/>
          <w:szCs w:val="22"/>
        </w:rPr>
        <w:t>La Gaceta</w:t>
      </w:r>
      <w:r w:rsidRPr="00CB6FBF">
        <w:rPr>
          <w:sz w:val="22"/>
          <w:szCs w:val="22"/>
        </w:rPr>
        <w:t xml:space="preserve"> 79, del 25 de abril del 2014.</w:t>
      </w:r>
    </w:p>
    <w:p w14:paraId="7E862028" w14:textId="77777777" w:rsidR="00BD0A8F" w:rsidRPr="00CB6FBF" w:rsidRDefault="00BD0A8F" w:rsidP="00BD0A8F">
      <w:pPr>
        <w:jc w:val="both"/>
        <w:rPr>
          <w:sz w:val="22"/>
          <w:szCs w:val="22"/>
        </w:rPr>
      </w:pPr>
    </w:p>
    <w:p w14:paraId="7A8C9BBC" w14:textId="77777777" w:rsidR="00BD0A8F" w:rsidRPr="00CB6FBF" w:rsidRDefault="00BD0A8F" w:rsidP="00BD0A8F">
      <w:pPr>
        <w:widowControl w:val="0"/>
        <w:jc w:val="both"/>
        <w:rPr>
          <w:sz w:val="22"/>
          <w:szCs w:val="22"/>
        </w:rPr>
      </w:pPr>
      <w:r w:rsidRPr="00CB6FBF">
        <w:rPr>
          <w:sz w:val="22"/>
          <w:szCs w:val="22"/>
        </w:rPr>
        <w:t>Queda entendido que la Superintendencia de Pensiones remitirá a la Contraloría General de la República el Plan Operativo Institucional y el Presupuesto para el 2016, para los fines pertinentes.</w:t>
      </w:r>
    </w:p>
    <w:p w14:paraId="7F3F6937" w14:textId="77777777" w:rsidR="00BD0A8F" w:rsidRPr="00CB6FBF" w:rsidRDefault="00BD0A8F" w:rsidP="00BD0A8F">
      <w:pPr>
        <w:widowControl w:val="0"/>
        <w:jc w:val="both"/>
        <w:rPr>
          <w:sz w:val="22"/>
          <w:szCs w:val="22"/>
        </w:rPr>
      </w:pPr>
    </w:p>
    <w:p w14:paraId="3EB44ECD" w14:textId="77777777" w:rsidR="00BD0A8F" w:rsidRPr="00CB6FBF" w:rsidRDefault="00BD0A8F" w:rsidP="00BD0A8F">
      <w:pPr>
        <w:widowControl w:val="0"/>
        <w:jc w:val="both"/>
        <w:rPr>
          <w:sz w:val="22"/>
          <w:szCs w:val="22"/>
        </w:rPr>
      </w:pPr>
      <w:r w:rsidRPr="00CB6FBF">
        <w:rPr>
          <w:sz w:val="22"/>
          <w:szCs w:val="22"/>
        </w:rPr>
        <w:t>Atentamente,</w:t>
      </w:r>
    </w:p>
    <w:p w14:paraId="263FF700" w14:textId="77777777" w:rsidR="00BD0A8F" w:rsidRPr="00CB6FBF" w:rsidRDefault="00BD0A8F" w:rsidP="00BD0A8F">
      <w:pPr>
        <w:widowControl w:val="0"/>
        <w:jc w:val="both"/>
        <w:rPr>
          <w:sz w:val="22"/>
          <w:szCs w:val="22"/>
        </w:rPr>
      </w:pPr>
    </w:p>
    <w:p w14:paraId="7EF37D62" w14:textId="77777777" w:rsidR="00BD0A8F" w:rsidRPr="00CB6FBF" w:rsidRDefault="00BD0A8F" w:rsidP="00BD0A8F">
      <w:pPr>
        <w:widowControl w:val="0"/>
        <w:jc w:val="both"/>
        <w:rPr>
          <w:sz w:val="22"/>
          <w:szCs w:val="22"/>
        </w:rPr>
      </w:pPr>
      <w:r w:rsidRPr="00CB6FBF">
        <w:rPr>
          <w:noProof/>
          <w:sz w:val="22"/>
          <w:szCs w:val="22"/>
        </w:rPr>
        <w:drawing>
          <wp:anchor distT="0" distB="0" distL="114300" distR="114300" simplePos="0" relativeHeight="251737088" behindDoc="1" locked="0" layoutInCell="1" allowOverlap="1" wp14:anchorId="0591268A" wp14:editId="2C802844">
            <wp:simplePos x="0" y="0"/>
            <wp:positionH relativeFrom="column">
              <wp:posOffset>-162560</wp:posOffset>
            </wp:positionH>
            <wp:positionV relativeFrom="paragraph">
              <wp:posOffset>1905</wp:posOffset>
            </wp:positionV>
            <wp:extent cx="2553970" cy="396240"/>
            <wp:effectExtent l="0" t="0" r="0" b="3810"/>
            <wp:wrapTight wrapText="bothSides">
              <wp:wrapPolygon edited="0">
                <wp:start x="0" y="0"/>
                <wp:lineTo x="0" y="20769"/>
                <wp:lineTo x="21428" y="20769"/>
                <wp:lineTo x="21428" y="0"/>
                <wp:lineTo x="0" y="0"/>
              </wp:wrapPolygon>
            </wp:wrapTight>
            <wp:docPr id="80453" name="Imagen 80453" descr="F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di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553970" cy="396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1E1641" w14:textId="77777777" w:rsidR="00BD0A8F" w:rsidRPr="00CB6FBF" w:rsidRDefault="00BD0A8F" w:rsidP="00BD0A8F">
      <w:pPr>
        <w:widowControl w:val="0"/>
        <w:jc w:val="both"/>
        <w:rPr>
          <w:sz w:val="22"/>
          <w:szCs w:val="22"/>
        </w:rPr>
      </w:pPr>
    </w:p>
    <w:p w14:paraId="4348ACFB" w14:textId="77777777" w:rsidR="00BD0A8F" w:rsidRPr="00CB6FBF" w:rsidRDefault="00BD0A8F" w:rsidP="00BD0A8F">
      <w:pPr>
        <w:widowControl w:val="0"/>
        <w:jc w:val="both"/>
        <w:rPr>
          <w:sz w:val="22"/>
          <w:szCs w:val="22"/>
        </w:rPr>
      </w:pPr>
    </w:p>
    <w:p w14:paraId="5620EC34" w14:textId="77777777" w:rsidR="00BD0A8F" w:rsidRPr="00CB6FBF" w:rsidRDefault="00BD0A8F" w:rsidP="00BD0A8F">
      <w:pPr>
        <w:widowControl w:val="0"/>
        <w:rPr>
          <w:sz w:val="22"/>
          <w:szCs w:val="22"/>
        </w:rPr>
      </w:pPr>
      <w:r w:rsidRPr="00CB6FBF">
        <w:rPr>
          <w:sz w:val="22"/>
          <w:szCs w:val="22"/>
        </w:rPr>
        <w:t>Jorge Monge Bonilla</w:t>
      </w:r>
    </w:p>
    <w:p w14:paraId="48126A9F" w14:textId="77777777" w:rsidR="00BD0A8F" w:rsidRPr="00CB6FBF" w:rsidRDefault="00BD0A8F" w:rsidP="00BD0A8F">
      <w:pPr>
        <w:widowControl w:val="0"/>
        <w:rPr>
          <w:i/>
          <w:sz w:val="22"/>
          <w:szCs w:val="22"/>
        </w:rPr>
      </w:pPr>
      <w:r w:rsidRPr="00CB6FBF">
        <w:rPr>
          <w:i/>
          <w:sz w:val="22"/>
          <w:szCs w:val="22"/>
        </w:rPr>
        <w:t>Secretario del Consejo</w:t>
      </w:r>
    </w:p>
    <w:p w14:paraId="7AEDCC27" w14:textId="4B2759FA" w:rsidR="00DC377B" w:rsidRPr="00BD0A8F" w:rsidRDefault="00DC377B" w:rsidP="004A2776">
      <w:pPr>
        <w:rPr>
          <w:vanish/>
          <w:lang w:eastAsia="es-ES_tradnl"/>
        </w:rPr>
      </w:pPr>
    </w:p>
    <w:sectPr w:rsidR="00DC377B" w:rsidRPr="00BD0A8F" w:rsidSect="00BD3052">
      <w:headerReference w:type="default" r:id="rId101"/>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089334" w14:textId="77777777" w:rsidR="00516453" w:rsidRDefault="00516453">
      <w:r>
        <w:separator/>
      </w:r>
    </w:p>
  </w:endnote>
  <w:endnote w:type="continuationSeparator" w:id="0">
    <w:p w14:paraId="0195DBD7" w14:textId="77777777" w:rsidR="00516453" w:rsidRDefault="00516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94EB6" w14:textId="77777777" w:rsidR="00157B1A" w:rsidRDefault="00157B1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6A94EB7" w14:textId="77777777" w:rsidR="00157B1A" w:rsidRDefault="00157B1A">
    <w:pPr>
      <w:pStyle w:val="Piedepgina"/>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C0681" w14:textId="77777777" w:rsidR="00157B1A" w:rsidRDefault="00157B1A" w:rsidP="00813AC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63BF9">
      <w:rPr>
        <w:rStyle w:val="Nmerodepgina"/>
        <w:noProof/>
      </w:rPr>
      <w:t>130</w:t>
    </w:r>
    <w:r>
      <w:rPr>
        <w:rStyle w:val="Nmerodepgina"/>
      </w:rPr>
      <w:fldChar w:fldCharType="end"/>
    </w:r>
  </w:p>
  <w:p w14:paraId="0AA23F69" w14:textId="77777777" w:rsidR="00157B1A" w:rsidRDefault="00157B1A" w:rsidP="00813AC2">
    <w:pPr>
      <w:pStyle w:val="Piedepgina"/>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2AC43" w14:textId="77777777" w:rsidR="00157B1A" w:rsidRDefault="00157B1A" w:rsidP="00912D0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8A74CB3" w14:textId="77777777" w:rsidR="00157B1A" w:rsidRDefault="00157B1A" w:rsidP="00912D0F">
    <w:pPr>
      <w:pStyle w:val="Piedepgina"/>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F7B6A" w14:textId="77777777" w:rsidR="00157B1A" w:rsidRDefault="00157B1A" w:rsidP="00912D0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63BF9">
      <w:rPr>
        <w:rStyle w:val="Nmerodepgina"/>
        <w:noProof/>
      </w:rPr>
      <w:t>137</w:t>
    </w:r>
    <w:r>
      <w:rPr>
        <w:rStyle w:val="Nmerodepgina"/>
      </w:rPr>
      <w:fldChar w:fldCharType="end"/>
    </w:r>
  </w:p>
  <w:p w14:paraId="78FE97C7" w14:textId="77777777" w:rsidR="00157B1A" w:rsidRDefault="00157B1A" w:rsidP="00912D0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94EB8" w14:textId="77777777" w:rsidR="00157B1A" w:rsidRDefault="00157B1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F6C16">
      <w:rPr>
        <w:rStyle w:val="Nmerodepgina"/>
        <w:noProof/>
      </w:rPr>
      <w:t>ii</w:t>
    </w:r>
    <w:r>
      <w:rPr>
        <w:rStyle w:val="Nmerodepgina"/>
      </w:rPr>
      <w:fldChar w:fldCharType="end"/>
    </w:r>
  </w:p>
  <w:p w14:paraId="06A94EB9" w14:textId="77777777" w:rsidR="00157B1A" w:rsidRDefault="00157B1A">
    <w:pPr>
      <w:pStyle w:val="Piedepgina"/>
      <w:pBdr>
        <w:bottom w:val="single" w:sz="4" w:space="1" w:color="auto"/>
      </w:pBd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7956"/>
      <w:gridCol w:w="884"/>
    </w:tblGrid>
    <w:tr w:rsidR="00157B1A" w14:paraId="2CA5E15F" w14:textId="77777777" w:rsidTr="00D45411">
      <w:tc>
        <w:tcPr>
          <w:tcW w:w="4500" w:type="pct"/>
          <w:tcBorders>
            <w:top w:val="single" w:sz="4" w:space="0" w:color="000000"/>
          </w:tcBorders>
        </w:tcPr>
        <w:p w14:paraId="63E65A4B" w14:textId="7179363E" w:rsidR="00157B1A" w:rsidRDefault="00157B1A" w:rsidP="004250DC">
          <w:pPr>
            <w:pStyle w:val="Piedepgina"/>
            <w:jc w:val="right"/>
          </w:pPr>
        </w:p>
      </w:tc>
      <w:tc>
        <w:tcPr>
          <w:tcW w:w="500" w:type="pct"/>
          <w:tcBorders>
            <w:top w:val="single" w:sz="4" w:space="0" w:color="C0504D"/>
          </w:tcBorders>
          <w:shd w:val="clear" w:color="auto" w:fill="B8CCE4"/>
        </w:tcPr>
        <w:p w14:paraId="1722C9D6" w14:textId="6665FBC9" w:rsidR="00157B1A" w:rsidRPr="00253B98" w:rsidRDefault="00157B1A" w:rsidP="00D45411">
          <w:pPr>
            <w:pStyle w:val="Encabezado"/>
            <w:jc w:val="center"/>
            <w:rPr>
              <w:b/>
              <w:color w:val="000000"/>
            </w:rPr>
          </w:pPr>
        </w:p>
      </w:tc>
    </w:tr>
  </w:tbl>
  <w:p w14:paraId="06A94EBC" w14:textId="77777777" w:rsidR="00157B1A" w:rsidRDefault="00157B1A">
    <w:pPr>
      <w:pStyle w:val="Piedepgina"/>
      <w:pBdr>
        <w:bottom w:val="single" w:sz="4" w:space="1" w:color="auto"/>
      </w:pBd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94EBD" w14:textId="77777777" w:rsidR="00157B1A" w:rsidRDefault="00157B1A" w:rsidP="00EC1B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6A94EBE" w14:textId="77777777" w:rsidR="00157B1A" w:rsidRDefault="00157B1A" w:rsidP="0030723E">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94EBF" w14:textId="77777777" w:rsidR="00157B1A" w:rsidRDefault="00157B1A" w:rsidP="00EC1B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63BF9">
      <w:rPr>
        <w:rStyle w:val="Nmerodepgina"/>
        <w:noProof/>
      </w:rPr>
      <w:t>2</w:t>
    </w:r>
    <w:r>
      <w:rPr>
        <w:rStyle w:val="Nmerodepgina"/>
      </w:rPr>
      <w:fldChar w:fldCharType="end"/>
    </w:r>
  </w:p>
  <w:p w14:paraId="06A94EC0" w14:textId="77777777" w:rsidR="00157B1A" w:rsidRDefault="00157B1A" w:rsidP="00501112">
    <w:pPr>
      <w:pStyle w:val="Piedepgina"/>
      <w:pBdr>
        <w:bottom w:val="dotted" w:sz="4" w:space="1" w:color="auto"/>
      </w:pBdr>
      <w:tabs>
        <w:tab w:val="clear" w:pos="8504"/>
        <w:tab w:val="right" w:pos="9360"/>
      </w:tabs>
      <w:ind w:right="-1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3FECC" w14:textId="77777777" w:rsidR="00157B1A" w:rsidRDefault="00157B1A" w:rsidP="002C488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742C6B4" w14:textId="77777777" w:rsidR="00157B1A" w:rsidRDefault="00157B1A" w:rsidP="002C4881">
    <w:pPr>
      <w:pStyle w:val="Piedepgina"/>
      <w:ind w:right="360"/>
    </w:pPr>
  </w:p>
  <w:p w14:paraId="75E121DA" w14:textId="77777777" w:rsidR="00157B1A" w:rsidRDefault="00157B1A"/>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03F61" w14:textId="77777777" w:rsidR="00157B1A" w:rsidRDefault="00157B1A" w:rsidP="002C488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63BF9">
      <w:rPr>
        <w:rStyle w:val="Nmerodepgina"/>
        <w:noProof/>
      </w:rPr>
      <w:t>109</w:t>
    </w:r>
    <w:r>
      <w:rPr>
        <w:rStyle w:val="Nmerodepgina"/>
      </w:rPr>
      <w:fldChar w:fldCharType="end"/>
    </w:r>
  </w:p>
  <w:p w14:paraId="165C5584" w14:textId="77777777" w:rsidR="00157B1A" w:rsidRDefault="00157B1A" w:rsidP="002C4881">
    <w:pPr>
      <w:pStyle w:val="Piedepgina"/>
      <w:ind w:right="360"/>
    </w:pPr>
  </w:p>
  <w:p w14:paraId="3EDD169A" w14:textId="77777777" w:rsidR="00157B1A" w:rsidRDefault="00157B1A"/>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7865416"/>
      <w:docPartObj>
        <w:docPartGallery w:val="Page Numbers (Bottom of Page)"/>
        <w:docPartUnique/>
      </w:docPartObj>
    </w:sdtPr>
    <w:sdtEndPr/>
    <w:sdtContent>
      <w:p w14:paraId="38AB1340" w14:textId="3D2B74FD" w:rsidR="00157B1A" w:rsidRDefault="00157B1A">
        <w:pPr>
          <w:pStyle w:val="Piedepgina"/>
          <w:jc w:val="right"/>
        </w:pPr>
        <w:r>
          <w:fldChar w:fldCharType="begin"/>
        </w:r>
        <w:r>
          <w:instrText>PAGE   \* MERGEFORMAT</w:instrText>
        </w:r>
        <w:r>
          <w:fldChar w:fldCharType="separate"/>
        </w:r>
        <w:r w:rsidR="00863BF9">
          <w:rPr>
            <w:noProof/>
          </w:rPr>
          <w:t>121</w:t>
        </w:r>
        <w:r>
          <w:fldChar w:fldCharType="end"/>
        </w:r>
      </w:p>
    </w:sdtContent>
  </w:sdt>
  <w:p w14:paraId="56EE4134" w14:textId="21C220E3" w:rsidR="00157B1A" w:rsidRDefault="00157B1A">
    <w:pPr>
      <w:pStyle w:val="Piedepgin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44374" w14:textId="77777777" w:rsidR="00157B1A" w:rsidRDefault="00157B1A" w:rsidP="00813AC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B2C801A" w14:textId="77777777" w:rsidR="00157B1A" w:rsidRDefault="00157B1A" w:rsidP="00813AC2">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9B3616" w14:textId="77777777" w:rsidR="00516453" w:rsidRDefault="00516453">
      <w:r>
        <w:separator/>
      </w:r>
    </w:p>
  </w:footnote>
  <w:footnote w:type="continuationSeparator" w:id="0">
    <w:p w14:paraId="74669507" w14:textId="77777777" w:rsidR="00516453" w:rsidRDefault="00516453">
      <w:r>
        <w:continuationSeparator/>
      </w:r>
    </w:p>
  </w:footnote>
  <w:footnote w:id="1">
    <w:p w14:paraId="5B2FC325" w14:textId="77777777" w:rsidR="00157B1A" w:rsidRPr="00851AC7" w:rsidRDefault="00157B1A" w:rsidP="00036346">
      <w:pPr>
        <w:pStyle w:val="Textonotapie"/>
        <w:rPr>
          <w:lang w:val="es-CR"/>
        </w:rPr>
      </w:pPr>
      <w:r>
        <w:rPr>
          <w:rStyle w:val="Refdenotaalpie"/>
        </w:rPr>
        <w:footnoteRef/>
      </w:r>
      <w:r>
        <w:t xml:space="preserve"> </w:t>
      </w:r>
      <w:r>
        <w:rPr>
          <w:lang w:val="es-CR"/>
        </w:rPr>
        <w:t>Estimado por SUPEN con los datos trimestrales y anuales del PIB publicados en la página web del BCCR.</w:t>
      </w:r>
    </w:p>
  </w:footnote>
  <w:footnote w:id="2">
    <w:p w14:paraId="61BA72C0" w14:textId="77777777" w:rsidR="00157B1A" w:rsidRPr="00BD0CE1" w:rsidRDefault="00157B1A" w:rsidP="00F90786">
      <w:pPr>
        <w:pStyle w:val="Textonotapie"/>
        <w:jc w:val="both"/>
        <w:rPr>
          <w:lang w:val="es-CR"/>
        </w:rPr>
      </w:pPr>
      <w:r>
        <w:rPr>
          <w:rStyle w:val="Refdenotaalpie"/>
        </w:rPr>
        <w:footnoteRef/>
      </w:r>
      <w:r>
        <w:t xml:space="preserve"> </w:t>
      </w:r>
      <w:r w:rsidRPr="00BD0CE1">
        <w:t>En revisión del Plan Estratégico del 20 de marzo del 2015 se aprobó cambiar la fecha de finalización de este proyecto para diciembre de 2016.</w:t>
      </w:r>
    </w:p>
  </w:footnote>
  <w:footnote w:id="3">
    <w:p w14:paraId="01895B98" w14:textId="5EEE6BFD" w:rsidR="00157B1A" w:rsidRPr="00C61F1B" w:rsidRDefault="00157B1A" w:rsidP="009A4853">
      <w:pPr>
        <w:pStyle w:val="Textonotapie"/>
        <w:jc w:val="both"/>
        <w:rPr>
          <w:lang w:val="es-CR"/>
        </w:rPr>
      </w:pPr>
      <w:r>
        <w:rPr>
          <w:rStyle w:val="Refdenotaalpie"/>
        </w:rPr>
        <w:footnoteRef/>
      </w:r>
      <w:r>
        <w:t xml:space="preserve"> </w:t>
      </w:r>
      <w:r>
        <w:rPr>
          <w:lang w:val="es-CR"/>
        </w:rPr>
        <w:t>Revisión por la Dirección, ejercicio requerido por el Sistema de Gestión de Calidad para seguimiento de operaciones en la SUPEN</w:t>
      </w:r>
    </w:p>
  </w:footnote>
  <w:footnote w:id="4">
    <w:p w14:paraId="2964556F" w14:textId="77777777" w:rsidR="00157B1A" w:rsidRPr="0041643D" w:rsidRDefault="00157B1A" w:rsidP="0041643D">
      <w:pPr>
        <w:pStyle w:val="Textonotapie"/>
        <w:jc w:val="both"/>
        <w:rPr>
          <w:sz w:val="18"/>
          <w:szCs w:val="18"/>
        </w:rPr>
      </w:pPr>
      <w:r w:rsidRPr="0041643D">
        <w:rPr>
          <w:rStyle w:val="Refdenotaalpie"/>
          <w:sz w:val="18"/>
          <w:szCs w:val="18"/>
        </w:rPr>
        <w:footnoteRef/>
      </w:r>
      <w:r w:rsidRPr="0041643D">
        <w:rPr>
          <w:sz w:val="18"/>
          <w:szCs w:val="18"/>
        </w:rPr>
        <w:t xml:space="preserve"> Edificio principal del BCCR, NAP de las Américas, Parque empresarial </w:t>
      </w:r>
      <w:proofErr w:type="spellStart"/>
      <w:r w:rsidRPr="0041643D">
        <w:rPr>
          <w:sz w:val="18"/>
          <w:szCs w:val="18"/>
        </w:rPr>
        <w:t>Forum</w:t>
      </w:r>
      <w:proofErr w:type="spellEnd"/>
      <w:r w:rsidRPr="0041643D">
        <w:rPr>
          <w:sz w:val="18"/>
          <w:szCs w:val="18"/>
        </w:rPr>
        <w:t xml:space="preserve"> II (SUGEF), Torre Equus (SUPEN y SUGEVAL) y Edificio </w:t>
      </w:r>
      <w:proofErr w:type="spellStart"/>
      <w:r w:rsidRPr="0041643D">
        <w:rPr>
          <w:sz w:val="18"/>
          <w:szCs w:val="18"/>
        </w:rPr>
        <w:t>Trifami</w:t>
      </w:r>
      <w:proofErr w:type="spellEnd"/>
      <w:r w:rsidRPr="0041643D">
        <w:rPr>
          <w:sz w:val="18"/>
          <w:szCs w:val="18"/>
        </w:rPr>
        <w:t>.</w:t>
      </w:r>
    </w:p>
  </w:footnote>
  <w:footnote w:id="5">
    <w:p w14:paraId="78803051" w14:textId="77777777" w:rsidR="00157B1A" w:rsidRPr="001F39F3" w:rsidRDefault="00157B1A" w:rsidP="00385A02">
      <w:pPr>
        <w:pStyle w:val="Textonotapie"/>
        <w:jc w:val="both"/>
        <w:rPr>
          <w:sz w:val="18"/>
          <w:szCs w:val="18"/>
          <w:lang w:val="es-CR"/>
        </w:rPr>
      </w:pPr>
      <w:r>
        <w:rPr>
          <w:rStyle w:val="Refdenotaalpie"/>
        </w:rPr>
        <w:footnoteRef/>
      </w:r>
      <w:r>
        <w:t xml:space="preserve"> </w:t>
      </w:r>
      <w:r w:rsidRPr="001F39F3">
        <w:rPr>
          <w:rFonts w:asciiTheme="majorHAnsi" w:hAnsiTheme="majorHAnsi"/>
          <w:sz w:val="18"/>
          <w:szCs w:val="18"/>
          <w:lang w:val="es-CR"/>
        </w:rPr>
        <w:t>Cabe aclarar que los aspectos referidos por tema, son únicamente una guía, es decir, la cantidad de funcionarios a capacitar por proceso sugeridos, puede variar según la oferta existente en el mercado, costo del evento de capacitación y/o la atención de otras prioridades institucionales.</w:t>
      </w:r>
    </w:p>
  </w:footnote>
  <w:footnote w:id="6">
    <w:p w14:paraId="547E8078" w14:textId="77777777" w:rsidR="00157B1A" w:rsidRPr="006D151D" w:rsidRDefault="00157B1A" w:rsidP="00A964FD">
      <w:pPr>
        <w:pStyle w:val="Textonotapie"/>
        <w:ind w:left="284" w:hanging="284"/>
        <w:rPr>
          <w:sz w:val="16"/>
        </w:rPr>
      </w:pPr>
      <w:r w:rsidRPr="006D151D">
        <w:rPr>
          <w:rStyle w:val="Refdenotaalpie"/>
          <w:b/>
        </w:rPr>
        <w:footnoteRef/>
      </w:r>
      <w:r>
        <w:tab/>
      </w:r>
      <w:r w:rsidRPr="006D151D">
        <w:rPr>
          <w:sz w:val="16"/>
        </w:rPr>
        <w:t>Según el Programa Macroeconómico 2015-2016, aprobado en el Artículo 4, de la Sesión 5677-2015, del 30 de enero del 2015, se mantiene la meta de inflación para el bienio 2015-2016 en 4% ±1 p.p.</w:t>
      </w:r>
    </w:p>
  </w:footnote>
  <w:footnote w:id="7">
    <w:p w14:paraId="3E2581B4" w14:textId="77777777" w:rsidR="00157B1A" w:rsidRPr="008713CB" w:rsidRDefault="00157B1A" w:rsidP="00902265">
      <w:pPr>
        <w:pStyle w:val="Textonotapie"/>
        <w:rPr>
          <w:rFonts w:ascii="Franklin Gothic Book" w:hAnsi="Franklin Gothic Book"/>
          <w:i/>
          <w:sz w:val="14"/>
        </w:rPr>
      </w:pPr>
      <w:r w:rsidRPr="008713CB">
        <w:rPr>
          <w:rStyle w:val="Refdenotaalpie"/>
          <w:i/>
          <w:sz w:val="12"/>
        </w:rPr>
        <w:footnoteRef/>
      </w:r>
      <w:r w:rsidRPr="008713CB">
        <w:rPr>
          <w:i/>
          <w:sz w:val="12"/>
        </w:rPr>
        <w:t xml:space="preserve"> </w:t>
      </w:r>
      <w:r w:rsidRPr="008713CB">
        <w:rPr>
          <w:rFonts w:ascii="Franklin Gothic Book" w:hAnsi="Franklin Gothic Book"/>
          <w:i/>
          <w:sz w:val="12"/>
        </w:rPr>
        <w:t>Según el Programa Macroeconómico 2015-2016, aprobado en el Artículo 4, de la Sesión 5677-2015, del 30 de enero del 2015, se mantiene la meta de inflación para el bienio 2015-2016 en 4% ±1 p.p.</w:t>
      </w:r>
    </w:p>
  </w:footnote>
  <w:footnote w:id="8">
    <w:p w14:paraId="2E8ABE58" w14:textId="77777777" w:rsidR="00157B1A" w:rsidRPr="009D3EED" w:rsidRDefault="00157B1A" w:rsidP="00E32F1D">
      <w:pPr>
        <w:pStyle w:val="Textonotapie"/>
      </w:pPr>
      <w:r>
        <w:rPr>
          <w:rStyle w:val="Refdenotaalpie"/>
        </w:rPr>
        <w:footnoteRef/>
      </w:r>
      <w:r>
        <w:t xml:space="preserve"> </w:t>
      </w:r>
      <w:r>
        <w:rPr>
          <w:rFonts w:cs="Arial"/>
          <w:bCs/>
          <w:lang w:val="es-ES_tradnl"/>
        </w:rPr>
        <w:t>Punto 2, inciso g.</w:t>
      </w:r>
    </w:p>
  </w:footnote>
  <w:footnote w:id="9">
    <w:p w14:paraId="1BB5070B" w14:textId="77777777" w:rsidR="00157B1A" w:rsidRPr="0087460C" w:rsidRDefault="00157B1A" w:rsidP="00E32F1D">
      <w:pPr>
        <w:pStyle w:val="Textonotapie"/>
        <w:ind w:left="284" w:hanging="284"/>
        <w:jc w:val="both"/>
        <w:rPr>
          <w:rFonts w:ascii="Arial" w:hAnsi="Arial"/>
          <w:sz w:val="18"/>
          <w:szCs w:val="18"/>
        </w:rPr>
      </w:pPr>
      <w:r>
        <w:rPr>
          <w:rStyle w:val="Refdenotaalpie"/>
        </w:rPr>
        <w:footnoteRef/>
      </w:r>
      <w:r>
        <w:rPr>
          <w:rFonts w:ascii="Arial" w:hAnsi="Arial"/>
          <w:sz w:val="16"/>
        </w:rPr>
        <w:t xml:space="preserve">   </w:t>
      </w:r>
      <w:r w:rsidRPr="0087460C">
        <w:rPr>
          <w:rFonts w:ascii="Arial" w:hAnsi="Arial"/>
          <w:sz w:val="18"/>
          <w:szCs w:val="18"/>
        </w:rPr>
        <w:t xml:space="preserve">Sin perjuicio de las responsabilidades que se puedan atribuir a los funcionarios que han incumplido sus deberes, según lo establece </w:t>
      </w:r>
      <w:smartTag w:uri="urn:schemas-microsoft-com:office:smarttags" w:element="PersonName">
        <w:smartTagPr>
          <w:attr w:name="ProductID" w:val="la Ley"/>
        </w:smartTagPr>
        <w:r w:rsidRPr="0087460C">
          <w:rPr>
            <w:rFonts w:ascii="Arial" w:hAnsi="Arial"/>
            <w:sz w:val="18"/>
            <w:szCs w:val="18"/>
          </w:rPr>
          <w:t>la Ley</w:t>
        </w:r>
      </w:smartTag>
      <w:r w:rsidRPr="0087460C">
        <w:rPr>
          <w:rFonts w:ascii="Arial" w:hAnsi="Arial"/>
          <w:sz w:val="18"/>
          <w:szCs w:val="18"/>
        </w:rPr>
        <w:t xml:space="preserve"> de Administración Financiera de </w:t>
      </w:r>
      <w:smartTag w:uri="urn:schemas-microsoft-com:office:smarttags" w:element="PersonName">
        <w:smartTagPr>
          <w:attr w:name="ProductID" w:val="la Rep￺blica"/>
        </w:smartTagPr>
        <w:r w:rsidRPr="0087460C">
          <w:rPr>
            <w:rFonts w:ascii="Arial" w:hAnsi="Arial"/>
            <w:sz w:val="18"/>
            <w:szCs w:val="18"/>
          </w:rPr>
          <w:t>la República</w:t>
        </w:r>
      </w:smartTag>
      <w:r w:rsidRPr="0087460C">
        <w:rPr>
          <w:rFonts w:ascii="Arial" w:hAnsi="Arial"/>
          <w:sz w:val="18"/>
          <w:szCs w:val="18"/>
        </w:rPr>
        <w:t xml:space="preserve"> y Presupuestos Públicos y </w:t>
      </w:r>
      <w:smartTag w:uri="urn:schemas-microsoft-com:office:smarttags" w:element="PersonName">
        <w:smartTagPr>
          <w:attr w:name="ProductID" w:val="la Ley General"/>
        </w:smartTagPr>
        <w:r w:rsidRPr="0087460C">
          <w:rPr>
            <w:rFonts w:ascii="Arial" w:hAnsi="Arial"/>
            <w:sz w:val="18"/>
            <w:szCs w:val="18"/>
          </w:rPr>
          <w:t>la Ley General</w:t>
        </w:r>
      </w:smartTag>
      <w:r w:rsidRPr="0087460C">
        <w:rPr>
          <w:rFonts w:ascii="Arial" w:hAnsi="Arial"/>
          <w:sz w:val="18"/>
          <w:szCs w:val="18"/>
        </w:rPr>
        <w:t xml:space="preserve"> de Control Interno. </w:t>
      </w:r>
    </w:p>
  </w:footnote>
  <w:footnote w:id="10">
    <w:p w14:paraId="0ADBF901" w14:textId="77777777" w:rsidR="00157B1A" w:rsidRPr="004433FE" w:rsidRDefault="00157B1A" w:rsidP="00E32F1D">
      <w:pPr>
        <w:pStyle w:val="Textonotapie"/>
        <w:ind w:left="284" w:hanging="284"/>
        <w:jc w:val="both"/>
        <w:rPr>
          <w:rFonts w:ascii="Arial" w:hAnsi="Arial" w:cs="Arial"/>
          <w:sz w:val="16"/>
        </w:rPr>
      </w:pPr>
      <w:r>
        <w:rPr>
          <w:rStyle w:val="Refdenotaalpie"/>
        </w:rPr>
        <w:footnoteRef/>
      </w:r>
      <w:r>
        <w:rPr>
          <w:rStyle w:val="Refdenotaalpie"/>
        </w:rPr>
        <w:t xml:space="preserve"> </w:t>
      </w:r>
      <w:r>
        <w:rPr>
          <w:rFonts w:ascii="Arial" w:hAnsi="Arial"/>
          <w:sz w:val="16"/>
        </w:rPr>
        <w:t xml:space="preserve">   </w:t>
      </w:r>
      <w:r w:rsidRPr="0087460C">
        <w:rPr>
          <w:rFonts w:ascii="Arial" w:hAnsi="Arial" w:cs="Arial"/>
          <w:sz w:val="18"/>
          <w:szCs w:val="18"/>
        </w:rPr>
        <w:t>Esta lista deberá ser completada con todos aquellos otros requisitos de orden legal específicos aplicables a la entidad u órgano</w:t>
      </w:r>
      <w:r>
        <w:rPr>
          <w:rFonts w:ascii="Arial" w:hAnsi="Arial" w:cs="Arial"/>
          <w:sz w:val="16"/>
        </w:rPr>
        <w:t>.</w:t>
      </w:r>
    </w:p>
  </w:footnote>
  <w:footnote w:id="11">
    <w:p w14:paraId="33EC6432" w14:textId="77777777" w:rsidR="00157B1A" w:rsidRPr="004A08DD" w:rsidRDefault="00157B1A" w:rsidP="00E32F1D">
      <w:pPr>
        <w:pStyle w:val="Textonotapie"/>
        <w:rPr>
          <w:rFonts w:ascii="Arial" w:hAnsi="Arial" w:cs="Arial"/>
          <w:color w:val="000080"/>
          <w:sz w:val="16"/>
        </w:rPr>
      </w:pPr>
      <w:r w:rsidRPr="004433FE">
        <w:rPr>
          <w:rStyle w:val="Refdenotaalpie"/>
        </w:rPr>
        <w:footnoteRef/>
      </w:r>
      <w:r w:rsidRPr="004433FE">
        <w:t xml:space="preserve">   </w:t>
      </w:r>
      <w:r w:rsidRPr="004433FE">
        <w:rPr>
          <w:rFonts w:ascii="Arial" w:hAnsi="Arial" w:cs="Arial"/>
          <w:sz w:val="18"/>
          <w:szCs w:val="18"/>
        </w:rPr>
        <w:t xml:space="preserve">Dicha certificación o arreglo de pago deberá </w:t>
      </w:r>
      <w:r>
        <w:rPr>
          <w:rFonts w:ascii="Arial" w:hAnsi="Arial" w:cs="Arial"/>
          <w:sz w:val="18"/>
          <w:szCs w:val="18"/>
        </w:rPr>
        <w:t xml:space="preserve">incluirse como un anexo </w:t>
      </w:r>
      <w:r w:rsidRPr="004433FE">
        <w:rPr>
          <w:rFonts w:ascii="Arial" w:hAnsi="Arial" w:cs="Arial"/>
          <w:sz w:val="18"/>
          <w:szCs w:val="18"/>
        </w:rPr>
        <w:t>al documento presupuestario</w:t>
      </w:r>
      <w:r>
        <w:rPr>
          <w:rFonts w:ascii="Arial" w:hAnsi="Arial" w:cs="Arial"/>
          <w:sz w:val="18"/>
          <w:szCs w:val="18"/>
        </w:rPr>
        <w:t xml:space="preserve"> en el espacio que el SIPP disponga para ello</w:t>
      </w:r>
      <w:r w:rsidRPr="004433FE">
        <w:rPr>
          <w:rFonts w:ascii="Arial" w:hAnsi="Arial" w:cs="Arial"/>
          <w:sz w:val="16"/>
        </w:rPr>
        <w:t>.</w:t>
      </w:r>
    </w:p>
  </w:footnote>
  <w:footnote w:id="12">
    <w:p w14:paraId="0ECC9AEC" w14:textId="77777777" w:rsidR="00157B1A" w:rsidRDefault="00157B1A" w:rsidP="00E32F1D">
      <w:pPr>
        <w:pStyle w:val="Textonotapie"/>
        <w:tabs>
          <w:tab w:val="left" w:pos="284"/>
        </w:tabs>
        <w:jc w:val="both"/>
        <w:rPr>
          <w:rFonts w:ascii="Arial" w:hAnsi="Arial" w:cs="Arial"/>
          <w:sz w:val="16"/>
        </w:rPr>
      </w:pPr>
      <w:r>
        <w:rPr>
          <w:rStyle w:val="Refdenotaalpie"/>
          <w:rFonts w:ascii="Arial" w:hAnsi="Arial"/>
        </w:rPr>
        <w:footnoteRef/>
      </w:r>
      <w:r>
        <w:rPr>
          <w:rFonts w:ascii="Arial" w:hAnsi="Arial"/>
          <w:sz w:val="16"/>
        </w:rPr>
        <w:t xml:space="preserve">    </w:t>
      </w:r>
      <w:r w:rsidRPr="0087460C">
        <w:rPr>
          <w:rFonts w:ascii="Arial" w:hAnsi="Arial" w:cs="Arial"/>
          <w:sz w:val="18"/>
          <w:szCs w:val="18"/>
        </w:rPr>
        <w:t xml:space="preserve">Ley Nº 17 del </w:t>
      </w:r>
      <w:smartTag w:uri="urn:schemas-microsoft-com:office:smarttags" w:element="date">
        <w:smartTagPr>
          <w:attr w:name="ls" w:val="trans"/>
          <w:attr w:name="Month" w:val="10"/>
          <w:attr w:name="Day" w:val="22"/>
          <w:attr w:name="Year" w:val="19"/>
        </w:smartTagPr>
        <w:r w:rsidRPr="0087460C">
          <w:rPr>
            <w:rFonts w:ascii="Arial" w:hAnsi="Arial" w:cs="Arial"/>
            <w:sz w:val="18"/>
            <w:szCs w:val="18"/>
          </w:rPr>
          <w:t>22 de octubre de 19</w:t>
        </w:r>
      </w:smartTag>
      <w:r w:rsidRPr="0087460C">
        <w:rPr>
          <w:rFonts w:ascii="Arial" w:hAnsi="Arial" w:cs="Arial"/>
          <w:sz w:val="18"/>
          <w:szCs w:val="18"/>
        </w:rPr>
        <w:t>43</w:t>
      </w:r>
      <w:r>
        <w:rPr>
          <w:rFonts w:ascii="Arial" w:hAnsi="Arial" w:cs="Arial"/>
          <w:sz w:val="16"/>
        </w:rPr>
        <w:t>.</w:t>
      </w:r>
    </w:p>
  </w:footnote>
  <w:footnote w:id="13">
    <w:p w14:paraId="5A601185" w14:textId="77777777" w:rsidR="00157B1A" w:rsidRDefault="00157B1A" w:rsidP="00E32F1D">
      <w:pPr>
        <w:pStyle w:val="Textonotapie"/>
        <w:tabs>
          <w:tab w:val="left" w:pos="284"/>
        </w:tabs>
        <w:jc w:val="both"/>
        <w:rPr>
          <w:rFonts w:ascii="Arial" w:hAnsi="Arial"/>
          <w:sz w:val="16"/>
        </w:rPr>
      </w:pPr>
      <w:r w:rsidRPr="007473BD">
        <w:rPr>
          <w:rStyle w:val="Refdenotaalpie"/>
        </w:rPr>
        <w:footnoteRef/>
      </w:r>
      <w:r>
        <w:rPr>
          <w:rFonts w:ascii="Arial" w:hAnsi="Arial"/>
          <w:sz w:val="16"/>
        </w:rPr>
        <w:t xml:space="preserve">    </w:t>
      </w:r>
      <w:r w:rsidRPr="0087460C">
        <w:rPr>
          <w:rFonts w:ascii="Arial" w:hAnsi="Arial"/>
          <w:sz w:val="18"/>
          <w:szCs w:val="18"/>
        </w:rPr>
        <w:t xml:space="preserve">Publicada en </w:t>
      </w:r>
      <w:smartTag w:uri="urn:schemas-microsoft-com:office:smarttags" w:element="PersonName">
        <w:smartTagPr>
          <w:attr w:name="ProductID" w:val="La Gaceta N"/>
        </w:smartTagPr>
        <w:r w:rsidRPr="0087460C">
          <w:rPr>
            <w:rFonts w:ascii="Arial" w:hAnsi="Arial"/>
            <w:sz w:val="18"/>
            <w:szCs w:val="18"/>
          </w:rPr>
          <w:t>La Gaceta N</w:t>
        </w:r>
      </w:smartTag>
      <w:r w:rsidRPr="0087460C">
        <w:rPr>
          <w:rFonts w:ascii="Arial" w:hAnsi="Arial"/>
          <w:sz w:val="18"/>
          <w:szCs w:val="18"/>
        </w:rPr>
        <w:t xml:space="preserve">º 192 del </w:t>
      </w:r>
      <w:smartTag w:uri="urn:schemas-microsoft-com:office:smarttags" w:element="date">
        <w:smartTagPr>
          <w:attr w:name="ls" w:val="trans"/>
          <w:attr w:name="Month" w:val="8"/>
          <w:attr w:name="Day" w:val="29"/>
          <w:attr w:name="Year" w:val="19"/>
        </w:smartTagPr>
        <w:r w:rsidRPr="0087460C">
          <w:rPr>
            <w:rFonts w:ascii="Arial" w:hAnsi="Arial"/>
            <w:sz w:val="18"/>
            <w:szCs w:val="18"/>
          </w:rPr>
          <w:t>29 de agosto de 19</w:t>
        </w:r>
      </w:smartTag>
      <w:r w:rsidRPr="0087460C">
        <w:rPr>
          <w:rFonts w:ascii="Arial" w:hAnsi="Arial"/>
          <w:sz w:val="18"/>
          <w:szCs w:val="18"/>
        </w:rPr>
        <w:t>43</w:t>
      </w:r>
      <w:r>
        <w:rPr>
          <w:rFonts w:ascii="Arial" w:hAnsi="Arial"/>
          <w:sz w:val="16"/>
        </w:rPr>
        <w:t>.</w:t>
      </w:r>
    </w:p>
  </w:footnote>
  <w:footnote w:id="14">
    <w:p w14:paraId="328D0797" w14:textId="77777777" w:rsidR="00157B1A" w:rsidRPr="006567A6" w:rsidRDefault="00157B1A" w:rsidP="00E32F1D">
      <w:pPr>
        <w:pStyle w:val="Textonotapie"/>
        <w:ind w:left="284" w:hanging="284"/>
        <w:jc w:val="both"/>
        <w:rPr>
          <w:rFonts w:ascii="Arial" w:hAnsi="Arial"/>
          <w:sz w:val="16"/>
        </w:rPr>
      </w:pPr>
      <w:r>
        <w:rPr>
          <w:rStyle w:val="Refdenotaalpie"/>
        </w:rPr>
        <w:footnoteRef/>
      </w:r>
      <w:r>
        <w:t xml:space="preserve">  </w:t>
      </w:r>
      <w:r w:rsidRPr="0087460C">
        <w:rPr>
          <w:rFonts w:ascii="Arial" w:hAnsi="Arial"/>
          <w:sz w:val="18"/>
          <w:szCs w:val="18"/>
        </w:rPr>
        <w:t xml:space="preserve">Los </w:t>
      </w:r>
      <w:r>
        <w:rPr>
          <w:rFonts w:ascii="Arial" w:hAnsi="Arial"/>
          <w:sz w:val="18"/>
          <w:szCs w:val="18"/>
        </w:rPr>
        <w:t>gastos</w:t>
      </w:r>
      <w:r w:rsidRPr="0087460C">
        <w:rPr>
          <w:rFonts w:ascii="Arial" w:hAnsi="Arial"/>
          <w:sz w:val="18"/>
          <w:szCs w:val="18"/>
        </w:rPr>
        <w:t xml:space="preserve"> respectivos se clasificarán en la partida y subpartida por objeto del gasto, así como en los programas presupuestarios correspondientes</w:t>
      </w:r>
      <w:r w:rsidRPr="006567A6">
        <w:rPr>
          <w:rFonts w:ascii="Arial" w:hAnsi="Arial"/>
          <w:sz w:val="16"/>
        </w:rPr>
        <w:t>.</w:t>
      </w:r>
    </w:p>
  </w:footnote>
  <w:footnote w:id="15">
    <w:p w14:paraId="6768F163" w14:textId="77777777" w:rsidR="00157B1A" w:rsidRPr="006567A6" w:rsidRDefault="00157B1A" w:rsidP="00E32F1D">
      <w:pPr>
        <w:pStyle w:val="Textonotapie"/>
        <w:ind w:left="284" w:hanging="284"/>
        <w:jc w:val="both"/>
        <w:rPr>
          <w:rFonts w:ascii="Arial" w:hAnsi="Arial"/>
          <w:sz w:val="16"/>
        </w:rPr>
      </w:pPr>
      <w:r>
        <w:rPr>
          <w:rStyle w:val="Refdenotaalpie"/>
        </w:rPr>
        <w:footnoteRef/>
      </w:r>
      <w:r>
        <w:t xml:space="preserve">  </w:t>
      </w:r>
      <w:r w:rsidRPr="0026171F">
        <w:rPr>
          <w:rFonts w:ascii="Arial" w:hAnsi="Arial"/>
          <w:sz w:val="18"/>
          <w:szCs w:val="18"/>
        </w:rPr>
        <w:t xml:space="preserve">Los </w:t>
      </w:r>
      <w:r>
        <w:rPr>
          <w:rFonts w:ascii="Arial" w:hAnsi="Arial"/>
          <w:sz w:val="18"/>
          <w:szCs w:val="18"/>
        </w:rPr>
        <w:t>gastos</w:t>
      </w:r>
      <w:r w:rsidRPr="0026171F">
        <w:rPr>
          <w:rFonts w:ascii="Arial" w:hAnsi="Arial"/>
          <w:sz w:val="18"/>
          <w:szCs w:val="18"/>
        </w:rPr>
        <w:t xml:space="preserve"> respectivos se clasificarán en la partida y subpartida por objeto del gasto, así como en los programas presupuestarios correspondientes</w:t>
      </w:r>
      <w:r w:rsidRPr="006567A6">
        <w:rPr>
          <w:rFonts w:ascii="Arial" w:hAnsi="Arial"/>
          <w:sz w:val="16"/>
        </w:rPr>
        <w:t>.</w:t>
      </w:r>
    </w:p>
  </w:footnote>
  <w:footnote w:id="16">
    <w:p w14:paraId="40015262" w14:textId="77777777" w:rsidR="00157B1A" w:rsidRDefault="00157B1A" w:rsidP="00E32F1D">
      <w:pPr>
        <w:pStyle w:val="Textonotapie"/>
        <w:tabs>
          <w:tab w:val="left" w:pos="284"/>
        </w:tabs>
        <w:rPr>
          <w:rFonts w:ascii="Arial" w:hAnsi="Arial"/>
          <w:sz w:val="16"/>
        </w:rPr>
      </w:pPr>
      <w:r w:rsidRPr="00BF1D81">
        <w:rPr>
          <w:rStyle w:val="Refdenotaalpie"/>
        </w:rPr>
        <w:footnoteRef/>
      </w:r>
      <w:r>
        <w:rPr>
          <w:rFonts w:ascii="Arial" w:hAnsi="Arial"/>
          <w:sz w:val="16"/>
        </w:rPr>
        <w:t xml:space="preserve"> </w:t>
      </w:r>
      <w:r>
        <w:rPr>
          <w:rFonts w:ascii="Arial" w:hAnsi="Arial"/>
          <w:sz w:val="16"/>
        </w:rPr>
        <w:tab/>
      </w:r>
      <w:r w:rsidRPr="0026171F">
        <w:rPr>
          <w:rFonts w:ascii="Arial" w:hAnsi="Arial"/>
          <w:sz w:val="18"/>
          <w:szCs w:val="18"/>
        </w:rPr>
        <w:t xml:space="preserve">Publicada en </w:t>
      </w:r>
      <w:smartTag w:uri="urn:schemas-microsoft-com:office:smarttags" w:element="PersonName">
        <w:smartTagPr>
          <w:attr w:name="ProductID" w:val="La Gaceta N"/>
        </w:smartTagPr>
        <w:r w:rsidRPr="0026171F">
          <w:rPr>
            <w:rFonts w:ascii="Arial" w:hAnsi="Arial"/>
            <w:sz w:val="18"/>
            <w:szCs w:val="18"/>
          </w:rPr>
          <w:t>La Gaceta N</w:t>
        </w:r>
      </w:smartTag>
      <w:r w:rsidRPr="0026171F">
        <w:rPr>
          <w:rFonts w:ascii="Arial" w:hAnsi="Arial"/>
          <w:sz w:val="18"/>
          <w:szCs w:val="18"/>
        </w:rPr>
        <w:t xml:space="preserve">º 65 del </w:t>
      </w:r>
      <w:smartTag w:uri="urn:schemas-microsoft-com:office:smarttags" w:element="date">
        <w:smartTagPr>
          <w:attr w:name="ls" w:val="trans"/>
          <w:attr w:name="Month" w:val="3"/>
          <w:attr w:name="Day" w:val="19"/>
          <w:attr w:name="Year" w:val="19"/>
        </w:smartTagPr>
        <w:r w:rsidRPr="0026171F">
          <w:rPr>
            <w:rFonts w:ascii="Arial" w:hAnsi="Arial"/>
            <w:sz w:val="18"/>
            <w:szCs w:val="18"/>
          </w:rPr>
          <w:t>19 de marzo de 19</w:t>
        </w:r>
      </w:smartTag>
      <w:r w:rsidRPr="0026171F">
        <w:rPr>
          <w:rFonts w:ascii="Arial" w:hAnsi="Arial"/>
          <w:sz w:val="18"/>
          <w:szCs w:val="18"/>
        </w:rPr>
        <w:t>66</w:t>
      </w:r>
      <w:r>
        <w:rPr>
          <w:rFonts w:ascii="Arial" w:hAnsi="Arial"/>
          <w:sz w:val="16"/>
        </w:rPr>
        <w:t>.</w:t>
      </w:r>
    </w:p>
  </w:footnote>
  <w:footnote w:id="17">
    <w:p w14:paraId="0DC25744" w14:textId="77777777" w:rsidR="00157B1A" w:rsidRDefault="00157B1A" w:rsidP="00E32F1D">
      <w:pPr>
        <w:pStyle w:val="Textonotapie"/>
      </w:pPr>
      <w:r>
        <w:rPr>
          <w:rStyle w:val="Refdenotaalpie"/>
        </w:rPr>
        <w:footnoteRef/>
      </w:r>
      <w:r>
        <w:t xml:space="preserve">    </w:t>
      </w:r>
      <w:r w:rsidRPr="0026171F">
        <w:rPr>
          <w:rFonts w:ascii="Arial" w:hAnsi="Arial" w:cs="Arial"/>
          <w:sz w:val="18"/>
          <w:szCs w:val="18"/>
        </w:rPr>
        <w:t xml:space="preserve">Publicada en el Alcance Nro. </w:t>
      </w:r>
      <w:smartTag w:uri="urn:schemas-microsoft-com:office:smarttags" w:element="metricconverter">
        <w:smartTagPr>
          <w:attr w:name="ProductID" w:val="38 a"/>
        </w:smartTagPr>
        <w:r w:rsidRPr="0026171F">
          <w:rPr>
            <w:rFonts w:ascii="Arial" w:hAnsi="Arial" w:cs="Arial"/>
            <w:sz w:val="18"/>
            <w:szCs w:val="18"/>
          </w:rPr>
          <w:t>38 a</w:t>
        </w:r>
      </w:smartTag>
      <w:r w:rsidRPr="0026171F">
        <w:rPr>
          <w:rFonts w:ascii="Arial" w:hAnsi="Arial" w:cs="Arial"/>
          <w:sz w:val="18"/>
          <w:szCs w:val="18"/>
        </w:rPr>
        <w:t xml:space="preserve"> </w:t>
      </w:r>
      <w:smartTag w:uri="urn:schemas-microsoft-com:office:smarttags" w:element="PersonName">
        <w:smartTagPr>
          <w:attr w:name="ProductID" w:val="La Gaceta Nro."/>
        </w:smartTagPr>
        <w:r w:rsidRPr="0026171F">
          <w:rPr>
            <w:rFonts w:ascii="Arial" w:hAnsi="Arial" w:cs="Arial"/>
            <w:sz w:val="18"/>
            <w:szCs w:val="18"/>
          </w:rPr>
          <w:t>La Gaceta Nro.</w:t>
        </w:r>
      </w:smartTag>
      <w:r w:rsidRPr="0026171F">
        <w:rPr>
          <w:rFonts w:ascii="Arial" w:hAnsi="Arial" w:cs="Arial"/>
          <w:sz w:val="18"/>
          <w:szCs w:val="18"/>
        </w:rPr>
        <w:t xml:space="preserve"> 120 del </w:t>
      </w:r>
      <w:smartTag w:uri="urn:schemas-microsoft-com:office:smarttags" w:element="date">
        <w:smartTagPr>
          <w:attr w:name="ls" w:val="trans"/>
          <w:attr w:name="Month" w:val="6"/>
          <w:attr w:name="Day" w:val="22"/>
          <w:attr w:name="Year" w:val="2006"/>
        </w:smartTagPr>
        <w:r w:rsidRPr="0026171F">
          <w:rPr>
            <w:rFonts w:ascii="Arial" w:hAnsi="Arial" w:cs="Arial"/>
            <w:sz w:val="18"/>
            <w:szCs w:val="18"/>
          </w:rPr>
          <w:t>22 de junio del 2006</w:t>
        </w:r>
      </w:smartTag>
      <w:r w:rsidRPr="0026171F">
        <w:rPr>
          <w:sz w:val="18"/>
          <w:szCs w:val="18"/>
        </w:rPr>
        <w:t>.</w:t>
      </w:r>
    </w:p>
  </w:footnote>
  <w:footnote w:id="18">
    <w:p w14:paraId="739A8120" w14:textId="77777777" w:rsidR="00157B1A" w:rsidRDefault="00157B1A" w:rsidP="00E32F1D">
      <w:pPr>
        <w:pStyle w:val="Textonotapie"/>
        <w:tabs>
          <w:tab w:val="left" w:pos="284"/>
        </w:tabs>
        <w:jc w:val="both"/>
        <w:rPr>
          <w:rFonts w:ascii="Arial" w:hAnsi="Arial" w:cs="Arial"/>
          <w:sz w:val="16"/>
        </w:rPr>
      </w:pPr>
      <w:r w:rsidRPr="00BF1D81">
        <w:rPr>
          <w:rStyle w:val="Refdenotaalpie"/>
        </w:rPr>
        <w:footnoteRef/>
      </w:r>
      <w:r>
        <w:rPr>
          <w:rFonts w:ascii="Arial" w:hAnsi="Arial" w:cs="Arial"/>
          <w:sz w:val="16"/>
        </w:rPr>
        <w:t xml:space="preserve"> </w:t>
      </w:r>
      <w:r>
        <w:rPr>
          <w:rFonts w:ascii="Arial" w:hAnsi="Arial" w:cs="Arial"/>
          <w:sz w:val="16"/>
        </w:rPr>
        <w:tab/>
      </w:r>
      <w:r w:rsidRPr="0087460C">
        <w:rPr>
          <w:rFonts w:ascii="Arial" w:hAnsi="Arial" w:cs="Arial"/>
          <w:sz w:val="18"/>
          <w:szCs w:val="18"/>
        </w:rPr>
        <w:t xml:space="preserve">Publicada en </w:t>
      </w:r>
      <w:smartTag w:uri="urn:schemas-microsoft-com:office:smarttags" w:element="PersonName">
        <w:smartTagPr>
          <w:attr w:name="ProductID" w:val="La Gaceta N"/>
        </w:smartTagPr>
        <w:r w:rsidRPr="0087460C">
          <w:rPr>
            <w:rFonts w:ascii="Arial" w:hAnsi="Arial" w:cs="Arial"/>
            <w:sz w:val="18"/>
            <w:szCs w:val="18"/>
          </w:rPr>
          <w:t>La Gaceta N</w:t>
        </w:r>
      </w:smartTag>
      <w:r w:rsidRPr="0087460C">
        <w:rPr>
          <w:rFonts w:ascii="Arial" w:hAnsi="Arial" w:cs="Arial"/>
          <w:sz w:val="18"/>
          <w:szCs w:val="18"/>
        </w:rPr>
        <w:t xml:space="preserve">º 45 del </w:t>
      </w:r>
      <w:smartTag w:uri="urn:schemas-microsoft-com:office:smarttags" w:element="date">
        <w:smartTagPr>
          <w:attr w:name="ls" w:val="trans"/>
          <w:attr w:name="Month" w:val="3"/>
          <w:attr w:name="Day" w:val="2"/>
          <w:attr w:name="Year" w:val="1984"/>
        </w:smartTagPr>
        <w:r w:rsidRPr="0087460C">
          <w:rPr>
            <w:rFonts w:ascii="Arial" w:hAnsi="Arial" w:cs="Arial"/>
            <w:sz w:val="18"/>
            <w:szCs w:val="18"/>
          </w:rPr>
          <w:t>2 de marzo de 1984</w:t>
        </w:r>
      </w:smartTag>
      <w:r>
        <w:rPr>
          <w:rFonts w:ascii="Arial" w:hAnsi="Arial" w:cs="Arial"/>
          <w:sz w:val="16"/>
        </w:rPr>
        <w:t>.</w:t>
      </w:r>
    </w:p>
  </w:footnote>
  <w:footnote w:id="19">
    <w:p w14:paraId="09589606" w14:textId="77777777" w:rsidR="00157B1A" w:rsidRPr="00D3334E" w:rsidRDefault="00157B1A" w:rsidP="00E32F1D">
      <w:pPr>
        <w:pStyle w:val="Textonotapie"/>
        <w:ind w:left="284" w:hanging="284"/>
        <w:jc w:val="both"/>
        <w:rPr>
          <w:rFonts w:ascii="Arial" w:hAnsi="Arial" w:cs="Arial"/>
          <w:sz w:val="16"/>
        </w:rPr>
      </w:pPr>
      <w:r w:rsidRPr="00D3334E">
        <w:rPr>
          <w:rStyle w:val="Refdenotaalpie"/>
        </w:rPr>
        <w:footnoteRef/>
      </w:r>
      <w:r w:rsidRPr="00D3334E">
        <w:t xml:space="preserve">   </w:t>
      </w:r>
      <w:r w:rsidRPr="00D3334E">
        <w:rPr>
          <w:rFonts w:ascii="Arial" w:hAnsi="Arial" w:cs="Arial"/>
          <w:sz w:val="18"/>
          <w:szCs w:val="18"/>
        </w:rPr>
        <w:t xml:space="preserve">Dicha aprobación deberá constar en la transcripción del acuerdo de la instancia competente, la cual deberá </w:t>
      </w:r>
      <w:r>
        <w:rPr>
          <w:rFonts w:ascii="Arial" w:hAnsi="Arial" w:cs="Arial"/>
          <w:sz w:val="18"/>
          <w:szCs w:val="18"/>
        </w:rPr>
        <w:t>incluirse como anexo al documento presupuestario en el espacio que el SIPP disponga para ello.</w:t>
      </w:r>
    </w:p>
  </w:footnote>
  <w:footnote w:id="20">
    <w:p w14:paraId="26801F26" w14:textId="77777777" w:rsidR="00157B1A" w:rsidRDefault="00157B1A" w:rsidP="00E32F1D">
      <w:pPr>
        <w:pStyle w:val="Textonotapie"/>
        <w:ind w:left="284" w:hanging="284"/>
        <w:jc w:val="both"/>
      </w:pPr>
      <w:r>
        <w:rPr>
          <w:rStyle w:val="Refdenotaalpie"/>
        </w:rPr>
        <w:footnoteRef/>
      </w:r>
      <w:r>
        <w:t xml:space="preserve">   </w:t>
      </w:r>
      <w:r w:rsidRPr="0087460C">
        <w:rPr>
          <w:rFonts w:ascii="Arial" w:hAnsi="Arial" w:cs="Arial"/>
          <w:sz w:val="18"/>
          <w:szCs w:val="18"/>
        </w:rPr>
        <w:t>Corresponde al superior jerárquico, unipersonal o colegiado del órgano o ente, quien ejerce la máxima autoridad, según lo establecido en la legislación vigente</w:t>
      </w:r>
      <w:r w:rsidRPr="00975ADF">
        <w:rPr>
          <w:rFonts w:ascii="Arial" w:hAnsi="Arial" w:cs="Arial"/>
          <w:sz w:val="16"/>
        </w:rPr>
        <w:t>.</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F7138" w14:textId="77777777" w:rsidR="00157B1A" w:rsidRDefault="00157B1A" w:rsidP="00D277D9">
    <w:pPr>
      <w:pStyle w:val="Encabezado"/>
      <w:tabs>
        <w:tab w:val="clear" w:pos="4320"/>
      </w:tabs>
      <w:rPr>
        <w:lang w:val="es-MX"/>
      </w:rPr>
    </w:pPr>
    <w:r>
      <w:rPr>
        <w:noProof/>
        <w:lang w:val="es-ES" w:eastAsia="es-ES"/>
      </w:rPr>
      <w:drawing>
        <wp:inline distT="0" distB="0" distL="0" distR="0" wp14:anchorId="0C575CB8" wp14:editId="0E8CBD7D">
          <wp:extent cx="1276066" cy="590252"/>
          <wp:effectExtent l="0" t="0" r="635" b="63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188" cy="593084"/>
                  </a:xfrm>
                  <a:prstGeom prst="rect">
                    <a:avLst/>
                  </a:prstGeom>
                </pic:spPr>
              </pic:pic>
            </a:graphicData>
          </a:graphic>
        </wp:inline>
      </w:drawing>
    </w:r>
    <w:r>
      <w:rPr>
        <w:lang w:val="es-MX"/>
      </w:rPr>
      <w:tab/>
    </w:r>
    <w:r w:rsidRPr="00230C81">
      <w:rPr>
        <w:noProof/>
        <w:lang w:val="es-ES" w:eastAsia="es-ES"/>
      </w:rPr>
      <w:drawing>
        <wp:inline distT="0" distB="0" distL="0" distR="0" wp14:anchorId="484E1231" wp14:editId="761CBAF6">
          <wp:extent cx="429370" cy="487755"/>
          <wp:effectExtent l="57150" t="57150" r="0" b="64770"/>
          <wp:docPr id="5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srcRect/>
                  <a:stretch>
                    <a:fillRect/>
                  </a:stretch>
                </pic:blipFill>
                <pic:spPr bwMode="auto">
                  <a:xfrm>
                    <a:off x="0" y="0"/>
                    <a:ext cx="432281" cy="491061"/>
                  </a:xfrm>
                  <a:prstGeom prst="rect">
                    <a:avLst/>
                  </a:prstGeom>
                  <a:noFill/>
                  <a:ln w="9525">
                    <a:no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14:paraId="06A94EB5" w14:textId="77777777" w:rsidR="00157B1A" w:rsidRPr="00670872" w:rsidRDefault="00157B1A">
    <w:pPr>
      <w:pStyle w:val="Encabezado"/>
      <w:pBdr>
        <w:top w:val="single" w:sz="4" w:space="1" w:color="auto"/>
      </w:pBdr>
      <w:rPr>
        <w:sz w:val="16"/>
        <w:szCs w:val="16"/>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9D3FD" w14:textId="77777777" w:rsidR="00157B1A" w:rsidRDefault="00157B1A" w:rsidP="00912D0F">
    <w:pPr>
      <w:pStyle w:val="Encabezado"/>
      <w:pBdr>
        <w:bottom w:val="threeDEngrave" w:sz="24" w:space="1" w:color="auto"/>
      </w:pBdr>
    </w:pPr>
    <w:r>
      <w:object w:dxaOrig="4288" w:dyaOrig="789" w14:anchorId="6F6337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67pt;height:34.5pt" o:ole="" fillcolor="window">
          <v:imagedata r:id="rId1" o:title=""/>
        </v:shape>
        <o:OLEObject Type="Embed" ProgID="Word.Picture.8" ShapeID="_x0000_i1031" DrawAspect="Content" ObjectID="_1515995136" r:id="rId2"/>
      </w:object>
    </w:r>
  </w:p>
  <w:p w14:paraId="41268473" w14:textId="77777777" w:rsidR="00157B1A" w:rsidRDefault="00157B1A" w:rsidP="00912D0F">
    <w:pPr>
      <w:pStyle w:val="Encabezado"/>
      <w:jc w:val="right"/>
    </w:pPr>
    <w:r w:rsidRPr="00E255BB">
      <w:rPr>
        <w:b/>
        <w:i/>
        <w14:shadow w14:blurRad="50800" w14:dist="38100" w14:dir="2700000" w14:sx="100000" w14:sy="100000" w14:kx="0" w14:ky="0" w14:algn="tl">
          <w14:srgbClr w14:val="000000">
            <w14:alpha w14:val="60000"/>
          </w14:srgbClr>
        </w14:shadow>
      </w:rPr>
      <w:t>Departamento Gestión del Factor Humano</w:t>
    </w:r>
  </w:p>
  <w:p w14:paraId="7DB40D36" w14:textId="77777777" w:rsidR="00157B1A" w:rsidRDefault="00157B1A">
    <w:pPr>
      <w:pStyle w:val="Encabezad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0C77E" w14:textId="77777777" w:rsidR="00157B1A" w:rsidRDefault="00157B1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94EBA" w14:textId="5525A922" w:rsidR="00157B1A" w:rsidRDefault="00157B1A" w:rsidP="00230C81">
    <w:pPr>
      <w:pStyle w:val="Encabezado"/>
      <w:tabs>
        <w:tab w:val="clear" w:pos="4320"/>
      </w:tabs>
      <w:rPr>
        <w:lang w:val="es-MX"/>
      </w:rPr>
    </w:pPr>
    <w:r>
      <w:rPr>
        <w:noProof/>
        <w:lang w:val="es-ES" w:eastAsia="es-ES"/>
      </w:rPr>
      <w:drawing>
        <wp:inline distT="0" distB="0" distL="0" distR="0" wp14:anchorId="78280D59" wp14:editId="72104DDE">
          <wp:extent cx="1276066" cy="590252"/>
          <wp:effectExtent l="0" t="0" r="635" b="63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188" cy="593084"/>
                  </a:xfrm>
                  <a:prstGeom prst="rect">
                    <a:avLst/>
                  </a:prstGeom>
                </pic:spPr>
              </pic:pic>
            </a:graphicData>
          </a:graphic>
        </wp:inline>
      </w:drawing>
    </w:r>
    <w:r>
      <w:rPr>
        <w:lang w:val="es-MX"/>
      </w:rPr>
      <w:tab/>
    </w:r>
    <w:r w:rsidRPr="00230C81">
      <w:rPr>
        <w:noProof/>
        <w:lang w:val="es-ES" w:eastAsia="es-ES"/>
      </w:rPr>
      <w:drawing>
        <wp:inline distT="0" distB="0" distL="0" distR="0" wp14:anchorId="06A94EC7" wp14:editId="20284F66">
          <wp:extent cx="429370" cy="487755"/>
          <wp:effectExtent l="57150" t="57150" r="0" b="64770"/>
          <wp:docPr id="32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srcRect/>
                  <a:stretch>
                    <a:fillRect/>
                  </a:stretch>
                </pic:blipFill>
                <pic:spPr bwMode="auto">
                  <a:xfrm>
                    <a:off x="0" y="0"/>
                    <a:ext cx="432281" cy="491061"/>
                  </a:xfrm>
                  <a:prstGeom prst="rect">
                    <a:avLst/>
                  </a:prstGeom>
                  <a:noFill/>
                  <a:ln w="9525">
                    <a:no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14:paraId="06A94EBB" w14:textId="4E05F21A" w:rsidR="00157B1A" w:rsidRDefault="00157B1A">
    <w:pPr>
      <w:pStyle w:val="Encabezado"/>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7AC71" w14:textId="0CB06A3B" w:rsidR="00157B1A" w:rsidRDefault="00157B1A" w:rsidP="0006255D">
    <w:pPr>
      <w:pStyle w:val="Encabezado"/>
      <w:tabs>
        <w:tab w:val="clear" w:pos="4320"/>
      </w:tabs>
      <w:rPr>
        <w:lang w:val="es-MX"/>
      </w:rPr>
    </w:pPr>
    <w:r>
      <w:rPr>
        <w:noProof/>
        <w:lang w:val="es-ES" w:eastAsia="es-ES"/>
      </w:rPr>
      <w:drawing>
        <wp:inline distT="0" distB="0" distL="0" distR="0" wp14:anchorId="5A94ED46" wp14:editId="1E5F8806">
          <wp:extent cx="1276066" cy="590252"/>
          <wp:effectExtent l="0" t="0" r="635" b="63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188" cy="593084"/>
                  </a:xfrm>
                  <a:prstGeom prst="rect">
                    <a:avLst/>
                  </a:prstGeom>
                </pic:spPr>
              </pic:pic>
            </a:graphicData>
          </a:graphic>
        </wp:inline>
      </w:drawing>
    </w:r>
    <w:r>
      <w:rPr>
        <w:lang w:val="es-MX"/>
      </w:rPr>
      <w:tab/>
    </w:r>
    <w:r w:rsidRPr="00230C81">
      <w:rPr>
        <w:noProof/>
        <w:lang w:val="es-ES" w:eastAsia="es-ES"/>
      </w:rPr>
      <w:drawing>
        <wp:inline distT="0" distB="0" distL="0" distR="0" wp14:anchorId="51F20FBE" wp14:editId="4E52C364">
          <wp:extent cx="429370" cy="487755"/>
          <wp:effectExtent l="57150" t="57150" r="0" b="64770"/>
          <wp:docPr id="3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srcRect/>
                  <a:stretch>
                    <a:fillRect/>
                  </a:stretch>
                </pic:blipFill>
                <pic:spPr bwMode="auto">
                  <a:xfrm>
                    <a:off x="0" y="0"/>
                    <a:ext cx="432281" cy="491061"/>
                  </a:xfrm>
                  <a:prstGeom prst="rect">
                    <a:avLst/>
                  </a:prstGeom>
                  <a:noFill/>
                  <a:ln w="9525">
                    <a:no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14:paraId="4EA5D00D" w14:textId="77777777" w:rsidR="00157B1A" w:rsidRPr="0006255D" w:rsidRDefault="00157B1A" w:rsidP="0006255D">
    <w:pPr>
      <w:pStyle w:val="Encabezado"/>
      <w:tabs>
        <w:tab w:val="clear" w:pos="4320"/>
      </w:tabs>
      <w:rPr>
        <w:lang w:val="es-MX"/>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1D8F2" w14:textId="77777777" w:rsidR="00157B1A" w:rsidRPr="0006255D" w:rsidRDefault="00157B1A" w:rsidP="003D74D9">
    <w:pPr>
      <w:pStyle w:val="Encabezado"/>
      <w:tabs>
        <w:tab w:val="clear" w:pos="4320"/>
      </w:tabs>
      <w:rPr>
        <w:lang w:val="es-MX"/>
      </w:rPr>
    </w:pPr>
    <w:r>
      <w:rPr>
        <w:noProof/>
        <w:lang w:val="es-ES" w:eastAsia="es-ES"/>
      </w:rPr>
      <w:drawing>
        <wp:inline distT="0" distB="0" distL="0" distR="0" wp14:anchorId="740CB85E" wp14:editId="2709E31D">
          <wp:extent cx="1276066" cy="590252"/>
          <wp:effectExtent l="0" t="0" r="635" b="63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188" cy="593084"/>
                  </a:xfrm>
                  <a:prstGeom prst="rect">
                    <a:avLst/>
                  </a:prstGeom>
                </pic:spPr>
              </pic:pic>
            </a:graphicData>
          </a:graphic>
        </wp:inline>
      </w:drawing>
    </w:r>
    <w:r>
      <w:rPr>
        <w:lang w:val="es-MX"/>
      </w:rPr>
      <w:tab/>
    </w:r>
    <w:r w:rsidRPr="00230C81">
      <w:rPr>
        <w:noProof/>
        <w:lang w:val="es-ES" w:eastAsia="es-ES"/>
      </w:rPr>
      <w:drawing>
        <wp:inline distT="0" distB="0" distL="0" distR="0" wp14:anchorId="415A97D7" wp14:editId="4B7FF7CF">
          <wp:extent cx="429370" cy="487755"/>
          <wp:effectExtent l="57150" t="57150" r="0" b="64770"/>
          <wp:docPr id="2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srcRect/>
                  <a:stretch>
                    <a:fillRect/>
                  </a:stretch>
                </pic:blipFill>
                <pic:spPr bwMode="auto">
                  <a:xfrm>
                    <a:off x="0" y="0"/>
                    <a:ext cx="432281" cy="491061"/>
                  </a:xfrm>
                  <a:prstGeom prst="rect">
                    <a:avLst/>
                  </a:prstGeom>
                  <a:noFill/>
                  <a:ln w="9525">
                    <a:no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14:paraId="549FB1A5" w14:textId="77777777" w:rsidR="00157B1A" w:rsidRPr="003D74D9" w:rsidRDefault="00157B1A">
    <w:pPr>
      <w:rPr>
        <w:sz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45A6A" w14:textId="3247C068" w:rsidR="00157B1A" w:rsidRPr="0006255D" w:rsidRDefault="00157B1A" w:rsidP="0006255D">
    <w:pPr>
      <w:pStyle w:val="Encabezado"/>
      <w:tabs>
        <w:tab w:val="clear" w:pos="4320"/>
      </w:tabs>
      <w:rPr>
        <w:lang w:val="es-MX"/>
      </w:rPr>
    </w:pPr>
    <w:r>
      <w:rPr>
        <w:noProof/>
        <w:lang w:val="es-ES" w:eastAsia="es-ES"/>
      </w:rPr>
      <w:drawing>
        <wp:inline distT="0" distB="0" distL="0" distR="0" wp14:anchorId="4F6CFB79" wp14:editId="22F83A62">
          <wp:extent cx="1276066" cy="590252"/>
          <wp:effectExtent l="0" t="0" r="635"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188" cy="593084"/>
                  </a:xfrm>
                  <a:prstGeom prst="rect">
                    <a:avLst/>
                  </a:prstGeom>
                </pic:spPr>
              </pic:pic>
            </a:graphicData>
          </a:graphic>
        </wp:inline>
      </w:drawing>
    </w:r>
    <w:r>
      <w:rPr>
        <w:lang w:val="es-MX"/>
      </w:rPr>
      <w:tab/>
    </w:r>
    <w:r w:rsidRPr="00230C81">
      <w:rPr>
        <w:noProof/>
        <w:lang w:val="es-ES" w:eastAsia="es-ES"/>
      </w:rPr>
      <w:drawing>
        <wp:inline distT="0" distB="0" distL="0" distR="0" wp14:anchorId="27E48AE2" wp14:editId="05B0CC4F">
          <wp:extent cx="429370" cy="487755"/>
          <wp:effectExtent l="57150" t="57150" r="0" b="64770"/>
          <wp:docPr id="24"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srcRect/>
                  <a:stretch>
                    <a:fillRect/>
                  </a:stretch>
                </pic:blipFill>
                <pic:spPr bwMode="auto">
                  <a:xfrm>
                    <a:off x="0" y="0"/>
                    <a:ext cx="432281" cy="491061"/>
                  </a:xfrm>
                  <a:prstGeom prst="rect">
                    <a:avLst/>
                  </a:prstGeom>
                  <a:noFill/>
                  <a:ln w="9525">
                    <a:no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9B87D" w14:textId="180CE9E0" w:rsidR="00157B1A" w:rsidRPr="0006255D" w:rsidRDefault="00157B1A" w:rsidP="0006255D">
    <w:pPr>
      <w:pStyle w:val="Encabezado"/>
      <w:tabs>
        <w:tab w:val="clear" w:pos="4320"/>
      </w:tabs>
      <w:rPr>
        <w:lang w:val="es-MX"/>
      </w:rPr>
    </w:pPr>
    <w:r>
      <w:rPr>
        <w:noProof/>
        <w:lang w:val="es-ES" w:eastAsia="es-ES"/>
      </w:rPr>
      <w:drawing>
        <wp:inline distT="0" distB="0" distL="0" distR="0" wp14:anchorId="6EA4D683" wp14:editId="44C657A0">
          <wp:extent cx="1276066" cy="590252"/>
          <wp:effectExtent l="0" t="0" r="635" b="63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188" cy="593084"/>
                  </a:xfrm>
                  <a:prstGeom prst="rect">
                    <a:avLst/>
                  </a:prstGeom>
                </pic:spPr>
              </pic:pic>
            </a:graphicData>
          </a:graphic>
        </wp:inline>
      </w:drawing>
    </w:r>
    <w:r>
      <w:rPr>
        <w:lang w:val="es-MX"/>
      </w:rPr>
      <w:tab/>
    </w:r>
    <w:r w:rsidRPr="00230C81">
      <w:rPr>
        <w:noProof/>
        <w:lang w:val="es-ES" w:eastAsia="es-ES"/>
      </w:rPr>
      <w:drawing>
        <wp:inline distT="0" distB="0" distL="0" distR="0" wp14:anchorId="081C6EAB" wp14:editId="45CE4BEB">
          <wp:extent cx="429370" cy="487755"/>
          <wp:effectExtent l="57150" t="57150" r="0" b="64770"/>
          <wp:docPr id="2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srcRect/>
                  <a:stretch>
                    <a:fillRect/>
                  </a:stretch>
                </pic:blipFill>
                <pic:spPr bwMode="auto">
                  <a:xfrm>
                    <a:off x="0" y="0"/>
                    <a:ext cx="432281" cy="491061"/>
                  </a:xfrm>
                  <a:prstGeom prst="rect">
                    <a:avLst/>
                  </a:prstGeom>
                  <a:noFill/>
                  <a:ln w="9525">
                    <a:no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8C540" w14:textId="77777777" w:rsidR="00157B1A" w:rsidRDefault="00157B1A" w:rsidP="00813AC2">
    <w:pPr>
      <w:pStyle w:val="Encabezado"/>
      <w:pBdr>
        <w:bottom w:val="threeDEngrave" w:sz="24" w:space="1" w:color="auto"/>
      </w:pBdr>
    </w:pPr>
    <w:r>
      <w:object w:dxaOrig="4288" w:dyaOrig="789" w14:anchorId="155308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8.5pt;height:34pt" o:ole="" fillcolor="window">
          <v:imagedata r:id="rId1" o:title=""/>
        </v:shape>
        <o:OLEObject Type="Embed" ProgID="Word.Picture.8" ShapeID="_x0000_i1028" DrawAspect="Content" ObjectID="_1515995133" r:id="rId2"/>
      </w:object>
    </w:r>
  </w:p>
  <w:p w14:paraId="6B43D7AD" w14:textId="77777777" w:rsidR="00157B1A" w:rsidRDefault="00157B1A" w:rsidP="00813AC2">
    <w:pPr>
      <w:pStyle w:val="Encabezado"/>
      <w:jc w:val="right"/>
    </w:pPr>
    <w:r w:rsidRPr="00E255BB">
      <w:rPr>
        <w:b/>
        <w:i/>
        <w14:shadow w14:blurRad="50800" w14:dist="38100" w14:dir="2700000" w14:sx="100000" w14:sy="100000" w14:kx="0" w14:ky="0" w14:algn="tl">
          <w14:srgbClr w14:val="000000">
            <w14:alpha w14:val="60000"/>
          </w14:srgbClr>
        </w14:shadow>
      </w:rPr>
      <w:t>Departamento Gestión del Factor Humano</w:t>
    </w:r>
  </w:p>
  <w:p w14:paraId="24B6073B" w14:textId="77777777" w:rsidR="00157B1A" w:rsidRDefault="00157B1A">
    <w:pPr>
      <w:pStyle w:val="Encabezad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07EF4" w14:textId="77777777" w:rsidR="00157B1A" w:rsidRDefault="00157B1A" w:rsidP="00813AC2">
    <w:pPr>
      <w:pStyle w:val="Encabezado"/>
      <w:pBdr>
        <w:bottom w:val="threeDEngrave" w:sz="24" w:space="1" w:color="auto"/>
      </w:pBdr>
    </w:pPr>
    <w:r>
      <w:object w:dxaOrig="4288" w:dyaOrig="789" w14:anchorId="2D7BD5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68.5pt;height:34pt" o:ole="" fillcolor="window">
          <v:imagedata r:id="rId1" o:title=""/>
        </v:shape>
        <o:OLEObject Type="Embed" ProgID="Word.Picture.8" ShapeID="_x0000_i1029" DrawAspect="Content" ObjectID="_1515995134" r:id="rId2"/>
      </w:object>
    </w:r>
  </w:p>
  <w:p w14:paraId="32932BD6" w14:textId="77777777" w:rsidR="00157B1A" w:rsidRDefault="00157B1A" w:rsidP="00813AC2">
    <w:pPr>
      <w:pStyle w:val="Encabezado"/>
      <w:jc w:val="right"/>
    </w:pPr>
    <w:r w:rsidRPr="00E255BB">
      <w:rPr>
        <w:b/>
        <w:i/>
        <w14:shadow w14:blurRad="50800" w14:dist="38100" w14:dir="2700000" w14:sx="100000" w14:sy="100000" w14:kx="0" w14:ky="0" w14:algn="tl">
          <w14:srgbClr w14:val="000000">
            <w14:alpha w14:val="60000"/>
          </w14:srgbClr>
        </w14:shadow>
      </w:rPr>
      <w:t>Departamento Gestión del Factor Humano</w:t>
    </w:r>
  </w:p>
  <w:p w14:paraId="5305785F" w14:textId="77777777" w:rsidR="00157B1A" w:rsidRDefault="00157B1A">
    <w:pPr>
      <w:pStyle w:val="Encabezad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47C2B" w14:textId="77777777" w:rsidR="00157B1A" w:rsidRDefault="00157B1A" w:rsidP="00912D0F">
    <w:pPr>
      <w:pStyle w:val="Encabezado"/>
      <w:pBdr>
        <w:bottom w:val="threeDEngrave" w:sz="24" w:space="1" w:color="auto"/>
      </w:pBdr>
    </w:pPr>
    <w:r>
      <w:object w:dxaOrig="4288" w:dyaOrig="789" w14:anchorId="6C2F5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67pt;height:34.5pt" o:ole="" fillcolor="window">
          <v:imagedata r:id="rId1" o:title=""/>
        </v:shape>
        <o:OLEObject Type="Embed" ProgID="Word.Picture.8" ShapeID="_x0000_i1030" DrawAspect="Content" ObjectID="_1515995135" r:id="rId2"/>
      </w:object>
    </w:r>
  </w:p>
  <w:p w14:paraId="602C5BA8" w14:textId="77777777" w:rsidR="00157B1A" w:rsidRDefault="00157B1A" w:rsidP="00912D0F">
    <w:pPr>
      <w:pStyle w:val="Encabezado"/>
      <w:jc w:val="right"/>
    </w:pPr>
    <w:r w:rsidRPr="00E255BB">
      <w:rPr>
        <w:b/>
        <w:i/>
        <w14:shadow w14:blurRad="50800" w14:dist="38100" w14:dir="2700000" w14:sx="100000" w14:sy="100000" w14:kx="0" w14:ky="0" w14:algn="tl">
          <w14:srgbClr w14:val="000000">
            <w14:alpha w14:val="60000"/>
          </w14:srgbClr>
        </w14:shadow>
      </w:rPr>
      <w:t>Departamento Gestión del Factor Humano</w:t>
    </w:r>
  </w:p>
  <w:p w14:paraId="20C5144D" w14:textId="77777777" w:rsidR="00157B1A" w:rsidRDefault="00157B1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B13E2162"/>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9388656E"/>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020EE96"/>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00741109"/>
    <w:multiLevelType w:val="hybridMultilevel"/>
    <w:tmpl w:val="8E1A16DA"/>
    <w:lvl w:ilvl="0" w:tplc="9412FF0C">
      <w:start w:val="1"/>
      <w:numFmt w:val="decimal"/>
      <w:isLgl/>
      <w:lvlText w:val="%1"/>
      <w:lvlJc w:val="left"/>
      <w:pPr>
        <w:tabs>
          <w:tab w:val="num" w:pos="1134"/>
        </w:tabs>
        <w:ind w:left="1134" w:hanging="567"/>
      </w:pPr>
      <w:rPr>
        <w:rFonts w:ascii="Arial" w:hAnsi="Arial" w:hint="default"/>
        <w:b w:val="0"/>
        <w:i w:val="0"/>
        <w:color w:val="auto"/>
        <w:sz w:val="24"/>
        <w:szCs w:val="24"/>
      </w:rPr>
    </w:lvl>
    <w:lvl w:ilvl="1" w:tplc="E9308238">
      <w:start w:val="1"/>
      <w:numFmt w:val="lowerLetter"/>
      <w:lvlText w:val="%2."/>
      <w:lvlJc w:val="left"/>
      <w:pPr>
        <w:tabs>
          <w:tab w:val="num" w:pos="1701"/>
        </w:tabs>
        <w:ind w:left="1701" w:hanging="567"/>
      </w:pPr>
      <w:rPr>
        <w:rFonts w:hint="default"/>
        <w:b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0C410A5"/>
    <w:multiLevelType w:val="hybridMultilevel"/>
    <w:tmpl w:val="5E1018A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3881C0C"/>
    <w:multiLevelType w:val="hybridMultilevel"/>
    <w:tmpl w:val="6736E4E0"/>
    <w:lvl w:ilvl="0" w:tplc="56906982">
      <w:start w:val="1"/>
      <w:numFmt w:val="bullet"/>
      <w:lvlText w:val=""/>
      <w:lvlJc w:val="left"/>
      <w:pPr>
        <w:ind w:left="720" w:hanging="360"/>
      </w:pPr>
      <w:rPr>
        <w:rFonts w:ascii="Wingdings" w:hAnsi="Wingdings" w:hint="default"/>
        <w:color w:val="00008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4DB0006"/>
    <w:multiLevelType w:val="hybridMultilevel"/>
    <w:tmpl w:val="597A10E0"/>
    <w:lvl w:ilvl="0" w:tplc="A304763A">
      <w:start w:val="1"/>
      <w:numFmt w:val="bullet"/>
      <w:lvlText w:val=""/>
      <w:lvlJc w:val="left"/>
      <w:pPr>
        <w:tabs>
          <w:tab w:val="num" w:pos="1134"/>
        </w:tabs>
        <w:ind w:left="1134" w:hanging="567"/>
      </w:pPr>
      <w:rPr>
        <w:rFonts w:ascii="Wingdings" w:hAnsi="Wingdings" w:hint="default"/>
        <w:color w:val="333399"/>
        <w:u w:color="333399"/>
      </w:rPr>
    </w:lvl>
    <w:lvl w:ilvl="1" w:tplc="2104EFB6">
      <w:start w:val="1"/>
      <w:numFmt w:val="decimal"/>
      <w:lvlText w:val="%2."/>
      <w:lvlJc w:val="left"/>
      <w:pPr>
        <w:tabs>
          <w:tab w:val="num" w:pos="1701"/>
        </w:tabs>
        <w:ind w:left="1701" w:hanging="567"/>
      </w:pPr>
      <w:rPr>
        <w:rFonts w:hint="default"/>
      </w:rPr>
    </w:lvl>
    <w:lvl w:ilvl="2" w:tplc="48A68F8E" w:tentative="1">
      <w:start w:val="1"/>
      <w:numFmt w:val="bullet"/>
      <w:lvlText w:val=""/>
      <w:lvlJc w:val="left"/>
      <w:pPr>
        <w:tabs>
          <w:tab w:val="num" w:pos="2700"/>
        </w:tabs>
        <w:ind w:left="2700" w:hanging="360"/>
      </w:pPr>
      <w:rPr>
        <w:rFonts w:ascii="Wingdings" w:hAnsi="Wingdings" w:hint="default"/>
      </w:rPr>
    </w:lvl>
    <w:lvl w:ilvl="3" w:tplc="A9EA2B9E" w:tentative="1">
      <w:start w:val="1"/>
      <w:numFmt w:val="bullet"/>
      <w:lvlText w:val=""/>
      <w:lvlJc w:val="left"/>
      <w:pPr>
        <w:tabs>
          <w:tab w:val="num" w:pos="3420"/>
        </w:tabs>
        <w:ind w:left="3420" w:hanging="360"/>
      </w:pPr>
      <w:rPr>
        <w:rFonts w:ascii="Symbol" w:hAnsi="Symbol" w:hint="default"/>
      </w:rPr>
    </w:lvl>
    <w:lvl w:ilvl="4" w:tplc="B87C10C4" w:tentative="1">
      <w:start w:val="1"/>
      <w:numFmt w:val="bullet"/>
      <w:lvlText w:val="o"/>
      <w:lvlJc w:val="left"/>
      <w:pPr>
        <w:tabs>
          <w:tab w:val="num" w:pos="4140"/>
        </w:tabs>
        <w:ind w:left="4140" w:hanging="360"/>
      </w:pPr>
      <w:rPr>
        <w:rFonts w:ascii="Courier New" w:hAnsi="Courier New" w:hint="default"/>
      </w:rPr>
    </w:lvl>
    <w:lvl w:ilvl="5" w:tplc="70607CA4" w:tentative="1">
      <w:start w:val="1"/>
      <w:numFmt w:val="bullet"/>
      <w:lvlText w:val=""/>
      <w:lvlJc w:val="left"/>
      <w:pPr>
        <w:tabs>
          <w:tab w:val="num" w:pos="4860"/>
        </w:tabs>
        <w:ind w:left="4860" w:hanging="360"/>
      </w:pPr>
      <w:rPr>
        <w:rFonts w:ascii="Wingdings" w:hAnsi="Wingdings" w:hint="default"/>
      </w:rPr>
    </w:lvl>
    <w:lvl w:ilvl="6" w:tplc="29527618" w:tentative="1">
      <w:start w:val="1"/>
      <w:numFmt w:val="bullet"/>
      <w:lvlText w:val=""/>
      <w:lvlJc w:val="left"/>
      <w:pPr>
        <w:tabs>
          <w:tab w:val="num" w:pos="5580"/>
        </w:tabs>
        <w:ind w:left="5580" w:hanging="360"/>
      </w:pPr>
      <w:rPr>
        <w:rFonts w:ascii="Symbol" w:hAnsi="Symbol" w:hint="default"/>
      </w:rPr>
    </w:lvl>
    <w:lvl w:ilvl="7" w:tplc="EDA21D36" w:tentative="1">
      <w:start w:val="1"/>
      <w:numFmt w:val="bullet"/>
      <w:lvlText w:val="o"/>
      <w:lvlJc w:val="left"/>
      <w:pPr>
        <w:tabs>
          <w:tab w:val="num" w:pos="6300"/>
        </w:tabs>
        <w:ind w:left="6300" w:hanging="360"/>
      </w:pPr>
      <w:rPr>
        <w:rFonts w:ascii="Courier New" w:hAnsi="Courier New" w:hint="default"/>
      </w:rPr>
    </w:lvl>
    <w:lvl w:ilvl="8" w:tplc="03D433FC"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059D04AB"/>
    <w:multiLevelType w:val="multilevel"/>
    <w:tmpl w:val="6D82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C87C42"/>
    <w:multiLevelType w:val="hybridMultilevel"/>
    <w:tmpl w:val="872642B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4D50E4"/>
    <w:multiLevelType w:val="hybridMultilevel"/>
    <w:tmpl w:val="EFD8B1C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0B94636A"/>
    <w:multiLevelType w:val="hybridMultilevel"/>
    <w:tmpl w:val="5FCCADE0"/>
    <w:lvl w:ilvl="0" w:tplc="140A0003">
      <w:start w:val="1"/>
      <w:numFmt w:val="bullet"/>
      <w:lvlText w:val="o"/>
      <w:lvlJc w:val="left"/>
      <w:pPr>
        <w:ind w:left="1068" w:hanging="360"/>
      </w:pPr>
      <w:rPr>
        <w:rFonts w:ascii="Courier New" w:hAnsi="Courier New" w:cs="Courier New"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11" w15:restartNumberingAfterBreak="0">
    <w:nsid w:val="0C4C611F"/>
    <w:multiLevelType w:val="hybridMultilevel"/>
    <w:tmpl w:val="3E6E87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095F2C"/>
    <w:multiLevelType w:val="hybridMultilevel"/>
    <w:tmpl w:val="26447EAC"/>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141B1054"/>
    <w:multiLevelType w:val="hybridMultilevel"/>
    <w:tmpl w:val="295863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461789E"/>
    <w:multiLevelType w:val="hybridMultilevel"/>
    <w:tmpl w:val="E7D46A7A"/>
    <w:lvl w:ilvl="0" w:tplc="140A0001">
      <w:start w:val="1"/>
      <w:numFmt w:val="bullet"/>
      <w:lvlText w:val=""/>
      <w:lvlJc w:val="left"/>
      <w:pPr>
        <w:ind w:left="360" w:hanging="360"/>
      </w:pPr>
      <w:rPr>
        <w:rFonts w:ascii="Symbol" w:hAnsi="Symbol" w:hint="default"/>
      </w:rPr>
    </w:lvl>
    <w:lvl w:ilvl="1" w:tplc="53F8C43C">
      <w:numFmt w:val="bullet"/>
      <w:lvlText w:val="•"/>
      <w:lvlJc w:val="left"/>
      <w:pPr>
        <w:ind w:left="1425" w:hanging="705"/>
      </w:pPr>
      <w:rPr>
        <w:rFonts w:ascii="Century Gothic" w:eastAsia="Times New Roman" w:hAnsi="Century Gothic" w:cs="Times New Roman"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5" w15:restartNumberingAfterBreak="0">
    <w:nsid w:val="154E7DD1"/>
    <w:multiLevelType w:val="hybridMultilevel"/>
    <w:tmpl w:val="0818ED7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C54DF2"/>
    <w:multiLevelType w:val="hybridMultilevel"/>
    <w:tmpl w:val="1E24C5A2"/>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1A1B246B"/>
    <w:multiLevelType w:val="hybridMultilevel"/>
    <w:tmpl w:val="BD842000"/>
    <w:lvl w:ilvl="0" w:tplc="39C800C0">
      <w:start w:val="1"/>
      <w:numFmt w:val="bullet"/>
      <w:pStyle w:val="Textoconsangra"/>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1B140711"/>
    <w:multiLevelType w:val="hybridMultilevel"/>
    <w:tmpl w:val="8064034A"/>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1BF5308A"/>
    <w:multiLevelType w:val="hybridMultilevel"/>
    <w:tmpl w:val="DB2A562A"/>
    <w:lvl w:ilvl="0" w:tplc="0C0A0001">
      <w:start w:val="1"/>
      <w:numFmt w:val="bullet"/>
      <w:lvlText w:val=""/>
      <w:lvlJc w:val="left"/>
      <w:pPr>
        <w:tabs>
          <w:tab w:val="num" w:pos="360"/>
        </w:tabs>
        <w:ind w:left="360" w:hanging="360"/>
      </w:pPr>
      <w:rPr>
        <w:rFonts w:ascii="Symbol" w:hAnsi="Symbol" w:hint="default"/>
      </w:rPr>
    </w:lvl>
    <w:lvl w:ilvl="1" w:tplc="C06EDE36">
      <w:start w:val="1"/>
      <w:numFmt w:val="bullet"/>
      <w:lvlText w:val="•"/>
      <w:lvlJc w:val="left"/>
      <w:pPr>
        <w:tabs>
          <w:tab w:val="num" w:pos="1080"/>
        </w:tabs>
        <w:ind w:left="1080" w:hanging="360"/>
      </w:pPr>
      <w:rPr>
        <w:rFonts w:ascii="Arial" w:hAnsi="Arial" w:hint="default"/>
      </w:rPr>
    </w:lvl>
    <w:lvl w:ilvl="2" w:tplc="36AE2C9C" w:tentative="1">
      <w:start w:val="1"/>
      <w:numFmt w:val="bullet"/>
      <w:lvlText w:val="•"/>
      <w:lvlJc w:val="left"/>
      <w:pPr>
        <w:tabs>
          <w:tab w:val="num" w:pos="1800"/>
        </w:tabs>
        <w:ind w:left="1800" w:hanging="360"/>
      </w:pPr>
      <w:rPr>
        <w:rFonts w:ascii="Arial" w:hAnsi="Arial" w:hint="default"/>
      </w:rPr>
    </w:lvl>
    <w:lvl w:ilvl="3" w:tplc="D996CDCE" w:tentative="1">
      <w:start w:val="1"/>
      <w:numFmt w:val="bullet"/>
      <w:lvlText w:val="•"/>
      <w:lvlJc w:val="left"/>
      <w:pPr>
        <w:tabs>
          <w:tab w:val="num" w:pos="2520"/>
        </w:tabs>
        <w:ind w:left="2520" w:hanging="360"/>
      </w:pPr>
      <w:rPr>
        <w:rFonts w:ascii="Arial" w:hAnsi="Arial" w:hint="default"/>
      </w:rPr>
    </w:lvl>
    <w:lvl w:ilvl="4" w:tplc="0FBAB44C" w:tentative="1">
      <w:start w:val="1"/>
      <w:numFmt w:val="bullet"/>
      <w:lvlText w:val="•"/>
      <w:lvlJc w:val="left"/>
      <w:pPr>
        <w:tabs>
          <w:tab w:val="num" w:pos="3240"/>
        </w:tabs>
        <w:ind w:left="3240" w:hanging="360"/>
      </w:pPr>
      <w:rPr>
        <w:rFonts w:ascii="Arial" w:hAnsi="Arial" w:hint="default"/>
      </w:rPr>
    </w:lvl>
    <w:lvl w:ilvl="5" w:tplc="6ABE5D68" w:tentative="1">
      <w:start w:val="1"/>
      <w:numFmt w:val="bullet"/>
      <w:lvlText w:val="•"/>
      <w:lvlJc w:val="left"/>
      <w:pPr>
        <w:tabs>
          <w:tab w:val="num" w:pos="3960"/>
        </w:tabs>
        <w:ind w:left="3960" w:hanging="360"/>
      </w:pPr>
      <w:rPr>
        <w:rFonts w:ascii="Arial" w:hAnsi="Arial" w:hint="default"/>
      </w:rPr>
    </w:lvl>
    <w:lvl w:ilvl="6" w:tplc="EB420742" w:tentative="1">
      <w:start w:val="1"/>
      <w:numFmt w:val="bullet"/>
      <w:lvlText w:val="•"/>
      <w:lvlJc w:val="left"/>
      <w:pPr>
        <w:tabs>
          <w:tab w:val="num" w:pos="4680"/>
        </w:tabs>
        <w:ind w:left="4680" w:hanging="360"/>
      </w:pPr>
      <w:rPr>
        <w:rFonts w:ascii="Arial" w:hAnsi="Arial" w:hint="default"/>
      </w:rPr>
    </w:lvl>
    <w:lvl w:ilvl="7" w:tplc="A9B2941C" w:tentative="1">
      <w:start w:val="1"/>
      <w:numFmt w:val="bullet"/>
      <w:lvlText w:val="•"/>
      <w:lvlJc w:val="left"/>
      <w:pPr>
        <w:tabs>
          <w:tab w:val="num" w:pos="5400"/>
        </w:tabs>
        <w:ind w:left="5400" w:hanging="360"/>
      </w:pPr>
      <w:rPr>
        <w:rFonts w:ascii="Arial" w:hAnsi="Arial" w:hint="default"/>
      </w:rPr>
    </w:lvl>
    <w:lvl w:ilvl="8" w:tplc="6C1C0DCC" w:tentative="1">
      <w:start w:val="1"/>
      <w:numFmt w:val="bullet"/>
      <w:lvlText w:val="•"/>
      <w:lvlJc w:val="left"/>
      <w:pPr>
        <w:tabs>
          <w:tab w:val="num" w:pos="6120"/>
        </w:tabs>
        <w:ind w:left="6120" w:hanging="360"/>
      </w:pPr>
      <w:rPr>
        <w:rFonts w:ascii="Arial" w:hAnsi="Arial" w:hint="default"/>
      </w:rPr>
    </w:lvl>
  </w:abstractNum>
  <w:abstractNum w:abstractNumId="20" w15:restartNumberingAfterBreak="0">
    <w:nsid w:val="1C010238"/>
    <w:multiLevelType w:val="hybridMultilevel"/>
    <w:tmpl w:val="213AF63E"/>
    <w:lvl w:ilvl="0" w:tplc="C57A4EE6">
      <w:start w:val="13"/>
      <w:numFmt w:val="bullet"/>
      <w:lvlText w:val="-"/>
      <w:lvlJc w:val="left"/>
      <w:pPr>
        <w:ind w:left="720" w:hanging="360"/>
      </w:pPr>
      <w:rPr>
        <w:rFonts w:ascii="Book Antiqua" w:eastAsia="Times New Roman" w:hAnsi="Book Antiqu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1EAC561D"/>
    <w:multiLevelType w:val="multilevel"/>
    <w:tmpl w:val="A7420B6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D15536"/>
    <w:multiLevelType w:val="hybridMultilevel"/>
    <w:tmpl w:val="A36273C4"/>
    <w:lvl w:ilvl="0" w:tplc="140A0005">
      <w:start w:val="1"/>
      <w:numFmt w:val="bullet"/>
      <w:lvlText w:val=""/>
      <w:lvlJc w:val="left"/>
      <w:pPr>
        <w:ind w:left="720" w:hanging="360"/>
      </w:pPr>
      <w:rPr>
        <w:rFonts w:ascii="Wingdings" w:hAnsi="Wingding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20BA46BE"/>
    <w:multiLevelType w:val="multilevel"/>
    <w:tmpl w:val="7C5A16CE"/>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3C736E6"/>
    <w:multiLevelType w:val="hybridMultilevel"/>
    <w:tmpl w:val="8D72BF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4656A62"/>
    <w:multiLevelType w:val="hybridMultilevel"/>
    <w:tmpl w:val="DA6A9C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5FB52E3"/>
    <w:multiLevelType w:val="hybridMultilevel"/>
    <w:tmpl w:val="4D88CF56"/>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261F2C64"/>
    <w:multiLevelType w:val="hybridMultilevel"/>
    <w:tmpl w:val="3C7A7600"/>
    <w:lvl w:ilvl="0" w:tplc="41DC1654">
      <w:start w:val="7"/>
      <w:numFmt w:val="lowerLetter"/>
      <w:lvlText w:val="%1."/>
      <w:lvlJc w:val="left"/>
      <w:pPr>
        <w:tabs>
          <w:tab w:val="num" w:pos="1701"/>
        </w:tabs>
        <w:ind w:left="1701" w:hanging="567"/>
      </w:pPr>
      <w:rPr>
        <w:rFonts w:hint="default"/>
        <w:b w:val="0"/>
        <w:i w:val="0"/>
        <w:color w:val="auto"/>
        <w:sz w:val="22"/>
        <w:szCs w:val="22"/>
      </w:rPr>
    </w:lvl>
    <w:lvl w:ilvl="1" w:tplc="0C0A0019" w:tentative="1">
      <w:start w:val="1"/>
      <w:numFmt w:val="lowerLetter"/>
      <w:lvlText w:val="%2."/>
      <w:lvlJc w:val="left"/>
      <w:pPr>
        <w:tabs>
          <w:tab w:val="num" w:pos="2007"/>
        </w:tabs>
        <w:ind w:left="2007" w:hanging="360"/>
      </w:pPr>
    </w:lvl>
    <w:lvl w:ilvl="2" w:tplc="0C0A001B" w:tentative="1">
      <w:start w:val="1"/>
      <w:numFmt w:val="lowerRoman"/>
      <w:lvlText w:val="%3."/>
      <w:lvlJc w:val="right"/>
      <w:pPr>
        <w:tabs>
          <w:tab w:val="num" w:pos="2727"/>
        </w:tabs>
        <w:ind w:left="2727" w:hanging="180"/>
      </w:pPr>
    </w:lvl>
    <w:lvl w:ilvl="3" w:tplc="0C0A000F" w:tentative="1">
      <w:start w:val="1"/>
      <w:numFmt w:val="decimal"/>
      <w:lvlText w:val="%4."/>
      <w:lvlJc w:val="left"/>
      <w:pPr>
        <w:tabs>
          <w:tab w:val="num" w:pos="3447"/>
        </w:tabs>
        <w:ind w:left="3447" w:hanging="360"/>
      </w:pPr>
    </w:lvl>
    <w:lvl w:ilvl="4" w:tplc="0C0A0019" w:tentative="1">
      <w:start w:val="1"/>
      <w:numFmt w:val="lowerLetter"/>
      <w:lvlText w:val="%5."/>
      <w:lvlJc w:val="left"/>
      <w:pPr>
        <w:tabs>
          <w:tab w:val="num" w:pos="4167"/>
        </w:tabs>
        <w:ind w:left="4167" w:hanging="360"/>
      </w:pPr>
    </w:lvl>
    <w:lvl w:ilvl="5" w:tplc="0C0A001B" w:tentative="1">
      <w:start w:val="1"/>
      <w:numFmt w:val="lowerRoman"/>
      <w:lvlText w:val="%6."/>
      <w:lvlJc w:val="right"/>
      <w:pPr>
        <w:tabs>
          <w:tab w:val="num" w:pos="4887"/>
        </w:tabs>
        <w:ind w:left="4887" w:hanging="180"/>
      </w:pPr>
    </w:lvl>
    <w:lvl w:ilvl="6" w:tplc="0C0A000F" w:tentative="1">
      <w:start w:val="1"/>
      <w:numFmt w:val="decimal"/>
      <w:lvlText w:val="%7."/>
      <w:lvlJc w:val="left"/>
      <w:pPr>
        <w:tabs>
          <w:tab w:val="num" w:pos="5607"/>
        </w:tabs>
        <w:ind w:left="5607" w:hanging="360"/>
      </w:pPr>
    </w:lvl>
    <w:lvl w:ilvl="7" w:tplc="0C0A0019" w:tentative="1">
      <w:start w:val="1"/>
      <w:numFmt w:val="lowerLetter"/>
      <w:lvlText w:val="%8."/>
      <w:lvlJc w:val="left"/>
      <w:pPr>
        <w:tabs>
          <w:tab w:val="num" w:pos="6327"/>
        </w:tabs>
        <w:ind w:left="6327" w:hanging="360"/>
      </w:pPr>
    </w:lvl>
    <w:lvl w:ilvl="8" w:tplc="0C0A001B" w:tentative="1">
      <w:start w:val="1"/>
      <w:numFmt w:val="lowerRoman"/>
      <w:lvlText w:val="%9."/>
      <w:lvlJc w:val="right"/>
      <w:pPr>
        <w:tabs>
          <w:tab w:val="num" w:pos="7047"/>
        </w:tabs>
        <w:ind w:left="7047" w:hanging="180"/>
      </w:pPr>
    </w:lvl>
  </w:abstractNum>
  <w:abstractNum w:abstractNumId="28" w15:restartNumberingAfterBreak="0">
    <w:nsid w:val="280F7055"/>
    <w:multiLevelType w:val="singleLevel"/>
    <w:tmpl w:val="0C0A000F"/>
    <w:lvl w:ilvl="0">
      <w:start w:val="1"/>
      <w:numFmt w:val="decimal"/>
      <w:lvlText w:val="%1."/>
      <w:lvlJc w:val="left"/>
      <w:pPr>
        <w:tabs>
          <w:tab w:val="num" w:pos="720"/>
        </w:tabs>
        <w:ind w:left="720" w:hanging="360"/>
      </w:pPr>
    </w:lvl>
  </w:abstractNum>
  <w:abstractNum w:abstractNumId="29" w15:restartNumberingAfterBreak="0">
    <w:nsid w:val="2E2A30E5"/>
    <w:multiLevelType w:val="hybridMultilevel"/>
    <w:tmpl w:val="96A23B92"/>
    <w:lvl w:ilvl="0" w:tplc="6428B3EA">
      <w:start w:val="100"/>
      <w:numFmt w:val="bullet"/>
      <w:lvlText w:val="-"/>
      <w:lvlJc w:val="left"/>
      <w:pPr>
        <w:ind w:left="720" w:hanging="360"/>
      </w:pPr>
      <w:rPr>
        <w:rFonts w:ascii="Book Antiqua" w:eastAsia="Times New Roman" w:hAnsi="Book Antiqu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01B3D70"/>
    <w:multiLevelType w:val="hybridMultilevel"/>
    <w:tmpl w:val="45F65D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04A4FB9"/>
    <w:multiLevelType w:val="hybridMultilevel"/>
    <w:tmpl w:val="B1CC5D4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32104651"/>
    <w:multiLevelType w:val="hybridMultilevel"/>
    <w:tmpl w:val="9D008510"/>
    <w:lvl w:ilvl="0" w:tplc="0C0A0001">
      <w:start w:val="1"/>
      <w:numFmt w:val="bullet"/>
      <w:lvlText w:val=""/>
      <w:lvlJc w:val="left"/>
      <w:pPr>
        <w:tabs>
          <w:tab w:val="num" w:pos="360"/>
        </w:tabs>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3" w15:restartNumberingAfterBreak="0">
    <w:nsid w:val="323A0FED"/>
    <w:multiLevelType w:val="hybridMultilevel"/>
    <w:tmpl w:val="001A4E20"/>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328C59E5"/>
    <w:multiLevelType w:val="hybridMultilevel"/>
    <w:tmpl w:val="D4566646"/>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32E371BB"/>
    <w:multiLevelType w:val="hybridMultilevel"/>
    <w:tmpl w:val="C6CAC68A"/>
    <w:lvl w:ilvl="0" w:tplc="56906982">
      <w:start w:val="1"/>
      <w:numFmt w:val="bullet"/>
      <w:lvlText w:val=""/>
      <w:lvlJc w:val="left"/>
      <w:pPr>
        <w:ind w:left="720" w:hanging="360"/>
      </w:pPr>
      <w:rPr>
        <w:rFonts w:ascii="Wingdings" w:hAnsi="Wingdings" w:hint="default"/>
        <w:color w:val="00008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35485519"/>
    <w:multiLevelType w:val="hybridMultilevel"/>
    <w:tmpl w:val="B8483A74"/>
    <w:lvl w:ilvl="0" w:tplc="140A0005">
      <w:start w:val="1"/>
      <w:numFmt w:val="bullet"/>
      <w:lvlText w:val=""/>
      <w:lvlJc w:val="left"/>
      <w:pPr>
        <w:ind w:left="360" w:hanging="360"/>
      </w:pPr>
      <w:rPr>
        <w:rFonts w:ascii="Wingdings" w:hAnsi="Wingdings"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7" w15:restartNumberingAfterBreak="0">
    <w:nsid w:val="35622BDD"/>
    <w:multiLevelType w:val="hybridMultilevel"/>
    <w:tmpl w:val="0EF8A1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36EA5DD9"/>
    <w:multiLevelType w:val="hybridMultilevel"/>
    <w:tmpl w:val="10DAC86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385C5063"/>
    <w:multiLevelType w:val="multilevel"/>
    <w:tmpl w:val="50CE7DAE"/>
    <w:lvl w:ilvl="0">
      <w:start w:val="1"/>
      <w:numFmt w:val="decimal"/>
      <w:pStyle w:val="Ttulo1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C7929D3"/>
    <w:multiLevelType w:val="hybridMultilevel"/>
    <w:tmpl w:val="73B43D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3CE2704C"/>
    <w:multiLevelType w:val="hybridMultilevel"/>
    <w:tmpl w:val="51660B06"/>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41BE488C"/>
    <w:multiLevelType w:val="hybridMultilevel"/>
    <w:tmpl w:val="D10AFE04"/>
    <w:lvl w:ilvl="0" w:tplc="140A0001">
      <w:start w:val="1"/>
      <w:numFmt w:val="bullet"/>
      <w:lvlText w:val=""/>
      <w:lvlJc w:val="left"/>
      <w:pPr>
        <w:ind w:left="1146" w:hanging="360"/>
      </w:pPr>
      <w:rPr>
        <w:rFonts w:ascii="Symbol" w:hAnsi="Symbol" w:hint="default"/>
      </w:rPr>
    </w:lvl>
    <w:lvl w:ilvl="1" w:tplc="140A0003" w:tentative="1">
      <w:start w:val="1"/>
      <w:numFmt w:val="bullet"/>
      <w:lvlText w:val="o"/>
      <w:lvlJc w:val="left"/>
      <w:pPr>
        <w:ind w:left="1866" w:hanging="360"/>
      </w:pPr>
      <w:rPr>
        <w:rFonts w:ascii="Courier New" w:hAnsi="Courier New" w:cs="Courier New" w:hint="default"/>
      </w:rPr>
    </w:lvl>
    <w:lvl w:ilvl="2" w:tplc="140A0005" w:tentative="1">
      <w:start w:val="1"/>
      <w:numFmt w:val="bullet"/>
      <w:lvlText w:val=""/>
      <w:lvlJc w:val="left"/>
      <w:pPr>
        <w:ind w:left="2586" w:hanging="360"/>
      </w:pPr>
      <w:rPr>
        <w:rFonts w:ascii="Wingdings" w:hAnsi="Wingdings" w:hint="default"/>
      </w:rPr>
    </w:lvl>
    <w:lvl w:ilvl="3" w:tplc="140A0001" w:tentative="1">
      <w:start w:val="1"/>
      <w:numFmt w:val="bullet"/>
      <w:lvlText w:val=""/>
      <w:lvlJc w:val="left"/>
      <w:pPr>
        <w:ind w:left="3306" w:hanging="360"/>
      </w:pPr>
      <w:rPr>
        <w:rFonts w:ascii="Symbol" w:hAnsi="Symbol" w:hint="default"/>
      </w:rPr>
    </w:lvl>
    <w:lvl w:ilvl="4" w:tplc="140A0003" w:tentative="1">
      <w:start w:val="1"/>
      <w:numFmt w:val="bullet"/>
      <w:lvlText w:val="o"/>
      <w:lvlJc w:val="left"/>
      <w:pPr>
        <w:ind w:left="4026" w:hanging="360"/>
      </w:pPr>
      <w:rPr>
        <w:rFonts w:ascii="Courier New" w:hAnsi="Courier New" w:cs="Courier New" w:hint="default"/>
      </w:rPr>
    </w:lvl>
    <w:lvl w:ilvl="5" w:tplc="140A0005" w:tentative="1">
      <w:start w:val="1"/>
      <w:numFmt w:val="bullet"/>
      <w:lvlText w:val=""/>
      <w:lvlJc w:val="left"/>
      <w:pPr>
        <w:ind w:left="4746" w:hanging="360"/>
      </w:pPr>
      <w:rPr>
        <w:rFonts w:ascii="Wingdings" w:hAnsi="Wingdings" w:hint="default"/>
      </w:rPr>
    </w:lvl>
    <w:lvl w:ilvl="6" w:tplc="140A0001" w:tentative="1">
      <w:start w:val="1"/>
      <w:numFmt w:val="bullet"/>
      <w:lvlText w:val=""/>
      <w:lvlJc w:val="left"/>
      <w:pPr>
        <w:ind w:left="5466" w:hanging="360"/>
      </w:pPr>
      <w:rPr>
        <w:rFonts w:ascii="Symbol" w:hAnsi="Symbol" w:hint="default"/>
      </w:rPr>
    </w:lvl>
    <w:lvl w:ilvl="7" w:tplc="140A0003" w:tentative="1">
      <w:start w:val="1"/>
      <w:numFmt w:val="bullet"/>
      <w:lvlText w:val="o"/>
      <w:lvlJc w:val="left"/>
      <w:pPr>
        <w:ind w:left="6186" w:hanging="360"/>
      </w:pPr>
      <w:rPr>
        <w:rFonts w:ascii="Courier New" w:hAnsi="Courier New" w:cs="Courier New" w:hint="default"/>
      </w:rPr>
    </w:lvl>
    <w:lvl w:ilvl="8" w:tplc="140A0005" w:tentative="1">
      <w:start w:val="1"/>
      <w:numFmt w:val="bullet"/>
      <w:lvlText w:val=""/>
      <w:lvlJc w:val="left"/>
      <w:pPr>
        <w:ind w:left="6906" w:hanging="360"/>
      </w:pPr>
      <w:rPr>
        <w:rFonts w:ascii="Wingdings" w:hAnsi="Wingdings" w:hint="default"/>
      </w:rPr>
    </w:lvl>
  </w:abstractNum>
  <w:abstractNum w:abstractNumId="43" w15:restartNumberingAfterBreak="0">
    <w:nsid w:val="44D43525"/>
    <w:multiLevelType w:val="hybridMultilevel"/>
    <w:tmpl w:val="774E52B4"/>
    <w:lvl w:ilvl="0" w:tplc="140A0003">
      <w:start w:val="1"/>
      <w:numFmt w:val="bullet"/>
      <w:lvlText w:val="o"/>
      <w:lvlJc w:val="left"/>
      <w:pPr>
        <w:ind w:left="1068" w:hanging="360"/>
      </w:pPr>
      <w:rPr>
        <w:rFonts w:ascii="Courier New" w:hAnsi="Courier New" w:cs="Courier New" w:hint="default"/>
      </w:rPr>
    </w:lvl>
    <w:lvl w:ilvl="1" w:tplc="140A0003">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44" w15:restartNumberingAfterBreak="0">
    <w:nsid w:val="45F333B5"/>
    <w:multiLevelType w:val="hybridMultilevel"/>
    <w:tmpl w:val="CDACDDFC"/>
    <w:lvl w:ilvl="0" w:tplc="56906982">
      <w:start w:val="1"/>
      <w:numFmt w:val="bullet"/>
      <w:lvlText w:val=""/>
      <w:lvlJc w:val="left"/>
      <w:pPr>
        <w:tabs>
          <w:tab w:val="num" w:pos="567"/>
        </w:tabs>
        <w:ind w:left="567" w:hanging="567"/>
      </w:pPr>
      <w:rPr>
        <w:rFonts w:ascii="Wingdings" w:hAnsi="Wingdings" w:hint="default"/>
        <w:color w:val="00008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78616F8"/>
    <w:multiLevelType w:val="hybridMultilevel"/>
    <w:tmpl w:val="41B0566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47A25547"/>
    <w:multiLevelType w:val="hybridMultilevel"/>
    <w:tmpl w:val="8D9880F0"/>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7" w15:restartNumberingAfterBreak="0">
    <w:nsid w:val="4AE27D6F"/>
    <w:multiLevelType w:val="hybridMultilevel"/>
    <w:tmpl w:val="8294E23E"/>
    <w:lvl w:ilvl="0" w:tplc="FC669196">
      <w:start w:val="2"/>
      <w:numFmt w:val="lowerLetter"/>
      <w:lvlText w:val="%1."/>
      <w:lvlJc w:val="left"/>
      <w:pPr>
        <w:tabs>
          <w:tab w:val="num" w:pos="1647"/>
        </w:tabs>
        <w:ind w:left="1647" w:hanging="567"/>
      </w:pPr>
      <w:rPr>
        <w:rFonts w:hint="default"/>
        <w:b w:val="0"/>
        <w:i w:val="0"/>
        <w:color w:val="auto"/>
        <w:sz w:val="22"/>
        <w:szCs w:val="22"/>
      </w:rPr>
    </w:lvl>
    <w:lvl w:ilvl="1" w:tplc="0C0A0019" w:tentative="1">
      <w:start w:val="1"/>
      <w:numFmt w:val="lowerLetter"/>
      <w:lvlText w:val="%2."/>
      <w:lvlJc w:val="left"/>
      <w:pPr>
        <w:tabs>
          <w:tab w:val="num" w:pos="1953"/>
        </w:tabs>
        <w:ind w:left="1953" w:hanging="360"/>
      </w:pPr>
    </w:lvl>
    <w:lvl w:ilvl="2" w:tplc="0C0A001B" w:tentative="1">
      <w:start w:val="1"/>
      <w:numFmt w:val="lowerRoman"/>
      <w:lvlText w:val="%3."/>
      <w:lvlJc w:val="right"/>
      <w:pPr>
        <w:tabs>
          <w:tab w:val="num" w:pos="2673"/>
        </w:tabs>
        <w:ind w:left="2673" w:hanging="180"/>
      </w:pPr>
    </w:lvl>
    <w:lvl w:ilvl="3" w:tplc="0C0A000F" w:tentative="1">
      <w:start w:val="1"/>
      <w:numFmt w:val="decimal"/>
      <w:lvlText w:val="%4."/>
      <w:lvlJc w:val="left"/>
      <w:pPr>
        <w:tabs>
          <w:tab w:val="num" w:pos="3393"/>
        </w:tabs>
        <w:ind w:left="3393" w:hanging="360"/>
      </w:pPr>
    </w:lvl>
    <w:lvl w:ilvl="4" w:tplc="0C0A0019" w:tentative="1">
      <w:start w:val="1"/>
      <w:numFmt w:val="lowerLetter"/>
      <w:lvlText w:val="%5."/>
      <w:lvlJc w:val="left"/>
      <w:pPr>
        <w:tabs>
          <w:tab w:val="num" w:pos="4113"/>
        </w:tabs>
        <w:ind w:left="4113" w:hanging="360"/>
      </w:pPr>
    </w:lvl>
    <w:lvl w:ilvl="5" w:tplc="0C0A001B" w:tentative="1">
      <w:start w:val="1"/>
      <w:numFmt w:val="lowerRoman"/>
      <w:lvlText w:val="%6."/>
      <w:lvlJc w:val="right"/>
      <w:pPr>
        <w:tabs>
          <w:tab w:val="num" w:pos="4833"/>
        </w:tabs>
        <w:ind w:left="4833" w:hanging="180"/>
      </w:pPr>
    </w:lvl>
    <w:lvl w:ilvl="6" w:tplc="0C0A000F" w:tentative="1">
      <w:start w:val="1"/>
      <w:numFmt w:val="decimal"/>
      <w:lvlText w:val="%7."/>
      <w:lvlJc w:val="left"/>
      <w:pPr>
        <w:tabs>
          <w:tab w:val="num" w:pos="5553"/>
        </w:tabs>
        <w:ind w:left="5553" w:hanging="360"/>
      </w:pPr>
    </w:lvl>
    <w:lvl w:ilvl="7" w:tplc="0C0A0019" w:tentative="1">
      <w:start w:val="1"/>
      <w:numFmt w:val="lowerLetter"/>
      <w:lvlText w:val="%8."/>
      <w:lvlJc w:val="left"/>
      <w:pPr>
        <w:tabs>
          <w:tab w:val="num" w:pos="6273"/>
        </w:tabs>
        <w:ind w:left="6273" w:hanging="360"/>
      </w:pPr>
    </w:lvl>
    <w:lvl w:ilvl="8" w:tplc="0C0A001B" w:tentative="1">
      <w:start w:val="1"/>
      <w:numFmt w:val="lowerRoman"/>
      <w:lvlText w:val="%9."/>
      <w:lvlJc w:val="right"/>
      <w:pPr>
        <w:tabs>
          <w:tab w:val="num" w:pos="6993"/>
        </w:tabs>
        <w:ind w:left="6993" w:hanging="180"/>
      </w:pPr>
    </w:lvl>
  </w:abstractNum>
  <w:abstractNum w:abstractNumId="48" w15:restartNumberingAfterBreak="0">
    <w:nsid w:val="4C4C3BC8"/>
    <w:multiLevelType w:val="hybridMultilevel"/>
    <w:tmpl w:val="EDC8C16E"/>
    <w:lvl w:ilvl="0" w:tplc="0C0A0001">
      <w:start w:val="1"/>
      <w:numFmt w:val="bullet"/>
      <w:lvlText w:val=""/>
      <w:lvlJc w:val="left"/>
      <w:pPr>
        <w:tabs>
          <w:tab w:val="num" w:pos="360"/>
        </w:tabs>
        <w:ind w:left="360" w:hanging="360"/>
      </w:pPr>
      <w:rPr>
        <w:rFonts w:ascii="Symbol" w:hAnsi="Symbol" w:hint="default"/>
      </w:rPr>
    </w:lvl>
    <w:lvl w:ilvl="1" w:tplc="F8BCFB0C">
      <w:start w:val="1"/>
      <w:numFmt w:val="bullet"/>
      <w:pStyle w:val="TextoIndempendiente2"/>
      <w:lvlText w:val=""/>
      <w:lvlJc w:val="left"/>
      <w:pPr>
        <w:tabs>
          <w:tab w:val="num" w:pos="1080"/>
        </w:tabs>
        <w:ind w:left="1080" w:hanging="360"/>
      </w:pPr>
      <w:rPr>
        <w:rFonts w:ascii="Symbol" w:hAnsi="Symbol"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4D0048CA"/>
    <w:multiLevelType w:val="hybridMultilevel"/>
    <w:tmpl w:val="651A30A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0" w15:restartNumberingAfterBreak="0">
    <w:nsid w:val="4E636B3F"/>
    <w:multiLevelType w:val="hybridMultilevel"/>
    <w:tmpl w:val="5E820BB2"/>
    <w:lvl w:ilvl="0" w:tplc="140A0003">
      <w:start w:val="1"/>
      <w:numFmt w:val="bullet"/>
      <w:lvlText w:val="o"/>
      <w:lvlJc w:val="left"/>
      <w:pPr>
        <w:ind w:left="1068" w:hanging="360"/>
      </w:pPr>
      <w:rPr>
        <w:rFonts w:ascii="Courier New" w:hAnsi="Courier New" w:cs="Courier New" w:hint="default"/>
      </w:rPr>
    </w:lvl>
    <w:lvl w:ilvl="1" w:tplc="140A0003">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51" w15:restartNumberingAfterBreak="0">
    <w:nsid w:val="4F111731"/>
    <w:multiLevelType w:val="hybridMultilevel"/>
    <w:tmpl w:val="BCE65AD8"/>
    <w:lvl w:ilvl="0" w:tplc="6B10CA52">
      <w:start w:val="1"/>
      <w:numFmt w:val="decimal"/>
      <w:isLgl/>
      <w:lvlText w:val="%1."/>
      <w:lvlJc w:val="left"/>
      <w:pPr>
        <w:tabs>
          <w:tab w:val="num" w:pos="1134"/>
        </w:tabs>
        <w:ind w:left="1134" w:hanging="567"/>
      </w:pPr>
      <w:rPr>
        <w:rFonts w:asciiTheme="majorHAnsi" w:hAnsiTheme="majorHAnsi" w:hint="default"/>
        <w:b w:val="0"/>
        <w:i w:val="0"/>
        <w:color w:val="auto"/>
        <w:sz w:val="22"/>
        <w:szCs w:val="22"/>
      </w:rPr>
    </w:lvl>
    <w:lvl w:ilvl="1" w:tplc="BAEECB28">
      <w:start w:val="1"/>
      <w:numFmt w:val="lowerLetter"/>
      <w:lvlText w:val="%2."/>
      <w:lvlJc w:val="left"/>
      <w:pPr>
        <w:tabs>
          <w:tab w:val="num" w:pos="2214"/>
        </w:tabs>
        <w:ind w:left="2214" w:hanging="567"/>
      </w:pPr>
      <w:rPr>
        <w:rFonts w:hint="default"/>
        <w:b w:val="0"/>
        <w:i w:val="0"/>
        <w:color w:val="auto"/>
        <w:sz w:val="24"/>
        <w:szCs w:val="24"/>
      </w:r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52" w15:restartNumberingAfterBreak="0">
    <w:nsid w:val="51143B9A"/>
    <w:multiLevelType w:val="hybridMultilevel"/>
    <w:tmpl w:val="245EA348"/>
    <w:lvl w:ilvl="0" w:tplc="737A695A">
      <w:start w:val="1"/>
      <w:numFmt w:val="bullet"/>
      <w:pStyle w:val="TextoIndependiente2"/>
      <w:lvlText w:val=""/>
      <w:lvlJc w:val="left"/>
      <w:pPr>
        <w:tabs>
          <w:tab w:val="num" w:pos="1425"/>
        </w:tabs>
        <w:ind w:left="1425" w:hanging="360"/>
      </w:pPr>
      <w:rPr>
        <w:rFonts w:ascii="Symbol" w:hAnsi="Symbol" w:hint="default"/>
      </w:rPr>
    </w:lvl>
    <w:lvl w:ilvl="1" w:tplc="0C0A0003">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53" w15:restartNumberingAfterBreak="0">
    <w:nsid w:val="52E6069C"/>
    <w:multiLevelType w:val="hybridMultilevel"/>
    <w:tmpl w:val="81BA27EA"/>
    <w:lvl w:ilvl="0" w:tplc="140A0005">
      <w:start w:val="1"/>
      <w:numFmt w:val="bullet"/>
      <w:lvlText w:val=""/>
      <w:lvlJc w:val="left"/>
      <w:pPr>
        <w:ind w:left="720" w:hanging="360"/>
      </w:pPr>
      <w:rPr>
        <w:rFonts w:ascii="Wingdings" w:hAnsi="Wingdings" w:hint="default"/>
      </w:rPr>
    </w:lvl>
    <w:lvl w:ilvl="1" w:tplc="140A0005">
      <w:start w:val="1"/>
      <w:numFmt w:val="bullet"/>
      <w:lvlText w:val=""/>
      <w:lvlJc w:val="left"/>
      <w:pPr>
        <w:ind w:left="1440" w:hanging="360"/>
      </w:pPr>
      <w:rPr>
        <w:rFonts w:ascii="Wingdings" w:hAnsi="Wingdings" w:hint="default"/>
      </w:r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 w15:restartNumberingAfterBreak="0">
    <w:nsid w:val="531F1B96"/>
    <w:multiLevelType w:val="multilevel"/>
    <w:tmpl w:val="B7A01E8A"/>
    <w:lvl w:ilvl="0">
      <w:start w:val="1"/>
      <w:numFmt w:val="decimal"/>
      <w:lvlText w:val="%1."/>
      <w:lvlJc w:val="left"/>
      <w:pPr>
        <w:ind w:left="360" w:hanging="360"/>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549053ED"/>
    <w:multiLevelType w:val="hybridMultilevel"/>
    <w:tmpl w:val="DC204034"/>
    <w:lvl w:ilvl="0" w:tplc="140A0005">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6" w15:restartNumberingAfterBreak="0">
    <w:nsid w:val="56CE5704"/>
    <w:multiLevelType w:val="hybridMultilevel"/>
    <w:tmpl w:val="DD8E09BE"/>
    <w:lvl w:ilvl="0" w:tplc="0C0A0001">
      <w:start w:val="1"/>
      <w:numFmt w:val="bullet"/>
      <w:lvlText w:val=""/>
      <w:lvlJc w:val="left"/>
      <w:pPr>
        <w:tabs>
          <w:tab w:val="num" w:pos="360"/>
        </w:tabs>
        <w:ind w:left="360" w:hanging="360"/>
      </w:pPr>
      <w:rPr>
        <w:rFonts w:ascii="Symbol" w:hAnsi="Symbol" w:hint="default"/>
      </w:rPr>
    </w:lvl>
    <w:lvl w:ilvl="1" w:tplc="C06EDE36">
      <w:start w:val="1"/>
      <w:numFmt w:val="bullet"/>
      <w:lvlText w:val="•"/>
      <w:lvlJc w:val="left"/>
      <w:pPr>
        <w:tabs>
          <w:tab w:val="num" w:pos="1080"/>
        </w:tabs>
        <w:ind w:left="1080" w:hanging="360"/>
      </w:pPr>
      <w:rPr>
        <w:rFonts w:ascii="Arial" w:hAnsi="Arial" w:hint="default"/>
      </w:rPr>
    </w:lvl>
    <w:lvl w:ilvl="2" w:tplc="36AE2C9C" w:tentative="1">
      <w:start w:val="1"/>
      <w:numFmt w:val="bullet"/>
      <w:lvlText w:val="•"/>
      <w:lvlJc w:val="left"/>
      <w:pPr>
        <w:tabs>
          <w:tab w:val="num" w:pos="1800"/>
        </w:tabs>
        <w:ind w:left="1800" w:hanging="360"/>
      </w:pPr>
      <w:rPr>
        <w:rFonts w:ascii="Arial" w:hAnsi="Arial" w:hint="default"/>
      </w:rPr>
    </w:lvl>
    <w:lvl w:ilvl="3" w:tplc="D996CDCE" w:tentative="1">
      <w:start w:val="1"/>
      <w:numFmt w:val="bullet"/>
      <w:lvlText w:val="•"/>
      <w:lvlJc w:val="left"/>
      <w:pPr>
        <w:tabs>
          <w:tab w:val="num" w:pos="2520"/>
        </w:tabs>
        <w:ind w:left="2520" w:hanging="360"/>
      </w:pPr>
      <w:rPr>
        <w:rFonts w:ascii="Arial" w:hAnsi="Arial" w:hint="default"/>
      </w:rPr>
    </w:lvl>
    <w:lvl w:ilvl="4" w:tplc="0FBAB44C" w:tentative="1">
      <w:start w:val="1"/>
      <w:numFmt w:val="bullet"/>
      <w:lvlText w:val="•"/>
      <w:lvlJc w:val="left"/>
      <w:pPr>
        <w:tabs>
          <w:tab w:val="num" w:pos="3240"/>
        </w:tabs>
        <w:ind w:left="3240" w:hanging="360"/>
      </w:pPr>
      <w:rPr>
        <w:rFonts w:ascii="Arial" w:hAnsi="Arial" w:hint="default"/>
      </w:rPr>
    </w:lvl>
    <w:lvl w:ilvl="5" w:tplc="6ABE5D68" w:tentative="1">
      <w:start w:val="1"/>
      <w:numFmt w:val="bullet"/>
      <w:lvlText w:val="•"/>
      <w:lvlJc w:val="left"/>
      <w:pPr>
        <w:tabs>
          <w:tab w:val="num" w:pos="3960"/>
        </w:tabs>
        <w:ind w:left="3960" w:hanging="360"/>
      </w:pPr>
      <w:rPr>
        <w:rFonts w:ascii="Arial" w:hAnsi="Arial" w:hint="default"/>
      </w:rPr>
    </w:lvl>
    <w:lvl w:ilvl="6" w:tplc="EB420742" w:tentative="1">
      <w:start w:val="1"/>
      <w:numFmt w:val="bullet"/>
      <w:lvlText w:val="•"/>
      <w:lvlJc w:val="left"/>
      <w:pPr>
        <w:tabs>
          <w:tab w:val="num" w:pos="4680"/>
        </w:tabs>
        <w:ind w:left="4680" w:hanging="360"/>
      </w:pPr>
      <w:rPr>
        <w:rFonts w:ascii="Arial" w:hAnsi="Arial" w:hint="default"/>
      </w:rPr>
    </w:lvl>
    <w:lvl w:ilvl="7" w:tplc="A9B2941C" w:tentative="1">
      <w:start w:val="1"/>
      <w:numFmt w:val="bullet"/>
      <w:lvlText w:val="•"/>
      <w:lvlJc w:val="left"/>
      <w:pPr>
        <w:tabs>
          <w:tab w:val="num" w:pos="5400"/>
        </w:tabs>
        <w:ind w:left="5400" w:hanging="360"/>
      </w:pPr>
      <w:rPr>
        <w:rFonts w:ascii="Arial" w:hAnsi="Arial" w:hint="default"/>
      </w:rPr>
    </w:lvl>
    <w:lvl w:ilvl="8" w:tplc="6C1C0DCC" w:tentative="1">
      <w:start w:val="1"/>
      <w:numFmt w:val="bullet"/>
      <w:lvlText w:val="•"/>
      <w:lvlJc w:val="left"/>
      <w:pPr>
        <w:tabs>
          <w:tab w:val="num" w:pos="6120"/>
        </w:tabs>
        <w:ind w:left="6120" w:hanging="360"/>
      </w:pPr>
      <w:rPr>
        <w:rFonts w:ascii="Arial" w:hAnsi="Arial" w:hint="default"/>
      </w:rPr>
    </w:lvl>
  </w:abstractNum>
  <w:abstractNum w:abstractNumId="57" w15:restartNumberingAfterBreak="0">
    <w:nsid w:val="59FF5812"/>
    <w:multiLevelType w:val="hybridMultilevel"/>
    <w:tmpl w:val="044ADC42"/>
    <w:lvl w:ilvl="0" w:tplc="48FC724C">
      <w:start w:val="1"/>
      <w:numFmt w:val="bullet"/>
      <w:lvlText w:val=""/>
      <w:lvlJc w:val="left"/>
      <w:pPr>
        <w:tabs>
          <w:tab w:val="num" w:pos="1134"/>
        </w:tabs>
        <w:ind w:left="1134" w:hanging="567"/>
      </w:pPr>
      <w:rPr>
        <w:rFonts w:ascii="Wingdings" w:hAnsi="Wing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A220794"/>
    <w:multiLevelType w:val="hybridMultilevel"/>
    <w:tmpl w:val="6794360E"/>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9" w15:restartNumberingAfterBreak="0">
    <w:nsid w:val="5E4C4E00"/>
    <w:multiLevelType w:val="hybridMultilevel"/>
    <w:tmpl w:val="19BA5CC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0" w15:restartNumberingAfterBreak="0">
    <w:nsid w:val="705660DF"/>
    <w:multiLevelType w:val="hybridMultilevel"/>
    <w:tmpl w:val="354AE3E6"/>
    <w:lvl w:ilvl="0" w:tplc="A3A8EF50">
      <w:start w:val="1"/>
      <w:numFmt w:val="upperLetter"/>
      <w:lvlText w:val="%1."/>
      <w:lvlJc w:val="left"/>
      <w:pPr>
        <w:ind w:left="360" w:hanging="360"/>
      </w:pPr>
      <w:rPr>
        <w:i w:val="0"/>
      </w:rPr>
    </w:lvl>
    <w:lvl w:ilvl="1" w:tplc="140A0019" w:tentative="1">
      <w:start w:val="1"/>
      <w:numFmt w:val="lowerLetter"/>
      <w:lvlText w:val="%2."/>
      <w:lvlJc w:val="left"/>
      <w:pPr>
        <w:ind w:left="1374" w:hanging="360"/>
      </w:pPr>
    </w:lvl>
    <w:lvl w:ilvl="2" w:tplc="140A001B" w:tentative="1">
      <w:start w:val="1"/>
      <w:numFmt w:val="lowerRoman"/>
      <w:lvlText w:val="%3."/>
      <w:lvlJc w:val="right"/>
      <w:pPr>
        <w:ind w:left="2094" w:hanging="180"/>
      </w:pPr>
    </w:lvl>
    <w:lvl w:ilvl="3" w:tplc="140A000F" w:tentative="1">
      <w:start w:val="1"/>
      <w:numFmt w:val="decimal"/>
      <w:lvlText w:val="%4."/>
      <w:lvlJc w:val="left"/>
      <w:pPr>
        <w:ind w:left="2814" w:hanging="360"/>
      </w:pPr>
    </w:lvl>
    <w:lvl w:ilvl="4" w:tplc="140A0019" w:tentative="1">
      <w:start w:val="1"/>
      <w:numFmt w:val="lowerLetter"/>
      <w:lvlText w:val="%5."/>
      <w:lvlJc w:val="left"/>
      <w:pPr>
        <w:ind w:left="3534" w:hanging="360"/>
      </w:pPr>
    </w:lvl>
    <w:lvl w:ilvl="5" w:tplc="140A001B" w:tentative="1">
      <w:start w:val="1"/>
      <w:numFmt w:val="lowerRoman"/>
      <w:lvlText w:val="%6."/>
      <w:lvlJc w:val="right"/>
      <w:pPr>
        <w:ind w:left="4254" w:hanging="180"/>
      </w:pPr>
    </w:lvl>
    <w:lvl w:ilvl="6" w:tplc="140A000F" w:tentative="1">
      <w:start w:val="1"/>
      <w:numFmt w:val="decimal"/>
      <w:lvlText w:val="%7."/>
      <w:lvlJc w:val="left"/>
      <w:pPr>
        <w:ind w:left="4974" w:hanging="360"/>
      </w:pPr>
    </w:lvl>
    <w:lvl w:ilvl="7" w:tplc="140A0019" w:tentative="1">
      <w:start w:val="1"/>
      <w:numFmt w:val="lowerLetter"/>
      <w:lvlText w:val="%8."/>
      <w:lvlJc w:val="left"/>
      <w:pPr>
        <w:ind w:left="5694" w:hanging="360"/>
      </w:pPr>
    </w:lvl>
    <w:lvl w:ilvl="8" w:tplc="140A001B" w:tentative="1">
      <w:start w:val="1"/>
      <w:numFmt w:val="lowerRoman"/>
      <w:lvlText w:val="%9."/>
      <w:lvlJc w:val="right"/>
      <w:pPr>
        <w:ind w:left="6414" w:hanging="180"/>
      </w:pPr>
    </w:lvl>
  </w:abstractNum>
  <w:abstractNum w:abstractNumId="61" w15:restartNumberingAfterBreak="0">
    <w:nsid w:val="72963B8E"/>
    <w:multiLevelType w:val="hybridMultilevel"/>
    <w:tmpl w:val="FCFE28F8"/>
    <w:lvl w:ilvl="0" w:tplc="56906982">
      <w:start w:val="1"/>
      <w:numFmt w:val="bullet"/>
      <w:lvlText w:val=""/>
      <w:lvlJc w:val="left"/>
      <w:pPr>
        <w:ind w:left="720" w:hanging="360"/>
      </w:pPr>
      <w:rPr>
        <w:rFonts w:ascii="Wingdings" w:hAnsi="Wingdings" w:hint="default"/>
        <w:color w:val="00008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2" w15:restartNumberingAfterBreak="0">
    <w:nsid w:val="788F55A8"/>
    <w:multiLevelType w:val="hybridMultilevel"/>
    <w:tmpl w:val="CD14105A"/>
    <w:lvl w:ilvl="0" w:tplc="140A0005">
      <w:start w:val="1"/>
      <w:numFmt w:val="bullet"/>
      <w:lvlText w:val=""/>
      <w:lvlJc w:val="left"/>
      <w:pPr>
        <w:ind w:left="720" w:hanging="360"/>
      </w:pPr>
      <w:rPr>
        <w:rFonts w:ascii="Wingdings" w:hAnsi="Wingding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3" w15:restartNumberingAfterBreak="0">
    <w:nsid w:val="78A6409B"/>
    <w:multiLevelType w:val="hybridMultilevel"/>
    <w:tmpl w:val="D3561428"/>
    <w:lvl w:ilvl="0" w:tplc="140A0005">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6"/>
  </w:num>
  <w:num w:numId="2">
    <w:abstractNumId w:val="57"/>
  </w:num>
  <w:num w:numId="3">
    <w:abstractNumId w:val="3"/>
  </w:num>
  <w:num w:numId="4">
    <w:abstractNumId w:val="51"/>
  </w:num>
  <w:num w:numId="5">
    <w:abstractNumId w:val="8"/>
  </w:num>
  <w:num w:numId="6">
    <w:abstractNumId w:val="7"/>
  </w:num>
  <w:num w:numId="7">
    <w:abstractNumId w:val="47"/>
  </w:num>
  <w:num w:numId="8">
    <w:abstractNumId w:val="27"/>
  </w:num>
  <w:num w:numId="9">
    <w:abstractNumId w:val="48"/>
  </w:num>
  <w:num w:numId="10">
    <w:abstractNumId w:val="52"/>
  </w:num>
  <w:num w:numId="11">
    <w:abstractNumId w:val="44"/>
  </w:num>
  <w:num w:numId="12">
    <w:abstractNumId w:val="21"/>
  </w:num>
  <w:num w:numId="13">
    <w:abstractNumId w:val="40"/>
  </w:num>
  <w:num w:numId="14">
    <w:abstractNumId w:val="2"/>
  </w:num>
  <w:num w:numId="15">
    <w:abstractNumId w:val="1"/>
  </w:num>
  <w:num w:numId="16">
    <w:abstractNumId w:val="0"/>
  </w:num>
  <w:num w:numId="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31"/>
  </w:num>
  <w:num w:numId="20">
    <w:abstractNumId w:val="42"/>
  </w:num>
  <w:num w:numId="21">
    <w:abstractNumId w:val="15"/>
  </w:num>
  <w:num w:numId="22">
    <w:abstractNumId w:val="35"/>
  </w:num>
  <w:num w:numId="23">
    <w:abstractNumId w:val="61"/>
  </w:num>
  <w:num w:numId="24">
    <w:abstractNumId w:val="5"/>
  </w:num>
  <w:num w:numId="25">
    <w:abstractNumId w:val="19"/>
  </w:num>
  <w:num w:numId="26">
    <w:abstractNumId w:val="56"/>
  </w:num>
  <w:num w:numId="27">
    <w:abstractNumId w:val="29"/>
  </w:num>
  <w:num w:numId="28">
    <w:abstractNumId w:val="20"/>
  </w:num>
  <w:num w:numId="29">
    <w:abstractNumId w:val="60"/>
  </w:num>
  <w:num w:numId="30">
    <w:abstractNumId w:val="58"/>
  </w:num>
  <w:num w:numId="31">
    <w:abstractNumId w:val="18"/>
  </w:num>
  <w:num w:numId="32">
    <w:abstractNumId w:val="59"/>
  </w:num>
  <w:num w:numId="33">
    <w:abstractNumId w:val="43"/>
  </w:num>
  <w:num w:numId="34">
    <w:abstractNumId w:val="34"/>
  </w:num>
  <w:num w:numId="35">
    <w:abstractNumId w:val="63"/>
  </w:num>
  <w:num w:numId="36">
    <w:abstractNumId w:val="33"/>
  </w:num>
  <w:num w:numId="37">
    <w:abstractNumId w:val="50"/>
  </w:num>
  <w:num w:numId="38">
    <w:abstractNumId w:val="36"/>
  </w:num>
  <w:num w:numId="39">
    <w:abstractNumId w:val="46"/>
  </w:num>
  <w:num w:numId="40">
    <w:abstractNumId w:val="62"/>
  </w:num>
  <w:num w:numId="41">
    <w:abstractNumId w:val="53"/>
  </w:num>
  <w:num w:numId="42">
    <w:abstractNumId w:val="16"/>
  </w:num>
  <w:num w:numId="43">
    <w:abstractNumId w:val="12"/>
  </w:num>
  <w:num w:numId="44">
    <w:abstractNumId w:val="55"/>
  </w:num>
  <w:num w:numId="45">
    <w:abstractNumId w:val="54"/>
  </w:num>
  <w:num w:numId="46">
    <w:abstractNumId w:val="9"/>
  </w:num>
  <w:num w:numId="47">
    <w:abstractNumId w:val="13"/>
  </w:num>
  <w:num w:numId="48">
    <w:abstractNumId w:val="24"/>
  </w:num>
  <w:num w:numId="49">
    <w:abstractNumId w:val="26"/>
  </w:num>
  <w:num w:numId="50">
    <w:abstractNumId w:val="10"/>
  </w:num>
  <w:num w:numId="51">
    <w:abstractNumId w:val="22"/>
  </w:num>
  <w:num w:numId="52">
    <w:abstractNumId w:val="17"/>
  </w:num>
  <w:num w:numId="53">
    <w:abstractNumId w:val="41"/>
  </w:num>
  <w:num w:numId="54">
    <w:abstractNumId w:val="45"/>
  </w:num>
  <w:num w:numId="55">
    <w:abstractNumId w:val="32"/>
  </w:num>
  <w:num w:numId="56">
    <w:abstractNumId w:val="23"/>
  </w:num>
  <w:num w:numId="57">
    <w:abstractNumId w:val="49"/>
  </w:num>
  <w:num w:numId="58">
    <w:abstractNumId w:val="14"/>
  </w:num>
  <w:num w:numId="59">
    <w:abstractNumId w:val="25"/>
  </w:num>
  <w:num w:numId="60">
    <w:abstractNumId w:val="30"/>
  </w:num>
  <w:num w:numId="61">
    <w:abstractNumId w:val="4"/>
  </w:num>
  <w:num w:numId="62">
    <w:abstractNumId w:val="11"/>
  </w:num>
  <w:num w:numId="63">
    <w:abstractNumId w:val="38"/>
  </w:num>
  <w:num w:numId="64">
    <w:abstractNumId w:val="3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CR"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2CE"/>
    <w:rsid w:val="00001B41"/>
    <w:rsid w:val="00006C37"/>
    <w:rsid w:val="00010EDE"/>
    <w:rsid w:val="0001536C"/>
    <w:rsid w:val="0001591F"/>
    <w:rsid w:val="00016D39"/>
    <w:rsid w:val="000201FD"/>
    <w:rsid w:val="000207C1"/>
    <w:rsid w:val="000209E3"/>
    <w:rsid w:val="00020BD4"/>
    <w:rsid w:val="0002289A"/>
    <w:rsid w:val="00023164"/>
    <w:rsid w:val="0002385C"/>
    <w:rsid w:val="00024540"/>
    <w:rsid w:val="00026AD4"/>
    <w:rsid w:val="00027B60"/>
    <w:rsid w:val="0003144D"/>
    <w:rsid w:val="00031C4A"/>
    <w:rsid w:val="000326B9"/>
    <w:rsid w:val="00032740"/>
    <w:rsid w:val="00032D49"/>
    <w:rsid w:val="000334CA"/>
    <w:rsid w:val="000334EE"/>
    <w:rsid w:val="00033E74"/>
    <w:rsid w:val="00033F48"/>
    <w:rsid w:val="0003441B"/>
    <w:rsid w:val="00034646"/>
    <w:rsid w:val="00036346"/>
    <w:rsid w:val="0004121E"/>
    <w:rsid w:val="000442E3"/>
    <w:rsid w:val="00044463"/>
    <w:rsid w:val="00044BF4"/>
    <w:rsid w:val="0004523B"/>
    <w:rsid w:val="00046F9E"/>
    <w:rsid w:val="00050849"/>
    <w:rsid w:val="0005343F"/>
    <w:rsid w:val="00054962"/>
    <w:rsid w:val="00055364"/>
    <w:rsid w:val="000562DD"/>
    <w:rsid w:val="000572E7"/>
    <w:rsid w:val="00060053"/>
    <w:rsid w:val="000607F4"/>
    <w:rsid w:val="0006255D"/>
    <w:rsid w:val="00062D9C"/>
    <w:rsid w:val="0006325E"/>
    <w:rsid w:val="00063F04"/>
    <w:rsid w:val="00065D5A"/>
    <w:rsid w:val="00066602"/>
    <w:rsid w:val="00071B6E"/>
    <w:rsid w:val="00071D76"/>
    <w:rsid w:val="000734DA"/>
    <w:rsid w:val="000765F5"/>
    <w:rsid w:val="00080992"/>
    <w:rsid w:val="00080F2E"/>
    <w:rsid w:val="000823A2"/>
    <w:rsid w:val="00082B17"/>
    <w:rsid w:val="00085761"/>
    <w:rsid w:val="00086350"/>
    <w:rsid w:val="000872B6"/>
    <w:rsid w:val="00090AC2"/>
    <w:rsid w:val="000921A0"/>
    <w:rsid w:val="0009435D"/>
    <w:rsid w:val="00094C35"/>
    <w:rsid w:val="00095912"/>
    <w:rsid w:val="00097935"/>
    <w:rsid w:val="000A0C08"/>
    <w:rsid w:val="000A2C57"/>
    <w:rsid w:val="000A3C3A"/>
    <w:rsid w:val="000A6BBA"/>
    <w:rsid w:val="000B0DDD"/>
    <w:rsid w:val="000B1651"/>
    <w:rsid w:val="000B2106"/>
    <w:rsid w:val="000B26B7"/>
    <w:rsid w:val="000B3817"/>
    <w:rsid w:val="000B4299"/>
    <w:rsid w:val="000B7F28"/>
    <w:rsid w:val="000C058C"/>
    <w:rsid w:val="000C33E7"/>
    <w:rsid w:val="000C433E"/>
    <w:rsid w:val="000C4AAD"/>
    <w:rsid w:val="000C5A44"/>
    <w:rsid w:val="000C5C07"/>
    <w:rsid w:val="000D041F"/>
    <w:rsid w:val="000D2088"/>
    <w:rsid w:val="000D3B83"/>
    <w:rsid w:val="000D46EF"/>
    <w:rsid w:val="000D496A"/>
    <w:rsid w:val="000D6AF2"/>
    <w:rsid w:val="000D761A"/>
    <w:rsid w:val="000E5DEB"/>
    <w:rsid w:val="000E60AB"/>
    <w:rsid w:val="000E6939"/>
    <w:rsid w:val="000E79AF"/>
    <w:rsid w:val="000F0768"/>
    <w:rsid w:val="000F18A2"/>
    <w:rsid w:val="000F3B91"/>
    <w:rsid w:val="000F4C4E"/>
    <w:rsid w:val="000F72DC"/>
    <w:rsid w:val="00102607"/>
    <w:rsid w:val="00103D28"/>
    <w:rsid w:val="00104D43"/>
    <w:rsid w:val="0010591F"/>
    <w:rsid w:val="00106F09"/>
    <w:rsid w:val="0011050B"/>
    <w:rsid w:val="00110644"/>
    <w:rsid w:val="0011091F"/>
    <w:rsid w:val="00110B9B"/>
    <w:rsid w:val="00112C6F"/>
    <w:rsid w:val="00113199"/>
    <w:rsid w:val="0011591E"/>
    <w:rsid w:val="0011674C"/>
    <w:rsid w:val="00116856"/>
    <w:rsid w:val="0012180F"/>
    <w:rsid w:val="00123ADE"/>
    <w:rsid w:val="00124F79"/>
    <w:rsid w:val="0012570F"/>
    <w:rsid w:val="001275A1"/>
    <w:rsid w:val="00131B1A"/>
    <w:rsid w:val="00131F24"/>
    <w:rsid w:val="001332B1"/>
    <w:rsid w:val="0013662A"/>
    <w:rsid w:val="001415B5"/>
    <w:rsid w:val="001446B3"/>
    <w:rsid w:val="00145B06"/>
    <w:rsid w:val="00151316"/>
    <w:rsid w:val="00151375"/>
    <w:rsid w:val="00152A6A"/>
    <w:rsid w:val="001539D9"/>
    <w:rsid w:val="0015568B"/>
    <w:rsid w:val="00155AAC"/>
    <w:rsid w:val="001567A2"/>
    <w:rsid w:val="00157B1A"/>
    <w:rsid w:val="00161897"/>
    <w:rsid w:val="001620DA"/>
    <w:rsid w:val="001628D8"/>
    <w:rsid w:val="00164829"/>
    <w:rsid w:val="0016524A"/>
    <w:rsid w:val="001666DD"/>
    <w:rsid w:val="00166942"/>
    <w:rsid w:val="001702F2"/>
    <w:rsid w:val="0017378A"/>
    <w:rsid w:val="00174FA4"/>
    <w:rsid w:val="00181ECB"/>
    <w:rsid w:val="00182E33"/>
    <w:rsid w:val="0018683F"/>
    <w:rsid w:val="00186954"/>
    <w:rsid w:val="00186E87"/>
    <w:rsid w:val="001927B7"/>
    <w:rsid w:val="00193371"/>
    <w:rsid w:val="001938BE"/>
    <w:rsid w:val="0019756F"/>
    <w:rsid w:val="001A3DAB"/>
    <w:rsid w:val="001A5EFD"/>
    <w:rsid w:val="001A66E5"/>
    <w:rsid w:val="001A6E05"/>
    <w:rsid w:val="001A6E47"/>
    <w:rsid w:val="001A7411"/>
    <w:rsid w:val="001A788A"/>
    <w:rsid w:val="001B06A5"/>
    <w:rsid w:val="001B2227"/>
    <w:rsid w:val="001B4A82"/>
    <w:rsid w:val="001B5223"/>
    <w:rsid w:val="001B68DD"/>
    <w:rsid w:val="001C23D2"/>
    <w:rsid w:val="001C27E4"/>
    <w:rsid w:val="001C3E10"/>
    <w:rsid w:val="001C5B77"/>
    <w:rsid w:val="001D1BED"/>
    <w:rsid w:val="001D483D"/>
    <w:rsid w:val="001D6556"/>
    <w:rsid w:val="001D7374"/>
    <w:rsid w:val="001D7B94"/>
    <w:rsid w:val="001E1EA6"/>
    <w:rsid w:val="001E1F45"/>
    <w:rsid w:val="001E33C4"/>
    <w:rsid w:val="001E485D"/>
    <w:rsid w:val="001F0565"/>
    <w:rsid w:val="001F1B23"/>
    <w:rsid w:val="001F2E88"/>
    <w:rsid w:val="001F39F3"/>
    <w:rsid w:val="001F42FF"/>
    <w:rsid w:val="001F48A2"/>
    <w:rsid w:val="001F4CD1"/>
    <w:rsid w:val="001F58C1"/>
    <w:rsid w:val="001F6193"/>
    <w:rsid w:val="001F6E08"/>
    <w:rsid w:val="001F6E50"/>
    <w:rsid w:val="001F7F1F"/>
    <w:rsid w:val="00201253"/>
    <w:rsid w:val="00201E49"/>
    <w:rsid w:val="0020297A"/>
    <w:rsid w:val="002059AB"/>
    <w:rsid w:val="00205F42"/>
    <w:rsid w:val="0021651E"/>
    <w:rsid w:val="00221617"/>
    <w:rsid w:val="0022287E"/>
    <w:rsid w:val="00222F64"/>
    <w:rsid w:val="00224389"/>
    <w:rsid w:val="002248DE"/>
    <w:rsid w:val="002268BB"/>
    <w:rsid w:val="00227CD1"/>
    <w:rsid w:val="00230C81"/>
    <w:rsid w:val="00232424"/>
    <w:rsid w:val="00233A57"/>
    <w:rsid w:val="00234137"/>
    <w:rsid w:val="002343C4"/>
    <w:rsid w:val="0023798F"/>
    <w:rsid w:val="002407DB"/>
    <w:rsid w:val="002437F2"/>
    <w:rsid w:val="00250023"/>
    <w:rsid w:val="002502AB"/>
    <w:rsid w:val="002502CE"/>
    <w:rsid w:val="00250619"/>
    <w:rsid w:val="002506A1"/>
    <w:rsid w:val="0025113F"/>
    <w:rsid w:val="0025122A"/>
    <w:rsid w:val="00253CC5"/>
    <w:rsid w:val="00254B27"/>
    <w:rsid w:val="00255A0C"/>
    <w:rsid w:val="00255DE7"/>
    <w:rsid w:val="00256340"/>
    <w:rsid w:val="00262622"/>
    <w:rsid w:val="002632E6"/>
    <w:rsid w:val="00263AA0"/>
    <w:rsid w:val="002717F1"/>
    <w:rsid w:val="002719A0"/>
    <w:rsid w:val="002722A5"/>
    <w:rsid w:val="00272D9C"/>
    <w:rsid w:val="002740BE"/>
    <w:rsid w:val="00276D38"/>
    <w:rsid w:val="002806AD"/>
    <w:rsid w:val="002808A9"/>
    <w:rsid w:val="002829A2"/>
    <w:rsid w:val="00282DC5"/>
    <w:rsid w:val="002830C4"/>
    <w:rsid w:val="00283F00"/>
    <w:rsid w:val="0028737A"/>
    <w:rsid w:val="00291CE1"/>
    <w:rsid w:val="002920EC"/>
    <w:rsid w:val="00293EE4"/>
    <w:rsid w:val="00293F6E"/>
    <w:rsid w:val="00294179"/>
    <w:rsid w:val="00295B19"/>
    <w:rsid w:val="00296252"/>
    <w:rsid w:val="002A1A56"/>
    <w:rsid w:val="002A428E"/>
    <w:rsid w:val="002A49EF"/>
    <w:rsid w:val="002A5CCD"/>
    <w:rsid w:val="002A68A2"/>
    <w:rsid w:val="002B2018"/>
    <w:rsid w:val="002B488E"/>
    <w:rsid w:val="002B4A65"/>
    <w:rsid w:val="002B4C1C"/>
    <w:rsid w:val="002B64FD"/>
    <w:rsid w:val="002C1F53"/>
    <w:rsid w:val="002C35AA"/>
    <w:rsid w:val="002C371D"/>
    <w:rsid w:val="002C4881"/>
    <w:rsid w:val="002C64EA"/>
    <w:rsid w:val="002C74D0"/>
    <w:rsid w:val="002D1659"/>
    <w:rsid w:val="002D2F1F"/>
    <w:rsid w:val="002D5347"/>
    <w:rsid w:val="002D692A"/>
    <w:rsid w:val="002D6B46"/>
    <w:rsid w:val="002E22E3"/>
    <w:rsid w:val="002E3E23"/>
    <w:rsid w:val="002E74D0"/>
    <w:rsid w:val="002F363A"/>
    <w:rsid w:val="002F64C1"/>
    <w:rsid w:val="00300DB4"/>
    <w:rsid w:val="00300F25"/>
    <w:rsid w:val="003026C3"/>
    <w:rsid w:val="00302BA0"/>
    <w:rsid w:val="0030723E"/>
    <w:rsid w:val="00307574"/>
    <w:rsid w:val="003102AE"/>
    <w:rsid w:val="00311CBC"/>
    <w:rsid w:val="00311E0A"/>
    <w:rsid w:val="00313203"/>
    <w:rsid w:val="00316C40"/>
    <w:rsid w:val="003175B9"/>
    <w:rsid w:val="00317C42"/>
    <w:rsid w:val="00322F42"/>
    <w:rsid w:val="00323385"/>
    <w:rsid w:val="0032357E"/>
    <w:rsid w:val="0032363C"/>
    <w:rsid w:val="00323DBB"/>
    <w:rsid w:val="00325342"/>
    <w:rsid w:val="00325991"/>
    <w:rsid w:val="00326EAD"/>
    <w:rsid w:val="00332C65"/>
    <w:rsid w:val="00333C46"/>
    <w:rsid w:val="00334814"/>
    <w:rsid w:val="003375CE"/>
    <w:rsid w:val="00337780"/>
    <w:rsid w:val="00337CE2"/>
    <w:rsid w:val="00337FC6"/>
    <w:rsid w:val="00337FF8"/>
    <w:rsid w:val="00340A05"/>
    <w:rsid w:val="00341735"/>
    <w:rsid w:val="0034365F"/>
    <w:rsid w:val="003506E9"/>
    <w:rsid w:val="003506F2"/>
    <w:rsid w:val="003514C3"/>
    <w:rsid w:val="00352FE9"/>
    <w:rsid w:val="00353E06"/>
    <w:rsid w:val="00354712"/>
    <w:rsid w:val="00354BDB"/>
    <w:rsid w:val="00356DDC"/>
    <w:rsid w:val="00356DF2"/>
    <w:rsid w:val="00357777"/>
    <w:rsid w:val="003606E7"/>
    <w:rsid w:val="00360736"/>
    <w:rsid w:val="0036612F"/>
    <w:rsid w:val="003700A0"/>
    <w:rsid w:val="0037456B"/>
    <w:rsid w:val="003766AD"/>
    <w:rsid w:val="003804A5"/>
    <w:rsid w:val="003846CD"/>
    <w:rsid w:val="00385A02"/>
    <w:rsid w:val="0038702E"/>
    <w:rsid w:val="00387D53"/>
    <w:rsid w:val="003958BF"/>
    <w:rsid w:val="003966D9"/>
    <w:rsid w:val="00396A7D"/>
    <w:rsid w:val="003A360B"/>
    <w:rsid w:val="003A60C9"/>
    <w:rsid w:val="003A637D"/>
    <w:rsid w:val="003A701C"/>
    <w:rsid w:val="003B191F"/>
    <w:rsid w:val="003B1C05"/>
    <w:rsid w:val="003B361C"/>
    <w:rsid w:val="003B7A6C"/>
    <w:rsid w:val="003C007F"/>
    <w:rsid w:val="003C0184"/>
    <w:rsid w:val="003C45C4"/>
    <w:rsid w:val="003C4B92"/>
    <w:rsid w:val="003C5D69"/>
    <w:rsid w:val="003C6406"/>
    <w:rsid w:val="003C645B"/>
    <w:rsid w:val="003D1D80"/>
    <w:rsid w:val="003D2E9C"/>
    <w:rsid w:val="003D74D9"/>
    <w:rsid w:val="003E148F"/>
    <w:rsid w:val="003E2C8F"/>
    <w:rsid w:val="003E33E5"/>
    <w:rsid w:val="003E3B79"/>
    <w:rsid w:val="003E3F0F"/>
    <w:rsid w:val="003F0564"/>
    <w:rsid w:val="003F1D42"/>
    <w:rsid w:val="003F283D"/>
    <w:rsid w:val="003F29B2"/>
    <w:rsid w:val="0040128F"/>
    <w:rsid w:val="00401D1F"/>
    <w:rsid w:val="004033F4"/>
    <w:rsid w:val="0040460D"/>
    <w:rsid w:val="00404AFF"/>
    <w:rsid w:val="00405509"/>
    <w:rsid w:val="00405C4E"/>
    <w:rsid w:val="00405CC9"/>
    <w:rsid w:val="0040729D"/>
    <w:rsid w:val="00411C05"/>
    <w:rsid w:val="004141D5"/>
    <w:rsid w:val="00415A07"/>
    <w:rsid w:val="0041643D"/>
    <w:rsid w:val="0041645E"/>
    <w:rsid w:val="0041695C"/>
    <w:rsid w:val="00422058"/>
    <w:rsid w:val="004236CC"/>
    <w:rsid w:val="00423DFE"/>
    <w:rsid w:val="004250DC"/>
    <w:rsid w:val="00426342"/>
    <w:rsid w:val="00426B8C"/>
    <w:rsid w:val="00430031"/>
    <w:rsid w:val="00430F29"/>
    <w:rsid w:val="00431150"/>
    <w:rsid w:val="00431225"/>
    <w:rsid w:val="00433132"/>
    <w:rsid w:val="0043587E"/>
    <w:rsid w:val="0044123D"/>
    <w:rsid w:val="004434E5"/>
    <w:rsid w:val="00452C71"/>
    <w:rsid w:val="0045363D"/>
    <w:rsid w:val="00453922"/>
    <w:rsid w:val="00455A68"/>
    <w:rsid w:val="00455DFE"/>
    <w:rsid w:val="00456091"/>
    <w:rsid w:val="00464B10"/>
    <w:rsid w:val="00470813"/>
    <w:rsid w:val="00470E39"/>
    <w:rsid w:val="00470F8C"/>
    <w:rsid w:val="00471850"/>
    <w:rsid w:val="004733E4"/>
    <w:rsid w:val="00475EC6"/>
    <w:rsid w:val="00476AD6"/>
    <w:rsid w:val="0048130B"/>
    <w:rsid w:val="00481989"/>
    <w:rsid w:val="00482B60"/>
    <w:rsid w:val="0048366B"/>
    <w:rsid w:val="00483CFC"/>
    <w:rsid w:val="00484ADB"/>
    <w:rsid w:val="00486F3C"/>
    <w:rsid w:val="004879CA"/>
    <w:rsid w:val="00491766"/>
    <w:rsid w:val="00491F12"/>
    <w:rsid w:val="004925D2"/>
    <w:rsid w:val="00492DE2"/>
    <w:rsid w:val="00494AA8"/>
    <w:rsid w:val="0049505E"/>
    <w:rsid w:val="00495887"/>
    <w:rsid w:val="00497D6E"/>
    <w:rsid w:val="004A04B8"/>
    <w:rsid w:val="004A0F96"/>
    <w:rsid w:val="004A2776"/>
    <w:rsid w:val="004A2BAF"/>
    <w:rsid w:val="004A346E"/>
    <w:rsid w:val="004A3F6A"/>
    <w:rsid w:val="004A4E27"/>
    <w:rsid w:val="004C1A5F"/>
    <w:rsid w:val="004C3372"/>
    <w:rsid w:val="004C3F45"/>
    <w:rsid w:val="004C6C27"/>
    <w:rsid w:val="004C7F40"/>
    <w:rsid w:val="004D3B32"/>
    <w:rsid w:val="004D404F"/>
    <w:rsid w:val="004D46EE"/>
    <w:rsid w:val="004D47F2"/>
    <w:rsid w:val="004D6E79"/>
    <w:rsid w:val="004D7122"/>
    <w:rsid w:val="004E1D42"/>
    <w:rsid w:val="004E2D0F"/>
    <w:rsid w:val="004E3198"/>
    <w:rsid w:val="004E3217"/>
    <w:rsid w:val="004E3955"/>
    <w:rsid w:val="004E399A"/>
    <w:rsid w:val="004E39A1"/>
    <w:rsid w:val="004E46C7"/>
    <w:rsid w:val="004E7641"/>
    <w:rsid w:val="004F01DC"/>
    <w:rsid w:val="004F0CA1"/>
    <w:rsid w:val="004F12EB"/>
    <w:rsid w:val="004F78C7"/>
    <w:rsid w:val="00500F6C"/>
    <w:rsid w:val="00501112"/>
    <w:rsid w:val="005012C8"/>
    <w:rsid w:val="005022BD"/>
    <w:rsid w:val="00502566"/>
    <w:rsid w:val="0050655A"/>
    <w:rsid w:val="00511E92"/>
    <w:rsid w:val="00513AD6"/>
    <w:rsid w:val="00516453"/>
    <w:rsid w:val="00520288"/>
    <w:rsid w:val="005215FE"/>
    <w:rsid w:val="005247ED"/>
    <w:rsid w:val="00524CBA"/>
    <w:rsid w:val="00527D80"/>
    <w:rsid w:val="005303B0"/>
    <w:rsid w:val="0053159D"/>
    <w:rsid w:val="005319C1"/>
    <w:rsid w:val="005348DB"/>
    <w:rsid w:val="00535B1D"/>
    <w:rsid w:val="00536D31"/>
    <w:rsid w:val="00540A76"/>
    <w:rsid w:val="005420BB"/>
    <w:rsid w:val="00543BF3"/>
    <w:rsid w:val="00544D3D"/>
    <w:rsid w:val="00545D1D"/>
    <w:rsid w:val="00547B19"/>
    <w:rsid w:val="0055668A"/>
    <w:rsid w:val="005570E8"/>
    <w:rsid w:val="00560FB6"/>
    <w:rsid w:val="005619C2"/>
    <w:rsid w:val="00563B93"/>
    <w:rsid w:val="0056549A"/>
    <w:rsid w:val="005658B5"/>
    <w:rsid w:val="005660D7"/>
    <w:rsid w:val="005669BE"/>
    <w:rsid w:val="00570B26"/>
    <w:rsid w:val="00571A02"/>
    <w:rsid w:val="005764E7"/>
    <w:rsid w:val="00576A57"/>
    <w:rsid w:val="005806BD"/>
    <w:rsid w:val="0058676A"/>
    <w:rsid w:val="005875EB"/>
    <w:rsid w:val="0059031C"/>
    <w:rsid w:val="0059167C"/>
    <w:rsid w:val="005916F3"/>
    <w:rsid w:val="00591CFC"/>
    <w:rsid w:val="00591FB5"/>
    <w:rsid w:val="00593CE2"/>
    <w:rsid w:val="005A00D7"/>
    <w:rsid w:val="005A5DAE"/>
    <w:rsid w:val="005A5F9D"/>
    <w:rsid w:val="005A6458"/>
    <w:rsid w:val="005A661B"/>
    <w:rsid w:val="005B22E4"/>
    <w:rsid w:val="005B549D"/>
    <w:rsid w:val="005B7172"/>
    <w:rsid w:val="005C3F6A"/>
    <w:rsid w:val="005C5DE5"/>
    <w:rsid w:val="005C6143"/>
    <w:rsid w:val="005C6320"/>
    <w:rsid w:val="005C6E31"/>
    <w:rsid w:val="005C6E61"/>
    <w:rsid w:val="005D07E0"/>
    <w:rsid w:val="005D4412"/>
    <w:rsid w:val="005D4A52"/>
    <w:rsid w:val="005D73FD"/>
    <w:rsid w:val="005E0184"/>
    <w:rsid w:val="005E0BD7"/>
    <w:rsid w:val="005E1098"/>
    <w:rsid w:val="005E2559"/>
    <w:rsid w:val="005E2EA4"/>
    <w:rsid w:val="005E4B23"/>
    <w:rsid w:val="005F0CDE"/>
    <w:rsid w:val="005F0F35"/>
    <w:rsid w:val="005F2070"/>
    <w:rsid w:val="005F4C9D"/>
    <w:rsid w:val="005F618A"/>
    <w:rsid w:val="005F6309"/>
    <w:rsid w:val="00604D0B"/>
    <w:rsid w:val="00605393"/>
    <w:rsid w:val="006072A4"/>
    <w:rsid w:val="006104DA"/>
    <w:rsid w:val="00610A00"/>
    <w:rsid w:val="00611467"/>
    <w:rsid w:val="006121CD"/>
    <w:rsid w:val="00614CA0"/>
    <w:rsid w:val="006165E2"/>
    <w:rsid w:val="006169DB"/>
    <w:rsid w:val="006170A1"/>
    <w:rsid w:val="00617969"/>
    <w:rsid w:val="006248AE"/>
    <w:rsid w:val="006325BE"/>
    <w:rsid w:val="00633BE1"/>
    <w:rsid w:val="00636656"/>
    <w:rsid w:val="00636C86"/>
    <w:rsid w:val="006373A7"/>
    <w:rsid w:val="00637738"/>
    <w:rsid w:val="0064025F"/>
    <w:rsid w:val="006415B2"/>
    <w:rsid w:val="00644D63"/>
    <w:rsid w:val="00650E4E"/>
    <w:rsid w:val="006517DE"/>
    <w:rsid w:val="00656B32"/>
    <w:rsid w:val="0065703D"/>
    <w:rsid w:val="00660198"/>
    <w:rsid w:val="00661E34"/>
    <w:rsid w:val="00665F92"/>
    <w:rsid w:val="0066771F"/>
    <w:rsid w:val="00670872"/>
    <w:rsid w:val="006712CD"/>
    <w:rsid w:val="00672D18"/>
    <w:rsid w:val="006733D6"/>
    <w:rsid w:val="00675AB9"/>
    <w:rsid w:val="00675DA2"/>
    <w:rsid w:val="00676859"/>
    <w:rsid w:val="00676D38"/>
    <w:rsid w:val="006770AE"/>
    <w:rsid w:val="0067750E"/>
    <w:rsid w:val="0068037C"/>
    <w:rsid w:val="00680393"/>
    <w:rsid w:val="00680446"/>
    <w:rsid w:val="00684431"/>
    <w:rsid w:val="00684845"/>
    <w:rsid w:val="006923E0"/>
    <w:rsid w:val="00693705"/>
    <w:rsid w:val="00694FAF"/>
    <w:rsid w:val="0069516B"/>
    <w:rsid w:val="006A0C1A"/>
    <w:rsid w:val="006A0CA8"/>
    <w:rsid w:val="006A2633"/>
    <w:rsid w:val="006A6B77"/>
    <w:rsid w:val="006A6CEF"/>
    <w:rsid w:val="006A7A01"/>
    <w:rsid w:val="006B3426"/>
    <w:rsid w:val="006B417B"/>
    <w:rsid w:val="006B6473"/>
    <w:rsid w:val="006B72E6"/>
    <w:rsid w:val="006C487B"/>
    <w:rsid w:val="006C5D21"/>
    <w:rsid w:val="006C600F"/>
    <w:rsid w:val="006C7584"/>
    <w:rsid w:val="006C79B6"/>
    <w:rsid w:val="006E09CD"/>
    <w:rsid w:val="006E4C53"/>
    <w:rsid w:val="006E6543"/>
    <w:rsid w:val="006E7422"/>
    <w:rsid w:val="006E7FC2"/>
    <w:rsid w:val="006F1DA7"/>
    <w:rsid w:val="006F2747"/>
    <w:rsid w:val="006F3245"/>
    <w:rsid w:val="006F5A02"/>
    <w:rsid w:val="006F60F6"/>
    <w:rsid w:val="006F6172"/>
    <w:rsid w:val="006F63B7"/>
    <w:rsid w:val="00700F6E"/>
    <w:rsid w:val="007010AB"/>
    <w:rsid w:val="00702D5C"/>
    <w:rsid w:val="00703BD8"/>
    <w:rsid w:val="00707428"/>
    <w:rsid w:val="00710882"/>
    <w:rsid w:val="0071240F"/>
    <w:rsid w:val="00715531"/>
    <w:rsid w:val="00715B0B"/>
    <w:rsid w:val="00717097"/>
    <w:rsid w:val="00720068"/>
    <w:rsid w:val="00720430"/>
    <w:rsid w:val="0072112C"/>
    <w:rsid w:val="00727A09"/>
    <w:rsid w:val="00727FFD"/>
    <w:rsid w:val="00731B3A"/>
    <w:rsid w:val="0073202B"/>
    <w:rsid w:val="0073223F"/>
    <w:rsid w:val="0073314E"/>
    <w:rsid w:val="007343BE"/>
    <w:rsid w:val="007364DB"/>
    <w:rsid w:val="00737482"/>
    <w:rsid w:val="00737F6D"/>
    <w:rsid w:val="00740378"/>
    <w:rsid w:val="007404F1"/>
    <w:rsid w:val="007413A4"/>
    <w:rsid w:val="00746F76"/>
    <w:rsid w:val="00750847"/>
    <w:rsid w:val="007519F8"/>
    <w:rsid w:val="00755FCD"/>
    <w:rsid w:val="0075657B"/>
    <w:rsid w:val="007577AA"/>
    <w:rsid w:val="007605C8"/>
    <w:rsid w:val="00760643"/>
    <w:rsid w:val="00761F9B"/>
    <w:rsid w:val="0076297A"/>
    <w:rsid w:val="00762B48"/>
    <w:rsid w:val="007649BA"/>
    <w:rsid w:val="007662FB"/>
    <w:rsid w:val="00766815"/>
    <w:rsid w:val="00767880"/>
    <w:rsid w:val="00770876"/>
    <w:rsid w:val="00772470"/>
    <w:rsid w:val="0077529F"/>
    <w:rsid w:val="007759B3"/>
    <w:rsid w:val="00775CBC"/>
    <w:rsid w:val="007761A8"/>
    <w:rsid w:val="007806D1"/>
    <w:rsid w:val="00783977"/>
    <w:rsid w:val="00786ECA"/>
    <w:rsid w:val="0079237A"/>
    <w:rsid w:val="007941FB"/>
    <w:rsid w:val="00796A66"/>
    <w:rsid w:val="007A12AA"/>
    <w:rsid w:val="007A3A13"/>
    <w:rsid w:val="007A4E59"/>
    <w:rsid w:val="007A566E"/>
    <w:rsid w:val="007A6CB0"/>
    <w:rsid w:val="007A6FE3"/>
    <w:rsid w:val="007B043A"/>
    <w:rsid w:val="007B23CC"/>
    <w:rsid w:val="007B79AB"/>
    <w:rsid w:val="007C077F"/>
    <w:rsid w:val="007C0982"/>
    <w:rsid w:val="007C1B95"/>
    <w:rsid w:val="007C3201"/>
    <w:rsid w:val="007C3641"/>
    <w:rsid w:val="007C372E"/>
    <w:rsid w:val="007C4CBC"/>
    <w:rsid w:val="007D2C1E"/>
    <w:rsid w:val="007D2E79"/>
    <w:rsid w:val="007D30D8"/>
    <w:rsid w:val="007D327E"/>
    <w:rsid w:val="007D456D"/>
    <w:rsid w:val="007D531F"/>
    <w:rsid w:val="007D5F94"/>
    <w:rsid w:val="007D66B7"/>
    <w:rsid w:val="007D682D"/>
    <w:rsid w:val="007E059B"/>
    <w:rsid w:val="007E0AF5"/>
    <w:rsid w:val="007E2DCF"/>
    <w:rsid w:val="007E6755"/>
    <w:rsid w:val="007E715F"/>
    <w:rsid w:val="007F283C"/>
    <w:rsid w:val="007F449A"/>
    <w:rsid w:val="007F456B"/>
    <w:rsid w:val="007F70E0"/>
    <w:rsid w:val="0080109F"/>
    <w:rsid w:val="00804367"/>
    <w:rsid w:val="00804AC0"/>
    <w:rsid w:val="00804C7C"/>
    <w:rsid w:val="0081030A"/>
    <w:rsid w:val="008115DA"/>
    <w:rsid w:val="008123B8"/>
    <w:rsid w:val="00813607"/>
    <w:rsid w:val="00813AC2"/>
    <w:rsid w:val="00814709"/>
    <w:rsid w:val="00815A77"/>
    <w:rsid w:val="0081627B"/>
    <w:rsid w:val="0081636E"/>
    <w:rsid w:val="0081669E"/>
    <w:rsid w:val="00816908"/>
    <w:rsid w:val="008210D1"/>
    <w:rsid w:val="00822714"/>
    <w:rsid w:val="008311ED"/>
    <w:rsid w:val="0083207D"/>
    <w:rsid w:val="00834B18"/>
    <w:rsid w:val="0083556A"/>
    <w:rsid w:val="00835648"/>
    <w:rsid w:val="00836014"/>
    <w:rsid w:val="0083750D"/>
    <w:rsid w:val="00840583"/>
    <w:rsid w:val="008450E8"/>
    <w:rsid w:val="0084550B"/>
    <w:rsid w:val="008459E2"/>
    <w:rsid w:val="0084617A"/>
    <w:rsid w:val="00847AA7"/>
    <w:rsid w:val="00847D01"/>
    <w:rsid w:val="00852412"/>
    <w:rsid w:val="00856371"/>
    <w:rsid w:val="0086099F"/>
    <w:rsid w:val="00863BF9"/>
    <w:rsid w:val="00864AE7"/>
    <w:rsid w:val="00864CF1"/>
    <w:rsid w:val="00865681"/>
    <w:rsid w:val="00865D8F"/>
    <w:rsid w:val="00866CEB"/>
    <w:rsid w:val="0087113E"/>
    <w:rsid w:val="008719B1"/>
    <w:rsid w:val="00871CFB"/>
    <w:rsid w:val="008733B5"/>
    <w:rsid w:val="00874F89"/>
    <w:rsid w:val="00875EAB"/>
    <w:rsid w:val="00876494"/>
    <w:rsid w:val="0087759B"/>
    <w:rsid w:val="00881254"/>
    <w:rsid w:val="008813A2"/>
    <w:rsid w:val="00881E0A"/>
    <w:rsid w:val="00882B11"/>
    <w:rsid w:val="00882B5B"/>
    <w:rsid w:val="00882C91"/>
    <w:rsid w:val="00883641"/>
    <w:rsid w:val="00884A53"/>
    <w:rsid w:val="0088633C"/>
    <w:rsid w:val="008874B3"/>
    <w:rsid w:val="008900A5"/>
    <w:rsid w:val="00893600"/>
    <w:rsid w:val="00895277"/>
    <w:rsid w:val="00895DAF"/>
    <w:rsid w:val="00896DF7"/>
    <w:rsid w:val="008A0BCB"/>
    <w:rsid w:val="008A2932"/>
    <w:rsid w:val="008A3EC0"/>
    <w:rsid w:val="008A3F99"/>
    <w:rsid w:val="008A6EA4"/>
    <w:rsid w:val="008A73E2"/>
    <w:rsid w:val="008B03DB"/>
    <w:rsid w:val="008B4A62"/>
    <w:rsid w:val="008B4DF3"/>
    <w:rsid w:val="008B5E05"/>
    <w:rsid w:val="008B6E24"/>
    <w:rsid w:val="008C532E"/>
    <w:rsid w:val="008C56AA"/>
    <w:rsid w:val="008C5FF4"/>
    <w:rsid w:val="008D1AD3"/>
    <w:rsid w:val="008D1E37"/>
    <w:rsid w:val="008D474F"/>
    <w:rsid w:val="008D71BC"/>
    <w:rsid w:val="008D783C"/>
    <w:rsid w:val="008E00F6"/>
    <w:rsid w:val="008E29AF"/>
    <w:rsid w:val="008E3CA8"/>
    <w:rsid w:val="008E4FAF"/>
    <w:rsid w:val="008E5C48"/>
    <w:rsid w:val="008E638C"/>
    <w:rsid w:val="008E66BE"/>
    <w:rsid w:val="008E68DD"/>
    <w:rsid w:val="008E75B3"/>
    <w:rsid w:val="008F0C3E"/>
    <w:rsid w:val="008F1B8E"/>
    <w:rsid w:val="008F245F"/>
    <w:rsid w:val="008F4666"/>
    <w:rsid w:val="008F76B5"/>
    <w:rsid w:val="00900AAA"/>
    <w:rsid w:val="00902059"/>
    <w:rsid w:val="00902265"/>
    <w:rsid w:val="00905AD4"/>
    <w:rsid w:val="00905F1C"/>
    <w:rsid w:val="00906572"/>
    <w:rsid w:val="009069EA"/>
    <w:rsid w:val="00906E1C"/>
    <w:rsid w:val="00907669"/>
    <w:rsid w:val="00910DA5"/>
    <w:rsid w:val="00911087"/>
    <w:rsid w:val="009110AB"/>
    <w:rsid w:val="00911AEE"/>
    <w:rsid w:val="00912D0F"/>
    <w:rsid w:val="00913322"/>
    <w:rsid w:val="0091660D"/>
    <w:rsid w:val="00917655"/>
    <w:rsid w:val="00917B9E"/>
    <w:rsid w:val="009208A5"/>
    <w:rsid w:val="009212EF"/>
    <w:rsid w:val="00922E47"/>
    <w:rsid w:val="00924938"/>
    <w:rsid w:val="00924A86"/>
    <w:rsid w:val="009276F6"/>
    <w:rsid w:val="00927EEF"/>
    <w:rsid w:val="00927F11"/>
    <w:rsid w:val="009321AC"/>
    <w:rsid w:val="00934A8F"/>
    <w:rsid w:val="00935F97"/>
    <w:rsid w:val="009371AC"/>
    <w:rsid w:val="009400B0"/>
    <w:rsid w:val="00940A25"/>
    <w:rsid w:val="00941116"/>
    <w:rsid w:val="00941860"/>
    <w:rsid w:val="00941923"/>
    <w:rsid w:val="00943ACD"/>
    <w:rsid w:val="009450AF"/>
    <w:rsid w:val="009462CB"/>
    <w:rsid w:val="009516E8"/>
    <w:rsid w:val="00953995"/>
    <w:rsid w:val="009552BC"/>
    <w:rsid w:val="00955495"/>
    <w:rsid w:val="00955807"/>
    <w:rsid w:val="00956720"/>
    <w:rsid w:val="00957535"/>
    <w:rsid w:val="009612CE"/>
    <w:rsid w:val="00961A7D"/>
    <w:rsid w:val="009656BF"/>
    <w:rsid w:val="00965E81"/>
    <w:rsid w:val="00967F13"/>
    <w:rsid w:val="009719DC"/>
    <w:rsid w:val="00975D90"/>
    <w:rsid w:val="00976D0E"/>
    <w:rsid w:val="0098017F"/>
    <w:rsid w:val="00981258"/>
    <w:rsid w:val="00981E42"/>
    <w:rsid w:val="009836F6"/>
    <w:rsid w:val="009865F1"/>
    <w:rsid w:val="009876D2"/>
    <w:rsid w:val="00992CD5"/>
    <w:rsid w:val="009936AC"/>
    <w:rsid w:val="00994E92"/>
    <w:rsid w:val="0099672E"/>
    <w:rsid w:val="009A3171"/>
    <w:rsid w:val="009A33AE"/>
    <w:rsid w:val="009A4853"/>
    <w:rsid w:val="009A4DAB"/>
    <w:rsid w:val="009A4E67"/>
    <w:rsid w:val="009A7C8E"/>
    <w:rsid w:val="009B142B"/>
    <w:rsid w:val="009B199D"/>
    <w:rsid w:val="009B3603"/>
    <w:rsid w:val="009B382F"/>
    <w:rsid w:val="009B3F29"/>
    <w:rsid w:val="009B4BBF"/>
    <w:rsid w:val="009B59D5"/>
    <w:rsid w:val="009B5A21"/>
    <w:rsid w:val="009B6EC7"/>
    <w:rsid w:val="009C0766"/>
    <w:rsid w:val="009C27ED"/>
    <w:rsid w:val="009C2963"/>
    <w:rsid w:val="009C3FBB"/>
    <w:rsid w:val="009C6970"/>
    <w:rsid w:val="009D034C"/>
    <w:rsid w:val="009D1C2A"/>
    <w:rsid w:val="009D5068"/>
    <w:rsid w:val="009D545D"/>
    <w:rsid w:val="009D765B"/>
    <w:rsid w:val="009E097B"/>
    <w:rsid w:val="009E25B5"/>
    <w:rsid w:val="009E2A71"/>
    <w:rsid w:val="009E4B59"/>
    <w:rsid w:val="009F11B0"/>
    <w:rsid w:val="009F2F9C"/>
    <w:rsid w:val="009F4B97"/>
    <w:rsid w:val="009F5479"/>
    <w:rsid w:val="009F564F"/>
    <w:rsid w:val="009F66C3"/>
    <w:rsid w:val="00A011CA"/>
    <w:rsid w:val="00A01584"/>
    <w:rsid w:val="00A03181"/>
    <w:rsid w:val="00A042D5"/>
    <w:rsid w:val="00A07F37"/>
    <w:rsid w:val="00A13167"/>
    <w:rsid w:val="00A136CE"/>
    <w:rsid w:val="00A15C5E"/>
    <w:rsid w:val="00A216BB"/>
    <w:rsid w:val="00A21707"/>
    <w:rsid w:val="00A219C6"/>
    <w:rsid w:val="00A21C14"/>
    <w:rsid w:val="00A225D2"/>
    <w:rsid w:val="00A2354E"/>
    <w:rsid w:val="00A260E5"/>
    <w:rsid w:val="00A26864"/>
    <w:rsid w:val="00A26C72"/>
    <w:rsid w:val="00A27D13"/>
    <w:rsid w:val="00A30E50"/>
    <w:rsid w:val="00A324D3"/>
    <w:rsid w:val="00A34B46"/>
    <w:rsid w:val="00A37007"/>
    <w:rsid w:val="00A42C28"/>
    <w:rsid w:val="00A4628F"/>
    <w:rsid w:val="00A53C29"/>
    <w:rsid w:val="00A572B4"/>
    <w:rsid w:val="00A61263"/>
    <w:rsid w:val="00A61459"/>
    <w:rsid w:val="00A626D3"/>
    <w:rsid w:val="00A6595F"/>
    <w:rsid w:val="00A66DEB"/>
    <w:rsid w:val="00A67230"/>
    <w:rsid w:val="00A7033D"/>
    <w:rsid w:val="00A7067E"/>
    <w:rsid w:val="00A75A08"/>
    <w:rsid w:val="00A7633E"/>
    <w:rsid w:val="00A769B9"/>
    <w:rsid w:val="00A77768"/>
    <w:rsid w:val="00A77EC9"/>
    <w:rsid w:val="00A8169E"/>
    <w:rsid w:val="00A83303"/>
    <w:rsid w:val="00A844C3"/>
    <w:rsid w:val="00A868AC"/>
    <w:rsid w:val="00A9376B"/>
    <w:rsid w:val="00A964FD"/>
    <w:rsid w:val="00A96E3B"/>
    <w:rsid w:val="00AA1D26"/>
    <w:rsid w:val="00AA44D3"/>
    <w:rsid w:val="00AA578E"/>
    <w:rsid w:val="00AA6168"/>
    <w:rsid w:val="00AA7244"/>
    <w:rsid w:val="00AB03EF"/>
    <w:rsid w:val="00AB1348"/>
    <w:rsid w:val="00AB134F"/>
    <w:rsid w:val="00AB1440"/>
    <w:rsid w:val="00AB2D90"/>
    <w:rsid w:val="00AB3DF2"/>
    <w:rsid w:val="00AB5005"/>
    <w:rsid w:val="00AB5586"/>
    <w:rsid w:val="00AB6866"/>
    <w:rsid w:val="00AC1A7D"/>
    <w:rsid w:val="00AC31F8"/>
    <w:rsid w:val="00AC50CB"/>
    <w:rsid w:val="00AC53DE"/>
    <w:rsid w:val="00AC6341"/>
    <w:rsid w:val="00AC6FDF"/>
    <w:rsid w:val="00AC7264"/>
    <w:rsid w:val="00AC74A7"/>
    <w:rsid w:val="00AD152A"/>
    <w:rsid w:val="00AD3A7C"/>
    <w:rsid w:val="00AD3DCA"/>
    <w:rsid w:val="00AD567D"/>
    <w:rsid w:val="00AE0857"/>
    <w:rsid w:val="00AE299F"/>
    <w:rsid w:val="00AE29A7"/>
    <w:rsid w:val="00AE60FA"/>
    <w:rsid w:val="00AF11AD"/>
    <w:rsid w:val="00AF3E26"/>
    <w:rsid w:val="00AF43BF"/>
    <w:rsid w:val="00B01CDE"/>
    <w:rsid w:val="00B05074"/>
    <w:rsid w:val="00B05EAB"/>
    <w:rsid w:val="00B1113A"/>
    <w:rsid w:val="00B12DBB"/>
    <w:rsid w:val="00B141DD"/>
    <w:rsid w:val="00B14257"/>
    <w:rsid w:val="00B143A6"/>
    <w:rsid w:val="00B208C2"/>
    <w:rsid w:val="00B21A1C"/>
    <w:rsid w:val="00B24BFA"/>
    <w:rsid w:val="00B30C48"/>
    <w:rsid w:val="00B30DD4"/>
    <w:rsid w:val="00B3146C"/>
    <w:rsid w:val="00B32D21"/>
    <w:rsid w:val="00B33957"/>
    <w:rsid w:val="00B33B8E"/>
    <w:rsid w:val="00B3448F"/>
    <w:rsid w:val="00B358E8"/>
    <w:rsid w:val="00B36032"/>
    <w:rsid w:val="00B36410"/>
    <w:rsid w:val="00B36940"/>
    <w:rsid w:val="00B37DB4"/>
    <w:rsid w:val="00B429BB"/>
    <w:rsid w:val="00B44062"/>
    <w:rsid w:val="00B44263"/>
    <w:rsid w:val="00B44C7C"/>
    <w:rsid w:val="00B45FE8"/>
    <w:rsid w:val="00B46808"/>
    <w:rsid w:val="00B47A43"/>
    <w:rsid w:val="00B508D4"/>
    <w:rsid w:val="00B564A1"/>
    <w:rsid w:val="00B56DF4"/>
    <w:rsid w:val="00B602C5"/>
    <w:rsid w:val="00B604B9"/>
    <w:rsid w:val="00B61EB6"/>
    <w:rsid w:val="00B63326"/>
    <w:rsid w:val="00B63F01"/>
    <w:rsid w:val="00B64276"/>
    <w:rsid w:val="00B66028"/>
    <w:rsid w:val="00B670ED"/>
    <w:rsid w:val="00B72D08"/>
    <w:rsid w:val="00B73433"/>
    <w:rsid w:val="00B74CDA"/>
    <w:rsid w:val="00B815AC"/>
    <w:rsid w:val="00B81E8E"/>
    <w:rsid w:val="00B853D9"/>
    <w:rsid w:val="00B87242"/>
    <w:rsid w:val="00B92276"/>
    <w:rsid w:val="00B93F3D"/>
    <w:rsid w:val="00B9661F"/>
    <w:rsid w:val="00B96D98"/>
    <w:rsid w:val="00B9786D"/>
    <w:rsid w:val="00B97927"/>
    <w:rsid w:val="00BA010C"/>
    <w:rsid w:val="00BA3407"/>
    <w:rsid w:val="00BA3674"/>
    <w:rsid w:val="00BA4007"/>
    <w:rsid w:val="00BA7268"/>
    <w:rsid w:val="00BA7ADB"/>
    <w:rsid w:val="00BB02D1"/>
    <w:rsid w:val="00BB1A44"/>
    <w:rsid w:val="00BB2C06"/>
    <w:rsid w:val="00BB7486"/>
    <w:rsid w:val="00BB765E"/>
    <w:rsid w:val="00BC1E3B"/>
    <w:rsid w:val="00BC2F37"/>
    <w:rsid w:val="00BC4B66"/>
    <w:rsid w:val="00BC5C71"/>
    <w:rsid w:val="00BC7BE4"/>
    <w:rsid w:val="00BD0A8F"/>
    <w:rsid w:val="00BD2BDC"/>
    <w:rsid w:val="00BD2C6A"/>
    <w:rsid w:val="00BD3052"/>
    <w:rsid w:val="00BD58BA"/>
    <w:rsid w:val="00BD6522"/>
    <w:rsid w:val="00BD685F"/>
    <w:rsid w:val="00BD7DB6"/>
    <w:rsid w:val="00BE02C9"/>
    <w:rsid w:val="00BE68E6"/>
    <w:rsid w:val="00BE74BC"/>
    <w:rsid w:val="00BF0DC5"/>
    <w:rsid w:val="00BF134D"/>
    <w:rsid w:val="00BF206D"/>
    <w:rsid w:val="00BF20A8"/>
    <w:rsid w:val="00BF294E"/>
    <w:rsid w:val="00BF3A9E"/>
    <w:rsid w:val="00BF3B94"/>
    <w:rsid w:val="00BF3FFA"/>
    <w:rsid w:val="00BF4921"/>
    <w:rsid w:val="00BF5C97"/>
    <w:rsid w:val="00BF7BA4"/>
    <w:rsid w:val="00C0086A"/>
    <w:rsid w:val="00C008F0"/>
    <w:rsid w:val="00C02BFE"/>
    <w:rsid w:val="00C03A31"/>
    <w:rsid w:val="00C03AF3"/>
    <w:rsid w:val="00C10271"/>
    <w:rsid w:val="00C12E2A"/>
    <w:rsid w:val="00C14493"/>
    <w:rsid w:val="00C1493A"/>
    <w:rsid w:val="00C15AB2"/>
    <w:rsid w:val="00C171B7"/>
    <w:rsid w:val="00C20592"/>
    <w:rsid w:val="00C20CAE"/>
    <w:rsid w:val="00C21B94"/>
    <w:rsid w:val="00C21D6C"/>
    <w:rsid w:val="00C2480F"/>
    <w:rsid w:val="00C25A8D"/>
    <w:rsid w:val="00C26C25"/>
    <w:rsid w:val="00C27903"/>
    <w:rsid w:val="00C30431"/>
    <w:rsid w:val="00C32229"/>
    <w:rsid w:val="00C34035"/>
    <w:rsid w:val="00C37B28"/>
    <w:rsid w:val="00C4019F"/>
    <w:rsid w:val="00C41065"/>
    <w:rsid w:val="00C43320"/>
    <w:rsid w:val="00C44250"/>
    <w:rsid w:val="00C47015"/>
    <w:rsid w:val="00C50656"/>
    <w:rsid w:val="00C5137B"/>
    <w:rsid w:val="00C51B70"/>
    <w:rsid w:val="00C53272"/>
    <w:rsid w:val="00C54EC2"/>
    <w:rsid w:val="00C63601"/>
    <w:rsid w:val="00C63FDF"/>
    <w:rsid w:val="00C64185"/>
    <w:rsid w:val="00C6463A"/>
    <w:rsid w:val="00C65791"/>
    <w:rsid w:val="00C65859"/>
    <w:rsid w:val="00C66912"/>
    <w:rsid w:val="00C67008"/>
    <w:rsid w:val="00C70BB8"/>
    <w:rsid w:val="00C715AB"/>
    <w:rsid w:val="00C71A9D"/>
    <w:rsid w:val="00C71F1E"/>
    <w:rsid w:val="00C74695"/>
    <w:rsid w:val="00C752E2"/>
    <w:rsid w:val="00C75828"/>
    <w:rsid w:val="00C7643D"/>
    <w:rsid w:val="00C80D0A"/>
    <w:rsid w:val="00C823EE"/>
    <w:rsid w:val="00C828CB"/>
    <w:rsid w:val="00C84557"/>
    <w:rsid w:val="00C8471E"/>
    <w:rsid w:val="00C84936"/>
    <w:rsid w:val="00C8760A"/>
    <w:rsid w:val="00C9018E"/>
    <w:rsid w:val="00C90A83"/>
    <w:rsid w:val="00C914CA"/>
    <w:rsid w:val="00C93EAE"/>
    <w:rsid w:val="00CA07B0"/>
    <w:rsid w:val="00CA36C9"/>
    <w:rsid w:val="00CA61ED"/>
    <w:rsid w:val="00CA6A26"/>
    <w:rsid w:val="00CB21D6"/>
    <w:rsid w:val="00CB3D99"/>
    <w:rsid w:val="00CB7068"/>
    <w:rsid w:val="00CC0A80"/>
    <w:rsid w:val="00CC3869"/>
    <w:rsid w:val="00CC3F75"/>
    <w:rsid w:val="00CC4320"/>
    <w:rsid w:val="00CC5050"/>
    <w:rsid w:val="00CC7101"/>
    <w:rsid w:val="00CC78A7"/>
    <w:rsid w:val="00CD2484"/>
    <w:rsid w:val="00CD52C8"/>
    <w:rsid w:val="00CD6ABC"/>
    <w:rsid w:val="00CD7871"/>
    <w:rsid w:val="00CE1493"/>
    <w:rsid w:val="00CE392D"/>
    <w:rsid w:val="00CE51DA"/>
    <w:rsid w:val="00CE531E"/>
    <w:rsid w:val="00CE5C68"/>
    <w:rsid w:val="00CE60A6"/>
    <w:rsid w:val="00CE65D3"/>
    <w:rsid w:val="00CF1722"/>
    <w:rsid w:val="00CF27EE"/>
    <w:rsid w:val="00CF2EC7"/>
    <w:rsid w:val="00CF5316"/>
    <w:rsid w:val="00CF5F35"/>
    <w:rsid w:val="00CF6C16"/>
    <w:rsid w:val="00CF7F45"/>
    <w:rsid w:val="00D00AA5"/>
    <w:rsid w:val="00D05F2F"/>
    <w:rsid w:val="00D10582"/>
    <w:rsid w:val="00D141A8"/>
    <w:rsid w:val="00D14FE6"/>
    <w:rsid w:val="00D155C7"/>
    <w:rsid w:val="00D166B1"/>
    <w:rsid w:val="00D2128D"/>
    <w:rsid w:val="00D23E27"/>
    <w:rsid w:val="00D2759C"/>
    <w:rsid w:val="00D277D9"/>
    <w:rsid w:val="00D3154C"/>
    <w:rsid w:val="00D31571"/>
    <w:rsid w:val="00D332DD"/>
    <w:rsid w:val="00D35A37"/>
    <w:rsid w:val="00D35C71"/>
    <w:rsid w:val="00D35F0D"/>
    <w:rsid w:val="00D36414"/>
    <w:rsid w:val="00D37A92"/>
    <w:rsid w:val="00D41834"/>
    <w:rsid w:val="00D43160"/>
    <w:rsid w:val="00D44BFD"/>
    <w:rsid w:val="00D44DF5"/>
    <w:rsid w:val="00D45032"/>
    <w:rsid w:val="00D45411"/>
    <w:rsid w:val="00D460C2"/>
    <w:rsid w:val="00D50E30"/>
    <w:rsid w:val="00D515D5"/>
    <w:rsid w:val="00D53B2F"/>
    <w:rsid w:val="00D546F2"/>
    <w:rsid w:val="00D5727E"/>
    <w:rsid w:val="00D57B34"/>
    <w:rsid w:val="00D618AE"/>
    <w:rsid w:val="00D62734"/>
    <w:rsid w:val="00D66302"/>
    <w:rsid w:val="00D67177"/>
    <w:rsid w:val="00D70592"/>
    <w:rsid w:val="00D71232"/>
    <w:rsid w:val="00D71FDC"/>
    <w:rsid w:val="00D7210B"/>
    <w:rsid w:val="00D8078E"/>
    <w:rsid w:val="00D81356"/>
    <w:rsid w:val="00D81756"/>
    <w:rsid w:val="00D83DEE"/>
    <w:rsid w:val="00D84D29"/>
    <w:rsid w:val="00D87A8E"/>
    <w:rsid w:val="00D901A3"/>
    <w:rsid w:val="00D91540"/>
    <w:rsid w:val="00D92A7E"/>
    <w:rsid w:val="00D92CD5"/>
    <w:rsid w:val="00D939E4"/>
    <w:rsid w:val="00D96F88"/>
    <w:rsid w:val="00D97EB6"/>
    <w:rsid w:val="00D97F28"/>
    <w:rsid w:val="00DA3C55"/>
    <w:rsid w:val="00DA3FF2"/>
    <w:rsid w:val="00DA5C23"/>
    <w:rsid w:val="00DA6BAF"/>
    <w:rsid w:val="00DB0FCA"/>
    <w:rsid w:val="00DB1E4B"/>
    <w:rsid w:val="00DB5ACF"/>
    <w:rsid w:val="00DC3627"/>
    <w:rsid w:val="00DC377B"/>
    <w:rsid w:val="00DC6B58"/>
    <w:rsid w:val="00DC7389"/>
    <w:rsid w:val="00DD23F4"/>
    <w:rsid w:val="00DD40C6"/>
    <w:rsid w:val="00DD4A94"/>
    <w:rsid w:val="00DD61B8"/>
    <w:rsid w:val="00DD791E"/>
    <w:rsid w:val="00DE010F"/>
    <w:rsid w:val="00DE239D"/>
    <w:rsid w:val="00DE3DDC"/>
    <w:rsid w:val="00DE4F25"/>
    <w:rsid w:val="00DE7B8B"/>
    <w:rsid w:val="00DF0F07"/>
    <w:rsid w:val="00DF1662"/>
    <w:rsid w:val="00DF5D52"/>
    <w:rsid w:val="00DF69B9"/>
    <w:rsid w:val="00DF6E5D"/>
    <w:rsid w:val="00E00946"/>
    <w:rsid w:val="00E044F6"/>
    <w:rsid w:val="00E05BFD"/>
    <w:rsid w:val="00E05D0B"/>
    <w:rsid w:val="00E10BC0"/>
    <w:rsid w:val="00E12CF5"/>
    <w:rsid w:val="00E1422B"/>
    <w:rsid w:val="00E14E2C"/>
    <w:rsid w:val="00E209A2"/>
    <w:rsid w:val="00E20AFA"/>
    <w:rsid w:val="00E2156C"/>
    <w:rsid w:val="00E227A0"/>
    <w:rsid w:val="00E235BF"/>
    <w:rsid w:val="00E236FA"/>
    <w:rsid w:val="00E269F9"/>
    <w:rsid w:val="00E26F24"/>
    <w:rsid w:val="00E32F1D"/>
    <w:rsid w:val="00E3529D"/>
    <w:rsid w:val="00E416A3"/>
    <w:rsid w:val="00E425D7"/>
    <w:rsid w:val="00E431C5"/>
    <w:rsid w:val="00E453F3"/>
    <w:rsid w:val="00E46F20"/>
    <w:rsid w:val="00E51F95"/>
    <w:rsid w:val="00E520AA"/>
    <w:rsid w:val="00E52274"/>
    <w:rsid w:val="00E5398D"/>
    <w:rsid w:val="00E55D83"/>
    <w:rsid w:val="00E56791"/>
    <w:rsid w:val="00E60DD7"/>
    <w:rsid w:val="00E61325"/>
    <w:rsid w:val="00E70A59"/>
    <w:rsid w:val="00E7101C"/>
    <w:rsid w:val="00E72C28"/>
    <w:rsid w:val="00E72D47"/>
    <w:rsid w:val="00E7361A"/>
    <w:rsid w:val="00E74698"/>
    <w:rsid w:val="00E749D0"/>
    <w:rsid w:val="00E7765F"/>
    <w:rsid w:val="00E77FF2"/>
    <w:rsid w:val="00E807F0"/>
    <w:rsid w:val="00E821B0"/>
    <w:rsid w:val="00E834B0"/>
    <w:rsid w:val="00E83DDB"/>
    <w:rsid w:val="00E84426"/>
    <w:rsid w:val="00E869F9"/>
    <w:rsid w:val="00E86B51"/>
    <w:rsid w:val="00E9063E"/>
    <w:rsid w:val="00E91A4F"/>
    <w:rsid w:val="00E923CC"/>
    <w:rsid w:val="00E9521C"/>
    <w:rsid w:val="00E96949"/>
    <w:rsid w:val="00E97AD7"/>
    <w:rsid w:val="00EA0E5A"/>
    <w:rsid w:val="00EA2524"/>
    <w:rsid w:val="00EA2A58"/>
    <w:rsid w:val="00EA2A8C"/>
    <w:rsid w:val="00EA2E0B"/>
    <w:rsid w:val="00EA36C0"/>
    <w:rsid w:val="00EA38C5"/>
    <w:rsid w:val="00EA6CB1"/>
    <w:rsid w:val="00EA7915"/>
    <w:rsid w:val="00EB1A0E"/>
    <w:rsid w:val="00EB2FB1"/>
    <w:rsid w:val="00EB3C2E"/>
    <w:rsid w:val="00EB5EE6"/>
    <w:rsid w:val="00EB7A71"/>
    <w:rsid w:val="00EB7FE5"/>
    <w:rsid w:val="00EC19E8"/>
    <w:rsid w:val="00EC1BA9"/>
    <w:rsid w:val="00EC1ED3"/>
    <w:rsid w:val="00EC42A4"/>
    <w:rsid w:val="00EC5534"/>
    <w:rsid w:val="00EC583B"/>
    <w:rsid w:val="00ED04A1"/>
    <w:rsid w:val="00ED28EC"/>
    <w:rsid w:val="00ED34A0"/>
    <w:rsid w:val="00ED71E1"/>
    <w:rsid w:val="00EE052B"/>
    <w:rsid w:val="00EE0A1A"/>
    <w:rsid w:val="00EE226E"/>
    <w:rsid w:val="00EE55AD"/>
    <w:rsid w:val="00EE6D2A"/>
    <w:rsid w:val="00EF07DC"/>
    <w:rsid w:val="00EF3AB0"/>
    <w:rsid w:val="00EF55C4"/>
    <w:rsid w:val="00F00870"/>
    <w:rsid w:val="00F0185B"/>
    <w:rsid w:val="00F03670"/>
    <w:rsid w:val="00F03A14"/>
    <w:rsid w:val="00F07ED7"/>
    <w:rsid w:val="00F1171C"/>
    <w:rsid w:val="00F11DF2"/>
    <w:rsid w:val="00F141EF"/>
    <w:rsid w:val="00F14441"/>
    <w:rsid w:val="00F15E23"/>
    <w:rsid w:val="00F15FE1"/>
    <w:rsid w:val="00F21B68"/>
    <w:rsid w:val="00F21E5B"/>
    <w:rsid w:val="00F228A5"/>
    <w:rsid w:val="00F22B1B"/>
    <w:rsid w:val="00F23600"/>
    <w:rsid w:val="00F24374"/>
    <w:rsid w:val="00F259A4"/>
    <w:rsid w:val="00F32100"/>
    <w:rsid w:val="00F338C4"/>
    <w:rsid w:val="00F343EC"/>
    <w:rsid w:val="00F34E2B"/>
    <w:rsid w:val="00F366E4"/>
    <w:rsid w:val="00F36E42"/>
    <w:rsid w:val="00F42072"/>
    <w:rsid w:val="00F4274F"/>
    <w:rsid w:val="00F42AB3"/>
    <w:rsid w:val="00F44F42"/>
    <w:rsid w:val="00F461A7"/>
    <w:rsid w:val="00F500B6"/>
    <w:rsid w:val="00F51FE5"/>
    <w:rsid w:val="00F5349B"/>
    <w:rsid w:val="00F53525"/>
    <w:rsid w:val="00F53812"/>
    <w:rsid w:val="00F53F41"/>
    <w:rsid w:val="00F546E1"/>
    <w:rsid w:val="00F54974"/>
    <w:rsid w:val="00F54EAF"/>
    <w:rsid w:val="00F555C0"/>
    <w:rsid w:val="00F60C0D"/>
    <w:rsid w:val="00F64185"/>
    <w:rsid w:val="00F65563"/>
    <w:rsid w:val="00F7272C"/>
    <w:rsid w:val="00F72E43"/>
    <w:rsid w:val="00F73A72"/>
    <w:rsid w:val="00F73F4B"/>
    <w:rsid w:val="00F74C87"/>
    <w:rsid w:val="00F77B0A"/>
    <w:rsid w:val="00F80216"/>
    <w:rsid w:val="00F81A94"/>
    <w:rsid w:val="00F82B1C"/>
    <w:rsid w:val="00F855F4"/>
    <w:rsid w:val="00F85993"/>
    <w:rsid w:val="00F90786"/>
    <w:rsid w:val="00F91521"/>
    <w:rsid w:val="00F9231C"/>
    <w:rsid w:val="00F92454"/>
    <w:rsid w:val="00F94DAB"/>
    <w:rsid w:val="00FA1224"/>
    <w:rsid w:val="00FA270B"/>
    <w:rsid w:val="00FA34A0"/>
    <w:rsid w:val="00FA3647"/>
    <w:rsid w:val="00FA4560"/>
    <w:rsid w:val="00FA5634"/>
    <w:rsid w:val="00FB0DD0"/>
    <w:rsid w:val="00FB4FF2"/>
    <w:rsid w:val="00FC0013"/>
    <w:rsid w:val="00FC3212"/>
    <w:rsid w:val="00FC35A8"/>
    <w:rsid w:val="00FC4BE2"/>
    <w:rsid w:val="00FC5419"/>
    <w:rsid w:val="00FC5930"/>
    <w:rsid w:val="00FC6A4D"/>
    <w:rsid w:val="00FC6AFC"/>
    <w:rsid w:val="00FD08A0"/>
    <w:rsid w:val="00FD1297"/>
    <w:rsid w:val="00FD234F"/>
    <w:rsid w:val="00FD27C7"/>
    <w:rsid w:val="00FD47D6"/>
    <w:rsid w:val="00FD5358"/>
    <w:rsid w:val="00FD6263"/>
    <w:rsid w:val="00FD730E"/>
    <w:rsid w:val="00FD7ED1"/>
    <w:rsid w:val="00FE1E33"/>
    <w:rsid w:val="00FE3E2F"/>
    <w:rsid w:val="00FE54E8"/>
    <w:rsid w:val="00FE601E"/>
    <w:rsid w:val="00FE6BB7"/>
    <w:rsid w:val="00FE7327"/>
    <w:rsid w:val="00FF1C2C"/>
    <w:rsid w:val="00FF25E3"/>
    <w:rsid w:val="00FF5D25"/>
    <w:rsid w:val="00FF72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date"/>
  <w:smartTagType w:namespaceuri="urn:schemas-microsoft-com:office:smarttags" w:name="PersonName"/>
  <w:shapeDefaults>
    <o:shapedefaults v:ext="edit" spidmax="2049"/>
    <o:shapelayout v:ext="edit">
      <o:idmap v:ext="edit" data="1"/>
    </o:shapelayout>
  </w:shapeDefaults>
  <w:decimalSymbol w:val="."/>
  <w:listSeparator w:val=";"/>
  <w14:docId w14:val="06A947B9"/>
  <w15:docId w15:val="{12106BC4-CD75-48E0-89D4-BF9F7BEFC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76B"/>
    <w:rPr>
      <w:sz w:val="24"/>
      <w:szCs w:val="24"/>
      <w:lang w:val="es-ES" w:eastAsia="es-ES"/>
    </w:rPr>
  </w:style>
  <w:style w:type="paragraph" w:styleId="Ttulo1">
    <w:name w:val="heading 1"/>
    <w:basedOn w:val="Normal"/>
    <w:next w:val="Normal"/>
    <w:link w:val="Ttulo1Car"/>
    <w:uiPriority w:val="9"/>
    <w:qFormat/>
    <w:rsid w:val="00DD4A94"/>
    <w:pPr>
      <w:keepNext/>
      <w:spacing w:before="240" w:after="60"/>
      <w:outlineLvl w:val="0"/>
    </w:pPr>
    <w:rPr>
      <w:rFonts w:ascii="Arial" w:hAnsi="Arial" w:cs="Arial"/>
      <w:b/>
      <w:bCs/>
      <w:kern w:val="32"/>
      <w:sz w:val="32"/>
      <w:szCs w:val="32"/>
    </w:rPr>
  </w:style>
  <w:style w:type="paragraph" w:styleId="Ttulo2">
    <w:name w:val="heading 2"/>
    <w:aliases w:val="Título 2 Car Car Car Car Car Car"/>
    <w:basedOn w:val="Normal"/>
    <w:next w:val="Normal"/>
    <w:link w:val="Ttulo2Car"/>
    <w:uiPriority w:val="9"/>
    <w:qFormat/>
    <w:rsid w:val="00B9786D"/>
    <w:pPr>
      <w:keepNext/>
      <w:tabs>
        <w:tab w:val="left" w:pos="360"/>
      </w:tabs>
      <w:autoSpaceDE w:val="0"/>
      <w:autoSpaceDN w:val="0"/>
      <w:adjustRightInd w:val="0"/>
      <w:outlineLvl w:val="1"/>
    </w:pPr>
    <w:rPr>
      <w:rFonts w:ascii="Arial" w:hAnsi="Arial" w:cs="Arial"/>
      <w:b/>
      <w:lang w:val="es-ES_tradnl" w:eastAsia="en-US"/>
    </w:rPr>
  </w:style>
  <w:style w:type="paragraph" w:styleId="Ttulo3">
    <w:name w:val="heading 3"/>
    <w:basedOn w:val="Normal"/>
    <w:next w:val="Normal"/>
    <w:link w:val="Ttulo3Car"/>
    <w:uiPriority w:val="9"/>
    <w:qFormat/>
    <w:rsid w:val="00D92CD5"/>
    <w:pPr>
      <w:keepNext/>
      <w:spacing w:before="240" w:after="60"/>
      <w:outlineLvl w:val="2"/>
    </w:pPr>
    <w:rPr>
      <w:rFonts w:ascii="Arial" w:hAnsi="Arial" w:cs="Arial"/>
      <w:b/>
      <w:bCs/>
      <w:sz w:val="26"/>
      <w:szCs w:val="26"/>
    </w:rPr>
  </w:style>
  <w:style w:type="paragraph" w:styleId="Ttulo4">
    <w:name w:val="heading 4"/>
    <w:basedOn w:val="Normal"/>
    <w:next w:val="Normal"/>
    <w:link w:val="Ttulo4Car"/>
    <w:uiPriority w:val="9"/>
    <w:qFormat/>
    <w:rsid w:val="009A3171"/>
    <w:pPr>
      <w:keepNext/>
      <w:jc w:val="both"/>
      <w:outlineLvl w:val="3"/>
    </w:pPr>
    <w:rPr>
      <w:rFonts w:ascii="Arial" w:hAnsi="Arial"/>
      <w:b/>
      <w:szCs w:val="20"/>
      <w:lang w:val="es-CR" w:eastAsia="en-US"/>
    </w:rPr>
  </w:style>
  <w:style w:type="paragraph" w:styleId="Ttulo5">
    <w:name w:val="heading 5"/>
    <w:aliases w:val="Título 5 Car Car Car Car Car Car Car Car Car Car Car Car Car Car Car Car Car Car Car Car"/>
    <w:basedOn w:val="Normal"/>
    <w:next w:val="Normal"/>
    <w:link w:val="Ttulo5Car"/>
    <w:uiPriority w:val="9"/>
    <w:qFormat/>
    <w:rsid w:val="009A3171"/>
    <w:pPr>
      <w:keepNext/>
      <w:jc w:val="both"/>
      <w:outlineLvl w:val="4"/>
    </w:pPr>
    <w:rPr>
      <w:szCs w:val="20"/>
      <w:u w:val="single"/>
      <w:lang w:val="es-CR" w:eastAsia="en-US"/>
    </w:rPr>
  </w:style>
  <w:style w:type="paragraph" w:styleId="Ttulo6">
    <w:name w:val="heading 6"/>
    <w:basedOn w:val="Normal"/>
    <w:next w:val="Normal"/>
    <w:link w:val="Ttulo6Car"/>
    <w:uiPriority w:val="9"/>
    <w:qFormat/>
    <w:rsid w:val="009A3171"/>
    <w:pPr>
      <w:keepNext/>
      <w:ind w:left="-70"/>
      <w:jc w:val="center"/>
      <w:outlineLvl w:val="5"/>
    </w:pPr>
    <w:rPr>
      <w:b/>
      <w:snapToGrid w:val="0"/>
      <w:color w:val="000000"/>
      <w:szCs w:val="20"/>
    </w:rPr>
  </w:style>
  <w:style w:type="paragraph" w:styleId="Ttulo7">
    <w:name w:val="heading 7"/>
    <w:basedOn w:val="Normal"/>
    <w:next w:val="Normal"/>
    <w:link w:val="Ttulo7Car"/>
    <w:uiPriority w:val="9"/>
    <w:qFormat/>
    <w:rsid w:val="009A3171"/>
    <w:pPr>
      <w:keepNext/>
      <w:jc w:val="center"/>
      <w:outlineLvl w:val="6"/>
    </w:pPr>
    <w:rPr>
      <w:b/>
      <w:sz w:val="16"/>
      <w:szCs w:val="20"/>
      <w:lang w:val="es-ES_tradnl"/>
    </w:rPr>
  </w:style>
  <w:style w:type="paragraph" w:styleId="Ttulo8">
    <w:name w:val="heading 8"/>
    <w:basedOn w:val="Normal"/>
    <w:next w:val="Normal"/>
    <w:link w:val="Ttulo8Car"/>
    <w:uiPriority w:val="9"/>
    <w:qFormat/>
    <w:rsid w:val="009A3171"/>
    <w:pPr>
      <w:keepNext/>
      <w:spacing w:line="360" w:lineRule="auto"/>
      <w:ind w:right="51"/>
      <w:jc w:val="both"/>
      <w:outlineLvl w:val="7"/>
    </w:pPr>
    <w:rPr>
      <w:b/>
      <w:szCs w:val="20"/>
      <w:lang w:val="es-CR" w:eastAsia="en-US"/>
    </w:rPr>
  </w:style>
  <w:style w:type="paragraph" w:styleId="Ttulo9">
    <w:name w:val="heading 9"/>
    <w:basedOn w:val="Normal"/>
    <w:next w:val="Normal"/>
    <w:link w:val="Ttulo9Car"/>
    <w:uiPriority w:val="9"/>
    <w:qFormat/>
    <w:rsid w:val="009A3171"/>
    <w:pPr>
      <w:keepNext/>
      <w:jc w:val="center"/>
      <w:outlineLvl w:val="8"/>
    </w:pPr>
    <w:rPr>
      <w:b/>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9B199D"/>
    <w:rPr>
      <w:rFonts w:ascii="Arial" w:hAnsi="Arial" w:cs="Arial"/>
      <w:b/>
      <w:bCs/>
      <w:kern w:val="32"/>
      <w:sz w:val="32"/>
      <w:szCs w:val="32"/>
      <w:lang w:val="es-ES" w:eastAsia="es-ES"/>
    </w:rPr>
  </w:style>
  <w:style w:type="character" w:customStyle="1" w:styleId="Ttulo2Car">
    <w:name w:val="Título 2 Car"/>
    <w:aliases w:val="Título 2 Car Car Car Car Car Car Car"/>
    <w:basedOn w:val="Fuentedeprrafopredeter"/>
    <w:link w:val="Ttulo2"/>
    <w:uiPriority w:val="9"/>
    <w:rsid w:val="000334EE"/>
    <w:rPr>
      <w:rFonts w:ascii="Arial" w:hAnsi="Arial" w:cs="Arial"/>
      <w:b/>
      <w:sz w:val="24"/>
      <w:szCs w:val="24"/>
      <w:lang w:val="es-ES_tradnl"/>
    </w:rPr>
  </w:style>
  <w:style w:type="character" w:customStyle="1" w:styleId="Ttulo3Car">
    <w:name w:val="Título 3 Car"/>
    <w:link w:val="Ttulo3"/>
    <w:uiPriority w:val="9"/>
    <w:rsid w:val="009B199D"/>
    <w:rPr>
      <w:rFonts w:ascii="Arial" w:hAnsi="Arial" w:cs="Arial"/>
      <w:b/>
      <w:bCs/>
      <w:sz w:val="26"/>
      <w:szCs w:val="26"/>
      <w:lang w:val="es-ES" w:eastAsia="es-ES"/>
    </w:rPr>
  </w:style>
  <w:style w:type="character" w:customStyle="1" w:styleId="Ttulo4Car">
    <w:name w:val="Título 4 Car"/>
    <w:basedOn w:val="Fuentedeprrafopredeter"/>
    <w:link w:val="Ttulo4"/>
    <w:uiPriority w:val="9"/>
    <w:rsid w:val="009A3171"/>
    <w:rPr>
      <w:rFonts w:ascii="Arial" w:hAnsi="Arial"/>
      <w:b/>
      <w:sz w:val="24"/>
      <w:lang w:val="es-CR"/>
    </w:rPr>
  </w:style>
  <w:style w:type="character" w:customStyle="1" w:styleId="Ttulo5Car">
    <w:name w:val="Título 5 Car"/>
    <w:aliases w:val="Título 5 Car Car Car Car Car Car Car Car Car Car Car Car Car Car Car Car Car Car Car Car Car1"/>
    <w:basedOn w:val="Fuentedeprrafopredeter"/>
    <w:link w:val="Ttulo5"/>
    <w:uiPriority w:val="9"/>
    <w:rsid w:val="009A3171"/>
    <w:rPr>
      <w:sz w:val="24"/>
      <w:u w:val="single"/>
      <w:lang w:val="es-CR"/>
    </w:rPr>
  </w:style>
  <w:style w:type="character" w:customStyle="1" w:styleId="Ttulo6Car">
    <w:name w:val="Título 6 Car"/>
    <w:basedOn w:val="Fuentedeprrafopredeter"/>
    <w:link w:val="Ttulo6"/>
    <w:uiPriority w:val="9"/>
    <w:rsid w:val="009A3171"/>
    <w:rPr>
      <w:b/>
      <w:snapToGrid w:val="0"/>
      <w:color w:val="000000"/>
      <w:sz w:val="24"/>
      <w:lang w:val="es-ES" w:eastAsia="es-ES"/>
    </w:rPr>
  </w:style>
  <w:style w:type="character" w:customStyle="1" w:styleId="Ttulo7Car">
    <w:name w:val="Título 7 Car"/>
    <w:basedOn w:val="Fuentedeprrafopredeter"/>
    <w:link w:val="Ttulo7"/>
    <w:uiPriority w:val="9"/>
    <w:rsid w:val="009A3171"/>
    <w:rPr>
      <w:b/>
      <w:sz w:val="16"/>
      <w:lang w:val="es-ES_tradnl" w:eastAsia="es-ES"/>
    </w:rPr>
  </w:style>
  <w:style w:type="character" w:customStyle="1" w:styleId="Ttulo8Car">
    <w:name w:val="Título 8 Car"/>
    <w:basedOn w:val="Fuentedeprrafopredeter"/>
    <w:link w:val="Ttulo8"/>
    <w:uiPriority w:val="9"/>
    <w:rsid w:val="009A3171"/>
    <w:rPr>
      <w:b/>
      <w:sz w:val="24"/>
      <w:lang w:val="es-CR"/>
    </w:rPr>
  </w:style>
  <w:style w:type="character" w:customStyle="1" w:styleId="Ttulo9Car">
    <w:name w:val="Título 9 Car"/>
    <w:basedOn w:val="Fuentedeprrafopredeter"/>
    <w:link w:val="Ttulo9"/>
    <w:uiPriority w:val="9"/>
    <w:rsid w:val="009A3171"/>
    <w:rPr>
      <w:b/>
      <w:lang w:val="es-ES_tradnl" w:eastAsia="es-ES"/>
    </w:rPr>
  </w:style>
  <w:style w:type="paragraph" w:styleId="Textoindependiente">
    <w:name w:val="Body Text"/>
    <w:basedOn w:val="Normal"/>
    <w:link w:val="TextoindependienteCar"/>
    <w:rsid w:val="0030723E"/>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textAlignment w:val="baseline"/>
    </w:pPr>
    <w:rPr>
      <w:rFonts w:ascii="CG Times" w:hAnsi="CG Times"/>
      <w:color w:val="000000"/>
      <w:szCs w:val="20"/>
      <w:lang w:val="es-CR"/>
    </w:rPr>
  </w:style>
  <w:style w:type="character" w:customStyle="1" w:styleId="TextoindependienteCar">
    <w:name w:val="Texto independiente Car"/>
    <w:basedOn w:val="Fuentedeprrafopredeter"/>
    <w:link w:val="Textoindependiente"/>
    <w:rsid w:val="000334EE"/>
    <w:rPr>
      <w:rFonts w:ascii="CG Times" w:hAnsi="CG Times"/>
      <w:color w:val="000000"/>
      <w:sz w:val="24"/>
      <w:lang w:val="es-CR" w:eastAsia="es-ES"/>
    </w:rPr>
  </w:style>
  <w:style w:type="paragraph" w:styleId="Piedepgina">
    <w:name w:val="footer"/>
    <w:basedOn w:val="Normal"/>
    <w:link w:val="PiedepginaCar"/>
    <w:uiPriority w:val="99"/>
    <w:rsid w:val="0030723E"/>
    <w:pPr>
      <w:tabs>
        <w:tab w:val="center" w:pos="4252"/>
        <w:tab w:val="right" w:pos="8504"/>
      </w:tabs>
    </w:pPr>
  </w:style>
  <w:style w:type="character" w:customStyle="1" w:styleId="PiedepginaCar">
    <w:name w:val="Pie de página Car"/>
    <w:link w:val="Piedepgina"/>
    <w:uiPriority w:val="99"/>
    <w:rsid w:val="009B199D"/>
    <w:rPr>
      <w:sz w:val="24"/>
      <w:szCs w:val="24"/>
      <w:lang w:val="es-ES" w:eastAsia="es-ES"/>
    </w:rPr>
  </w:style>
  <w:style w:type="character" w:styleId="Nmerodepgina">
    <w:name w:val="page number"/>
    <w:basedOn w:val="Fuentedeprrafopredeter"/>
    <w:rsid w:val="0030723E"/>
  </w:style>
  <w:style w:type="table" w:styleId="Tablaconcuadrcula">
    <w:name w:val="Table Grid"/>
    <w:basedOn w:val="Tablanormal"/>
    <w:uiPriority w:val="39"/>
    <w:rsid w:val="0030723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DC3627"/>
    <w:pPr>
      <w:tabs>
        <w:tab w:val="center" w:pos="4320"/>
        <w:tab w:val="right" w:pos="8640"/>
      </w:tabs>
    </w:pPr>
    <w:rPr>
      <w:sz w:val="20"/>
      <w:szCs w:val="20"/>
      <w:lang w:val="es-ES_tradnl" w:eastAsia="en-US"/>
    </w:rPr>
  </w:style>
  <w:style w:type="character" w:customStyle="1" w:styleId="EncabezadoCar">
    <w:name w:val="Encabezado Car"/>
    <w:link w:val="Encabezado"/>
    <w:uiPriority w:val="99"/>
    <w:rsid w:val="009B199D"/>
    <w:rPr>
      <w:lang w:val="es-ES_tradnl"/>
    </w:rPr>
  </w:style>
  <w:style w:type="paragraph" w:styleId="Textodeglobo">
    <w:name w:val="Balloon Text"/>
    <w:basedOn w:val="Normal"/>
    <w:link w:val="TextodegloboCar"/>
    <w:uiPriority w:val="99"/>
    <w:rsid w:val="00032D49"/>
    <w:rPr>
      <w:rFonts w:ascii="Tahoma" w:hAnsi="Tahoma" w:cs="Tahoma"/>
      <w:sz w:val="16"/>
      <w:szCs w:val="16"/>
    </w:rPr>
  </w:style>
  <w:style w:type="character" w:customStyle="1" w:styleId="TextodegloboCar">
    <w:name w:val="Texto de globo Car"/>
    <w:link w:val="Textodeglobo"/>
    <w:uiPriority w:val="99"/>
    <w:rsid w:val="009A3171"/>
    <w:rPr>
      <w:rFonts w:ascii="Tahoma" w:hAnsi="Tahoma" w:cs="Tahoma"/>
      <w:sz w:val="16"/>
      <w:szCs w:val="16"/>
      <w:lang w:val="es-ES" w:eastAsia="es-ES"/>
    </w:rPr>
  </w:style>
  <w:style w:type="paragraph" w:styleId="Puesto">
    <w:name w:val="Title"/>
    <w:basedOn w:val="Normal"/>
    <w:link w:val="PuestoCar"/>
    <w:qFormat/>
    <w:rsid w:val="009D034C"/>
    <w:pPr>
      <w:jc w:val="center"/>
    </w:pPr>
    <w:rPr>
      <w:rFonts w:ascii="Garamond" w:hAnsi="Garamond" w:cs="Tahoma"/>
      <w:b/>
      <w:bCs/>
      <w:sz w:val="28"/>
      <w:lang w:val="es-MX"/>
    </w:rPr>
  </w:style>
  <w:style w:type="character" w:customStyle="1" w:styleId="PuestoCar">
    <w:name w:val="Puesto Car"/>
    <w:basedOn w:val="Fuentedeprrafopredeter"/>
    <w:link w:val="Puesto"/>
    <w:rsid w:val="009A3171"/>
    <w:rPr>
      <w:rFonts w:ascii="Garamond" w:hAnsi="Garamond" w:cs="Tahoma"/>
      <w:b/>
      <w:bCs/>
      <w:sz w:val="28"/>
      <w:szCs w:val="24"/>
      <w:lang w:val="es-MX" w:eastAsia="es-ES"/>
    </w:rPr>
  </w:style>
  <w:style w:type="paragraph" w:styleId="Textonotapie">
    <w:name w:val="footnote text"/>
    <w:aliases w:val="Car1,fn,texto de nota al pie,Texto nota pie Car Car Car Car Car Car Car Car,Texto nota pie Car Car Car,Footnote Text Char Char Char Char Char Char,Texto nota pie Car Car Car Car Car,Texto nota pie Car Car,single space,footn,Char, Char"/>
    <w:basedOn w:val="Normal"/>
    <w:link w:val="TextonotapieCar"/>
    <w:uiPriority w:val="99"/>
    <w:rsid w:val="005658B5"/>
    <w:rPr>
      <w:sz w:val="20"/>
      <w:szCs w:val="20"/>
    </w:rPr>
  </w:style>
  <w:style w:type="character" w:customStyle="1" w:styleId="TextonotapieCar">
    <w:name w:val="Texto nota pie Car"/>
    <w:aliases w:val="Car1 Car,fn Car,texto de nota al pie Car,Texto nota pie Car Car Car Car Car Car Car Car Car,Texto nota pie Car Car Car Car,Footnote Text Char Char Char Char Char Char Car,Texto nota pie Car Car Car Car Car Car,single space Car"/>
    <w:basedOn w:val="Fuentedeprrafopredeter"/>
    <w:link w:val="Textonotapie"/>
    <w:uiPriority w:val="99"/>
    <w:rsid w:val="00B87242"/>
    <w:rPr>
      <w:lang w:val="es-ES" w:eastAsia="es-ES" w:bidi="ar-SA"/>
    </w:rPr>
  </w:style>
  <w:style w:type="character" w:styleId="Refdenotaalpie">
    <w:name w:val="footnote reference"/>
    <w:aliases w:val="Ref,de nota al pie,FC,ftref,referencia nota al pie"/>
    <w:basedOn w:val="Fuentedeprrafopredeter"/>
    <w:uiPriority w:val="99"/>
    <w:rsid w:val="005658B5"/>
    <w:rPr>
      <w:vertAlign w:val="superscript"/>
    </w:rPr>
  </w:style>
  <w:style w:type="paragraph" w:styleId="NormalWeb">
    <w:name w:val="Normal (Web)"/>
    <w:basedOn w:val="Normal"/>
    <w:uiPriority w:val="99"/>
    <w:rsid w:val="00186E87"/>
    <w:pPr>
      <w:spacing w:before="100" w:beforeAutospacing="1" w:after="100" w:afterAutospacing="1"/>
    </w:pPr>
    <w:rPr>
      <w:rFonts w:ascii="Arial Unicode MS" w:eastAsia="Arial Unicode MS" w:hAnsi="Arial Unicode MS" w:cs="Arial Unicode MS"/>
    </w:rPr>
  </w:style>
  <w:style w:type="character" w:customStyle="1" w:styleId="textoazul1">
    <w:name w:val="textoazul1"/>
    <w:basedOn w:val="Fuentedeprrafopredeter"/>
    <w:rsid w:val="0032363C"/>
    <w:rPr>
      <w:rFonts w:ascii="Arial" w:hAnsi="Arial" w:cs="Arial" w:hint="default"/>
      <w:color w:val="184D7A"/>
      <w:sz w:val="18"/>
      <w:szCs w:val="18"/>
    </w:rPr>
  </w:style>
  <w:style w:type="paragraph" w:styleId="Textoindependiente3">
    <w:name w:val="Body Text 3"/>
    <w:basedOn w:val="Normal"/>
    <w:link w:val="Textoindependiente3Car"/>
    <w:rsid w:val="00F53525"/>
    <w:pPr>
      <w:spacing w:after="120"/>
    </w:pPr>
    <w:rPr>
      <w:sz w:val="16"/>
      <w:szCs w:val="16"/>
    </w:rPr>
  </w:style>
  <w:style w:type="paragraph" w:customStyle="1" w:styleId="xl29">
    <w:name w:val="xl29"/>
    <w:basedOn w:val="Normal"/>
    <w:rsid w:val="004E39A1"/>
    <w:pPr>
      <w:spacing w:before="100" w:after="100"/>
    </w:pPr>
    <w:rPr>
      <w:rFonts w:ascii="Arial" w:eastAsia="Arial Unicode MS" w:hAnsi="Arial"/>
      <w:b/>
      <w:szCs w:val="20"/>
    </w:rPr>
  </w:style>
  <w:style w:type="paragraph" w:customStyle="1" w:styleId="TextoIndempendiente2">
    <w:name w:val="Texto Indempendiente 2"/>
    <w:basedOn w:val="Normal"/>
    <w:rsid w:val="00B44062"/>
    <w:pPr>
      <w:numPr>
        <w:ilvl w:val="1"/>
        <w:numId w:val="9"/>
      </w:numPr>
    </w:pPr>
  </w:style>
  <w:style w:type="paragraph" w:customStyle="1" w:styleId="EstiloTextoindependiente12pt">
    <w:name w:val="Estilo Texto independiente + 12 pt"/>
    <w:basedOn w:val="Textoindependiente"/>
    <w:rsid w:val="00911AEE"/>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708"/>
      <w:jc w:val="both"/>
      <w:textAlignment w:val="auto"/>
    </w:pPr>
    <w:rPr>
      <w:rFonts w:ascii="Century Gothic" w:hAnsi="Century Gothic"/>
      <w:color w:val="auto"/>
      <w:sz w:val="22"/>
      <w:szCs w:val="24"/>
      <w:lang w:val="es-ES"/>
    </w:rPr>
  </w:style>
  <w:style w:type="paragraph" w:customStyle="1" w:styleId="TextoIndependiente2">
    <w:name w:val="Texto Independiente 2"/>
    <w:basedOn w:val="Textoindependiente"/>
    <w:link w:val="TextoIndependiente2CarCar"/>
    <w:rsid w:val="00911AEE"/>
    <w:pPr>
      <w:widowControl/>
      <w:numPr>
        <w:numId w:val="10"/>
      </w:numPr>
      <w:tabs>
        <w:tab w:val="clear" w:pos="-1238"/>
        <w:tab w:val="clear" w:pos="-720"/>
        <w:tab w:val="clear" w:pos="0"/>
        <w:tab w:val="clear" w:pos="720"/>
        <w:tab w:val="clear" w:pos="1425"/>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1080"/>
      </w:tabs>
      <w:overflowPunct/>
      <w:autoSpaceDE/>
      <w:autoSpaceDN/>
      <w:adjustRightInd/>
      <w:spacing w:line="240" w:lineRule="auto"/>
      <w:ind w:left="1072" w:hanging="505"/>
      <w:jc w:val="both"/>
      <w:textAlignment w:val="auto"/>
    </w:pPr>
    <w:rPr>
      <w:rFonts w:ascii="Century Gothic" w:hAnsi="Century Gothic"/>
      <w:color w:val="auto"/>
      <w:sz w:val="22"/>
      <w:szCs w:val="24"/>
      <w:lang w:val="es-ES"/>
    </w:rPr>
  </w:style>
  <w:style w:type="character" w:customStyle="1" w:styleId="TextoIndependiente2CarCar">
    <w:name w:val="Texto Independiente 2 Car Car"/>
    <w:basedOn w:val="Fuentedeprrafopredeter"/>
    <w:link w:val="TextoIndependiente2"/>
    <w:rsid w:val="00911AEE"/>
    <w:rPr>
      <w:rFonts w:ascii="Century Gothic" w:hAnsi="Century Gothic"/>
      <w:sz w:val="22"/>
      <w:szCs w:val="24"/>
      <w:lang w:val="es-ES" w:eastAsia="es-ES"/>
    </w:rPr>
  </w:style>
  <w:style w:type="paragraph" w:customStyle="1" w:styleId="EstiloTtulo3CenturyGothic">
    <w:name w:val="Estilo Título 3 + Century Gothic"/>
    <w:basedOn w:val="Ttulo3"/>
    <w:link w:val="EstiloTtulo3CenturyGothicCar"/>
    <w:rsid w:val="00911AEE"/>
    <w:pPr>
      <w:spacing w:before="0" w:after="0"/>
      <w:jc w:val="both"/>
    </w:pPr>
    <w:rPr>
      <w:rFonts w:ascii="Century Gothic" w:hAnsi="Century Gothic"/>
      <w:sz w:val="24"/>
      <w:szCs w:val="22"/>
    </w:rPr>
  </w:style>
  <w:style w:type="character" w:customStyle="1" w:styleId="EstiloTtulo3CenturyGothicCar">
    <w:name w:val="Estilo Título 3 + Century Gothic Car"/>
    <w:basedOn w:val="Fuentedeprrafopredeter"/>
    <w:link w:val="EstiloTtulo3CenturyGothic"/>
    <w:rsid w:val="00911AEE"/>
    <w:rPr>
      <w:rFonts w:ascii="Century Gothic" w:hAnsi="Century Gothic" w:cs="Arial"/>
      <w:b/>
      <w:bCs/>
      <w:sz w:val="24"/>
      <w:szCs w:val="22"/>
      <w:lang w:val="es-ES" w:eastAsia="es-ES" w:bidi="ar-SA"/>
    </w:rPr>
  </w:style>
  <w:style w:type="paragraph" w:styleId="TDC2">
    <w:name w:val="toc 2"/>
    <w:basedOn w:val="Normal"/>
    <w:next w:val="Normal"/>
    <w:autoRedefine/>
    <w:uiPriority w:val="39"/>
    <w:qFormat/>
    <w:rsid w:val="003A637D"/>
    <w:pPr>
      <w:tabs>
        <w:tab w:val="right" w:leader="dot" w:pos="9396"/>
      </w:tabs>
      <w:spacing w:line="276" w:lineRule="auto"/>
      <w:ind w:left="850" w:hanging="708"/>
    </w:pPr>
    <w:rPr>
      <w:rFonts w:asciiTheme="majorHAnsi" w:hAnsiTheme="majorHAnsi" w:cs="Tahoma"/>
      <w:bCs/>
      <w:noProof/>
      <w:sz w:val="22"/>
      <w:lang w:val="es-ES_tradnl"/>
    </w:rPr>
  </w:style>
  <w:style w:type="paragraph" w:customStyle="1" w:styleId="Titulo">
    <w:name w:val="Titulo"/>
    <w:basedOn w:val="Ttulo1"/>
    <w:autoRedefine/>
    <w:rsid w:val="00766815"/>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0" w:after="0" w:line="218" w:lineRule="auto"/>
      <w:textAlignment w:val="baseline"/>
    </w:pPr>
    <w:rPr>
      <w:rFonts w:ascii="Times New Roman" w:hAnsi="Times New Roman"/>
      <w:b w:val="0"/>
      <w:caps/>
      <w:color w:val="000000"/>
      <w:kern w:val="0"/>
      <w:sz w:val="22"/>
      <w:szCs w:val="22"/>
      <w:lang w:val="es-CR" w:eastAsia="en-US"/>
    </w:rPr>
  </w:style>
  <w:style w:type="table" w:styleId="Tablaelegante">
    <w:name w:val="Table Elegant"/>
    <w:basedOn w:val="Tablanormal"/>
    <w:rsid w:val="005669B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basedOn w:val="Fuentedeprrafopredeter"/>
    <w:uiPriority w:val="99"/>
    <w:rsid w:val="00FF5D25"/>
    <w:rPr>
      <w:sz w:val="16"/>
      <w:szCs w:val="16"/>
    </w:rPr>
  </w:style>
  <w:style w:type="paragraph" w:styleId="Textocomentario">
    <w:name w:val="annotation text"/>
    <w:basedOn w:val="Normal"/>
    <w:link w:val="TextocomentarioCar"/>
    <w:uiPriority w:val="99"/>
    <w:rsid w:val="00FF5D25"/>
    <w:rPr>
      <w:sz w:val="20"/>
      <w:szCs w:val="20"/>
      <w:lang w:val="es-ES_tradnl" w:eastAsia="en-US"/>
    </w:rPr>
  </w:style>
  <w:style w:type="character" w:customStyle="1" w:styleId="TextocomentarioCar">
    <w:name w:val="Texto comentario Car"/>
    <w:link w:val="Textocomentario"/>
    <w:uiPriority w:val="99"/>
    <w:rsid w:val="007E059B"/>
    <w:rPr>
      <w:lang w:val="es-ES_tradnl"/>
    </w:rPr>
  </w:style>
  <w:style w:type="paragraph" w:customStyle="1" w:styleId="Ttulo3a">
    <w:name w:val="Título 3 a"/>
    <w:basedOn w:val="Normal"/>
    <w:link w:val="Ttulo3aCar"/>
    <w:rsid w:val="005C6E61"/>
    <w:pPr>
      <w:ind w:left="1134" w:hanging="567"/>
      <w:jc w:val="both"/>
    </w:pPr>
    <w:rPr>
      <w:rFonts w:ascii="Arial" w:hAnsi="Arial" w:cs="Arial"/>
      <w:b/>
      <w:i/>
      <w:sz w:val="22"/>
      <w:lang w:val="es-CR" w:eastAsia="es-ES_tradnl"/>
    </w:rPr>
  </w:style>
  <w:style w:type="character" w:customStyle="1" w:styleId="Ttulo3aCar">
    <w:name w:val="Título 3 a Car"/>
    <w:basedOn w:val="Fuentedeprrafopredeter"/>
    <w:link w:val="Ttulo3a"/>
    <w:rsid w:val="005C6E61"/>
    <w:rPr>
      <w:rFonts w:ascii="Arial" w:hAnsi="Arial" w:cs="Arial"/>
      <w:b/>
      <w:i/>
      <w:sz w:val="22"/>
      <w:szCs w:val="24"/>
      <w:lang w:val="es-CR" w:eastAsia="es-ES_tradnl" w:bidi="ar-SA"/>
    </w:rPr>
  </w:style>
  <w:style w:type="paragraph" w:customStyle="1" w:styleId="TextoIndependienteCuadros">
    <w:name w:val="Texto Independiente Cuadros"/>
    <w:basedOn w:val="Textoindependiente"/>
    <w:next w:val="Textoindependiente"/>
    <w:autoRedefine/>
    <w:rsid w:val="0012570F"/>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jc w:val="both"/>
      <w:textAlignment w:val="auto"/>
    </w:pPr>
    <w:rPr>
      <w:rFonts w:ascii="Arial" w:hAnsi="Arial" w:cs="Arial"/>
      <w:color w:val="auto"/>
      <w:szCs w:val="24"/>
    </w:rPr>
  </w:style>
  <w:style w:type="paragraph" w:styleId="Descripcin">
    <w:name w:val="caption"/>
    <w:basedOn w:val="Normal"/>
    <w:next w:val="Normal"/>
    <w:qFormat/>
    <w:rsid w:val="0012570F"/>
    <w:pPr>
      <w:spacing w:before="120" w:after="120"/>
    </w:pPr>
    <w:rPr>
      <w:b/>
      <w:bCs/>
      <w:sz w:val="20"/>
      <w:szCs w:val="20"/>
      <w:lang w:val="es-ES_tradnl" w:eastAsia="es-ES_tradnl"/>
    </w:rPr>
  </w:style>
  <w:style w:type="paragraph" w:customStyle="1" w:styleId="Ttulo2a">
    <w:name w:val="Título 2 a"/>
    <w:basedOn w:val="Ttulo1"/>
    <w:next w:val="TextoIndependienteCuadros"/>
    <w:link w:val="Ttulo2aCar"/>
    <w:autoRedefine/>
    <w:rsid w:val="0012570F"/>
    <w:pPr>
      <w:spacing w:before="0" w:after="0"/>
    </w:pPr>
    <w:rPr>
      <w:sz w:val="24"/>
      <w:lang w:val="es-ES_tradnl" w:eastAsia="es-ES_tradnl"/>
    </w:rPr>
  </w:style>
  <w:style w:type="character" w:customStyle="1" w:styleId="Ttulo2aCar">
    <w:name w:val="Título 2 a Car"/>
    <w:basedOn w:val="Fuentedeprrafopredeter"/>
    <w:link w:val="Ttulo2a"/>
    <w:rsid w:val="0012570F"/>
    <w:rPr>
      <w:rFonts w:ascii="Arial" w:hAnsi="Arial" w:cs="Arial"/>
      <w:b/>
      <w:bCs/>
      <w:kern w:val="32"/>
      <w:sz w:val="24"/>
      <w:szCs w:val="32"/>
      <w:lang w:val="es-ES_tradnl" w:eastAsia="es-ES_tradnl"/>
    </w:rPr>
  </w:style>
  <w:style w:type="paragraph" w:styleId="Prrafodelista">
    <w:name w:val="List Paragraph"/>
    <w:basedOn w:val="Normal"/>
    <w:uiPriority w:val="34"/>
    <w:qFormat/>
    <w:rsid w:val="0012570F"/>
    <w:pPr>
      <w:ind w:left="720" w:hanging="357"/>
      <w:contextualSpacing/>
      <w:jc w:val="both"/>
    </w:pPr>
    <w:rPr>
      <w:rFonts w:ascii="Garamond" w:eastAsia="Calibri" w:hAnsi="Garamond"/>
      <w:szCs w:val="22"/>
      <w:lang w:val="es-CR" w:eastAsia="en-US"/>
    </w:rPr>
  </w:style>
  <w:style w:type="paragraph" w:customStyle="1" w:styleId="texto1">
    <w:name w:val="texto1"/>
    <w:basedOn w:val="Normal"/>
    <w:rsid w:val="007010AB"/>
    <w:pPr>
      <w:spacing w:before="100" w:beforeAutospacing="1" w:after="100" w:afterAutospacing="1"/>
    </w:pPr>
    <w:rPr>
      <w:rFonts w:ascii="Arial" w:hAnsi="Arial" w:cs="Arial"/>
      <w:color w:val="212167"/>
      <w:sz w:val="16"/>
      <w:szCs w:val="16"/>
      <w:lang w:val="en-US" w:eastAsia="en-US"/>
    </w:rPr>
  </w:style>
  <w:style w:type="character" w:styleId="Textoennegrita">
    <w:name w:val="Strong"/>
    <w:basedOn w:val="Fuentedeprrafopredeter"/>
    <w:uiPriority w:val="22"/>
    <w:qFormat/>
    <w:rsid w:val="007010AB"/>
    <w:rPr>
      <w:b/>
      <w:bCs/>
    </w:rPr>
  </w:style>
  <w:style w:type="paragraph" w:customStyle="1" w:styleId="texto">
    <w:name w:val="texto"/>
    <w:basedOn w:val="Normal"/>
    <w:rsid w:val="009936AC"/>
    <w:pPr>
      <w:spacing w:before="100" w:beforeAutospacing="1" w:after="100" w:afterAutospacing="1"/>
    </w:pPr>
    <w:rPr>
      <w:rFonts w:ascii="Arial" w:hAnsi="Arial" w:cs="Arial"/>
      <w:color w:val="000000"/>
      <w:sz w:val="18"/>
      <w:szCs w:val="18"/>
    </w:rPr>
  </w:style>
  <w:style w:type="paragraph" w:customStyle="1" w:styleId="TextoIndependienteCONASSIF">
    <w:name w:val="Texto Independiente CONASSIF"/>
    <w:basedOn w:val="Textoindependiente"/>
    <w:link w:val="TextoIndependienteCONASSIFCar"/>
    <w:uiPriority w:val="99"/>
    <w:rsid w:val="0022287E"/>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jc w:val="both"/>
      <w:textAlignment w:val="auto"/>
    </w:pPr>
    <w:rPr>
      <w:rFonts w:ascii="Arial" w:hAnsi="Arial"/>
      <w:color w:val="auto"/>
      <w:sz w:val="22"/>
      <w:szCs w:val="22"/>
    </w:rPr>
  </w:style>
  <w:style w:type="character" w:customStyle="1" w:styleId="TextoIndependienteCONASSIFCar">
    <w:name w:val="Texto Independiente CONASSIF Car"/>
    <w:basedOn w:val="Fuentedeprrafopredeter"/>
    <w:link w:val="TextoIndependienteCONASSIF"/>
    <w:uiPriority w:val="99"/>
    <w:rsid w:val="0022287E"/>
    <w:rPr>
      <w:rFonts w:ascii="Arial" w:hAnsi="Arial"/>
      <w:sz w:val="22"/>
      <w:szCs w:val="22"/>
      <w:lang w:val="es-CR" w:eastAsia="es-ES"/>
    </w:rPr>
  </w:style>
  <w:style w:type="character" w:styleId="nfasis">
    <w:name w:val="Emphasis"/>
    <w:basedOn w:val="Fuentedeprrafopredeter"/>
    <w:qFormat/>
    <w:rsid w:val="0022287E"/>
    <w:rPr>
      <w:i/>
      <w:iCs/>
    </w:rPr>
  </w:style>
  <w:style w:type="paragraph" w:styleId="TtulodeTDC">
    <w:name w:val="TOC Heading"/>
    <w:basedOn w:val="Ttulo1"/>
    <w:next w:val="Normal"/>
    <w:uiPriority w:val="39"/>
    <w:unhideWhenUsed/>
    <w:qFormat/>
    <w:rsid w:val="00CF5F3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1">
    <w:name w:val="toc 1"/>
    <w:basedOn w:val="Normal"/>
    <w:next w:val="Normal"/>
    <w:autoRedefine/>
    <w:uiPriority w:val="39"/>
    <w:unhideWhenUsed/>
    <w:qFormat/>
    <w:rsid w:val="0043587E"/>
    <w:pPr>
      <w:tabs>
        <w:tab w:val="left" w:pos="850"/>
        <w:tab w:val="right" w:leader="dot" w:pos="9113"/>
      </w:tabs>
      <w:spacing w:after="100" w:line="276" w:lineRule="auto"/>
    </w:pPr>
    <w:rPr>
      <w:rFonts w:asciiTheme="majorHAnsi" w:eastAsiaTheme="minorEastAsia" w:hAnsiTheme="majorHAnsi" w:cs="Tahoma"/>
      <w:b/>
      <w:bCs/>
      <w:smallCaps/>
      <w:noProof/>
      <w:sz w:val="22"/>
      <w:szCs w:val="22"/>
    </w:rPr>
  </w:style>
  <w:style w:type="paragraph" w:styleId="TDC3">
    <w:name w:val="toc 3"/>
    <w:basedOn w:val="Normal"/>
    <w:next w:val="Normal"/>
    <w:autoRedefine/>
    <w:uiPriority w:val="39"/>
    <w:unhideWhenUsed/>
    <w:qFormat/>
    <w:rsid w:val="00C03AF3"/>
    <w:pPr>
      <w:tabs>
        <w:tab w:val="left" w:pos="851"/>
        <w:tab w:val="right" w:leader="dot" w:pos="9072"/>
      </w:tabs>
      <w:spacing w:after="100" w:line="276" w:lineRule="auto"/>
      <w:ind w:left="567" w:hanging="425"/>
    </w:pPr>
    <w:rPr>
      <w:rFonts w:asciiTheme="minorHAnsi" w:eastAsiaTheme="minorEastAsia" w:hAnsiTheme="minorHAnsi" w:cstheme="minorBidi"/>
      <w:sz w:val="22"/>
      <w:szCs w:val="22"/>
    </w:rPr>
  </w:style>
  <w:style w:type="character" w:styleId="Hipervnculo">
    <w:name w:val="Hyperlink"/>
    <w:basedOn w:val="Fuentedeprrafopredeter"/>
    <w:uiPriority w:val="99"/>
    <w:unhideWhenUsed/>
    <w:rsid w:val="00CF5F35"/>
    <w:rPr>
      <w:color w:val="0000FF" w:themeColor="hyperlink"/>
      <w:u w:val="single"/>
    </w:rPr>
  </w:style>
  <w:style w:type="paragraph" w:styleId="Textoindependiente20">
    <w:name w:val="Body Text 2"/>
    <w:basedOn w:val="Normal"/>
    <w:link w:val="Textoindependiente2Car"/>
    <w:rsid w:val="009A3171"/>
    <w:pPr>
      <w:spacing w:after="120" w:line="480" w:lineRule="auto"/>
    </w:pPr>
  </w:style>
  <w:style w:type="character" w:customStyle="1" w:styleId="Textoindependiente2Car">
    <w:name w:val="Texto independiente 2 Car"/>
    <w:basedOn w:val="Fuentedeprrafopredeter"/>
    <w:link w:val="Textoindependiente20"/>
    <w:rsid w:val="009A3171"/>
    <w:rPr>
      <w:sz w:val="24"/>
      <w:szCs w:val="24"/>
      <w:lang w:val="es-ES" w:eastAsia="es-ES"/>
    </w:rPr>
  </w:style>
  <w:style w:type="paragraph" w:styleId="Sangradetextonormal">
    <w:name w:val="Body Text Indent"/>
    <w:basedOn w:val="Normal"/>
    <w:link w:val="SangradetextonormalCar"/>
    <w:rsid w:val="009A3171"/>
    <w:pPr>
      <w:spacing w:after="120"/>
      <w:ind w:left="283"/>
    </w:pPr>
  </w:style>
  <w:style w:type="character" w:customStyle="1" w:styleId="SangradetextonormalCar">
    <w:name w:val="Sangría de texto normal Car"/>
    <w:basedOn w:val="Fuentedeprrafopredeter"/>
    <w:link w:val="Sangradetextonormal"/>
    <w:rsid w:val="009A3171"/>
    <w:rPr>
      <w:sz w:val="24"/>
      <w:szCs w:val="24"/>
      <w:lang w:val="es-ES" w:eastAsia="es-ES"/>
    </w:rPr>
  </w:style>
  <w:style w:type="paragraph" w:styleId="Continuarlista">
    <w:name w:val="List Continue"/>
    <w:basedOn w:val="Normal"/>
    <w:rsid w:val="009A3171"/>
    <w:pPr>
      <w:tabs>
        <w:tab w:val="num" w:pos="1440"/>
      </w:tabs>
      <w:spacing w:after="120"/>
      <w:ind w:left="792" w:hanging="432"/>
    </w:pPr>
    <w:rPr>
      <w:sz w:val="22"/>
      <w:szCs w:val="20"/>
      <w:lang w:eastAsia="en-US"/>
    </w:rPr>
  </w:style>
  <w:style w:type="paragraph" w:styleId="Cierre">
    <w:name w:val="Closing"/>
    <w:basedOn w:val="Normal"/>
    <w:link w:val="CierreCar"/>
    <w:rsid w:val="009A3171"/>
    <w:pPr>
      <w:tabs>
        <w:tab w:val="num" w:pos="1440"/>
      </w:tabs>
      <w:ind w:left="792" w:hanging="432"/>
    </w:pPr>
    <w:rPr>
      <w:sz w:val="22"/>
      <w:szCs w:val="20"/>
      <w:lang w:eastAsia="en-US"/>
    </w:rPr>
  </w:style>
  <w:style w:type="character" w:customStyle="1" w:styleId="CierreCar">
    <w:name w:val="Cierre Car"/>
    <w:basedOn w:val="Fuentedeprrafopredeter"/>
    <w:link w:val="Cierre"/>
    <w:rsid w:val="009A3171"/>
    <w:rPr>
      <w:sz w:val="22"/>
      <w:lang w:val="es-ES"/>
    </w:rPr>
  </w:style>
  <w:style w:type="paragraph" w:styleId="Sangra2detindependiente">
    <w:name w:val="Body Text Indent 2"/>
    <w:basedOn w:val="Normal"/>
    <w:link w:val="Sangra2detindependienteCar"/>
    <w:rsid w:val="009A3171"/>
    <w:pPr>
      <w:tabs>
        <w:tab w:val="left" w:pos="567"/>
      </w:tabs>
      <w:ind w:left="567"/>
      <w:jc w:val="both"/>
    </w:pPr>
    <w:rPr>
      <w:rFonts w:ascii="Arial" w:hAnsi="Arial"/>
      <w:szCs w:val="20"/>
      <w:lang w:val="es-CR" w:eastAsia="en-US"/>
    </w:rPr>
  </w:style>
  <w:style w:type="character" w:customStyle="1" w:styleId="Sangra2detindependienteCar">
    <w:name w:val="Sangría 2 de t. independiente Car"/>
    <w:basedOn w:val="Fuentedeprrafopredeter"/>
    <w:link w:val="Sangra2detindependiente"/>
    <w:rsid w:val="009A3171"/>
    <w:rPr>
      <w:rFonts w:ascii="Arial" w:hAnsi="Arial"/>
      <w:sz w:val="24"/>
      <w:lang w:val="es-CR"/>
    </w:rPr>
  </w:style>
  <w:style w:type="paragraph" w:styleId="Sangra3detindependiente">
    <w:name w:val="Body Text Indent 3"/>
    <w:basedOn w:val="Normal"/>
    <w:link w:val="Sangra3detindependienteCar"/>
    <w:rsid w:val="009A3171"/>
    <w:pPr>
      <w:spacing w:line="360" w:lineRule="auto"/>
      <w:ind w:firstLine="567"/>
      <w:jc w:val="both"/>
    </w:pPr>
    <w:rPr>
      <w:rFonts w:ascii="Bookman Old Style" w:hAnsi="Bookman Old Style"/>
      <w:sz w:val="32"/>
      <w:szCs w:val="20"/>
      <w:lang w:val="es-ES_tradnl" w:eastAsia="en-US"/>
    </w:rPr>
  </w:style>
  <w:style w:type="character" w:customStyle="1" w:styleId="Sangra3detindependienteCar">
    <w:name w:val="Sangría 3 de t. independiente Car"/>
    <w:basedOn w:val="Fuentedeprrafopredeter"/>
    <w:link w:val="Sangra3detindependiente"/>
    <w:rsid w:val="009A3171"/>
    <w:rPr>
      <w:rFonts w:ascii="Bookman Old Style" w:hAnsi="Bookman Old Style"/>
      <w:sz w:val="32"/>
      <w:lang w:val="es-ES_tradnl"/>
    </w:rPr>
  </w:style>
  <w:style w:type="paragraph" w:styleId="Textodebloque">
    <w:name w:val="Block Text"/>
    <w:basedOn w:val="Normal"/>
    <w:rsid w:val="009A3171"/>
    <w:pPr>
      <w:spacing w:line="360" w:lineRule="auto"/>
      <w:ind w:left="567" w:right="51"/>
      <w:jc w:val="both"/>
    </w:pPr>
    <w:rPr>
      <w:szCs w:val="20"/>
      <w:lang w:eastAsia="en-US"/>
    </w:rPr>
  </w:style>
  <w:style w:type="paragraph" w:styleId="Subttulo">
    <w:name w:val="Subtitle"/>
    <w:basedOn w:val="Normal"/>
    <w:link w:val="SubttuloCar"/>
    <w:uiPriority w:val="11"/>
    <w:qFormat/>
    <w:rsid w:val="009A3171"/>
    <w:rPr>
      <w:b/>
      <w:sz w:val="28"/>
      <w:szCs w:val="20"/>
      <w:lang w:val="es-ES_tradnl"/>
    </w:rPr>
  </w:style>
  <w:style w:type="character" w:customStyle="1" w:styleId="SubttuloCar">
    <w:name w:val="Subtítulo Car"/>
    <w:basedOn w:val="Fuentedeprrafopredeter"/>
    <w:link w:val="Subttulo"/>
    <w:uiPriority w:val="11"/>
    <w:rsid w:val="009A3171"/>
    <w:rPr>
      <w:b/>
      <w:sz w:val="28"/>
      <w:lang w:val="es-ES_tradnl" w:eastAsia="es-ES"/>
    </w:rPr>
  </w:style>
  <w:style w:type="paragraph" w:styleId="Textonotaalfinal">
    <w:name w:val="endnote text"/>
    <w:basedOn w:val="Normal"/>
    <w:link w:val="TextonotaalfinalCar"/>
    <w:rsid w:val="009A3171"/>
    <w:rPr>
      <w:rFonts w:ascii="Arial" w:hAnsi="Arial"/>
      <w:sz w:val="20"/>
      <w:szCs w:val="20"/>
      <w:lang w:eastAsia="en-US"/>
    </w:rPr>
  </w:style>
  <w:style w:type="character" w:customStyle="1" w:styleId="TextonotaalfinalCar">
    <w:name w:val="Texto nota al final Car"/>
    <w:basedOn w:val="Fuentedeprrafopredeter"/>
    <w:link w:val="Textonotaalfinal"/>
    <w:rsid w:val="009A3171"/>
    <w:rPr>
      <w:rFonts w:ascii="Arial" w:hAnsi="Arial"/>
      <w:lang w:val="es-ES"/>
    </w:rPr>
  </w:style>
  <w:style w:type="character" w:styleId="Refdenotaalfinal">
    <w:name w:val="endnote reference"/>
    <w:rsid w:val="009A3171"/>
    <w:rPr>
      <w:vertAlign w:val="superscript"/>
    </w:rPr>
  </w:style>
  <w:style w:type="paragraph" w:customStyle="1" w:styleId="Textoindependiente21">
    <w:name w:val="Texto independiente 21"/>
    <w:basedOn w:val="Normal"/>
    <w:rsid w:val="009A3171"/>
    <w:pPr>
      <w:widowControl w:val="0"/>
      <w:overflowPunct w:val="0"/>
      <w:autoSpaceDE w:val="0"/>
      <w:autoSpaceDN w:val="0"/>
      <w:adjustRightInd w:val="0"/>
      <w:jc w:val="both"/>
      <w:textAlignment w:val="baseline"/>
    </w:pPr>
    <w:rPr>
      <w:rFonts w:ascii="Arial" w:hAnsi="Arial"/>
      <w:sz w:val="22"/>
      <w:szCs w:val="20"/>
      <w:lang w:val="es-ES_tradnl"/>
    </w:rPr>
  </w:style>
  <w:style w:type="paragraph" w:customStyle="1" w:styleId="Noparagraphstyle">
    <w:name w:val="[No paragraph style]"/>
    <w:rsid w:val="009A3171"/>
    <w:pPr>
      <w:widowControl w:val="0"/>
      <w:autoSpaceDE w:val="0"/>
      <w:autoSpaceDN w:val="0"/>
      <w:adjustRightInd w:val="0"/>
      <w:spacing w:line="288" w:lineRule="auto"/>
    </w:pPr>
    <w:rPr>
      <w:color w:val="000000"/>
      <w:sz w:val="24"/>
      <w:szCs w:val="24"/>
      <w:lang w:val="es-ES" w:eastAsia="es-ES"/>
    </w:rPr>
  </w:style>
  <w:style w:type="paragraph" w:styleId="Asuntodelcomentario">
    <w:name w:val="annotation subject"/>
    <w:basedOn w:val="Textocomentario"/>
    <w:next w:val="Textocomentario"/>
    <w:link w:val="AsuntodelcomentarioCar"/>
    <w:uiPriority w:val="99"/>
    <w:rsid w:val="009A3171"/>
    <w:rPr>
      <w:rFonts w:ascii="Arial" w:hAnsi="Arial"/>
      <w:b/>
      <w:bCs/>
      <w:lang w:val="es-ES"/>
    </w:rPr>
  </w:style>
  <w:style w:type="character" w:customStyle="1" w:styleId="AsuntodelcomentarioCar">
    <w:name w:val="Asunto del comentario Car"/>
    <w:basedOn w:val="TextocomentarioCar"/>
    <w:link w:val="Asuntodelcomentario"/>
    <w:uiPriority w:val="99"/>
    <w:rsid w:val="009A3171"/>
    <w:rPr>
      <w:rFonts w:ascii="Arial" w:hAnsi="Arial"/>
      <w:b/>
      <w:bCs/>
      <w:lang w:val="es-ES"/>
    </w:rPr>
  </w:style>
  <w:style w:type="character" w:styleId="Hipervnculovisitado">
    <w:name w:val="FollowedHyperlink"/>
    <w:basedOn w:val="Fuentedeprrafopredeter"/>
    <w:uiPriority w:val="99"/>
    <w:rsid w:val="009A3171"/>
    <w:rPr>
      <w:color w:val="800080" w:themeColor="followedHyperlink"/>
      <w:u w:val="single"/>
    </w:rPr>
  </w:style>
  <w:style w:type="table" w:styleId="Tablabsica1">
    <w:name w:val="Table Simple 1"/>
    <w:basedOn w:val="Tablanormal"/>
    <w:rsid w:val="003846CD"/>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Textodelmarcadordeposicin">
    <w:name w:val="Placeholder Text"/>
    <w:basedOn w:val="Fuentedeprrafopredeter"/>
    <w:uiPriority w:val="99"/>
    <w:semiHidden/>
    <w:rsid w:val="003846CD"/>
    <w:rPr>
      <w:color w:val="808080"/>
    </w:rPr>
  </w:style>
  <w:style w:type="paragraph" w:customStyle="1" w:styleId="Titulo4">
    <w:name w:val="Titulo 4"/>
    <w:basedOn w:val="Ttulo3"/>
    <w:next w:val="Textoindependiente"/>
    <w:rsid w:val="009B199D"/>
    <w:pPr>
      <w:spacing w:before="0" w:after="0"/>
      <w:ind w:left="1135" w:hanging="284"/>
      <w:jc w:val="both"/>
    </w:pPr>
    <w:rPr>
      <w:rFonts w:ascii="Century Gothic" w:hAnsi="Century Gothic"/>
      <w:sz w:val="22"/>
      <w:szCs w:val="22"/>
      <w:lang w:val="es-CR"/>
    </w:rPr>
  </w:style>
  <w:style w:type="paragraph" w:customStyle="1" w:styleId="EstiloTtulo2SinNegrita">
    <w:name w:val="Estilo Título 2 + Sin Negrita"/>
    <w:basedOn w:val="Ttulo2"/>
    <w:rsid w:val="009B199D"/>
    <w:pPr>
      <w:tabs>
        <w:tab w:val="clear" w:pos="360"/>
      </w:tabs>
      <w:autoSpaceDE/>
      <w:autoSpaceDN/>
      <w:adjustRightInd/>
      <w:jc w:val="both"/>
    </w:pPr>
    <w:rPr>
      <w:rFonts w:ascii="Century Gothic" w:hAnsi="Century Gothic" w:cs="Times New Roman"/>
      <w:iCs/>
      <w:lang w:val="es-CR" w:eastAsia="es-ES"/>
    </w:rPr>
  </w:style>
  <w:style w:type="paragraph" w:customStyle="1" w:styleId="TextoIndependiente30">
    <w:name w:val="Texto Independiente 3"/>
    <w:basedOn w:val="Textoindependiente"/>
    <w:next w:val="Textoindependiente"/>
    <w:rsid w:val="009B199D"/>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567"/>
      <w:jc w:val="both"/>
      <w:textAlignment w:val="auto"/>
    </w:pPr>
    <w:rPr>
      <w:rFonts w:ascii="Century Gothic" w:hAnsi="Century Gothic"/>
      <w:i/>
      <w:color w:val="auto"/>
      <w:sz w:val="22"/>
      <w:u w:val="single"/>
      <w:lang w:val="es-ES"/>
    </w:rPr>
  </w:style>
  <w:style w:type="character" w:customStyle="1" w:styleId="longtext">
    <w:name w:val="long_text"/>
    <w:rsid w:val="009B199D"/>
  </w:style>
  <w:style w:type="character" w:customStyle="1" w:styleId="gt-icon-text1">
    <w:name w:val="gt-icon-text1"/>
    <w:rsid w:val="009B199D"/>
  </w:style>
  <w:style w:type="paragraph" w:styleId="Sinespaciado">
    <w:name w:val="No Spacing"/>
    <w:link w:val="SinespaciadoCar"/>
    <w:uiPriority w:val="1"/>
    <w:qFormat/>
    <w:rsid w:val="000921A0"/>
    <w:rPr>
      <w:rFonts w:asciiTheme="minorHAnsi" w:eastAsiaTheme="minorEastAsia" w:hAnsiTheme="minorHAnsi" w:cstheme="minorBidi"/>
      <w:sz w:val="22"/>
      <w:szCs w:val="22"/>
      <w:lang w:val="es-CR" w:eastAsia="es-CR"/>
    </w:rPr>
  </w:style>
  <w:style w:type="character" w:customStyle="1" w:styleId="SinespaciadoCar">
    <w:name w:val="Sin espaciado Car"/>
    <w:basedOn w:val="Fuentedeprrafopredeter"/>
    <w:link w:val="Sinespaciado"/>
    <w:uiPriority w:val="1"/>
    <w:rsid w:val="000921A0"/>
    <w:rPr>
      <w:rFonts w:asciiTheme="minorHAnsi" w:eastAsiaTheme="minorEastAsia" w:hAnsiTheme="minorHAnsi" w:cstheme="minorBidi"/>
      <w:sz w:val="22"/>
      <w:szCs w:val="22"/>
      <w:lang w:val="es-CR" w:eastAsia="es-CR"/>
    </w:rPr>
  </w:style>
  <w:style w:type="paragraph" w:styleId="TDC5">
    <w:name w:val="toc 5"/>
    <w:basedOn w:val="Normal"/>
    <w:next w:val="Normal"/>
    <w:autoRedefine/>
    <w:uiPriority w:val="39"/>
    <w:rsid w:val="00B44C7C"/>
    <w:pPr>
      <w:spacing w:after="100"/>
      <w:ind w:left="960"/>
    </w:pPr>
  </w:style>
  <w:style w:type="character" w:customStyle="1" w:styleId="Ttulo51">
    <w:name w:val="Título 51"/>
    <w:aliases w:val="Título 5 Car Car Car Car Car Car Car Car Car Car Car Car Car Car Car Car Car Car Car Car Car"/>
    <w:basedOn w:val="Fuentedeprrafopredeter"/>
    <w:rsid w:val="00B44C7C"/>
    <w:rPr>
      <w:b/>
      <w:bCs/>
      <w:i/>
      <w:iCs/>
      <w:sz w:val="26"/>
      <w:szCs w:val="26"/>
      <w:lang w:val="es-ES" w:eastAsia="es-ES" w:bidi="ar-SA"/>
    </w:rPr>
  </w:style>
  <w:style w:type="paragraph" w:customStyle="1" w:styleId="Referenciaanota">
    <w:name w:val="Referencia a nota"/>
    <w:basedOn w:val="Normal"/>
    <w:next w:val="Normal"/>
    <w:rsid w:val="00B44C7C"/>
    <w:pPr>
      <w:spacing w:before="200" w:after="200" w:line="276" w:lineRule="auto"/>
      <w:ind w:left="709"/>
    </w:pPr>
    <w:rPr>
      <w:rFonts w:ascii="CG Times" w:eastAsiaTheme="minorEastAsia" w:hAnsi="CG Times" w:cstheme="minorBidi"/>
      <w:sz w:val="20"/>
      <w:szCs w:val="20"/>
      <w:lang w:val="es-ES_tradnl" w:eastAsia="es-CR"/>
    </w:rPr>
  </w:style>
  <w:style w:type="character" w:customStyle="1" w:styleId="EstiloCorreo29">
    <w:name w:val="EstiloCorreo29"/>
    <w:basedOn w:val="Fuentedeprrafopredeter"/>
    <w:semiHidden/>
    <w:rsid w:val="00B44C7C"/>
    <w:rPr>
      <w:rFonts w:ascii="Arial" w:hAnsi="Arial" w:cs="Arial" w:hint="default"/>
      <w:color w:val="auto"/>
      <w:sz w:val="20"/>
    </w:rPr>
  </w:style>
  <w:style w:type="paragraph" w:styleId="TDC4">
    <w:name w:val="toc 4"/>
    <w:basedOn w:val="Normal"/>
    <w:next w:val="Normal"/>
    <w:autoRedefine/>
    <w:uiPriority w:val="39"/>
    <w:rsid w:val="00B44C7C"/>
    <w:pPr>
      <w:spacing w:before="200" w:after="200" w:line="276" w:lineRule="auto"/>
      <w:ind w:left="720"/>
    </w:pPr>
    <w:rPr>
      <w:rFonts w:asciiTheme="minorHAnsi" w:eastAsiaTheme="minorEastAsia" w:hAnsiTheme="minorHAnsi" w:cstheme="minorBidi"/>
      <w:sz w:val="18"/>
      <w:szCs w:val="18"/>
      <w:lang w:val="es-CR" w:eastAsia="es-CR"/>
    </w:rPr>
  </w:style>
  <w:style w:type="paragraph" w:styleId="TDC6">
    <w:name w:val="toc 6"/>
    <w:basedOn w:val="Normal"/>
    <w:next w:val="Normal"/>
    <w:autoRedefine/>
    <w:uiPriority w:val="39"/>
    <w:rsid w:val="00B44C7C"/>
    <w:pPr>
      <w:spacing w:before="200" w:after="200" w:line="276" w:lineRule="auto"/>
      <w:ind w:left="1200"/>
    </w:pPr>
    <w:rPr>
      <w:rFonts w:asciiTheme="minorHAnsi" w:eastAsiaTheme="minorEastAsia" w:hAnsiTheme="minorHAnsi" w:cstheme="minorBidi"/>
      <w:sz w:val="18"/>
      <w:szCs w:val="18"/>
      <w:lang w:val="es-CR" w:eastAsia="es-CR"/>
    </w:rPr>
  </w:style>
  <w:style w:type="paragraph" w:styleId="TDC7">
    <w:name w:val="toc 7"/>
    <w:basedOn w:val="Normal"/>
    <w:next w:val="Normal"/>
    <w:autoRedefine/>
    <w:uiPriority w:val="39"/>
    <w:rsid w:val="00B44C7C"/>
    <w:pPr>
      <w:spacing w:before="200" w:after="200" w:line="276" w:lineRule="auto"/>
      <w:ind w:left="1440"/>
    </w:pPr>
    <w:rPr>
      <w:rFonts w:asciiTheme="minorHAnsi" w:eastAsiaTheme="minorEastAsia" w:hAnsiTheme="minorHAnsi" w:cstheme="minorBidi"/>
      <w:sz w:val="18"/>
      <w:szCs w:val="18"/>
      <w:lang w:val="es-CR" w:eastAsia="es-CR"/>
    </w:rPr>
  </w:style>
  <w:style w:type="paragraph" w:styleId="TDC8">
    <w:name w:val="toc 8"/>
    <w:basedOn w:val="Normal"/>
    <w:next w:val="Normal"/>
    <w:autoRedefine/>
    <w:uiPriority w:val="39"/>
    <w:rsid w:val="00B44C7C"/>
    <w:pPr>
      <w:spacing w:before="200" w:after="200" w:line="276" w:lineRule="auto"/>
      <w:ind w:left="1680"/>
    </w:pPr>
    <w:rPr>
      <w:rFonts w:asciiTheme="minorHAnsi" w:eastAsiaTheme="minorEastAsia" w:hAnsiTheme="minorHAnsi" w:cstheme="minorBidi"/>
      <w:sz w:val="18"/>
      <w:szCs w:val="18"/>
      <w:lang w:val="es-CR" w:eastAsia="es-CR"/>
    </w:rPr>
  </w:style>
  <w:style w:type="paragraph" w:styleId="TDC9">
    <w:name w:val="toc 9"/>
    <w:basedOn w:val="Normal"/>
    <w:next w:val="Normal"/>
    <w:autoRedefine/>
    <w:uiPriority w:val="39"/>
    <w:rsid w:val="00B44C7C"/>
    <w:pPr>
      <w:spacing w:before="200" w:after="200" w:line="276" w:lineRule="auto"/>
      <w:ind w:left="1920"/>
    </w:pPr>
    <w:rPr>
      <w:rFonts w:asciiTheme="minorHAnsi" w:eastAsiaTheme="minorEastAsia" w:hAnsiTheme="minorHAnsi" w:cstheme="minorBidi"/>
      <w:sz w:val="18"/>
      <w:szCs w:val="18"/>
      <w:lang w:val="es-CR" w:eastAsia="es-CR"/>
    </w:rPr>
  </w:style>
  <w:style w:type="paragraph" w:customStyle="1" w:styleId="Textoindependiente31">
    <w:name w:val="Texto independiente 31"/>
    <w:basedOn w:val="Normal"/>
    <w:rsid w:val="00B44C7C"/>
    <w:pPr>
      <w:spacing w:before="200" w:after="200" w:line="240" w:lineRule="atLeast"/>
    </w:pPr>
    <w:rPr>
      <w:rFonts w:asciiTheme="minorHAnsi" w:eastAsiaTheme="minorEastAsia" w:hAnsiTheme="minorHAnsi" w:cstheme="minorBidi"/>
      <w:sz w:val="22"/>
      <w:szCs w:val="20"/>
      <w:lang w:val="es-ES_tradnl" w:eastAsia="es-CR"/>
    </w:rPr>
  </w:style>
  <w:style w:type="paragraph" w:styleId="Lista">
    <w:name w:val="List"/>
    <w:basedOn w:val="Normal"/>
    <w:rsid w:val="00B44C7C"/>
    <w:pPr>
      <w:spacing w:before="200" w:after="200" w:line="276" w:lineRule="auto"/>
      <w:ind w:left="283" w:hanging="283"/>
    </w:pPr>
    <w:rPr>
      <w:rFonts w:asciiTheme="minorHAnsi" w:eastAsiaTheme="minorEastAsia" w:hAnsiTheme="minorHAnsi" w:cstheme="minorBidi"/>
      <w:sz w:val="20"/>
      <w:szCs w:val="20"/>
      <w:lang w:val="es-CR" w:eastAsia="es-CR"/>
    </w:rPr>
  </w:style>
  <w:style w:type="paragraph" w:styleId="Lista3">
    <w:name w:val="List 3"/>
    <w:basedOn w:val="Normal"/>
    <w:rsid w:val="00B44C7C"/>
    <w:pPr>
      <w:spacing w:before="200" w:after="200" w:line="276" w:lineRule="auto"/>
      <w:ind w:left="849" w:hanging="283"/>
    </w:pPr>
    <w:rPr>
      <w:rFonts w:asciiTheme="minorHAnsi" w:eastAsiaTheme="minorEastAsia" w:hAnsiTheme="minorHAnsi" w:cstheme="minorBidi"/>
      <w:sz w:val="20"/>
      <w:szCs w:val="20"/>
      <w:lang w:val="es-CR" w:eastAsia="es-CR"/>
    </w:rPr>
  </w:style>
  <w:style w:type="paragraph" w:styleId="Saludo">
    <w:name w:val="Salutation"/>
    <w:basedOn w:val="Normal"/>
    <w:next w:val="Normal"/>
    <w:link w:val="SaludoCar"/>
    <w:rsid w:val="00B44C7C"/>
    <w:pPr>
      <w:spacing w:before="200" w:after="200" w:line="276" w:lineRule="auto"/>
    </w:pPr>
    <w:rPr>
      <w:rFonts w:asciiTheme="minorHAnsi" w:eastAsiaTheme="minorEastAsia" w:hAnsiTheme="minorHAnsi" w:cstheme="minorBidi"/>
      <w:sz w:val="20"/>
      <w:szCs w:val="20"/>
      <w:lang w:val="es-CR" w:eastAsia="es-CR"/>
    </w:rPr>
  </w:style>
  <w:style w:type="character" w:customStyle="1" w:styleId="SaludoCar">
    <w:name w:val="Saludo Car"/>
    <w:basedOn w:val="Fuentedeprrafopredeter"/>
    <w:link w:val="Saludo"/>
    <w:rsid w:val="00B44C7C"/>
    <w:rPr>
      <w:rFonts w:asciiTheme="minorHAnsi" w:eastAsiaTheme="minorEastAsia" w:hAnsiTheme="minorHAnsi" w:cstheme="minorBidi"/>
      <w:lang w:val="es-CR" w:eastAsia="es-CR"/>
    </w:rPr>
  </w:style>
  <w:style w:type="paragraph" w:styleId="Fecha">
    <w:name w:val="Date"/>
    <w:basedOn w:val="Normal"/>
    <w:next w:val="Normal"/>
    <w:link w:val="FechaCar"/>
    <w:uiPriority w:val="99"/>
    <w:rsid w:val="00B44C7C"/>
    <w:pPr>
      <w:spacing w:before="200" w:after="200" w:line="276" w:lineRule="auto"/>
    </w:pPr>
    <w:rPr>
      <w:rFonts w:asciiTheme="minorHAnsi" w:eastAsiaTheme="minorEastAsia" w:hAnsiTheme="minorHAnsi" w:cstheme="minorBidi"/>
      <w:sz w:val="20"/>
      <w:szCs w:val="20"/>
      <w:lang w:val="es-CR" w:eastAsia="es-CR"/>
    </w:rPr>
  </w:style>
  <w:style w:type="character" w:customStyle="1" w:styleId="FechaCar">
    <w:name w:val="Fecha Car"/>
    <w:basedOn w:val="Fuentedeprrafopredeter"/>
    <w:link w:val="Fecha"/>
    <w:uiPriority w:val="99"/>
    <w:rsid w:val="00B44C7C"/>
    <w:rPr>
      <w:rFonts w:asciiTheme="minorHAnsi" w:eastAsiaTheme="minorEastAsia" w:hAnsiTheme="minorHAnsi" w:cstheme="minorBidi"/>
      <w:lang w:val="es-CR" w:eastAsia="es-CR"/>
    </w:rPr>
  </w:style>
  <w:style w:type="paragraph" w:styleId="Listaconvietas2">
    <w:name w:val="List Bullet 2"/>
    <w:basedOn w:val="Normal"/>
    <w:autoRedefine/>
    <w:rsid w:val="00B44C7C"/>
    <w:pPr>
      <w:numPr>
        <w:numId w:val="14"/>
      </w:numPr>
      <w:spacing w:before="200" w:after="200" w:line="276" w:lineRule="auto"/>
    </w:pPr>
    <w:rPr>
      <w:rFonts w:asciiTheme="minorHAnsi" w:eastAsiaTheme="minorEastAsia" w:hAnsiTheme="minorHAnsi" w:cstheme="minorBidi"/>
      <w:sz w:val="20"/>
      <w:szCs w:val="20"/>
      <w:lang w:val="es-CR" w:eastAsia="es-CR"/>
    </w:rPr>
  </w:style>
  <w:style w:type="paragraph" w:styleId="Listaconvietas3">
    <w:name w:val="List Bullet 3"/>
    <w:basedOn w:val="Normal"/>
    <w:autoRedefine/>
    <w:rsid w:val="00B44C7C"/>
    <w:pPr>
      <w:numPr>
        <w:numId w:val="15"/>
      </w:numPr>
      <w:spacing w:before="200" w:after="200" w:line="276" w:lineRule="auto"/>
    </w:pPr>
    <w:rPr>
      <w:rFonts w:asciiTheme="minorHAnsi" w:eastAsiaTheme="minorEastAsia" w:hAnsiTheme="minorHAnsi" w:cstheme="minorBidi"/>
      <w:sz w:val="20"/>
      <w:szCs w:val="20"/>
      <w:lang w:val="es-CR" w:eastAsia="es-CR"/>
    </w:rPr>
  </w:style>
  <w:style w:type="paragraph" w:styleId="Listaconvietas4">
    <w:name w:val="List Bullet 4"/>
    <w:basedOn w:val="Normal"/>
    <w:autoRedefine/>
    <w:rsid w:val="00B44C7C"/>
    <w:pPr>
      <w:numPr>
        <w:numId w:val="16"/>
      </w:numPr>
      <w:spacing w:before="200" w:after="200" w:line="276" w:lineRule="auto"/>
    </w:pPr>
    <w:rPr>
      <w:rFonts w:asciiTheme="minorHAnsi" w:eastAsiaTheme="minorEastAsia" w:hAnsiTheme="minorHAnsi" w:cstheme="minorBidi"/>
      <w:sz w:val="20"/>
      <w:szCs w:val="20"/>
      <w:lang w:val="es-CR" w:eastAsia="es-CR"/>
    </w:rPr>
  </w:style>
  <w:style w:type="paragraph" w:styleId="Continuarlista2">
    <w:name w:val="List Continue 2"/>
    <w:basedOn w:val="Normal"/>
    <w:rsid w:val="00B44C7C"/>
    <w:pPr>
      <w:spacing w:before="200" w:after="120" w:line="276" w:lineRule="auto"/>
      <w:ind w:left="566"/>
    </w:pPr>
    <w:rPr>
      <w:rFonts w:asciiTheme="minorHAnsi" w:eastAsiaTheme="minorEastAsia" w:hAnsiTheme="minorHAnsi" w:cstheme="minorBidi"/>
      <w:sz w:val="20"/>
      <w:szCs w:val="20"/>
      <w:lang w:val="es-CR" w:eastAsia="es-CR"/>
    </w:rPr>
  </w:style>
  <w:style w:type="paragraph" w:styleId="Continuarlista3">
    <w:name w:val="List Continue 3"/>
    <w:basedOn w:val="Normal"/>
    <w:rsid w:val="00B44C7C"/>
    <w:pPr>
      <w:spacing w:before="200" w:after="120" w:line="276" w:lineRule="auto"/>
      <w:ind w:left="849"/>
    </w:pPr>
    <w:rPr>
      <w:rFonts w:asciiTheme="minorHAnsi" w:eastAsiaTheme="minorEastAsia" w:hAnsiTheme="minorHAnsi" w:cstheme="minorBidi"/>
      <w:sz w:val="20"/>
      <w:szCs w:val="20"/>
      <w:lang w:val="es-CR" w:eastAsia="es-CR"/>
    </w:rPr>
  </w:style>
  <w:style w:type="paragraph" w:customStyle="1" w:styleId="Ttulo11">
    <w:name w:val="Título 11"/>
    <w:aliases w:val="H1"/>
    <w:basedOn w:val="Normal"/>
    <w:next w:val="Normal"/>
    <w:rsid w:val="00B44C7C"/>
    <w:pPr>
      <w:keepNext/>
      <w:keepLines/>
      <w:numPr>
        <w:numId w:val="17"/>
      </w:numPr>
      <w:spacing w:before="240" w:after="60" w:line="276" w:lineRule="auto"/>
      <w:outlineLvl w:val="0"/>
    </w:pPr>
    <w:rPr>
      <w:rFonts w:asciiTheme="minorHAnsi" w:eastAsia="MS Mincho" w:hAnsiTheme="minorHAnsi" w:cs="Arial"/>
      <w:b/>
      <w:bCs/>
      <w:kern w:val="32"/>
      <w:sz w:val="32"/>
      <w:szCs w:val="32"/>
      <w:lang w:val="es-CR" w:eastAsia="ja-JP"/>
    </w:rPr>
  </w:style>
  <w:style w:type="table" w:styleId="Tablaconlista1">
    <w:name w:val="Table List 1"/>
    <w:basedOn w:val="Tablanormal"/>
    <w:rsid w:val="00B44C7C"/>
    <w:pPr>
      <w:spacing w:before="200" w:after="200" w:line="276" w:lineRule="auto"/>
      <w:jc w:val="both"/>
    </w:pPr>
    <w:rPr>
      <w:rFonts w:asciiTheme="minorHAnsi" w:eastAsiaTheme="minorEastAsia" w:hAnsiTheme="minorHAnsi" w:cstheme="minorBidi"/>
      <w:sz w:val="22"/>
      <w:szCs w:val="22"/>
      <w:lang w:val="es-CR" w:eastAsia="es-C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ormal8pt">
    <w:name w:val="Normal + 8 pt"/>
    <w:basedOn w:val="Normal"/>
    <w:rsid w:val="00B44C7C"/>
    <w:pPr>
      <w:keepLines/>
      <w:spacing w:before="200" w:after="200" w:line="276" w:lineRule="auto"/>
    </w:pPr>
    <w:rPr>
      <w:rFonts w:asciiTheme="minorHAnsi" w:eastAsiaTheme="minorEastAsia" w:hAnsiTheme="minorHAnsi" w:cs="Arial"/>
      <w:sz w:val="18"/>
      <w:szCs w:val="18"/>
      <w:lang w:val="es-MX" w:eastAsia="es-CR"/>
    </w:rPr>
  </w:style>
  <w:style w:type="paragraph" w:styleId="Revisin">
    <w:name w:val="Revision"/>
    <w:hidden/>
    <w:uiPriority w:val="99"/>
    <w:semiHidden/>
    <w:rsid w:val="00B44C7C"/>
    <w:pPr>
      <w:spacing w:before="200" w:after="200" w:line="276" w:lineRule="auto"/>
    </w:pPr>
    <w:rPr>
      <w:rFonts w:ascii="Arial" w:eastAsiaTheme="minorEastAsia" w:hAnsi="Arial" w:cstheme="minorBidi"/>
      <w:sz w:val="24"/>
      <w:szCs w:val="24"/>
      <w:lang w:val="es-ES" w:eastAsia="es-ES"/>
    </w:rPr>
  </w:style>
  <w:style w:type="table" w:styleId="Cuadrculamedia3-nfasis5">
    <w:name w:val="Medium Grid 3 Accent 5"/>
    <w:basedOn w:val="Tablanormal"/>
    <w:uiPriority w:val="69"/>
    <w:rsid w:val="00B44C7C"/>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ombreadoclaro-nfasis5">
    <w:name w:val="Light Shading Accent 5"/>
    <w:basedOn w:val="Tablanormal"/>
    <w:uiPriority w:val="60"/>
    <w:rsid w:val="00B44C7C"/>
    <w:pPr>
      <w:spacing w:before="200" w:after="200" w:line="276" w:lineRule="auto"/>
    </w:pPr>
    <w:rPr>
      <w:rFonts w:asciiTheme="minorHAnsi" w:eastAsiaTheme="minorEastAsia" w:hAnsiTheme="minorHAnsi" w:cstheme="minorBidi"/>
      <w:color w:val="31849B" w:themeColor="accent5" w:themeShade="BF"/>
      <w:sz w:val="22"/>
      <w:szCs w:val="22"/>
      <w:lang w:val="es-CR" w:eastAsia="es-C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is1">
    <w:name w:val="Light List Accent 1"/>
    <w:basedOn w:val="Tablanormal"/>
    <w:uiPriority w:val="61"/>
    <w:rsid w:val="00B44C7C"/>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5">
    <w:name w:val="Light List Accent 5"/>
    <w:basedOn w:val="Tablanormal"/>
    <w:uiPriority w:val="61"/>
    <w:rsid w:val="00B44C7C"/>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editsection">
    <w:name w:val="editsection"/>
    <w:basedOn w:val="Fuentedeprrafopredeter"/>
    <w:rsid w:val="00B44C7C"/>
  </w:style>
  <w:style w:type="character" w:customStyle="1" w:styleId="mw-headline">
    <w:name w:val="mw-headline"/>
    <w:basedOn w:val="Fuentedeprrafopredeter"/>
    <w:rsid w:val="00B44C7C"/>
  </w:style>
  <w:style w:type="paragraph" w:styleId="Cita">
    <w:name w:val="Quote"/>
    <w:basedOn w:val="Normal"/>
    <w:next w:val="Normal"/>
    <w:link w:val="CitaCar"/>
    <w:uiPriority w:val="29"/>
    <w:qFormat/>
    <w:rsid w:val="00B44C7C"/>
    <w:pPr>
      <w:spacing w:before="200" w:after="200" w:line="276" w:lineRule="auto"/>
    </w:pPr>
    <w:rPr>
      <w:rFonts w:asciiTheme="minorHAnsi" w:eastAsiaTheme="minorEastAsia" w:hAnsiTheme="minorHAnsi" w:cstheme="minorBidi"/>
      <w:i/>
      <w:iCs/>
      <w:sz w:val="20"/>
      <w:szCs w:val="20"/>
      <w:lang w:val="es-CR" w:eastAsia="es-CR"/>
    </w:rPr>
  </w:style>
  <w:style w:type="character" w:customStyle="1" w:styleId="CitaCar">
    <w:name w:val="Cita Car"/>
    <w:basedOn w:val="Fuentedeprrafopredeter"/>
    <w:link w:val="Cita"/>
    <w:uiPriority w:val="29"/>
    <w:rsid w:val="00B44C7C"/>
    <w:rPr>
      <w:rFonts w:asciiTheme="minorHAnsi" w:eastAsiaTheme="minorEastAsia" w:hAnsiTheme="minorHAnsi" w:cstheme="minorBidi"/>
      <w:i/>
      <w:iCs/>
      <w:lang w:val="es-CR" w:eastAsia="es-CR"/>
    </w:rPr>
  </w:style>
  <w:style w:type="paragraph" w:styleId="Citadestacada">
    <w:name w:val="Intense Quote"/>
    <w:basedOn w:val="Normal"/>
    <w:next w:val="Normal"/>
    <w:link w:val="CitadestacadaCar"/>
    <w:uiPriority w:val="30"/>
    <w:qFormat/>
    <w:rsid w:val="00B44C7C"/>
    <w:pPr>
      <w:pBdr>
        <w:top w:val="single" w:sz="4" w:space="10" w:color="4F81BD" w:themeColor="accent1"/>
        <w:left w:val="single" w:sz="4" w:space="10" w:color="4F81BD" w:themeColor="accent1"/>
      </w:pBdr>
      <w:spacing w:before="200" w:line="276" w:lineRule="auto"/>
      <w:ind w:left="1296" w:right="1152"/>
      <w:jc w:val="both"/>
    </w:pPr>
    <w:rPr>
      <w:rFonts w:asciiTheme="minorHAnsi" w:eastAsiaTheme="minorEastAsia" w:hAnsiTheme="minorHAnsi" w:cstheme="minorBidi"/>
      <w:i/>
      <w:iCs/>
      <w:color w:val="4F81BD" w:themeColor="accent1"/>
      <w:sz w:val="20"/>
      <w:szCs w:val="20"/>
      <w:lang w:val="es-CR" w:eastAsia="es-CR"/>
    </w:rPr>
  </w:style>
  <w:style w:type="character" w:customStyle="1" w:styleId="CitadestacadaCar">
    <w:name w:val="Cita destacada Car"/>
    <w:basedOn w:val="Fuentedeprrafopredeter"/>
    <w:link w:val="Citadestacada"/>
    <w:uiPriority w:val="30"/>
    <w:rsid w:val="00B44C7C"/>
    <w:rPr>
      <w:rFonts w:asciiTheme="minorHAnsi" w:eastAsiaTheme="minorEastAsia" w:hAnsiTheme="minorHAnsi" w:cstheme="minorBidi"/>
      <w:i/>
      <w:iCs/>
      <w:color w:val="4F81BD" w:themeColor="accent1"/>
      <w:lang w:val="es-CR" w:eastAsia="es-CR"/>
    </w:rPr>
  </w:style>
  <w:style w:type="character" w:styleId="nfasissutil">
    <w:name w:val="Subtle Emphasis"/>
    <w:uiPriority w:val="19"/>
    <w:qFormat/>
    <w:rsid w:val="00B44C7C"/>
    <w:rPr>
      <w:i/>
      <w:iCs/>
      <w:color w:val="243F60" w:themeColor="accent1" w:themeShade="7F"/>
    </w:rPr>
  </w:style>
  <w:style w:type="character" w:styleId="nfasisintenso">
    <w:name w:val="Intense Emphasis"/>
    <w:uiPriority w:val="21"/>
    <w:qFormat/>
    <w:rsid w:val="00B44C7C"/>
    <w:rPr>
      <w:b/>
      <w:bCs/>
      <w:caps/>
      <w:color w:val="243F60" w:themeColor="accent1" w:themeShade="7F"/>
      <w:spacing w:val="10"/>
    </w:rPr>
  </w:style>
  <w:style w:type="character" w:styleId="Referenciasutil">
    <w:name w:val="Subtle Reference"/>
    <w:uiPriority w:val="31"/>
    <w:qFormat/>
    <w:rsid w:val="00B44C7C"/>
    <w:rPr>
      <w:b/>
      <w:bCs/>
      <w:color w:val="4F81BD" w:themeColor="accent1"/>
    </w:rPr>
  </w:style>
  <w:style w:type="character" w:styleId="Referenciaintensa">
    <w:name w:val="Intense Reference"/>
    <w:uiPriority w:val="32"/>
    <w:qFormat/>
    <w:rsid w:val="00B44C7C"/>
    <w:rPr>
      <w:b/>
      <w:bCs/>
      <w:i/>
      <w:iCs/>
      <w:caps/>
      <w:color w:val="4F81BD" w:themeColor="accent1"/>
    </w:rPr>
  </w:style>
  <w:style w:type="character" w:styleId="Ttulodellibro">
    <w:name w:val="Book Title"/>
    <w:uiPriority w:val="33"/>
    <w:qFormat/>
    <w:rsid w:val="00B44C7C"/>
    <w:rPr>
      <w:b/>
      <w:bCs/>
      <w:i/>
      <w:iCs/>
      <w:spacing w:val="9"/>
    </w:rPr>
  </w:style>
  <w:style w:type="numbering" w:customStyle="1" w:styleId="Sinlista1">
    <w:name w:val="Sin lista1"/>
    <w:next w:val="Sinlista"/>
    <w:uiPriority w:val="99"/>
    <w:semiHidden/>
    <w:unhideWhenUsed/>
    <w:rsid w:val="00CE5C68"/>
  </w:style>
  <w:style w:type="character" w:customStyle="1" w:styleId="Textoindependiente3Car">
    <w:name w:val="Texto independiente 3 Car"/>
    <w:basedOn w:val="Fuentedeprrafopredeter"/>
    <w:link w:val="Textoindependiente3"/>
    <w:rsid w:val="00CE5C68"/>
    <w:rPr>
      <w:sz w:val="16"/>
      <w:szCs w:val="16"/>
      <w:lang w:val="es-ES" w:eastAsia="es-ES"/>
    </w:rPr>
  </w:style>
  <w:style w:type="table" w:customStyle="1" w:styleId="Tablaconcuadrcula1">
    <w:name w:val="Tabla con cuadrícula1"/>
    <w:basedOn w:val="Tablanormal"/>
    <w:next w:val="Tablaconcuadrcula"/>
    <w:rsid w:val="00CE5C68"/>
    <w:pPr>
      <w:spacing w:before="200" w:after="200" w:line="276" w:lineRule="auto"/>
    </w:pPr>
    <w:rPr>
      <w:rFonts w:asciiTheme="minorHAnsi" w:eastAsiaTheme="minorEastAsia" w:hAnsiTheme="minorHAnsi" w:cstheme="minorBidi"/>
      <w:sz w:val="22"/>
      <w:szCs w:val="22"/>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lista11">
    <w:name w:val="Tabla con lista 11"/>
    <w:basedOn w:val="Tablanormal"/>
    <w:next w:val="Tablaconlista1"/>
    <w:rsid w:val="00CE5C68"/>
    <w:pPr>
      <w:spacing w:before="200" w:after="200" w:line="276" w:lineRule="auto"/>
      <w:jc w:val="both"/>
    </w:pPr>
    <w:rPr>
      <w:rFonts w:asciiTheme="minorHAnsi" w:eastAsiaTheme="minorEastAsia" w:hAnsiTheme="minorHAnsi" w:cstheme="minorBidi"/>
      <w:sz w:val="22"/>
      <w:szCs w:val="22"/>
      <w:lang w:val="es-CR" w:eastAsia="es-C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3-nfasis51">
    <w:name w:val="Cuadrícula media 3 - Énfasis 51"/>
    <w:basedOn w:val="Tablanormal"/>
    <w:next w:val="Cuadrculamedia3-nfasis5"/>
    <w:uiPriority w:val="69"/>
    <w:rsid w:val="00CE5C68"/>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Sombreadoclaro-nfasis51">
    <w:name w:val="Sombreado claro - Énfasis 51"/>
    <w:basedOn w:val="Tablanormal"/>
    <w:next w:val="Sombreadoclaro-nfasis5"/>
    <w:uiPriority w:val="60"/>
    <w:rsid w:val="00CE5C68"/>
    <w:pPr>
      <w:spacing w:before="200" w:after="200" w:line="276" w:lineRule="auto"/>
    </w:pPr>
    <w:rPr>
      <w:rFonts w:asciiTheme="minorHAnsi" w:eastAsiaTheme="minorEastAsia" w:hAnsiTheme="minorHAnsi" w:cstheme="minorBidi"/>
      <w:color w:val="31849B" w:themeColor="accent5" w:themeShade="BF"/>
      <w:sz w:val="22"/>
      <w:szCs w:val="22"/>
      <w:lang w:val="es-CR" w:eastAsia="es-C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staclara-nfasis11">
    <w:name w:val="Lista clara - Énfasis 11"/>
    <w:basedOn w:val="Tablanormal"/>
    <w:next w:val="Listaclara-nfasis1"/>
    <w:uiPriority w:val="61"/>
    <w:rsid w:val="00CE5C68"/>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51">
    <w:name w:val="Lista clara - Énfasis 51"/>
    <w:basedOn w:val="Tablanormal"/>
    <w:next w:val="Listaclara-nfasis5"/>
    <w:uiPriority w:val="61"/>
    <w:rsid w:val="00CE5C68"/>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Cuadrculamedia3-nfasis52">
    <w:name w:val="Cuadrícula media 3 - Énfasis 52"/>
    <w:basedOn w:val="Tablanormal"/>
    <w:next w:val="Cuadrculamedia3-nfasis5"/>
    <w:uiPriority w:val="69"/>
    <w:rsid w:val="00AA44D3"/>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TableGrid">
    <w:name w:val="TableGrid"/>
    <w:rsid w:val="00E269F9"/>
    <w:rPr>
      <w:rFonts w:asciiTheme="minorHAnsi" w:eastAsiaTheme="minorEastAsia" w:hAnsiTheme="minorHAnsi" w:cstheme="minorBidi"/>
      <w:sz w:val="22"/>
      <w:szCs w:val="22"/>
      <w:lang w:val="es-ES" w:eastAsia="es-ES"/>
    </w:rPr>
    <w:tblPr>
      <w:tblCellMar>
        <w:top w:w="0" w:type="dxa"/>
        <w:left w:w="0" w:type="dxa"/>
        <w:bottom w:w="0" w:type="dxa"/>
        <w:right w:w="0" w:type="dxa"/>
      </w:tblCellMar>
    </w:tblPr>
  </w:style>
  <w:style w:type="paragraph" w:customStyle="1" w:styleId="a">
    <w:basedOn w:val="Normal"/>
    <w:next w:val="Puesto"/>
    <w:qFormat/>
    <w:rsid w:val="00975D90"/>
    <w:pPr>
      <w:jc w:val="center"/>
    </w:pPr>
    <w:rPr>
      <w:b/>
      <w:sz w:val="28"/>
      <w:szCs w:val="20"/>
      <w:lang w:val="es-ES_tradnl"/>
    </w:rPr>
  </w:style>
  <w:style w:type="paragraph" w:customStyle="1" w:styleId="p4">
    <w:name w:val="p4"/>
    <w:basedOn w:val="Normal"/>
    <w:rsid w:val="005660D7"/>
    <w:pPr>
      <w:tabs>
        <w:tab w:val="left" w:pos="720"/>
      </w:tabs>
      <w:overflowPunct w:val="0"/>
      <w:autoSpaceDE w:val="0"/>
      <w:autoSpaceDN w:val="0"/>
      <w:adjustRightInd w:val="0"/>
      <w:spacing w:line="280" w:lineRule="auto"/>
      <w:jc w:val="both"/>
      <w:textAlignment w:val="baseline"/>
    </w:pPr>
    <w:rPr>
      <w:rFonts w:ascii="Arial" w:hAnsi="Arial"/>
      <w:szCs w:val="20"/>
      <w:lang w:val="es-ES_tradnl"/>
    </w:rPr>
  </w:style>
  <w:style w:type="paragraph" w:customStyle="1" w:styleId="Ttulo10">
    <w:name w:val="Título1"/>
    <w:basedOn w:val="Normal"/>
    <w:link w:val="TtuloCar"/>
    <w:qFormat/>
    <w:rsid w:val="00912D0F"/>
    <w:pPr>
      <w:jc w:val="center"/>
    </w:pPr>
    <w:rPr>
      <w:b/>
      <w:sz w:val="28"/>
      <w:szCs w:val="20"/>
      <w:lang w:val="es-ES_tradnl"/>
    </w:rPr>
  </w:style>
  <w:style w:type="character" w:customStyle="1" w:styleId="TtuloCar">
    <w:name w:val="Título Car"/>
    <w:link w:val="Ttulo10"/>
    <w:rsid w:val="00E32F1D"/>
    <w:rPr>
      <w:b/>
      <w:sz w:val="28"/>
      <w:lang w:val="es-ES_tradnl" w:eastAsia="es-ES"/>
    </w:rPr>
  </w:style>
  <w:style w:type="table" w:styleId="Cuadrculamedia3-nfasis1">
    <w:name w:val="Medium Grid 3 Accent 1"/>
    <w:basedOn w:val="Tablanormal"/>
    <w:uiPriority w:val="69"/>
    <w:rsid w:val="001C3E10"/>
    <w:rPr>
      <w:rFonts w:asciiTheme="minorHAnsi" w:eastAsiaTheme="minorHAnsi" w:hAnsiTheme="minorHAnsi" w:cstheme="minorBidi"/>
      <w:sz w:val="22"/>
      <w:szCs w:val="22"/>
      <w:lang w:val="es-C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Encabezadodelista">
    <w:name w:val="toa heading"/>
    <w:basedOn w:val="Normal"/>
    <w:next w:val="Normal"/>
    <w:uiPriority w:val="99"/>
    <w:semiHidden/>
    <w:unhideWhenUsed/>
    <w:rsid w:val="001C3E10"/>
    <w:pPr>
      <w:spacing w:before="120" w:after="200" w:line="276" w:lineRule="auto"/>
      <w:jc w:val="both"/>
    </w:pPr>
    <w:rPr>
      <w:rFonts w:asciiTheme="majorHAnsi" w:eastAsiaTheme="majorEastAsia" w:hAnsiTheme="majorHAnsi" w:cstheme="majorBidi"/>
      <w:b/>
      <w:bCs/>
      <w:lang w:val="es-CR" w:eastAsia="en-US"/>
    </w:rPr>
  </w:style>
  <w:style w:type="paragraph" w:customStyle="1" w:styleId="TtuloInicial">
    <w:name w:val="Título Inicial"/>
    <w:rsid w:val="001C3E10"/>
    <w:pPr>
      <w:spacing w:after="120"/>
    </w:pPr>
    <w:rPr>
      <w:rFonts w:ascii="Franklin Gothic Medium" w:hAnsi="Franklin Gothic Medium"/>
      <w:color w:val="1F497D" w:themeColor="text2"/>
      <w:sz w:val="40"/>
      <w:szCs w:val="24"/>
      <w:lang w:val="es-CR"/>
    </w:rPr>
  </w:style>
  <w:style w:type="character" w:customStyle="1" w:styleId="apple-converted-space">
    <w:name w:val="apple-converted-space"/>
    <w:basedOn w:val="Fuentedeprrafopredeter"/>
    <w:rsid w:val="001C3E10"/>
  </w:style>
  <w:style w:type="paragraph" w:styleId="Bibliografa">
    <w:name w:val="Bibliography"/>
    <w:basedOn w:val="Normal"/>
    <w:next w:val="Normal"/>
    <w:uiPriority w:val="37"/>
    <w:unhideWhenUsed/>
    <w:rsid w:val="001C3E10"/>
    <w:pPr>
      <w:spacing w:after="200" w:line="276" w:lineRule="auto"/>
      <w:jc w:val="both"/>
    </w:pPr>
    <w:rPr>
      <w:rFonts w:asciiTheme="minorHAnsi" w:eastAsiaTheme="minorHAnsi" w:hAnsiTheme="minorHAnsi" w:cstheme="minorBidi"/>
      <w:sz w:val="22"/>
      <w:szCs w:val="22"/>
      <w:lang w:val="es-CR" w:eastAsia="en-US"/>
    </w:rPr>
  </w:style>
  <w:style w:type="table" w:styleId="Sombreadoclaro-nfasis1">
    <w:name w:val="Light Shading Accent 1"/>
    <w:basedOn w:val="Tablanormal"/>
    <w:uiPriority w:val="60"/>
    <w:rsid w:val="001C3E10"/>
    <w:rPr>
      <w:rFonts w:asciiTheme="minorHAnsi" w:eastAsiaTheme="minorHAnsi" w:hAnsiTheme="minorHAnsi" w:cstheme="minorBidi"/>
      <w:color w:val="365F91" w:themeColor="accent1" w:themeShade="BF"/>
      <w:sz w:val="22"/>
      <w:szCs w:val="22"/>
      <w:lang w:val="es-E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consangra">
    <w:name w:val="table of authorities"/>
    <w:basedOn w:val="Normal"/>
    <w:next w:val="Normal"/>
    <w:uiPriority w:val="99"/>
    <w:semiHidden/>
    <w:unhideWhenUsed/>
    <w:rsid w:val="001C3E10"/>
    <w:pPr>
      <w:numPr>
        <w:numId w:val="52"/>
      </w:numPr>
      <w:spacing w:line="276" w:lineRule="auto"/>
      <w:jc w:val="both"/>
    </w:pPr>
    <w:rPr>
      <w:rFonts w:asciiTheme="minorHAnsi" w:eastAsiaTheme="minorHAnsi" w:hAnsiTheme="minorHAnsi" w:cstheme="minorBidi"/>
      <w:sz w:val="22"/>
      <w:szCs w:val="22"/>
      <w:lang w:val="es-CR" w:eastAsia="en-US"/>
    </w:rPr>
  </w:style>
  <w:style w:type="table" w:customStyle="1" w:styleId="Tabladecuadrcula4-nfasis11">
    <w:name w:val="Tabla de cuadrícula 4 - Énfasis 11"/>
    <w:basedOn w:val="Tablanormal"/>
    <w:uiPriority w:val="49"/>
    <w:rsid w:val="007C372E"/>
    <w:rPr>
      <w:rFonts w:asciiTheme="minorHAnsi" w:eastAsiaTheme="minorHAnsi" w:hAnsiTheme="minorHAnsi" w:cstheme="minorBidi"/>
      <w:sz w:val="22"/>
      <w:szCs w:val="22"/>
      <w:lang w:val="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0278">
      <w:bodyDiv w:val="1"/>
      <w:marLeft w:val="0"/>
      <w:marRight w:val="0"/>
      <w:marTop w:val="0"/>
      <w:marBottom w:val="0"/>
      <w:divBdr>
        <w:top w:val="none" w:sz="0" w:space="0" w:color="auto"/>
        <w:left w:val="none" w:sz="0" w:space="0" w:color="auto"/>
        <w:bottom w:val="none" w:sz="0" w:space="0" w:color="auto"/>
        <w:right w:val="none" w:sz="0" w:space="0" w:color="auto"/>
      </w:divBdr>
      <w:divsChild>
        <w:div w:id="1140268745">
          <w:marLeft w:val="0"/>
          <w:marRight w:val="0"/>
          <w:marTop w:val="0"/>
          <w:marBottom w:val="0"/>
          <w:divBdr>
            <w:top w:val="none" w:sz="0" w:space="0" w:color="auto"/>
            <w:left w:val="none" w:sz="0" w:space="0" w:color="auto"/>
            <w:bottom w:val="none" w:sz="0" w:space="0" w:color="auto"/>
            <w:right w:val="none" w:sz="0" w:space="0" w:color="auto"/>
          </w:divBdr>
        </w:div>
      </w:divsChild>
    </w:div>
    <w:div w:id="218516298">
      <w:bodyDiv w:val="1"/>
      <w:marLeft w:val="0"/>
      <w:marRight w:val="0"/>
      <w:marTop w:val="0"/>
      <w:marBottom w:val="0"/>
      <w:divBdr>
        <w:top w:val="none" w:sz="0" w:space="0" w:color="auto"/>
        <w:left w:val="none" w:sz="0" w:space="0" w:color="auto"/>
        <w:bottom w:val="none" w:sz="0" w:space="0" w:color="auto"/>
        <w:right w:val="none" w:sz="0" w:space="0" w:color="auto"/>
      </w:divBdr>
      <w:divsChild>
        <w:div w:id="1468628561">
          <w:marLeft w:val="0"/>
          <w:marRight w:val="0"/>
          <w:marTop w:val="0"/>
          <w:marBottom w:val="0"/>
          <w:divBdr>
            <w:top w:val="none" w:sz="0" w:space="0" w:color="auto"/>
            <w:left w:val="none" w:sz="0" w:space="0" w:color="auto"/>
            <w:bottom w:val="none" w:sz="0" w:space="0" w:color="auto"/>
            <w:right w:val="none" w:sz="0" w:space="0" w:color="auto"/>
          </w:divBdr>
        </w:div>
      </w:divsChild>
    </w:div>
    <w:div w:id="224025666">
      <w:bodyDiv w:val="1"/>
      <w:marLeft w:val="0"/>
      <w:marRight w:val="0"/>
      <w:marTop w:val="0"/>
      <w:marBottom w:val="0"/>
      <w:divBdr>
        <w:top w:val="none" w:sz="0" w:space="0" w:color="auto"/>
        <w:left w:val="none" w:sz="0" w:space="0" w:color="auto"/>
        <w:bottom w:val="none" w:sz="0" w:space="0" w:color="auto"/>
        <w:right w:val="none" w:sz="0" w:space="0" w:color="auto"/>
      </w:divBdr>
    </w:div>
    <w:div w:id="235944245">
      <w:bodyDiv w:val="1"/>
      <w:marLeft w:val="0"/>
      <w:marRight w:val="0"/>
      <w:marTop w:val="0"/>
      <w:marBottom w:val="0"/>
      <w:divBdr>
        <w:top w:val="none" w:sz="0" w:space="0" w:color="auto"/>
        <w:left w:val="none" w:sz="0" w:space="0" w:color="auto"/>
        <w:bottom w:val="none" w:sz="0" w:space="0" w:color="auto"/>
        <w:right w:val="none" w:sz="0" w:space="0" w:color="auto"/>
      </w:divBdr>
    </w:div>
    <w:div w:id="245774720">
      <w:bodyDiv w:val="1"/>
      <w:marLeft w:val="0"/>
      <w:marRight w:val="0"/>
      <w:marTop w:val="0"/>
      <w:marBottom w:val="0"/>
      <w:divBdr>
        <w:top w:val="none" w:sz="0" w:space="0" w:color="auto"/>
        <w:left w:val="none" w:sz="0" w:space="0" w:color="auto"/>
        <w:bottom w:val="none" w:sz="0" w:space="0" w:color="auto"/>
        <w:right w:val="none" w:sz="0" w:space="0" w:color="auto"/>
      </w:divBdr>
    </w:div>
    <w:div w:id="315107565">
      <w:bodyDiv w:val="1"/>
      <w:marLeft w:val="0"/>
      <w:marRight w:val="0"/>
      <w:marTop w:val="0"/>
      <w:marBottom w:val="0"/>
      <w:divBdr>
        <w:top w:val="none" w:sz="0" w:space="0" w:color="auto"/>
        <w:left w:val="none" w:sz="0" w:space="0" w:color="auto"/>
        <w:bottom w:val="none" w:sz="0" w:space="0" w:color="auto"/>
        <w:right w:val="none" w:sz="0" w:space="0" w:color="auto"/>
      </w:divBdr>
    </w:div>
    <w:div w:id="376973814">
      <w:bodyDiv w:val="1"/>
      <w:marLeft w:val="0"/>
      <w:marRight w:val="0"/>
      <w:marTop w:val="0"/>
      <w:marBottom w:val="0"/>
      <w:divBdr>
        <w:top w:val="none" w:sz="0" w:space="0" w:color="auto"/>
        <w:left w:val="none" w:sz="0" w:space="0" w:color="auto"/>
        <w:bottom w:val="none" w:sz="0" w:space="0" w:color="auto"/>
        <w:right w:val="none" w:sz="0" w:space="0" w:color="auto"/>
      </w:divBdr>
    </w:div>
    <w:div w:id="397629899">
      <w:bodyDiv w:val="1"/>
      <w:marLeft w:val="0"/>
      <w:marRight w:val="0"/>
      <w:marTop w:val="0"/>
      <w:marBottom w:val="0"/>
      <w:divBdr>
        <w:top w:val="none" w:sz="0" w:space="0" w:color="auto"/>
        <w:left w:val="none" w:sz="0" w:space="0" w:color="auto"/>
        <w:bottom w:val="none" w:sz="0" w:space="0" w:color="auto"/>
        <w:right w:val="none" w:sz="0" w:space="0" w:color="auto"/>
      </w:divBdr>
    </w:div>
    <w:div w:id="429813419">
      <w:bodyDiv w:val="1"/>
      <w:marLeft w:val="0"/>
      <w:marRight w:val="0"/>
      <w:marTop w:val="0"/>
      <w:marBottom w:val="0"/>
      <w:divBdr>
        <w:top w:val="none" w:sz="0" w:space="0" w:color="auto"/>
        <w:left w:val="none" w:sz="0" w:space="0" w:color="auto"/>
        <w:bottom w:val="none" w:sz="0" w:space="0" w:color="auto"/>
        <w:right w:val="none" w:sz="0" w:space="0" w:color="auto"/>
      </w:divBdr>
    </w:div>
    <w:div w:id="444465830">
      <w:bodyDiv w:val="1"/>
      <w:marLeft w:val="0"/>
      <w:marRight w:val="0"/>
      <w:marTop w:val="0"/>
      <w:marBottom w:val="0"/>
      <w:divBdr>
        <w:top w:val="none" w:sz="0" w:space="0" w:color="auto"/>
        <w:left w:val="none" w:sz="0" w:space="0" w:color="auto"/>
        <w:bottom w:val="none" w:sz="0" w:space="0" w:color="auto"/>
        <w:right w:val="none" w:sz="0" w:space="0" w:color="auto"/>
      </w:divBdr>
      <w:divsChild>
        <w:div w:id="1539776885">
          <w:marLeft w:val="0"/>
          <w:marRight w:val="0"/>
          <w:marTop w:val="0"/>
          <w:marBottom w:val="0"/>
          <w:divBdr>
            <w:top w:val="none" w:sz="0" w:space="0" w:color="auto"/>
            <w:left w:val="none" w:sz="0" w:space="0" w:color="auto"/>
            <w:bottom w:val="none" w:sz="0" w:space="0" w:color="auto"/>
            <w:right w:val="none" w:sz="0" w:space="0" w:color="auto"/>
          </w:divBdr>
          <w:divsChild>
            <w:div w:id="56557675">
              <w:marLeft w:val="0"/>
              <w:marRight w:val="0"/>
              <w:marTop w:val="0"/>
              <w:marBottom w:val="0"/>
              <w:divBdr>
                <w:top w:val="none" w:sz="0" w:space="0" w:color="auto"/>
                <w:left w:val="none" w:sz="0" w:space="0" w:color="auto"/>
                <w:bottom w:val="none" w:sz="0" w:space="0" w:color="auto"/>
                <w:right w:val="none" w:sz="0" w:space="0" w:color="auto"/>
              </w:divBdr>
            </w:div>
            <w:div w:id="16791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137641">
      <w:bodyDiv w:val="1"/>
      <w:marLeft w:val="0"/>
      <w:marRight w:val="0"/>
      <w:marTop w:val="0"/>
      <w:marBottom w:val="0"/>
      <w:divBdr>
        <w:top w:val="none" w:sz="0" w:space="0" w:color="auto"/>
        <w:left w:val="none" w:sz="0" w:space="0" w:color="auto"/>
        <w:bottom w:val="none" w:sz="0" w:space="0" w:color="auto"/>
        <w:right w:val="none" w:sz="0" w:space="0" w:color="auto"/>
      </w:divBdr>
    </w:div>
    <w:div w:id="468716093">
      <w:bodyDiv w:val="1"/>
      <w:marLeft w:val="0"/>
      <w:marRight w:val="0"/>
      <w:marTop w:val="0"/>
      <w:marBottom w:val="0"/>
      <w:divBdr>
        <w:top w:val="none" w:sz="0" w:space="0" w:color="auto"/>
        <w:left w:val="none" w:sz="0" w:space="0" w:color="auto"/>
        <w:bottom w:val="none" w:sz="0" w:space="0" w:color="auto"/>
        <w:right w:val="none" w:sz="0" w:space="0" w:color="auto"/>
      </w:divBdr>
      <w:divsChild>
        <w:div w:id="1847555621">
          <w:marLeft w:val="0"/>
          <w:marRight w:val="0"/>
          <w:marTop w:val="0"/>
          <w:marBottom w:val="0"/>
          <w:divBdr>
            <w:top w:val="none" w:sz="0" w:space="0" w:color="auto"/>
            <w:left w:val="none" w:sz="0" w:space="0" w:color="auto"/>
            <w:bottom w:val="none" w:sz="0" w:space="0" w:color="auto"/>
            <w:right w:val="none" w:sz="0" w:space="0" w:color="auto"/>
          </w:divBdr>
        </w:div>
      </w:divsChild>
    </w:div>
    <w:div w:id="498158615">
      <w:bodyDiv w:val="1"/>
      <w:marLeft w:val="0"/>
      <w:marRight w:val="0"/>
      <w:marTop w:val="0"/>
      <w:marBottom w:val="0"/>
      <w:divBdr>
        <w:top w:val="none" w:sz="0" w:space="0" w:color="auto"/>
        <w:left w:val="none" w:sz="0" w:space="0" w:color="auto"/>
        <w:bottom w:val="none" w:sz="0" w:space="0" w:color="auto"/>
        <w:right w:val="none" w:sz="0" w:space="0" w:color="auto"/>
      </w:divBdr>
    </w:div>
    <w:div w:id="503328271">
      <w:bodyDiv w:val="1"/>
      <w:marLeft w:val="0"/>
      <w:marRight w:val="0"/>
      <w:marTop w:val="0"/>
      <w:marBottom w:val="0"/>
      <w:divBdr>
        <w:top w:val="none" w:sz="0" w:space="0" w:color="auto"/>
        <w:left w:val="none" w:sz="0" w:space="0" w:color="auto"/>
        <w:bottom w:val="none" w:sz="0" w:space="0" w:color="auto"/>
        <w:right w:val="none" w:sz="0" w:space="0" w:color="auto"/>
      </w:divBdr>
    </w:div>
    <w:div w:id="512114949">
      <w:bodyDiv w:val="1"/>
      <w:marLeft w:val="0"/>
      <w:marRight w:val="0"/>
      <w:marTop w:val="0"/>
      <w:marBottom w:val="0"/>
      <w:divBdr>
        <w:top w:val="none" w:sz="0" w:space="0" w:color="auto"/>
        <w:left w:val="none" w:sz="0" w:space="0" w:color="auto"/>
        <w:bottom w:val="none" w:sz="0" w:space="0" w:color="auto"/>
        <w:right w:val="none" w:sz="0" w:space="0" w:color="auto"/>
      </w:divBdr>
    </w:div>
    <w:div w:id="564952663">
      <w:bodyDiv w:val="1"/>
      <w:marLeft w:val="0"/>
      <w:marRight w:val="0"/>
      <w:marTop w:val="0"/>
      <w:marBottom w:val="0"/>
      <w:divBdr>
        <w:top w:val="none" w:sz="0" w:space="0" w:color="auto"/>
        <w:left w:val="none" w:sz="0" w:space="0" w:color="auto"/>
        <w:bottom w:val="none" w:sz="0" w:space="0" w:color="auto"/>
        <w:right w:val="none" w:sz="0" w:space="0" w:color="auto"/>
      </w:divBdr>
    </w:div>
    <w:div w:id="567111396">
      <w:bodyDiv w:val="1"/>
      <w:marLeft w:val="0"/>
      <w:marRight w:val="0"/>
      <w:marTop w:val="0"/>
      <w:marBottom w:val="0"/>
      <w:divBdr>
        <w:top w:val="none" w:sz="0" w:space="0" w:color="auto"/>
        <w:left w:val="none" w:sz="0" w:space="0" w:color="auto"/>
        <w:bottom w:val="none" w:sz="0" w:space="0" w:color="auto"/>
        <w:right w:val="none" w:sz="0" w:space="0" w:color="auto"/>
      </w:divBdr>
    </w:div>
    <w:div w:id="610206195">
      <w:bodyDiv w:val="1"/>
      <w:marLeft w:val="0"/>
      <w:marRight w:val="0"/>
      <w:marTop w:val="0"/>
      <w:marBottom w:val="0"/>
      <w:divBdr>
        <w:top w:val="none" w:sz="0" w:space="0" w:color="auto"/>
        <w:left w:val="none" w:sz="0" w:space="0" w:color="auto"/>
        <w:bottom w:val="none" w:sz="0" w:space="0" w:color="auto"/>
        <w:right w:val="none" w:sz="0" w:space="0" w:color="auto"/>
      </w:divBdr>
      <w:divsChild>
        <w:div w:id="1549415419">
          <w:marLeft w:val="1166"/>
          <w:marRight w:val="0"/>
          <w:marTop w:val="125"/>
          <w:marBottom w:val="0"/>
          <w:divBdr>
            <w:top w:val="none" w:sz="0" w:space="0" w:color="auto"/>
            <w:left w:val="none" w:sz="0" w:space="0" w:color="auto"/>
            <w:bottom w:val="none" w:sz="0" w:space="0" w:color="auto"/>
            <w:right w:val="none" w:sz="0" w:space="0" w:color="auto"/>
          </w:divBdr>
        </w:div>
        <w:div w:id="1961571306">
          <w:marLeft w:val="1166"/>
          <w:marRight w:val="0"/>
          <w:marTop w:val="125"/>
          <w:marBottom w:val="0"/>
          <w:divBdr>
            <w:top w:val="none" w:sz="0" w:space="0" w:color="auto"/>
            <w:left w:val="none" w:sz="0" w:space="0" w:color="auto"/>
            <w:bottom w:val="none" w:sz="0" w:space="0" w:color="auto"/>
            <w:right w:val="none" w:sz="0" w:space="0" w:color="auto"/>
          </w:divBdr>
        </w:div>
        <w:div w:id="395671368">
          <w:marLeft w:val="1166"/>
          <w:marRight w:val="0"/>
          <w:marTop w:val="125"/>
          <w:marBottom w:val="0"/>
          <w:divBdr>
            <w:top w:val="none" w:sz="0" w:space="0" w:color="auto"/>
            <w:left w:val="none" w:sz="0" w:space="0" w:color="auto"/>
            <w:bottom w:val="none" w:sz="0" w:space="0" w:color="auto"/>
            <w:right w:val="none" w:sz="0" w:space="0" w:color="auto"/>
          </w:divBdr>
        </w:div>
      </w:divsChild>
    </w:div>
    <w:div w:id="625355816">
      <w:bodyDiv w:val="1"/>
      <w:marLeft w:val="0"/>
      <w:marRight w:val="0"/>
      <w:marTop w:val="0"/>
      <w:marBottom w:val="0"/>
      <w:divBdr>
        <w:top w:val="none" w:sz="0" w:space="0" w:color="auto"/>
        <w:left w:val="none" w:sz="0" w:space="0" w:color="auto"/>
        <w:bottom w:val="none" w:sz="0" w:space="0" w:color="auto"/>
        <w:right w:val="none" w:sz="0" w:space="0" w:color="auto"/>
      </w:divBdr>
      <w:divsChild>
        <w:div w:id="127746844">
          <w:marLeft w:val="0"/>
          <w:marRight w:val="0"/>
          <w:marTop w:val="0"/>
          <w:marBottom w:val="0"/>
          <w:divBdr>
            <w:top w:val="none" w:sz="0" w:space="0" w:color="auto"/>
            <w:left w:val="none" w:sz="0" w:space="0" w:color="auto"/>
            <w:bottom w:val="none" w:sz="0" w:space="0" w:color="auto"/>
            <w:right w:val="none" w:sz="0" w:space="0" w:color="auto"/>
          </w:divBdr>
        </w:div>
      </w:divsChild>
    </w:div>
    <w:div w:id="702245062">
      <w:bodyDiv w:val="1"/>
      <w:marLeft w:val="0"/>
      <w:marRight w:val="0"/>
      <w:marTop w:val="0"/>
      <w:marBottom w:val="0"/>
      <w:divBdr>
        <w:top w:val="none" w:sz="0" w:space="0" w:color="auto"/>
        <w:left w:val="none" w:sz="0" w:space="0" w:color="auto"/>
        <w:bottom w:val="none" w:sz="0" w:space="0" w:color="auto"/>
        <w:right w:val="none" w:sz="0" w:space="0" w:color="auto"/>
      </w:divBdr>
    </w:div>
    <w:div w:id="782574001">
      <w:bodyDiv w:val="1"/>
      <w:marLeft w:val="0"/>
      <w:marRight w:val="0"/>
      <w:marTop w:val="0"/>
      <w:marBottom w:val="0"/>
      <w:divBdr>
        <w:top w:val="none" w:sz="0" w:space="0" w:color="auto"/>
        <w:left w:val="none" w:sz="0" w:space="0" w:color="auto"/>
        <w:bottom w:val="none" w:sz="0" w:space="0" w:color="auto"/>
        <w:right w:val="none" w:sz="0" w:space="0" w:color="auto"/>
      </w:divBdr>
    </w:div>
    <w:div w:id="797721291">
      <w:bodyDiv w:val="1"/>
      <w:marLeft w:val="0"/>
      <w:marRight w:val="0"/>
      <w:marTop w:val="0"/>
      <w:marBottom w:val="0"/>
      <w:divBdr>
        <w:top w:val="none" w:sz="0" w:space="0" w:color="auto"/>
        <w:left w:val="none" w:sz="0" w:space="0" w:color="auto"/>
        <w:bottom w:val="none" w:sz="0" w:space="0" w:color="auto"/>
        <w:right w:val="none" w:sz="0" w:space="0" w:color="auto"/>
      </w:divBdr>
    </w:div>
    <w:div w:id="803042844">
      <w:bodyDiv w:val="1"/>
      <w:marLeft w:val="0"/>
      <w:marRight w:val="0"/>
      <w:marTop w:val="0"/>
      <w:marBottom w:val="0"/>
      <w:divBdr>
        <w:top w:val="none" w:sz="0" w:space="0" w:color="auto"/>
        <w:left w:val="none" w:sz="0" w:space="0" w:color="auto"/>
        <w:bottom w:val="none" w:sz="0" w:space="0" w:color="auto"/>
        <w:right w:val="none" w:sz="0" w:space="0" w:color="auto"/>
      </w:divBdr>
    </w:div>
    <w:div w:id="843010088">
      <w:bodyDiv w:val="1"/>
      <w:marLeft w:val="0"/>
      <w:marRight w:val="0"/>
      <w:marTop w:val="0"/>
      <w:marBottom w:val="0"/>
      <w:divBdr>
        <w:top w:val="none" w:sz="0" w:space="0" w:color="auto"/>
        <w:left w:val="none" w:sz="0" w:space="0" w:color="auto"/>
        <w:bottom w:val="none" w:sz="0" w:space="0" w:color="auto"/>
        <w:right w:val="none" w:sz="0" w:space="0" w:color="auto"/>
      </w:divBdr>
      <w:divsChild>
        <w:div w:id="1287202313">
          <w:marLeft w:val="0"/>
          <w:marRight w:val="0"/>
          <w:marTop w:val="0"/>
          <w:marBottom w:val="0"/>
          <w:divBdr>
            <w:top w:val="none" w:sz="0" w:space="0" w:color="auto"/>
            <w:left w:val="none" w:sz="0" w:space="0" w:color="auto"/>
            <w:bottom w:val="none" w:sz="0" w:space="0" w:color="auto"/>
            <w:right w:val="none" w:sz="0" w:space="0" w:color="auto"/>
          </w:divBdr>
        </w:div>
      </w:divsChild>
    </w:div>
    <w:div w:id="940724853">
      <w:bodyDiv w:val="1"/>
      <w:marLeft w:val="0"/>
      <w:marRight w:val="0"/>
      <w:marTop w:val="0"/>
      <w:marBottom w:val="0"/>
      <w:divBdr>
        <w:top w:val="none" w:sz="0" w:space="0" w:color="auto"/>
        <w:left w:val="none" w:sz="0" w:space="0" w:color="auto"/>
        <w:bottom w:val="none" w:sz="0" w:space="0" w:color="auto"/>
        <w:right w:val="none" w:sz="0" w:space="0" w:color="auto"/>
      </w:divBdr>
    </w:div>
    <w:div w:id="1043016301">
      <w:bodyDiv w:val="1"/>
      <w:marLeft w:val="0"/>
      <w:marRight w:val="0"/>
      <w:marTop w:val="0"/>
      <w:marBottom w:val="0"/>
      <w:divBdr>
        <w:top w:val="none" w:sz="0" w:space="0" w:color="auto"/>
        <w:left w:val="none" w:sz="0" w:space="0" w:color="auto"/>
        <w:bottom w:val="none" w:sz="0" w:space="0" w:color="auto"/>
        <w:right w:val="none" w:sz="0" w:space="0" w:color="auto"/>
      </w:divBdr>
    </w:div>
    <w:div w:id="1091580703">
      <w:bodyDiv w:val="1"/>
      <w:marLeft w:val="0"/>
      <w:marRight w:val="0"/>
      <w:marTop w:val="0"/>
      <w:marBottom w:val="0"/>
      <w:divBdr>
        <w:top w:val="none" w:sz="0" w:space="0" w:color="auto"/>
        <w:left w:val="none" w:sz="0" w:space="0" w:color="auto"/>
        <w:bottom w:val="none" w:sz="0" w:space="0" w:color="auto"/>
        <w:right w:val="none" w:sz="0" w:space="0" w:color="auto"/>
      </w:divBdr>
    </w:div>
    <w:div w:id="1095177641">
      <w:bodyDiv w:val="1"/>
      <w:marLeft w:val="0"/>
      <w:marRight w:val="0"/>
      <w:marTop w:val="0"/>
      <w:marBottom w:val="0"/>
      <w:divBdr>
        <w:top w:val="none" w:sz="0" w:space="0" w:color="auto"/>
        <w:left w:val="none" w:sz="0" w:space="0" w:color="auto"/>
        <w:bottom w:val="none" w:sz="0" w:space="0" w:color="auto"/>
        <w:right w:val="none" w:sz="0" w:space="0" w:color="auto"/>
      </w:divBdr>
    </w:div>
    <w:div w:id="1115903941">
      <w:bodyDiv w:val="1"/>
      <w:marLeft w:val="0"/>
      <w:marRight w:val="0"/>
      <w:marTop w:val="0"/>
      <w:marBottom w:val="0"/>
      <w:divBdr>
        <w:top w:val="none" w:sz="0" w:space="0" w:color="auto"/>
        <w:left w:val="none" w:sz="0" w:space="0" w:color="auto"/>
        <w:bottom w:val="none" w:sz="0" w:space="0" w:color="auto"/>
        <w:right w:val="none" w:sz="0" w:space="0" w:color="auto"/>
      </w:divBdr>
    </w:div>
    <w:div w:id="1117258318">
      <w:bodyDiv w:val="1"/>
      <w:marLeft w:val="0"/>
      <w:marRight w:val="0"/>
      <w:marTop w:val="0"/>
      <w:marBottom w:val="0"/>
      <w:divBdr>
        <w:top w:val="none" w:sz="0" w:space="0" w:color="auto"/>
        <w:left w:val="none" w:sz="0" w:space="0" w:color="auto"/>
        <w:bottom w:val="none" w:sz="0" w:space="0" w:color="auto"/>
        <w:right w:val="none" w:sz="0" w:space="0" w:color="auto"/>
      </w:divBdr>
    </w:div>
    <w:div w:id="1129401018">
      <w:bodyDiv w:val="1"/>
      <w:marLeft w:val="0"/>
      <w:marRight w:val="0"/>
      <w:marTop w:val="0"/>
      <w:marBottom w:val="0"/>
      <w:divBdr>
        <w:top w:val="none" w:sz="0" w:space="0" w:color="auto"/>
        <w:left w:val="none" w:sz="0" w:space="0" w:color="auto"/>
        <w:bottom w:val="none" w:sz="0" w:space="0" w:color="auto"/>
        <w:right w:val="none" w:sz="0" w:space="0" w:color="auto"/>
      </w:divBdr>
    </w:div>
    <w:div w:id="1179004777">
      <w:bodyDiv w:val="1"/>
      <w:marLeft w:val="0"/>
      <w:marRight w:val="0"/>
      <w:marTop w:val="0"/>
      <w:marBottom w:val="0"/>
      <w:divBdr>
        <w:top w:val="none" w:sz="0" w:space="0" w:color="auto"/>
        <w:left w:val="none" w:sz="0" w:space="0" w:color="auto"/>
        <w:bottom w:val="none" w:sz="0" w:space="0" w:color="auto"/>
        <w:right w:val="none" w:sz="0" w:space="0" w:color="auto"/>
      </w:divBdr>
    </w:div>
    <w:div w:id="1188102321">
      <w:bodyDiv w:val="1"/>
      <w:marLeft w:val="0"/>
      <w:marRight w:val="0"/>
      <w:marTop w:val="0"/>
      <w:marBottom w:val="0"/>
      <w:divBdr>
        <w:top w:val="none" w:sz="0" w:space="0" w:color="auto"/>
        <w:left w:val="none" w:sz="0" w:space="0" w:color="auto"/>
        <w:bottom w:val="none" w:sz="0" w:space="0" w:color="auto"/>
        <w:right w:val="none" w:sz="0" w:space="0" w:color="auto"/>
      </w:divBdr>
      <w:divsChild>
        <w:div w:id="298921051">
          <w:marLeft w:val="0"/>
          <w:marRight w:val="0"/>
          <w:marTop w:val="0"/>
          <w:marBottom w:val="0"/>
          <w:divBdr>
            <w:top w:val="none" w:sz="0" w:space="0" w:color="auto"/>
            <w:left w:val="none" w:sz="0" w:space="0" w:color="auto"/>
            <w:bottom w:val="none" w:sz="0" w:space="0" w:color="auto"/>
            <w:right w:val="none" w:sz="0" w:space="0" w:color="auto"/>
          </w:divBdr>
        </w:div>
      </w:divsChild>
    </w:div>
    <w:div w:id="1189022103">
      <w:bodyDiv w:val="1"/>
      <w:marLeft w:val="0"/>
      <w:marRight w:val="0"/>
      <w:marTop w:val="0"/>
      <w:marBottom w:val="0"/>
      <w:divBdr>
        <w:top w:val="none" w:sz="0" w:space="0" w:color="auto"/>
        <w:left w:val="none" w:sz="0" w:space="0" w:color="auto"/>
        <w:bottom w:val="none" w:sz="0" w:space="0" w:color="auto"/>
        <w:right w:val="none" w:sz="0" w:space="0" w:color="auto"/>
      </w:divBdr>
    </w:div>
    <w:div w:id="1194074452">
      <w:bodyDiv w:val="1"/>
      <w:marLeft w:val="0"/>
      <w:marRight w:val="0"/>
      <w:marTop w:val="0"/>
      <w:marBottom w:val="0"/>
      <w:divBdr>
        <w:top w:val="none" w:sz="0" w:space="0" w:color="auto"/>
        <w:left w:val="none" w:sz="0" w:space="0" w:color="auto"/>
        <w:bottom w:val="none" w:sz="0" w:space="0" w:color="auto"/>
        <w:right w:val="none" w:sz="0" w:space="0" w:color="auto"/>
      </w:divBdr>
      <w:divsChild>
        <w:div w:id="1028146032">
          <w:marLeft w:val="1166"/>
          <w:marRight w:val="0"/>
          <w:marTop w:val="110"/>
          <w:marBottom w:val="0"/>
          <w:divBdr>
            <w:top w:val="none" w:sz="0" w:space="0" w:color="auto"/>
            <w:left w:val="none" w:sz="0" w:space="0" w:color="auto"/>
            <w:bottom w:val="none" w:sz="0" w:space="0" w:color="auto"/>
            <w:right w:val="none" w:sz="0" w:space="0" w:color="auto"/>
          </w:divBdr>
        </w:div>
        <w:div w:id="2014646016">
          <w:marLeft w:val="1166"/>
          <w:marRight w:val="0"/>
          <w:marTop w:val="110"/>
          <w:marBottom w:val="0"/>
          <w:divBdr>
            <w:top w:val="none" w:sz="0" w:space="0" w:color="auto"/>
            <w:left w:val="none" w:sz="0" w:space="0" w:color="auto"/>
            <w:bottom w:val="none" w:sz="0" w:space="0" w:color="auto"/>
            <w:right w:val="none" w:sz="0" w:space="0" w:color="auto"/>
          </w:divBdr>
        </w:div>
        <w:div w:id="724108832">
          <w:marLeft w:val="1166"/>
          <w:marRight w:val="0"/>
          <w:marTop w:val="106"/>
          <w:marBottom w:val="0"/>
          <w:divBdr>
            <w:top w:val="none" w:sz="0" w:space="0" w:color="auto"/>
            <w:left w:val="none" w:sz="0" w:space="0" w:color="auto"/>
            <w:bottom w:val="none" w:sz="0" w:space="0" w:color="auto"/>
            <w:right w:val="none" w:sz="0" w:space="0" w:color="auto"/>
          </w:divBdr>
        </w:div>
        <w:div w:id="327711073">
          <w:marLeft w:val="1166"/>
          <w:marRight w:val="0"/>
          <w:marTop w:val="106"/>
          <w:marBottom w:val="0"/>
          <w:divBdr>
            <w:top w:val="none" w:sz="0" w:space="0" w:color="auto"/>
            <w:left w:val="none" w:sz="0" w:space="0" w:color="auto"/>
            <w:bottom w:val="none" w:sz="0" w:space="0" w:color="auto"/>
            <w:right w:val="none" w:sz="0" w:space="0" w:color="auto"/>
          </w:divBdr>
        </w:div>
        <w:div w:id="244458230">
          <w:marLeft w:val="1166"/>
          <w:marRight w:val="0"/>
          <w:marTop w:val="106"/>
          <w:marBottom w:val="0"/>
          <w:divBdr>
            <w:top w:val="none" w:sz="0" w:space="0" w:color="auto"/>
            <w:left w:val="none" w:sz="0" w:space="0" w:color="auto"/>
            <w:bottom w:val="none" w:sz="0" w:space="0" w:color="auto"/>
            <w:right w:val="none" w:sz="0" w:space="0" w:color="auto"/>
          </w:divBdr>
        </w:div>
      </w:divsChild>
    </w:div>
    <w:div w:id="1202285354">
      <w:bodyDiv w:val="1"/>
      <w:marLeft w:val="0"/>
      <w:marRight w:val="0"/>
      <w:marTop w:val="0"/>
      <w:marBottom w:val="0"/>
      <w:divBdr>
        <w:top w:val="none" w:sz="0" w:space="0" w:color="auto"/>
        <w:left w:val="none" w:sz="0" w:space="0" w:color="auto"/>
        <w:bottom w:val="none" w:sz="0" w:space="0" w:color="auto"/>
        <w:right w:val="none" w:sz="0" w:space="0" w:color="auto"/>
      </w:divBdr>
    </w:div>
    <w:div w:id="1224365964">
      <w:bodyDiv w:val="1"/>
      <w:marLeft w:val="0"/>
      <w:marRight w:val="0"/>
      <w:marTop w:val="0"/>
      <w:marBottom w:val="0"/>
      <w:divBdr>
        <w:top w:val="none" w:sz="0" w:space="0" w:color="auto"/>
        <w:left w:val="none" w:sz="0" w:space="0" w:color="auto"/>
        <w:bottom w:val="none" w:sz="0" w:space="0" w:color="auto"/>
        <w:right w:val="none" w:sz="0" w:space="0" w:color="auto"/>
      </w:divBdr>
    </w:div>
    <w:div w:id="1288779247">
      <w:bodyDiv w:val="1"/>
      <w:marLeft w:val="0"/>
      <w:marRight w:val="0"/>
      <w:marTop w:val="0"/>
      <w:marBottom w:val="0"/>
      <w:divBdr>
        <w:top w:val="none" w:sz="0" w:space="0" w:color="auto"/>
        <w:left w:val="none" w:sz="0" w:space="0" w:color="auto"/>
        <w:bottom w:val="none" w:sz="0" w:space="0" w:color="auto"/>
        <w:right w:val="none" w:sz="0" w:space="0" w:color="auto"/>
      </w:divBdr>
    </w:div>
    <w:div w:id="1317879379">
      <w:bodyDiv w:val="1"/>
      <w:marLeft w:val="0"/>
      <w:marRight w:val="0"/>
      <w:marTop w:val="0"/>
      <w:marBottom w:val="0"/>
      <w:divBdr>
        <w:top w:val="none" w:sz="0" w:space="0" w:color="auto"/>
        <w:left w:val="none" w:sz="0" w:space="0" w:color="auto"/>
        <w:bottom w:val="none" w:sz="0" w:space="0" w:color="auto"/>
        <w:right w:val="none" w:sz="0" w:space="0" w:color="auto"/>
      </w:divBdr>
    </w:div>
    <w:div w:id="1361079950">
      <w:bodyDiv w:val="1"/>
      <w:marLeft w:val="0"/>
      <w:marRight w:val="0"/>
      <w:marTop w:val="0"/>
      <w:marBottom w:val="0"/>
      <w:divBdr>
        <w:top w:val="none" w:sz="0" w:space="0" w:color="auto"/>
        <w:left w:val="none" w:sz="0" w:space="0" w:color="auto"/>
        <w:bottom w:val="none" w:sz="0" w:space="0" w:color="auto"/>
        <w:right w:val="none" w:sz="0" w:space="0" w:color="auto"/>
      </w:divBdr>
      <w:divsChild>
        <w:div w:id="2026982804">
          <w:marLeft w:val="0"/>
          <w:marRight w:val="0"/>
          <w:marTop w:val="0"/>
          <w:marBottom w:val="0"/>
          <w:divBdr>
            <w:top w:val="none" w:sz="0" w:space="0" w:color="auto"/>
            <w:left w:val="none" w:sz="0" w:space="0" w:color="auto"/>
            <w:bottom w:val="none" w:sz="0" w:space="0" w:color="auto"/>
            <w:right w:val="none" w:sz="0" w:space="0" w:color="auto"/>
          </w:divBdr>
        </w:div>
      </w:divsChild>
    </w:div>
    <w:div w:id="1376196897">
      <w:bodyDiv w:val="1"/>
      <w:marLeft w:val="0"/>
      <w:marRight w:val="0"/>
      <w:marTop w:val="0"/>
      <w:marBottom w:val="0"/>
      <w:divBdr>
        <w:top w:val="none" w:sz="0" w:space="0" w:color="auto"/>
        <w:left w:val="none" w:sz="0" w:space="0" w:color="auto"/>
        <w:bottom w:val="none" w:sz="0" w:space="0" w:color="auto"/>
        <w:right w:val="none" w:sz="0" w:space="0" w:color="auto"/>
      </w:divBdr>
    </w:div>
    <w:div w:id="1451969388">
      <w:bodyDiv w:val="1"/>
      <w:marLeft w:val="0"/>
      <w:marRight w:val="0"/>
      <w:marTop w:val="0"/>
      <w:marBottom w:val="0"/>
      <w:divBdr>
        <w:top w:val="none" w:sz="0" w:space="0" w:color="auto"/>
        <w:left w:val="none" w:sz="0" w:space="0" w:color="auto"/>
        <w:bottom w:val="none" w:sz="0" w:space="0" w:color="auto"/>
        <w:right w:val="none" w:sz="0" w:space="0" w:color="auto"/>
      </w:divBdr>
    </w:div>
    <w:div w:id="1455173665">
      <w:bodyDiv w:val="1"/>
      <w:marLeft w:val="0"/>
      <w:marRight w:val="0"/>
      <w:marTop w:val="0"/>
      <w:marBottom w:val="0"/>
      <w:divBdr>
        <w:top w:val="none" w:sz="0" w:space="0" w:color="auto"/>
        <w:left w:val="none" w:sz="0" w:space="0" w:color="auto"/>
        <w:bottom w:val="none" w:sz="0" w:space="0" w:color="auto"/>
        <w:right w:val="none" w:sz="0" w:space="0" w:color="auto"/>
      </w:divBdr>
    </w:div>
    <w:div w:id="1462310975">
      <w:bodyDiv w:val="1"/>
      <w:marLeft w:val="0"/>
      <w:marRight w:val="0"/>
      <w:marTop w:val="0"/>
      <w:marBottom w:val="0"/>
      <w:divBdr>
        <w:top w:val="none" w:sz="0" w:space="0" w:color="auto"/>
        <w:left w:val="none" w:sz="0" w:space="0" w:color="auto"/>
        <w:bottom w:val="none" w:sz="0" w:space="0" w:color="auto"/>
        <w:right w:val="none" w:sz="0" w:space="0" w:color="auto"/>
      </w:divBdr>
    </w:div>
    <w:div w:id="1498111482">
      <w:bodyDiv w:val="1"/>
      <w:marLeft w:val="0"/>
      <w:marRight w:val="0"/>
      <w:marTop w:val="0"/>
      <w:marBottom w:val="0"/>
      <w:divBdr>
        <w:top w:val="none" w:sz="0" w:space="0" w:color="auto"/>
        <w:left w:val="none" w:sz="0" w:space="0" w:color="auto"/>
        <w:bottom w:val="none" w:sz="0" w:space="0" w:color="auto"/>
        <w:right w:val="none" w:sz="0" w:space="0" w:color="auto"/>
      </w:divBdr>
      <w:divsChild>
        <w:div w:id="1401444097">
          <w:marLeft w:val="0"/>
          <w:marRight w:val="0"/>
          <w:marTop w:val="0"/>
          <w:marBottom w:val="0"/>
          <w:divBdr>
            <w:top w:val="none" w:sz="0" w:space="0" w:color="auto"/>
            <w:left w:val="none" w:sz="0" w:space="0" w:color="auto"/>
            <w:bottom w:val="none" w:sz="0" w:space="0" w:color="auto"/>
            <w:right w:val="none" w:sz="0" w:space="0" w:color="auto"/>
          </w:divBdr>
        </w:div>
      </w:divsChild>
    </w:div>
    <w:div w:id="1612056414">
      <w:bodyDiv w:val="1"/>
      <w:marLeft w:val="0"/>
      <w:marRight w:val="0"/>
      <w:marTop w:val="0"/>
      <w:marBottom w:val="0"/>
      <w:divBdr>
        <w:top w:val="none" w:sz="0" w:space="0" w:color="auto"/>
        <w:left w:val="none" w:sz="0" w:space="0" w:color="auto"/>
        <w:bottom w:val="none" w:sz="0" w:space="0" w:color="auto"/>
        <w:right w:val="none" w:sz="0" w:space="0" w:color="auto"/>
      </w:divBdr>
    </w:div>
    <w:div w:id="1651670476">
      <w:bodyDiv w:val="1"/>
      <w:marLeft w:val="0"/>
      <w:marRight w:val="0"/>
      <w:marTop w:val="0"/>
      <w:marBottom w:val="0"/>
      <w:divBdr>
        <w:top w:val="none" w:sz="0" w:space="0" w:color="auto"/>
        <w:left w:val="none" w:sz="0" w:space="0" w:color="auto"/>
        <w:bottom w:val="none" w:sz="0" w:space="0" w:color="auto"/>
        <w:right w:val="none" w:sz="0" w:space="0" w:color="auto"/>
      </w:divBdr>
      <w:divsChild>
        <w:div w:id="1226801043">
          <w:marLeft w:val="0"/>
          <w:marRight w:val="0"/>
          <w:marTop w:val="0"/>
          <w:marBottom w:val="0"/>
          <w:divBdr>
            <w:top w:val="none" w:sz="0" w:space="0" w:color="auto"/>
            <w:left w:val="none" w:sz="0" w:space="0" w:color="auto"/>
            <w:bottom w:val="none" w:sz="0" w:space="0" w:color="auto"/>
            <w:right w:val="none" w:sz="0" w:space="0" w:color="auto"/>
          </w:divBdr>
          <w:divsChild>
            <w:div w:id="2017145222">
              <w:marLeft w:val="0"/>
              <w:marRight w:val="0"/>
              <w:marTop w:val="0"/>
              <w:marBottom w:val="0"/>
              <w:divBdr>
                <w:top w:val="none" w:sz="0" w:space="0" w:color="auto"/>
                <w:left w:val="none" w:sz="0" w:space="0" w:color="auto"/>
                <w:bottom w:val="none" w:sz="0" w:space="0" w:color="auto"/>
                <w:right w:val="none" w:sz="0" w:space="0" w:color="auto"/>
              </w:divBdr>
            </w:div>
            <w:div w:id="2169592">
              <w:marLeft w:val="0"/>
              <w:marRight w:val="0"/>
              <w:marTop w:val="0"/>
              <w:marBottom w:val="0"/>
              <w:divBdr>
                <w:top w:val="none" w:sz="0" w:space="0" w:color="auto"/>
                <w:left w:val="none" w:sz="0" w:space="0" w:color="auto"/>
                <w:bottom w:val="none" w:sz="0" w:space="0" w:color="auto"/>
                <w:right w:val="none" w:sz="0" w:space="0" w:color="auto"/>
              </w:divBdr>
            </w:div>
            <w:div w:id="519928647">
              <w:marLeft w:val="0"/>
              <w:marRight w:val="0"/>
              <w:marTop w:val="0"/>
              <w:marBottom w:val="0"/>
              <w:divBdr>
                <w:top w:val="none" w:sz="0" w:space="0" w:color="auto"/>
                <w:left w:val="none" w:sz="0" w:space="0" w:color="auto"/>
                <w:bottom w:val="none" w:sz="0" w:space="0" w:color="auto"/>
                <w:right w:val="none" w:sz="0" w:space="0" w:color="auto"/>
              </w:divBdr>
            </w:div>
            <w:div w:id="1997294662">
              <w:marLeft w:val="0"/>
              <w:marRight w:val="0"/>
              <w:marTop w:val="0"/>
              <w:marBottom w:val="0"/>
              <w:divBdr>
                <w:top w:val="none" w:sz="0" w:space="0" w:color="auto"/>
                <w:left w:val="none" w:sz="0" w:space="0" w:color="auto"/>
                <w:bottom w:val="none" w:sz="0" w:space="0" w:color="auto"/>
                <w:right w:val="none" w:sz="0" w:space="0" w:color="auto"/>
              </w:divBdr>
            </w:div>
            <w:div w:id="741946538">
              <w:marLeft w:val="0"/>
              <w:marRight w:val="0"/>
              <w:marTop w:val="0"/>
              <w:marBottom w:val="0"/>
              <w:divBdr>
                <w:top w:val="none" w:sz="0" w:space="0" w:color="auto"/>
                <w:left w:val="none" w:sz="0" w:space="0" w:color="auto"/>
                <w:bottom w:val="none" w:sz="0" w:space="0" w:color="auto"/>
                <w:right w:val="none" w:sz="0" w:space="0" w:color="auto"/>
              </w:divBdr>
            </w:div>
            <w:div w:id="2037273755">
              <w:marLeft w:val="0"/>
              <w:marRight w:val="0"/>
              <w:marTop w:val="0"/>
              <w:marBottom w:val="0"/>
              <w:divBdr>
                <w:top w:val="none" w:sz="0" w:space="0" w:color="auto"/>
                <w:left w:val="none" w:sz="0" w:space="0" w:color="auto"/>
                <w:bottom w:val="none" w:sz="0" w:space="0" w:color="auto"/>
                <w:right w:val="none" w:sz="0" w:space="0" w:color="auto"/>
              </w:divBdr>
            </w:div>
            <w:div w:id="160441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73700">
      <w:bodyDiv w:val="1"/>
      <w:marLeft w:val="0"/>
      <w:marRight w:val="0"/>
      <w:marTop w:val="0"/>
      <w:marBottom w:val="0"/>
      <w:divBdr>
        <w:top w:val="none" w:sz="0" w:space="0" w:color="auto"/>
        <w:left w:val="none" w:sz="0" w:space="0" w:color="auto"/>
        <w:bottom w:val="none" w:sz="0" w:space="0" w:color="auto"/>
        <w:right w:val="none" w:sz="0" w:space="0" w:color="auto"/>
      </w:divBdr>
      <w:divsChild>
        <w:div w:id="1943148738">
          <w:marLeft w:val="0"/>
          <w:marRight w:val="0"/>
          <w:marTop w:val="0"/>
          <w:marBottom w:val="0"/>
          <w:divBdr>
            <w:top w:val="none" w:sz="0" w:space="0" w:color="auto"/>
            <w:left w:val="none" w:sz="0" w:space="0" w:color="auto"/>
            <w:bottom w:val="none" w:sz="0" w:space="0" w:color="auto"/>
            <w:right w:val="none" w:sz="0" w:space="0" w:color="auto"/>
          </w:divBdr>
        </w:div>
      </w:divsChild>
    </w:div>
    <w:div w:id="1707245425">
      <w:bodyDiv w:val="1"/>
      <w:marLeft w:val="0"/>
      <w:marRight w:val="0"/>
      <w:marTop w:val="0"/>
      <w:marBottom w:val="0"/>
      <w:divBdr>
        <w:top w:val="none" w:sz="0" w:space="0" w:color="auto"/>
        <w:left w:val="none" w:sz="0" w:space="0" w:color="auto"/>
        <w:bottom w:val="none" w:sz="0" w:space="0" w:color="auto"/>
        <w:right w:val="none" w:sz="0" w:space="0" w:color="auto"/>
      </w:divBdr>
    </w:div>
    <w:div w:id="1741438032">
      <w:bodyDiv w:val="1"/>
      <w:marLeft w:val="0"/>
      <w:marRight w:val="0"/>
      <w:marTop w:val="0"/>
      <w:marBottom w:val="0"/>
      <w:divBdr>
        <w:top w:val="none" w:sz="0" w:space="0" w:color="auto"/>
        <w:left w:val="none" w:sz="0" w:space="0" w:color="auto"/>
        <w:bottom w:val="none" w:sz="0" w:space="0" w:color="auto"/>
        <w:right w:val="none" w:sz="0" w:space="0" w:color="auto"/>
      </w:divBdr>
      <w:divsChild>
        <w:div w:id="610626287">
          <w:marLeft w:val="0"/>
          <w:marRight w:val="0"/>
          <w:marTop w:val="0"/>
          <w:marBottom w:val="0"/>
          <w:divBdr>
            <w:top w:val="none" w:sz="0" w:space="0" w:color="auto"/>
            <w:left w:val="none" w:sz="0" w:space="0" w:color="auto"/>
            <w:bottom w:val="none" w:sz="0" w:space="0" w:color="auto"/>
            <w:right w:val="none" w:sz="0" w:space="0" w:color="auto"/>
          </w:divBdr>
        </w:div>
      </w:divsChild>
    </w:div>
    <w:div w:id="1834838727">
      <w:bodyDiv w:val="1"/>
      <w:marLeft w:val="0"/>
      <w:marRight w:val="0"/>
      <w:marTop w:val="0"/>
      <w:marBottom w:val="0"/>
      <w:divBdr>
        <w:top w:val="none" w:sz="0" w:space="0" w:color="auto"/>
        <w:left w:val="none" w:sz="0" w:space="0" w:color="auto"/>
        <w:bottom w:val="none" w:sz="0" w:space="0" w:color="auto"/>
        <w:right w:val="none" w:sz="0" w:space="0" w:color="auto"/>
      </w:divBdr>
    </w:div>
    <w:div w:id="1841969755">
      <w:bodyDiv w:val="1"/>
      <w:marLeft w:val="0"/>
      <w:marRight w:val="0"/>
      <w:marTop w:val="0"/>
      <w:marBottom w:val="0"/>
      <w:divBdr>
        <w:top w:val="none" w:sz="0" w:space="0" w:color="auto"/>
        <w:left w:val="none" w:sz="0" w:space="0" w:color="auto"/>
        <w:bottom w:val="none" w:sz="0" w:space="0" w:color="auto"/>
        <w:right w:val="none" w:sz="0" w:space="0" w:color="auto"/>
      </w:divBdr>
      <w:divsChild>
        <w:div w:id="389813519">
          <w:marLeft w:val="0"/>
          <w:marRight w:val="0"/>
          <w:marTop w:val="0"/>
          <w:marBottom w:val="0"/>
          <w:divBdr>
            <w:top w:val="none" w:sz="0" w:space="0" w:color="auto"/>
            <w:left w:val="none" w:sz="0" w:space="0" w:color="auto"/>
            <w:bottom w:val="none" w:sz="0" w:space="0" w:color="auto"/>
            <w:right w:val="none" w:sz="0" w:space="0" w:color="auto"/>
          </w:divBdr>
          <w:divsChild>
            <w:div w:id="865601654">
              <w:marLeft w:val="0"/>
              <w:marRight w:val="0"/>
              <w:marTop w:val="0"/>
              <w:marBottom w:val="0"/>
              <w:divBdr>
                <w:top w:val="none" w:sz="0" w:space="0" w:color="auto"/>
                <w:left w:val="none" w:sz="0" w:space="0" w:color="auto"/>
                <w:bottom w:val="none" w:sz="0" w:space="0" w:color="auto"/>
                <w:right w:val="none" w:sz="0" w:space="0" w:color="auto"/>
              </w:divBdr>
            </w:div>
            <w:div w:id="20362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05825">
      <w:bodyDiv w:val="1"/>
      <w:marLeft w:val="0"/>
      <w:marRight w:val="0"/>
      <w:marTop w:val="0"/>
      <w:marBottom w:val="0"/>
      <w:divBdr>
        <w:top w:val="none" w:sz="0" w:space="0" w:color="auto"/>
        <w:left w:val="none" w:sz="0" w:space="0" w:color="auto"/>
        <w:bottom w:val="none" w:sz="0" w:space="0" w:color="auto"/>
        <w:right w:val="none" w:sz="0" w:space="0" w:color="auto"/>
      </w:divBdr>
    </w:div>
    <w:div w:id="1884293915">
      <w:bodyDiv w:val="1"/>
      <w:marLeft w:val="0"/>
      <w:marRight w:val="0"/>
      <w:marTop w:val="0"/>
      <w:marBottom w:val="0"/>
      <w:divBdr>
        <w:top w:val="none" w:sz="0" w:space="0" w:color="auto"/>
        <w:left w:val="none" w:sz="0" w:space="0" w:color="auto"/>
        <w:bottom w:val="none" w:sz="0" w:space="0" w:color="auto"/>
        <w:right w:val="none" w:sz="0" w:space="0" w:color="auto"/>
      </w:divBdr>
    </w:div>
    <w:div w:id="1884949599">
      <w:bodyDiv w:val="1"/>
      <w:marLeft w:val="0"/>
      <w:marRight w:val="0"/>
      <w:marTop w:val="0"/>
      <w:marBottom w:val="0"/>
      <w:divBdr>
        <w:top w:val="none" w:sz="0" w:space="0" w:color="auto"/>
        <w:left w:val="none" w:sz="0" w:space="0" w:color="auto"/>
        <w:bottom w:val="none" w:sz="0" w:space="0" w:color="auto"/>
        <w:right w:val="none" w:sz="0" w:space="0" w:color="auto"/>
      </w:divBdr>
    </w:div>
    <w:div w:id="1971592020">
      <w:bodyDiv w:val="1"/>
      <w:marLeft w:val="0"/>
      <w:marRight w:val="0"/>
      <w:marTop w:val="0"/>
      <w:marBottom w:val="0"/>
      <w:divBdr>
        <w:top w:val="none" w:sz="0" w:space="0" w:color="auto"/>
        <w:left w:val="none" w:sz="0" w:space="0" w:color="auto"/>
        <w:bottom w:val="none" w:sz="0" w:space="0" w:color="auto"/>
        <w:right w:val="none" w:sz="0" w:space="0" w:color="auto"/>
      </w:divBdr>
    </w:div>
    <w:div w:id="1980189707">
      <w:bodyDiv w:val="1"/>
      <w:marLeft w:val="0"/>
      <w:marRight w:val="0"/>
      <w:marTop w:val="0"/>
      <w:marBottom w:val="0"/>
      <w:divBdr>
        <w:top w:val="none" w:sz="0" w:space="0" w:color="auto"/>
        <w:left w:val="none" w:sz="0" w:space="0" w:color="auto"/>
        <w:bottom w:val="none" w:sz="0" w:space="0" w:color="auto"/>
        <w:right w:val="none" w:sz="0" w:space="0" w:color="auto"/>
      </w:divBdr>
    </w:div>
    <w:div w:id="1981840018">
      <w:bodyDiv w:val="1"/>
      <w:marLeft w:val="0"/>
      <w:marRight w:val="0"/>
      <w:marTop w:val="0"/>
      <w:marBottom w:val="0"/>
      <w:divBdr>
        <w:top w:val="none" w:sz="0" w:space="0" w:color="auto"/>
        <w:left w:val="none" w:sz="0" w:space="0" w:color="auto"/>
        <w:bottom w:val="none" w:sz="0" w:space="0" w:color="auto"/>
        <w:right w:val="none" w:sz="0" w:space="0" w:color="auto"/>
      </w:divBdr>
      <w:divsChild>
        <w:div w:id="2017536766">
          <w:marLeft w:val="0"/>
          <w:marRight w:val="0"/>
          <w:marTop w:val="0"/>
          <w:marBottom w:val="0"/>
          <w:divBdr>
            <w:top w:val="none" w:sz="0" w:space="0" w:color="auto"/>
            <w:left w:val="none" w:sz="0" w:space="0" w:color="auto"/>
            <w:bottom w:val="none" w:sz="0" w:space="0" w:color="auto"/>
            <w:right w:val="none" w:sz="0" w:space="0" w:color="auto"/>
          </w:divBdr>
          <w:divsChild>
            <w:div w:id="39088448">
              <w:marLeft w:val="0"/>
              <w:marRight w:val="0"/>
              <w:marTop w:val="0"/>
              <w:marBottom w:val="0"/>
              <w:divBdr>
                <w:top w:val="none" w:sz="0" w:space="0" w:color="auto"/>
                <w:left w:val="none" w:sz="0" w:space="0" w:color="auto"/>
                <w:bottom w:val="none" w:sz="0" w:space="0" w:color="auto"/>
                <w:right w:val="none" w:sz="0" w:space="0" w:color="auto"/>
              </w:divBdr>
            </w:div>
            <w:div w:id="917054106">
              <w:marLeft w:val="0"/>
              <w:marRight w:val="0"/>
              <w:marTop w:val="0"/>
              <w:marBottom w:val="0"/>
              <w:divBdr>
                <w:top w:val="none" w:sz="0" w:space="0" w:color="auto"/>
                <w:left w:val="none" w:sz="0" w:space="0" w:color="auto"/>
                <w:bottom w:val="none" w:sz="0" w:space="0" w:color="auto"/>
                <w:right w:val="none" w:sz="0" w:space="0" w:color="auto"/>
              </w:divBdr>
            </w:div>
            <w:div w:id="152332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6250">
      <w:bodyDiv w:val="1"/>
      <w:marLeft w:val="0"/>
      <w:marRight w:val="0"/>
      <w:marTop w:val="0"/>
      <w:marBottom w:val="0"/>
      <w:divBdr>
        <w:top w:val="none" w:sz="0" w:space="0" w:color="auto"/>
        <w:left w:val="none" w:sz="0" w:space="0" w:color="auto"/>
        <w:bottom w:val="none" w:sz="0" w:space="0" w:color="auto"/>
        <w:right w:val="none" w:sz="0" w:space="0" w:color="auto"/>
      </w:divBdr>
    </w:div>
    <w:div w:id="2008632695">
      <w:bodyDiv w:val="1"/>
      <w:marLeft w:val="0"/>
      <w:marRight w:val="0"/>
      <w:marTop w:val="0"/>
      <w:marBottom w:val="0"/>
      <w:divBdr>
        <w:top w:val="none" w:sz="0" w:space="0" w:color="auto"/>
        <w:left w:val="none" w:sz="0" w:space="0" w:color="auto"/>
        <w:bottom w:val="none" w:sz="0" w:space="0" w:color="auto"/>
        <w:right w:val="none" w:sz="0" w:space="0" w:color="auto"/>
      </w:divBdr>
    </w:div>
    <w:div w:id="2085254909">
      <w:bodyDiv w:val="1"/>
      <w:marLeft w:val="0"/>
      <w:marRight w:val="0"/>
      <w:marTop w:val="0"/>
      <w:marBottom w:val="0"/>
      <w:divBdr>
        <w:top w:val="none" w:sz="0" w:space="0" w:color="auto"/>
        <w:left w:val="none" w:sz="0" w:space="0" w:color="auto"/>
        <w:bottom w:val="none" w:sz="0" w:space="0" w:color="auto"/>
        <w:right w:val="none" w:sz="0" w:space="0" w:color="auto"/>
      </w:divBdr>
    </w:div>
    <w:div w:id="2103135447">
      <w:bodyDiv w:val="1"/>
      <w:marLeft w:val="0"/>
      <w:marRight w:val="0"/>
      <w:marTop w:val="0"/>
      <w:marBottom w:val="0"/>
      <w:divBdr>
        <w:top w:val="none" w:sz="0" w:space="0" w:color="auto"/>
        <w:left w:val="none" w:sz="0" w:space="0" w:color="auto"/>
        <w:bottom w:val="none" w:sz="0" w:space="0" w:color="auto"/>
        <w:right w:val="none" w:sz="0" w:space="0" w:color="auto"/>
      </w:divBdr>
    </w:div>
    <w:div w:id="2124574980">
      <w:bodyDiv w:val="1"/>
      <w:marLeft w:val="0"/>
      <w:marRight w:val="0"/>
      <w:marTop w:val="0"/>
      <w:marBottom w:val="0"/>
      <w:divBdr>
        <w:top w:val="none" w:sz="0" w:space="0" w:color="auto"/>
        <w:left w:val="none" w:sz="0" w:space="0" w:color="auto"/>
        <w:bottom w:val="none" w:sz="0" w:space="0" w:color="auto"/>
        <w:right w:val="none" w:sz="0" w:space="0" w:color="auto"/>
      </w:divBdr>
    </w:div>
    <w:div w:id="214449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chart" Target="charts/chart1.xml"/><Relationship Id="rId42" Type="http://schemas.openxmlformats.org/officeDocument/2006/relationships/image" Target="media/image21.emf"/><Relationship Id="rId47" Type="http://schemas.openxmlformats.org/officeDocument/2006/relationships/image" Target="media/image25.emf"/><Relationship Id="rId63" Type="http://schemas.openxmlformats.org/officeDocument/2006/relationships/image" Target="media/image40.png"/><Relationship Id="rId68" Type="http://schemas.openxmlformats.org/officeDocument/2006/relationships/header" Target="header3.xml"/><Relationship Id="rId84" Type="http://schemas.openxmlformats.org/officeDocument/2006/relationships/image" Target="media/image54.png"/><Relationship Id="rId89" Type="http://schemas.openxmlformats.org/officeDocument/2006/relationships/header" Target="header7.xml"/><Relationship Id="rId7" Type="http://schemas.openxmlformats.org/officeDocument/2006/relationships/styles" Target="styles.xml"/><Relationship Id="rId71" Type="http://schemas.openxmlformats.org/officeDocument/2006/relationships/image" Target="media/image47.emf"/><Relationship Id="rId92"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0.emf"/><Relationship Id="rId11" Type="http://schemas.openxmlformats.org/officeDocument/2006/relationships/endnotes" Target="endnotes.xml"/><Relationship Id="rId24" Type="http://schemas.openxmlformats.org/officeDocument/2006/relationships/chart" Target="charts/chart4.xml"/><Relationship Id="rId32" Type="http://schemas.openxmlformats.org/officeDocument/2006/relationships/image" Target="media/image13.emf"/><Relationship Id="rId37" Type="http://schemas.openxmlformats.org/officeDocument/2006/relationships/image" Target="media/image16.emf"/><Relationship Id="rId40" Type="http://schemas.openxmlformats.org/officeDocument/2006/relationships/image" Target="media/image19.emf"/><Relationship Id="rId45" Type="http://schemas.openxmlformats.org/officeDocument/2006/relationships/image" Target="media/image24.emf"/><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image" Target="media/image43.png"/><Relationship Id="rId74" Type="http://schemas.openxmlformats.org/officeDocument/2006/relationships/footer" Target="footer6.xml"/><Relationship Id="rId79" Type="http://schemas.openxmlformats.org/officeDocument/2006/relationships/footer" Target="footer8.xml"/><Relationship Id="rId87" Type="http://schemas.openxmlformats.org/officeDocument/2006/relationships/image" Target="media/image57.png"/><Relationship Id="rId102"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image" Target="media/image38.png"/><Relationship Id="rId82" Type="http://schemas.openxmlformats.org/officeDocument/2006/relationships/image" Target="media/image52.emf"/><Relationship Id="rId90" Type="http://schemas.openxmlformats.org/officeDocument/2006/relationships/footer" Target="footer9.xml"/><Relationship Id="rId95" Type="http://schemas.openxmlformats.org/officeDocument/2006/relationships/footer" Target="footer11.xml"/><Relationship Id="rId19" Type="http://schemas.openxmlformats.org/officeDocument/2006/relationships/package" Target="embeddings/Dibujo_de_Microsoft_Visio111111111111111111111111111.vsdx"/><Relationship Id="rId14" Type="http://schemas.openxmlformats.org/officeDocument/2006/relationships/footer" Target="footer2.xml"/><Relationship Id="rId22" Type="http://schemas.openxmlformats.org/officeDocument/2006/relationships/chart" Target="charts/chart2.xml"/><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4.emf"/><Relationship Id="rId43" Type="http://schemas.openxmlformats.org/officeDocument/2006/relationships/image" Target="media/image22.emf"/><Relationship Id="rId48" Type="http://schemas.openxmlformats.org/officeDocument/2006/relationships/oleObject" Target="embeddings/oleObject2.bin"/><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image" Target="media/image45.emf"/><Relationship Id="rId77" Type="http://schemas.openxmlformats.org/officeDocument/2006/relationships/image" Target="media/image49.png"/><Relationship Id="rId100" Type="http://schemas.openxmlformats.org/officeDocument/2006/relationships/image" Target="media/image63.png"/><Relationship Id="rId8" Type="http://schemas.openxmlformats.org/officeDocument/2006/relationships/settings" Target="settings.xml"/><Relationship Id="rId51" Type="http://schemas.openxmlformats.org/officeDocument/2006/relationships/image" Target="media/image28.png"/><Relationship Id="rId72" Type="http://schemas.openxmlformats.org/officeDocument/2006/relationships/image" Target="media/image48.emf"/><Relationship Id="rId80" Type="http://schemas.openxmlformats.org/officeDocument/2006/relationships/image" Target="media/image50.emf"/><Relationship Id="rId85" Type="http://schemas.openxmlformats.org/officeDocument/2006/relationships/image" Target="media/image55.png"/><Relationship Id="rId93" Type="http://schemas.openxmlformats.org/officeDocument/2006/relationships/image" Target="media/image60.emf"/><Relationship Id="rId98" Type="http://schemas.openxmlformats.org/officeDocument/2006/relationships/image" Target="media/image61.jpe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3.emf"/><Relationship Id="rId25" Type="http://schemas.openxmlformats.org/officeDocument/2006/relationships/image" Target="media/image6.emf"/><Relationship Id="rId33" Type="http://schemas.openxmlformats.org/officeDocument/2006/relationships/footer" Target="footer4.xml"/><Relationship Id="rId38" Type="http://schemas.openxmlformats.org/officeDocument/2006/relationships/image" Target="media/image17.emf"/><Relationship Id="rId46" Type="http://schemas.openxmlformats.org/officeDocument/2006/relationships/oleObject" Target="embeddings/oleObject1.bin"/><Relationship Id="rId59" Type="http://schemas.openxmlformats.org/officeDocument/2006/relationships/image" Target="media/image36.png"/><Relationship Id="rId67" Type="http://schemas.openxmlformats.org/officeDocument/2006/relationships/image" Target="media/image44.png"/><Relationship Id="rId103"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image" Target="media/image20.emf"/><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image" Target="media/image46.emf"/><Relationship Id="rId75" Type="http://schemas.openxmlformats.org/officeDocument/2006/relationships/footer" Target="footer7.xml"/><Relationship Id="rId83" Type="http://schemas.openxmlformats.org/officeDocument/2006/relationships/image" Target="media/image53.jpeg"/><Relationship Id="rId88" Type="http://schemas.openxmlformats.org/officeDocument/2006/relationships/image" Target="media/image58.png"/><Relationship Id="rId91" Type="http://schemas.openxmlformats.org/officeDocument/2006/relationships/footer" Target="footer10.xml"/><Relationship Id="rId96"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chart" Target="charts/chart3.xml"/><Relationship Id="rId28" Type="http://schemas.openxmlformats.org/officeDocument/2006/relationships/image" Target="media/image9.emf"/><Relationship Id="rId36" Type="http://schemas.openxmlformats.org/officeDocument/2006/relationships/image" Target="media/image15.emf"/><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footnotes" Target="footnotes.xml"/><Relationship Id="rId31" Type="http://schemas.openxmlformats.org/officeDocument/2006/relationships/image" Target="media/image12.emf"/><Relationship Id="rId44" Type="http://schemas.openxmlformats.org/officeDocument/2006/relationships/image" Target="media/image23.jp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header" Target="header4.xml"/><Relationship Id="rId78" Type="http://schemas.openxmlformats.org/officeDocument/2006/relationships/header" Target="header6.xml"/><Relationship Id="rId81" Type="http://schemas.openxmlformats.org/officeDocument/2006/relationships/image" Target="media/image51.jpeg"/><Relationship Id="rId86" Type="http://schemas.openxmlformats.org/officeDocument/2006/relationships/image" Target="media/image56.png"/><Relationship Id="rId94" Type="http://schemas.openxmlformats.org/officeDocument/2006/relationships/header" Target="header9.xml"/><Relationship Id="rId99" Type="http://schemas.openxmlformats.org/officeDocument/2006/relationships/image" Target="media/image62.jpeg"/><Relationship Id="rId10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emf"/><Relationship Id="rId39" Type="http://schemas.openxmlformats.org/officeDocument/2006/relationships/image" Target="media/image18.emf"/><Relationship Id="rId34" Type="http://schemas.openxmlformats.org/officeDocument/2006/relationships/footer" Target="footer5.xml"/><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header" Target="header5.xml"/><Relationship Id="rId97" Type="http://schemas.openxmlformats.org/officeDocument/2006/relationships/header" Target="header10.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image" Target="media/image59.wmf"/></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59.wmf"/></Relationships>
</file>

<file path=word/_rels/header8.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59.wmf"/></Relationships>
</file>

<file path=word/_rels/header9.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image" Target="media/image59.wmf"/></Relationships>
</file>

<file path=word/charts/_rels/chart1.xml.rels><?xml version="1.0" encoding="UTF-8" standalone="yes"?>
<Relationships xmlns="http://schemas.openxmlformats.org/package/2006/relationships"><Relationship Id="rId3" Type="http://schemas.openxmlformats.org/officeDocument/2006/relationships/oleObject" Target="file:///D:\Tareas\Informe%20CONASSIF\InformeCONASSIF_Jun2015\Cuadros%20y%20Figuras_Jun201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Tareas\Informe%20CONASSIF\InformeCONASSIF_Jun2015\Cuadros%20y%20Figuras_Jun201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Tareas\Informe%20CONASSIF\InformeCONASSIF_Jun2015\Cuadros%20y%20Figuras_Jun201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Tareas\Informe%20CONASSIF\InformeCONASSIF_Jun2015\Cuadros%20y%20Figuras_Jun2015.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8311138085426945"/>
          <c:y val="6.0178628649884172E-2"/>
          <c:w val="0.78940377888869373"/>
          <c:h val="0.71906389627717937"/>
        </c:manualLayout>
      </c:layout>
      <c:lineChart>
        <c:grouping val="standard"/>
        <c:varyColors val="0"/>
        <c:ser>
          <c:idx val="1"/>
          <c:order val="0"/>
          <c:spPr>
            <a:ln w="28575" cap="rnd">
              <a:solidFill>
                <a:schemeClr val="accent5">
                  <a:tint val="77000"/>
                </a:schemeClr>
              </a:solidFill>
              <a:round/>
            </a:ln>
            <a:effectLst/>
          </c:spPr>
          <c:marker>
            <c:symbol val="circle"/>
            <c:size val="5"/>
            <c:spPr>
              <a:solidFill>
                <a:schemeClr val="accent5">
                  <a:tint val="77000"/>
                </a:schemeClr>
              </a:solidFill>
              <a:ln w="3175" cap="rnd">
                <a:solidFill>
                  <a:schemeClr val="accent5">
                    <a:tint val="77000"/>
                  </a:schemeClr>
                </a:solidFill>
              </a:ln>
              <a:effectLst/>
            </c:spPr>
          </c:marker>
          <c:dLbls>
            <c:dLbl>
              <c:idx val="0"/>
              <c:layout>
                <c:manualLayout>
                  <c:x val="2.1976968903225389E-4"/>
                  <c:y val="2.4866330590348793E-2"/>
                </c:manualLayout>
              </c:layout>
              <c:showLegendKey val="0"/>
              <c:showVal val="1"/>
              <c:showCatName val="0"/>
              <c:showSerName val="0"/>
              <c:showPercent val="0"/>
              <c:showBubbleSize val="0"/>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layout>
                <c:manualLayout>
                  <c:x val="-6.1111111111111109E-2"/>
                  <c:y val="-4.7108434662653215E-2"/>
                </c:manualLayout>
              </c:layout>
              <c:showLegendKey val="0"/>
              <c:showVal val="1"/>
              <c:showCatName val="0"/>
              <c:showSerName val="0"/>
              <c:showPercent val="0"/>
              <c:showBubbleSize val="0"/>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layout>
                <c:manualLayout>
                  <c:x val="-5.8406563276953462E-2"/>
                  <c:y val="6.1990799066757342E-2"/>
                </c:manualLayout>
              </c:layout>
              <c:showLegendKey val="0"/>
              <c:showVal val="1"/>
              <c:showCatName val="0"/>
              <c:showSerName val="0"/>
              <c:showPercent val="0"/>
              <c:showBubbleSize val="0"/>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layout>
                <c:manualLayout>
                  <c:x val="-6.6666666666666666E-2"/>
                  <c:y val="-4.7271023575688582E-2"/>
                </c:manualLayout>
              </c:layout>
              <c:showLegendKey val="0"/>
              <c:showVal val="1"/>
              <c:showCatName val="0"/>
              <c:showSerName val="0"/>
              <c:showPercent val="0"/>
              <c:showBubbleSize val="0"/>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layout>
                <c:manualLayout>
                  <c:x val="-4.1666666666666768E-2"/>
                  <c:y val="4.7433316334055356E-2"/>
                </c:manualLayout>
              </c:layout>
              <c:showLegendKey val="0"/>
              <c:showVal val="1"/>
              <c:showCatName val="0"/>
              <c:showSerName val="0"/>
              <c:showPercent val="0"/>
              <c:showBubbleSize val="0"/>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dLbl>
              <c:idx val="15"/>
              <c:layout>
                <c:manualLayout>
                  <c:x val="-2.4633797043118088E-2"/>
                  <c:y val="-5.119448062467311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'Figura 2.1'!$A$3:$A$18</c:f>
              <c:strCach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Jun 2015</c:v>
                </c:pt>
              </c:strCache>
            </c:strRef>
          </c:cat>
          <c:val>
            <c:numRef>
              <c:f>'Figura 2.1'!$B$3:$B$18</c:f>
              <c:numCache>
                <c:formatCode>0.00%</c:formatCode>
                <c:ptCount val="16"/>
                <c:pt idx="0">
                  <c:v>8.1697751255585274E-2</c:v>
                </c:pt>
                <c:pt idx="1">
                  <c:v>0.14352158057672967</c:v>
                </c:pt>
                <c:pt idx="2">
                  <c:v>0.1736352535575735</c:v>
                </c:pt>
                <c:pt idx="3">
                  <c:v>0.19600973097566676</c:v>
                </c:pt>
                <c:pt idx="4">
                  <c:v>0.18824500736873462</c:v>
                </c:pt>
                <c:pt idx="5">
                  <c:v>0.2090116715204986</c:v>
                </c:pt>
                <c:pt idx="6">
                  <c:v>0.21305609020813421</c:v>
                </c:pt>
                <c:pt idx="7">
                  <c:v>0.2160781416634926</c:v>
                </c:pt>
                <c:pt idx="8">
                  <c:v>0.21674832035036951</c:v>
                </c:pt>
                <c:pt idx="9">
                  <c:v>0.24369553173929717</c:v>
                </c:pt>
                <c:pt idx="10">
                  <c:v>0.25144718723536741</c:v>
                </c:pt>
                <c:pt idx="11">
                  <c:v>0.26200818364811518</c:v>
                </c:pt>
                <c:pt idx="12">
                  <c:v>0.27804363161244111</c:v>
                </c:pt>
                <c:pt idx="13">
                  <c:v>0.29646373350427896</c:v>
                </c:pt>
                <c:pt idx="14">
                  <c:v>0.30485719469785855</c:v>
                </c:pt>
                <c:pt idx="15">
                  <c:v>0.31914471546313777</c:v>
                </c:pt>
              </c:numCache>
            </c:numRef>
          </c:val>
          <c:smooth val="0"/>
        </c:ser>
        <c:ser>
          <c:idx val="0"/>
          <c:order val="1"/>
          <c:spPr>
            <a:ln w="28575" cap="rnd">
              <a:solidFill>
                <a:schemeClr val="accent5">
                  <a:shade val="76000"/>
                </a:schemeClr>
              </a:solidFill>
              <a:prstDash val="sysDot"/>
              <a:round/>
            </a:ln>
            <a:effectLst/>
          </c:spPr>
          <c:marker>
            <c:symbol val="none"/>
          </c:marker>
          <c:cat>
            <c:strRef>
              <c:f>'Figura 2.1'!$A$3:$A$18</c:f>
              <c:strCach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Jun 2015</c:v>
                </c:pt>
              </c:strCache>
            </c:strRef>
          </c:cat>
          <c:val>
            <c:numRef>
              <c:f>'Figura 2.1'!$C$3:$C$18</c:f>
              <c:numCache>
                <c:formatCode>0%</c:formatCode>
                <c:ptCount val="16"/>
                <c:pt idx="0">
                  <c:v>0.3</c:v>
                </c:pt>
                <c:pt idx="1">
                  <c:v>0.3</c:v>
                </c:pt>
                <c:pt idx="2">
                  <c:v>0.3</c:v>
                </c:pt>
                <c:pt idx="3">
                  <c:v>0.3</c:v>
                </c:pt>
                <c:pt idx="4">
                  <c:v>0.3</c:v>
                </c:pt>
                <c:pt idx="5">
                  <c:v>0.3</c:v>
                </c:pt>
                <c:pt idx="6">
                  <c:v>0.3</c:v>
                </c:pt>
                <c:pt idx="7">
                  <c:v>0.3</c:v>
                </c:pt>
                <c:pt idx="8">
                  <c:v>0.3</c:v>
                </c:pt>
                <c:pt idx="9">
                  <c:v>0.3</c:v>
                </c:pt>
                <c:pt idx="10">
                  <c:v>0.3</c:v>
                </c:pt>
                <c:pt idx="11">
                  <c:v>0.3</c:v>
                </c:pt>
                <c:pt idx="12">
                  <c:v>0.3</c:v>
                </c:pt>
                <c:pt idx="13">
                  <c:v>0.3</c:v>
                </c:pt>
                <c:pt idx="14">
                  <c:v>0.3</c:v>
                </c:pt>
                <c:pt idx="15">
                  <c:v>0.3</c:v>
                </c:pt>
              </c:numCache>
            </c:numRef>
          </c:val>
          <c:smooth val="0"/>
        </c:ser>
        <c:dLbls>
          <c:showLegendKey val="0"/>
          <c:showVal val="0"/>
          <c:showCatName val="0"/>
          <c:showSerName val="0"/>
          <c:showPercent val="0"/>
          <c:showBubbleSize val="0"/>
        </c:dLbls>
        <c:marker val="1"/>
        <c:smooth val="0"/>
        <c:axId val="215356200"/>
        <c:axId val="215357376"/>
      </c:lineChart>
      <c:catAx>
        <c:axId val="215356200"/>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Año</a:t>
                </a:r>
              </a:p>
            </c:rich>
          </c:tx>
          <c:layout>
            <c:manualLayout>
              <c:xMode val="edge"/>
              <c:yMode val="edge"/>
              <c:x val="0.4858920423993654"/>
              <c:y val="0.92907391842834275"/>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15357376"/>
        <c:crosses val="autoZero"/>
        <c:auto val="1"/>
        <c:lblAlgn val="ctr"/>
        <c:lblOffset val="100"/>
        <c:noMultiLvlLbl val="0"/>
      </c:catAx>
      <c:valAx>
        <c:axId val="215357376"/>
        <c:scaling>
          <c:orientation val="minMax"/>
        </c:scaling>
        <c:delete val="0"/>
        <c:axPos val="l"/>
        <c:title>
          <c:tx>
            <c:rich>
              <a:bodyPr rot="-5400000" spcFirstLastPara="1" vertOverflow="ellipsis" vert="horz" wrap="square" anchor="ctr" anchorCtr="1"/>
              <a:lstStyle/>
              <a:p>
                <a:pPr algn="ctr" rtl="0">
                  <a:defRPr lang="en-US" sz="1000" b="1" i="0" u="none" strike="noStrike" kern="1200" baseline="0">
                    <a:solidFill>
                      <a:sysClr val="windowText" lastClr="000000">
                        <a:lumMod val="65000"/>
                        <a:lumOff val="35000"/>
                      </a:sysClr>
                    </a:solidFill>
                    <a:latin typeface="+mn-lt"/>
                    <a:ea typeface="+mn-ea"/>
                    <a:cs typeface="+mn-cs"/>
                  </a:defRPr>
                </a:pPr>
                <a:r>
                  <a:rPr lang="en-US" sz="1000" b="1" i="0" u="none" strike="noStrike" kern="1200" baseline="0">
                    <a:solidFill>
                      <a:sysClr val="windowText" lastClr="000000">
                        <a:lumMod val="65000"/>
                        <a:lumOff val="35000"/>
                      </a:sysClr>
                    </a:solidFill>
                    <a:latin typeface="+mn-lt"/>
                    <a:ea typeface="+mn-ea"/>
                    <a:cs typeface="+mn-cs"/>
                  </a:rPr>
                  <a:t>Procentaje del PIB</a:t>
                </a:r>
              </a:p>
            </c:rich>
          </c:tx>
          <c:layout>
            <c:manualLayout>
              <c:xMode val="edge"/>
              <c:yMode val="edge"/>
              <c:x val="1.3888888888888888E-2"/>
              <c:y val="0.27040283550325855"/>
            </c:manualLayout>
          </c:layout>
          <c:overlay val="0"/>
          <c:spPr>
            <a:noFill/>
            <a:ln>
              <a:noFill/>
            </a:ln>
            <a:effectLst/>
          </c:spPr>
          <c:txPr>
            <a:bodyPr rot="-5400000" spcFirstLastPara="1" vertOverflow="ellipsis" vert="horz" wrap="square" anchor="ctr" anchorCtr="1"/>
            <a:lstStyle/>
            <a:p>
              <a:pPr algn="ctr" rtl="0">
                <a:defRPr lang="en-US" sz="1000" b="1" i="0" u="none" strike="noStrike" kern="1200" baseline="0">
                  <a:solidFill>
                    <a:sysClr val="windowText" lastClr="000000">
                      <a:lumMod val="65000"/>
                      <a:lumOff val="35000"/>
                    </a:sysClr>
                  </a:solidFill>
                  <a:latin typeface="+mn-lt"/>
                  <a:ea typeface="+mn-ea"/>
                  <a:cs typeface="+mn-cs"/>
                </a:defRPr>
              </a:pPr>
              <a:endParaRPr lang="es-E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15356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lgn="ctr">
              <a:defRPr sz="700" b="0" i="0" u="none" strike="noStrike" kern="1200" spc="0" baseline="0">
                <a:solidFill>
                  <a:schemeClr val="tx1">
                    <a:lumMod val="65000"/>
                    <a:lumOff val="35000"/>
                  </a:schemeClr>
                </a:solidFill>
                <a:latin typeface="+mn-lt"/>
                <a:ea typeface="+mn-ea"/>
                <a:cs typeface="+mn-cs"/>
              </a:defRPr>
            </a:pPr>
            <a:r>
              <a:rPr lang="es-ES" sz="700"/>
              <a:t>Gestores por Activo Administrado</a:t>
            </a:r>
          </a:p>
        </c:rich>
      </c:tx>
      <c:layout>
        <c:manualLayout>
          <c:xMode val="edge"/>
          <c:yMode val="edge"/>
          <c:x val="0.30989345671413715"/>
          <c:y val="2.48597009255422E-2"/>
        </c:manualLayout>
      </c:layout>
      <c:overlay val="0"/>
      <c:spPr>
        <a:noFill/>
        <a:ln>
          <a:noFill/>
        </a:ln>
        <a:effectLst/>
      </c:spPr>
      <c:txPr>
        <a:bodyPr rot="0" spcFirstLastPara="1" vertOverflow="ellipsis" vert="horz" wrap="square" anchor="ctr" anchorCtr="1"/>
        <a:lstStyle/>
        <a:p>
          <a:pPr algn="ctr">
            <a:defRPr sz="7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manualLayout>
          <c:layoutTarget val="inner"/>
          <c:xMode val="edge"/>
          <c:yMode val="edge"/>
          <c:x val="0.20923464865722671"/>
          <c:y val="0.10436131771617191"/>
          <c:w val="0.67370754854327008"/>
          <c:h val="0.70088896353451424"/>
        </c:manualLayout>
      </c:layout>
      <c:barChart>
        <c:barDir val="bar"/>
        <c:grouping val="clustered"/>
        <c:varyColors val="0"/>
        <c:ser>
          <c:idx val="0"/>
          <c:order val="0"/>
          <c:tx>
            <c:strRef>
              <c:f>'Figura 2.2'!$B$1</c:f>
              <c:strCache>
                <c:ptCount val="1"/>
                <c:pt idx="0">
                  <c:v>30/12/2014</c:v>
                </c:pt>
              </c:strCache>
            </c:strRef>
          </c:tx>
          <c:spPr>
            <a:solidFill>
              <a:schemeClr val="accent1">
                <a:shade val="76000"/>
              </a:schemeClr>
            </a:solidFill>
            <a:ln>
              <a:noFill/>
            </a:ln>
            <a:effectLst/>
          </c:spPr>
          <c:invertIfNegative val="0"/>
          <c:cat>
            <c:strRef>
              <c:f>'Figura 2.2'!$A$2:$A$16</c:f>
              <c:strCache>
                <c:ptCount val="15"/>
                <c:pt idx="0">
                  <c:v>FRECOPE</c:v>
                </c:pt>
                <c:pt idx="1">
                  <c:v>FVENLOT</c:v>
                </c:pt>
                <c:pt idx="2">
                  <c:v>FBOMBEROS</c:v>
                </c:pt>
                <c:pt idx="3">
                  <c:v>FBNCR</c:v>
                </c:pt>
                <c:pt idx="4">
                  <c:v>FRE</c:v>
                </c:pt>
                <c:pt idx="5">
                  <c:v>CCSS-OPC</c:v>
                </c:pt>
                <c:pt idx="6">
                  <c:v>FICE</c:v>
                </c:pt>
                <c:pt idx="7">
                  <c:v>PODER JUDICIAL*</c:v>
                </c:pt>
                <c:pt idx="8">
                  <c:v>VIDA PLENA</c:v>
                </c:pt>
                <c:pt idx="9">
                  <c:v>SJ-PENSIONES</c:v>
                </c:pt>
                <c:pt idx="10">
                  <c:v>BCR-PENSION</c:v>
                </c:pt>
                <c:pt idx="11">
                  <c:v>BN-VITAL</c:v>
                </c:pt>
                <c:pt idx="12">
                  <c:v>FCCMN</c:v>
                </c:pt>
                <c:pt idx="13">
                  <c:v>POPULAR</c:v>
                </c:pt>
                <c:pt idx="14">
                  <c:v>IVM*</c:v>
                </c:pt>
              </c:strCache>
            </c:strRef>
          </c:cat>
          <c:val>
            <c:numRef>
              <c:f>'Figura 2.2'!$B$2:$B$16</c:f>
              <c:numCache>
                <c:formatCode>_(* #,##0_);_(* \(#,##0\);_(* "-"??_);_(@_)</c:formatCode>
                <c:ptCount val="15"/>
                <c:pt idx="0">
                  <c:v>5.8606941553692983E-2</c:v>
                </c:pt>
                <c:pt idx="1">
                  <c:v>20.776126556299339</c:v>
                </c:pt>
                <c:pt idx="2">
                  <c:v>82.1270038637753</c:v>
                </c:pt>
                <c:pt idx="3">
                  <c:v>260.71713699870622</c:v>
                </c:pt>
                <c:pt idx="4">
                  <c:v>327.02992963674041</c:v>
                </c:pt>
                <c:pt idx="5">
                  <c:v>363.03055930372585</c:v>
                </c:pt>
                <c:pt idx="6">
                  <c:v>443.3415088645441</c:v>
                </c:pt>
                <c:pt idx="7">
                  <c:v>738.42372129530679</c:v>
                </c:pt>
                <c:pt idx="8">
                  <c:v>855.09204263380718</c:v>
                </c:pt>
                <c:pt idx="9">
                  <c:v>859.40154760368</c:v>
                </c:pt>
                <c:pt idx="10">
                  <c:v>1258.8691112042741</c:v>
                </c:pt>
                <c:pt idx="11">
                  <c:v>1587.2264305720628</c:v>
                </c:pt>
                <c:pt idx="12">
                  <c:v>2315.1793852206033</c:v>
                </c:pt>
                <c:pt idx="13">
                  <c:v>2729.6460301015654</c:v>
                </c:pt>
                <c:pt idx="14">
                  <c:v>3731.1263851793519</c:v>
                </c:pt>
              </c:numCache>
            </c:numRef>
          </c:val>
        </c:ser>
        <c:ser>
          <c:idx val="1"/>
          <c:order val="1"/>
          <c:tx>
            <c:strRef>
              <c:f>'Figura 2.2'!$C$1</c:f>
              <c:strCache>
                <c:ptCount val="1"/>
                <c:pt idx="0">
                  <c:v>30/06/2015</c:v>
                </c:pt>
              </c:strCache>
            </c:strRef>
          </c:tx>
          <c:spPr>
            <a:solidFill>
              <a:schemeClr val="accent1">
                <a:tint val="77000"/>
              </a:schemeClr>
            </a:solidFill>
            <a:ln>
              <a:noFill/>
            </a:ln>
            <a:effectLst/>
          </c:spPr>
          <c:invertIfNegative val="0"/>
          <c:cat>
            <c:strRef>
              <c:f>'Figura 2.2'!$A$2:$A$16</c:f>
              <c:strCache>
                <c:ptCount val="15"/>
                <c:pt idx="0">
                  <c:v>FRECOPE</c:v>
                </c:pt>
                <c:pt idx="1">
                  <c:v>FVENLOT</c:v>
                </c:pt>
                <c:pt idx="2">
                  <c:v>FBOMBEROS</c:v>
                </c:pt>
                <c:pt idx="3">
                  <c:v>FBNCR</c:v>
                </c:pt>
                <c:pt idx="4">
                  <c:v>FRE</c:v>
                </c:pt>
                <c:pt idx="5">
                  <c:v>CCSS-OPC</c:v>
                </c:pt>
                <c:pt idx="6">
                  <c:v>FICE</c:v>
                </c:pt>
                <c:pt idx="7">
                  <c:v>PODER JUDICIAL*</c:v>
                </c:pt>
                <c:pt idx="8">
                  <c:v>VIDA PLENA</c:v>
                </c:pt>
                <c:pt idx="9">
                  <c:v>SJ-PENSIONES</c:v>
                </c:pt>
                <c:pt idx="10">
                  <c:v>BCR-PENSION</c:v>
                </c:pt>
                <c:pt idx="11">
                  <c:v>BN-VITAL</c:v>
                </c:pt>
                <c:pt idx="12">
                  <c:v>FCCMN</c:v>
                </c:pt>
                <c:pt idx="13">
                  <c:v>POPULAR</c:v>
                </c:pt>
                <c:pt idx="14">
                  <c:v>IVM*</c:v>
                </c:pt>
              </c:strCache>
            </c:strRef>
          </c:cat>
          <c:val>
            <c:numRef>
              <c:f>'Figura 2.2'!$C$2:$C$16</c:f>
              <c:numCache>
                <c:formatCode>_(* #,##0_);_(* \(#,##0\);_(* "-"??_);_(@_)</c:formatCode>
                <c:ptCount val="15"/>
                <c:pt idx="0">
                  <c:v>5.8489083221425729E-2</c:v>
                </c:pt>
                <c:pt idx="1">
                  <c:v>23.93015482254922</c:v>
                </c:pt>
                <c:pt idx="2">
                  <c:v>84.932959200431227</c:v>
                </c:pt>
                <c:pt idx="3">
                  <c:v>280.10207205169183</c:v>
                </c:pt>
                <c:pt idx="4">
                  <c:v>346.7747132361219</c:v>
                </c:pt>
                <c:pt idx="5">
                  <c:v>388.94344886525693</c:v>
                </c:pt>
                <c:pt idx="6">
                  <c:v>476.70543316602669</c:v>
                </c:pt>
                <c:pt idx="7">
                  <c:v>765.80375596073463</c:v>
                </c:pt>
                <c:pt idx="8">
                  <c:v>926.23556010869186</c:v>
                </c:pt>
                <c:pt idx="9">
                  <c:v>958.47108914593935</c:v>
                </c:pt>
                <c:pt idx="10">
                  <c:v>1371.262026052699</c:v>
                </c:pt>
                <c:pt idx="11">
                  <c:v>1736.7629445265618</c:v>
                </c:pt>
                <c:pt idx="12">
                  <c:v>2606.1013749860417</c:v>
                </c:pt>
                <c:pt idx="13">
                  <c:v>2979.2744196648164</c:v>
                </c:pt>
                <c:pt idx="14">
                  <c:v>3871.3173824647156</c:v>
                </c:pt>
              </c:numCache>
            </c:numRef>
          </c:val>
        </c:ser>
        <c:dLbls>
          <c:showLegendKey val="0"/>
          <c:showVal val="0"/>
          <c:showCatName val="0"/>
          <c:showSerName val="0"/>
          <c:showPercent val="0"/>
          <c:showBubbleSize val="0"/>
        </c:dLbls>
        <c:gapWidth val="150"/>
        <c:axId val="215355416"/>
        <c:axId val="215351888"/>
      </c:barChart>
      <c:catAx>
        <c:axId val="215355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s-ES"/>
          </a:p>
        </c:txPr>
        <c:crossAx val="215351888"/>
        <c:crosses val="autoZero"/>
        <c:auto val="1"/>
        <c:lblAlgn val="ctr"/>
        <c:lblOffset val="100"/>
        <c:noMultiLvlLbl val="0"/>
      </c:catAx>
      <c:valAx>
        <c:axId val="215351888"/>
        <c:scaling>
          <c:orientation val="minMax"/>
          <c:max val="4000"/>
        </c:scaling>
        <c:delete val="0"/>
        <c:axPos val="b"/>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crossAx val="215355416"/>
        <c:crosses val="autoZero"/>
        <c:crossBetween val="between"/>
      </c:valAx>
      <c:spPr>
        <a:noFill/>
        <a:ln>
          <a:solidFill>
            <a:schemeClr val="bg1">
              <a:lumMod val="85000"/>
            </a:schemeClr>
          </a:solid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86424741111528"/>
          <c:y val="6.2006764374295378E-2"/>
          <c:w val="0.73410967531109816"/>
          <c:h val="0.57034860495876571"/>
        </c:manualLayout>
      </c:layout>
      <c:lineChart>
        <c:grouping val="standard"/>
        <c:varyColors val="0"/>
        <c:ser>
          <c:idx val="0"/>
          <c:order val="0"/>
          <c:tx>
            <c:strRef>
              <c:f>'Ilustración 3'!$B$3</c:f>
              <c:strCache>
                <c:ptCount val="1"/>
                <c:pt idx="0">
                  <c:v>ROP</c:v>
                </c:pt>
              </c:strCache>
            </c:strRef>
          </c:tx>
          <c:spPr>
            <a:ln w="28575" cap="rnd">
              <a:solidFill>
                <a:schemeClr val="accent1"/>
              </a:solidFill>
              <a:round/>
            </a:ln>
            <a:effectLst/>
          </c:spPr>
          <c:marker>
            <c:symbol val="none"/>
          </c:marker>
          <c:cat>
            <c:numRef>
              <c:f>'Ilustración 3'!$A$4:$A$99</c:f>
              <c:numCache>
                <c:formatCode>mmm\-yy</c:formatCode>
                <c:ptCount val="96"/>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numCache>
            </c:numRef>
          </c:cat>
          <c:val>
            <c:numRef>
              <c:f>'Ilustración 3'!$B$4:$B$99</c:f>
              <c:numCache>
                <c:formatCode>0%</c:formatCode>
                <c:ptCount val="96"/>
                <c:pt idx="0">
                  <c:v>4.1399999999999999E-2</c:v>
                </c:pt>
                <c:pt idx="1">
                  <c:v>4.0500000000000001E-2</c:v>
                </c:pt>
                <c:pt idx="2">
                  <c:v>0.04</c:v>
                </c:pt>
                <c:pt idx="3">
                  <c:v>3.9800000000000002E-2</c:v>
                </c:pt>
                <c:pt idx="4">
                  <c:v>4.02E-2</c:v>
                </c:pt>
                <c:pt idx="5">
                  <c:v>4.0800000000000003E-2</c:v>
                </c:pt>
                <c:pt idx="6">
                  <c:v>4.0599999999999997E-2</c:v>
                </c:pt>
                <c:pt idx="7">
                  <c:v>4.0599999999999997E-2</c:v>
                </c:pt>
                <c:pt idx="8">
                  <c:v>4.1300000000000003E-2</c:v>
                </c:pt>
                <c:pt idx="9">
                  <c:v>4.1500000000000002E-2</c:v>
                </c:pt>
                <c:pt idx="10">
                  <c:v>4.1200000000000001E-2</c:v>
                </c:pt>
                <c:pt idx="11">
                  <c:v>3.9899999999999998E-2</c:v>
                </c:pt>
                <c:pt idx="12">
                  <c:v>3.9699999999999999E-2</c:v>
                </c:pt>
                <c:pt idx="13">
                  <c:v>3.9600000000000003E-2</c:v>
                </c:pt>
                <c:pt idx="14">
                  <c:v>3.9899999999999998E-2</c:v>
                </c:pt>
                <c:pt idx="15">
                  <c:v>4.0399999999999998E-2</c:v>
                </c:pt>
                <c:pt idx="16">
                  <c:v>4.0300000000000002E-2</c:v>
                </c:pt>
                <c:pt idx="17">
                  <c:v>4.0300000000000002E-2</c:v>
                </c:pt>
                <c:pt idx="18">
                  <c:v>4.0300000000000002E-2</c:v>
                </c:pt>
                <c:pt idx="19">
                  <c:v>4.0399999999999998E-2</c:v>
                </c:pt>
                <c:pt idx="20">
                  <c:v>4.1000000000000002E-2</c:v>
                </c:pt>
                <c:pt idx="21">
                  <c:v>4.1099999999999998E-2</c:v>
                </c:pt>
                <c:pt idx="22">
                  <c:v>4.0800000000000003E-2</c:v>
                </c:pt>
                <c:pt idx="23">
                  <c:v>4.0099999999999997E-2</c:v>
                </c:pt>
                <c:pt idx="24">
                  <c:v>4.0300000000000002E-2</c:v>
                </c:pt>
                <c:pt idx="25">
                  <c:v>4.02E-2</c:v>
                </c:pt>
                <c:pt idx="26">
                  <c:v>3.9800000000000002E-2</c:v>
                </c:pt>
                <c:pt idx="27">
                  <c:v>3.85E-2</c:v>
                </c:pt>
                <c:pt idx="28">
                  <c:v>3.73E-2</c:v>
                </c:pt>
                <c:pt idx="29">
                  <c:v>3.7100000000000001E-2</c:v>
                </c:pt>
                <c:pt idx="30">
                  <c:v>3.7900000000000003E-2</c:v>
                </c:pt>
                <c:pt idx="31">
                  <c:v>3.78E-2</c:v>
                </c:pt>
                <c:pt idx="32">
                  <c:v>3.8100000000000002E-2</c:v>
                </c:pt>
                <c:pt idx="33">
                  <c:v>3.8100000000000002E-2</c:v>
                </c:pt>
                <c:pt idx="34">
                  <c:v>3.9300000000000002E-2</c:v>
                </c:pt>
                <c:pt idx="35">
                  <c:v>4.0899999999999999E-2</c:v>
                </c:pt>
                <c:pt idx="36">
                  <c:v>4.2000000000000003E-2</c:v>
                </c:pt>
                <c:pt idx="37">
                  <c:v>4.2900000000000001E-2</c:v>
                </c:pt>
                <c:pt idx="38">
                  <c:v>4.3499999999999997E-2</c:v>
                </c:pt>
                <c:pt idx="39">
                  <c:v>4.3400000000000001E-2</c:v>
                </c:pt>
                <c:pt idx="40">
                  <c:v>4.3999999999999997E-2</c:v>
                </c:pt>
                <c:pt idx="41">
                  <c:v>4.4400000000000002E-2</c:v>
                </c:pt>
                <c:pt idx="42">
                  <c:v>4.4499999999999998E-2</c:v>
                </c:pt>
                <c:pt idx="43">
                  <c:v>4.4900000000000002E-2</c:v>
                </c:pt>
                <c:pt idx="44">
                  <c:v>4.4900000000000002E-2</c:v>
                </c:pt>
                <c:pt idx="45">
                  <c:v>4.5499999999999999E-2</c:v>
                </c:pt>
                <c:pt idx="46">
                  <c:v>4.53E-2</c:v>
                </c:pt>
                <c:pt idx="47">
                  <c:v>4.48E-2</c:v>
                </c:pt>
                <c:pt idx="48">
                  <c:v>4.4299999999999999E-2</c:v>
                </c:pt>
                <c:pt idx="49">
                  <c:v>4.3799999999999999E-2</c:v>
                </c:pt>
                <c:pt idx="50">
                  <c:v>4.3499999999999997E-2</c:v>
                </c:pt>
                <c:pt idx="51">
                  <c:v>4.2599999999999999E-2</c:v>
                </c:pt>
                <c:pt idx="52">
                  <c:v>4.2700000000000002E-2</c:v>
                </c:pt>
                <c:pt idx="53" formatCode="0.00%">
                  <c:v>4.2999999999999997E-2</c:v>
                </c:pt>
                <c:pt idx="54" formatCode="0.00%">
                  <c:v>4.19E-2</c:v>
                </c:pt>
                <c:pt idx="55" formatCode="0.00%">
                  <c:v>4.2099999999999999E-2</c:v>
                </c:pt>
                <c:pt idx="56" formatCode="0.00%">
                  <c:v>4.2200000000000001E-2</c:v>
                </c:pt>
                <c:pt idx="57" formatCode="0.00%">
                  <c:v>4.2500000000000003E-2</c:v>
                </c:pt>
                <c:pt idx="58" formatCode="0.00%">
                  <c:v>4.2500000000000003E-2</c:v>
                </c:pt>
                <c:pt idx="59" formatCode="0.00%">
                  <c:v>4.2900000000000001E-2</c:v>
                </c:pt>
                <c:pt idx="60" formatCode="0.00%">
                  <c:v>4.3200000000000002E-2</c:v>
                </c:pt>
                <c:pt idx="61" formatCode="0.00%">
                  <c:v>4.36E-2</c:v>
                </c:pt>
                <c:pt idx="62" formatCode="0.00%">
                  <c:v>4.3700000000000003E-2</c:v>
                </c:pt>
                <c:pt idx="63" formatCode="0.00%">
                  <c:v>4.4199999999999996E-2</c:v>
                </c:pt>
                <c:pt idx="64" formatCode="0.00%">
                  <c:v>4.5100000000000001E-2</c:v>
                </c:pt>
                <c:pt idx="65" formatCode="0.00%">
                  <c:v>4.53E-2</c:v>
                </c:pt>
              </c:numCache>
            </c:numRef>
          </c:val>
          <c:smooth val="0"/>
        </c:ser>
        <c:ser>
          <c:idx val="1"/>
          <c:order val="1"/>
          <c:tx>
            <c:strRef>
              <c:f>'Ilustración 3'!$C$3</c:f>
              <c:strCache>
                <c:ptCount val="1"/>
                <c:pt idx="0">
                  <c:v>FCL</c:v>
                </c:pt>
              </c:strCache>
            </c:strRef>
          </c:tx>
          <c:spPr>
            <a:ln w="28575" cap="rnd">
              <a:solidFill>
                <a:schemeClr val="accent2"/>
              </a:solidFill>
              <a:round/>
            </a:ln>
            <a:effectLst/>
          </c:spPr>
          <c:marker>
            <c:symbol val="none"/>
          </c:marker>
          <c:cat>
            <c:numRef>
              <c:f>'Ilustración 3'!$A$4:$A$99</c:f>
              <c:numCache>
                <c:formatCode>mmm\-yy</c:formatCode>
                <c:ptCount val="96"/>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numCache>
            </c:numRef>
          </c:cat>
          <c:val>
            <c:numRef>
              <c:f>'Ilustración 3'!$C$4:$C$99</c:f>
              <c:numCache>
                <c:formatCode>0%</c:formatCode>
                <c:ptCount val="96"/>
                <c:pt idx="0">
                  <c:v>3.9199999999999999E-2</c:v>
                </c:pt>
                <c:pt idx="1">
                  <c:v>3.8699999999999998E-2</c:v>
                </c:pt>
                <c:pt idx="2">
                  <c:v>3.8399999999999997E-2</c:v>
                </c:pt>
                <c:pt idx="3">
                  <c:v>3.8600000000000002E-2</c:v>
                </c:pt>
                <c:pt idx="4">
                  <c:v>3.8800000000000001E-2</c:v>
                </c:pt>
                <c:pt idx="5">
                  <c:v>3.9100000000000003E-2</c:v>
                </c:pt>
                <c:pt idx="6">
                  <c:v>3.9100000000000003E-2</c:v>
                </c:pt>
                <c:pt idx="7">
                  <c:v>3.9300000000000002E-2</c:v>
                </c:pt>
                <c:pt idx="8">
                  <c:v>4.0099999999999997E-2</c:v>
                </c:pt>
                <c:pt idx="9">
                  <c:v>4.0300000000000002E-2</c:v>
                </c:pt>
                <c:pt idx="10">
                  <c:v>0.04</c:v>
                </c:pt>
                <c:pt idx="11">
                  <c:v>3.9199999999999999E-2</c:v>
                </c:pt>
                <c:pt idx="12">
                  <c:v>3.8899999999999997E-2</c:v>
                </c:pt>
                <c:pt idx="13">
                  <c:v>3.8899999999999997E-2</c:v>
                </c:pt>
                <c:pt idx="14">
                  <c:v>3.8899999999999997E-2</c:v>
                </c:pt>
                <c:pt idx="15">
                  <c:v>3.9300000000000002E-2</c:v>
                </c:pt>
                <c:pt idx="16">
                  <c:v>3.9100000000000003E-2</c:v>
                </c:pt>
                <c:pt idx="17">
                  <c:v>3.9E-2</c:v>
                </c:pt>
                <c:pt idx="18">
                  <c:v>3.9E-2</c:v>
                </c:pt>
                <c:pt idx="19">
                  <c:v>3.9199999999999999E-2</c:v>
                </c:pt>
                <c:pt idx="20">
                  <c:v>3.9800000000000002E-2</c:v>
                </c:pt>
                <c:pt idx="21">
                  <c:v>3.9800000000000002E-2</c:v>
                </c:pt>
                <c:pt idx="22">
                  <c:v>3.9699999999999999E-2</c:v>
                </c:pt>
                <c:pt idx="23">
                  <c:v>3.9E-2</c:v>
                </c:pt>
                <c:pt idx="24">
                  <c:v>3.9199999999999999E-2</c:v>
                </c:pt>
                <c:pt idx="25">
                  <c:v>3.9E-2</c:v>
                </c:pt>
                <c:pt idx="26">
                  <c:v>3.8699999999999998E-2</c:v>
                </c:pt>
                <c:pt idx="27">
                  <c:v>3.7699999999999997E-2</c:v>
                </c:pt>
                <c:pt idx="28">
                  <c:v>3.6499999999999998E-2</c:v>
                </c:pt>
                <c:pt idx="29">
                  <c:v>3.6700000000000003E-2</c:v>
                </c:pt>
                <c:pt idx="30">
                  <c:v>3.73E-2</c:v>
                </c:pt>
                <c:pt idx="31">
                  <c:v>3.7400000000000003E-2</c:v>
                </c:pt>
                <c:pt idx="32">
                  <c:v>3.78E-2</c:v>
                </c:pt>
                <c:pt idx="33">
                  <c:v>3.7999999999999999E-2</c:v>
                </c:pt>
                <c:pt idx="34">
                  <c:v>3.8899999999999997E-2</c:v>
                </c:pt>
                <c:pt idx="35">
                  <c:v>4.0399999999999998E-2</c:v>
                </c:pt>
                <c:pt idx="36">
                  <c:v>4.1399999999999999E-2</c:v>
                </c:pt>
                <c:pt idx="37">
                  <c:v>4.2299999999999997E-2</c:v>
                </c:pt>
                <c:pt idx="38">
                  <c:v>4.2999999999999997E-2</c:v>
                </c:pt>
                <c:pt idx="39">
                  <c:v>4.2799999999999998E-2</c:v>
                </c:pt>
                <c:pt idx="40">
                  <c:v>4.3400000000000001E-2</c:v>
                </c:pt>
                <c:pt idx="41">
                  <c:v>4.3700000000000003E-2</c:v>
                </c:pt>
                <c:pt idx="42">
                  <c:v>4.3900000000000002E-2</c:v>
                </c:pt>
                <c:pt idx="43">
                  <c:v>4.4200000000000003E-2</c:v>
                </c:pt>
                <c:pt idx="44">
                  <c:v>4.41E-2</c:v>
                </c:pt>
                <c:pt idx="45">
                  <c:v>4.4699999999999997E-2</c:v>
                </c:pt>
                <c:pt idx="46">
                  <c:v>4.4600000000000001E-2</c:v>
                </c:pt>
                <c:pt idx="47">
                  <c:v>4.4200000000000003E-2</c:v>
                </c:pt>
                <c:pt idx="48">
                  <c:v>4.36E-2</c:v>
                </c:pt>
                <c:pt idx="49">
                  <c:v>4.3099999999999999E-2</c:v>
                </c:pt>
                <c:pt idx="50">
                  <c:v>4.24E-2</c:v>
                </c:pt>
                <c:pt idx="51">
                  <c:v>4.1700000000000001E-2</c:v>
                </c:pt>
                <c:pt idx="52">
                  <c:v>4.1399999999999999E-2</c:v>
                </c:pt>
                <c:pt idx="53" formatCode="0.00%">
                  <c:v>4.1799999999999997E-2</c:v>
                </c:pt>
                <c:pt idx="54" formatCode="0.00%">
                  <c:v>4.0899999999999999E-2</c:v>
                </c:pt>
                <c:pt idx="55" formatCode="0.00%">
                  <c:v>4.0800000000000003E-2</c:v>
                </c:pt>
                <c:pt idx="56" formatCode="0.00%">
                  <c:v>4.1099999999999998E-2</c:v>
                </c:pt>
                <c:pt idx="57" formatCode="0.00%">
                  <c:v>4.1500000000000002E-2</c:v>
                </c:pt>
                <c:pt idx="58" formatCode="0.00%">
                  <c:v>4.1500000000000002E-2</c:v>
                </c:pt>
                <c:pt idx="59" formatCode="0.00%">
                  <c:v>4.19E-2</c:v>
                </c:pt>
                <c:pt idx="60" formatCode="0.00%">
                  <c:v>4.2199999999999994E-2</c:v>
                </c:pt>
                <c:pt idx="61" formatCode="0.00%">
                  <c:v>4.2500000000000003E-2</c:v>
                </c:pt>
                <c:pt idx="62" formatCode="0.00%">
                  <c:v>4.2800000000000005E-2</c:v>
                </c:pt>
                <c:pt idx="63" formatCode="0.00%">
                  <c:v>4.3200000000000002E-2</c:v>
                </c:pt>
                <c:pt idx="64" formatCode="0.00%">
                  <c:v>4.41E-2</c:v>
                </c:pt>
                <c:pt idx="65" formatCode="0.00%">
                  <c:v>4.41E-2</c:v>
                </c:pt>
              </c:numCache>
            </c:numRef>
          </c:val>
          <c:smooth val="0"/>
        </c:ser>
        <c:ser>
          <c:idx val="2"/>
          <c:order val="2"/>
          <c:tx>
            <c:strRef>
              <c:f>'Ilustración 3'!$D$3</c:f>
              <c:strCache>
                <c:ptCount val="1"/>
                <c:pt idx="0">
                  <c:v>Vol Col A</c:v>
                </c:pt>
              </c:strCache>
            </c:strRef>
          </c:tx>
          <c:spPr>
            <a:ln w="28575" cap="rnd">
              <a:solidFill>
                <a:schemeClr val="accent3"/>
              </a:solidFill>
              <a:round/>
            </a:ln>
            <a:effectLst/>
          </c:spPr>
          <c:marker>
            <c:symbol val="none"/>
          </c:marker>
          <c:cat>
            <c:numRef>
              <c:f>'Ilustración 3'!$A$4:$A$99</c:f>
              <c:numCache>
                <c:formatCode>mmm\-yy</c:formatCode>
                <c:ptCount val="96"/>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numCache>
            </c:numRef>
          </c:cat>
          <c:val>
            <c:numRef>
              <c:f>'Ilustración 3'!$D$4:$D$99</c:f>
              <c:numCache>
                <c:formatCode>0%</c:formatCode>
                <c:ptCount val="96"/>
                <c:pt idx="0">
                  <c:v>4.5100000000000001E-2</c:v>
                </c:pt>
                <c:pt idx="1">
                  <c:v>4.4299999999999999E-2</c:v>
                </c:pt>
                <c:pt idx="2">
                  <c:v>4.3900000000000002E-2</c:v>
                </c:pt>
                <c:pt idx="3">
                  <c:v>4.3900000000000002E-2</c:v>
                </c:pt>
                <c:pt idx="4">
                  <c:v>4.3999999999999997E-2</c:v>
                </c:pt>
                <c:pt idx="5">
                  <c:v>4.4400000000000002E-2</c:v>
                </c:pt>
                <c:pt idx="6">
                  <c:v>4.4200000000000003E-2</c:v>
                </c:pt>
                <c:pt idx="7">
                  <c:v>4.3900000000000002E-2</c:v>
                </c:pt>
                <c:pt idx="8">
                  <c:v>4.4299999999999999E-2</c:v>
                </c:pt>
                <c:pt idx="9">
                  <c:v>4.4400000000000002E-2</c:v>
                </c:pt>
                <c:pt idx="10">
                  <c:v>4.41E-2</c:v>
                </c:pt>
                <c:pt idx="11">
                  <c:v>4.58E-2</c:v>
                </c:pt>
                <c:pt idx="12">
                  <c:v>4.5600000000000002E-2</c:v>
                </c:pt>
                <c:pt idx="13">
                  <c:v>4.5400000000000003E-2</c:v>
                </c:pt>
                <c:pt idx="14">
                  <c:v>4.5600000000000002E-2</c:v>
                </c:pt>
                <c:pt idx="15">
                  <c:v>4.5900000000000003E-2</c:v>
                </c:pt>
                <c:pt idx="16">
                  <c:v>4.5600000000000002E-2</c:v>
                </c:pt>
                <c:pt idx="17">
                  <c:v>4.5499999999999999E-2</c:v>
                </c:pt>
                <c:pt idx="18">
                  <c:v>4.5499999999999999E-2</c:v>
                </c:pt>
                <c:pt idx="19">
                  <c:v>4.5600000000000002E-2</c:v>
                </c:pt>
                <c:pt idx="20">
                  <c:v>4.6199999999999998E-2</c:v>
                </c:pt>
                <c:pt idx="21">
                  <c:v>4.6199999999999998E-2</c:v>
                </c:pt>
                <c:pt idx="22">
                  <c:v>4.5999999999999999E-2</c:v>
                </c:pt>
                <c:pt idx="23">
                  <c:v>4.53E-2</c:v>
                </c:pt>
                <c:pt idx="24">
                  <c:v>4.5499999999999999E-2</c:v>
                </c:pt>
                <c:pt idx="25">
                  <c:v>4.5400000000000003E-2</c:v>
                </c:pt>
                <c:pt idx="26">
                  <c:v>4.4999999999999998E-2</c:v>
                </c:pt>
                <c:pt idx="27">
                  <c:v>4.3900000000000002E-2</c:v>
                </c:pt>
                <c:pt idx="28">
                  <c:v>4.2900000000000001E-2</c:v>
                </c:pt>
                <c:pt idx="29">
                  <c:v>4.2900000000000001E-2</c:v>
                </c:pt>
                <c:pt idx="30">
                  <c:v>4.3499999999999997E-2</c:v>
                </c:pt>
                <c:pt idx="31">
                  <c:v>4.3400000000000001E-2</c:v>
                </c:pt>
                <c:pt idx="32">
                  <c:v>4.3700000000000003E-2</c:v>
                </c:pt>
                <c:pt idx="33">
                  <c:v>4.3700000000000003E-2</c:v>
                </c:pt>
                <c:pt idx="34">
                  <c:v>4.4499999999999998E-2</c:v>
                </c:pt>
                <c:pt idx="35">
                  <c:v>4.53E-2</c:v>
                </c:pt>
                <c:pt idx="36">
                  <c:v>4.5900000000000003E-2</c:v>
                </c:pt>
                <c:pt idx="37">
                  <c:v>4.6399999999999997E-2</c:v>
                </c:pt>
                <c:pt idx="38">
                  <c:v>4.7E-2</c:v>
                </c:pt>
                <c:pt idx="39">
                  <c:v>4.6600000000000003E-2</c:v>
                </c:pt>
                <c:pt idx="40">
                  <c:v>4.7399999999999998E-2</c:v>
                </c:pt>
                <c:pt idx="41">
                  <c:v>4.7699999999999999E-2</c:v>
                </c:pt>
                <c:pt idx="42">
                  <c:v>4.7899999999999998E-2</c:v>
                </c:pt>
                <c:pt idx="43">
                  <c:v>4.82E-2</c:v>
                </c:pt>
                <c:pt idx="44">
                  <c:v>4.8099999999999997E-2</c:v>
                </c:pt>
                <c:pt idx="45">
                  <c:v>4.8599999999999997E-2</c:v>
                </c:pt>
                <c:pt idx="46">
                  <c:v>4.8500000000000001E-2</c:v>
                </c:pt>
                <c:pt idx="47">
                  <c:v>4.7899999999999998E-2</c:v>
                </c:pt>
                <c:pt idx="48">
                  <c:v>4.7399999999999998E-2</c:v>
                </c:pt>
                <c:pt idx="49">
                  <c:v>4.6899999999999997E-2</c:v>
                </c:pt>
                <c:pt idx="50">
                  <c:v>4.6300000000000001E-2</c:v>
                </c:pt>
                <c:pt idx="51">
                  <c:v>4.5499999999999999E-2</c:v>
                </c:pt>
                <c:pt idx="52">
                  <c:v>4.53E-2</c:v>
                </c:pt>
                <c:pt idx="53" formatCode="0.00%">
                  <c:v>4.5699999999999998E-2</c:v>
                </c:pt>
                <c:pt idx="54" formatCode="0.00%">
                  <c:v>4.48E-2</c:v>
                </c:pt>
                <c:pt idx="55" formatCode="0.00%">
                  <c:v>4.48E-2</c:v>
                </c:pt>
                <c:pt idx="56" formatCode="0.00%">
                  <c:v>4.4999999999999998E-2</c:v>
                </c:pt>
                <c:pt idx="57" formatCode="0.00%">
                  <c:v>4.5400000000000003E-2</c:v>
                </c:pt>
                <c:pt idx="58" formatCode="0.00%">
                  <c:v>4.53E-2</c:v>
                </c:pt>
                <c:pt idx="59" formatCode="0.00%">
                  <c:v>4.5699999999999998E-2</c:v>
                </c:pt>
                <c:pt idx="60" formatCode="0.00%">
                  <c:v>4.58E-2</c:v>
                </c:pt>
                <c:pt idx="61" formatCode="0.00%">
                  <c:v>4.6100000000000002E-2</c:v>
                </c:pt>
                <c:pt idx="62" formatCode="0.00%">
                  <c:v>4.6399999999999997E-2</c:v>
                </c:pt>
                <c:pt idx="63" formatCode="0.00%">
                  <c:v>4.6900000000000004E-2</c:v>
                </c:pt>
                <c:pt idx="64" formatCode="0.00%">
                  <c:v>4.7700000000000006E-2</c:v>
                </c:pt>
                <c:pt idx="65" formatCode="0.00%">
                  <c:v>4.7700000000000006E-2</c:v>
                </c:pt>
              </c:numCache>
            </c:numRef>
          </c:val>
          <c:smooth val="0"/>
        </c:ser>
        <c:ser>
          <c:idx val="3"/>
          <c:order val="3"/>
          <c:tx>
            <c:strRef>
              <c:f>'Ilustración 3'!$E$3</c:f>
              <c:strCache>
                <c:ptCount val="1"/>
                <c:pt idx="0">
                  <c:v>Vol Col B</c:v>
                </c:pt>
              </c:strCache>
            </c:strRef>
          </c:tx>
          <c:spPr>
            <a:ln w="28575" cap="rnd">
              <a:solidFill>
                <a:schemeClr val="accent4"/>
              </a:solidFill>
              <a:round/>
            </a:ln>
            <a:effectLst/>
          </c:spPr>
          <c:marker>
            <c:symbol val="none"/>
          </c:marker>
          <c:cat>
            <c:numRef>
              <c:f>'Ilustración 3'!$A$4:$A$99</c:f>
              <c:numCache>
                <c:formatCode>mmm\-yy</c:formatCode>
                <c:ptCount val="96"/>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numCache>
            </c:numRef>
          </c:cat>
          <c:val>
            <c:numRef>
              <c:f>'Ilustración 3'!$E$4:$E$99</c:f>
              <c:numCache>
                <c:formatCode>0%</c:formatCode>
                <c:ptCount val="96"/>
                <c:pt idx="0">
                  <c:v>7.85E-2</c:v>
                </c:pt>
                <c:pt idx="1">
                  <c:v>7.1499999999999994E-2</c:v>
                </c:pt>
                <c:pt idx="2">
                  <c:v>6.7400000000000002E-2</c:v>
                </c:pt>
                <c:pt idx="3">
                  <c:v>6.6199999999999995E-2</c:v>
                </c:pt>
                <c:pt idx="4">
                  <c:v>6.6199999999999995E-2</c:v>
                </c:pt>
                <c:pt idx="5">
                  <c:v>6.7699999999999996E-2</c:v>
                </c:pt>
                <c:pt idx="6">
                  <c:v>6.6400000000000001E-2</c:v>
                </c:pt>
                <c:pt idx="7">
                  <c:v>6.5199999999999994E-2</c:v>
                </c:pt>
                <c:pt idx="8">
                  <c:v>6.6299999999999998E-2</c:v>
                </c:pt>
                <c:pt idx="9">
                  <c:v>6.5500000000000003E-2</c:v>
                </c:pt>
                <c:pt idx="10">
                  <c:v>6.2399999999999997E-2</c:v>
                </c:pt>
                <c:pt idx="11">
                  <c:v>5.9400000000000001E-2</c:v>
                </c:pt>
                <c:pt idx="12">
                  <c:v>5.62E-2</c:v>
                </c:pt>
                <c:pt idx="13">
                  <c:v>5.5199999999999999E-2</c:v>
                </c:pt>
                <c:pt idx="14">
                  <c:v>5.5500000000000001E-2</c:v>
                </c:pt>
                <c:pt idx="15">
                  <c:v>5.6300000000000003E-2</c:v>
                </c:pt>
                <c:pt idx="16">
                  <c:v>5.5300000000000002E-2</c:v>
                </c:pt>
                <c:pt idx="17">
                  <c:v>5.4600000000000003E-2</c:v>
                </c:pt>
                <c:pt idx="18">
                  <c:v>5.4100000000000002E-2</c:v>
                </c:pt>
                <c:pt idx="19">
                  <c:v>5.4300000000000001E-2</c:v>
                </c:pt>
                <c:pt idx="20">
                  <c:v>5.5899999999999998E-2</c:v>
                </c:pt>
                <c:pt idx="21">
                  <c:v>5.5399999999999998E-2</c:v>
                </c:pt>
                <c:pt idx="22">
                  <c:v>5.4600000000000003E-2</c:v>
                </c:pt>
                <c:pt idx="23">
                  <c:v>5.1900000000000002E-2</c:v>
                </c:pt>
                <c:pt idx="24">
                  <c:v>5.2400000000000002E-2</c:v>
                </c:pt>
                <c:pt idx="25">
                  <c:v>5.16E-2</c:v>
                </c:pt>
                <c:pt idx="26">
                  <c:v>5.0200000000000002E-2</c:v>
                </c:pt>
                <c:pt idx="27">
                  <c:v>4.65E-2</c:v>
                </c:pt>
                <c:pt idx="28">
                  <c:v>4.3099999999999999E-2</c:v>
                </c:pt>
                <c:pt idx="29">
                  <c:v>4.2999999999999997E-2</c:v>
                </c:pt>
                <c:pt idx="30">
                  <c:v>4.4600000000000001E-2</c:v>
                </c:pt>
                <c:pt idx="31">
                  <c:v>4.41E-2</c:v>
                </c:pt>
                <c:pt idx="32">
                  <c:v>4.4999999999999998E-2</c:v>
                </c:pt>
                <c:pt idx="33">
                  <c:v>4.5600000000000002E-2</c:v>
                </c:pt>
                <c:pt idx="34">
                  <c:v>4.7300000000000002E-2</c:v>
                </c:pt>
                <c:pt idx="35">
                  <c:v>5.0200000000000002E-2</c:v>
                </c:pt>
                <c:pt idx="36">
                  <c:v>5.16E-2</c:v>
                </c:pt>
                <c:pt idx="37">
                  <c:v>5.3100000000000001E-2</c:v>
                </c:pt>
                <c:pt idx="38">
                  <c:v>5.4699999999999999E-2</c:v>
                </c:pt>
                <c:pt idx="39">
                  <c:v>5.3900000000000003E-2</c:v>
                </c:pt>
                <c:pt idx="40">
                  <c:v>5.5399999999999998E-2</c:v>
                </c:pt>
                <c:pt idx="41">
                  <c:v>5.6399999999999999E-2</c:v>
                </c:pt>
                <c:pt idx="42">
                  <c:v>5.67E-2</c:v>
                </c:pt>
                <c:pt idx="43">
                  <c:v>5.7700000000000001E-2</c:v>
                </c:pt>
                <c:pt idx="44">
                  <c:v>5.7200000000000001E-2</c:v>
                </c:pt>
                <c:pt idx="45">
                  <c:v>5.8500000000000003E-2</c:v>
                </c:pt>
                <c:pt idx="46">
                  <c:v>5.8200000000000002E-2</c:v>
                </c:pt>
                <c:pt idx="47">
                  <c:v>5.6899999999999999E-2</c:v>
                </c:pt>
                <c:pt idx="48">
                  <c:v>5.5399999999999998E-2</c:v>
                </c:pt>
                <c:pt idx="49">
                  <c:v>5.4100000000000002E-2</c:v>
                </c:pt>
                <c:pt idx="50">
                  <c:v>5.28E-2</c:v>
                </c:pt>
                <c:pt idx="51">
                  <c:v>5.0599999999999999E-2</c:v>
                </c:pt>
                <c:pt idx="52">
                  <c:v>5.0299999999999997E-2</c:v>
                </c:pt>
                <c:pt idx="53" formatCode="0.00%">
                  <c:v>5.1200000000000002E-2</c:v>
                </c:pt>
                <c:pt idx="54" formatCode="0.00%">
                  <c:v>4.8599999999999997E-2</c:v>
                </c:pt>
                <c:pt idx="55" formatCode="0.00%">
                  <c:v>4.8599999999999997E-2</c:v>
                </c:pt>
                <c:pt idx="56" formatCode="0.00%">
                  <c:v>4.9399999999999999E-2</c:v>
                </c:pt>
                <c:pt idx="57" formatCode="0.00%">
                  <c:v>0.05</c:v>
                </c:pt>
                <c:pt idx="58" formatCode="0.00%">
                  <c:v>4.9799999999999997E-2</c:v>
                </c:pt>
                <c:pt idx="59" formatCode="0.00%">
                  <c:v>5.0500000000000003E-2</c:v>
                </c:pt>
                <c:pt idx="60" formatCode="0.00%">
                  <c:v>4.9800000000000004E-2</c:v>
                </c:pt>
                <c:pt idx="61" formatCode="0.00%">
                  <c:v>5.0600000000000006E-2</c:v>
                </c:pt>
                <c:pt idx="62" formatCode="0.00%">
                  <c:v>5.0799999999999998E-2</c:v>
                </c:pt>
                <c:pt idx="63" formatCode="0.00%">
                  <c:v>5.1799999999999999E-2</c:v>
                </c:pt>
                <c:pt idx="64" formatCode="0.00%">
                  <c:v>5.3899999999999997E-2</c:v>
                </c:pt>
                <c:pt idx="65" formatCode="0.00%">
                  <c:v>5.4199999999999998E-2</c:v>
                </c:pt>
              </c:numCache>
            </c:numRef>
          </c:val>
          <c:smooth val="0"/>
        </c:ser>
        <c:dLbls>
          <c:showLegendKey val="0"/>
          <c:showVal val="0"/>
          <c:showCatName val="0"/>
          <c:showSerName val="0"/>
          <c:showPercent val="0"/>
          <c:showBubbleSize val="0"/>
        </c:dLbls>
        <c:smooth val="0"/>
        <c:axId val="297241424"/>
        <c:axId val="297242992"/>
      </c:lineChart>
      <c:dateAx>
        <c:axId val="29724142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s-ES"/>
          </a:p>
        </c:txPr>
        <c:crossAx val="297242992"/>
        <c:crosses val="autoZero"/>
        <c:auto val="1"/>
        <c:lblOffset val="100"/>
        <c:baseTimeUnit val="months"/>
      </c:dateAx>
      <c:valAx>
        <c:axId val="297242992"/>
        <c:scaling>
          <c:orientation val="minMax"/>
          <c:max val="8.0000000000000016E-2"/>
          <c:min val="3.0000000000000006E-2"/>
        </c:scaling>
        <c:delete val="0"/>
        <c:axPos val="l"/>
        <c:title>
          <c:tx>
            <c:rich>
              <a:bodyPr rot="-54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r>
                  <a:rPr lang="en-US" sz="800" b="1"/>
                  <a:t>Rendimientos</a:t>
                </a:r>
              </a:p>
            </c:rich>
          </c:tx>
          <c:layout>
            <c:manualLayout>
              <c:xMode val="edge"/>
              <c:yMode val="edge"/>
              <c:x val="1.4374011786689666E-2"/>
              <c:y val="0.25009160278806208"/>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s-E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ES"/>
          </a:p>
        </c:txPr>
        <c:crossAx val="297241424"/>
        <c:crosses val="autoZero"/>
        <c:crossBetween val="between"/>
      </c:valAx>
      <c:spPr>
        <a:noFill/>
        <a:ln>
          <a:noFill/>
        </a:ln>
        <a:effectLst/>
      </c:spPr>
    </c:plotArea>
    <c:legend>
      <c:legendPos val="b"/>
      <c:layout>
        <c:manualLayout>
          <c:xMode val="edge"/>
          <c:yMode val="edge"/>
          <c:x val="0.19100199622934458"/>
          <c:y val="0.84822259640913078"/>
          <c:w val="0.62503798380836195"/>
          <c:h val="8.686575555624966E-2"/>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'Ilustración 3'!$F$3</c:f>
              <c:strCache>
                <c:ptCount val="1"/>
                <c:pt idx="0">
                  <c:v>Vol Dol A</c:v>
                </c:pt>
              </c:strCache>
            </c:strRef>
          </c:tx>
          <c:spPr>
            <a:ln w="28575" cap="rnd">
              <a:solidFill>
                <a:schemeClr val="accent1"/>
              </a:solidFill>
              <a:round/>
            </a:ln>
            <a:effectLst/>
          </c:spPr>
          <c:marker>
            <c:symbol val="none"/>
          </c:marker>
          <c:cat>
            <c:numRef>
              <c:f>'Ilustración 3'!$A$4:$A$69</c:f>
              <c:numCache>
                <c:formatCode>mmm\-yy</c:formatCode>
                <c:ptCount val="66"/>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numCache>
            </c:numRef>
          </c:cat>
          <c:val>
            <c:numRef>
              <c:f>'Ilustración 3'!$F$4:$F$69</c:f>
              <c:numCache>
                <c:formatCode>0%</c:formatCode>
                <c:ptCount val="66"/>
                <c:pt idx="0">
                  <c:v>6.6400000000000001E-2</c:v>
                </c:pt>
                <c:pt idx="1">
                  <c:v>6.6400000000000001E-2</c:v>
                </c:pt>
                <c:pt idx="2">
                  <c:v>6.6199999999999995E-2</c:v>
                </c:pt>
                <c:pt idx="3">
                  <c:v>6.6000000000000003E-2</c:v>
                </c:pt>
                <c:pt idx="4">
                  <c:v>6.5699999999999995E-2</c:v>
                </c:pt>
                <c:pt idx="5">
                  <c:v>6.54E-2</c:v>
                </c:pt>
                <c:pt idx="6">
                  <c:v>6.5199999999999994E-2</c:v>
                </c:pt>
                <c:pt idx="7">
                  <c:v>6.5100000000000005E-2</c:v>
                </c:pt>
                <c:pt idx="8">
                  <c:v>6.5100000000000005E-2</c:v>
                </c:pt>
                <c:pt idx="9">
                  <c:v>6.5000000000000002E-2</c:v>
                </c:pt>
                <c:pt idx="10">
                  <c:v>6.4399999999999999E-2</c:v>
                </c:pt>
                <c:pt idx="11">
                  <c:v>6.3899999999999998E-2</c:v>
                </c:pt>
                <c:pt idx="12">
                  <c:v>6.3500000000000001E-2</c:v>
                </c:pt>
                <c:pt idx="13">
                  <c:v>6.2600000000000003E-2</c:v>
                </c:pt>
                <c:pt idx="14">
                  <c:v>6.2399999999999997E-2</c:v>
                </c:pt>
                <c:pt idx="15">
                  <c:v>6.2100000000000002E-2</c:v>
                </c:pt>
                <c:pt idx="16">
                  <c:v>6.1800000000000001E-2</c:v>
                </c:pt>
                <c:pt idx="17">
                  <c:v>6.1499999999999999E-2</c:v>
                </c:pt>
                <c:pt idx="18">
                  <c:v>6.1199999999999997E-2</c:v>
                </c:pt>
                <c:pt idx="19">
                  <c:v>6.08E-2</c:v>
                </c:pt>
                <c:pt idx="20">
                  <c:v>6.0299999999999999E-2</c:v>
                </c:pt>
                <c:pt idx="21">
                  <c:v>5.9700000000000003E-2</c:v>
                </c:pt>
                <c:pt idx="22">
                  <c:v>5.9299999999999999E-2</c:v>
                </c:pt>
                <c:pt idx="23">
                  <c:v>5.8999999999999997E-2</c:v>
                </c:pt>
                <c:pt idx="24">
                  <c:v>5.8700000000000002E-2</c:v>
                </c:pt>
                <c:pt idx="25">
                  <c:v>5.8099999999999999E-2</c:v>
                </c:pt>
                <c:pt idx="26">
                  <c:v>5.7299999999999997E-2</c:v>
                </c:pt>
                <c:pt idx="27">
                  <c:v>5.7200000000000001E-2</c:v>
                </c:pt>
                <c:pt idx="28">
                  <c:v>5.67E-2</c:v>
                </c:pt>
                <c:pt idx="29">
                  <c:v>5.6599999999999998E-2</c:v>
                </c:pt>
                <c:pt idx="30">
                  <c:v>5.6599999999999998E-2</c:v>
                </c:pt>
                <c:pt idx="31">
                  <c:v>5.67E-2</c:v>
                </c:pt>
                <c:pt idx="32">
                  <c:v>5.67E-2</c:v>
                </c:pt>
                <c:pt idx="33">
                  <c:v>5.6500000000000002E-2</c:v>
                </c:pt>
                <c:pt idx="34">
                  <c:v>5.7799999999999997E-2</c:v>
                </c:pt>
                <c:pt idx="35">
                  <c:v>5.7200000000000001E-2</c:v>
                </c:pt>
                <c:pt idx="36">
                  <c:v>5.7599999999999998E-2</c:v>
                </c:pt>
                <c:pt idx="37">
                  <c:v>5.79E-2</c:v>
                </c:pt>
                <c:pt idx="38">
                  <c:v>5.8299999999999998E-2</c:v>
                </c:pt>
                <c:pt idx="39">
                  <c:v>5.8200000000000002E-2</c:v>
                </c:pt>
                <c:pt idx="40">
                  <c:v>5.8599999999999999E-2</c:v>
                </c:pt>
                <c:pt idx="41">
                  <c:v>5.8700000000000002E-2</c:v>
                </c:pt>
                <c:pt idx="42">
                  <c:v>5.8299999999999998E-2</c:v>
                </c:pt>
                <c:pt idx="43">
                  <c:v>5.7799999999999997E-2</c:v>
                </c:pt>
                <c:pt idx="44">
                  <c:v>5.74E-2</c:v>
                </c:pt>
                <c:pt idx="45">
                  <c:v>5.7299999999999997E-2</c:v>
                </c:pt>
                <c:pt idx="46">
                  <c:v>5.7099999999999998E-2</c:v>
                </c:pt>
                <c:pt idx="47">
                  <c:v>5.6899999999999999E-2</c:v>
                </c:pt>
                <c:pt idx="48">
                  <c:v>5.67E-2</c:v>
                </c:pt>
                <c:pt idx="49">
                  <c:v>5.6500000000000002E-2</c:v>
                </c:pt>
                <c:pt idx="50">
                  <c:v>5.62E-2</c:v>
                </c:pt>
                <c:pt idx="51">
                  <c:v>5.5899999999999998E-2</c:v>
                </c:pt>
                <c:pt idx="52">
                  <c:v>5.6000000000000001E-2</c:v>
                </c:pt>
                <c:pt idx="53" formatCode="0.00%">
                  <c:v>5.6000000000000001E-2</c:v>
                </c:pt>
                <c:pt idx="54" formatCode="0.00%">
                  <c:v>5.6300000000000003E-2</c:v>
                </c:pt>
                <c:pt idx="55" formatCode="0.00%">
                  <c:v>5.6399999999999999E-2</c:v>
                </c:pt>
                <c:pt idx="56" formatCode="0.00%">
                  <c:v>5.62E-2</c:v>
                </c:pt>
                <c:pt idx="57" formatCode="0.00%">
                  <c:v>5.6000000000000001E-2</c:v>
                </c:pt>
                <c:pt idx="58" formatCode="0.00%">
                  <c:v>5.6000000000000001E-2</c:v>
                </c:pt>
                <c:pt idx="59" formatCode="0.00%">
                  <c:v>5.5800000000000002E-2</c:v>
                </c:pt>
                <c:pt idx="60" formatCode="0.00%">
                  <c:v>5.5500000000000001E-2</c:v>
                </c:pt>
                <c:pt idx="61" formatCode="0.00%">
                  <c:v>5.5399999999999998E-2</c:v>
                </c:pt>
                <c:pt idx="62" formatCode="0.00%">
                  <c:v>5.5399999999999998E-2</c:v>
                </c:pt>
                <c:pt idx="63" formatCode="0.00%">
                  <c:v>5.5300000000000002E-2</c:v>
                </c:pt>
                <c:pt idx="64" formatCode="0.00%">
                  <c:v>5.5200000000000006E-2</c:v>
                </c:pt>
                <c:pt idx="65" formatCode="0.00%">
                  <c:v>5.5200000000000006E-2</c:v>
                </c:pt>
              </c:numCache>
            </c:numRef>
          </c:val>
          <c:smooth val="0"/>
        </c:ser>
        <c:ser>
          <c:idx val="1"/>
          <c:order val="1"/>
          <c:tx>
            <c:strRef>
              <c:f>'Ilustración 3'!$G$3</c:f>
              <c:strCache>
                <c:ptCount val="1"/>
                <c:pt idx="0">
                  <c:v>Vol Dol B</c:v>
                </c:pt>
              </c:strCache>
            </c:strRef>
          </c:tx>
          <c:spPr>
            <a:ln w="28575" cap="rnd">
              <a:solidFill>
                <a:schemeClr val="accent2"/>
              </a:solidFill>
              <a:round/>
            </a:ln>
            <a:effectLst/>
          </c:spPr>
          <c:marker>
            <c:symbol val="none"/>
          </c:marker>
          <c:cat>
            <c:numRef>
              <c:f>'Ilustración 3'!$A$4:$A$69</c:f>
              <c:numCache>
                <c:formatCode>mmm\-yy</c:formatCode>
                <c:ptCount val="66"/>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numCache>
            </c:numRef>
          </c:cat>
          <c:val>
            <c:numRef>
              <c:f>'Ilustración 3'!$G$4:$G$69</c:f>
              <c:numCache>
                <c:formatCode>0%</c:formatCode>
                <c:ptCount val="66"/>
                <c:pt idx="0">
                  <c:v>0.10489999999999999</c:v>
                </c:pt>
                <c:pt idx="1">
                  <c:v>0.1027</c:v>
                </c:pt>
                <c:pt idx="2">
                  <c:v>9.6699999999999994E-2</c:v>
                </c:pt>
                <c:pt idx="3">
                  <c:v>9.4399999999999998E-2</c:v>
                </c:pt>
                <c:pt idx="4">
                  <c:v>9.1600000000000001E-2</c:v>
                </c:pt>
                <c:pt idx="5">
                  <c:v>8.9099999999999999E-2</c:v>
                </c:pt>
                <c:pt idx="6">
                  <c:v>8.8200000000000001E-2</c:v>
                </c:pt>
                <c:pt idx="7">
                  <c:v>8.72E-2</c:v>
                </c:pt>
                <c:pt idx="8">
                  <c:v>8.5099999999999995E-2</c:v>
                </c:pt>
                <c:pt idx="9">
                  <c:v>8.3199999999999996E-2</c:v>
                </c:pt>
                <c:pt idx="10">
                  <c:v>7.8399999999999997E-2</c:v>
                </c:pt>
                <c:pt idx="11">
                  <c:v>7.0599999999999996E-2</c:v>
                </c:pt>
                <c:pt idx="12">
                  <c:v>7.4700000000000003E-2</c:v>
                </c:pt>
                <c:pt idx="13">
                  <c:v>7.5200000000000003E-2</c:v>
                </c:pt>
                <c:pt idx="14">
                  <c:v>7.4200000000000002E-2</c:v>
                </c:pt>
                <c:pt idx="15">
                  <c:v>7.3099999999999998E-2</c:v>
                </c:pt>
                <c:pt idx="16">
                  <c:v>7.1599999999999997E-2</c:v>
                </c:pt>
                <c:pt idx="17">
                  <c:v>7.0599999999999996E-2</c:v>
                </c:pt>
                <c:pt idx="18">
                  <c:v>6.9400000000000003E-2</c:v>
                </c:pt>
                <c:pt idx="19">
                  <c:v>6.7799999999999999E-2</c:v>
                </c:pt>
                <c:pt idx="20">
                  <c:v>6.5100000000000005E-2</c:v>
                </c:pt>
                <c:pt idx="21">
                  <c:v>6.2899999999999998E-2</c:v>
                </c:pt>
                <c:pt idx="22">
                  <c:v>6.1499999999999999E-2</c:v>
                </c:pt>
                <c:pt idx="23">
                  <c:v>6.0499999999999998E-2</c:v>
                </c:pt>
                <c:pt idx="24">
                  <c:v>5.9700000000000003E-2</c:v>
                </c:pt>
                <c:pt idx="25">
                  <c:v>5.6899999999999999E-2</c:v>
                </c:pt>
                <c:pt idx="26">
                  <c:v>5.4399999999999997E-2</c:v>
                </c:pt>
                <c:pt idx="27">
                  <c:v>5.3800000000000001E-2</c:v>
                </c:pt>
                <c:pt idx="28">
                  <c:v>5.3100000000000001E-2</c:v>
                </c:pt>
                <c:pt idx="29">
                  <c:v>5.3100000000000001E-2</c:v>
                </c:pt>
                <c:pt idx="30">
                  <c:v>5.3100000000000001E-2</c:v>
                </c:pt>
                <c:pt idx="31">
                  <c:v>5.2999999999999999E-2</c:v>
                </c:pt>
                <c:pt idx="32">
                  <c:v>5.3199999999999997E-2</c:v>
                </c:pt>
                <c:pt idx="33">
                  <c:v>5.3199999999999997E-2</c:v>
                </c:pt>
                <c:pt idx="34">
                  <c:v>5.4600000000000003E-2</c:v>
                </c:pt>
                <c:pt idx="35">
                  <c:v>5.4699999999999999E-2</c:v>
                </c:pt>
                <c:pt idx="36">
                  <c:v>5.4800000000000001E-2</c:v>
                </c:pt>
                <c:pt idx="37">
                  <c:v>5.5800000000000002E-2</c:v>
                </c:pt>
                <c:pt idx="38">
                  <c:v>5.6399999999999999E-2</c:v>
                </c:pt>
                <c:pt idx="39">
                  <c:v>5.6099999999999997E-2</c:v>
                </c:pt>
                <c:pt idx="40">
                  <c:v>5.5800000000000002E-2</c:v>
                </c:pt>
                <c:pt idx="41">
                  <c:v>5.57E-2</c:v>
                </c:pt>
                <c:pt idx="42">
                  <c:v>5.5E-2</c:v>
                </c:pt>
                <c:pt idx="43">
                  <c:v>5.5100000000000003E-2</c:v>
                </c:pt>
                <c:pt idx="44">
                  <c:v>5.4199999999999998E-2</c:v>
                </c:pt>
                <c:pt idx="45">
                  <c:v>5.3699999999999998E-2</c:v>
                </c:pt>
                <c:pt idx="46">
                  <c:v>5.3499999999999999E-2</c:v>
                </c:pt>
                <c:pt idx="47">
                  <c:v>5.33E-2</c:v>
                </c:pt>
                <c:pt idx="48">
                  <c:v>5.3100000000000001E-2</c:v>
                </c:pt>
                <c:pt idx="49">
                  <c:v>5.2699999999999997E-2</c:v>
                </c:pt>
                <c:pt idx="50">
                  <c:v>5.2299999999999999E-2</c:v>
                </c:pt>
                <c:pt idx="51">
                  <c:v>5.2200000000000003E-2</c:v>
                </c:pt>
                <c:pt idx="52">
                  <c:v>5.2299999999999999E-2</c:v>
                </c:pt>
                <c:pt idx="53" formatCode="0.00%">
                  <c:v>5.2600000000000001E-2</c:v>
                </c:pt>
                <c:pt idx="54" formatCode="0.00%">
                  <c:v>5.3100000000000001E-2</c:v>
                </c:pt>
                <c:pt idx="55" formatCode="0.00%">
                  <c:v>5.3400000000000003E-2</c:v>
                </c:pt>
                <c:pt idx="56" formatCode="0.00%">
                  <c:v>5.3100000000000001E-2</c:v>
                </c:pt>
                <c:pt idx="57" formatCode="0.00%">
                  <c:v>5.3100000000000001E-2</c:v>
                </c:pt>
                <c:pt idx="58" formatCode="0.00%">
                  <c:v>5.3100000000000001E-2</c:v>
                </c:pt>
                <c:pt idx="59" formatCode="0.00%">
                  <c:v>5.2999999999999999E-2</c:v>
                </c:pt>
                <c:pt idx="60" formatCode="0.00%">
                  <c:v>5.2300000000000006E-2</c:v>
                </c:pt>
                <c:pt idx="61" formatCode="0.00%">
                  <c:v>5.21E-2</c:v>
                </c:pt>
                <c:pt idx="62" formatCode="0.00%">
                  <c:v>5.2000000000000005E-2</c:v>
                </c:pt>
                <c:pt idx="63" formatCode="0.00%">
                  <c:v>5.21E-2</c:v>
                </c:pt>
                <c:pt idx="64" formatCode="0.00%">
                  <c:v>5.2199999999999996E-2</c:v>
                </c:pt>
                <c:pt idx="65" formatCode="0.00%">
                  <c:v>5.2400000000000002E-2</c:v>
                </c:pt>
              </c:numCache>
            </c:numRef>
          </c:val>
          <c:smooth val="0"/>
        </c:ser>
        <c:dLbls>
          <c:showLegendKey val="0"/>
          <c:showVal val="0"/>
          <c:showCatName val="0"/>
          <c:showSerName val="0"/>
          <c:showPercent val="0"/>
          <c:showBubbleSize val="0"/>
        </c:dLbls>
        <c:smooth val="0"/>
        <c:axId val="297243776"/>
        <c:axId val="297239464"/>
      </c:lineChart>
      <c:dateAx>
        <c:axId val="297243776"/>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7239464"/>
        <c:crosses val="autoZero"/>
        <c:auto val="1"/>
        <c:lblOffset val="100"/>
        <c:baseTimeUnit val="months"/>
      </c:dateAx>
      <c:valAx>
        <c:axId val="297239464"/>
        <c:scaling>
          <c:orientation val="minMax"/>
          <c:min val="5.000000000000001E-2"/>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Rendimientos</a:t>
                </a:r>
              </a:p>
            </c:rich>
          </c:tx>
          <c:layout>
            <c:manualLayout>
              <c:xMode val="edge"/>
              <c:yMode val="edge"/>
              <c:x val="2.0172910662824207E-2"/>
              <c:y val="0.2795157963114142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E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7243776"/>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Lograr que el personal desarrolle las competencias idóneas para el cumplimiento adecuado de sus funciones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4117C8289EC6846922D7AD0AE758DB1" ma:contentTypeVersion="0" ma:contentTypeDescription="Crear nuevo documento." ma:contentTypeScope="" ma:versionID="9c6943234a1a8c49b6905554d0a6e4e0">
  <xsd:schema xmlns:xsd="http://www.w3.org/2001/XMLSchema" xmlns:xs="http://www.w3.org/2001/XMLSchema" xmlns:p="http://schemas.microsoft.com/office/2006/metadata/properties" targetNamespace="http://schemas.microsoft.com/office/2006/metadata/properties" ma:root="true" ma:fieldsID="5ab8db0757c30d72a04c74335ca96c0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b:Source>
    <b:Tag>Gar09</b:Tag>
    <b:SourceType>DocumentFromInternetSite</b:SourceType>
    <b:Guid>{703A66C1-33A3-4350-AFA0-4347E4E4105E}</b:Guid>
    <b:Title>Gartner.com</b:Title>
    <b:Year>2009</b:Year>
    <b:Author>
      <b:Author>
        <b:Corporate>Gartner, Inc.</b:Corporate>
      </b:Author>
      <b:Editor>
        <b:NameList>
          <b:Person>
            <b:Last>Aron</b:Last>
            <b:First>Dave</b:First>
          </b:Person>
        </b:NameList>
      </b:Editor>
    </b:Author>
    <b:Month>Marzo</b:Month>
    <b:Day>01</b:Day>
    <b:YearAccessed>2014</b:YearAccessed>
    <b:URL>http://www.gartner.com/document/900912?ref=lib</b:URL>
    <b:ShortTitle>IT Strategy: A CIO Success Kit</b:ShortTitle>
    <b:StandardNumber>G00166022</b:StandardNumber>
    <b:RefOrder>2</b:RefOrder>
  </b:Source>
  <b:Source>
    <b:Tag>Gar</b:Tag>
    <b:SourceType>DocumentFromInternetSite</b:SourceType>
    <b:Guid>{6978CC06-20AD-444F-9BF5-8CBEE4092D58}</b:Guid>
    <b:Author>
      <b:Author>
        <b:Corporate>Gartner, Inc.</b:Corporate>
      </b:Author>
      <b:Editor>
        <b:NameList>
          <b:Person>
            <b:Last>Weldon</b:Last>
            <b:First>Lee</b:First>
          </b:Person>
          <b:Person>
            <b:Last>Colella</b:Last>
            <b:First>Heather</b:First>
          </b:Person>
        </b:NameList>
      </b:Editor>
    </b:Author>
    <b:Title>Gartner.com</b:Title>
    <b:Year>2013</b:Year>
    <b:Month>Octubre</b:Month>
    <b:Day>07</b:Day>
    <b:YearAccessed>2014</b:YearAccessed>
    <b:URL>http://www.gartner.com/document/2602615</b:URL>
    <b:ShortTitle>The Five Characteristics of a New Breed of CIO</b:ShortTitle>
    <b:StandardNumber>G00248210</b:StandardNumber>
    <b:RefOrder>3</b:RefOrder>
  </b:Source>
  <b:Source>
    <b:Tag>Gar14</b:Tag>
    <b:SourceType>DocumentFromInternetSite</b:SourceType>
    <b:Guid>{92871AC5-3AEB-463C-AE14-F4C27B4A9FBE}</b:Guid>
    <b:Author>
      <b:Author>
        <b:Corporate>Gartner, Inc.</b:Corporate>
      </b:Author>
      <b:Editor>
        <b:NameList>
          <b:Person>
            <b:Last>Nunno</b:Last>
            <b:First>Tina</b:First>
          </b:Person>
          <b:Person>
            <b:Last>Swanton</b:Last>
            <b:First>Bill</b:First>
          </b:Person>
        </b:NameList>
      </b:Editor>
    </b:Author>
    <b:Title>Gartner.com</b:Title>
    <b:Year>2014</b:Year>
    <b:Month>Abril</b:Month>
    <b:Day>10</b:Day>
    <b:YearAccessed>2014</b:YearAccessed>
    <b:URL>http://www.gartner.com/document/2706417</b:URL>
    <b:ShortTitle>Governance; CIO Desk Reference Chapter 8, Updated Q4 2013</b:ShortTitle>
    <b:StandardNumber>G00263900</b:StandardNumber>
    <b:RefOrder>4</b:RefOrder>
  </b:Source>
  <b:Source>
    <b:Tag>Gar13</b:Tag>
    <b:SourceType>DocumentFromInternetSite</b:SourceType>
    <b:Guid>{09812B1E-3A7E-410A-8CFA-F230066EB906}</b:Guid>
    <b:Title>Gartner.com</b:Title>
    <b:Year>2013</b:Year>
    <b:Month>Julio</b:Month>
    <b:Day>26</b:Day>
    <b:YearAccessed>2014</b:YearAccessed>
    <b:URL>http://www.gartner.com/document/2561119</b:URL>
    <b:Author>
      <b:Author>
        <b:Corporate>Gartner, Inc.</b:Corporate>
      </b:Author>
      <b:Editor>
        <b:NameList>
          <b:Person>
            <b:Last>Mesaglio</b:Last>
            <b:First>Mary</b:First>
          </b:Person>
          <b:Person>
            <b:Last>Ruggero</b:Last>
            <b:First>Jose</b:First>
            <b:Middle>A.</b:Middle>
          </b:Person>
        </b:NameList>
      </b:Editor>
    </b:Author>
    <b:ShortTitle>Gartner's Guide to Creating World-Class IT Principles</b:ShortTitle>
    <b:StandardNumber>G00253902</b:StandardNumber>
    <b:RefOrder>5</b:RefOrder>
  </b:Source>
  <b:Source>
    <b:Tag>Gar131</b:Tag>
    <b:SourceType>DocumentFromInternetSite</b:SourceType>
    <b:Guid>{596B9B67-C532-4BDC-844B-517875338EE5}</b:Guid>
    <b:Title>Gartner.com</b:Title>
    <b:Year>2013</b:Year>
    <b:Month>Noviembre</b:Month>
    <b:Day>22</b:Day>
    <b:YearAccessed>2014</b:YearAccessed>
    <b:URL>http://www.gartner.com/document/2628719</b:URL>
    <b:Author>
      <b:Author>
        <b:Corporate>Gartner, Inc.</b:Corporate>
      </b:Author>
      <b:Editor>
        <b:NameList>
          <b:Person>
            <b:Last>Dreyfuss</b:Last>
            <b:First>Cassio</b:First>
          </b:Person>
        </b:NameList>
      </b:Editor>
    </b:Author>
    <b:ShortTitle>IT Strategic Planning: The Right Time to Review and Improve Your IT Service Model</b:ShortTitle>
    <b:StandardNumber>G00256441</b:StandardNumber>
    <b:RefOrder>6</b:RefOrder>
  </b:Source>
  <b:Source>
    <b:Tag>Gar12</b:Tag>
    <b:SourceType>DocumentFromInternetSite</b:SourceType>
    <b:Guid>{83B89480-D640-417F-955F-49C7D95E2D91}</b:Guid>
    <b:Title>Gartner.com</b:Title>
    <b:Year>2012</b:Year>
    <b:Author>
      <b:Author>
        <b:Corporate>Gartner, Inc.</b:Corporate>
      </b:Author>
      <b:Editor>
        <b:NameList>
          <b:Person>
            <b:Last>Gomolski</b:Last>
            <b:First>Barbara</b:First>
          </b:Person>
        </b:NameList>
      </b:Editor>
    </b:Author>
    <b:Month>Abril</b:Month>
    <b:Day>27</b:Day>
    <b:YearAccessed>2014</b:YearAccessed>
    <b:URL>http://www.gartner.com/document/1998216</b:URL>
    <b:ShortTitle>Key Concepts in IT Financial Management: Funding, Costing, Pricing and Chargeback</b:ShortTitle>
    <b:StandardNumber>G00232787</b:StandardNumber>
    <b:RefOrder>7</b:RefOrder>
  </b:Source>
  <b:Source>
    <b:Tag>Gar11</b:Tag>
    <b:SourceType>DocumentFromInternetSite</b:SourceType>
    <b:Guid>{4A8D7571-022F-4A77-B11D-C0CB14E897C3}</b:Guid>
    <b:Title>Gartner.com</b:Title>
    <b:Year>2011</b:Year>
    <b:Month>Marzo</b:Month>
    <b:Day>28</b:Day>
    <b:YearAccessed>2014</b:YearAccessed>
    <b:URL>http://www.gartner.com/document/1607414</b:URL>
    <b:Author>
      <b:Author>
        <b:Corporate>Gartner, Inc.</b:Corporate>
      </b:Author>
      <b:Editor>
        <b:NameList>
          <b:Person>
            <b:Last>Sheperd</b:Last>
            <b:First>Jim</b:First>
          </b:Person>
        </b:NameList>
      </b:Editor>
    </b:Author>
    <b:ShortTitle>How to Get Started With a Pace-Layered Application Strategy</b:ShortTitle>
    <b:StandardNumber>G00211245</b:StandardNumber>
    <b:RefOrder>8</b:RefOrder>
  </b:Source>
  <b:Source>
    <b:Tag>Gar10</b:Tag>
    <b:SourceType>DocumentFromInternetSite</b:SourceType>
    <b:Guid>{7ECE0F45-6132-4E52-8FCD-45CDC61E6C8B}</b:Guid>
    <b:Title>Gartner.com</b:Title>
    <b:Year>2010</b:Year>
    <b:Month>Julio</b:Month>
    <b:Day>19</b:Day>
    <b:YearAccessed>2014</b:YearAccessed>
    <b:URL>http://www.gartner.com/document/1403814</b:URL>
    <b:Author>
      <b:Author>
        <b:Corporate>Gartner, Inc.</b:Corporate>
      </b:Author>
      <b:Editor>
        <b:NameList>
          <b:Person>
            <b:Last>Duggan</b:Last>
            <b:First>Jim</b:First>
          </b:Person>
        </b:NameList>
      </b:Editor>
    </b:Author>
    <b:ShortTitle>Application Portfolio Triage: TIME for APM</b:ShortTitle>
    <b:StandardNumber>G00205218</b:StandardNumber>
    <b:RefOrder>9</b:RefOrder>
  </b:Source>
  <b:Source>
    <b:Tag>Gar142</b:Tag>
    <b:SourceType>DocumentFromInternetSite</b:SourceType>
    <b:Guid>{F16B33A1-13D5-4C07-BE01-925101F7C461}</b:Guid>
    <b:Title>Gartner.com</b:Title>
    <b:Year>2014</b:Year>
    <b:Month>Noviembre</b:Month>
    <b:Day>26</b:Day>
    <b:YearAccessed>2014</b:YearAccessed>
    <b:URL>http://www.gartner.com/document/2925717</b:URL>
    <b:Author>
      <b:Author>
        <b:Corporate>Gartner, Inc.</b:Corporate>
      </b:Author>
      <b:Editor>
        <b:NameList>
          <b:Person>
            <b:Last>Mangi</b:Last>
            <b:First>Luis</b:First>
            <b:Middle>Claudio</b:Middle>
          </b:Person>
        </b:NameList>
      </b:Editor>
    </b:Author>
    <b:ShortTitle>Use IT Capability Modeling to Build a High-Performing IT Organization</b:ShortTitle>
    <b:StandardNumber>G00266861</b:StandardNumber>
    <b:RefOrder>10</b:RefOrder>
  </b:Source>
  <b:Source>
    <b:Tag>SUG13</b:Tag>
    <b:SourceType>Report</b:SourceType>
    <b:Guid>{F8716C9A-5738-4ACC-966A-1D158B769763}</b:Guid>
    <b:Author>
      <b:Author>
        <b:Corporate>SUGESE</b:Corporate>
      </b:Author>
    </b:Author>
    <b:Title>Plan Estratégico Institucional 2014-2018</b:Title>
    <b:Year>2013</b:Year>
    <b:Institution>Superintendencia General de Seguros de Costa Rica</b:Institution>
    <b:RefOrder>11</b:RefOrder>
  </b:Source>
  <b:Source>
    <b:Tag>SUG141</b:Tag>
    <b:SourceType>Report</b:SourceType>
    <b:Guid>{CC296BCD-F7CC-4189-B81C-2DB1FF7C90BE}</b:Guid>
    <b:Author>
      <b:Author>
        <b:Corporate>SUGEVAL</b:Corporate>
      </b:Author>
    </b:Author>
    <b:Title>Plan Estratégico 2014-2017</b:Title>
    <b:Year>2014</b:Year>
    <b:Institution>Superintendencia General de Valores de Costa Rica</b:Institution>
    <b:RefOrder>12</b:RefOrder>
  </b:Source>
  <b:Source>
    <b:Tag>SUG14</b:Tag>
    <b:SourceType>Report</b:SourceType>
    <b:Guid>{6039C6AF-08FC-4BDB-B3B7-2FFC72D5045E}</b:Guid>
    <b:Author>
      <b:Author>
        <b:Corporate>SUGEF</b:Corporate>
      </b:Author>
    </b:Author>
    <b:Title>Plan Estratégico 2013-2017</b:Title>
    <b:Year>2014</b:Year>
    <b:Institution>Superintendencia General de Entidades Financieras de Costa Rica</b:Institution>
    <b:RefOrder>13</b:RefOrder>
  </b:Source>
  <b:Source>
    <b:Tag>Gar141</b:Tag>
    <b:SourceType>Report</b:SourceType>
    <b:Guid>{DFCE99E0-8364-4EC0-AD8A-7F91B9D7E86A}</b:Guid>
    <b:Title>IT Score for Enterprise Architecture para BCCR</b:Title>
    <b:Year>2014</b:Year>
    <b:Author>
      <b:Author>
        <b:Corporate>Gartner, Inc.</b:Corporate>
      </b:Author>
    </b:Author>
    <b:Department>División de Servicios Tecnológicos</b:Department>
    <b:Institution>Banco Central de Costa Rica</b:Institution>
    <b:RefOrder>14</b:RefOrder>
  </b:Source>
  <b:Source>
    <b:Tag>SUP14</b:Tag>
    <b:SourceType>Report</b:SourceType>
    <b:Guid>{27D97E4B-1AE7-495C-93EE-CE0FF00DBB3B}</b:Guid>
    <b:Author>
      <b:Author>
        <b:Corporate>SUPEN</b:Corporate>
      </b:Author>
    </b:Author>
    <b:Title>Plan Estratégico Institucional 2011-2015</b:Title>
    <b:Year>2014</b:Year>
    <b:Institution>Superintendencia de Pensiones de Costa Rica</b:Institution>
    <b:RefOrder>15</b:RefOrder>
  </b:Source>
  <b:Source>
    <b:Tag>BCC</b:Tag>
    <b:SourceType>Report</b:SourceType>
    <b:Guid>{F37DEF7A-1E51-445F-A610-E9F7D26BF25C}</b:Guid>
    <b:Author>
      <b:Author>
        <b:Corporate>BCCR</b:Corporate>
      </b:Author>
    </b:Author>
    <b:Title>Constitución del Comité Estratégico de Tecnologías de Información</b:Title>
    <b:Department>División de Servicios Tecnológicos</b:Department>
    <b:Institution>Banco Central de Costa Rica</b:Institution>
    <b:Year>2014</b:Year>
    <b:RefOrder>16</b:RefOrder>
  </b:Source>
  <b:Source>
    <b:Tag>BCC14</b:Tag>
    <b:SourceType>Report</b:SourceType>
    <b:Guid>{E9E6EAEF-E07E-48BE-B3F1-11FE2B53D359}</b:Guid>
    <b:Title>Artículo 10, acta de sesión 1092-2014 de Junta Directiva del BCCR</b:Title>
    <b:Year>2014</b:Year>
    <b:Author>
      <b:Author>
        <b:Corporate>CONASSIF</b:Corporate>
      </b:Author>
    </b:Author>
    <b:Month>Febrero</b:Month>
    <b:Day>25</b:Day>
    <b:Institution>Consejo Nacional de Supervisión del Sistema Financiero</b:Institution>
    <b:RefOrder>17</b:RefOrder>
  </b:Source>
  <b:Source>
    <b:Tag>Gar08</b:Tag>
    <b:SourceType>DocumentFromInternetSite</b:SourceType>
    <b:Guid>{E3AAA9B8-0046-4F7F-A73F-8D3A9A8F78E2}</b:Guid>
    <b:Title>Gartner.com</b:Title>
    <b:Year>2008</b:Year>
    <b:Month>Mayo</b:Month>
    <b:Day>16</b:Day>
    <b:YearAccessed>2014</b:YearAccessed>
    <b:URL>http://www.gartner.com/document/672507</b:URL>
    <b:Author>
      <b:Author>
        <b:Corporate>Gartner, Inc.</b:Corporate>
      </b:Author>
      <b:Editor>
        <b:NameList>
          <b:Person>
            <b:Last>Hunter</b:Last>
            <b:First>Richard</b:First>
          </b:Person>
          <b:Person>
            <b:Last>Apfel</b:Last>
            <b:First>Audrey</b:First>
            <b:Middle>L.</b:Middle>
          </b:Person>
          <b:Person>
            <b:Last>McGee</b:Last>
            <b:First>Ken</b:First>
          </b:Person>
          <b:Person>
            <b:Last>Handler</b:Last>
            <b:First>Robert</b:First>
            <b:Middle>A.</b:Middle>
          </b:Person>
          <b:Person>
            <b:Last>Dreyfuss</b:Last>
            <b:First>Cassio</b:First>
          </b:Person>
          <b:Person>
            <b:Last>Smith</b:Last>
            <b:First>Michael</b:First>
          </b:Person>
          <b:Person>
            <b:Last>Maurer</b:Last>
            <b:First>William</b:First>
          </b:Person>
        </b:NameList>
      </b:Editor>
    </b:Author>
    <b:ShortTitle>A Simple Framework to Translate IT Benefits Into Business Value Impact</b:ShortTitle>
    <b:StandardNumber>G00156986</b:StandardNumber>
    <b:RefOrder>18</b:RefOrder>
  </b:Source>
  <b:Source>
    <b:Tag>Gar05</b:Tag>
    <b:SourceType>DocumentFromInternetSite</b:SourceType>
    <b:Guid>{D8ACA69F-4DF7-4EF4-9963-DCAED8795503}</b:Guid>
    <b:Author>
      <b:Author>
        <b:NameList>
          <b:Person>
            <b:Last>Gartner</b:Last>
            <b:First>Inc.</b:First>
          </b:Person>
        </b:NameList>
      </b:Author>
      <b:Editor>
        <b:NameList>
          <b:Person>
            <b:Last>Mieritz</b:Last>
            <b:First>Lars</b:First>
          </b:Person>
          <b:Person>
            <b:Last>Kirwin</b:Last>
            <b:First>Bill</b:First>
          </b:Person>
        </b:NameList>
      </b:Editor>
    </b:Author>
    <b:Title>Gartner.com</b:Title>
    <b:Year>2005</b:Year>
    <b:Month>Diciembre</b:Month>
    <b:Day>08</b:Day>
    <b:YearAccessed>2015</b:YearAccessed>
    <b:URL>http://www.gartner.com/document/487157</b:URL>
    <b:ShortTitle>Defining Gartner Total Cost of Ownership</b:ShortTitle>
    <b:StandardNumber>G00131837</b:StandardNumber>
    <b:RefOrder>19</b:RefOrder>
  </b:Source>
  <b:Source>
    <b:Tag>Gar132</b:Tag>
    <b:SourceType>DocumentFromInternetSite</b:SourceType>
    <b:Guid>{5708DB8C-96D1-4B6F-B970-290FFE79E143}</b:Guid>
    <b:Title>Gartner.com</b:Title>
    <b:Year>2013</b:Year>
    <b:Month>Marzo</b:Month>
    <b:Day>20</b:Day>
    <b:YearAccessed>2015</b:YearAccessed>
    <b:URL>http://www.gartner.com/document/2379317</b:URL>
    <b:Author>
      <b:Author>
        <b:NameList>
          <b:Person>
            <b:Last>Gartner</b:Last>
            <b:First>Inc.</b:First>
          </b:Person>
        </b:NameList>
      </b:Author>
      <b:Editor>
        <b:NameList>
          <b:Person>
            <b:Last>Smith</b:Last>
            <b:First>Michael</b:First>
          </b:Person>
          <b:Person>
            <b:Last>Proctor</b:Last>
            <b:First>Paul E</b:First>
          </b:Person>
        </b:NameList>
      </b:Editor>
    </b:Author>
    <b:ShortTitle>The Gartner Business Value Model: A Framework for Measuring Business Performance</b:ShortTitle>
    <b:StandardNumber>G00249947</b:StandardNumber>
    <b:RefOrder>20</b:RefOrder>
  </b:Source>
  <b:Source>
    <b:Tag>BCC141</b:Tag>
    <b:SourceType>ElectronicSource</b:SourceType>
    <b:Guid>{5DEA038C-88A1-4CE8-80E4-4DA0ED44B1DB}</b:Guid>
    <b:Author>
      <b:Author>
        <b:Corporate>BCCR</b:Corporate>
      </b:Author>
    </b:Author>
    <b:Title>Plan Estratégico del Banco Central de Costa Rica (2015-2018)</b:Title>
    <b:Year>2014</b:Yea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67A4CA-7CCF-40A6-BCD7-3D6F24B14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F1D9DC2-3D73-4A49-AC26-36074649F046}">
  <ds:schemaRefs>
    <ds:schemaRef ds:uri="http://schemas.microsoft.com/office/2006/metadata/properties"/>
  </ds:schemaRefs>
</ds:datastoreItem>
</file>

<file path=customXml/itemProps4.xml><?xml version="1.0" encoding="utf-8"?>
<ds:datastoreItem xmlns:ds="http://schemas.openxmlformats.org/officeDocument/2006/customXml" ds:itemID="{1475168B-A0F4-408E-B15B-D32A2D22C763}">
  <ds:schemaRefs>
    <ds:schemaRef ds:uri="http://schemas.microsoft.com/sharepoint/v3/contenttype/forms"/>
  </ds:schemaRefs>
</ds:datastoreItem>
</file>

<file path=customXml/itemProps5.xml><?xml version="1.0" encoding="utf-8"?>
<ds:datastoreItem xmlns:ds="http://schemas.openxmlformats.org/officeDocument/2006/customXml" ds:itemID="{9C93B818-1A79-45FF-9110-6ACB113EB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137</Pages>
  <Words>34230</Words>
  <Characters>188269</Characters>
  <Application>Microsoft Office Word</Application>
  <DocSecurity>0</DocSecurity>
  <Lines>1568</Lines>
  <Paragraphs>444</Paragraphs>
  <ScaleCrop>false</ScaleCrop>
  <HeadingPairs>
    <vt:vector size="2" baseType="variant">
      <vt:variant>
        <vt:lpstr>Título</vt:lpstr>
      </vt:variant>
      <vt:variant>
        <vt:i4>1</vt:i4>
      </vt:variant>
    </vt:vector>
  </HeadingPairs>
  <TitlesOfParts>
    <vt:vector size="1" baseType="lpstr">
      <vt:lpstr>Plan Anual de Capacitación Institucional 2016</vt:lpstr>
    </vt:vector>
  </TitlesOfParts>
  <Company>Superintendencia de Pensiones</Company>
  <LinksUpToDate>false</LinksUpToDate>
  <CharactersWithSpaces>222055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Anual de Capacitación Institucional 2016</dc:title>
  <dc:creator>ariasgj</dc:creator>
  <cp:lastModifiedBy>José Arias González</cp:lastModifiedBy>
  <cp:revision>6</cp:revision>
  <cp:lastPrinted>2015-10-08T16:44:00Z</cp:lastPrinted>
  <dcterms:created xsi:type="dcterms:W3CDTF">2016-02-03T14:49:00Z</dcterms:created>
  <dcterms:modified xsi:type="dcterms:W3CDTF">2016-02-03T14:59:00Z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0x010100F4117C8289EC6846922D7AD0AE758DB1</vt:lpwstr>
  </property>
  <property fmtid="{D5CDD505-2E9C-101B-9397-08002B2CF9AE}" pid="3" name="IsMyDocuments">
    <vt:bool>true</vt:bool>
  </property>
</Properties>
</file>