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87962"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bookmarkStart w:id="0" w:name="_GoBack"/>
      <w:bookmarkEnd w:id="0"/>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5442"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787962"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787962">
        <w:rPr>
          <w:rFonts w:asciiTheme="minorHAnsi" w:hAnsiTheme="minorHAnsi" w:cstheme="minorHAnsi"/>
          <w:b/>
          <w:i/>
          <w:color w:val="000080"/>
          <w:sz w:val="40"/>
          <w:szCs w:val="40"/>
          <w:lang w:val="es-CR"/>
        </w:rPr>
        <w:t xml:space="preserve">Superintendencia </w:t>
      </w:r>
      <w:r w:rsidR="00673A4E" w:rsidRPr="00787962">
        <w:rPr>
          <w:rFonts w:asciiTheme="minorHAnsi" w:hAnsiTheme="minorHAnsi" w:cstheme="minorHAnsi"/>
          <w:b/>
          <w:i/>
          <w:color w:val="000080"/>
          <w:sz w:val="40"/>
          <w:szCs w:val="40"/>
          <w:lang w:val="es-CR"/>
        </w:rPr>
        <w:t>de Pensiones</w:t>
      </w:r>
      <w:bookmarkEnd w:id="1"/>
      <w:bookmarkEnd w:id="2"/>
    </w:p>
    <w:p w14:paraId="64DC7282" w14:textId="2B201A1A"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5" w14:textId="77777777" w:rsidR="00250EE1" w:rsidRPr="00787962" w:rsidRDefault="00250EE1" w:rsidP="0075610E">
      <w:pPr>
        <w:spacing w:line="288" w:lineRule="auto"/>
        <w:ind w:left="567" w:right="618" w:firstLine="2"/>
        <w:rPr>
          <w:rFonts w:asciiTheme="minorHAnsi" w:hAnsiTheme="minorHAnsi" w:cstheme="minorHAnsi"/>
          <w:lang w:val="es-CR"/>
        </w:rPr>
      </w:pPr>
    </w:p>
    <w:p w14:paraId="64DC7286"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7" w14:textId="77777777" w:rsidR="00C756F7" w:rsidRPr="00787962"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787962"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787962"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4B055056" w:rsidR="00E47859" w:rsidRPr="00EC6F01"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EC6F01">
        <w:rPr>
          <w:rFonts w:asciiTheme="minorHAnsi" w:hAnsiTheme="minorHAnsi" w:cstheme="minorHAnsi"/>
          <w:b/>
          <w:color w:val="000080"/>
          <w:sz w:val="56"/>
          <w:szCs w:val="52"/>
          <w:lang w:val="es-CR"/>
        </w:rPr>
        <w:t xml:space="preserve">INFORME DE </w:t>
      </w:r>
      <w:r w:rsidR="00A06D37" w:rsidRPr="00EC6F01">
        <w:rPr>
          <w:rFonts w:asciiTheme="minorHAnsi" w:hAnsiTheme="minorHAnsi" w:cstheme="minorHAnsi"/>
          <w:b/>
          <w:color w:val="000080"/>
          <w:sz w:val="56"/>
          <w:szCs w:val="52"/>
          <w:lang w:val="es-CR"/>
        </w:rPr>
        <w:t>LIQUIDACIÓN</w:t>
      </w:r>
    </w:p>
    <w:p w14:paraId="64DC728A" w14:textId="4DDCFEBC" w:rsidR="00E47859" w:rsidRPr="00787962"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EC6F01">
        <w:rPr>
          <w:rFonts w:asciiTheme="minorHAnsi" w:hAnsiTheme="minorHAnsi" w:cstheme="minorHAnsi"/>
          <w:b/>
          <w:color w:val="000080"/>
          <w:sz w:val="56"/>
          <w:szCs w:val="52"/>
          <w:lang w:val="es-CR"/>
        </w:rPr>
        <w:t>PRESUPUESTARIA</w:t>
      </w:r>
    </w:p>
    <w:p w14:paraId="64DC728B" w14:textId="77777777" w:rsidR="00D47BAD" w:rsidRPr="00787962"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297BB55A" w:rsidR="00C756F7" w:rsidRPr="00EC6F01"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EC6F01">
        <w:rPr>
          <w:rFonts w:asciiTheme="minorHAnsi" w:hAnsiTheme="minorHAnsi" w:cstheme="minorHAnsi"/>
          <w:b/>
          <w:smallCaps/>
          <w:color w:val="000080"/>
          <w:sz w:val="96"/>
          <w:szCs w:val="52"/>
          <w:lang w:val="es-CR"/>
        </w:rPr>
        <w:t>20</w:t>
      </w:r>
      <w:r w:rsidR="00EC142B" w:rsidRPr="00EC6F01">
        <w:rPr>
          <w:rFonts w:asciiTheme="minorHAnsi" w:hAnsiTheme="minorHAnsi" w:cstheme="minorHAnsi"/>
          <w:b/>
          <w:smallCaps/>
          <w:color w:val="000080"/>
          <w:sz w:val="96"/>
          <w:szCs w:val="52"/>
          <w:lang w:val="es-CR"/>
        </w:rPr>
        <w:t>1</w:t>
      </w:r>
      <w:r w:rsidR="009E6B77" w:rsidRPr="00EC6F01">
        <w:rPr>
          <w:rFonts w:asciiTheme="minorHAnsi" w:hAnsiTheme="minorHAnsi" w:cstheme="minorHAnsi"/>
          <w:b/>
          <w:smallCaps/>
          <w:color w:val="000080"/>
          <w:sz w:val="96"/>
          <w:szCs w:val="52"/>
          <w:lang w:val="es-CR"/>
        </w:rPr>
        <w:t>7</w:t>
      </w:r>
    </w:p>
    <w:p w14:paraId="180F5DC8" w14:textId="77777777"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787962"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63EF6BEF" w:rsidR="00A2684C" w:rsidRPr="00787962" w:rsidRDefault="00A06D37"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Febrero</w:t>
      </w:r>
      <w:r w:rsidR="0046461B" w:rsidRPr="00787962">
        <w:rPr>
          <w:rFonts w:asciiTheme="minorHAnsi" w:hAnsiTheme="minorHAnsi" w:cstheme="minorHAnsi"/>
          <w:color w:val="000080"/>
          <w:sz w:val="36"/>
          <w:szCs w:val="36"/>
          <w:lang w:val="es-CR"/>
        </w:rPr>
        <w:t xml:space="preserve"> -</w:t>
      </w:r>
      <w:r w:rsidR="00F84E0F" w:rsidRPr="00787962">
        <w:rPr>
          <w:rFonts w:asciiTheme="minorHAnsi" w:hAnsiTheme="minorHAnsi" w:cstheme="minorHAnsi"/>
          <w:color w:val="000080"/>
          <w:sz w:val="36"/>
          <w:szCs w:val="36"/>
          <w:lang w:val="es-CR"/>
        </w:rPr>
        <w:t xml:space="preserve"> 201</w:t>
      </w:r>
      <w:r w:rsidR="00635D23">
        <w:rPr>
          <w:rFonts w:asciiTheme="minorHAnsi" w:hAnsiTheme="minorHAnsi" w:cstheme="minorHAnsi"/>
          <w:color w:val="000080"/>
          <w:sz w:val="36"/>
          <w:szCs w:val="36"/>
          <w:lang w:val="es-CR"/>
        </w:rPr>
        <w:t>8</w:t>
      </w:r>
    </w:p>
    <w:p w14:paraId="64DC7291" w14:textId="77777777" w:rsidR="00E47859" w:rsidRPr="00787962" w:rsidRDefault="00E47859" w:rsidP="00E47859">
      <w:pPr>
        <w:spacing w:line="288" w:lineRule="auto"/>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p w14:paraId="79A4438B" w14:textId="61C0C5B8" w:rsidR="006B5AC4" w:rsidRDefault="00A33FC2">
      <w:pPr>
        <w:pStyle w:val="TDC1"/>
        <w:rPr>
          <w:rFonts w:asciiTheme="minorHAnsi" w:eastAsiaTheme="minorEastAsia" w:hAnsiTheme="minorHAnsi" w:cstheme="minorBidi"/>
          <w:b w:val="0"/>
          <w:bCs w:val="0"/>
          <w:caps w:val="0"/>
          <w:noProof/>
          <w:sz w:val="22"/>
          <w:szCs w:val="22"/>
          <w:lang w:val="es-CR" w:eastAsia="es-CR"/>
        </w:rPr>
      </w:pPr>
      <w:r w:rsidRPr="00787962">
        <w:rPr>
          <w:rFonts w:asciiTheme="minorHAnsi" w:hAnsiTheme="minorHAnsi" w:cstheme="minorHAnsi"/>
          <w:lang w:val="es-CR"/>
        </w:rPr>
        <w:fldChar w:fldCharType="begin"/>
      </w:r>
      <w:r w:rsidR="00E47859" w:rsidRPr="00787962">
        <w:rPr>
          <w:rFonts w:asciiTheme="minorHAnsi" w:hAnsiTheme="minorHAnsi" w:cstheme="minorHAnsi"/>
          <w:lang w:val="es-CR"/>
        </w:rPr>
        <w:instrText xml:space="preserve"> TOC \o "1-6" \h \z \u </w:instrText>
      </w:r>
      <w:r w:rsidRPr="00787962">
        <w:rPr>
          <w:rFonts w:asciiTheme="minorHAnsi" w:hAnsiTheme="minorHAnsi" w:cstheme="minorHAnsi"/>
          <w:lang w:val="es-CR"/>
        </w:rPr>
        <w:fldChar w:fldCharType="separate"/>
      </w:r>
      <w:hyperlink w:anchor="_Toc504486207" w:history="1">
        <w:r w:rsidR="006B5AC4" w:rsidRPr="000A6174">
          <w:rPr>
            <w:rStyle w:val="Hipervnculo"/>
            <w:rFonts w:cstheme="minorHAnsi"/>
            <w:noProof/>
            <w:lang w:val="es-CR"/>
          </w:rPr>
          <w:t>PRESENTACIÓN</w:t>
        </w:r>
        <w:r w:rsidR="006B5AC4">
          <w:rPr>
            <w:noProof/>
            <w:webHidden/>
          </w:rPr>
          <w:tab/>
        </w:r>
        <w:r w:rsidR="006B5AC4">
          <w:rPr>
            <w:noProof/>
            <w:webHidden/>
          </w:rPr>
          <w:fldChar w:fldCharType="begin"/>
        </w:r>
        <w:r w:rsidR="006B5AC4">
          <w:rPr>
            <w:noProof/>
            <w:webHidden/>
          </w:rPr>
          <w:instrText xml:space="preserve"> PAGEREF _Toc504486207 \h </w:instrText>
        </w:r>
        <w:r w:rsidR="006B5AC4">
          <w:rPr>
            <w:noProof/>
            <w:webHidden/>
          </w:rPr>
        </w:r>
        <w:r w:rsidR="006B5AC4">
          <w:rPr>
            <w:noProof/>
            <w:webHidden/>
          </w:rPr>
          <w:fldChar w:fldCharType="separate"/>
        </w:r>
        <w:r w:rsidR="006B5AC4">
          <w:rPr>
            <w:noProof/>
            <w:webHidden/>
          </w:rPr>
          <w:t>4</w:t>
        </w:r>
        <w:r w:rsidR="006B5AC4">
          <w:rPr>
            <w:noProof/>
            <w:webHidden/>
          </w:rPr>
          <w:fldChar w:fldCharType="end"/>
        </w:r>
      </w:hyperlink>
    </w:p>
    <w:p w14:paraId="2DC013DF" w14:textId="4050D44F" w:rsidR="006B5AC4" w:rsidRDefault="00AD5E21">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504486208" w:history="1">
        <w:r w:rsidR="006B5AC4" w:rsidRPr="000A6174">
          <w:rPr>
            <w:rStyle w:val="Hipervnculo"/>
            <w:noProof/>
          </w:rPr>
          <w:t>i.</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Introducción</w:t>
        </w:r>
        <w:r w:rsidR="006B5AC4">
          <w:rPr>
            <w:noProof/>
            <w:webHidden/>
          </w:rPr>
          <w:tab/>
        </w:r>
        <w:r w:rsidR="006B5AC4">
          <w:rPr>
            <w:noProof/>
            <w:webHidden/>
          </w:rPr>
          <w:fldChar w:fldCharType="begin"/>
        </w:r>
        <w:r w:rsidR="006B5AC4">
          <w:rPr>
            <w:noProof/>
            <w:webHidden/>
          </w:rPr>
          <w:instrText xml:space="preserve"> PAGEREF _Toc504486208 \h </w:instrText>
        </w:r>
        <w:r w:rsidR="006B5AC4">
          <w:rPr>
            <w:noProof/>
            <w:webHidden/>
          </w:rPr>
        </w:r>
        <w:r w:rsidR="006B5AC4">
          <w:rPr>
            <w:noProof/>
            <w:webHidden/>
          </w:rPr>
          <w:fldChar w:fldCharType="separate"/>
        </w:r>
        <w:r w:rsidR="006B5AC4">
          <w:rPr>
            <w:noProof/>
            <w:webHidden/>
          </w:rPr>
          <w:t>5</w:t>
        </w:r>
        <w:r w:rsidR="006B5AC4">
          <w:rPr>
            <w:noProof/>
            <w:webHidden/>
          </w:rPr>
          <w:fldChar w:fldCharType="end"/>
        </w:r>
      </w:hyperlink>
    </w:p>
    <w:p w14:paraId="3CC72CE6" w14:textId="780DC4B4" w:rsidR="006B5AC4" w:rsidRDefault="00AD5E21">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504486209" w:history="1">
        <w:r w:rsidR="006B5AC4" w:rsidRPr="000A6174">
          <w:rPr>
            <w:rStyle w:val="Hipervnculo"/>
            <w:noProof/>
          </w:rPr>
          <w:t xml:space="preserve">ii. </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Objeto del informe</w:t>
        </w:r>
        <w:r w:rsidR="006B5AC4">
          <w:rPr>
            <w:noProof/>
            <w:webHidden/>
          </w:rPr>
          <w:tab/>
        </w:r>
        <w:r w:rsidR="006B5AC4">
          <w:rPr>
            <w:noProof/>
            <w:webHidden/>
          </w:rPr>
          <w:fldChar w:fldCharType="begin"/>
        </w:r>
        <w:r w:rsidR="006B5AC4">
          <w:rPr>
            <w:noProof/>
            <w:webHidden/>
          </w:rPr>
          <w:instrText xml:space="preserve"> PAGEREF _Toc504486209 \h </w:instrText>
        </w:r>
        <w:r w:rsidR="006B5AC4">
          <w:rPr>
            <w:noProof/>
            <w:webHidden/>
          </w:rPr>
        </w:r>
        <w:r w:rsidR="006B5AC4">
          <w:rPr>
            <w:noProof/>
            <w:webHidden/>
          </w:rPr>
          <w:fldChar w:fldCharType="separate"/>
        </w:r>
        <w:r w:rsidR="006B5AC4">
          <w:rPr>
            <w:noProof/>
            <w:webHidden/>
          </w:rPr>
          <w:t>5</w:t>
        </w:r>
        <w:r w:rsidR="006B5AC4">
          <w:rPr>
            <w:noProof/>
            <w:webHidden/>
          </w:rPr>
          <w:fldChar w:fldCharType="end"/>
        </w:r>
      </w:hyperlink>
    </w:p>
    <w:p w14:paraId="40125A0F" w14:textId="1E4A0EF7" w:rsidR="006B5AC4" w:rsidRDefault="00AD5E21">
      <w:pPr>
        <w:pStyle w:val="TDC1"/>
        <w:rPr>
          <w:rFonts w:asciiTheme="minorHAnsi" w:eastAsiaTheme="minorEastAsia" w:hAnsiTheme="minorHAnsi" w:cstheme="minorBidi"/>
          <w:b w:val="0"/>
          <w:bCs w:val="0"/>
          <w:caps w:val="0"/>
          <w:noProof/>
          <w:sz w:val="22"/>
          <w:szCs w:val="22"/>
          <w:lang w:val="es-CR" w:eastAsia="es-CR"/>
        </w:rPr>
      </w:pPr>
      <w:hyperlink w:anchor="_Toc504486210" w:history="1">
        <w:r w:rsidR="006B5AC4" w:rsidRPr="000A6174">
          <w:rPr>
            <w:rStyle w:val="Hipervnculo"/>
            <w:rFonts w:cstheme="minorHAnsi"/>
            <w:noProof/>
            <w:lang w:val="es-CR"/>
          </w:rPr>
          <w:t>1.</w:t>
        </w:r>
        <w:r w:rsidR="006B5AC4">
          <w:rPr>
            <w:rFonts w:asciiTheme="minorHAnsi" w:eastAsiaTheme="minorEastAsia" w:hAnsiTheme="minorHAnsi" w:cstheme="minorBidi"/>
            <w:b w:val="0"/>
            <w:bCs w:val="0"/>
            <w:caps w:val="0"/>
            <w:noProof/>
            <w:sz w:val="22"/>
            <w:szCs w:val="22"/>
            <w:lang w:val="es-CR" w:eastAsia="es-CR"/>
          </w:rPr>
          <w:tab/>
        </w:r>
        <w:r w:rsidR="006B5AC4" w:rsidRPr="000A6174">
          <w:rPr>
            <w:rStyle w:val="Hipervnculo"/>
            <w:rFonts w:cstheme="minorHAnsi"/>
            <w:noProof/>
            <w:lang w:val="es-CR"/>
          </w:rPr>
          <w:t>RESULTADOS DE LA LIQUIDACIÓN PRESUPUESTARIA</w:t>
        </w:r>
        <w:r w:rsidR="006B5AC4">
          <w:rPr>
            <w:noProof/>
            <w:webHidden/>
          </w:rPr>
          <w:tab/>
        </w:r>
        <w:r w:rsidR="006B5AC4">
          <w:rPr>
            <w:noProof/>
            <w:webHidden/>
          </w:rPr>
          <w:fldChar w:fldCharType="begin"/>
        </w:r>
        <w:r w:rsidR="006B5AC4">
          <w:rPr>
            <w:noProof/>
            <w:webHidden/>
          </w:rPr>
          <w:instrText xml:space="preserve"> PAGEREF _Toc504486210 \h </w:instrText>
        </w:r>
        <w:r w:rsidR="006B5AC4">
          <w:rPr>
            <w:noProof/>
            <w:webHidden/>
          </w:rPr>
        </w:r>
        <w:r w:rsidR="006B5AC4">
          <w:rPr>
            <w:noProof/>
            <w:webHidden/>
          </w:rPr>
          <w:fldChar w:fldCharType="separate"/>
        </w:r>
        <w:r w:rsidR="006B5AC4">
          <w:rPr>
            <w:noProof/>
            <w:webHidden/>
          </w:rPr>
          <w:t>6</w:t>
        </w:r>
        <w:r w:rsidR="006B5AC4">
          <w:rPr>
            <w:noProof/>
            <w:webHidden/>
          </w:rPr>
          <w:fldChar w:fldCharType="end"/>
        </w:r>
      </w:hyperlink>
    </w:p>
    <w:p w14:paraId="1B15B782" w14:textId="45CDC1C2"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1" w:history="1">
        <w:r w:rsidR="006B5AC4" w:rsidRPr="000A6174">
          <w:rPr>
            <w:rStyle w:val="Hipervnculo"/>
            <w:noProof/>
          </w:rPr>
          <w:t>1.1.</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Resumen de los ingresos y egresos ejecutados</w:t>
        </w:r>
        <w:r w:rsidR="006B5AC4">
          <w:rPr>
            <w:noProof/>
            <w:webHidden/>
          </w:rPr>
          <w:tab/>
        </w:r>
        <w:r w:rsidR="006B5AC4">
          <w:rPr>
            <w:noProof/>
            <w:webHidden/>
          </w:rPr>
          <w:fldChar w:fldCharType="begin"/>
        </w:r>
        <w:r w:rsidR="006B5AC4">
          <w:rPr>
            <w:noProof/>
            <w:webHidden/>
          </w:rPr>
          <w:instrText xml:space="preserve"> PAGEREF _Toc504486211 \h </w:instrText>
        </w:r>
        <w:r w:rsidR="006B5AC4">
          <w:rPr>
            <w:noProof/>
            <w:webHidden/>
          </w:rPr>
        </w:r>
        <w:r w:rsidR="006B5AC4">
          <w:rPr>
            <w:noProof/>
            <w:webHidden/>
          </w:rPr>
          <w:fldChar w:fldCharType="separate"/>
        </w:r>
        <w:r w:rsidR="006B5AC4">
          <w:rPr>
            <w:noProof/>
            <w:webHidden/>
          </w:rPr>
          <w:t>6</w:t>
        </w:r>
        <w:r w:rsidR="006B5AC4">
          <w:rPr>
            <w:noProof/>
            <w:webHidden/>
          </w:rPr>
          <w:fldChar w:fldCharType="end"/>
        </w:r>
      </w:hyperlink>
    </w:p>
    <w:p w14:paraId="2B2DC9B3" w14:textId="238ABAB9"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2" w:history="1">
        <w:r w:rsidR="006B5AC4" w:rsidRPr="000A6174">
          <w:rPr>
            <w:rStyle w:val="Hipervnculo"/>
            <w:noProof/>
          </w:rPr>
          <w:t>1.2.</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Detalle de la conformación del superávit</w:t>
        </w:r>
        <w:r w:rsidR="006B5AC4">
          <w:rPr>
            <w:noProof/>
            <w:webHidden/>
          </w:rPr>
          <w:tab/>
        </w:r>
        <w:r w:rsidR="006B5AC4">
          <w:rPr>
            <w:noProof/>
            <w:webHidden/>
          </w:rPr>
          <w:fldChar w:fldCharType="begin"/>
        </w:r>
        <w:r w:rsidR="006B5AC4">
          <w:rPr>
            <w:noProof/>
            <w:webHidden/>
          </w:rPr>
          <w:instrText xml:space="preserve"> PAGEREF _Toc504486212 \h </w:instrText>
        </w:r>
        <w:r w:rsidR="006B5AC4">
          <w:rPr>
            <w:noProof/>
            <w:webHidden/>
          </w:rPr>
        </w:r>
        <w:r w:rsidR="006B5AC4">
          <w:rPr>
            <w:noProof/>
            <w:webHidden/>
          </w:rPr>
          <w:fldChar w:fldCharType="separate"/>
        </w:r>
        <w:r w:rsidR="006B5AC4">
          <w:rPr>
            <w:noProof/>
            <w:webHidden/>
          </w:rPr>
          <w:t>6</w:t>
        </w:r>
        <w:r w:rsidR="006B5AC4">
          <w:rPr>
            <w:noProof/>
            <w:webHidden/>
          </w:rPr>
          <w:fldChar w:fldCharType="end"/>
        </w:r>
      </w:hyperlink>
    </w:p>
    <w:p w14:paraId="169F98D8" w14:textId="1E0677F4"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3" w:history="1">
        <w:r w:rsidR="006B5AC4" w:rsidRPr="000A6174">
          <w:rPr>
            <w:rStyle w:val="Hipervnculo"/>
            <w:noProof/>
          </w:rPr>
          <w:t>1.3.</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Monto del superávit libre o déficit</w:t>
        </w:r>
        <w:r w:rsidR="006B5AC4">
          <w:rPr>
            <w:noProof/>
            <w:webHidden/>
          </w:rPr>
          <w:tab/>
        </w:r>
        <w:r w:rsidR="006B5AC4">
          <w:rPr>
            <w:noProof/>
            <w:webHidden/>
          </w:rPr>
          <w:fldChar w:fldCharType="begin"/>
        </w:r>
        <w:r w:rsidR="006B5AC4">
          <w:rPr>
            <w:noProof/>
            <w:webHidden/>
          </w:rPr>
          <w:instrText xml:space="preserve"> PAGEREF _Toc504486213 \h </w:instrText>
        </w:r>
        <w:r w:rsidR="006B5AC4">
          <w:rPr>
            <w:noProof/>
            <w:webHidden/>
          </w:rPr>
        </w:r>
        <w:r w:rsidR="006B5AC4">
          <w:rPr>
            <w:noProof/>
            <w:webHidden/>
          </w:rPr>
          <w:fldChar w:fldCharType="separate"/>
        </w:r>
        <w:r w:rsidR="006B5AC4">
          <w:rPr>
            <w:noProof/>
            <w:webHidden/>
          </w:rPr>
          <w:t>7</w:t>
        </w:r>
        <w:r w:rsidR="006B5AC4">
          <w:rPr>
            <w:noProof/>
            <w:webHidden/>
          </w:rPr>
          <w:fldChar w:fldCharType="end"/>
        </w:r>
      </w:hyperlink>
    </w:p>
    <w:p w14:paraId="03B74E85" w14:textId="35A6338E"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4" w:history="1">
        <w:r w:rsidR="006B5AC4" w:rsidRPr="000A6174">
          <w:rPr>
            <w:rStyle w:val="Hipervnculo"/>
            <w:noProof/>
          </w:rPr>
          <w:t>1.4.</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Detalle del cálculo de cada uno de los componentes del superávit.</w:t>
        </w:r>
        <w:r w:rsidR="006B5AC4">
          <w:rPr>
            <w:noProof/>
            <w:webHidden/>
          </w:rPr>
          <w:tab/>
        </w:r>
        <w:r w:rsidR="006B5AC4">
          <w:rPr>
            <w:noProof/>
            <w:webHidden/>
          </w:rPr>
          <w:fldChar w:fldCharType="begin"/>
        </w:r>
        <w:r w:rsidR="006B5AC4">
          <w:rPr>
            <w:noProof/>
            <w:webHidden/>
          </w:rPr>
          <w:instrText xml:space="preserve"> PAGEREF _Toc504486214 \h </w:instrText>
        </w:r>
        <w:r w:rsidR="006B5AC4">
          <w:rPr>
            <w:noProof/>
            <w:webHidden/>
          </w:rPr>
        </w:r>
        <w:r w:rsidR="006B5AC4">
          <w:rPr>
            <w:noProof/>
            <w:webHidden/>
          </w:rPr>
          <w:fldChar w:fldCharType="separate"/>
        </w:r>
        <w:r w:rsidR="006B5AC4">
          <w:rPr>
            <w:noProof/>
            <w:webHidden/>
          </w:rPr>
          <w:t>7</w:t>
        </w:r>
        <w:r w:rsidR="006B5AC4">
          <w:rPr>
            <w:noProof/>
            <w:webHidden/>
          </w:rPr>
          <w:fldChar w:fldCharType="end"/>
        </w:r>
      </w:hyperlink>
    </w:p>
    <w:p w14:paraId="2A4BF2B3" w14:textId="518159EB"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5" w:history="1">
        <w:r w:rsidR="006B5AC4" w:rsidRPr="000A6174">
          <w:rPr>
            <w:rStyle w:val="Hipervnculo"/>
            <w:noProof/>
          </w:rPr>
          <w:t>1.5.</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Resultado de las realizaciones de los objetivos y metas.</w:t>
        </w:r>
        <w:r w:rsidR="006B5AC4">
          <w:rPr>
            <w:noProof/>
            <w:webHidden/>
          </w:rPr>
          <w:tab/>
        </w:r>
        <w:r w:rsidR="006B5AC4">
          <w:rPr>
            <w:noProof/>
            <w:webHidden/>
          </w:rPr>
          <w:fldChar w:fldCharType="begin"/>
        </w:r>
        <w:r w:rsidR="006B5AC4">
          <w:rPr>
            <w:noProof/>
            <w:webHidden/>
          </w:rPr>
          <w:instrText xml:space="preserve"> PAGEREF _Toc504486215 \h </w:instrText>
        </w:r>
        <w:r w:rsidR="006B5AC4">
          <w:rPr>
            <w:noProof/>
            <w:webHidden/>
          </w:rPr>
        </w:r>
        <w:r w:rsidR="006B5AC4">
          <w:rPr>
            <w:noProof/>
            <w:webHidden/>
          </w:rPr>
          <w:fldChar w:fldCharType="separate"/>
        </w:r>
        <w:r w:rsidR="006B5AC4">
          <w:rPr>
            <w:noProof/>
            <w:webHidden/>
          </w:rPr>
          <w:t>8</w:t>
        </w:r>
        <w:r w:rsidR="006B5AC4">
          <w:rPr>
            <w:noProof/>
            <w:webHidden/>
          </w:rPr>
          <w:fldChar w:fldCharType="end"/>
        </w:r>
      </w:hyperlink>
    </w:p>
    <w:p w14:paraId="3EAA8136" w14:textId="718A9DBF" w:rsidR="006B5AC4" w:rsidRDefault="00AD5E21">
      <w:pPr>
        <w:pStyle w:val="TDC1"/>
        <w:rPr>
          <w:rFonts w:asciiTheme="minorHAnsi" w:eastAsiaTheme="minorEastAsia" w:hAnsiTheme="minorHAnsi" w:cstheme="minorBidi"/>
          <w:b w:val="0"/>
          <w:bCs w:val="0"/>
          <w:caps w:val="0"/>
          <w:noProof/>
          <w:sz w:val="22"/>
          <w:szCs w:val="22"/>
          <w:lang w:val="es-CR" w:eastAsia="es-CR"/>
        </w:rPr>
      </w:pPr>
      <w:hyperlink w:anchor="_Toc504486216" w:history="1">
        <w:r w:rsidR="006B5AC4" w:rsidRPr="000A6174">
          <w:rPr>
            <w:rStyle w:val="Hipervnculo"/>
            <w:rFonts w:cstheme="minorHAnsi"/>
            <w:noProof/>
            <w:lang w:val="es-CR"/>
          </w:rPr>
          <w:t>2.</w:t>
        </w:r>
        <w:r w:rsidR="006B5AC4">
          <w:rPr>
            <w:rFonts w:asciiTheme="minorHAnsi" w:eastAsiaTheme="minorEastAsia" w:hAnsiTheme="minorHAnsi" w:cstheme="minorBidi"/>
            <w:b w:val="0"/>
            <w:bCs w:val="0"/>
            <w:caps w:val="0"/>
            <w:noProof/>
            <w:sz w:val="22"/>
            <w:szCs w:val="22"/>
            <w:lang w:val="es-CR" w:eastAsia="es-CR"/>
          </w:rPr>
          <w:tab/>
        </w:r>
        <w:r w:rsidR="006B5AC4" w:rsidRPr="000A6174">
          <w:rPr>
            <w:rStyle w:val="Hipervnculo"/>
            <w:rFonts w:cstheme="minorHAnsi"/>
            <w:noProof/>
            <w:lang w:val="es-CR"/>
          </w:rPr>
          <w:t>COMENTARIOS GENERALES DE LOS INGRESOS Y GASTOS</w:t>
        </w:r>
        <w:r w:rsidR="006B5AC4">
          <w:rPr>
            <w:noProof/>
            <w:webHidden/>
          </w:rPr>
          <w:tab/>
        </w:r>
        <w:r w:rsidR="006B5AC4">
          <w:rPr>
            <w:noProof/>
            <w:webHidden/>
          </w:rPr>
          <w:fldChar w:fldCharType="begin"/>
        </w:r>
        <w:r w:rsidR="006B5AC4">
          <w:rPr>
            <w:noProof/>
            <w:webHidden/>
          </w:rPr>
          <w:instrText xml:space="preserve"> PAGEREF _Toc504486216 \h </w:instrText>
        </w:r>
        <w:r w:rsidR="006B5AC4">
          <w:rPr>
            <w:noProof/>
            <w:webHidden/>
          </w:rPr>
        </w:r>
        <w:r w:rsidR="006B5AC4">
          <w:rPr>
            <w:noProof/>
            <w:webHidden/>
          </w:rPr>
          <w:fldChar w:fldCharType="separate"/>
        </w:r>
        <w:r w:rsidR="006B5AC4">
          <w:rPr>
            <w:noProof/>
            <w:webHidden/>
          </w:rPr>
          <w:t>10</w:t>
        </w:r>
        <w:r w:rsidR="006B5AC4">
          <w:rPr>
            <w:noProof/>
            <w:webHidden/>
          </w:rPr>
          <w:fldChar w:fldCharType="end"/>
        </w:r>
      </w:hyperlink>
    </w:p>
    <w:p w14:paraId="2E2BD9B2" w14:textId="1DF57FF5" w:rsidR="006B5AC4" w:rsidRDefault="00AD5E2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04486217" w:history="1">
        <w:r w:rsidR="006B5AC4" w:rsidRPr="000A6174">
          <w:rPr>
            <w:rStyle w:val="Hipervnculo"/>
            <w:noProof/>
          </w:rPr>
          <w:t>2.1</w:t>
        </w:r>
        <w:r w:rsidR="006B5AC4">
          <w:rPr>
            <w:rFonts w:asciiTheme="minorHAnsi" w:eastAsiaTheme="minorEastAsia" w:hAnsiTheme="minorHAnsi" w:cstheme="minorBidi"/>
            <w:smallCaps w:val="0"/>
            <w:noProof/>
            <w:sz w:val="22"/>
            <w:szCs w:val="22"/>
            <w:lang w:val="es-CR" w:eastAsia="es-CR"/>
          </w:rPr>
          <w:tab/>
        </w:r>
        <w:r w:rsidR="006B5AC4" w:rsidRPr="000A6174">
          <w:rPr>
            <w:rStyle w:val="Hipervnculo"/>
            <w:noProof/>
          </w:rPr>
          <w:t>Comentario de los datos por cuenta presupuestaria de egresos</w:t>
        </w:r>
        <w:r w:rsidR="006B5AC4">
          <w:rPr>
            <w:noProof/>
            <w:webHidden/>
          </w:rPr>
          <w:tab/>
        </w:r>
        <w:r w:rsidR="006B5AC4">
          <w:rPr>
            <w:noProof/>
            <w:webHidden/>
          </w:rPr>
          <w:fldChar w:fldCharType="begin"/>
        </w:r>
        <w:r w:rsidR="006B5AC4">
          <w:rPr>
            <w:noProof/>
            <w:webHidden/>
          </w:rPr>
          <w:instrText xml:space="preserve"> PAGEREF _Toc504486217 \h </w:instrText>
        </w:r>
        <w:r w:rsidR="006B5AC4">
          <w:rPr>
            <w:noProof/>
            <w:webHidden/>
          </w:rPr>
        </w:r>
        <w:r w:rsidR="006B5AC4">
          <w:rPr>
            <w:noProof/>
            <w:webHidden/>
          </w:rPr>
          <w:fldChar w:fldCharType="separate"/>
        </w:r>
        <w:r w:rsidR="006B5AC4">
          <w:rPr>
            <w:noProof/>
            <w:webHidden/>
          </w:rPr>
          <w:t>10</w:t>
        </w:r>
        <w:r w:rsidR="006B5AC4">
          <w:rPr>
            <w:noProof/>
            <w:webHidden/>
          </w:rPr>
          <w:fldChar w:fldCharType="end"/>
        </w:r>
      </w:hyperlink>
    </w:p>
    <w:p w14:paraId="634B5CC6" w14:textId="1407E89B" w:rsidR="006B5AC4" w:rsidRDefault="00AD5E21">
      <w:pPr>
        <w:pStyle w:val="TDC3"/>
        <w:tabs>
          <w:tab w:val="left" w:pos="1100"/>
        </w:tabs>
        <w:rPr>
          <w:rFonts w:asciiTheme="minorHAnsi" w:eastAsiaTheme="minorEastAsia" w:hAnsiTheme="minorHAnsi" w:cstheme="minorBidi"/>
          <w:i w:val="0"/>
          <w:iCs w:val="0"/>
          <w:sz w:val="22"/>
          <w:szCs w:val="22"/>
          <w:lang w:val="es-CR" w:eastAsia="es-CR"/>
        </w:rPr>
      </w:pPr>
      <w:hyperlink w:anchor="_Toc504486218" w:history="1">
        <w:r w:rsidR="006B5AC4" w:rsidRPr="000A6174">
          <w:rPr>
            <w:rStyle w:val="Hipervnculo"/>
            <w:lang w:val="es-CR"/>
          </w:rPr>
          <w:t>2.1.1</w:t>
        </w:r>
        <w:r w:rsidR="006B5AC4">
          <w:rPr>
            <w:rFonts w:asciiTheme="minorHAnsi" w:eastAsiaTheme="minorEastAsia" w:hAnsiTheme="minorHAnsi" w:cstheme="minorBidi"/>
            <w:i w:val="0"/>
            <w:iCs w:val="0"/>
            <w:sz w:val="22"/>
            <w:szCs w:val="22"/>
            <w:lang w:val="es-CR" w:eastAsia="es-CR"/>
          </w:rPr>
          <w:tab/>
        </w:r>
        <w:r w:rsidR="006B5AC4" w:rsidRPr="000A6174">
          <w:rPr>
            <w:rStyle w:val="Hipervnculo"/>
            <w:lang w:val="es-CR"/>
          </w:rPr>
          <w:t>Cuenta 0 “REMUNERACIONES”</w:t>
        </w:r>
        <w:r w:rsidR="006B5AC4">
          <w:rPr>
            <w:webHidden/>
          </w:rPr>
          <w:tab/>
        </w:r>
        <w:r w:rsidR="006B5AC4">
          <w:rPr>
            <w:webHidden/>
          </w:rPr>
          <w:fldChar w:fldCharType="begin"/>
        </w:r>
        <w:r w:rsidR="006B5AC4">
          <w:rPr>
            <w:webHidden/>
          </w:rPr>
          <w:instrText xml:space="preserve"> PAGEREF _Toc504486218 \h </w:instrText>
        </w:r>
        <w:r w:rsidR="006B5AC4">
          <w:rPr>
            <w:webHidden/>
          </w:rPr>
        </w:r>
        <w:r w:rsidR="006B5AC4">
          <w:rPr>
            <w:webHidden/>
          </w:rPr>
          <w:fldChar w:fldCharType="separate"/>
        </w:r>
        <w:r w:rsidR="006B5AC4">
          <w:rPr>
            <w:webHidden/>
          </w:rPr>
          <w:t>10</w:t>
        </w:r>
        <w:r w:rsidR="006B5AC4">
          <w:rPr>
            <w:webHidden/>
          </w:rPr>
          <w:fldChar w:fldCharType="end"/>
        </w:r>
      </w:hyperlink>
    </w:p>
    <w:p w14:paraId="5D331356" w14:textId="7935FFA8"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19" w:history="1">
        <w:r w:rsidR="006B5AC4" w:rsidRPr="000A6174">
          <w:rPr>
            <w:rStyle w:val="Hipervnculo"/>
            <w:lang w:val="es-CR"/>
          </w:rPr>
          <w:t>Detalle de la cuenta de Remuneraciones e incentivos salariales</w:t>
        </w:r>
        <w:r w:rsidR="006B5AC4">
          <w:rPr>
            <w:webHidden/>
          </w:rPr>
          <w:tab/>
        </w:r>
        <w:r w:rsidR="006B5AC4">
          <w:rPr>
            <w:webHidden/>
          </w:rPr>
          <w:fldChar w:fldCharType="begin"/>
        </w:r>
        <w:r w:rsidR="006B5AC4">
          <w:rPr>
            <w:webHidden/>
          </w:rPr>
          <w:instrText xml:space="preserve"> PAGEREF _Toc504486219 \h </w:instrText>
        </w:r>
        <w:r w:rsidR="006B5AC4">
          <w:rPr>
            <w:webHidden/>
          </w:rPr>
        </w:r>
        <w:r w:rsidR="006B5AC4">
          <w:rPr>
            <w:webHidden/>
          </w:rPr>
          <w:fldChar w:fldCharType="separate"/>
        </w:r>
        <w:r w:rsidR="006B5AC4">
          <w:rPr>
            <w:webHidden/>
          </w:rPr>
          <w:t>11</w:t>
        </w:r>
        <w:r w:rsidR="006B5AC4">
          <w:rPr>
            <w:webHidden/>
          </w:rPr>
          <w:fldChar w:fldCharType="end"/>
        </w:r>
      </w:hyperlink>
    </w:p>
    <w:p w14:paraId="0B79AA4E" w14:textId="14C2063E"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0" w:history="1">
        <w:r w:rsidR="006B5AC4" w:rsidRPr="000A6174">
          <w:rPr>
            <w:rStyle w:val="Hipervnculo"/>
            <w:lang w:val="es-CR"/>
          </w:rPr>
          <w:t>Resumen general de la relación de puestos de plazas fijas</w:t>
        </w:r>
        <w:r w:rsidR="006B5AC4">
          <w:rPr>
            <w:webHidden/>
          </w:rPr>
          <w:tab/>
        </w:r>
        <w:r w:rsidR="006B5AC4">
          <w:rPr>
            <w:webHidden/>
          </w:rPr>
          <w:fldChar w:fldCharType="begin"/>
        </w:r>
        <w:r w:rsidR="006B5AC4">
          <w:rPr>
            <w:webHidden/>
          </w:rPr>
          <w:instrText xml:space="preserve"> PAGEREF _Toc504486220 \h </w:instrText>
        </w:r>
        <w:r w:rsidR="006B5AC4">
          <w:rPr>
            <w:webHidden/>
          </w:rPr>
        </w:r>
        <w:r w:rsidR="006B5AC4">
          <w:rPr>
            <w:webHidden/>
          </w:rPr>
          <w:fldChar w:fldCharType="separate"/>
        </w:r>
        <w:r w:rsidR="006B5AC4">
          <w:rPr>
            <w:webHidden/>
          </w:rPr>
          <w:t>12</w:t>
        </w:r>
        <w:r w:rsidR="006B5AC4">
          <w:rPr>
            <w:webHidden/>
          </w:rPr>
          <w:fldChar w:fldCharType="end"/>
        </w:r>
      </w:hyperlink>
    </w:p>
    <w:p w14:paraId="55872091" w14:textId="7EFD3E96"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1" w:history="1">
        <w:r w:rsidR="006B5AC4" w:rsidRPr="000A6174">
          <w:rPr>
            <w:rStyle w:val="Hipervnculo"/>
            <w:lang w:val="es-CR"/>
          </w:rPr>
          <w:t>Detalle de dietas que se cancelan en la Institución</w:t>
        </w:r>
        <w:r w:rsidR="006B5AC4">
          <w:rPr>
            <w:webHidden/>
          </w:rPr>
          <w:tab/>
        </w:r>
        <w:r w:rsidR="006B5AC4">
          <w:rPr>
            <w:webHidden/>
          </w:rPr>
          <w:fldChar w:fldCharType="begin"/>
        </w:r>
        <w:r w:rsidR="006B5AC4">
          <w:rPr>
            <w:webHidden/>
          </w:rPr>
          <w:instrText xml:space="preserve"> PAGEREF _Toc504486221 \h </w:instrText>
        </w:r>
        <w:r w:rsidR="006B5AC4">
          <w:rPr>
            <w:webHidden/>
          </w:rPr>
        </w:r>
        <w:r w:rsidR="006B5AC4">
          <w:rPr>
            <w:webHidden/>
          </w:rPr>
          <w:fldChar w:fldCharType="separate"/>
        </w:r>
        <w:r w:rsidR="006B5AC4">
          <w:rPr>
            <w:webHidden/>
          </w:rPr>
          <w:t>13</w:t>
        </w:r>
        <w:r w:rsidR="006B5AC4">
          <w:rPr>
            <w:webHidden/>
          </w:rPr>
          <w:fldChar w:fldCharType="end"/>
        </w:r>
      </w:hyperlink>
    </w:p>
    <w:p w14:paraId="3BF9374A" w14:textId="3AEF77E9"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2" w:history="1">
        <w:r w:rsidR="006B5AC4" w:rsidRPr="000A6174">
          <w:rPr>
            <w:rStyle w:val="Hipervnculo"/>
            <w:lang w:val="es-CR"/>
          </w:rPr>
          <w:t>Desglose de los incentivos salariales que se reconocen</w:t>
        </w:r>
        <w:r w:rsidR="006B5AC4">
          <w:rPr>
            <w:webHidden/>
          </w:rPr>
          <w:tab/>
        </w:r>
        <w:r w:rsidR="006B5AC4">
          <w:rPr>
            <w:webHidden/>
          </w:rPr>
          <w:fldChar w:fldCharType="begin"/>
        </w:r>
        <w:r w:rsidR="006B5AC4">
          <w:rPr>
            <w:webHidden/>
          </w:rPr>
          <w:instrText xml:space="preserve"> PAGEREF _Toc504486222 \h </w:instrText>
        </w:r>
        <w:r w:rsidR="006B5AC4">
          <w:rPr>
            <w:webHidden/>
          </w:rPr>
        </w:r>
        <w:r w:rsidR="006B5AC4">
          <w:rPr>
            <w:webHidden/>
          </w:rPr>
          <w:fldChar w:fldCharType="separate"/>
        </w:r>
        <w:r w:rsidR="006B5AC4">
          <w:rPr>
            <w:webHidden/>
          </w:rPr>
          <w:t>13</w:t>
        </w:r>
        <w:r w:rsidR="006B5AC4">
          <w:rPr>
            <w:webHidden/>
          </w:rPr>
          <w:fldChar w:fldCharType="end"/>
        </w:r>
      </w:hyperlink>
    </w:p>
    <w:p w14:paraId="62CAD8D7" w14:textId="1DA565FE"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3" w:history="1">
        <w:r w:rsidR="006B5AC4" w:rsidRPr="000A6174">
          <w:rPr>
            <w:rStyle w:val="Hipervnculo"/>
            <w:lang w:val="es-CR"/>
          </w:rPr>
          <w:t>Detalle de transferencias giradas</w:t>
        </w:r>
        <w:r w:rsidR="006B5AC4">
          <w:rPr>
            <w:webHidden/>
          </w:rPr>
          <w:tab/>
        </w:r>
        <w:r w:rsidR="006B5AC4">
          <w:rPr>
            <w:webHidden/>
          </w:rPr>
          <w:fldChar w:fldCharType="begin"/>
        </w:r>
        <w:r w:rsidR="006B5AC4">
          <w:rPr>
            <w:webHidden/>
          </w:rPr>
          <w:instrText xml:space="preserve"> PAGEREF _Toc504486223 \h </w:instrText>
        </w:r>
        <w:r w:rsidR="006B5AC4">
          <w:rPr>
            <w:webHidden/>
          </w:rPr>
        </w:r>
        <w:r w:rsidR="006B5AC4">
          <w:rPr>
            <w:webHidden/>
          </w:rPr>
          <w:fldChar w:fldCharType="separate"/>
        </w:r>
        <w:r w:rsidR="006B5AC4">
          <w:rPr>
            <w:webHidden/>
          </w:rPr>
          <w:t>15</w:t>
        </w:r>
        <w:r w:rsidR="006B5AC4">
          <w:rPr>
            <w:webHidden/>
          </w:rPr>
          <w:fldChar w:fldCharType="end"/>
        </w:r>
      </w:hyperlink>
    </w:p>
    <w:p w14:paraId="1AED8A79" w14:textId="7DE2D0E0"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4" w:history="1">
        <w:r w:rsidR="006B5AC4" w:rsidRPr="000A6174">
          <w:rPr>
            <w:rStyle w:val="Hipervnculo"/>
            <w:lang w:val="es-CR"/>
          </w:rPr>
          <w:t>Detalle de préstamos, amortización e intereses</w:t>
        </w:r>
        <w:r w:rsidR="006B5AC4">
          <w:rPr>
            <w:webHidden/>
          </w:rPr>
          <w:tab/>
        </w:r>
        <w:r w:rsidR="006B5AC4">
          <w:rPr>
            <w:webHidden/>
          </w:rPr>
          <w:fldChar w:fldCharType="begin"/>
        </w:r>
        <w:r w:rsidR="006B5AC4">
          <w:rPr>
            <w:webHidden/>
          </w:rPr>
          <w:instrText xml:space="preserve"> PAGEREF _Toc504486224 \h </w:instrText>
        </w:r>
        <w:r w:rsidR="006B5AC4">
          <w:rPr>
            <w:webHidden/>
          </w:rPr>
        </w:r>
        <w:r w:rsidR="006B5AC4">
          <w:rPr>
            <w:webHidden/>
          </w:rPr>
          <w:fldChar w:fldCharType="separate"/>
        </w:r>
        <w:r w:rsidR="006B5AC4">
          <w:rPr>
            <w:webHidden/>
          </w:rPr>
          <w:t>15</w:t>
        </w:r>
        <w:r w:rsidR="006B5AC4">
          <w:rPr>
            <w:webHidden/>
          </w:rPr>
          <w:fldChar w:fldCharType="end"/>
        </w:r>
      </w:hyperlink>
    </w:p>
    <w:p w14:paraId="25E5F9AF" w14:textId="6F607EE9"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5" w:history="1">
        <w:r w:rsidR="006B5AC4" w:rsidRPr="000A6174">
          <w:rPr>
            <w:rStyle w:val="Hipervnculo"/>
            <w:lang w:val="es-CR"/>
          </w:rPr>
          <w:t>Identificación de necesidades de ajustes a nivel presupuestario.</w:t>
        </w:r>
        <w:r w:rsidR="006B5AC4">
          <w:rPr>
            <w:webHidden/>
          </w:rPr>
          <w:tab/>
        </w:r>
        <w:r w:rsidR="006B5AC4">
          <w:rPr>
            <w:webHidden/>
          </w:rPr>
          <w:fldChar w:fldCharType="begin"/>
        </w:r>
        <w:r w:rsidR="006B5AC4">
          <w:rPr>
            <w:webHidden/>
          </w:rPr>
          <w:instrText xml:space="preserve"> PAGEREF _Toc504486225 \h </w:instrText>
        </w:r>
        <w:r w:rsidR="006B5AC4">
          <w:rPr>
            <w:webHidden/>
          </w:rPr>
        </w:r>
        <w:r w:rsidR="006B5AC4">
          <w:rPr>
            <w:webHidden/>
          </w:rPr>
          <w:fldChar w:fldCharType="separate"/>
        </w:r>
        <w:r w:rsidR="006B5AC4">
          <w:rPr>
            <w:webHidden/>
          </w:rPr>
          <w:t>15</w:t>
        </w:r>
        <w:r w:rsidR="006B5AC4">
          <w:rPr>
            <w:webHidden/>
          </w:rPr>
          <w:fldChar w:fldCharType="end"/>
        </w:r>
      </w:hyperlink>
    </w:p>
    <w:p w14:paraId="02A86B1F" w14:textId="5EF9E532"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6" w:history="1">
        <w:r w:rsidR="006B5AC4" w:rsidRPr="000A6174">
          <w:rPr>
            <w:rStyle w:val="Hipervnculo"/>
            <w:lang w:val="es-CR"/>
          </w:rPr>
          <w:t>Inversión Pública</w:t>
        </w:r>
        <w:r w:rsidR="006B5AC4">
          <w:rPr>
            <w:webHidden/>
          </w:rPr>
          <w:tab/>
        </w:r>
        <w:r w:rsidR="006B5AC4">
          <w:rPr>
            <w:webHidden/>
          </w:rPr>
          <w:fldChar w:fldCharType="begin"/>
        </w:r>
        <w:r w:rsidR="006B5AC4">
          <w:rPr>
            <w:webHidden/>
          </w:rPr>
          <w:instrText xml:space="preserve"> PAGEREF _Toc504486226 \h </w:instrText>
        </w:r>
        <w:r w:rsidR="006B5AC4">
          <w:rPr>
            <w:webHidden/>
          </w:rPr>
        </w:r>
        <w:r w:rsidR="006B5AC4">
          <w:rPr>
            <w:webHidden/>
          </w:rPr>
          <w:fldChar w:fldCharType="separate"/>
        </w:r>
        <w:r w:rsidR="006B5AC4">
          <w:rPr>
            <w:webHidden/>
          </w:rPr>
          <w:t>16</w:t>
        </w:r>
        <w:r w:rsidR="006B5AC4">
          <w:rPr>
            <w:webHidden/>
          </w:rPr>
          <w:fldChar w:fldCharType="end"/>
        </w:r>
      </w:hyperlink>
    </w:p>
    <w:p w14:paraId="12222EC0" w14:textId="3B73572D" w:rsidR="006B5AC4" w:rsidRDefault="00AD5E21">
      <w:pPr>
        <w:pStyle w:val="TDC3"/>
        <w:tabs>
          <w:tab w:val="left" w:pos="1100"/>
        </w:tabs>
        <w:rPr>
          <w:rFonts w:asciiTheme="minorHAnsi" w:eastAsiaTheme="minorEastAsia" w:hAnsiTheme="minorHAnsi" w:cstheme="minorBidi"/>
          <w:i w:val="0"/>
          <w:iCs w:val="0"/>
          <w:sz w:val="22"/>
          <w:szCs w:val="22"/>
          <w:lang w:val="es-CR" w:eastAsia="es-CR"/>
        </w:rPr>
      </w:pPr>
      <w:hyperlink w:anchor="_Toc504486227" w:history="1">
        <w:r w:rsidR="006B5AC4" w:rsidRPr="000A6174">
          <w:rPr>
            <w:rStyle w:val="Hipervnculo"/>
            <w:lang w:val="es-CR"/>
          </w:rPr>
          <w:t>2.1.2</w:t>
        </w:r>
        <w:r w:rsidR="006B5AC4">
          <w:rPr>
            <w:rFonts w:asciiTheme="minorHAnsi" w:eastAsiaTheme="minorEastAsia" w:hAnsiTheme="minorHAnsi" w:cstheme="minorBidi"/>
            <w:i w:val="0"/>
            <w:iCs w:val="0"/>
            <w:sz w:val="22"/>
            <w:szCs w:val="22"/>
            <w:lang w:val="es-CR" w:eastAsia="es-CR"/>
          </w:rPr>
          <w:tab/>
        </w:r>
        <w:r w:rsidR="006B5AC4" w:rsidRPr="000A6174">
          <w:rPr>
            <w:rStyle w:val="Hipervnculo"/>
            <w:lang w:val="es-CR"/>
          </w:rPr>
          <w:t>Cuenta 1 “SERVICIOS”</w:t>
        </w:r>
        <w:r w:rsidR="006B5AC4">
          <w:rPr>
            <w:webHidden/>
          </w:rPr>
          <w:tab/>
        </w:r>
        <w:r w:rsidR="006B5AC4">
          <w:rPr>
            <w:webHidden/>
          </w:rPr>
          <w:fldChar w:fldCharType="begin"/>
        </w:r>
        <w:r w:rsidR="006B5AC4">
          <w:rPr>
            <w:webHidden/>
          </w:rPr>
          <w:instrText xml:space="preserve"> PAGEREF _Toc504486227 \h </w:instrText>
        </w:r>
        <w:r w:rsidR="006B5AC4">
          <w:rPr>
            <w:webHidden/>
          </w:rPr>
        </w:r>
        <w:r w:rsidR="006B5AC4">
          <w:rPr>
            <w:webHidden/>
          </w:rPr>
          <w:fldChar w:fldCharType="separate"/>
        </w:r>
        <w:r w:rsidR="006B5AC4">
          <w:rPr>
            <w:webHidden/>
          </w:rPr>
          <w:t>16</w:t>
        </w:r>
        <w:r w:rsidR="006B5AC4">
          <w:rPr>
            <w:webHidden/>
          </w:rPr>
          <w:fldChar w:fldCharType="end"/>
        </w:r>
      </w:hyperlink>
    </w:p>
    <w:p w14:paraId="44682EDA" w14:textId="3A2AA4B9"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28" w:history="1">
        <w:r w:rsidR="006B5AC4" w:rsidRPr="000A6174">
          <w:rPr>
            <w:rStyle w:val="Hipervnculo"/>
            <w:lang w:val="es-CR"/>
          </w:rPr>
          <w:t>Detalle de la cuenta correspondiente a servicios</w:t>
        </w:r>
        <w:r w:rsidR="006B5AC4">
          <w:rPr>
            <w:webHidden/>
          </w:rPr>
          <w:tab/>
        </w:r>
        <w:r w:rsidR="006B5AC4">
          <w:rPr>
            <w:webHidden/>
          </w:rPr>
          <w:fldChar w:fldCharType="begin"/>
        </w:r>
        <w:r w:rsidR="006B5AC4">
          <w:rPr>
            <w:webHidden/>
          </w:rPr>
          <w:instrText xml:space="preserve"> PAGEREF _Toc504486228 \h </w:instrText>
        </w:r>
        <w:r w:rsidR="006B5AC4">
          <w:rPr>
            <w:webHidden/>
          </w:rPr>
        </w:r>
        <w:r w:rsidR="006B5AC4">
          <w:rPr>
            <w:webHidden/>
          </w:rPr>
          <w:fldChar w:fldCharType="separate"/>
        </w:r>
        <w:r w:rsidR="006B5AC4">
          <w:rPr>
            <w:webHidden/>
          </w:rPr>
          <w:t>17</w:t>
        </w:r>
        <w:r w:rsidR="006B5AC4">
          <w:rPr>
            <w:webHidden/>
          </w:rPr>
          <w:fldChar w:fldCharType="end"/>
        </w:r>
      </w:hyperlink>
    </w:p>
    <w:p w14:paraId="6BDA4D64" w14:textId="79E91EA4" w:rsidR="006B5AC4" w:rsidRDefault="00AD5E21">
      <w:pPr>
        <w:pStyle w:val="TDC3"/>
        <w:tabs>
          <w:tab w:val="left" w:pos="1100"/>
        </w:tabs>
        <w:rPr>
          <w:rFonts w:asciiTheme="minorHAnsi" w:eastAsiaTheme="minorEastAsia" w:hAnsiTheme="minorHAnsi" w:cstheme="minorBidi"/>
          <w:i w:val="0"/>
          <w:iCs w:val="0"/>
          <w:sz w:val="22"/>
          <w:szCs w:val="22"/>
          <w:lang w:val="es-CR" w:eastAsia="es-CR"/>
        </w:rPr>
      </w:pPr>
      <w:hyperlink w:anchor="_Toc504486229" w:history="1">
        <w:r w:rsidR="006B5AC4" w:rsidRPr="000A6174">
          <w:rPr>
            <w:rStyle w:val="Hipervnculo"/>
            <w:lang w:val="es-CR"/>
          </w:rPr>
          <w:t>2.1.3</w:t>
        </w:r>
        <w:r w:rsidR="006B5AC4">
          <w:rPr>
            <w:rFonts w:asciiTheme="minorHAnsi" w:eastAsiaTheme="minorEastAsia" w:hAnsiTheme="minorHAnsi" w:cstheme="minorBidi"/>
            <w:i w:val="0"/>
            <w:iCs w:val="0"/>
            <w:sz w:val="22"/>
            <w:szCs w:val="22"/>
            <w:lang w:val="es-CR" w:eastAsia="es-CR"/>
          </w:rPr>
          <w:tab/>
        </w:r>
        <w:r w:rsidR="006B5AC4" w:rsidRPr="000A6174">
          <w:rPr>
            <w:rStyle w:val="Hipervnculo"/>
            <w:lang w:val="es-CR"/>
          </w:rPr>
          <w:t>Cuenta 2 “MATERIALES Y SUMINISTROS”</w:t>
        </w:r>
        <w:r w:rsidR="006B5AC4">
          <w:rPr>
            <w:webHidden/>
          </w:rPr>
          <w:tab/>
        </w:r>
        <w:r w:rsidR="006B5AC4">
          <w:rPr>
            <w:webHidden/>
          </w:rPr>
          <w:fldChar w:fldCharType="begin"/>
        </w:r>
        <w:r w:rsidR="006B5AC4">
          <w:rPr>
            <w:webHidden/>
          </w:rPr>
          <w:instrText xml:space="preserve"> PAGEREF _Toc504486229 \h </w:instrText>
        </w:r>
        <w:r w:rsidR="006B5AC4">
          <w:rPr>
            <w:webHidden/>
          </w:rPr>
        </w:r>
        <w:r w:rsidR="006B5AC4">
          <w:rPr>
            <w:webHidden/>
          </w:rPr>
          <w:fldChar w:fldCharType="separate"/>
        </w:r>
        <w:r w:rsidR="006B5AC4">
          <w:rPr>
            <w:webHidden/>
          </w:rPr>
          <w:t>26</w:t>
        </w:r>
        <w:r w:rsidR="006B5AC4">
          <w:rPr>
            <w:webHidden/>
          </w:rPr>
          <w:fldChar w:fldCharType="end"/>
        </w:r>
      </w:hyperlink>
    </w:p>
    <w:p w14:paraId="30D7DA42" w14:textId="1EE9A807"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30" w:history="1">
        <w:r w:rsidR="006B5AC4" w:rsidRPr="000A6174">
          <w:rPr>
            <w:rStyle w:val="Hipervnculo"/>
            <w:lang w:val="es-CR"/>
          </w:rPr>
          <w:t>Detalle de la cuenta correspondiente a Materiales y Suministros</w:t>
        </w:r>
        <w:r w:rsidR="006B5AC4">
          <w:rPr>
            <w:webHidden/>
          </w:rPr>
          <w:tab/>
        </w:r>
        <w:r w:rsidR="006B5AC4">
          <w:rPr>
            <w:webHidden/>
          </w:rPr>
          <w:fldChar w:fldCharType="begin"/>
        </w:r>
        <w:r w:rsidR="006B5AC4">
          <w:rPr>
            <w:webHidden/>
          </w:rPr>
          <w:instrText xml:space="preserve"> PAGEREF _Toc504486230 \h </w:instrText>
        </w:r>
        <w:r w:rsidR="006B5AC4">
          <w:rPr>
            <w:webHidden/>
          </w:rPr>
        </w:r>
        <w:r w:rsidR="006B5AC4">
          <w:rPr>
            <w:webHidden/>
          </w:rPr>
          <w:fldChar w:fldCharType="separate"/>
        </w:r>
        <w:r w:rsidR="006B5AC4">
          <w:rPr>
            <w:webHidden/>
          </w:rPr>
          <w:t>27</w:t>
        </w:r>
        <w:r w:rsidR="006B5AC4">
          <w:rPr>
            <w:webHidden/>
          </w:rPr>
          <w:fldChar w:fldCharType="end"/>
        </w:r>
      </w:hyperlink>
    </w:p>
    <w:p w14:paraId="63DCE33A" w14:textId="05B4B01D" w:rsidR="006B5AC4" w:rsidRDefault="00AD5E21">
      <w:pPr>
        <w:pStyle w:val="TDC3"/>
        <w:tabs>
          <w:tab w:val="left" w:pos="1100"/>
        </w:tabs>
        <w:rPr>
          <w:rFonts w:asciiTheme="minorHAnsi" w:eastAsiaTheme="minorEastAsia" w:hAnsiTheme="minorHAnsi" w:cstheme="minorBidi"/>
          <w:i w:val="0"/>
          <w:iCs w:val="0"/>
          <w:sz w:val="22"/>
          <w:szCs w:val="22"/>
          <w:lang w:val="es-CR" w:eastAsia="es-CR"/>
        </w:rPr>
      </w:pPr>
      <w:hyperlink w:anchor="_Toc504486231" w:history="1">
        <w:r w:rsidR="006B5AC4" w:rsidRPr="000A6174">
          <w:rPr>
            <w:rStyle w:val="Hipervnculo"/>
            <w:lang w:val="es-CR"/>
          </w:rPr>
          <w:t>2.1.4</w:t>
        </w:r>
        <w:r w:rsidR="006B5AC4">
          <w:rPr>
            <w:rFonts w:asciiTheme="minorHAnsi" w:eastAsiaTheme="minorEastAsia" w:hAnsiTheme="minorHAnsi" w:cstheme="minorBidi"/>
            <w:i w:val="0"/>
            <w:iCs w:val="0"/>
            <w:sz w:val="22"/>
            <w:szCs w:val="22"/>
            <w:lang w:val="es-CR" w:eastAsia="es-CR"/>
          </w:rPr>
          <w:tab/>
        </w:r>
        <w:r w:rsidR="006B5AC4" w:rsidRPr="000A6174">
          <w:rPr>
            <w:rStyle w:val="Hipervnculo"/>
            <w:lang w:val="es-CR"/>
          </w:rPr>
          <w:t>Cuenta 5 “BIENES DURADEROS”</w:t>
        </w:r>
        <w:r w:rsidR="006B5AC4">
          <w:rPr>
            <w:webHidden/>
          </w:rPr>
          <w:tab/>
        </w:r>
        <w:r w:rsidR="006B5AC4">
          <w:rPr>
            <w:webHidden/>
          </w:rPr>
          <w:fldChar w:fldCharType="begin"/>
        </w:r>
        <w:r w:rsidR="006B5AC4">
          <w:rPr>
            <w:webHidden/>
          </w:rPr>
          <w:instrText xml:space="preserve"> PAGEREF _Toc504486231 \h </w:instrText>
        </w:r>
        <w:r w:rsidR="006B5AC4">
          <w:rPr>
            <w:webHidden/>
          </w:rPr>
        </w:r>
        <w:r w:rsidR="006B5AC4">
          <w:rPr>
            <w:webHidden/>
          </w:rPr>
          <w:fldChar w:fldCharType="separate"/>
        </w:r>
        <w:r w:rsidR="006B5AC4">
          <w:rPr>
            <w:webHidden/>
          </w:rPr>
          <w:t>28</w:t>
        </w:r>
        <w:r w:rsidR="006B5AC4">
          <w:rPr>
            <w:webHidden/>
          </w:rPr>
          <w:fldChar w:fldCharType="end"/>
        </w:r>
      </w:hyperlink>
    </w:p>
    <w:p w14:paraId="2C060C53" w14:textId="72980CB5"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32" w:history="1">
        <w:r w:rsidR="006B5AC4" w:rsidRPr="000A6174">
          <w:rPr>
            <w:rStyle w:val="Hipervnculo"/>
            <w:lang w:val="es-CR"/>
          </w:rPr>
          <w:t>Detalle de la cuenta correspondiente a Bienes Duraderos</w:t>
        </w:r>
        <w:r w:rsidR="006B5AC4">
          <w:rPr>
            <w:webHidden/>
          </w:rPr>
          <w:tab/>
        </w:r>
        <w:r w:rsidR="006B5AC4">
          <w:rPr>
            <w:webHidden/>
          </w:rPr>
          <w:fldChar w:fldCharType="begin"/>
        </w:r>
        <w:r w:rsidR="006B5AC4">
          <w:rPr>
            <w:webHidden/>
          </w:rPr>
          <w:instrText xml:space="preserve"> PAGEREF _Toc504486232 \h </w:instrText>
        </w:r>
        <w:r w:rsidR="006B5AC4">
          <w:rPr>
            <w:webHidden/>
          </w:rPr>
        </w:r>
        <w:r w:rsidR="006B5AC4">
          <w:rPr>
            <w:webHidden/>
          </w:rPr>
          <w:fldChar w:fldCharType="separate"/>
        </w:r>
        <w:r w:rsidR="006B5AC4">
          <w:rPr>
            <w:webHidden/>
          </w:rPr>
          <w:t>28</w:t>
        </w:r>
        <w:r w:rsidR="006B5AC4">
          <w:rPr>
            <w:webHidden/>
          </w:rPr>
          <w:fldChar w:fldCharType="end"/>
        </w:r>
      </w:hyperlink>
    </w:p>
    <w:p w14:paraId="7F13A756" w14:textId="7AF45C20" w:rsidR="006B5AC4" w:rsidRDefault="00AD5E21">
      <w:pPr>
        <w:pStyle w:val="TDC3"/>
        <w:tabs>
          <w:tab w:val="left" w:pos="1100"/>
        </w:tabs>
        <w:rPr>
          <w:rFonts w:asciiTheme="minorHAnsi" w:eastAsiaTheme="minorEastAsia" w:hAnsiTheme="minorHAnsi" w:cstheme="minorBidi"/>
          <w:i w:val="0"/>
          <w:iCs w:val="0"/>
          <w:sz w:val="22"/>
          <w:szCs w:val="22"/>
          <w:lang w:val="es-CR" w:eastAsia="es-CR"/>
        </w:rPr>
      </w:pPr>
      <w:hyperlink w:anchor="_Toc504486233" w:history="1">
        <w:r w:rsidR="006B5AC4" w:rsidRPr="000A6174">
          <w:rPr>
            <w:rStyle w:val="Hipervnculo"/>
            <w:lang w:val="es-CR"/>
          </w:rPr>
          <w:t>2.1.5</w:t>
        </w:r>
        <w:r w:rsidR="006B5AC4">
          <w:rPr>
            <w:rFonts w:asciiTheme="minorHAnsi" w:eastAsiaTheme="minorEastAsia" w:hAnsiTheme="minorHAnsi" w:cstheme="minorBidi"/>
            <w:i w:val="0"/>
            <w:iCs w:val="0"/>
            <w:sz w:val="22"/>
            <w:szCs w:val="22"/>
            <w:lang w:val="es-CR" w:eastAsia="es-CR"/>
          </w:rPr>
          <w:tab/>
        </w:r>
        <w:r w:rsidR="006B5AC4" w:rsidRPr="000A6174">
          <w:rPr>
            <w:rStyle w:val="Hipervnculo"/>
            <w:lang w:val="es-CR"/>
          </w:rPr>
          <w:t>Cuenta 6 “TRANSFERENCIAS CORRIENTES”</w:t>
        </w:r>
        <w:r w:rsidR="006B5AC4">
          <w:rPr>
            <w:webHidden/>
          </w:rPr>
          <w:tab/>
        </w:r>
        <w:r w:rsidR="006B5AC4">
          <w:rPr>
            <w:webHidden/>
          </w:rPr>
          <w:fldChar w:fldCharType="begin"/>
        </w:r>
        <w:r w:rsidR="006B5AC4">
          <w:rPr>
            <w:webHidden/>
          </w:rPr>
          <w:instrText xml:space="preserve"> PAGEREF _Toc504486233 \h </w:instrText>
        </w:r>
        <w:r w:rsidR="006B5AC4">
          <w:rPr>
            <w:webHidden/>
          </w:rPr>
        </w:r>
        <w:r w:rsidR="006B5AC4">
          <w:rPr>
            <w:webHidden/>
          </w:rPr>
          <w:fldChar w:fldCharType="separate"/>
        </w:r>
        <w:r w:rsidR="006B5AC4">
          <w:rPr>
            <w:webHidden/>
          </w:rPr>
          <w:t>29</w:t>
        </w:r>
        <w:r w:rsidR="006B5AC4">
          <w:rPr>
            <w:webHidden/>
          </w:rPr>
          <w:fldChar w:fldCharType="end"/>
        </w:r>
      </w:hyperlink>
    </w:p>
    <w:p w14:paraId="3007909E" w14:textId="3D2CB412" w:rsidR="006B5AC4" w:rsidRDefault="00AD5E21" w:rsidP="00422F3B">
      <w:pPr>
        <w:pStyle w:val="TDC3"/>
        <w:ind w:left="851"/>
        <w:rPr>
          <w:rFonts w:asciiTheme="minorHAnsi" w:eastAsiaTheme="minorEastAsia" w:hAnsiTheme="minorHAnsi" w:cstheme="minorBidi"/>
          <w:i w:val="0"/>
          <w:iCs w:val="0"/>
          <w:sz w:val="22"/>
          <w:szCs w:val="22"/>
          <w:lang w:val="es-CR" w:eastAsia="es-CR"/>
        </w:rPr>
      </w:pPr>
      <w:hyperlink w:anchor="_Toc504486234" w:history="1">
        <w:r w:rsidR="006B5AC4" w:rsidRPr="000A6174">
          <w:rPr>
            <w:rStyle w:val="Hipervnculo"/>
            <w:lang w:val="es-CR"/>
          </w:rPr>
          <w:t>Detalle de la cuenta 6 Transferencias Corriente</w:t>
        </w:r>
        <w:r w:rsidR="006B5AC4">
          <w:rPr>
            <w:webHidden/>
          </w:rPr>
          <w:tab/>
        </w:r>
        <w:r w:rsidR="006B5AC4">
          <w:rPr>
            <w:webHidden/>
          </w:rPr>
          <w:fldChar w:fldCharType="begin"/>
        </w:r>
        <w:r w:rsidR="006B5AC4">
          <w:rPr>
            <w:webHidden/>
          </w:rPr>
          <w:instrText xml:space="preserve"> PAGEREF _Toc504486234 \h </w:instrText>
        </w:r>
        <w:r w:rsidR="006B5AC4">
          <w:rPr>
            <w:webHidden/>
          </w:rPr>
        </w:r>
        <w:r w:rsidR="006B5AC4">
          <w:rPr>
            <w:webHidden/>
          </w:rPr>
          <w:fldChar w:fldCharType="separate"/>
        </w:r>
        <w:r w:rsidR="006B5AC4">
          <w:rPr>
            <w:webHidden/>
          </w:rPr>
          <w:t>29</w:t>
        </w:r>
        <w:r w:rsidR="006B5AC4">
          <w:rPr>
            <w:webHidden/>
          </w:rPr>
          <w:fldChar w:fldCharType="end"/>
        </w:r>
      </w:hyperlink>
    </w:p>
    <w:p w14:paraId="2D43D956" w14:textId="48CA8119" w:rsidR="006B5AC4" w:rsidRDefault="00AD5E21">
      <w:pPr>
        <w:pStyle w:val="TDC1"/>
        <w:rPr>
          <w:rFonts w:asciiTheme="minorHAnsi" w:eastAsiaTheme="minorEastAsia" w:hAnsiTheme="minorHAnsi" w:cstheme="minorBidi"/>
          <w:b w:val="0"/>
          <w:bCs w:val="0"/>
          <w:caps w:val="0"/>
          <w:noProof/>
          <w:sz w:val="22"/>
          <w:szCs w:val="22"/>
          <w:lang w:val="es-CR" w:eastAsia="es-CR"/>
        </w:rPr>
      </w:pPr>
      <w:hyperlink w:anchor="_Toc504486235" w:history="1">
        <w:r w:rsidR="006B5AC4" w:rsidRPr="000A6174">
          <w:rPr>
            <w:rStyle w:val="Hipervnculo"/>
            <w:rFonts w:cstheme="minorHAnsi"/>
            <w:noProof/>
            <w:lang w:val="es-CR"/>
          </w:rPr>
          <w:t>3.</w:t>
        </w:r>
        <w:r w:rsidR="006B5AC4">
          <w:rPr>
            <w:rFonts w:asciiTheme="minorHAnsi" w:eastAsiaTheme="minorEastAsia" w:hAnsiTheme="minorHAnsi" w:cstheme="minorBidi"/>
            <w:b w:val="0"/>
            <w:bCs w:val="0"/>
            <w:caps w:val="0"/>
            <w:noProof/>
            <w:sz w:val="22"/>
            <w:szCs w:val="22"/>
            <w:lang w:val="es-CR" w:eastAsia="es-CR"/>
          </w:rPr>
          <w:tab/>
        </w:r>
        <w:r w:rsidR="006B5AC4" w:rsidRPr="000A6174">
          <w:rPr>
            <w:rStyle w:val="Hipervnculo"/>
            <w:rFonts w:cstheme="minorHAnsi"/>
            <w:noProof/>
            <w:lang w:val="es-CR"/>
          </w:rPr>
          <w:t>CONGRUENCIA DE LOS RESULTADOS CON LOS ESTADOS FINANCIEROS</w:t>
        </w:r>
        <w:r w:rsidR="006B5AC4">
          <w:rPr>
            <w:noProof/>
            <w:webHidden/>
          </w:rPr>
          <w:tab/>
        </w:r>
        <w:r w:rsidR="006B5AC4">
          <w:rPr>
            <w:noProof/>
            <w:webHidden/>
          </w:rPr>
          <w:fldChar w:fldCharType="begin"/>
        </w:r>
        <w:r w:rsidR="006B5AC4">
          <w:rPr>
            <w:noProof/>
            <w:webHidden/>
          </w:rPr>
          <w:instrText xml:space="preserve"> PAGEREF _Toc504486235 \h </w:instrText>
        </w:r>
        <w:r w:rsidR="006B5AC4">
          <w:rPr>
            <w:noProof/>
            <w:webHidden/>
          </w:rPr>
        </w:r>
        <w:r w:rsidR="006B5AC4">
          <w:rPr>
            <w:noProof/>
            <w:webHidden/>
          </w:rPr>
          <w:fldChar w:fldCharType="separate"/>
        </w:r>
        <w:r w:rsidR="006B5AC4">
          <w:rPr>
            <w:noProof/>
            <w:webHidden/>
          </w:rPr>
          <w:t>31</w:t>
        </w:r>
        <w:r w:rsidR="006B5AC4">
          <w:rPr>
            <w:noProof/>
            <w:webHidden/>
          </w:rPr>
          <w:fldChar w:fldCharType="end"/>
        </w:r>
      </w:hyperlink>
    </w:p>
    <w:p w14:paraId="1EF58D37" w14:textId="34993BAB" w:rsidR="006B5AC4" w:rsidRDefault="00AD5E21">
      <w:pPr>
        <w:pStyle w:val="TDC1"/>
        <w:rPr>
          <w:rFonts w:asciiTheme="minorHAnsi" w:eastAsiaTheme="minorEastAsia" w:hAnsiTheme="minorHAnsi" w:cstheme="minorBidi"/>
          <w:b w:val="0"/>
          <w:bCs w:val="0"/>
          <w:caps w:val="0"/>
          <w:noProof/>
          <w:sz w:val="22"/>
          <w:szCs w:val="22"/>
          <w:lang w:val="es-CR" w:eastAsia="es-CR"/>
        </w:rPr>
      </w:pPr>
      <w:hyperlink w:anchor="_Toc504486236" w:history="1">
        <w:r w:rsidR="006B5AC4" w:rsidRPr="000A6174">
          <w:rPr>
            <w:rStyle w:val="Hipervnculo"/>
            <w:rFonts w:cstheme="minorHAnsi"/>
            <w:noProof/>
            <w:lang w:val="es-CR"/>
          </w:rPr>
          <w:t>4.</w:t>
        </w:r>
        <w:r w:rsidR="006B5AC4">
          <w:rPr>
            <w:rFonts w:asciiTheme="minorHAnsi" w:eastAsiaTheme="minorEastAsia" w:hAnsiTheme="minorHAnsi" w:cstheme="minorBidi"/>
            <w:b w:val="0"/>
            <w:bCs w:val="0"/>
            <w:caps w:val="0"/>
            <w:noProof/>
            <w:sz w:val="22"/>
            <w:szCs w:val="22"/>
            <w:lang w:val="es-CR" w:eastAsia="es-CR"/>
          </w:rPr>
          <w:tab/>
        </w:r>
        <w:r w:rsidR="006B5AC4" w:rsidRPr="000A6174">
          <w:rPr>
            <w:rStyle w:val="Hipervnculo"/>
            <w:rFonts w:cstheme="minorHAnsi"/>
            <w:noProof/>
            <w:lang w:val="es-CR"/>
          </w:rPr>
          <w:t>ESTADOS FINANCIEROS</w:t>
        </w:r>
        <w:r w:rsidR="006B5AC4">
          <w:rPr>
            <w:noProof/>
            <w:webHidden/>
          </w:rPr>
          <w:tab/>
        </w:r>
        <w:r w:rsidR="006B5AC4">
          <w:rPr>
            <w:noProof/>
            <w:webHidden/>
          </w:rPr>
          <w:fldChar w:fldCharType="begin"/>
        </w:r>
        <w:r w:rsidR="006B5AC4">
          <w:rPr>
            <w:noProof/>
            <w:webHidden/>
          </w:rPr>
          <w:instrText xml:space="preserve"> PAGEREF _Toc504486236 \h </w:instrText>
        </w:r>
        <w:r w:rsidR="006B5AC4">
          <w:rPr>
            <w:noProof/>
            <w:webHidden/>
          </w:rPr>
        </w:r>
        <w:r w:rsidR="006B5AC4">
          <w:rPr>
            <w:noProof/>
            <w:webHidden/>
          </w:rPr>
          <w:fldChar w:fldCharType="separate"/>
        </w:r>
        <w:r w:rsidR="006B5AC4">
          <w:rPr>
            <w:noProof/>
            <w:webHidden/>
          </w:rPr>
          <w:t>31</w:t>
        </w:r>
        <w:r w:rsidR="006B5AC4">
          <w:rPr>
            <w:noProof/>
            <w:webHidden/>
          </w:rPr>
          <w:fldChar w:fldCharType="end"/>
        </w:r>
      </w:hyperlink>
    </w:p>
    <w:p w14:paraId="4D3729B5" w14:textId="35EDC587" w:rsidR="006B5AC4" w:rsidRDefault="00AD5E2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4486237" w:history="1">
        <w:r w:rsidR="006B5AC4" w:rsidRPr="000A6174">
          <w:rPr>
            <w:rStyle w:val="Hipervnculo"/>
            <w:noProof/>
          </w:rPr>
          <w:t>Resumen</w:t>
        </w:r>
        <w:r w:rsidR="006B5AC4">
          <w:rPr>
            <w:noProof/>
            <w:webHidden/>
          </w:rPr>
          <w:tab/>
        </w:r>
        <w:r w:rsidR="006B5AC4">
          <w:rPr>
            <w:noProof/>
            <w:webHidden/>
          </w:rPr>
          <w:fldChar w:fldCharType="begin"/>
        </w:r>
        <w:r w:rsidR="006B5AC4">
          <w:rPr>
            <w:noProof/>
            <w:webHidden/>
          </w:rPr>
          <w:instrText xml:space="preserve"> PAGEREF _Toc504486237 \h </w:instrText>
        </w:r>
        <w:r w:rsidR="006B5AC4">
          <w:rPr>
            <w:noProof/>
            <w:webHidden/>
          </w:rPr>
        </w:r>
        <w:r w:rsidR="006B5AC4">
          <w:rPr>
            <w:noProof/>
            <w:webHidden/>
          </w:rPr>
          <w:fldChar w:fldCharType="separate"/>
        </w:r>
        <w:r w:rsidR="006B5AC4">
          <w:rPr>
            <w:noProof/>
            <w:webHidden/>
          </w:rPr>
          <w:t>32</w:t>
        </w:r>
        <w:r w:rsidR="006B5AC4">
          <w:rPr>
            <w:noProof/>
            <w:webHidden/>
          </w:rPr>
          <w:fldChar w:fldCharType="end"/>
        </w:r>
      </w:hyperlink>
    </w:p>
    <w:p w14:paraId="5847DD78" w14:textId="140AE73C" w:rsidR="006B5AC4" w:rsidRDefault="00AD5E2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4486238" w:history="1">
        <w:r w:rsidR="006B5AC4" w:rsidRPr="000A6174">
          <w:rPr>
            <w:rStyle w:val="Hipervnculo"/>
            <w:noProof/>
          </w:rPr>
          <w:t>Conclusión</w:t>
        </w:r>
        <w:r w:rsidR="006B5AC4">
          <w:rPr>
            <w:noProof/>
            <w:webHidden/>
          </w:rPr>
          <w:tab/>
        </w:r>
        <w:r w:rsidR="006B5AC4">
          <w:rPr>
            <w:noProof/>
            <w:webHidden/>
          </w:rPr>
          <w:fldChar w:fldCharType="begin"/>
        </w:r>
        <w:r w:rsidR="006B5AC4">
          <w:rPr>
            <w:noProof/>
            <w:webHidden/>
          </w:rPr>
          <w:instrText xml:space="preserve"> PAGEREF _Toc504486238 \h </w:instrText>
        </w:r>
        <w:r w:rsidR="006B5AC4">
          <w:rPr>
            <w:noProof/>
            <w:webHidden/>
          </w:rPr>
        </w:r>
        <w:r w:rsidR="006B5AC4">
          <w:rPr>
            <w:noProof/>
            <w:webHidden/>
          </w:rPr>
          <w:fldChar w:fldCharType="separate"/>
        </w:r>
        <w:r w:rsidR="006B5AC4">
          <w:rPr>
            <w:noProof/>
            <w:webHidden/>
          </w:rPr>
          <w:t>33</w:t>
        </w:r>
        <w:r w:rsidR="006B5AC4">
          <w:rPr>
            <w:noProof/>
            <w:webHidden/>
          </w:rPr>
          <w:fldChar w:fldCharType="end"/>
        </w:r>
      </w:hyperlink>
    </w:p>
    <w:p w14:paraId="580820D4" w14:textId="0242A4BA" w:rsidR="006B5AC4" w:rsidRDefault="00AD5E21">
      <w:pPr>
        <w:pStyle w:val="TDC1"/>
        <w:rPr>
          <w:rFonts w:asciiTheme="minorHAnsi" w:eastAsiaTheme="minorEastAsia" w:hAnsiTheme="minorHAnsi" w:cstheme="minorBidi"/>
          <w:b w:val="0"/>
          <w:bCs w:val="0"/>
          <w:caps w:val="0"/>
          <w:noProof/>
          <w:sz w:val="22"/>
          <w:szCs w:val="22"/>
          <w:lang w:val="es-CR" w:eastAsia="es-CR"/>
        </w:rPr>
      </w:pPr>
      <w:hyperlink w:anchor="_Toc504486239" w:history="1">
        <w:r w:rsidR="006B5AC4" w:rsidRPr="000A6174">
          <w:rPr>
            <w:rStyle w:val="Hipervnculo"/>
            <w:rFonts w:cstheme="minorHAnsi"/>
            <w:noProof/>
            <w:lang w:val="es-CR"/>
          </w:rPr>
          <w:t>5.</w:t>
        </w:r>
        <w:r w:rsidR="006B5AC4">
          <w:rPr>
            <w:rFonts w:asciiTheme="minorHAnsi" w:eastAsiaTheme="minorEastAsia" w:hAnsiTheme="minorHAnsi" w:cstheme="minorBidi"/>
            <w:b w:val="0"/>
            <w:bCs w:val="0"/>
            <w:caps w:val="0"/>
            <w:noProof/>
            <w:sz w:val="22"/>
            <w:szCs w:val="22"/>
            <w:lang w:val="es-CR" w:eastAsia="es-CR"/>
          </w:rPr>
          <w:tab/>
        </w:r>
        <w:r w:rsidR="006B5AC4" w:rsidRPr="000A6174">
          <w:rPr>
            <w:rStyle w:val="Hipervnculo"/>
            <w:rFonts w:cstheme="minorHAnsi"/>
            <w:noProof/>
            <w:lang w:val="es-CR"/>
          </w:rPr>
          <w:t>Informes de Ejecución Presupuestaria</w:t>
        </w:r>
        <w:r w:rsidR="006B5AC4">
          <w:rPr>
            <w:noProof/>
            <w:webHidden/>
          </w:rPr>
          <w:tab/>
        </w:r>
        <w:r w:rsidR="006B5AC4">
          <w:rPr>
            <w:noProof/>
            <w:webHidden/>
          </w:rPr>
          <w:fldChar w:fldCharType="begin"/>
        </w:r>
        <w:r w:rsidR="006B5AC4">
          <w:rPr>
            <w:noProof/>
            <w:webHidden/>
          </w:rPr>
          <w:instrText xml:space="preserve"> PAGEREF _Toc504486239 \h </w:instrText>
        </w:r>
        <w:r w:rsidR="006B5AC4">
          <w:rPr>
            <w:noProof/>
            <w:webHidden/>
          </w:rPr>
        </w:r>
        <w:r w:rsidR="006B5AC4">
          <w:rPr>
            <w:noProof/>
            <w:webHidden/>
          </w:rPr>
          <w:fldChar w:fldCharType="separate"/>
        </w:r>
        <w:r w:rsidR="006B5AC4">
          <w:rPr>
            <w:noProof/>
            <w:webHidden/>
          </w:rPr>
          <w:t>34</w:t>
        </w:r>
        <w:r w:rsidR="006B5AC4">
          <w:rPr>
            <w:noProof/>
            <w:webHidden/>
          </w:rPr>
          <w:fldChar w:fldCharType="end"/>
        </w:r>
      </w:hyperlink>
    </w:p>
    <w:p w14:paraId="4AE055DB" w14:textId="1F9564A5" w:rsidR="006B5AC4" w:rsidRDefault="00AD5E21">
      <w:pPr>
        <w:pStyle w:val="TDC3"/>
        <w:rPr>
          <w:rFonts w:asciiTheme="minorHAnsi" w:eastAsiaTheme="minorEastAsia" w:hAnsiTheme="minorHAnsi" w:cstheme="minorBidi"/>
          <w:i w:val="0"/>
          <w:iCs w:val="0"/>
          <w:sz w:val="22"/>
          <w:szCs w:val="22"/>
          <w:lang w:val="es-CR" w:eastAsia="es-CR"/>
        </w:rPr>
      </w:pPr>
      <w:hyperlink w:anchor="_Toc504486240" w:history="1">
        <w:r w:rsidR="006B5AC4" w:rsidRPr="000A6174">
          <w:rPr>
            <w:rStyle w:val="Hipervnculo"/>
            <w:lang w:val="es-CR"/>
          </w:rPr>
          <w:t>Cuadro 17: Informe de Ejecución Presupuestaria a nivel de Cuenta de Gasto</w:t>
        </w:r>
        <w:r w:rsidR="006B5AC4">
          <w:rPr>
            <w:webHidden/>
          </w:rPr>
          <w:tab/>
        </w:r>
        <w:r w:rsidR="006B5AC4">
          <w:rPr>
            <w:webHidden/>
          </w:rPr>
          <w:fldChar w:fldCharType="begin"/>
        </w:r>
        <w:r w:rsidR="006B5AC4">
          <w:rPr>
            <w:webHidden/>
          </w:rPr>
          <w:instrText xml:space="preserve"> PAGEREF _Toc504486240 \h </w:instrText>
        </w:r>
        <w:r w:rsidR="006B5AC4">
          <w:rPr>
            <w:webHidden/>
          </w:rPr>
        </w:r>
        <w:r w:rsidR="006B5AC4">
          <w:rPr>
            <w:webHidden/>
          </w:rPr>
          <w:fldChar w:fldCharType="separate"/>
        </w:r>
        <w:r w:rsidR="006B5AC4">
          <w:rPr>
            <w:webHidden/>
          </w:rPr>
          <w:t>35</w:t>
        </w:r>
        <w:r w:rsidR="006B5AC4">
          <w:rPr>
            <w:webHidden/>
          </w:rPr>
          <w:fldChar w:fldCharType="end"/>
        </w:r>
      </w:hyperlink>
    </w:p>
    <w:p w14:paraId="1B4AA188" w14:textId="2517C6EA" w:rsidR="006B5AC4" w:rsidRDefault="00AD5E21">
      <w:pPr>
        <w:pStyle w:val="TDC3"/>
        <w:rPr>
          <w:rFonts w:asciiTheme="minorHAnsi" w:eastAsiaTheme="minorEastAsia" w:hAnsiTheme="minorHAnsi" w:cstheme="minorBidi"/>
          <w:i w:val="0"/>
          <w:iCs w:val="0"/>
          <w:sz w:val="22"/>
          <w:szCs w:val="22"/>
          <w:lang w:val="es-CR" w:eastAsia="es-CR"/>
        </w:rPr>
      </w:pPr>
      <w:hyperlink w:anchor="_Toc504486241" w:history="1">
        <w:r w:rsidR="006B5AC4" w:rsidRPr="000A6174">
          <w:rPr>
            <w:rStyle w:val="Hipervnculo"/>
            <w:lang w:val="es-CR"/>
          </w:rPr>
          <w:t>Cuadro 18: Informe de Ejecución Presupuestaria por sub-cuenta</w:t>
        </w:r>
        <w:r w:rsidR="006B5AC4">
          <w:rPr>
            <w:webHidden/>
          </w:rPr>
          <w:tab/>
        </w:r>
        <w:r w:rsidR="006B5AC4">
          <w:rPr>
            <w:webHidden/>
          </w:rPr>
          <w:fldChar w:fldCharType="begin"/>
        </w:r>
        <w:r w:rsidR="006B5AC4">
          <w:rPr>
            <w:webHidden/>
          </w:rPr>
          <w:instrText xml:space="preserve"> PAGEREF _Toc504486241 \h </w:instrText>
        </w:r>
        <w:r w:rsidR="006B5AC4">
          <w:rPr>
            <w:webHidden/>
          </w:rPr>
        </w:r>
        <w:r w:rsidR="006B5AC4">
          <w:rPr>
            <w:webHidden/>
          </w:rPr>
          <w:fldChar w:fldCharType="separate"/>
        </w:r>
        <w:r w:rsidR="006B5AC4">
          <w:rPr>
            <w:webHidden/>
          </w:rPr>
          <w:t>36</w:t>
        </w:r>
        <w:r w:rsidR="006B5AC4">
          <w:rPr>
            <w:webHidden/>
          </w:rPr>
          <w:fldChar w:fldCharType="end"/>
        </w:r>
      </w:hyperlink>
    </w:p>
    <w:p w14:paraId="19239242" w14:textId="6F93B61A" w:rsidR="006B5AC4" w:rsidRDefault="00AD5E21">
      <w:pPr>
        <w:pStyle w:val="TDC3"/>
        <w:rPr>
          <w:rFonts w:asciiTheme="minorHAnsi" w:eastAsiaTheme="minorEastAsia" w:hAnsiTheme="minorHAnsi" w:cstheme="minorBidi"/>
          <w:i w:val="0"/>
          <w:iCs w:val="0"/>
          <w:sz w:val="22"/>
          <w:szCs w:val="22"/>
          <w:lang w:val="es-CR" w:eastAsia="es-CR"/>
        </w:rPr>
      </w:pPr>
      <w:hyperlink w:anchor="_Toc504486242" w:history="1">
        <w:r w:rsidR="006B5AC4" w:rsidRPr="000A6174">
          <w:rPr>
            <w:rStyle w:val="Hipervnculo"/>
            <w:lang w:val="es-CR"/>
          </w:rPr>
          <w:t>Cuadro 19: Presupuesto Ordinario y Modificaciones</w:t>
        </w:r>
        <w:r w:rsidR="006B5AC4">
          <w:rPr>
            <w:webHidden/>
          </w:rPr>
          <w:tab/>
        </w:r>
        <w:r w:rsidR="006B5AC4">
          <w:rPr>
            <w:webHidden/>
          </w:rPr>
          <w:fldChar w:fldCharType="begin"/>
        </w:r>
        <w:r w:rsidR="006B5AC4">
          <w:rPr>
            <w:webHidden/>
          </w:rPr>
          <w:instrText xml:space="preserve"> PAGEREF _Toc504486242 \h </w:instrText>
        </w:r>
        <w:r w:rsidR="006B5AC4">
          <w:rPr>
            <w:webHidden/>
          </w:rPr>
        </w:r>
        <w:r w:rsidR="006B5AC4">
          <w:rPr>
            <w:webHidden/>
          </w:rPr>
          <w:fldChar w:fldCharType="separate"/>
        </w:r>
        <w:r w:rsidR="006B5AC4">
          <w:rPr>
            <w:webHidden/>
          </w:rPr>
          <w:t>39</w:t>
        </w:r>
        <w:r w:rsidR="006B5AC4">
          <w:rPr>
            <w:webHidden/>
          </w:rPr>
          <w:fldChar w:fldCharType="end"/>
        </w:r>
      </w:hyperlink>
    </w:p>
    <w:p w14:paraId="04AEBC21" w14:textId="332A5EC5" w:rsidR="006B5AC4" w:rsidRDefault="00AD5E21">
      <w:pPr>
        <w:pStyle w:val="TDC3"/>
        <w:rPr>
          <w:rFonts w:asciiTheme="minorHAnsi" w:eastAsiaTheme="minorEastAsia" w:hAnsiTheme="minorHAnsi" w:cstheme="minorBidi"/>
          <w:i w:val="0"/>
          <w:iCs w:val="0"/>
          <w:sz w:val="22"/>
          <w:szCs w:val="22"/>
          <w:lang w:val="es-CR" w:eastAsia="es-CR"/>
        </w:rPr>
      </w:pPr>
      <w:hyperlink w:anchor="_Toc504486243" w:history="1">
        <w:r w:rsidR="006B5AC4" w:rsidRPr="000A6174">
          <w:rPr>
            <w:rStyle w:val="Hipervnculo"/>
            <w:lang w:val="es-CR"/>
          </w:rPr>
          <w:t>Cuadro 20: Ingresos y Egresos Ejecutados</w:t>
        </w:r>
        <w:r w:rsidR="006B5AC4">
          <w:rPr>
            <w:webHidden/>
          </w:rPr>
          <w:tab/>
        </w:r>
        <w:r w:rsidR="006B5AC4">
          <w:rPr>
            <w:webHidden/>
          </w:rPr>
          <w:fldChar w:fldCharType="begin"/>
        </w:r>
        <w:r w:rsidR="006B5AC4">
          <w:rPr>
            <w:webHidden/>
          </w:rPr>
          <w:instrText xml:space="preserve"> PAGEREF _Toc504486243 \h </w:instrText>
        </w:r>
        <w:r w:rsidR="006B5AC4">
          <w:rPr>
            <w:webHidden/>
          </w:rPr>
        </w:r>
        <w:r w:rsidR="006B5AC4">
          <w:rPr>
            <w:webHidden/>
          </w:rPr>
          <w:fldChar w:fldCharType="separate"/>
        </w:r>
        <w:r w:rsidR="006B5AC4">
          <w:rPr>
            <w:webHidden/>
          </w:rPr>
          <w:t>40</w:t>
        </w:r>
        <w:r w:rsidR="006B5AC4">
          <w:rPr>
            <w:webHidden/>
          </w:rPr>
          <w:fldChar w:fldCharType="end"/>
        </w:r>
      </w:hyperlink>
    </w:p>
    <w:p w14:paraId="3E7402C6" w14:textId="06C67682" w:rsidR="006B5AC4" w:rsidRDefault="00AD5E21">
      <w:pPr>
        <w:pStyle w:val="TDC3"/>
        <w:rPr>
          <w:rFonts w:asciiTheme="minorHAnsi" w:eastAsiaTheme="minorEastAsia" w:hAnsiTheme="minorHAnsi" w:cstheme="minorBidi"/>
          <w:i w:val="0"/>
          <w:iCs w:val="0"/>
          <w:sz w:val="22"/>
          <w:szCs w:val="22"/>
          <w:lang w:val="es-CR" w:eastAsia="es-CR"/>
        </w:rPr>
      </w:pPr>
      <w:hyperlink w:anchor="_Toc504486244" w:history="1">
        <w:r w:rsidR="006B5AC4" w:rsidRPr="000A6174">
          <w:rPr>
            <w:rStyle w:val="Hipervnculo"/>
            <w:lang w:val="es-CR"/>
          </w:rPr>
          <w:t>Cuadro 21: Comparativo de Ingresos y Egresos Ejecutados</w:t>
        </w:r>
        <w:r w:rsidR="006B5AC4">
          <w:rPr>
            <w:webHidden/>
          </w:rPr>
          <w:tab/>
        </w:r>
        <w:r w:rsidR="006B5AC4">
          <w:rPr>
            <w:webHidden/>
          </w:rPr>
          <w:fldChar w:fldCharType="begin"/>
        </w:r>
        <w:r w:rsidR="006B5AC4">
          <w:rPr>
            <w:webHidden/>
          </w:rPr>
          <w:instrText xml:space="preserve"> PAGEREF _Toc504486244 \h </w:instrText>
        </w:r>
        <w:r w:rsidR="006B5AC4">
          <w:rPr>
            <w:webHidden/>
          </w:rPr>
        </w:r>
        <w:r w:rsidR="006B5AC4">
          <w:rPr>
            <w:webHidden/>
          </w:rPr>
          <w:fldChar w:fldCharType="separate"/>
        </w:r>
        <w:r w:rsidR="006B5AC4">
          <w:rPr>
            <w:webHidden/>
          </w:rPr>
          <w:t>40</w:t>
        </w:r>
        <w:r w:rsidR="006B5AC4">
          <w:rPr>
            <w:webHidden/>
          </w:rPr>
          <w:fldChar w:fldCharType="end"/>
        </w:r>
      </w:hyperlink>
    </w:p>
    <w:p w14:paraId="039B3608" w14:textId="61E7127C" w:rsidR="006B5AC4" w:rsidRDefault="00AD5E21">
      <w:pPr>
        <w:pStyle w:val="TDC3"/>
        <w:rPr>
          <w:rFonts w:asciiTheme="minorHAnsi" w:eastAsiaTheme="minorEastAsia" w:hAnsiTheme="minorHAnsi" w:cstheme="minorBidi"/>
          <w:i w:val="0"/>
          <w:iCs w:val="0"/>
          <w:sz w:val="22"/>
          <w:szCs w:val="22"/>
          <w:lang w:val="es-CR" w:eastAsia="es-CR"/>
        </w:rPr>
      </w:pPr>
      <w:hyperlink w:anchor="_Toc504486245" w:history="1">
        <w:r w:rsidR="006B5AC4" w:rsidRPr="000A6174">
          <w:rPr>
            <w:rStyle w:val="Hipervnculo"/>
            <w:lang w:val="es-CR"/>
          </w:rPr>
          <w:t>Cuadro 22: Liquidación del Presupuesto de Ingresos y Egresos</w:t>
        </w:r>
        <w:r w:rsidR="006B5AC4">
          <w:rPr>
            <w:webHidden/>
          </w:rPr>
          <w:tab/>
        </w:r>
        <w:r w:rsidR="006B5AC4">
          <w:rPr>
            <w:webHidden/>
          </w:rPr>
          <w:fldChar w:fldCharType="begin"/>
        </w:r>
        <w:r w:rsidR="006B5AC4">
          <w:rPr>
            <w:webHidden/>
          </w:rPr>
          <w:instrText xml:space="preserve"> PAGEREF _Toc504486245 \h </w:instrText>
        </w:r>
        <w:r w:rsidR="006B5AC4">
          <w:rPr>
            <w:webHidden/>
          </w:rPr>
        </w:r>
        <w:r w:rsidR="006B5AC4">
          <w:rPr>
            <w:webHidden/>
          </w:rPr>
          <w:fldChar w:fldCharType="separate"/>
        </w:r>
        <w:r w:rsidR="006B5AC4">
          <w:rPr>
            <w:webHidden/>
          </w:rPr>
          <w:t>41</w:t>
        </w:r>
        <w:r w:rsidR="006B5AC4">
          <w:rPr>
            <w:webHidden/>
          </w:rPr>
          <w:fldChar w:fldCharType="end"/>
        </w:r>
      </w:hyperlink>
    </w:p>
    <w:p w14:paraId="74748B0C" w14:textId="562EA6B1" w:rsidR="006B5AC4" w:rsidRDefault="00AD5E21">
      <w:pPr>
        <w:pStyle w:val="TDC3"/>
        <w:rPr>
          <w:rFonts w:asciiTheme="minorHAnsi" w:eastAsiaTheme="minorEastAsia" w:hAnsiTheme="minorHAnsi" w:cstheme="minorBidi"/>
          <w:i w:val="0"/>
          <w:iCs w:val="0"/>
          <w:sz w:val="22"/>
          <w:szCs w:val="22"/>
          <w:lang w:val="es-CR" w:eastAsia="es-CR"/>
        </w:rPr>
      </w:pPr>
      <w:hyperlink w:anchor="_Toc504486246" w:history="1">
        <w:r w:rsidR="006B5AC4" w:rsidRPr="000A6174">
          <w:rPr>
            <w:rStyle w:val="Hipervnculo"/>
            <w:lang w:val="es-CR"/>
          </w:rPr>
          <w:t>Cuadro 23: Ejecución Presupuestaria a Nivel de Cuenta de Ingreso</w:t>
        </w:r>
        <w:r w:rsidR="006B5AC4">
          <w:rPr>
            <w:webHidden/>
          </w:rPr>
          <w:tab/>
        </w:r>
        <w:r w:rsidR="006B5AC4">
          <w:rPr>
            <w:webHidden/>
          </w:rPr>
          <w:fldChar w:fldCharType="begin"/>
        </w:r>
        <w:r w:rsidR="006B5AC4">
          <w:rPr>
            <w:webHidden/>
          </w:rPr>
          <w:instrText xml:space="preserve"> PAGEREF _Toc504486246 \h </w:instrText>
        </w:r>
        <w:r w:rsidR="006B5AC4">
          <w:rPr>
            <w:webHidden/>
          </w:rPr>
        </w:r>
        <w:r w:rsidR="006B5AC4">
          <w:rPr>
            <w:webHidden/>
          </w:rPr>
          <w:fldChar w:fldCharType="separate"/>
        </w:r>
        <w:r w:rsidR="006B5AC4">
          <w:rPr>
            <w:webHidden/>
          </w:rPr>
          <w:t>42</w:t>
        </w:r>
        <w:r w:rsidR="006B5AC4">
          <w:rPr>
            <w:webHidden/>
          </w:rPr>
          <w:fldChar w:fldCharType="end"/>
        </w:r>
      </w:hyperlink>
    </w:p>
    <w:p w14:paraId="360749C4" w14:textId="530AEDDD" w:rsidR="006B5AC4" w:rsidRDefault="00AD5E21">
      <w:pPr>
        <w:pStyle w:val="TDC3"/>
        <w:rPr>
          <w:rFonts w:asciiTheme="minorHAnsi" w:eastAsiaTheme="minorEastAsia" w:hAnsiTheme="minorHAnsi" w:cstheme="minorBidi"/>
          <w:i w:val="0"/>
          <w:iCs w:val="0"/>
          <w:sz w:val="22"/>
          <w:szCs w:val="22"/>
          <w:lang w:val="es-CR" w:eastAsia="es-CR"/>
        </w:rPr>
      </w:pPr>
      <w:hyperlink w:anchor="_Toc504486247" w:history="1">
        <w:r w:rsidR="006B5AC4" w:rsidRPr="000A6174">
          <w:rPr>
            <w:rStyle w:val="Hipervnculo"/>
            <w:lang w:val="es-CR"/>
          </w:rPr>
          <w:t>Cuadro 24: Resumen de la composición del presupuesto por partida</w:t>
        </w:r>
        <w:r w:rsidR="006B5AC4">
          <w:rPr>
            <w:webHidden/>
          </w:rPr>
          <w:tab/>
        </w:r>
        <w:r w:rsidR="006B5AC4">
          <w:rPr>
            <w:webHidden/>
          </w:rPr>
          <w:fldChar w:fldCharType="begin"/>
        </w:r>
        <w:r w:rsidR="006B5AC4">
          <w:rPr>
            <w:webHidden/>
          </w:rPr>
          <w:instrText xml:space="preserve"> PAGEREF _Toc504486247 \h </w:instrText>
        </w:r>
        <w:r w:rsidR="006B5AC4">
          <w:rPr>
            <w:webHidden/>
          </w:rPr>
        </w:r>
        <w:r w:rsidR="006B5AC4">
          <w:rPr>
            <w:webHidden/>
          </w:rPr>
          <w:fldChar w:fldCharType="separate"/>
        </w:r>
        <w:r w:rsidR="006B5AC4">
          <w:rPr>
            <w:webHidden/>
          </w:rPr>
          <w:t>43</w:t>
        </w:r>
        <w:r w:rsidR="006B5AC4">
          <w:rPr>
            <w:webHidden/>
          </w:rPr>
          <w:fldChar w:fldCharType="end"/>
        </w:r>
      </w:hyperlink>
    </w:p>
    <w:p w14:paraId="50A5A82A" w14:textId="4236C45F" w:rsidR="006B5AC4" w:rsidRDefault="00AD5E21">
      <w:pPr>
        <w:pStyle w:val="TDC3"/>
        <w:rPr>
          <w:rFonts w:asciiTheme="minorHAnsi" w:eastAsiaTheme="minorEastAsia" w:hAnsiTheme="minorHAnsi" w:cstheme="minorBidi"/>
          <w:i w:val="0"/>
          <w:iCs w:val="0"/>
          <w:sz w:val="22"/>
          <w:szCs w:val="22"/>
          <w:lang w:val="es-CR" w:eastAsia="es-CR"/>
        </w:rPr>
      </w:pPr>
      <w:hyperlink w:anchor="_Toc504486248" w:history="1">
        <w:r w:rsidR="006B5AC4" w:rsidRPr="000A6174">
          <w:rPr>
            <w:rStyle w:val="Hipervnculo"/>
            <w:lang w:val="es-CR"/>
          </w:rPr>
          <w:t>Gráfico 4: Detalle de Porcentaje de Ejecución</w:t>
        </w:r>
        <w:r w:rsidR="006B5AC4">
          <w:rPr>
            <w:webHidden/>
          </w:rPr>
          <w:tab/>
        </w:r>
        <w:r w:rsidR="006B5AC4">
          <w:rPr>
            <w:webHidden/>
          </w:rPr>
          <w:fldChar w:fldCharType="begin"/>
        </w:r>
        <w:r w:rsidR="006B5AC4">
          <w:rPr>
            <w:webHidden/>
          </w:rPr>
          <w:instrText xml:space="preserve"> PAGEREF _Toc504486248 \h </w:instrText>
        </w:r>
        <w:r w:rsidR="006B5AC4">
          <w:rPr>
            <w:webHidden/>
          </w:rPr>
        </w:r>
        <w:r w:rsidR="006B5AC4">
          <w:rPr>
            <w:webHidden/>
          </w:rPr>
          <w:fldChar w:fldCharType="separate"/>
        </w:r>
        <w:r w:rsidR="006B5AC4">
          <w:rPr>
            <w:webHidden/>
          </w:rPr>
          <w:t>44</w:t>
        </w:r>
        <w:r w:rsidR="006B5AC4">
          <w:rPr>
            <w:webHidden/>
          </w:rPr>
          <w:fldChar w:fldCharType="end"/>
        </w:r>
      </w:hyperlink>
    </w:p>
    <w:p w14:paraId="7E31236D" w14:textId="2AB866C0" w:rsidR="006B5AC4" w:rsidRDefault="00AD5E21">
      <w:pPr>
        <w:pStyle w:val="TDC3"/>
        <w:rPr>
          <w:rFonts w:asciiTheme="minorHAnsi" w:eastAsiaTheme="minorEastAsia" w:hAnsiTheme="minorHAnsi" w:cstheme="minorBidi"/>
          <w:i w:val="0"/>
          <w:iCs w:val="0"/>
          <w:sz w:val="22"/>
          <w:szCs w:val="22"/>
          <w:lang w:val="es-CR" w:eastAsia="es-CR"/>
        </w:rPr>
      </w:pPr>
      <w:hyperlink w:anchor="_Toc504486249" w:history="1">
        <w:r w:rsidR="006B5AC4" w:rsidRPr="000A6174">
          <w:rPr>
            <w:rStyle w:val="Hipervnculo"/>
            <w:lang w:val="es-CR"/>
          </w:rPr>
          <w:t>Gráfico 5: Porcentaje de Ejecución por Cuenta</w:t>
        </w:r>
        <w:r w:rsidR="006B5AC4">
          <w:rPr>
            <w:webHidden/>
          </w:rPr>
          <w:tab/>
        </w:r>
        <w:r w:rsidR="006B5AC4">
          <w:rPr>
            <w:webHidden/>
          </w:rPr>
          <w:fldChar w:fldCharType="begin"/>
        </w:r>
        <w:r w:rsidR="006B5AC4">
          <w:rPr>
            <w:webHidden/>
          </w:rPr>
          <w:instrText xml:space="preserve"> PAGEREF _Toc504486249 \h </w:instrText>
        </w:r>
        <w:r w:rsidR="006B5AC4">
          <w:rPr>
            <w:webHidden/>
          </w:rPr>
        </w:r>
        <w:r w:rsidR="006B5AC4">
          <w:rPr>
            <w:webHidden/>
          </w:rPr>
          <w:fldChar w:fldCharType="separate"/>
        </w:r>
        <w:r w:rsidR="006B5AC4">
          <w:rPr>
            <w:webHidden/>
          </w:rPr>
          <w:t>45</w:t>
        </w:r>
        <w:r w:rsidR="006B5AC4">
          <w:rPr>
            <w:webHidden/>
          </w:rPr>
          <w:fldChar w:fldCharType="end"/>
        </w:r>
      </w:hyperlink>
    </w:p>
    <w:p w14:paraId="64DC72AF" w14:textId="7BD6C72F" w:rsidR="00E47859" w:rsidRPr="00787962" w:rsidRDefault="00A33FC2" w:rsidP="0075610E">
      <w:pPr>
        <w:pStyle w:val="TDC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787962" w:rsidRDefault="00E06125" w:rsidP="00254CAE">
      <w:pPr>
        <w:pStyle w:val="Ttulo1"/>
        <w:rPr>
          <w:rFonts w:cstheme="minorHAnsi"/>
          <w:lang w:val="es-CR"/>
        </w:rPr>
      </w:pPr>
      <w:bookmarkStart w:id="3" w:name="_Toc195505386"/>
      <w:bookmarkStart w:id="4" w:name="_Toc203492087"/>
      <w:bookmarkStart w:id="5" w:name="_Toc504486207"/>
      <w:r w:rsidRPr="00787962">
        <w:rPr>
          <w:rFonts w:cstheme="minorHAnsi"/>
          <w:lang w:val="es-CR"/>
        </w:rPr>
        <w:t>PRESENTACIÓN</w:t>
      </w:r>
      <w:bookmarkEnd w:id="3"/>
      <w:bookmarkEnd w:id="4"/>
      <w:bookmarkEnd w:id="5"/>
    </w:p>
    <w:p w14:paraId="64DC72B2" w14:textId="77777777" w:rsidR="00A87425" w:rsidRPr="00787962" w:rsidRDefault="00A87425" w:rsidP="00A87425">
      <w:pPr>
        <w:rPr>
          <w:rFonts w:asciiTheme="minorHAnsi" w:hAnsiTheme="minorHAnsi" w:cstheme="minorHAnsi"/>
          <w:sz w:val="24"/>
          <w:szCs w:val="24"/>
          <w:lang w:val="es-CR"/>
        </w:rPr>
      </w:pPr>
    </w:p>
    <w:p w14:paraId="64DC72B3" w14:textId="77777777" w:rsidR="00503858" w:rsidRPr="00787962" w:rsidRDefault="00503858" w:rsidP="00503858">
      <w:pPr>
        <w:rPr>
          <w:rFonts w:asciiTheme="minorHAnsi" w:hAnsiTheme="minorHAnsi" w:cstheme="minorHAnsi"/>
          <w:sz w:val="24"/>
          <w:szCs w:val="24"/>
          <w:lang w:val="es-CR"/>
        </w:rPr>
      </w:pPr>
    </w:p>
    <w:p w14:paraId="64DC72B8" w14:textId="2FE1004E" w:rsidR="00503858" w:rsidRPr="00787962" w:rsidRDefault="00C44392" w:rsidP="000D22E0">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cumplimiento con la normativa vigente y las disposiciones de la Contraloría General de la República, se presenta el siguiente informe, el cual corresponde al detalle de </w:t>
      </w:r>
      <w:r w:rsidR="00670F67">
        <w:rPr>
          <w:rFonts w:asciiTheme="minorHAnsi" w:hAnsiTheme="minorHAnsi" w:cstheme="minorHAnsi"/>
          <w:sz w:val="24"/>
          <w:szCs w:val="24"/>
          <w:lang w:val="es-CR"/>
        </w:rPr>
        <w:t>liquidación</w:t>
      </w:r>
      <w:r w:rsidRPr="00787962">
        <w:rPr>
          <w:rFonts w:asciiTheme="minorHAnsi" w:hAnsiTheme="minorHAnsi" w:cstheme="minorHAnsi"/>
          <w:sz w:val="24"/>
          <w:szCs w:val="24"/>
          <w:lang w:val="es-CR"/>
        </w:rPr>
        <w:t xml:space="preserve"> presupuestaria</w:t>
      </w:r>
      <w:r w:rsidR="001A7F97" w:rsidRPr="00787962">
        <w:rPr>
          <w:rFonts w:asciiTheme="minorHAnsi" w:hAnsiTheme="minorHAnsi" w:cstheme="minorHAnsi"/>
          <w:sz w:val="24"/>
          <w:szCs w:val="24"/>
          <w:lang w:val="es-CR"/>
        </w:rPr>
        <w:t xml:space="preserve"> del 201</w:t>
      </w:r>
      <w:r w:rsidR="009E6B77" w:rsidRPr="00787962">
        <w:rPr>
          <w:rFonts w:asciiTheme="minorHAnsi" w:hAnsiTheme="minorHAnsi" w:cstheme="minorHAnsi"/>
          <w:sz w:val="24"/>
          <w:szCs w:val="24"/>
          <w:lang w:val="es-CR"/>
        </w:rPr>
        <w:t>7</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0D22E0">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505" w14:textId="461A7FC6" w:rsidR="00225437" w:rsidRPr="00D668DE" w:rsidRDefault="00E47859" w:rsidP="00DA5F9A">
      <w:pPr>
        <w:pStyle w:val="Ttulo2"/>
        <w:rPr>
          <w:rStyle w:val="nfasisintenso"/>
          <w:b/>
          <w:color w:val="auto"/>
          <w:sz w:val="28"/>
          <w:szCs w:val="28"/>
        </w:rPr>
      </w:pPr>
      <w:r w:rsidRPr="00787962">
        <w:br w:type="page"/>
      </w:r>
      <w:bookmarkStart w:id="6" w:name="_Toc23842378"/>
      <w:bookmarkStart w:id="7" w:name="_Toc109179105"/>
      <w:bookmarkStart w:id="8" w:name="_Toc131912450"/>
      <w:bookmarkStart w:id="9" w:name="_Toc163371955"/>
      <w:bookmarkStart w:id="10" w:name="_Toc195505388"/>
      <w:bookmarkStart w:id="11" w:name="_Toc226364821"/>
      <w:bookmarkStart w:id="12" w:name="_Toc273448675"/>
      <w:bookmarkStart w:id="13" w:name="_Toc504486208"/>
      <w:r w:rsidR="001678BF">
        <w:rPr>
          <w:rStyle w:val="nfasisintenso"/>
          <w:b/>
          <w:color w:val="auto"/>
          <w:sz w:val="28"/>
          <w:szCs w:val="28"/>
        </w:rPr>
        <w:t>i</w:t>
      </w:r>
      <w:r w:rsidR="00225437" w:rsidRPr="00D668DE">
        <w:rPr>
          <w:rStyle w:val="nfasisintenso"/>
          <w:b/>
          <w:color w:val="auto"/>
          <w:sz w:val="28"/>
          <w:szCs w:val="28"/>
        </w:rPr>
        <w:t>.</w:t>
      </w:r>
      <w:r w:rsidR="00225437" w:rsidRPr="00D668DE">
        <w:rPr>
          <w:rStyle w:val="nfasisintenso"/>
          <w:b/>
          <w:color w:val="auto"/>
          <w:sz w:val="28"/>
          <w:szCs w:val="28"/>
        </w:rPr>
        <w:tab/>
        <w:t>Introducción</w:t>
      </w:r>
      <w:bookmarkEnd w:id="6"/>
      <w:bookmarkEnd w:id="7"/>
      <w:bookmarkEnd w:id="8"/>
      <w:bookmarkEnd w:id="9"/>
      <w:bookmarkEnd w:id="10"/>
      <w:bookmarkEnd w:id="11"/>
      <w:bookmarkEnd w:id="12"/>
      <w:bookmarkEnd w:id="13"/>
    </w:p>
    <w:p w14:paraId="64DC7506" w14:textId="77777777" w:rsidR="00225437" w:rsidRPr="00787962" w:rsidRDefault="00225437" w:rsidP="00254CAE">
      <w:pPr>
        <w:rPr>
          <w:rFonts w:asciiTheme="minorHAnsi" w:hAnsiTheme="minorHAnsi" w:cstheme="minorHAnsi"/>
          <w:b/>
          <w:szCs w:val="24"/>
          <w:lang w:val="es-CR"/>
        </w:rPr>
      </w:pPr>
    </w:p>
    <w:p w14:paraId="35078E7C" w14:textId="68A1A550" w:rsidR="00EC142B" w:rsidRPr="00787962" w:rsidRDefault="002F1AE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5 y 6 de las actas de las sesiones 1277-2016 y 1278-2016, celebradas el 6 de setiembre de 2016,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 por ¢28.768.689.598,00, con sustento en lo que prevé el literal k</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del artículo 171, de la Ley Reguladora del Mercado de Valores, Ley </w:t>
      </w:r>
      <w:r w:rsidR="00AC7DE6">
        <w:rPr>
          <w:rFonts w:asciiTheme="minorHAnsi" w:hAnsiTheme="minorHAnsi" w:cstheme="minorHAnsi"/>
          <w:sz w:val="24"/>
          <w:szCs w:val="24"/>
          <w:lang w:val="es-CR"/>
        </w:rPr>
        <w:t>N°</w:t>
      </w:r>
      <w:r w:rsidR="009E6B77" w:rsidRPr="00787962">
        <w:rPr>
          <w:rFonts w:asciiTheme="minorHAnsi" w:hAnsiTheme="minorHAnsi" w:cstheme="minorHAnsi"/>
          <w:sz w:val="24"/>
          <w:szCs w:val="24"/>
          <w:lang w:val="es-CR"/>
        </w:rPr>
        <w:t xml:space="preserve">7732, del 27 de enero de 1998, y sus reformas, con el objeto de dar contenido a los presupuestos ordinarios del </w:t>
      </w:r>
      <w:r w:rsidR="00AC7DE6">
        <w:rPr>
          <w:rFonts w:asciiTheme="minorHAnsi" w:hAnsiTheme="minorHAnsi" w:cstheme="minorHAnsi"/>
          <w:sz w:val="24"/>
          <w:szCs w:val="24"/>
          <w:lang w:val="es-CR"/>
        </w:rPr>
        <w:t>CONASSIF</w:t>
      </w:r>
      <w:r w:rsidR="000828FC"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y de los Órganos de Desconcentración Máxima</w:t>
      </w:r>
      <w:r w:rsidR="00EC142B" w:rsidRPr="00787962">
        <w:rPr>
          <w:rFonts w:asciiTheme="minorHAnsi" w:hAnsiTheme="minorHAnsi" w:cstheme="minorHAnsi"/>
          <w:sz w:val="24"/>
          <w:szCs w:val="24"/>
          <w:lang w:val="es-CR"/>
        </w:rPr>
        <w:t xml:space="preserve">. Por su parte,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citada transferencia</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numeral II del artículo 8 del acta de la sesión 5738-2016, celebrada el 14 de setiembre de 2016</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EC142B">
      <w:pPr>
        <w:widowControl w:val="0"/>
        <w:rPr>
          <w:rFonts w:asciiTheme="minorHAnsi" w:hAnsiTheme="minorHAnsi" w:cstheme="minorHAnsi"/>
          <w:sz w:val="24"/>
          <w:szCs w:val="24"/>
          <w:lang w:val="es-CR"/>
        </w:rPr>
      </w:pPr>
    </w:p>
    <w:p w14:paraId="482E1016" w14:textId="3BEF628B" w:rsidR="00EC142B" w:rsidRPr="00787962" w:rsidRDefault="00EC142B"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inciso II</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del artículo 5, del acta de la sesión 1281-2016, celebrada el 20 de setiembre de 2016</w:t>
      </w:r>
      <w:r w:rsidR="00C46F1F" w:rsidRPr="00787962">
        <w:rPr>
          <w:rFonts w:asciiTheme="minorHAnsi" w:hAnsiTheme="minorHAnsi" w:cstheme="minorHAnsi"/>
          <w:sz w:val="24"/>
          <w:szCs w:val="24"/>
          <w:lang w:val="es-CR"/>
        </w:rPr>
        <w:t>,</w:t>
      </w:r>
      <w:r w:rsidR="00A06E82" w:rsidRPr="00787962">
        <w:rPr>
          <w:rFonts w:asciiTheme="minorHAnsi" w:hAnsiTheme="minorHAnsi" w:cstheme="minorHAnsi"/>
          <w:sz w:val="24"/>
          <w:szCs w:val="24"/>
          <w:lang w:val="es-CR"/>
        </w:rPr>
        <w:t xml:space="preserve"> aprobó </w:t>
      </w:r>
      <w:r w:rsidR="00D25D2B" w:rsidRPr="00787962">
        <w:rPr>
          <w:rFonts w:asciiTheme="minorHAnsi" w:hAnsiTheme="minorHAnsi" w:cstheme="minorHAnsi"/>
          <w:sz w:val="24"/>
          <w:szCs w:val="24"/>
          <w:lang w:val="es-CR"/>
        </w:rPr>
        <w:t>el presupuesto para el 2017</w:t>
      </w:r>
      <w:r w:rsidR="00C46F1F" w:rsidRPr="00787962">
        <w:rPr>
          <w:rFonts w:asciiTheme="minorHAnsi" w:hAnsiTheme="minorHAnsi" w:cstheme="minorHAnsi"/>
          <w:sz w:val="24"/>
          <w:szCs w:val="24"/>
          <w:lang w:val="es-CR"/>
        </w:rPr>
        <w:t xml:space="preserve"> de la </w:t>
      </w:r>
      <w:r w:rsidR="000D22E0">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9E6B77" w:rsidRPr="00787962">
        <w:rPr>
          <w:rFonts w:asciiTheme="minorHAnsi" w:hAnsiTheme="minorHAnsi" w:cstheme="minorHAnsi"/>
          <w:sz w:val="24"/>
          <w:szCs w:val="24"/>
          <w:lang w:val="es-CR"/>
        </w:rPr>
        <w:t xml:space="preserve">¢5.191.6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187132" w:rsidRPr="00787962">
        <w:rPr>
          <w:rFonts w:asciiTheme="minorHAnsi" w:hAnsiTheme="minorHAnsi" w:cstheme="minorHAnsi"/>
          <w:sz w:val="24"/>
          <w:szCs w:val="24"/>
          <w:lang w:val="es-CR"/>
        </w:rPr>
        <w:t>DFOE-EC-0</w:t>
      </w:r>
      <w:r w:rsidR="00244B3A" w:rsidRPr="00787962">
        <w:rPr>
          <w:rFonts w:asciiTheme="minorHAnsi" w:hAnsiTheme="minorHAnsi" w:cstheme="minorHAnsi"/>
          <w:sz w:val="24"/>
          <w:szCs w:val="24"/>
          <w:lang w:val="es-CR"/>
        </w:rPr>
        <w:t>0</w:t>
      </w:r>
      <w:r w:rsidR="000B7347" w:rsidRPr="00787962">
        <w:rPr>
          <w:rFonts w:asciiTheme="minorHAnsi" w:hAnsiTheme="minorHAnsi" w:cstheme="minorHAnsi"/>
          <w:sz w:val="24"/>
          <w:szCs w:val="24"/>
          <w:lang w:val="es-CR"/>
        </w:rPr>
        <w:t>85</w:t>
      </w:r>
      <w:r w:rsidR="00C46F1F" w:rsidRPr="00787962">
        <w:rPr>
          <w:rFonts w:asciiTheme="minorHAnsi" w:hAnsiTheme="minorHAnsi" w:cstheme="minorHAnsi"/>
          <w:sz w:val="24"/>
          <w:szCs w:val="24"/>
          <w:lang w:val="es-CR"/>
        </w:rPr>
        <w:t>5</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0B7347" w:rsidRPr="00787962">
        <w:rPr>
          <w:rFonts w:asciiTheme="minorHAnsi" w:hAnsiTheme="minorHAnsi" w:cstheme="minorHAnsi"/>
          <w:sz w:val="24"/>
          <w:szCs w:val="24"/>
          <w:lang w:val="es-CR"/>
        </w:rPr>
        <w:t>22</w:t>
      </w:r>
      <w:r w:rsidRPr="00787962">
        <w:rPr>
          <w:rFonts w:asciiTheme="minorHAnsi" w:hAnsiTheme="minorHAnsi" w:cstheme="minorHAnsi"/>
          <w:sz w:val="24"/>
          <w:szCs w:val="24"/>
          <w:lang w:val="es-CR"/>
        </w:rPr>
        <w:t xml:space="preserve"> de </w:t>
      </w:r>
      <w:r w:rsidR="000B7347" w:rsidRPr="00787962">
        <w:rPr>
          <w:rFonts w:asciiTheme="minorHAnsi" w:hAnsiTheme="minorHAnsi" w:cstheme="minorHAnsi"/>
          <w:sz w:val="24"/>
          <w:szCs w:val="24"/>
          <w:lang w:val="es-CR"/>
        </w:rPr>
        <w:t>nov</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0B7347" w:rsidRPr="00787962">
        <w:rPr>
          <w:rFonts w:asciiTheme="minorHAnsi" w:hAnsiTheme="minorHAnsi" w:cstheme="minorHAnsi"/>
          <w:sz w:val="24"/>
          <w:szCs w:val="24"/>
          <w:lang w:val="es-CR"/>
        </w:rPr>
        <w:t>6</w:t>
      </w:r>
      <w:r w:rsidRPr="00787962">
        <w:rPr>
          <w:rFonts w:asciiTheme="minorHAnsi" w:hAnsiTheme="minorHAnsi" w:cstheme="minorHAnsi"/>
          <w:sz w:val="24"/>
          <w:szCs w:val="24"/>
          <w:lang w:val="es-CR"/>
        </w:rPr>
        <w:t>.</w:t>
      </w:r>
    </w:p>
    <w:p w14:paraId="2A2BF323" w14:textId="77777777" w:rsidR="00EC142B" w:rsidRPr="00787962" w:rsidRDefault="00EC142B" w:rsidP="00EC142B">
      <w:pPr>
        <w:widowControl w:val="0"/>
        <w:rPr>
          <w:rFonts w:asciiTheme="minorHAnsi" w:hAnsiTheme="minorHAnsi" w:cstheme="minorHAnsi"/>
          <w:sz w:val="24"/>
          <w:szCs w:val="24"/>
          <w:lang w:val="es-CR"/>
        </w:rPr>
      </w:pPr>
    </w:p>
    <w:p w14:paraId="64DC750B" w14:textId="5E84F016" w:rsidR="00225437" w:rsidRPr="00787962" w:rsidRDefault="005C5B2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w:t>
      </w:r>
      <w:r w:rsidR="00CF25B5" w:rsidRPr="00787962">
        <w:rPr>
          <w:rFonts w:asciiTheme="minorHAnsi" w:hAnsiTheme="minorHAnsi" w:cstheme="minorHAnsi"/>
          <w:sz w:val="24"/>
          <w:szCs w:val="24"/>
          <w:lang w:val="es-CR"/>
        </w:rPr>
        <w:t>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w:t>
      </w:r>
      <w:r w:rsidR="007E4008">
        <w:rPr>
          <w:rFonts w:asciiTheme="minorHAnsi" w:hAnsiTheme="minorHAnsi" w:cstheme="minorHAnsi"/>
          <w:sz w:val="24"/>
          <w:szCs w:val="24"/>
          <w:lang w:val="es-CR"/>
        </w:rPr>
        <w:t>indica</w:t>
      </w:r>
      <w:r w:rsidR="00EC142B" w:rsidRPr="00787962">
        <w:rPr>
          <w:rFonts w:asciiTheme="minorHAnsi" w:hAnsiTheme="minorHAnsi" w:cstheme="minorHAnsi"/>
          <w:sz w:val="24"/>
          <w:szCs w:val="24"/>
          <w:lang w:val="es-CR"/>
        </w:rPr>
        <w:t xml:space="preserve">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w:t>
      </w:r>
      <w:r w:rsidR="00EC142B" w:rsidRPr="00BB3FDE">
        <w:rPr>
          <w:rFonts w:asciiTheme="minorHAnsi" w:hAnsiTheme="minorHAnsi" w:cstheme="minorHAnsi"/>
          <w:sz w:val="24"/>
          <w:szCs w:val="24"/>
          <w:lang w:val="es-CR"/>
        </w:rPr>
        <w:t xml:space="preserve">general </w:t>
      </w:r>
      <w:r w:rsidR="00293537" w:rsidRPr="00BB3FDE">
        <w:rPr>
          <w:rFonts w:asciiTheme="minorHAnsi" w:hAnsiTheme="minorHAnsi" w:cstheme="minorHAnsi"/>
          <w:sz w:val="24"/>
          <w:szCs w:val="24"/>
          <w:lang w:val="es-CR"/>
        </w:rPr>
        <w:t xml:space="preserve">alcanzado fue </w:t>
      </w:r>
      <w:r w:rsidR="00EC142B" w:rsidRPr="00BB3FDE">
        <w:rPr>
          <w:rFonts w:asciiTheme="minorHAnsi" w:hAnsiTheme="minorHAnsi" w:cstheme="minorHAnsi"/>
          <w:sz w:val="24"/>
          <w:szCs w:val="24"/>
          <w:lang w:val="es-CR"/>
        </w:rPr>
        <w:t xml:space="preserve">del </w:t>
      </w:r>
      <w:r w:rsidR="00BB3FDE" w:rsidRPr="00BB3FDE">
        <w:rPr>
          <w:rFonts w:asciiTheme="minorHAnsi" w:hAnsiTheme="minorHAnsi" w:cstheme="minorHAnsi"/>
          <w:sz w:val="24"/>
          <w:szCs w:val="24"/>
          <w:lang w:val="es-CR"/>
        </w:rPr>
        <w:t>84,6</w:t>
      </w:r>
      <w:r w:rsidRPr="00BB3FDE">
        <w:rPr>
          <w:rFonts w:asciiTheme="minorHAnsi" w:hAnsiTheme="minorHAnsi" w:cstheme="minorHAnsi"/>
          <w:sz w:val="24"/>
          <w:szCs w:val="24"/>
          <w:lang w:val="es-CR"/>
        </w:rPr>
        <w:t>%</w:t>
      </w:r>
    </w:p>
    <w:p w14:paraId="64DC750C" w14:textId="77777777" w:rsidR="00225437" w:rsidRPr="00787962" w:rsidRDefault="00225437" w:rsidP="00D668DE">
      <w:pPr>
        <w:spacing w:line="240" w:lineRule="auto"/>
        <w:rPr>
          <w:rFonts w:asciiTheme="minorHAnsi" w:hAnsiTheme="minorHAnsi" w:cstheme="minorHAnsi"/>
          <w:sz w:val="24"/>
          <w:szCs w:val="24"/>
          <w:lang w:val="es-CR"/>
        </w:rPr>
      </w:pPr>
    </w:p>
    <w:p w14:paraId="64DC750F" w14:textId="5DDC6595" w:rsidR="00225437" w:rsidRPr="00D668DE" w:rsidRDefault="001678BF" w:rsidP="00DA5F9A">
      <w:pPr>
        <w:pStyle w:val="Ttulo2"/>
        <w:rPr>
          <w:rStyle w:val="nfasisintenso"/>
          <w:b/>
          <w:color w:val="auto"/>
          <w:sz w:val="28"/>
          <w:szCs w:val="28"/>
        </w:rPr>
      </w:pPr>
      <w:bookmarkStart w:id="14" w:name="_Toc23842379"/>
      <w:bookmarkStart w:id="15" w:name="_Toc109179106"/>
      <w:bookmarkStart w:id="16" w:name="_Toc131912451"/>
      <w:bookmarkStart w:id="17" w:name="_Toc163371956"/>
      <w:bookmarkStart w:id="18" w:name="_Toc195505389"/>
      <w:bookmarkStart w:id="19" w:name="_Toc226364822"/>
      <w:bookmarkStart w:id="20" w:name="_Toc273448676"/>
      <w:bookmarkStart w:id="21" w:name="_Toc504486209"/>
      <w:r>
        <w:rPr>
          <w:rStyle w:val="nfasisintenso"/>
          <w:b/>
          <w:color w:val="auto"/>
          <w:sz w:val="28"/>
          <w:szCs w:val="28"/>
        </w:rPr>
        <w:t>ii</w:t>
      </w:r>
      <w:r w:rsidR="00225437" w:rsidRPr="00D668DE">
        <w:rPr>
          <w:rStyle w:val="nfasisintenso"/>
          <w:b/>
          <w:color w:val="auto"/>
          <w:sz w:val="28"/>
          <w:szCs w:val="28"/>
        </w:rPr>
        <w:t xml:space="preserve">. </w:t>
      </w:r>
      <w:r w:rsidR="00225437" w:rsidRPr="00D668DE">
        <w:rPr>
          <w:rStyle w:val="nfasisintenso"/>
          <w:b/>
          <w:color w:val="auto"/>
          <w:sz w:val="28"/>
          <w:szCs w:val="28"/>
        </w:rPr>
        <w:tab/>
        <w:t>Objeto del informe</w:t>
      </w:r>
      <w:bookmarkEnd w:id="14"/>
      <w:bookmarkEnd w:id="15"/>
      <w:bookmarkEnd w:id="16"/>
      <w:bookmarkEnd w:id="17"/>
      <w:bookmarkEnd w:id="18"/>
      <w:bookmarkEnd w:id="19"/>
      <w:bookmarkEnd w:id="20"/>
      <w:bookmarkEnd w:id="21"/>
    </w:p>
    <w:p w14:paraId="64DC7510" w14:textId="77777777" w:rsidR="00225437" w:rsidRPr="00787962" w:rsidRDefault="00225437" w:rsidP="00D668DE">
      <w:pPr>
        <w:spacing w:line="240" w:lineRule="auto"/>
        <w:rPr>
          <w:rFonts w:asciiTheme="minorHAnsi" w:hAnsiTheme="minorHAnsi" w:cstheme="minorHAnsi"/>
          <w:sz w:val="24"/>
          <w:szCs w:val="24"/>
          <w:lang w:val="es-CR"/>
        </w:rPr>
      </w:pPr>
    </w:p>
    <w:p w14:paraId="64DC7511" w14:textId="4776E316"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w:t>
      </w:r>
      <w:r w:rsidR="007E4008">
        <w:rPr>
          <w:rFonts w:asciiTheme="minorHAnsi" w:hAnsiTheme="minorHAnsi" w:cstheme="minorHAnsi"/>
          <w:sz w:val="24"/>
          <w:szCs w:val="24"/>
          <w:lang w:val="es-CR"/>
        </w:rPr>
        <w:t>liquidación</w:t>
      </w:r>
      <w:r w:rsidRPr="00787962">
        <w:rPr>
          <w:rFonts w:asciiTheme="minorHAnsi" w:hAnsiTheme="minorHAnsi" w:cstheme="minorHAnsi"/>
          <w:sz w:val="24"/>
          <w:szCs w:val="24"/>
          <w:lang w:val="es-CR"/>
        </w:rPr>
        <w:t xml:space="preserve">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6DFAE7AB"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w:t>
      </w:r>
      <w:r w:rsidR="00F7361B">
        <w:rPr>
          <w:rFonts w:asciiTheme="minorHAnsi" w:hAnsiTheme="minorHAnsi" w:cstheme="minorHAnsi"/>
          <w:sz w:val="24"/>
          <w:szCs w:val="24"/>
          <w:lang w:val="es-CR"/>
        </w:rPr>
        <w:t>liquidación</w:t>
      </w:r>
      <w:r w:rsidRPr="00787962">
        <w:rPr>
          <w:rFonts w:asciiTheme="minorHAnsi" w:hAnsiTheme="minorHAnsi" w:cstheme="minorHAnsi"/>
          <w:sz w:val="24"/>
          <w:szCs w:val="24"/>
          <w:lang w:val="es-CR"/>
        </w:rPr>
        <w:t xml:space="preserve"> del presupuesto de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5" w14:textId="504A7DE3" w:rsidR="00254CAE" w:rsidRPr="00254CAE" w:rsidRDefault="00EC142B" w:rsidP="00254CAE">
      <w:pPr>
        <w:numPr>
          <w:ilvl w:val="0"/>
          <w:numId w:val="3"/>
        </w:numPr>
        <w:spacing w:before="120" w:after="120"/>
        <w:rPr>
          <w:rFonts w:asciiTheme="minorHAnsi" w:hAnsiTheme="minorHAnsi" w:cstheme="minorHAnsi"/>
          <w:sz w:val="24"/>
          <w:szCs w:val="24"/>
          <w:lang w:val="es-CR"/>
        </w:rPr>
      </w:pPr>
      <w:r w:rsidRPr="00254CAE">
        <w:rPr>
          <w:rFonts w:asciiTheme="minorHAnsi" w:hAnsiTheme="minorHAnsi" w:cstheme="minorHAnsi"/>
          <w:sz w:val="24"/>
          <w:szCs w:val="24"/>
          <w:lang w:val="es-CR"/>
        </w:rPr>
        <w:t xml:space="preserve">Utilizar </w:t>
      </w:r>
      <w:r w:rsidR="007E4008">
        <w:rPr>
          <w:rFonts w:asciiTheme="minorHAnsi" w:hAnsiTheme="minorHAnsi" w:cstheme="minorHAnsi"/>
          <w:sz w:val="24"/>
          <w:szCs w:val="24"/>
          <w:lang w:val="es-CR"/>
        </w:rPr>
        <w:t>como</w:t>
      </w:r>
      <w:r w:rsidRPr="00254CAE">
        <w:rPr>
          <w:rFonts w:asciiTheme="minorHAnsi" w:hAnsiTheme="minorHAnsi" w:cstheme="minorHAnsi"/>
          <w:sz w:val="24"/>
          <w:szCs w:val="24"/>
          <w:lang w:val="es-CR"/>
        </w:rPr>
        <w:t xml:space="preserve"> mecanismos de control y seguimiento tanto para la </w:t>
      </w:r>
      <w:r w:rsidR="000D22E0" w:rsidRPr="00254CAE">
        <w:rPr>
          <w:rFonts w:asciiTheme="minorHAnsi" w:hAnsiTheme="minorHAnsi" w:cstheme="minorHAnsi"/>
          <w:sz w:val="24"/>
          <w:szCs w:val="24"/>
          <w:lang w:val="es-CR"/>
        </w:rPr>
        <w:t>SUPEN</w:t>
      </w:r>
      <w:r w:rsidRPr="00254CAE">
        <w:rPr>
          <w:rFonts w:asciiTheme="minorHAnsi" w:hAnsiTheme="minorHAnsi" w:cstheme="minorHAnsi"/>
          <w:sz w:val="24"/>
          <w:szCs w:val="24"/>
          <w:lang w:val="es-CR"/>
        </w:rPr>
        <w:t xml:space="preserve"> como para el </w:t>
      </w:r>
      <w:r w:rsidR="00AC7DE6" w:rsidRPr="00254CAE">
        <w:rPr>
          <w:rFonts w:asciiTheme="minorHAnsi" w:hAnsiTheme="minorHAnsi" w:cstheme="minorHAnsi"/>
          <w:sz w:val="24"/>
          <w:szCs w:val="24"/>
          <w:lang w:val="es-CR"/>
        </w:rPr>
        <w:t>CONASSIF</w:t>
      </w:r>
      <w:r w:rsidR="00573E3A" w:rsidRPr="00254CAE">
        <w:rPr>
          <w:rFonts w:asciiTheme="minorHAnsi" w:hAnsiTheme="minorHAnsi" w:cstheme="minorHAnsi"/>
          <w:sz w:val="24"/>
          <w:szCs w:val="24"/>
          <w:lang w:val="es-CR"/>
        </w:rPr>
        <w:t xml:space="preserve">. </w:t>
      </w:r>
      <w:r w:rsidR="00254CAE" w:rsidRPr="00254CAE">
        <w:rPr>
          <w:rFonts w:asciiTheme="minorHAnsi" w:hAnsiTheme="minorHAnsi" w:cstheme="minorHAnsi"/>
          <w:sz w:val="24"/>
          <w:szCs w:val="24"/>
          <w:lang w:val="es-CR"/>
        </w:rPr>
        <w:br w:type="page"/>
      </w:r>
    </w:p>
    <w:p w14:paraId="028D1162" w14:textId="40580E97" w:rsidR="00A06D37" w:rsidRPr="00787962" w:rsidRDefault="00254CAE"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2" w:name="_Toc504486210"/>
      <w:r>
        <w:rPr>
          <w:rFonts w:asciiTheme="minorHAnsi" w:hAnsiTheme="minorHAnsi" w:cstheme="minorHAnsi"/>
          <w:sz w:val="28"/>
          <w:szCs w:val="28"/>
          <w:lang w:val="es-CR"/>
        </w:rPr>
        <w:t>RESULTADOS DE LA LIQUIDACIÓN PRESUPUESTARIA</w:t>
      </w:r>
      <w:bookmarkEnd w:id="22"/>
    </w:p>
    <w:p w14:paraId="64B29713" w14:textId="0C464C9D" w:rsidR="00A06D37" w:rsidRDefault="00A06D37" w:rsidP="00225437">
      <w:pPr>
        <w:spacing w:line="288" w:lineRule="auto"/>
        <w:rPr>
          <w:rFonts w:asciiTheme="minorHAnsi" w:hAnsiTheme="minorHAnsi" w:cstheme="minorHAnsi"/>
          <w:sz w:val="24"/>
          <w:szCs w:val="24"/>
          <w:lang w:val="es-CR"/>
        </w:rPr>
      </w:pPr>
    </w:p>
    <w:p w14:paraId="64DC7517" w14:textId="52D4C8B2" w:rsidR="00225437" w:rsidRPr="00282C71" w:rsidRDefault="00254CAE" w:rsidP="006F5BD7">
      <w:pPr>
        <w:pStyle w:val="Ttulo2"/>
        <w:numPr>
          <w:ilvl w:val="1"/>
          <w:numId w:val="2"/>
        </w:numPr>
        <w:ind w:left="1276" w:hanging="916"/>
        <w:rPr>
          <w:rStyle w:val="nfasisintenso"/>
          <w:color w:val="auto"/>
          <w:sz w:val="28"/>
          <w:szCs w:val="28"/>
        </w:rPr>
      </w:pPr>
      <w:bookmarkStart w:id="23" w:name="_Toc504486211"/>
      <w:bookmarkStart w:id="24" w:name="_Toc514582661"/>
      <w:bookmarkStart w:id="25" w:name="_Toc16481527"/>
      <w:r w:rsidRPr="00282C71">
        <w:rPr>
          <w:rStyle w:val="nfasisintenso"/>
          <w:color w:val="auto"/>
          <w:sz w:val="28"/>
          <w:szCs w:val="28"/>
        </w:rPr>
        <w:t>Resumen de los ingresos y egresos ejecutados</w:t>
      </w:r>
      <w:bookmarkEnd w:id="23"/>
    </w:p>
    <w:p w14:paraId="3FA01FC4" w14:textId="77777777" w:rsidR="00D668DE" w:rsidRPr="0050400F" w:rsidRDefault="00D668DE" w:rsidP="00225437">
      <w:pPr>
        <w:rPr>
          <w:rFonts w:asciiTheme="minorHAnsi" w:hAnsiTheme="minorHAnsi" w:cstheme="minorHAnsi"/>
          <w:sz w:val="24"/>
          <w:szCs w:val="24"/>
          <w:lang w:val="es-CR"/>
        </w:rPr>
      </w:pPr>
    </w:p>
    <w:p w14:paraId="64DC7518" w14:textId="50459066" w:rsidR="00225437" w:rsidRPr="0050400F" w:rsidRDefault="00D668DE" w:rsidP="00225437">
      <w:pPr>
        <w:rPr>
          <w:rFonts w:asciiTheme="minorHAnsi" w:hAnsiTheme="minorHAnsi" w:cstheme="minorHAnsi"/>
          <w:sz w:val="24"/>
          <w:szCs w:val="24"/>
          <w:lang w:val="es-CR"/>
        </w:rPr>
      </w:pPr>
      <w:r w:rsidRPr="0050400F">
        <w:rPr>
          <w:rFonts w:asciiTheme="minorHAnsi" w:hAnsiTheme="minorHAnsi" w:cstheme="minorHAnsi"/>
          <w:sz w:val="24"/>
          <w:szCs w:val="24"/>
          <w:lang w:val="es-CR"/>
        </w:rPr>
        <w:t>El siguiente cuadro refleja la totalidad de ingresos recibidos y la totalidad de gastos ejecutados en el período de análisis</w:t>
      </w:r>
      <w:r w:rsidR="00A1087A">
        <w:rPr>
          <w:rFonts w:asciiTheme="minorHAnsi" w:hAnsiTheme="minorHAnsi" w:cstheme="minorHAnsi"/>
          <w:sz w:val="24"/>
          <w:szCs w:val="24"/>
          <w:lang w:val="es-CR"/>
        </w:rPr>
        <w:t>.</w:t>
      </w:r>
    </w:p>
    <w:p w14:paraId="55145C3B" w14:textId="77777777" w:rsidR="00D668DE" w:rsidRPr="0050400F" w:rsidRDefault="00D668DE" w:rsidP="00225437">
      <w:pPr>
        <w:rPr>
          <w:rFonts w:asciiTheme="minorHAnsi" w:hAnsiTheme="minorHAnsi" w:cstheme="minorHAnsi"/>
          <w:sz w:val="24"/>
          <w:szCs w:val="24"/>
          <w:lang w:val="es-CR"/>
        </w:rPr>
      </w:pPr>
    </w:p>
    <w:p w14:paraId="31E01525" w14:textId="748D612D" w:rsidR="00254CAE" w:rsidRDefault="00D668DE" w:rsidP="00D668DE">
      <w:pPr>
        <w:spacing w:line="240" w:lineRule="auto"/>
        <w:rPr>
          <w:rFonts w:asciiTheme="minorHAnsi" w:hAnsiTheme="minorHAnsi" w:cstheme="minorHAnsi"/>
          <w:lang w:val="es-CR"/>
        </w:rPr>
      </w:pPr>
      <w:r>
        <w:rPr>
          <w:rFonts w:asciiTheme="minorHAnsi" w:hAnsiTheme="minorHAnsi" w:cstheme="minorHAnsi"/>
          <w:lang w:val="es-CR"/>
        </w:rPr>
        <w:t xml:space="preserve">Cuadro 1: </w:t>
      </w:r>
      <w:r w:rsidRPr="00D668DE">
        <w:rPr>
          <w:rFonts w:asciiTheme="minorHAnsi" w:hAnsiTheme="minorHAnsi" w:cstheme="minorHAnsi"/>
          <w:b/>
          <w:lang w:val="es-CR"/>
        </w:rPr>
        <w:t>Informe de ingresos recibidos y gastos ejecutados</w:t>
      </w:r>
    </w:p>
    <w:p w14:paraId="6ED5E226" w14:textId="4E4B7AF3" w:rsidR="00D668DE" w:rsidRPr="00D668DE" w:rsidRDefault="00D668DE" w:rsidP="00D668DE">
      <w:pPr>
        <w:spacing w:line="240" w:lineRule="auto"/>
        <w:rPr>
          <w:rFonts w:asciiTheme="minorHAnsi" w:hAnsiTheme="minorHAnsi" w:cstheme="minorHAnsi"/>
          <w:sz w:val="20"/>
          <w:lang w:val="es-CR"/>
        </w:rPr>
      </w:pPr>
      <w:r w:rsidRPr="00D668DE">
        <w:rPr>
          <w:rFonts w:asciiTheme="minorHAnsi" w:hAnsiTheme="minorHAnsi" w:cstheme="minorHAnsi"/>
          <w:sz w:val="20"/>
          <w:lang w:val="es-CR"/>
        </w:rPr>
        <w:t>31 de diciembre de 2017</w:t>
      </w:r>
    </w:p>
    <w:p w14:paraId="7E06981B" w14:textId="594E25F5" w:rsidR="00254CAE" w:rsidRDefault="00D668DE" w:rsidP="00254CAE">
      <w:pPr>
        <w:jc w:val="center"/>
        <w:rPr>
          <w:rFonts w:asciiTheme="minorHAnsi" w:hAnsiTheme="minorHAnsi" w:cstheme="minorHAnsi"/>
          <w:lang w:val="es-CR"/>
        </w:rPr>
      </w:pPr>
      <w:r w:rsidRPr="00D668DE">
        <w:rPr>
          <w:noProof/>
        </w:rPr>
        <w:drawing>
          <wp:inline distT="0" distB="0" distL="0" distR="0" wp14:anchorId="56F45F89" wp14:editId="6781F12F">
            <wp:extent cx="5918408" cy="2861006"/>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902" cy="2864145"/>
                    </a:xfrm>
                    <a:prstGeom prst="rect">
                      <a:avLst/>
                    </a:prstGeom>
                    <a:noFill/>
                    <a:ln>
                      <a:noFill/>
                    </a:ln>
                  </pic:spPr>
                </pic:pic>
              </a:graphicData>
            </a:graphic>
          </wp:inline>
        </w:drawing>
      </w:r>
    </w:p>
    <w:p w14:paraId="34BE6CCE" w14:textId="4F10D154" w:rsidR="00254CAE" w:rsidRDefault="00254CAE" w:rsidP="00225437">
      <w:pPr>
        <w:rPr>
          <w:rFonts w:asciiTheme="minorHAnsi" w:hAnsiTheme="minorHAnsi" w:cstheme="minorHAnsi"/>
          <w:lang w:val="es-CR"/>
        </w:rPr>
      </w:pPr>
    </w:p>
    <w:p w14:paraId="533B5244" w14:textId="77777777" w:rsidR="00995781" w:rsidRDefault="00995781" w:rsidP="00225437">
      <w:pPr>
        <w:rPr>
          <w:rFonts w:asciiTheme="minorHAnsi" w:hAnsiTheme="minorHAnsi" w:cstheme="minorHAnsi"/>
          <w:lang w:val="es-CR"/>
        </w:rPr>
      </w:pPr>
    </w:p>
    <w:p w14:paraId="7A387184" w14:textId="00554683" w:rsidR="0050400F" w:rsidRPr="0050400F" w:rsidRDefault="0050400F" w:rsidP="0061263C">
      <w:pPr>
        <w:pStyle w:val="Ttulo2"/>
        <w:numPr>
          <w:ilvl w:val="1"/>
          <w:numId w:val="2"/>
        </w:numPr>
        <w:ind w:left="1276" w:hanging="916"/>
        <w:rPr>
          <w:rStyle w:val="nfasisintenso"/>
          <w:color w:val="auto"/>
          <w:sz w:val="28"/>
          <w:szCs w:val="28"/>
        </w:rPr>
      </w:pPr>
      <w:bookmarkStart w:id="26" w:name="_Toc504486212"/>
      <w:r>
        <w:rPr>
          <w:rStyle w:val="nfasisintenso"/>
          <w:color w:val="auto"/>
          <w:sz w:val="28"/>
          <w:szCs w:val="28"/>
        </w:rPr>
        <w:t>Detalle de la conformación del super</w:t>
      </w:r>
      <w:r w:rsidR="003A578C">
        <w:rPr>
          <w:rStyle w:val="nfasisintenso"/>
          <w:color w:val="auto"/>
          <w:sz w:val="28"/>
          <w:szCs w:val="28"/>
        </w:rPr>
        <w:t>ávit</w:t>
      </w:r>
      <w:bookmarkEnd w:id="26"/>
    </w:p>
    <w:p w14:paraId="08DA1D06" w14:textId="77777777" w:rsidR="0050400F" w:rsidRDefault="0050400F" w:rsidP="00225437">
      <w:pPr>
        <w:rPr>
          <w:rFonts w:asciiTheme="minorHAnsi" w:hAnsiTheme="minorHAnsi" w:cstheme="minorHAnsi"/>
          <w:sz w:val="24"/>
          <w:szCs w:val="24"/>
          <w:lang w:val="es-CR"/>
        </w:rPr>
      </w:pPr>
    </w:p>
    <w:p w14:paraId="4378836F" w14:textId="62ABFD42" w:rsidR="0050400F" w:rsidRDefault="0050400F" w:rsidP="00225437">
      <w:pPr>
        <w:rPr>
          <w:rFonts w:asciiTheme="minorHAnsi" w:hAnsiTheme="minorHAnsi" w:cstheme="minorHAnsi"/>
          <w:sz w:val="24"/>
          <w:szCs w:val="24"/>
          <w:lang w:val="es-CR"/>
        </w:rPr>
      </w:pPr>
      <w:r w:rsidRPr="0050400F">
        <w:rPr>
          <w:rFonts w:asciiTheme="minorHAnsi" w:hAnsiTheme="minorHAnsi" w:cstheme="minorHAnsi"/>
          <w:sz w:val="24"/>
          <w:szCs w:val="24"/>
          <w:lang w:val="es-CR"/>
        </w:rPr>
        <w:t xml:space="preserve">El financiamiento del presupuesto de la SUPEN está determinado en la Ley Reguladora del Mercado de Valores N.° 7732, en la que establece que, </w:t>
      </w:r>
      <w:r>
        <w:rPr>
          <w:rFonts w:asciiTheme="minorHAnsi" w:hAnsiTheme="minorHAnsi" w:cstheme="minorHAnsi"/>
          <w:sz w:val="24"/>
          <w:szCs w:val="24"/>
          <w:lang w:val="es-CR"/>
        </w:rPr>
        <w:t xml:space="preserve">del presupuesto ejecutado </w:t>
      </w:r>
      <w:r w:rsidRPr="0050400F">
        <w:rPr>
          <w:rFonts w:asciiTheme="minorHAnsi" w:hAnsiTheme="minorHAnsi" w:cstheme="minorHAnsi"/>
          <w:sz w:val="24"/>
          <w:szCs w:val="24"/>
          <w:lang w:val="es-CR"/>
        </w:rPr>
        <w:t xml:space="preserve">un 80% es aportado por el Banco Central de Costa Rica y el restante 20% es contribuido </w:t>
      </w:r>
      <w:r w:rsidR="00073388">
        <w:rPr>
          <w:rFonts w:asciiTheme="minorHAnsi" w:hAnsiTheme="minorHAnsi" w:cstheme="minorHAnsi"/>
          <w:sz w:val="24"/>
          <w:szCs w:val="24"/>
          <w:lang w:val="es-CR"/>
        </w:rPr>
        <w:t xml:space="preserve">de manera proporcional </w:t>
      </w:r>
      <w:r w:rsidRPr="0050400F">
        <w:rPr>
          <w:rFonts w:asciiTheme="minorHAnsi" w:hAnsiTheme="minorHAnsi" w:cstheme="minorHAnsi"/>
          <w:sz w:val="24"/>
          <w:szCs w:val="24"/>
          <w:lang w:val="es-CR"/>
        </w:rPr>
        <w:t>por los sujetos supervisados.</w:t>
      </w:r>
    </w:p>
    <w:p w14:paraId="0D63ED02" w14:textId="03FB6A53" w:rsidR="0050400F" w:rsidRDefault="0050400F" w:rsidP="00225437">
      <w:pPr>
        <w:rPr>
          <w:rFonts w:asciiTheme="minorHAnsi" w:hAnsiTheme="minorHAnsi" w:cstheme="minorHAnsi"/>
          <w:sz w:val="24"/>
          <w:szCs w:val="24"/>
          <w:lang w:val="es-CR"/>
        </w:rPr>
      </w:pPr>
    </w:p>
    <w:p w14:paraId="5F2AB211" w14:textId="7AE17D03" w:rsidR="0050400F" w:rsidRPr="0050400F" w:rsidRDefault="0050400F" w:rsidP="00225437">
      <w:pPr>
        <w:rPr>
          <w:rFonts w:asciiTheme="minorHAnsi" w:hAnsiTheme="minorHAnsi" w:cstheme="minorHAnsi"/>
          <w:sz w:val="24"/>
          <w:szCs w:val="24"/>
          <w:lang w:val="es-CR"/>
        </w:rPr>
      </w:pPr>
      <w:r>
        <w:rPr>
          <w:rFonts w:asciiTheme="minorHAnsi" w:hAnsiTheme="minorHAnsi" w:cstheme="minorHAnsi"/>
          <w:sz w:val="24"/>
          <w:szCs w:val="24"/>
          <w:lang w:val="es-CR"/>
        </w:rPr>
        <w:t>Dada esa normativa</w:t>
      </w:r>
      <w:r w:rsidR="00073388">
        <w:rPr>
          <w:rFonts w:asciiTheme="minorHAnsi" w:hAnsiTheme="minorHAnsi" w:cstheme="minorHAnsi"/>
          <w:sz w:val="24"/>
          <w:szCs w:val="24"/>
          <w:lang w:val="es-CR"/>
        </w:rPr>
        <w:t>,</w:t>
      </w:r>
      <w:r>
        <w:rPr>
          <w:rFonts w:asciiTheme="minorHAnsi" w:hAnsiTheme="minorHAnsi" w:cstheme="minorHAnsi"/>
          <w:sz w:val="24"/>
          <w:szCs w:val="24"/>
          <w:lang w:val="es-CR"/>
        </w:rPr>
        <w:t xml:space="preserve"> la SUPEN no refleja superávit</w:t>
      </w:r>
      <w:r w:rsidR="00A1087A">
        <w:rPr>
          <w:rFonts w:asciiTheme="minorHAnsi" w:hAnsiTheme="minorHAnsi" w:cstheme="minorHAnsi"/>
          <w:sz w:val="24"/>
          <w:szCs w:val="24"/>
          <w:lang w:val="es-CR"/>
        </w:rPr>
        <w:t xml:space="preserve"> de ningún tipo</w:t>
      </w:r>
      <w:r>
        <w:rPr>
          <w:rFonts w:asciiTheme="minorHAnsi" w:hAnsiTheme="minorHAnsi" w:cstheme="minorHAnsi"/>
          <w:sz w:val="24"/>
          <w:szCs w:val="24"/>
          <w:lang w:val="es-CR"/>
        </w:rPr>
        <w:t>, por lo que no se presenta detalle alguno</w:t>
      </w:r>
      <w:r w:rsidR="00A1087A">
        <w:rPr>
          <w:rFonts w:asciiTheme="minorHAnsi" w:hAnsiTheme="minorHAnsi" w:cstheme="minorHAnsi"/>
          <w:sz w:val="24"/>
          <w:szCs w:val="24"/>
          <w:lang w:val="es-CR"/>
        </w:rPr>
        <w:t xml:space="preserve"> de la conformación</w:t>
      </w:r>
      <w:r>
        <w:rPr>
          <w:rFonts w:asciiTheme="minorHAnsi" w:hAnsiTheme="minorHAnsi" w:cstheme="minorHAnsi"/>
          <w:sz w:val="24"/>
          <w:szCs w:val="24"/>
          <w:lang w:val="es-CR"/>
        </w:rPr>
        <w:t xml:space="preserve"> del superávit en esta sección del informe</w:t>
      </w:r>
      <w:r w:rsidR="00A1087A">
        <w:rPr>
          <w:rFonts w:asciiTheme="minorHAnsi" w:hAnsiTheme="minorHAnsi" w:cstheme="minorHAnsi"/>
          <w:sz w:val="24"/>
          <w:szCs w:val="24"/>
          <w:lang w:val="es-CR"/>
        </w:rPr>
        <w:t>.</w:t>
      </w:r>
    </w:p>
    <w:p w14:paraId="5915F34A" w14:textId="507C9F7A" w:rsidR="0050400F" w:rsidRDefault="0050400F" w:rsidP="00225437">
      <w:pPr>
        <w:rPr>
          <w:rFonts w:asciiTheme="minorHAnsi" w:hAnsiTheme="minorHAnsi" w:cstheme="minorHAnsi"/>
          <w:sz w:val="24"/>
          <w:szCs w:val="24"/>
          <w:lang w:val="es-CR"/>
        </w:rPr>
      </w:pPr>
    </w:p>
    <w:p w14:paraId="57FEE336" w14:textId="77777777" w:rsidR="00B45046" w:rsidRPr="0050400F" w:rsidRDefault="00B45046" w:rsidP="00225437">
      <w:pPr>
        <w:rPr>
          <w:rFonts w:asciiTheme="minorHAnsi" w:hAnsiTheme="minorHAnsi" w:cstheme="minorHAnsi"/>
          <w:sz w:val="24"/>
          <w:szCs w:val="24"/>
          <w:lang w:val="es-CR"/>
        </w:rPr>
      </w:pPr>
    </w:p>
    <w:p w14:paraId="50FCB506" w14:textId="6BCB8E8E" w:rsidR="00A1087A" w:rsidRPr="0050400F" w:rsidRDefault="00A1087A" w:rsidP="0061263C">
      <w:pPr>
        <w:pStyle w:val="Ttulo2"/>
        <w:numPr>
          <w:ilvl w:val="1"/>
          <w:numId w:val="2"/>
        </w:numPr>
        <w:ind w:left="1276" w:hanging="916"/>
        <w:rPr>
          <w:rStyle w:val="nfasisintenso"/>
          <w:color w:val="auto"/>
          <w:sz w:val="28"/>
          <w:szCs w:val="28"/>
        </w:rPr>
      </w:pPr>
      <w:bookmarkStart w:id="27" w:name="_Toc504486213"/>
      <w:r>
        <w:rPr>
          <w:rStyle w:val="nfasisintenso"/>
          <w:color w:val="auto"/>
          <w:sz w:val="28"/>
          <w:szCs w:val="28"/>
        </w:rPr>
        <w:t>Monto del superávit libre o déficit</w:t>
      </w:r>
      <w:bookmarkEnd w:id="27"/>
    </w:p>
    <w:p w14:paraId="607C54FE" w14:textId="38EE5EE4" w:rsidR="00577E6B" w:rsidRDefault="00577E6B" w:rsidP="00225437">
      <w:pPr>
        <w:rPr>
          <w:rFonts w:asciiTheme="minorHAnsi" w:hAnsiTheme="minorHAnsi" w:cstheme="minorHAnsi"/>
          <w:sz w:val="24"/>
          <w:szCs w:val="24"/>
          <w:lang w:val="es-CR"/>
        </w:rPr>
      </w:pPr>
    </w:p>
    <w:p w14:paraId="2BBB35D5" w14:textId="2961B831" w:rsidR="000D4770" w:rsidRDefault="0006164A" w:rsidP="00225437">
      <w:pPr>
        <w:rPr>
          <w:rFonts w:asciiTheme="minorHAnsi" w:hAnsiTheme="minorHAnsi" w:cstheme="minorHAnsi"/>
          <w:sz w:val="24"/>
          <w:szCs w:val="24"/>
          <w:lang w:val="es-CR"/>
        </w:rPr>
      </w:pPr>
      <w:r>
        <w:rPr>
          <w:rFonts w:asciiTheme="minorHAnsi" w:hAnsiTheme="minorHAnsi" w:cstheme="minorHAnsi"/>
          <w:sz w:val="24"/>
          <w:szCs w:val="24"/>
          <w:lang w:val="es-CR"/>
        </w:rPr>
        <w:t xml:space="preserve">Por la forma en que se sufragan los egresos no existe superávit ni déficit. </w:t>
      </w:r>
      <w:r w:rsidRPr="00750666">
        <w:rPr>
          <w:rFonts w:asciiTheme="minorHAnsi" w:hAnsiTheme="minorHAnsi" w:cstheme="minorHAnsi"/>
          <w:sz w:val="24"/>
          <w:szCs w:val="24"/>
          <w:lang w:val="es-CR"/>
        </w:rPr>
        <w:t>El siguiente cuadro refleja de manera resumida los ingresos totales dev</w:t>
      </w:r>
      <w:r>
        <w:rPr>
          <w:rFonts w:asciiTheme="minorHAnsi" w:hAnsiTheme="minorHAnsi" w:cstheme="minorHAnsi"/>
          <w:sz w:val="24"/>
          <w:szCs w:val="24"/>
          <w:lang w:val="es-CR"/>
        </w:rPr>
        <w:t>engados y los gastos ejecutados.</w:t>
      </w:r>
    </w:p>
    <w:p w14:paraId="18D22576" w14:textId="77777777" w:rsidR="000D4770" w:rsidRPr="000D4770" w:rsidRDefault="000D4770" w:rsidP="00225437">
      <w:pPr>
        <w:rPr>
          <w:rFonts w:asciiTheme="minorHAnsi" w:hAnsiTheme="minorHAnsi" w:cstheme="minorHAnsi"/>
          <w:sz w:val="24"/>
          <w:szCs w:val="24"/>
          <w:lang w:val="es-CR"/>
        </w:rPr>
      </w:pPr>
    </w:p>
    <w:p w14:paraId="3F8C68DB" w14:textId="7225BAA7" w:rsidR="000D4770" w:rsidRDefault="000D4770" w:rsidP="00895F4F">
      <w:pPr>
        <w:spacing w:line="240" w:lineRule="auto"/>
        <w:ind w:left="567"/>
        <w:rPr>
          <w:rFonts w:asciiTheme="minorHAnsi" w:hAnsiTheme="minorHAnsi" w:cstheme="minorHAnsi"/>
          <w:lang w:val="es-CR"/>
        </w:rPr>
      </w:pPr>
      <w:r>
        <w:rPr>
          <w:rFonts w:asciiTheme="minorHAnsi" w:hAnsiTheme="minorHAnsi" w:cstheme="minorHAnsi"/>
          <w:lang w:val="es-CR"/>
        </w:rPr>
        <w:t xml:space="preserve">Cuadro 2: </w:t>
      </w:r>
      <w:r w:rsidRPr="00D668DE">
        <w:rPr>
          <w:rFonts w:asciiTheme="minorHAnsi" w:hAnsiTheme="minorHAnsi" w:cstheme="minorHAnsi"/>
          <w:b/>
          <w:lang w:val="es-CR"/>
        </w:rPr>
        <w:t xml:space="preserve">Informe de </w:t>
      </w:r>
      <w:r>
        <w:rPr>
          <w:rFonts w:asciiTheme="minorHAnsi" w:hAnsiTheme="minorHAnsi" w:cstheme="minorHAnsi"/>
          <w:b/>
          <w:lang w:val="es-CR"/>
        </w:rPr>
        <w:t>superávit o déficit</w:t>
      </w:r>
    </w:p>
    <w:p w14:paraId="089F7859" w14:textId="77777777" w:rsidR="000D4770" w:rsidRPr="00D668DE" w:rsidRDefault="000D4770" w:rsidP="00895F4F">
      <w:pPr>
        <w:spacing w:line="240" w:lineRule="auto"/>
        <w:ind w:left="567"/>
        <w:rPr>
          <w:rFonts w:asciiTheme="minorHAnsi" w:hAnsiTheme="minorHAnsi" w:cstheme="minorHAnsi"/>
          <w:sz w:val="20"/>
          <w:lang w:val="es-CR"/>
        </w:rPr>
      </w:pPr>
      <w:r w:rsidRPr="00D668DE">
        <w:rPr>
          <w:rFonts w:asciiTheme="minorHAnsi" w:hAnsiTheme="minorHAnsi" w:cstheme="minorHAnsi"/>
          <w:sz w:val="20"/>
          <w:lang w:val="es-CR"/>
        </w:rPr>
        <w:t>31 de diciembre de 2017</w:t>
      </w:r>
    </w:p>
    <w:p w14:paraId="3699B344" w14:textId="05218B6A" w:rsidR="00A1087A" w:rsidRDefault="00A1087A" w:rsidP="00A1087A">
      <w:pPr>
        <w:jc w:val="center"/>
        <w:rPr>
          <w:rFonts w:asciiTheme="minorHAnsi" w:hAnsiTheme="minorHAnsi" w:cstheme="minorHAnsi"/>
          <w:lang w:val="es-CR"/>
        </w:rPr>
      </w:pPr>
      <w:r w:rsidRPr="00A1087A">
        <w:rPr>
          <w:noProof/>
        </w:rPr>
        <w:drawing>
          <wp:inline distT="0" distB="0" distL="0" distR="0" wp14:anchorId="355ABD61" wp14:editId="66B46B49">
            <wp:extent cx="4935317" cy="4220307"/>
            <wp:effectExtent l="19050" t="19050" r="17780" b="279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7726" cy="4230918"/>
                    </a:xfrm>
                    <a:prstGeom prst="rect">
                      <a:avLst/>
                    </a:prstGeom>
                    <a:noFill/>
                    <a:ln>
                      <a:solidFill>
                        <a:schemeClr val="accent1"/>
                      </a:solidFill>
                    </a:ln>
                  </pic:spPr>
                </pic:pic>
              </a:graphicData>
            </a:graphic>
          </wp:inline>
        </w:drawing>
      </w:r>
    </w:p>
    <w:p w14:paraId="08ED59E8" w14:textId="45650971" w:rsidR="00A1087A" w:rsidRDefault="00A1087A" w:rsidP="00225437">
      <w:pPr>
        <w:rPr>
          <w:rFonts w:asciiTheme="minorHAnsi" w:hAnsiTheme="minorHAnsi" w:cstheme="minorHAnsi"/>
          <w:lang w:val="es-CR"/>
        </w:rPr>
      </w:pPr>
    </w:p>
    <w:p w14:paraId="5028086B" w14:textId="77777777" w:rsidR="00D16486" w:rsidRDefault="00D16486" w:rsidP="00225437">
      <w:pPr>
        <w:rPr>
          <w:rFonts w:asciiTheme="minorHAnsi" w:hAnsiTheme="minorHAnsi" w:cstheme="minorHAnsi"/>
          <w:lang w:val="es-CR"/>
        </w:rPr>
      </w:pPr>
    </w:p>
    <w:p w14:paraId="2EAFE38E" w14:textId="2175F9D6" w:rsidR="00197BBB" w:rsidRPr="0050400F" w:rsidRDefault="00197BBB" w:rsidP="0061263C">
      <w:pPr>
        <w:pStyle w:val="Ttulo2"/>
        <w:numPr>
          <w:ilvl w:val="1"/>
          <w:numId w:val="2"/>
        </w:numPr>
        <w:ind w:left="1276" w:hanging="916"/>
        <w:rPr>
          <w:rStyle w:val="nfasisintenso"/>
          <w:color w:val="auto"/>
          <w:sz w:val="28"/>
          <w:szCs w:val="28"/>
        </w:rPr>
      </w:pPr>
      <w:bookmarkStart w:id="28" w:name="_Toc504486214"/>
      <w:r>
        <w:rPr>
          <w:rStyle w:val="nfasisintenso"/>
          <w:color w:val="auto"/>
          <w:sz w:val="28"/>
          <w:szCs w:val="28"/>
        </w:rPr>
        <w:t>Detalle del cálculo de cada uno de los componentes del superávit</w:t>
      </w:r>
      <w:r w:rsidR="00B31989">
        <w:rPr>
          <w:rStyle w:val="nfasisintenso"/>
          <w:color w:val="auto"/>
          <w:sz w:val="28"/>
          <w:szCs w:val="28"/>
        </w:rPr>
        <w:t>.</w:t>
      </w:r>
      <w:bookmarkEnd w:id="28"/>
    </w:p>
    <w:p w14:paraId="350F728B" w14:textId="3F6B8C1D" w:rsidR="00197BBB" w:rsidRPr="00197BBB" w:rsidRDefault="00197BBB" w:rsidP="00225437">
      <w:pPr>
        <w:rPr>
          <w:rFonts w:asciiTheme="minorHAnsi" w:hAnsiTheme="minorHAnsi" w:cstheme="minorHAnsi"/>
          <w:sz w:val="24"/>
          <w:szCs w:val="24"/>
          <w:lang w:val="es-CR"/>
        </w:rPr>
      </w:pPr>
    </w:p>
    <w:p w14:paraId="1BEB10ED" w14:textId="68CEBE10" w:rsidR="00197BBB" w:rsidRPr="00197BBB" w:rsidRDefault="00197BBB" w:rsidP="00225437">
      <w:pPr>
        <w:rPr>
          <w:rFonts w:asciiTheme="minorHAnsi" w:hAnsiTheme="minorHAnsi" w:cstheme="minorHAnsi"/>
          <w:sz w:val="24"/>
          <w:szCs w:val="24"/>
          <w:lang w:val="es-CR"/>
        </w:rPr>
      </w:pPr>
      <w:r w:rsidRPr="00197BBB">
        <w:rPr>
          <w:rFonts w:asciiTheme="minorHAnsi" w:hAnsiTheme="minorHAnsi" w:cstheme="minorHAnsi"/>
          <w:sz w:val="24"/>
          <w:szCs w:val="24"/>
          <w:lang w:val="es-CR"/>
        </w:rPr>
        <w:t xml:space="preserve">Conforme se </w:t>
      </w:r>
      <w:r>
        <w:rPr>
          <w:rFonts w:asciiTheme="minorHAnsi" w:hAnsiTheme="minorHAnsi" w:cstheme="minorHAnsi"/>
          <w:sz w:val="24"/>
          <w:szCs w:val="24"/>
          <w:lang w:val="es-CR"/>
        </w:rPr>
        <w:t xml:space="preserve">indicó </w:t>
      </w:r>
      <w:r w:rsidR="002E5A38">
        <w:rPr>
          <w:rFonts w:asciiTheme="minorHAnsi" w:hAnsiTheme="minorHAnsi" w:cstheme="minorHAnsi"/>
          <w:sz w:val="24"/>
          <w:szCs w:val="24"/>
          <w:lang w:val="es-CR"/>
        </w:rPr>
        <w:t xml:space="preserve">anteriormente </w:t>
      </w:r>
      <w:r>
        <w:rPr>
          <w:rFonts w:asciiTheme="minorHAnsi" w:hAnsiTheme="minorHAnsi" w:cstheme="minorHAnsi"/>
          <w:sz w:val="24"/>
          <w:szCs w:val="24"/>
          <w:lang w:val="es-CR"/>
        </w:rPr>
        <w:t xml:space="preserve">el financiamiento del presupuesto de la SUPEN se estable en la </w:t>
      </w:r>
      <w:r w:rsidRPr="0050400F">
        <w:rPr>
          <w:rFonts w:asciiTheme="minorHAnsi" w:hAnsiTheme="minorHAnsi" w:cstheme="minorHAnsi"/>
          <w:sz w:val="24"/>
          <w:szCs w:val="24"/>
          <w:lang w:val="es-CR"/>
        </w:rPr>
        <w:t>Ley Reguladora del Mercado de Valores N.° 7732</w:t>
      </w:r>
      <w:r w:rsidR="002E5A38">
        <w:rPr>
          <w:rFonts w:asciiTheme="minorHAnsi" w:hAnsiTheme="minorHAnsi" w:cstheme="minorHAnsi"/>
          <w:sz w:val="24"/>
          <w:szCs w:val="24"/>
          <w:lang w:val="es-CR"/>
        </w:rPr>
        <w:t>, dada esa particularidad</w:t>
      </w:r>
      <w:r w:rsidR="00670A55">
        <w:rPr>
          <w:rFonts w:asciiTheme="minorHAnsi" w:hAnsiTheme="minorHAnsi" w:cstheme="minorHAnsi"/>
          <w:sz w:val="24"/>
          <w:szCs w:val="24"/>
          <w:lang w:val="es-CR"/>
        </w:rPr>
        <w:t>, no se presenta</w:t>
      </w:r>
      <w:r w:rsidR="00895F4F">
        <w:rPr>
          <w:rFonts w:asciiTheme="minorHAnsi" w:hAnsiTheme="minorHAnsi" w:cstheme="minorHAnsi"/>
          <w:sz w:val="24"/>
          <w:szCs w:val="24"/>
          <w:lang w:val="es-CR"/>
        </w:rPr>
        <w:t>,</w:t>
      </w:r>
      <w:r w:rsidR="00670A55">
        <w:rPr>
          <w:rFonts w:asciiTheme="minorHAnsi" w:hAnsiTheme="minorHAnsi" w:cstheme="minorHAnsi"/>
          <w:sz w:val="24"/>
          <w:szCs w:val="24"/>
          <w:lang w:val="es-CR"/>
        </w:rPr>
        <w:t xml:space="preserve"> </w:t>
      </w:r>
      <w:r w:rsidR="00E5764B">
        <w:rPr>
          <w:rFonts w:asciiTheme="minorHAnsi" w:hAnsiTheme="minorHAnsi" w:cstheme="minorHAnsi"/>
          <w:sz w:val="24"/>
          <w:szCs w:val="24"/>
          <w:lang w:val="es-CR"/>
        </w:rPr>
        <w:t>en esta parte del informe</w:t>
      </w:r>
      <w:r w:rsidR="00895F4F">
        <w:rPr>
          <w:rFonts w:asciiTheme="minorHAnsi" w:hAnsiTheme="minorHAnsi" w:cstheme="minorHAnsi"/>
          <w:sz w:val="24"/>
          <w:szCs w:val="24"/>
          <w:lang w:val="es-CR"/>
        </w:rPr>
        <w:t>,</w:t>
      </w:r>
      <w:r w:rsidR="00E5764B">
        <w:rPr>
          <w:rFonts w:asciiTheme="minorHAnsi" w:hAnsiTheme="minorHAnsi" w:cstheme="minorHAnsi"/>
          <w:sz w:val="24"/>
          <w:szCs w:val="24"/>
          <w:lang w:val="es-CR"/>
        </w:rPr>
        <w:t xml:space="preserve"> </w:t>
      </w:r>
      <w:r w:rsidR="00670A55">
        <w:rPr>
          <w:rFonts w:asciiTheme="minorHAnsi" w:hAnsiTheme="minorHAnsi" w:cstheme="minorHAnsi"/>
          <w:sz w:val="24"/>
          <w:szCs w:val="24"/>
          <w:lang w:val="es-CR"/>
        </w:rPr>
        <w:t>el cálculo de los componente</w:t>
      </w:r>
      <w:r w:rsidR="00282C71">
        <w:rPr>
          <w:rFonts w:asciiTheme="minorHAnsi" w:hAnsiTheme="minorHAnsi" w:cstheme="minorHAnsi"/>
          <w:sz w:val="24"/>
          <w:szCs w:val="24"/>
          <w:lang w:val="es-CR"/>
        </w:rPr>
        <w:t>s</w:t>
      </w:r>
      <w:r w:rsidR="00670A55">
        <w:rPr>
          <w:rFonts w:asciiTheme="minorHAnsi" w:hAnsiTheme="minorHAnsi" w:cstheme="minorHAnsi"/>
          <w:sz w:val="24"/>
          <w:szCs w:val="24"/>
          <w:lang w:val="es-CR"/>
        </w:rPr>
        <w:t xml:space="preserve"> del superávit específico identificado para cada fuente de recurso. </w:t>
      </w:r>
    </w:p>
    <w:p w14:paraId="3F88B9A8" w14:textId="30BE55B7" w:rsidR="00197BBB" w:rsidRPr="00197BBB" w:rsidRDefault="00197BBB" w:rsidP="00225437">
      <w:pPr>
        <w:rPr>
          <w:rFonts w:asciiTheme="minorHAnsi" w:hAnsiTheme="minorHAnsi" w:cstheme="minorHAnsi"/>
          <w:sz w:val="24"/>
          <w:szCs w:val="24"/>
          <w:lang w:val="es-CR"/>
        </w:rPr>
      </w:pPr>
    </w:p>
    <w:p w14:paraId="75086CD5" w14:textId="66B8B3EF" w:rsidR="00197BBB" w:rsidRPr="0050400F" w:rsidRDefault="00197BBB" w:rsidP="0061263C">
      <w:pPr>
        <w:pStyle w:val="Ttulo2"/>
        <w:numPr>
          <w:ilvl w:val="1"/>
          <w:numId w:val="2"/>
        </w:numPr>
        <w:ind w:left="1276" w:hanging="916"/>
        <w:rPr>
          <w:rStyle w:val="nfasisintenso"/>
          <w:color w:val="auto"/>
          <w:sz w:val="28"/>
          <w:szCs w:val="28"/>
        </w:rPr>
      </w:pPr>
      <w:bookmarkStart w:id="29" w:name="_Toc504486215"/>
      <w:r>
        <w:rPr>
          <w:rStyle w:val="nfasisintenso"/>
          <w:color w:val="auto"/>
          <w:sz w:val="28"/>
          <w:szCs w:val="28"/>
        </w:rPr>
        <w:t>Resultado de las realizaciones de los objetivos y metas.</w:t>
      </w:r>
      <w:bookmarkEnd w:id="29"/>
    </w:p>
    <w:p w14:paraId="10EB1258" w14:textId="77777777" w:rsidR="00197BBB" w:rsidRDefault="00197BBB" w:rsidP="00225437">
      <w:pPr>
        <w:rPr>
          <w:rFonts w:asciiTheme="minorHAnsi" w:hAnsiTheme="minorHAnsi" w:cstheme="minorHAnsi"/>
          <w:lang w:val="es-CR"/>
        </w:rPr>
      </w:pPr>
    </w:p>
    <w:p w14:paraId="5D7115A5" w14:textId="3D264225" w:rsidR="006536F8" w:rsidRDefault="00DE2936" w:rsidP="00225437">
      <w:pPr>
        <w:rPr>
          <w:rFonts w:asciiTheme="minorHAnsi" w:hAnsiTheme="minorHAnsi" w:cstheme="minorHAnsi"/>
          <w:sz w:val="24"/>
          <w:szCs w:val="24"/>
          <w:lang w:val="es-CR"/>
        </w:rPr>
      </w:pPr>
      <w:r>
        <w:rPr>
          <w:rFonts w:asciiTheme="minorHAnsi" w:hAnsiTheme="minorHAnsi" w:cstheme="minorHAnsi"/>
          <w:sz w:val="24"/>
          <w:szCs w:val="24"/>
          <w:lang w:val="es-CR"/>
        </w:rPr>
        <w:t xml:space="preserve">La SUPEN está conformada por </w:t>
      </w:r>
      <w:r w:rsidR="002959E6" w:rsidRPr="002959E6">
        <w:rPr>
          <w:rFonts w:asciiTheme="minorHAnsi" w:hAnsiTheme="minorHAnsi" w:cstheme="minorHAnsi"/>
          <w:sz w:val="24"/>
          <w:szCs w:val="24"/>
          <w:lang w:val="es-CR"/>
        </w:rPr>
        <w:t xml:space="preserve">cinco </w:t>
      </w:r>
      <w:r w:rsidR="002959E6">
        <w:rPr>
          <w:rFonts w:asciiTheme="minorHAnsi" w:hAnsiTheme="minorHAnsi" w:cstheme="minorHAnsi"/>
          <w:sz w:val="24"/>
          <w:szCs w:val="24"/>
          <w:lang w:val="es-CR"/>
        </w:rPr>
        <w:t>programas</w:t>
      </w:r>
      <w:r>
        <w:rPr>
          <w:rFonts w:asciiTheme="minorHAnsi" w:hAnsiTheme="minorHAnsi" w:cstheme="minorHAnsi"/>
          <w:sz w:val="24"/>
          <w:szCs w:val="24"/>
          <w:lang w:val="es-CR"/>
        </w:rPr>
        <w:t xml:space="preserve">, cada uno de ellos </w:t>
      </w:r>
      <w:r w:rsidR="002959E6">
        <w:rPr>
          <w:rFonts w:asciiTheme="minorHAnsi" w:hAnsiTheme="minorHAnsi" w:cstheme="minorHAnsi"/>
          <w:sz w:val="24"/>
          <w:szCs w:val="24"/>
          <w:lang w:val="es-CR"/>
        </w:rPr>
        <w:t>establece una serie de objetivos y metas</w:t>
      </w:r>
      <w:r w:rsidR="00544F06">
        <w:rPr>
          <w:rFonts w:asciiTheme="minorHAnsi" w:hAnsiTheme="minorHAnsi" w:cstheme="minorHAnsi"/>
          <w:sz w:val="24"/>
          <w:szCs w:val="24"/>
          <w:lang w:val="es-CR"/>
        </w:rPr>
        <w:t xml:space="preserve"> que contribuyen al propósito de la organización</w:t>
      </w:r>
      <w:r>
        <w:rPr>
          <w:rFonts w:asciiTheme="minorHAnsi" w:hAnsiTheme="minorHAnsi" w:cstheme="minorHAnsi"/>
          <w:sz w:val="24"/>
          <w:szCs w:val="24"/>
          <w:lang w:val="es-CR"/>
        </w:rPr>
        <w:t>;</w:t>
      </w:r>
      <w:r w:rsidR="002959E6">
        <w:rPr>
          <w:rFonts w:asciiTheme="minorHAnsi" w:hAnsiTheme="minorHAnsi" w:cstheme="minorHAnsi"/>
          <w:sz w:val="24"/>
          <w:szCs w:val="24"/>
          <w:lang w:val="es-CR"/>
        </w:rPr>
        <w:t xml:space="preserve"> el siguiente </w:t>
      </w:r>
      <w:r>
        <w:rPr>
          <w:rFonts w:asciiTheme="minorHAnsi" w:hAnsiTheme="minorHAnsi" w:cstheme="minorHAnsi"/>
          <w:sz w:val="24"/>
          <w:szCs w:val="24"/>
          <w:lang w:val="es-CR"/>
        </w:rPr>
        <w:t>gráfico</w:t>
      </w:r>
      <w:r w:rsidR="002959E6">
        <w:rPr>
          <w:rFonts w:asciiTheme="minorHAnsi" w:hAnsiTheme="minorHAnsi" w:cstheme="minorHAnsi"/>
          <w:sz w:val="24"/>
          <w:szCs w:val="24"/>
          <w:lang w:val="es-CR"/>
        </w:rPr>
        <w:t xml:space="preserve"> sintetiza los resultados por semestre de cada </w:t>
      </w:r>
      <w:r w:rsidR="00E4177C">
        <w:rPr>
          <w:rFonts w:asciiTheme="minorHAnsi" w:hAnsiTheme="minorHAnsi" w:cstheme="minorHAnsi"/>
          <w:sz w:val="24"/>
          <w:szCs w:val="24"/>
          <w:lang w:val="es-CR"/>
        </w:rPr>
        <w:t xml:space="preserve">uno de los </w:t>
      </w:r>
      <w:r w:rsidR="002959E6">
        <w:rPr>
          <w:rFonts w:asciiTheme="minorHAnsi" w:hAnsiTheme="minorHAnsi" w:cstheme="minorHAnsi"/>
          <w:sz w:val="24"/>
          <w:szCs w:val="24"/>
          <w:lang w:val="es-CR"/>
        </w:rPr>
        <w:t>programa</w:t>
      </w:r>
      <w:r w:rsidR="009D77EF">
        <w:rPr>
          <w:rFonts w:asciiTheme="minorHAnsi" w:hAnsiTheme="minorHAnsi" w:cstheme="minorHAnsi"/>
          <w:sz w:val="24"/>
          <w:szCs w:val="24"/>
          <w:lang w:val="es-CR"/>
        </w:rPr>
        <w:t>s</w:t>
      </w:r>
      <w:r w:rsidR="00FF50B4">
        <w:rPr>
          <w:rFonts w:asciiTheme="minorHAnsi" w:hAnsiTheme="minorHAnsi" w:cstheme="minorHAnsi"/>
          <w:sz w:val="24"/>
          <w:szCs w:val="24"/>
          <w:lang w:val="es-CR"/>
        </w:rPr>
        <w:t>, así como la nota global de toda la organización.</w:t>
      </w:r>
    </w:p>
    <w:p w14:paraId="7FC448A6" w14:textId="7DE81AF1" w:rsidR="00FF50B4" w:rsidRDefault="00FF50B4" w:rsidP="00225437">
      <w:pPr>
        <w:rPr>
          <w:rFonts w:asciiTheme="minorHAnsi" w:hAnsiTheme="minorHAnsi" w:cstheme="minorHAnsi"/>
          <w:sz w:val="24"/>
          <w:szCs w:val="24"/>
          <w:lang w:val="es-CR"/>
        </w:rPr>
      </w:pPr>
    </w:p>
    <w:p w14:paraId="1B40C7EA" w14:textId="77777777" w:rsidR="00FF50B4" w:rsidRDefault="00FF50B4" w:rsidP="00FF50B4">
      <w:pPr>
        <w:rPr>
          <w:rFonts w:asciiTheme="minorHAnsi" w:hAnsiTheme="minorHAnsi" w:cstheme="minorHAnsi"/>
          <w:sz w:val="24"/>
          <w:szCs w:val="24"/>
          <w:lang w:val="es-CR"/>
        </w:rPr>
      </w:pPr>
      <w:r>
        <w:rPr>
          <w:rFonts w:asciiTheme="minorHAnsi" w:hAnsiTheme="minorHAnsi" w:cstheme="minorHAnsi"/>
          <w:sz w:val="24"/>
          <w:szCs w:val="24"/>
          <w:lang w:val="es-CR"/>
        </w:rPr>
        <w:t>Los porcentajes logrados en la consecución de las metas para el primer semestre oscilaron entre el 80% y el 100%, para el segundo semestre se observa un comportamiento similar tendiente a la mejora, esto se pude cotejar en los porcentajes global de cada uno de los semestres reflejados en la columna de la izquierda, a saber 91% y 93% respectivamente.</w:t>
      </w:r>
    </w:p>
    <w:p w14:paraId="22DB0B17" w14:textId="1482E2D2" w:rsidR="006536F8" w:rsidRDefault="006536F8" w:rsidP="00225437">
      <w:pPr>
        <w:rPr>
          <w:rFonts w:asciiTheme="minorHAnsi" w:hAnsiTheme="minorHAnsi" w:cstheme="minorHAnsi"/>
          <w:sz w:val="24"/>
          <w:szCs w:val="24"/>
          <w:lang w:val="es-CR"/>
        </w:rPr>
      </w:pPr>
    </w:p>
    <w:p w14:paraId="7C445340" w14:textId="77777777" w:rsidR="008100A0" w:rsidRDefault="008100A0" w:rsidP="00225437">
      <w:pPr>
        <w:rPr>
          <w:rFonts w:asciiTheme="minorHAnsi" w:hAnsiTheme="minorHAnsi" w:cstheme="minorHAnsi"/>
          <w:sz w:val="24"/>
          <w:szCs w:val="24"/>
          <w:lang w:val="es-CR"/>
        </w:rPr>
      </w:pPr>
    </w:p>
    <w:p w14:paraId="3AC5ACCB" w14:textId="1DC60029" w:rsidR="00E53380" w:rsidRDefault="00E53380" w:rsidP="00AD6B46">
      <w:pPr>
        <w:spacing w:line="240" w:lineRule="auto"/>
        <w:ind w:left="851"/>
        <w:rPr>
          <w:rFonts w:asciiTheme="minorHAnsi" w:hAnsiTheme="minorHAnsi" w:cstheme="minorHAnsi"/>
          <w:lang w:val="es-CR"/>
        </w:rPr>
      </w:pPr>
      <w:r>
        <w:rPr>
          <w:rFonts w:asciiTheme="minorHAnsi" w:hAnsiTheme="minorHAnsi" w:cstheme="minorHAnsi"/>
          <w:lang w:val="es-CR"/>
        </w:rPr>
        <w:t xml:space="preserve">Gráfico 1: </w:t>
      </w:r>
      <w:r>
        <w:rPr>
          <w:rFonts w:asciiTheme="minorHAnsi" w:hAnsiTheme="minorHAnsi" w:cstheme="minorHAnsi"/>
          <w:b/>
          <w:lang w:val="es-CR"/>
        </w:rPr>
        <w:t>Resumen de los resultados de las metas por programa</w:t>
      </w:r>
    </w:p>
    <w:p w14:paraId="4C82CD6C" w14:textId="77777777" w:rsidR="00E53380" w:rsidRPr="00D668DE" w:rsidRDefault="00E53380" w:rsidP="00AD6B46">
      <w:pPr>
        <w:spacing w:line="240" w:lineRule="auto"/>
        <w:ind w:left="851"/>
        <w:rPr>
          <w:rFonts w:asciiTheme="minorHAnsi" w:hAnsiTheme="minorHAnsi" w:cstheme="minorHAnsi"/>
          <w:sz w:val="20"/>
          <w:lang w:val="es-CR"/>
        </w:rPr>
      </w:pPr>
      <w:r w:rsidRPr="00D668DE">
        <w:rPr>
          <w:rFonts w:asciiTheme="minorHAnsi" w:hAnsiTheme="minorHAnsi" w:cstheme="minorHAnsi"/>
          <w:sz w:val="20"/>
          <w:lang w:val="es-CR"/>
        </w:rPr>
        <w:t>31 de diciembre de 2017</w:t>
      </w:r>
    </w:p>
    <w:p w14:paraId="216F56AF" w14:textId="624A9FD4" w:rsidR="00282C71" w:rsidRDefault="002959E6" w:rsidP="002959E6">
      <w:pPr>
        <w:jc w:val="center"/>
        <w:rPr>
          <w:rFonts w:asciiTheme="minorHAnsi" w:hAnsiTheme="minorHAnsi" w:cstheme="minorHAnsi"/>
          <w:lang w:val="es-CR"/>
        </w:rPr>
      </w:pPr>
      <w:r>
        <w:rPr>
          <w:rFonts w:asciiTheme="minorHAnsi" w:hAnsiTheme="minorHAnsi" w:cstheme="minorHAnsi"/>
          <w:noProof/>
          <w:lang w:val="es-CR"/>
        </w:rPr>
        <w:drawing>
          <wp:inline distT="0" distB="0" distL="0" distR="0" wp14:anchorId="63201E16" wp14:editId="349FC6D4">
            <wp:extent cx="4622242" cy="2240309"/>
            <wp:effectExtent l="0" t="0" r="698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1887" cy="2249831"/>
                    </a:xfrm>
                    <a:prstGeom prst="rect">
                      <a:avLst/>
                    </a:prstGeom>
                    <a:noFill/>
                  </pic:spPr>
                </pic:pic>
              </a:graphicData>
            </a:graphic>
          </wp:inline>
        </w:drawing>
      </w:r>
    </w:p>
    <w:p w14:paraId="4F3DF19F" w14:textId="5ED1B9C5" w:rsidR="00282C71" w:rsidRDefault="00282C71" w:rsidP="00225437">
      <w:pPr>
        <w:rPr>
          <w:rFonts w:asciiTheme="minorHAnsi" w:hAnsiTheme="minorHAnsi" w:cstheme="minorHAnsi"/>
          <w:lang w:val="es-CR"/>
        </w:rPr>
      </w:pPr>
    </w:p>
    <w:p w14:paraId="2ED09502" w14:textId="77777777" w:rsidR="008100A0" w:rsidRDefault="008100A0" w:rsidP="00225437">
      <w:pPr>
        <w:rPr>
          <w:rFonts w:asciiTheme="minorHAnsi" w:hAnsiTheme="minorHAnsi" w:cstheme="minorHAnsi"/>
          <w:lang w:val="es-CR"/>
        </w:rPr>
      </w:pPr>
    </w:p>
    <w:p w14:paraId="36580133" w14:textId="5D028970" w:rsidR="00544F06" w:rsidRPr="00602260" w:rsidRDefault="00602260" w:rsidP="00225437">
      <w:pPr>
        <w:rPr>
          <w:rFonts w:asciiTheme="minorHAnsi" w:hAnsiTheme="minorHAnsi" w:cstheme="minorHAnsi"/>
          <w:sz w:val="24"/>
          <w:szCs w:val="24"/>
          <w:lang w:val="es-CR"/>
        </w:rPr>
      </w:pPr>
      <w:r w:rsidRPr="00602260">
        <w:rPr>
          <w:rFonts w:asciiTheme="minorHAnsi" w:hAnsiTheme="minorHAnsi" w:cstheme="minorHAnsi"/>
          <w:sz w:val="24"/>
          <w:szCs w:val="24"/>
          <w:lang w:val="es-CR"/>
        </w:rPr>
        <w:t xml:space="preserve">El cuadro número tres presenta </w:t>
      </w:r>
      <w:r>
        <w:rPr>
          <w:rFonts w:asciiTheme="minorHAnsi" w:hAnsiTheme="minorHAnsi" w:cstheme="minorHAnsi"/>
          <w:sz w:val="24"/>
          <w:szCs w:val="24"/>
          <w:lang w:val="es-CR"/>
        </w:rPr>
        <w:t xml:space="preserve">el presupuesto distribuido por programa y por meta, de igual forma detalla la suma ejecutada y el porcentaje logrado para cada una. </w:t>
      </w:r>
    </w:p>
    <w:p w14:paraId="0415F96C" w14:textId="77777777" w:rsidR="00602260" w:rsidRDefault="00602260" w:rsidP="00225437">
      <w:pPr>
        <w:rPr>
          <w:rFonts w:asciiTheme="minorHAnsi" w:hAnsiTheme="minorHAnsi" w:cstheme="minorHAnsi"/>
          <w:lang w:val="es-CR"/>
        </w:rPr>
      </w:pPr>
    </w:p>
    <w:p w14:paraId="33E55C5C" w14:textId="72C7EC52" w:rsidR="004C4976" w:rsidRDefault="004C4976" w:rsidP="004C4976">
      <w:pPr>
        <w:spacing w:line="240" w:lineRule="auto"/>
        <w:rPr>
          <w:rFonts w:asciiTheme="minorHAnsi" w:hAnsiTheme="minorHAnsi" w:cstheme="minorHAnsi"/>
          <w:lang w:val="es-CR"/>
        </w:rPr>
      </w:pPr>
      <w:r>
        <w:rPr>
          <w:rFonts w:asciiTheme="minorHAnsi" w:hAnsiTheme="minorHAnsi" w:cstheme="minorHAnsi"/>
          <w:lang w:val="es-CR"/>
        </w:rPr>
        <w:t xml:space="preserve">Cuadro 3: </w:t>
      </w:r>
      <w:r>
        <w:rPr>
          <w:rFonts w:asciiTheme="minorHAnsi" w:hAnsiTheme="minorHAnsi" w:cstheme="minorHAnsi"/>
          <w:b/>
          <w:lang w:val="es-CR"/>
        </w:rPr>
        <w:t xml:space="preserve">Resumen de presupuesto </w:t>
      </w:r>
      <w:r w:rsidR="006536F8">
        <w:rPr>
          <w:rFonts w:asciiTheme="minorHAnsi" w:hAnsiTheme="minorHAnsi" w:cstheme="minorHAnsi"/>
          <w:b/>
          <w:lang w:val="es-CR"/>
        </w:rPr>
        <w:t xml:space="preserve">por programa </w:t>
      </w:r>
      <w:r>
        <w:rPr>
          <w:rFonts w:asciiTheme="minorHAnsi" w:hAnsiTheme="minorHAnsi" w:cstheme="minorHAnsi"/>
          <w:b/>
          <w:lang w:val="es-CR"/>
        </w:rPr>
        <w:t xml:space="preserve">y </w:t>
      </w:r>
      <w:r w:rsidR="006536F8">
        <w:rPr>
          <w:rFonts w:asciiTheme="minorHAnsi" w:hAnsiTheme="minorHAnsi" w:cstheme="minorHAnsi"/>
          <w:b/>
          <w:lang w:val="es-CR"/>
        </w:rPr>
        <w:t xml:space="preserve">porcentaje de </w:t>
      </w:r>
      <w:r>
        <w:rPr>
          <w:rFonts w:asciiTheme="minorHAnsi" w:hAnsiTheme="minorHAnsi" w:cstheme="minorHAnsi"/>
          <w:b/>
          <w:lang w:val="es-CR"/>
        </w:rPr>
        <w:t>ejecuci</w:t>
      </w:r>
      <w:r w:rsidR="00E72CBD">
        <w:rPr>
          <w:rFonts w:asciiTheme="minorHAnsi" w:hAnsiTheme="minorHAnsi" w:cstheme="minorHAnsi"/>
          <w:b/>
          <w:lang w:val="es-CR"/>
        </w:rPr>
        <w:t>ón</w:t>
      </w:r>
    </w:p>
    <w:tbl>
      <w:tblPr>
        <w:tblW w:w="8926" w:type="dxa"/>
        <w:tblCellMar>
          <w:left w:w="70" w:type="dxa"/>
          <w:right w:w="70" w:type="dxa"/>
        </w:tblCellMar>
        <w:tblLook w:val="04A0" w:firstRow="1" w:lastRow="0" w:firstColumn="1" w:lastColumn="0" w:noHBand="0" w:noVBand="1"/>
      </w:tblPr>
      <w:tblGrid>
        <w:gridCol w:w="1187"/>
        <w:gridCol w:w="760"/>
        <w:gridCol w:w="3489"/>
        <w:gridCol w:w="1208"/>
        <w:gridCol w:w="1186"/>
        <w:gridCol w:w="1096"/>
      </w:tblGrid>
      <w:tr w:rsidR="00B123B8" w:rsidRPr="00B123B8" w14:paraId="5EAC7CC6" w14:textId="77777777" w:rsidTr="0051512E">
        <w:trPr>
          <w:trHeight w:val="255"/>
          <w:tblHeader/>
        </w:trPr>
        <w:tc>
          <w:tcPr>
            <w:tcW w:w="118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4D4855"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DEPENDENCIA</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DCBA5F"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xml:space="preserve"> # META</w:t>
            </w:r>
          </w:p>
        </w:tc>
        <w:tc>
          <w:tcPr>
            <w:tcW w:w="3489"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E6B205"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ENUNCIADO</w:t>
            </w:r>
          </w:p>
        </w:tc>
        <w:tc>
          <w:tcPr>
            <w:tcW w:w="120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4825B0" w14:textId="6E9141D3"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Total presupuesto por meta</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DA896F" w14:textId="224B1B7D"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Ejecutado por meta</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D73F83" w14:textId="7B211369"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Porcentaje Ejecución</w:t>
            </w:r>
          </w:p>
        </w:tc>
      </w:tr>
      <w:tr w:rsidR="0051512E" w:rsidRPr="00B123B8" w14:paraId="6750C07D" w14:textId="77777777" w:rsidTr="0051512E">
        <w:trPr>
          <w:trHeight w:val="450"/>
        </w:trPr>
        <w:tc>
          <w:tcPr>
            <w:tcW w:w="1187" w:type="dxa"/>
            <w:vMerge/>
            <w:tcBorders>
              <w:top w:val="single" w:sz="4" w:space="0" w:color="auto"/>
              <w:left w:val="single" w:sz="4" w:space="0" w:color="auto"/>
              <w:bottom w:val="single" w:sz="4" w:space="0" w:color="auto"/>
              <w:right w:val="single" w:sz="4" w:space="0" w:color="auto"/>
            </w:tcBorders>
            <w:vAlign w:val="center"/>
            <w:hideMark/>
          </w:tcPr>
          <w:p w14:paraId="1A3B9F42"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C596CF5"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14:paraId="0DB5E5DF"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16406106" w14:textId="77777777" w:rsidR="00B123B8" w:rsidRPr="00B123B8" w:rsidRDefault="00B123B8" w:rsidP="0051512E">
            <w:pPr>
              <w:spacing w:line="240" w:lineRule="auto"/>
              <w:jc w:val="right"/>
              <w:rPr>
                <w:rFonts w:ascii="Calibri Light" w:hAnsi="Calibri Light" w:cs="Calibri Light"/>
                <w:b/>
                <w:bCs/>
                <w:sz w:val="18"/>
                <w:szCs w:val="18"/>
                <w:lang w:val="es-CR" w:eastAsia="es-CR"/>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ED6E1D2" w14:textId="77777777" w:rsidR="00B123B8" w:rsidRPr="00B123B8" w:rsidRDefault="00B123B8" w:rsidP="0051512E">
            <w:pPr>
              <w:spacing w:line="240" w:lineRule="auto"/>
              <w:jc w:val="right"/>
              <w:rPr>
                <w:rFonts w:ascii="Calibri Light" w:hAnsi="Calibri Light" w:cs="Calibri Light"/>
                <w:b/>
                <w:bCs/>
                <w:sz w:val="18"/>
                <w:szCs w:val="18"/>
                <w:lang w:val="es-CR" w:eastAsia="es-CR"/>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4A2096F"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p>
        </w:tc>
      </w:tr>
      <w:tr w:rsidR="0051512E" w:rsidRPr="00B123B8" w14:paraId="39ED46BB" w14:textId="77777777" w:rsidTr="0051512E">
        <w:trPr>
          <w:trHeight w:val="315"/>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1FF55B19"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DESPACHO</w:t>
            </w:r>
          </w:p>
        </w:tc>
        <w:tc>
          <w:tcPr>
            <w:tcW w:w="1208" w:type="dxa"/>
            <w:tcBorders>
              <w:top w:val="nil"/>
              <w:left w:val="nil"/>
              <w:bottom w:val="single" w:sz="4" w:space="0" w:color="auto"/>
              <w:right w:val="single" w:sz="4" w:space="0" w:color="auto"/>
            </w:tcBorders>
            <w:shd w:val="clear" w:color="000000" w:fill="DCE6F1"/>
            <w:vAlign w:val="center"/>
            <w:hideMark/>
          </w:tcPr>
          <w:p w14:paraId="22B47FD6" w14:textId="3CBFD399"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162,555,806</w:t>
            </w:r>
          </w:p>
        </w:tc>
        <w:tc>
          <w:tcPr>
            <w:tcW w:w="1186" w:type="dxa"/>
            <w:tcBorders>
              <w:top w:val="nil"/>
              <w:left w:val="nil"/>
              <w:bottom w:val="single" w:sz="4" w:space="0" w:color="auto"/>
              <w:right w:val="single" w:sz="4" w:space="0" w:color="auto"/>
            </w:tcBorders>
            <w:shd w:val="clear" w:color="000000" w:fill="DCE6F1"/>
            <w:vAlign w:val="center"/>
            <w:hideMark/>
          </w:tcPr>
          <w:p w14:paraId="0198FF9A" w14:textId="02C830E8"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119,707,794</w:t>
            </w:r>
          </w:p>
        </w:tc>
        <w:tc>
          <w:tcPr>
            <w:tcW w:w="1096" w:type="dxa"/>
            <w:tcBorders>
              <w:top w:val="nil"/>
              <w:left w:val="nil"/>
              <w:bottom w:val="single" w:sz="4" w:space="0" w:color="auto"/>
              <w:right w:val="single" w:sz="4" w:space="0" w:color="auto"/>
            </w:tcBorders>
            <w:shd w:val="clear" w:color="000000" w:fill="DCE6F1"/>
            <w:vAlign w:val="center"/>
            <w:hideMark/>
          </w:tcPr>
          <w:p w14:paraId="659255AA"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74%</w:t>
            </w:r>
          </w:p>
        </w:tc>
      </w:tr>
      <w:tr w:rsidR="0051512E" w:rsidRPr="00B123B8" w14:paraId="22A5542F" w14:textId="77777777" w:rsidTr="0051512E">
        <w:trPr>
          <w:trHeight w:val="66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EBF4F6B"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6C56B3C1"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w:t>
            </w:r>
          </w:p>
        </w:tc>
        <w:tc>
          <w:tcPr>
            <w:tcW w:w="3489" w:type="dxa"/>
            <w:tcBorders>
              <w:top w:val="nil"/>
              <w:left w:val="nil"/>
              <w:bottom w:val="single" w:sz="4" w:space="0" w:color="auto"/>
              <w:right w:val="single" w:sz="4" w:space="0" w:color="auto"/>
            </w:tcBorders>
            <w:shd w:val="clear" w:color="auto" w:fill="auto"/>
            <w:vAlign w:val="center"/>
            <w:hideMark/>
          </w:tcPr>
          <w:p w14:paraId="553AE4EE"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 xml:space="preserve">Tener, en promedio, los indicadores de cumplimiento de metas de toda la Superintendencia con nota superior al 85%. </w:t>
            </w:r>
          </w:p>
        </w:tc>
        <w:tc>
          <w:tcPr>
            <w:tcW w:w="1208" w:type="dxa"/>
            <w:tcBorders>
              <w:top w:val="nil"/>
              <w:left w:val="nil"/>
              <w:bottom w:val="single" w:sz="4" w:space="0" w:color="auto"/>
              <w:right w:val="single" w:sz="4" w:space="0" w:color="auto"/>
            </w:tcBorders>
            <w:shd w:val="clear" w:color="auto" w:fill="auto"/>
            <w:vAlign w:val="center"/>
            <w:hideMark/>
          </w:tcPr>
          <w:p w14:paraId="4F6D5501" w14:textId="4F45CAF5"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162,555,806</w:t>
            </w:r>
          </w:p>
        </w:tc>
        <w:tc>
          <w:tcPr>
            <w:tcW w:w="1186" w:type="dxa"/>
            <w:tcBorders>
              <w:top w:val="nil"/>
              <w:left w:val="nil"/>
              <w:bottom w:val="single" w:sz="4" w:space="0" w:color="auto"/>
              <w:right w:val="single" w:sz="4" w:space="0" w:color="auto"/>
            </w:tcBorders>
            <w:shd w:val="clear" w:color="auto" w:fill="auto"/>
            <w:vAlign w:val="center"/>
            <w:hideMark/>
          </w:tcPr>
          <w:p w14:paraId="3062D956" w14:textId="4FAA6F17"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119,707,794</w:t>
            </w:r>
          </w:p>
        </w:tc>
        <w:tc>
          <w:tcPr>
            <w:tcW w:w="1096" w:type="dxa"/>
            <w:tcBorders>
              <w:top w:val="nil"/>
              <w:left w:val="nil"/>
              <w:bottom w:val="single" w:sz="4" w:space="0" w:color="auto"/>
              <w:right w:val="single" w:sz="4" w:space="0" w:color="auto"/>
            </w:tcBorders>
            <w:shd w:val="clear" w:color="auto" w:fill="auto"/>
            <w:vAlign w:val="center"/>
            <w:hideMark/>
          </w:tcPr>
          <w:p w14:paraId="5B388724"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74%</w:t>
            </w:r>
          </w:p>
        </w:tc>
      </w:tr>
      <w:tr w:rsidR="0051512E" w:rsidRPr="00B123B8" w14:paraId="7A1DC5BE" w14:textId="77777777" w:rsidTr="0051512E">
        <w:trPr>
          <w:trHeight w:val="315"/>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B9B5C53"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DIVISIÓN JURÍDICA</w:t>
            </w:r>
          </w:p>
        </w:tc>
        <w:tc>
          <w:tcPr>
            <w:tcW w:w="1208" w:type="dxa"/>
            <w:tcBorders>
              <w:top w:val="nil"/>
              <w:left w:val="nil"/>
              <w:bottom w:val="single" w:sz="4" w:space="0" w:color="auto"/>
              <w:right w:val="single" w:sz="4" w:space="0" w:color="auto"/>
            </w:tcBorders>
            <w:shd w:val="clear" w:color="000000" w:fill="DCE6F1"/>
            <w:vAlign w:val="center"/>
            <w:hideMark/>
          </w:tcPr>
          <w:p w14:paraId="5231C068" w14:textId="0F4AF8F9"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401,347,750</w:t>
            </w:r>
          </w:p>
        </w:tc>
        <w:tc>
          <w:tcPr>
            <w:tcW w:w="1186" w:type="dxa"/>
            <w:tcBorders>
              <w:top w:val="nil"/>
              <w:left w:val="nil"/>
              <w:bottom w:val="single" w:sz="4" w:space="0" w:color="auto"/>
              <w:right w:val="single" w:sz="4" w:space="0" w:color="auto"/>
            </w:tcBorders>
            <w:shd w:val="clear" w:color="000000" w:fill="DCE6F1"/>
            <w:vAlign w:val="center"/>
            <w:hideMark/>
          </w:tcPr>
          <w:p w14:paraId="59AF30F8" w14:textId="4EA81021"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362,684,599</w:t>
            </w:r>
          </w:p>
        </w:tc>
        <w:tc>
          <w:tcPr>
            <w:tcW w:w="1096" w:type="dxa"/>
            <w:tcBorders>
              <w:top w:val="nil"/>
              <w:left w:val="nil"/>
              <w:bottom w:val="single" w:sz="4" w:space="0" w:color="auto"/>
              <w:right w:val="single" w:sz="4" w:space="0" w:color="auto"/>
            </w:tcBorders>
            <w:shd w:val="clear" w:color="000000" w:fill="DCE6F1"/>
            <w:vAlign w:val="center"/>
            <w:hideMark/>
          </w:tcPr>
          <w:p w14:paraId="30F6761B"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90%</w:t>
            </w:r>
          </w:p>
        </w:tc>
      </w:tr>
      <w:tr w:rsidR="0051512E" w:rsidRPr="00B123B8" w14:paraId="43DD8417" w14:textId="77777777" w:rsidTr="0051512E">
        <w:trPr>
          <w:trHeight w:val="792"/>
        </w:trPr>
        <w:tc>
          <w:tcPr>
            <w:tcW w:w="11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8055B"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7324D4C"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2</w:t>
            </w:r>
          </w:p>
        </w:tc>
        <w:tc>
          <w:tcPr>
            <w:tcW w:w="3489" w:type="dxa"/>
            <w:tcBorders>
              <w:top w:val="nil"/>
              <w:left w:val="nil"/>
              <w:bottom w:val="single" w:sz="4" w:space="0" w:color="auto"/>
              <w:right w:val="single" w:sz="4" w:space="0" w:color="auto"/>
            </w:tcBorders>
            <w:shd w:val="clear" w:color="auto" w:fill="auto"/>
            <w:vAlign w:val="center"/>
            <w:hideMark/>
          </w:tcPr>
          <w:p w14:paraId="5FCC4342" w14:textId="1725048D"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Tramitar en tiempo las solicitudes de asesoría jurídica, denuncias y/o consultas jurídicas; las denuncias y</w:t>
            </w:r>
            <w:r w:rsidR="0051512E">
              <w:rPr>
                <w:rFonts w:ascii="Calibri Light" w:hAnsi="Calibri Light" w:cs="Calibri Light"/>
                <w:sz w:val="18"/>
                <w:szCs w:val="18"/>
                <w:lang w:val="es-CR" w:eastAsia="es-CR"/>
              </w:rPr>
              <w:t>/o consultas de los afiliados y</w:t>
            </w:r>
            <w:r w:rsidRPr="00B123B8">
              <w:rPr>
                <w:rFonts w:ascii="Calibri Light" w:hAnsi="Calibri Light" w:cs="Calibri Light"/>
                <w:sz w:val="18"/>
                <w:szCs w:val="18"/>
                <w:lang w:val="es-CR" w:eastAsia="es-CR"/>
              </w:rPr>
              <w:t xml:space="preserve"> los trámites judiciales</w:t>
            </w:r>
          </w:p>
        </w:tc>
        <w:tc>
          <w:tcPr>
            <w:tcW w:w="1208" w:type="dxa"/>
            <w:tcBorders>
              <w:top w:val="nil"/>
              <w:left w:val="nil"/>
              <w:bottom w:val="single" w:sz="4" w:space="0" w:color="auto"/>
              <w:right w:val="single" w:sz="4" w:space="0" w:color="auto"/>
            </w:tcBorders>
            <w:shd w:val="clear" w:color="auto" w:fill="auto"/>
            <w:vAlign w:val="center"/>
            <w:hideMark/>
          </w:tcPr>
          <w:p w14:paraId="3A3D357C" w14:textId="5C1C5395"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340,025,240</w:t>
            </w:r>
          </w:p>
        </w:tc>
        <w:tc>
          <w:tcPr>
            <w:tcW w:w="1186" w:type="dxa"/>
            <w:tcBorders>
              <w:top w:val="nil"/>
              <w:left w:val="nil"/>
              <w:bottom w:val="single" w:sz="4" w:space="0" w:color="auto"/>
              <w:right w:val="single" w:sz="4" w:space="0" w:color="auto"/>
            </w:tcBorders>
            <w:shd w:val="clear" w:color="auto" w:fill="auto"/>
            <w:vAlign w:val="center"/>
            <w:hideMark/>
          </w:tcPr>
          <w:p w14:paraId="5939AF36" w14:textId="57E0C320"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307,269,489</w:t>
            </w:r>
          </w:p>
        </w:tc>
        <w:tc>
          <w:tcPr>
            <w:tcW w:w="1096" w:type="dxa"/>
            <w:tcBorders>
              <w:top w:val="nil"/>
              <w:left w:val="nil"/>
              <w:bottom w:val="single" w:sz="4" w:space="0" w:color="auto"/>
              <w:right w:val="single" w:sz="4" w:space="0" w:color="auto"/>
            </w:tcBorders>
            <w:shd w:val="clear" w:color="auto" w:fill="auto"/>
            <w:vAlign w:val="center"/>
            <w:hideMark/>
          </w:tcPr>
          <w:p w14:paraId="15038A4E"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40FECE3D" w14:textId="77777777" w:rsidTr="0051512E">
        <w:trPr>
          <w:trHeight w:val="878"/>
        </w:trPr>
        <w:tc>
          <w:tcPr>
            <w:tcW w:w="1187" w:type="dxa"/>
            <w:vMerge/>
            <w:tcBorders>
              <w:top w:val="nil"/>
              <w:left w:val="single" w:sz="4" w:space="0" w:color="auto"/>
              <w:bottom w:val="single" w:sz="4" w:space="0" w:color="auto"/>
              <w:right w:val="single" w:sz="4" w:space="0" w:color="auto"/>
            </w:tcBorders>
            <w:vAlign w:val="center"/>
            <w:hideMark/>
          </w:tcPr>
          <w:p w14:paraId="24213136"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2869A9B4"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3</w:t>
            </w:r>
          </w:p>
        </w:tc>
        <w:tc>
          <w:tcPr>
            <w:tcW w:w="3489" w:type="dxa"/>
            <w:tcBorders>
              <w:top w:val="nil"/>
              <w:left w:val="nil"/>
              <w:bottom w:val="single" w:sz="4" w:space="0" w:color="auto"/>
              <w:right w:val="single" w:sz="4" w:space="0" w:color="auto"/>
            </w:tcBorders>
            <w:shd w:val="clear" w:color="auto" w:fill="auto"/>
            <w:vAlign w:val="center"/>
            <w:hideMark/>
          </w:tcPr>
          <w:p w14:paraId="78A023FF"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Tramitar en un tiempo promedio no superior de seis meses calendario los procedimientos administrativos iniciados por la Superintendencia de Pensiones</w:t>
            </w:r>
          </w:p>
        </w:tc>
        <w:tc>
          <w:tcPr>
            <w:tcW w:w="1208" w:type="dxa"/>
            <w:tcBorders>
              <w:top w:val="nil"/>
              <w:left w:val="nil"/>
              <w:bottom w:val="single" w:sz="4" w:space="0" w:color="auto"/>
              <w:right w:val="single" w:sz="4" w:space="0" w:color="auto"/>
            </w:tcBorders>
            <w:shd w:val="clear" w:color="auto" w:fill="auto"/>
            <w:vAlign w:val="center"/>
            <w:hideMark/>
          </w:tcPr>
          <w:p w14:paraId="3291E406" w14:textId="7FF37F2B"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61,322,509</w:t>
            </w:r>
          </w:p>
        </w:tc>
        <w:tc>
          <w:tcPr>
            <w:tcW w:w="1186" w:type="dxa"/>
            <w:tcBorders>
              <w:top w:val="nil"/>
              <w:left w:val="nil"/>
              <w:bottom w:val="single" w:sz="4" w:space="0" w:color="auto"/>
              <w:right w:val="single" w:sz="4" w:space="0" w:color="auto"/>
            </w:tcBorders>
            <w:shd w:val="clear" w:color="auto" w:fill="auto"/>
            <w:vAlign w:val="center"/>
            <w:hideMark/>
          </w:tcPr>
          <w:p w14:paraId="21E593B9" w14:textId="5010F31B"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55,415,110</w:t>
            </w:r>
          </w:p>
        </w:tc>
        <w:tc>
          <w:tcPr>
            <w:tcW w:w="1096" w:type="dxa"/>
            <w:tcBorders>
              <w:top w:val="nil"/>
              <w:left w:val="nil"/>
              <w:bottom w:val="single" w:sz="4" w:space="0" w:color="auto"/>
              <w:right w:val="single" w:sz="4" w:space="0" w:color="auto"/>
            </w:tcBorders>
            <w:shd w:val="clear" w:color="auto" w:fill="auto"/>
            <w:vAlign w:val="center"/>
            <w:hideMark/>
          </w:tcPr>
          <w:p w14:paraId="7F60D601"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2455007F" w14:textId="77777777" w:rsidTr="0051512E">
        <w:trPr>
          <w:trHeight w:val="360"/>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A3AC6F7"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DIVISIÓN DE PLANIFICACIÓN Y NORMATIVA</w:t>
            </w:r>
          </w:p>
        </w:tc>
        <w:tc>
          <w:tcPr>
            <w:tcW w:w="1208" w:type="dxa"/>
            <w:tcBorders>
              <w:top w:val="nil"/>
              <w:left w:val="nil"/>
              <w:bottom w:val="single" w:sz="4" w:space="0" w:color="auto"/>
              <w:right w:val="single" w:sz="4" w:space="0" w:color="auto"/>
            </w:tcBorders>
            <w:shd w:val="clear" w:color="000000" w:fill="DCE6F1"/>
            <w:vAlign w:val="center"/>
            <w:hideMark/>
          </w:tcPr>
          <w:p w14:paraId="0BEFAC2E" w14:textId="208987A4"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641,687,667</w:t>
            </w:r>
          </w:p>
        </w:tc>
        <w:tc>
          <w:tcPr>
            <w:tcW w:w="1186" w:type="dxa"/>
            <w:tcBorders>
              <w:top w:val="nil"/>
              <w:left w:val="nil"/>
              <w:bottom w:val="single" w:sz="4" w:space="0" w:color="auto"/>
              <w:right w:val="single" w:sz="4" w:space="0" w:color="auto"/>
            </w:tcBorders>
            <w:shd w:val="clear" w:color="000000" w:fill="DCE6F1"/>
            <w:vAlign w:val="center"/>
            <w:hideMark/>
          </w:tcPr>
          <w:p w14:paraId="04AD07E7" w14:textId="51F424C7"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576,672,134</w:t>
            </w:r>
          </w:p>
        </w:tc>
        <w:tc>
          <w:tcPr>
            <w:tcW w:w="1096" w:type="dxa"/>
            <w:tcBorders>
              <w:top w:val="nil"/>
              <w:left w:val="nil"/>
              <w:bottom w:val="single" w:sz="4" w:space="0" w:color="auto"/>
              <w:right w:val="single" w:sz="4" w:space="0" w:color="auto"/>
            </w:tcBorders>
            <w:shd w:val="clear" w:color="000000" w:fill="DCE6F1"/>
            <w:vAlign w:val="center"/>
            <w:hideMark/>
          </w:tcPr>
          <w:p w14:paraId="7D14DC51"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90%</w:t>
            </w:r>
          </w:p>
        </w:tc>
      </w:tr>
      <w:tr w:rsidR="0051512E" w:rsidRPr="00B123B8" w14:paraId="723FC280" w14:textId="77777777" w:rsidTr="0051512E">
        <w:trPr>
          <w:trHeight w:val="450"/>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14:paraId="6C00BF5B"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3BA013D"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4</w:t>
            </w:r>
          </w:p>
        </w:tc>
        <w:tc>
          <w:tcPr>
            <w:tcW w:w="3489" w:type="dxa"/>
            <w:tcBorders>
              <w:top w:val="nil"/>
              <w:left w:val="nil"/>
              <w:bottom w:val="single" w:sz="4" w:space="0" w:color="auto"/>
              <w:right w:val="single" w:sz="4" w:space="0" w:color="auto"/>
            </w:tcBorders>
            <w:shd w:val="clear" w:color="000000" w:fill="FFFFFF"/>
            <w:vAlign w:val="center"/>
            <w:hideMark/>
          </w:tcPr>
          <w:p w14:paraId="41CE72AD"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Gestionar el desarrollo de la planificación estratégica institucional</w:t>
            </w:r>
          </w:p>
        </w:tc>
        <w:tc>
          <w:tcPr>
            <w:tcW w:w="1208" w:type="dxa"/>
            <w:tcBorders>
              <w:top w:val="nil"/>
              <w:left w:val="nil"/>
              <w:bottom w:val="single" w:sz="4" w:space="0" w:color="auto"/>
              <w:right w:val="single" w:sz="4" w:space="0" w:color="auto"/>
            </w:tcBorders>
            <w:shd w:val="clear" w:color="auto" w:fill="auto"/>
            <w:vAlign w:val="center"/>
            <w:hideMark/>
          </w:tcPr>
          <w:p w14:paraId="281237E2" w14:textId="4325011A"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79,442,374</w:t>
            </w:r>
          </w:p>
        </w:tc>
        <w:tc>
          <w:tcPr>
            <w:tcW w:w="1186" w:type="dxa"/>
            <w:tcBorders>
              <w:top w:val="nil"/>
              <w:left w:val="nil"/>
              <w:bottom w:val="single" w:sz="4" w:space="0" w:color="auto"/>
              <w:right w:val="single" w:sz="4" w:space="0" w:color="auto"/>
            </w:tcBorders>
            <w:shd w:val="clear" w:color="auto" w:fill="auto"/>
            <w:vAlign w:val="center"/>
            <w:hideMark/>
          </w:tcPr>
          <w:p w14:paraId="5DF69531" w14:textId="32E22A42"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71,393,305</w:t>
            </w:r>
          </w:p>
        </w:tc>
        <w:tc>
          <w:tcPr>
            <w:tcW w:w="1096" w:type="dxa"/>
            <w:tcBorders>
              <w:top w:val="nil"/>
              <w:left w:val="nil"/>
              <w:bottom w:val="single" w:sz="4" w:space="0" w:color="auto"/>
              <w:right w:val="single" w:sz="4" w:space="0" w:color="auto"/>
            </w:tcBorders>
            <w:shd w:val="clear" w:color="auto" w:fill="auto"/>
            <w:vAlign w:val="center"/>
            <w:hideMark/>
          </w:tcPr>
          <w:p w14:paraId="57C66C90"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4477F685" w14:textId="77777777" w:rsidTr="0051512E">
        <w:trPr>
          <w:trHeight w:val="450"/>
        </w:trPr>
        <w:tc>
          <w:tcPr>
            <w:tcW w:w="1187" w:type="dxa"/>
            <w:vMerge/>
            <w:tcBorders>
              <w:top w:val="nil"/>
              <w:left w:val="single" w:sz="4" w:space="0" w:color="auto"/>
              <w:bottom w:val="single" w:sz="4" w:space="0" w:color="auto"/>
              <w:right w:val="single" w:sz="4" w:space="0" w:color="auto"/>
            </w:tcBorders>
            <w:vAlign w:val="center"/>
            <w:hideMark/>
          </w:tcPr>
          <w:p w14:paraId="1315A1D0"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FED5F09"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5</w:t>
            </w:r>
          </w:p>
        </w:tc>
        <w:tc>
          <w:tcPr>
            <w:tcW w:w="3489" w:type="dxa"/>
            <w:tcBorders>
              <w:top w:val="nil"/>
              <w:left w:val="nil"/>
              <w:bottom w:val="single" w:sz="4" w:space="0" w:color="auto"/>
              <w:right w:val="single" w:sz="4" w:space="0" w:color="auto"/>
            </w:tcBorders>
            <w:shd w:val="clear" w:color="000000" w:fill="FFFFFF"/>
            <w:vAlign w:val="center"/>
            <w:hideMark/>
          </w:tcPr>
          <w:p w14:paraId="1063B823"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Gestionar la administración del portafolio institucional de proyectos.</w:t>
            </w:r>
          </w:p>
        </w:tc>
        <w:tc>
          <w:tcPr>
            <w:tcW w:w="1208" w:type="dxa"/>
            <w:tcBorders>
              <w:top w:val="nil"/>
              <w:left w:val="nil"/>
              <w:bottom w:val="single" w:sz="4" w:space="0" w:color="auto"/>
              <w:right w:val="single" w:sz="4" w:space="0" w:color="auto"/>
            </w:tcBorders>
            <w:shd w:val="clear" w:color="auto" w:fill="auto"/>
            <w:vAlign w:val="center"/>
            <w:hideMark/>
          </w:tcPr>
          <w:p w14:paraId="5C9BBE5A" w14:textId="110CB4E6"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151,755,304</w:t>
            </w:r>
          </w:p>
        </w:tc>
        <w:tc>
          <w:tcPr>
            <w:tcW w:w="1186" w:type="dxa"/>
            <w:tcBorders>
              <w:top w:val="nil"/>
              <w:left w:val="nil"/>
              <w:bottom w:val="single" w:sz="4" w:space="0" w:color="auto"/>
              <w:right w:val="single" w:sz="4" w:space="0" w:color="auto"/>
            </w:tcBorders>
            <w:shd w:val="clear" w:color="auto" w:fill="auto"/>
            <w:vAlign w:val="center"/>
            <w:hideMark/>
          </w:tcPr>
          <w:p w14:paraId="5DE25FE8" w14:textId="0DFF5A18"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136,379,519</w:t>
            </w:r>
          </w:p>
        </w:tc>
        <w:tc>
          <w:tcPr>
            <w:tcW w:w="1096" w:type="dxa"/>
            <w:tcBorders>
              <w:top w:val="nil"/>
              <w:left w:val="nil"/>
              <w:bottom w:val="single" w:sz="4" w:space="0" w:color="auto"/>
              <w:right w:val="single" w:sz="4" w:space="0" w:color="auto"/>
            </w:tcBorders>
            <w:shd w:val="clear" w:color="auto" w:fill="auto"/>
            <w:vAlign w:val="center"/>
            <w:hideMark/>
          </w:tcPr>
          <w:p w14:paraId="50861F9F"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7869A0BE" w14:textId="77777777" w:rsidTr="0051512E">
        <w:trPr>
          <w:trHeight w:val="450"/>
        </w:trPr>
        <w:tc>
          <w:tcPr>
            <w:tcW w:w="1187" w:type="dxa"/>
            <w:vMerge/>
            <w:tcBorders>
              <w:top w:val="nil"/>
              <w:left w:val="single" w:sz="4" w:space="0" w:color="auto"/>
              <w:bottom w:val="single" w:sz="4" w:space="0" w:color="auto"/>
              <w:right w:val="single" w:sz="4" w:space="0" w:color="auto"/>
            </w:tcBorders>
            <w:vAlign w:val="center"/>
            <w:hideMark/>
          </w:tcPr>
          <w:p w14:paraId="49392B66"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142D527"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6</w:t>
            </w:r>
          </w:p>
        </w:tc>
        <w:tc>
          <w:tcPr>
            <w:tcW w:w="3489" w:type="dxa"/>
            <w:tcBorders>
              <w:top w:val="nil"/>
              <w:left w:val="nil"/>
              <w:bottom w:val="single" w:sz="4" w:space="0" w:color="auto"/>
              <w:right w:val="single" w:sz="4" w:space="0" w:color="auto"/>
            </w:tcBorders>
            <w:shd w:val="clear" w:color="000000" w:fill="FFFFFF"/>
            <w:vAlign w:val="center"/>
            <w:hideMark/>
          </w:tcPr>
          <w:p w14:paraId="6BF7FEA0"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Tramitar las solicitudes de información y estudios particulares.</w:t>
            </w:r>
          </w:p>
        </w:tc>
        <w:tc>
          <w:tcPr>
            <w:tcW w:w="1208" w:type="dxa"/>
            <w:tcBorders>
              <w:top w:val="nil"/>
              <w:left w:val="nil"/>
              <w:bottom w:val="single" w:sz="4" w:space="0" w:color="auto"/>
              <w:right w:val="single" w:sz="4" w:space="0" w:color="auto"/>
            </w:tcBorders>
            <w:shd w:val="clear" w:color="auto" w:fill="auto"/>
            <w:vAlign w:val="center"/>
            <w:hideMark/>
          </w:tcPr>
          <w:p w14:paraId="23F02894" w14:textId="0711B4FE"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145,267,133</w:t>
            </w:r>
          </w:p>
        </w:tc>
        <w:tc>
          <w:tcPr>
            <w:tcW w:w="1186" w:type="dxa"/>
            <w:tcBorders>
              <w:top w:val="nil"/>
              <w:left w:val="nil"/>
              <w:bottom w:val="single" w:sz="4" w:space="0" w:color="auto"/>
              <w:right w:val="single" w:sz="4" w:space="0" w:color="auto"/>
            </w:tcBorders>
            <w:shd w:val="clear" w:color="auto" w:fill="auto"/>
            <w:vAlign w:val="center"/>
            <w:hideMark/>
          </w:tcPr>
          <w:p w14:paraId="4F517155" w14:textId="6EA1D614"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130,548,727</w:t>
            </w:r>
          </w:p>
        </w:tc>
        <w:tc>
          <w:tcPr>
            <w:tcW w:w="1096" w:type="dxa"/>
            <w:tcBorders>
              <w:top w:val="nil"/>
              <w:left w:val="nil"/>
              <w:bottom w:val="single" w:sz="4" w:space="0" w:color="auto"/>
              <w:right w:val="single" w:sz="4" w:space="0" w:color="auto"/>
            </w:tcBorders>
            <w:shd w:val="clear" w:color="auto" w:fill="auto"/>
            <w:vAlign w:val="center"/>
            <w:hideMark/>
          </w:tcPr>
          <w:p w14:paraId="0275B33B"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3D484A7A" w14:textId="77777777" w:rsidTr="0051512E">
        <w:trPr>
          <w:trHeight w:val="675"/>
        </w:trPr>
        <w:tc>
          <w:tcPr>
            <w:tcW w:w="1187" w:type="dxa"/>
            <w:vMerge/>
            <w:tcBorders>
              <w:top w:val="nil"/>
              <w:left w:val="single" w:sz="4" w:space="0" w:color="auto"/>
              <w:bottom w:val="single" w:sz="4" w:space="0" w:color="auto"/>
              <w:right w:val="single" w:sz="4" w:space="0" w:color="auto"/>
            </w:tcBorders>
            <w:vAlign w:val="center"/>
            <w:hideMark/>
          </w:tcPr>
          <w:p w14:paraId="07488FB7"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05BE1F40"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7</w:t>
            </w:r>
          </w:p>
        </w:tc>
        <w:tc>
          <w:tcPr>
            <w:tcW w:w="3489" w:type="dxa"/>
            <w:tcBorders>
              <w:top w:val="nil"/>
              <w:left w:val="nil"/>
              <w:bottom w:val="single" w:sz="4" w:space="0" w:color="auto"/>
              <w:right w:val="single" w:sz="4" w:space="0" w:color="auto"/>
            </w:tcBorders>
            <w:shd w:val="clear" w:color="000000" w:fill="FFFFFF"/>
            <w:vAlign w:val="center"/>
            <w:hideMark/>
          </w:tcPr>
          <w:p w14:paraId="69C17D77"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Tramitar oportunamente las solicitudes de aprobación y autorización requeridas por los participantes del Sistema Nacional de Pensiones.</w:t>
            </w:r>
          </w:p>
        </w:tc>
        <w:tc>
          <w:tcPr>
            <w:tcW w:w="1208" w:type="dxa"/>
            <w:tcBorders>
              <w:top w:val="nil"/>
              <w:left w:val="nil"/>
              <w:bottom w:val="single" w:sz="4" w:space="0" w:color="auto"/>
              <w:right w:val="single" w:sz="4" w:space="0" w:color="auto"/>
            </w:tcBorders>
            <w:shd w:val="clear" w:color="auto" w:fill="auto"/>
            <w:vAlign w:val="center"/>
            <w:hideMark/>
          </w:tcPr>
          <w:p w14:paraId="3EF7264E" w14:textId="4DE9639B"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96,719,016</w:t>
            </w:r>
          </w:p>
        </w:tc>
        <w:tc>
          <w:tcPr>
            <w:tcW w:w="1186" w:type="dxa"/>
            <w:tcBorders>
              <w:top w:val="nil"/>
              <w:left w:val="nil"/>
              <w:bottom w:val="single" w:sz="4" w:space="0" w:color="auto"/>
              <w:right w:val="single" w:sz="4" w:space="0" w:color="auto"/>
            </w:tcBorders>
            <w:shd w:val="clear" w:color="auto" w:fill="auto"/>
            <w:vAlign w:val="center"/>
            <w:hideMark/>
          </w:tcPr>
          <w:p w14:paraId="2A8563A4" w14:textId="282571DE"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86,919,485</w:t>
            </w:r>
          </w:p>
        </w:tc>
        <w:tc>
          <w:tcPr>
            <w:tcW w:w="1096" w:type="dxa"/>
            <w:tcBorders>
              <w:top w:val="nil"/>
              <w:left w:val="nil"/>
              <w:bottom w:val="single" w:sz="4" w:space="0" w:color="auto"/>
              <w:right w:val="single" w:sz="4" w:space="0" w:color="auto"/>
            </w:tcBorders>
            <w:shd w:val="clear" w:color="auto" w:fill="auto"/>
            <w:vAlign w:val="center"/>
            <w:hideMark/>
          </w:tcPr>
          <w:p w14:paraId="5A4C543B"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7CA14F62" w14:textId="77777777" w:rsidTr="0051512E">
        <w:trPr>
          <w:trHeight w:val="450"/>
        </w:trPr>
        <w:tc>
          <w:tcPr>
            <w:tcW w:w="1187" w:type="dxa"/>
            <w:vMerge/>
            <w:tcBorders>
              <w:top w:val="nil"/>
              <w:left w:val="single" w:sz="4" w:space="0" w:color="auto"/>
              <w:bottom w:val="single" w:sz="4" w:space="0" w:color="auto"/>
              <w:right w:val="single" w:sz="4" w:space="0" w:color="auto"/>
            </w:tcBorders>
            <w:vAlign w:val="center"/>
            <w:hideMark/>
          </w:tcPr>
          <w:p w14:paraId="195E0B81"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47EC1DE4"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w:t>
            </w:r>
          </w:p>
        </w:tc>
        <w:tc>
          <w:tcPr>
            <w:tcW w:w="3489" w:type="dxa"/>
            <w:tcBorders>
              <w:top w:val="nil"/>
              <w:left w:val="nil"/>
              <w:bottom w:val="single" w:sz="4" w:space="0" w:color="auto"/>
              <w:right w:val="single" w:sz="4" w:space="0" w:color="auto"/>
            </w:tcBorders>
            <w:shd w:val="clear" w:color="000000" w:fill="FFFFFF"/>
            <w:vAlign w:val="center"/>
            <w:hideMark/>
          </w:tcPr>
          <w:p w14:paraId="48439F5A"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Mantener alineado el marco regulatorio del Sistema Nacional de Pensiones a los intereses de la organización</w:t>
            </w:r>
          </w:p>
        </w:tc>
        <w:tc>
          <w:tcPr>
            <w:tcW w:w="1208" w:type="dxa"/>
            <w:tcBorders>
              <w:top w:val="nil"/>
              <w:left w:val="nil"/>
              <w:bottom w:val="single" w:sz="4" w:space="0" w:color="auto"/>
              <w:right w:val="single" w:sz="4" w:space="0" w:color="auto"/>
            </w:tcBorders>
            <w:shd w:val="clear" w:color="auto" w:fill="auto"/>
            <w:vAlign w:val="center"/>
            <w:hideMark/>
          </w:tcPr>
          <w:p w14:paraId="65450C45" w14:textId="4AD6DB36"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168,503,839</w:t>
            </w:r>
          </w:p>
        </w:tc>
        <w:tc>
          <w:tcPr>
            <w:tcW w:w="1186" w:type="dxa"/>
            <w:tcBorders>
              <w:top w:val="nil"/>
              <w:left w:val="nil"/>
              <w:bottom w:val="single" w:sz="4" w:space="0" w:color="auto"/>
              <w:right w:val="single" w:sz="4" w:space="0" w:color="auto"/>
            </w:tcBorders>
            <w:shd w:val="clear" w:color="auto" w:fill="auto"/>
            <w:vAlign w:val="center"/>
            <w:hideMark/>
          </w:tcPr>
          <w:p w14:paraId="24F4A556" w14:textId="58141551"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151,431,099</w:t>
            </w:r>
          </w:p>
        </w:tc>
        <w:tc>
          <w:tcPr>
            <w:tcW w:w="1096" w:type="dxa"/>
            <w:tcBorders>
              <w:top w:val="nil"/>
              <w:left w:val="nil"/>
              <w:bottom w:val="single" w:sz="4" w:space="0" w:color="auto"/>
              <w:right w:val="single" w:sz="4" w:space="0" w:color="auto"/>
            </w:tcBorders>
            <w:shd w:val="clear" w:color="auto" w:fill="auto"/>
            <w:vAlign w:val="center"/>
            <w:hideMark/>
          </w:tcPr>
          <w:p w14:paraId="587787CB"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90%</w:t>
            </w:r>
          </w:p>
        </w:tc>
      </w:tr>
      <w:tr w:rsidR="0051512E" w:rsidRPr="00B123B8" w14:paraId="120FE985" w14:textId="77777777" w:rsidTr="0051512E">
        <w:trPr>
          <w:trHeight w:val="330"/>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36F5E3B"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DIVISIÓN SUPERVISIÓN DEL RÉGIMENES COLECTIVOS</w:t>
            </w:r>
          </w:p>
        </w:tc>
        <w:tc>
          <w:tcPr>
            <w:tcW w:w="1208" w:type="dxa"/>
            <w:tcBorders>
              <w:top w:val="nil"/>
              <w:left w:val="nil"/>
              <w:bottom w:val="single" w:sz="4" w:space="0" w:color="auto"/>
              <w:right w:val="single" w:sz="4" w:space="0" w:color="auto"/>
            </w:tcBorders>
            <w:shd w:val="clear" w:color="000000" w:fill="DCE6F1"/>
            <w:vAlign w:val="center"/>
            <w:hideMark/>
          </w:tcPr>
          <w:p w14:paraId="727EF28B" w14:textId="51236FAC"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1,050,973,271</w:t>
            </w:r>
          </w:p>
        </w:tc>
        <w:tc>
          <w:tcPr>
            <w:tcW w:w="1186" w:type="dxa"/>
            <w:tcBorders>
              <w:top w:val="nil"/>
              <w:left w:val="nil"/>
              <w:bottom w:val="single" w:sz="4" w:space="0" w:color="auto"/>
              <w:right w:val="single" w:sz="4" w:space="0" w:color="auto"/>
            </w:tcBorders>
            <w:shd w:val="clear" w:color="000000" w:fill="DCE6F1"/>
            <w:vAlign w:val="center"/>
            <w:hideMark/>
          </w:tcPr>
          <w:p w14:paraId="0B2BBB08" w14:textId="655B49A8"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897,749,317</w:t>
            </w:r>
          </w:p>
        </w:tc>
        <w:tc>
          <w:tcPr>
            <w:tcW w:w="1096" w:type="dxa"/>
            <w:tcBorders>
              <w:top w:val="nil"/>
              <w:left w:val="nil"/>
              <w:bottom w:val="single" w:sz="4" w:space="0" w:color="auto"/>
              <w:right w:val="single" w:sz="4" w:space="0" w:color="auto"/>
            </w:tcBorders>
            <w:shd w:val="clear" w:color="000000" w:fill="DCE6F1"/>
            <w:vAlign w:val="center"/>
            <w:hideMark/>
          </w:tcPr>
          <w:p w14:paraId="27B2D130"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85%</w:t>
            </w:r>
          </w:p>
        </w:tc>
      </w:tr>
      <w:tr w:rsidR="0051512E" w:rsidRPr="00B123B8" w14:paraId="024D6262" w14:textId="77777777" w:rsidTr="0051512E">
        <w:trPr>
          <w:trHeight w:val="114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77E46F2"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2746B2A"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9</w:t>
            </w:r>
          </w:p>
        </w:tc>
        <w:tc>
          <w:tcPr>
            <w:tcW w:w="3489" w:type="dxa"/>
            <w:tcBorders>
              <w:top w:val="nil"/>
              <w:left w:val="nil"/>
              <w:bottom w:val="single" w:sz="4" w:space="0" w:color="auto"/>
              <w:right w:val="single" w:sz="4" w:space="0" w:color="auto"/>
            </w:tcBorders>
            <w:shd w:val="clear" w:color="auto" w:fill="auto"/>
            <w:vAlign w:val="center"/>
            <w:hideMark/>
          </w:tcPr>
          <w:p w14:paraId="173FD50B" w14:textId="1664E3E4"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Supervisar a los regímenes de pensiones básicos y complementarios con base en riesgo; informar sobre la situación de riesgo de cada uno; proponer la aplicació</w:t>
            </w:r>
            <w:r w:rsidR="0051512E">
              <w:rPr>
                <w:rFonts w:ascii="Calibri Light" w:hAnsi="Calibri Light" w:cs="Calibri Light"/>
                <w:sz w:val="18"/>
                <w:szCs w:val="18"/>
                <w:lang w:val="es-CR" w:eastAsia="es-CR"/>
              </w:rPr>
              <w:t>n del marco sancionatorio a los</w:t>
            </w:r>
            <w:r w:rsidRPr="00B123B8">
              <w:rPr>
                <w:rFonts w:ascii="Calibri Light" w:hAnsi="Calibri Light" w:cs="Calibri Light"/>
                <w:sz w:val="18"/>
                <w:szCs w:val="18"/>
                <w:lang w:val="es-CR" w:eastAsia="es-CR"/>
              </w:rPr>
              <w:t xml:space="preserve"> que incurran en incumplimientos.</w:t>
            </w:r>
          </w:p>
        </w:tc>
        <w:tc>
          <w:tcPr>
            <w:tcW w:w="1208" w:type="dxa"/>
            <w:tcBorders>
              <w:top w:val="nil"/>
              <w:left w:val="nil"/>
              <w:bottom w:val="single" w:sz="4" w:space="0" w:color="auto"/>
              <w:right w:val="single" w:sz="4" w:space="0" w:color="auto"/>
            </w:tcBorders>
            <w:shd w:val="clear" w:color="auto" w:fill="auto"/>
            <w:vAlign w:val="center"/>
            <w:hideMark/>
          </w:tcPr>
          <w:p w14:paraId="06DCD5F9" w14:textId="0E065517"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1,050,973,271</w:t>
            </w:r>
          </w:p>
        </w:tc>
        <w:tc>
          <w:tcPr>
            <w:tcW w:w="1186" w:type="dxa"/>
            <w:tcBorders>
              <w:top w:val="nil"/>
              <w:left w:val="nil"/>
              <w:bottom w:val="single" w:sz="4" w:space="0" w:color="auto"/>
              <w:right w:val="single" w:sz="4" w:space="0" w:color="auto"/>
            </w:tcBorders>
            <w:shd w:val="clear" w:color="auto" w:fill="auto"/>
            <w:vAlign w:val="center"/>
            <w:hideMark/>
          </w:tcPr>
          <w:p w14:paraId="6109762A" w14:textId="7333092A"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897,749,317</w:t>
            </w:r>
          </w:p>
        </w:tc>
        <w:tc>
          <w:tcPr>
            <w:tcW w:w="1096" w:type="dxa"/>
            <w:tcBorders>
              <w:top w:val="nil"/>
              <w:left w:val="nil"/>
              <w:bottom w:val="single" w:sz="4" w:space="0" w:color="auto"/>
              <w:right w:val="single" w:sz="4" w:space="0" w:color="auto"/>
            </w:tcBorders>
            <w:shd w:val="clear" w:color="auto" w:fill="auto"/>
            <w:vAlign w:val="center"/>
            <w:hideMark/>
          </w:tcPr>
          <w:p w14:paraId="430718C0"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85%</w:t>
            </w:r>
          </w:p>
        </w:tc>
      </w:tr>
      <w:tr w:rsidR="0051512E" w:rsidRPr="00B123B8" w14:paraId="22E18EE9" w14:textId="77777777" w:rsidTr="0051512E">
        <w:trPr>
          <w:trHeight w:val="315"/>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C3FAE7"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DIVISIÓN SUPERVISIÓN DEL RÉGIMEN DE CAPITALIZACIÓN INDIVIDUAL</w:t>
            </w:r>
          </w:p>
        </w:tc>
        <w:tc>
          <w:tcPr>
            <w:tcW w:w="1208" w:type="dxa"/>
            <w:tcBorders>
              <w:top w:val="nil"/>
              <w:left w:val="nil"/>
              <w:bottom w:val="single" w:sz="4" w:space="0" w:color="auto"/>
              <w:right w:val="single" w:sz="4" w:space="0" w:color="auto"/>
            </w:tcBorders>
            <w:shd w:val="clear" w:color="000000" w:fill="DCE6F1"/>
            <w:vAlign w:val="center"/>
            <w:hideMark/>
          </w:tcPr>
          <w:p w14:paraId="127D5DB2" w14:textId="2513DAF6"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1,181,096,201</w:t>
            </w:r>
          </w:p>
        </w:tc>
        <w:tc>
          <w:tcPr>
            <w:tcW w:w="1186" w:type="dxa"/>
            <w:tcBorders>
              <w:top w:val="nil"/>
              <w:left w:val="nil"/>
              <w:bottom w:val="single" w:sz="4" w:space="0" w:color="auto"/>
              <w:right w:val="single" w:sz="4" w:space="0" w:color="auto"/>
            </w:tcBorders>
            <w:shd w:val="clear" w:color="000000" w:fill="DCE6F1"/>
            <w:vAlign w:val="center"/>
            <w:hideMark/>
          </w:tcPr>
          <w:p w14:paraId="6E801DC0" w14:textId="467A9793"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1,046,439,567</w:t>
            </w:r>
          </w:p>
        </w:tc>
        <w:tc>
          <w:tcPr>
            <w:tcW w:w="1096" w:type="dxa"/>
            <w:tcBorders>
              <w:top w:val="nil"/>
              <w:left w:val="nil"/>
              <w:bottom w:val="single" w:sz="4" w:space="0" w:color="auto"/>
              <w:right w:val="single" w:sz="4" w:space="0" w:color="auto"/>
            </w:tcBorders>
            <w:shd w:val="clear" w:color="000000" w:fill="DCE6F1"/>
            <w:vAlign w:val="center"/>
            <w:hideMark/>
          </w:tcPr>
          <w:p w14:paraId="44022F68"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89%</w:t>
            </w:r>
          </w:p>
        </w:tc>
      </w:tr>
      <w:tr w:rsidR="0051512E" w:rsidRPr="00B123B8" w14:paraId="189026BB" w14:textId="77777777" w:rsidTr="0051512E">
        <w:trPr>
          <w:trHeight w:val="90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42344A39"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6B1054C8"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10</w:t>
            </w:r>
          </w:p>
        </w:tc>
        <w:tc>
          <w:tcPr>
            <w:tcW w:w="3489" w:type="dxa"/>
            <w:tcBorders>
              <w:top w:val="nil"/>
              <w:left w:val="nil"/>
              <w:bottom w:val="single" w:sz="4" w:space="0" w:color="auto"/>
              <w:right w:val="single" w:sz="4" w:space="0" w:color="auto"/>
            </w:tcBorders>
            <w:shd w:val="clear" w:color="auto" w:fill="auto"/>
            <w:vAlign w:val="center"/>
            <w:hideMark/>
          </w:tcPr>
          <w:p w14:paraId="6C9161F5"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208" w:type="dxa"/>
            <w:tcBorders>
              <w:top w:val="nil"/>
              <w:left w:val="nil"/>
              <w:bottom w:val="single" w:sz="4" w:space="0" w:color="auto"/>
              <w:right w:val="single" w:sz="4" w:space="0" w:color="auto"/>
            </w:tcBorders>
            <w:shd w:val="clear" w:color="auto" w:fill="auto"/>
            <w:vAlign w:val="center"/>
            <w:hideMark/>
          </w:tcPr>
          <w:p w14:paraId="2067E406" w14:textId="24CF491A"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1,181,096,201</w:t>
            </w:r>
          </w:p>
        </w:tc>
        <w:tc>
          <w:tcPr>
            <w:tcW w:w="1186" w:type="dxa"/>
            <w:tcBorders>
              <w:top w:val="nil"/>
              <w:left w:val="nil"/>
              <w:bottom w:val="single" w:sz="4" w:space="0" w:color="auto"/>
              <w:right w:val="single" w:sz="4" w:space="0" w:color="auto"/>
            </w:tcBorders>
            <w:shd w:val="clear" w:color="auto" w:fill="auto"/>
            <w:vAlign w:val="center"/>
            <w:hideMark/>
          </w:tcPr>
          <w:p w14:paraId="4CA382EF" w14:textId="51AE2764"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1,046,439,567</w:t>
            </w:r>
          </w:p>
        </w:tc>
        <w:tc>
          <w:tcPr>
            <w:tcW w:w="1096" w:type="dxa"/>
            <w:tcBorders>
              <w:top w:val="nil"/>
              <w:left w:val="nil"/>
              <w:bottom w:val="single" w:sz="4" w:space="0" w:color="auto"/>
              <w:right w:val="single" w:sz="4" w:space="0" w:color="auto"/>
            </w:tcBorders>
            <w:shd w:val="clear" w:color="auto" w:fill="auto"/>
            <w:vAlign w:val="center"/>
            <w:hideMark/>
          </w:tcPr>
          <w:p w14:paraId="37E2F2FA"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89%</w:t>
            </w:r>
          </w:p>
        </w:tc>
      </w:tr>
      <w:tr w:rsidR="0051512E" w:rsidRPr="00B123B8" w14:paraId="01D9443E" w14:textId="77777777" w:rsidTr="0051512E">
        <w:trPr>
          <w:trHeight w:val="285"/>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2A9977"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ÁREA COMUNICACIÓN Y SERVICIOS</w:t>
            </w:r>
          </w:p>
        </w:tc>
        <w:tc>
          <w:tcPr>
            <w:tcW w:w="1208" w:type="dxa"/>
            <w:tcBorders>
              <w:top w:val="nil"/>
              <w:left w:val="nil"/>
              <w:bottom w:val="single" w:sz="4" w:space="0" w:color="auto"/>
              <w:right w:val="single" w:sz="4" w:space="0" w:color="auto"/>
            </w:tcBorders>
            <w:shd w:val="clear" w:color="000000" w:fill="DCE6F1"/>
            <w:vAlign w:val="center"/>
            <w:hideMark/>
          </w:tcPr>
          <w:p w14:paraId="164E59A7" w14:textId="6510EE0E"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962,869,090</w:t>
            </w:r>
          </w:p>
        </w:tc>
        <w:tc>
          <w:tcPr>
            <w:tcW w:w="1186" w:type="dxa"/>
            <w:tcBorders>
              <w:top w:val="nil"/>
              <w:left w:val="nil"/>
              <w:bottom w:val="single" w:sz="4" w:space="0" w:color="auto"/>
              <w:right w:val="single" w:sz="4" w:space="0" w:color="auto"/>
            </w:tcBorders>
            <w:shd w:val="clear" w:color="000000" w:fill="DCE6F1"/>
            <w:vAlign w:val="center"/>
            <w:hideMark/>
          </w:tcPr>
          <w:p w14:paraId="56D2130A" w14:textId="18620608"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709,066,863</w:t>
            </w:r>
          </w:p>
        </w:tc>
        <w:tc>
          <w:tcPr>
            <w:tcW w:w="1096" w:type="dxa"/>
            <w:tcBorders>
              <w:top w:val="nil"/>
              <w:left w:val="nil"/>
              <w:bottom w:val="single" w:sz="4" w:space="0" w:color="auto"/>
              <w:right w:val="single" w:sz="4" w:space="0" w:color="auto"/>
            </w:tcBorders>
            <w:shd w:val="clear" w:color="000000" w:fill="DCE6F1"/>
            <w:vAlign w:val="center"/>
            <w:hideMark/>
          </w:tcPr>
          <w:p w14:paraId="54314963"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74%</w:t>
            </w:r>
          </w:p>
        </w:tc>
      </w:tr>
      <w:tr w:rsidR="0051512E" w:rsidRPr="00B123B8" w14:paraId="747BC7BF" w14:textId="77777777" w:rsidTr="0051512E">
        <w:trPr>
          <w:trHeight w:val="675"/>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14:paraId="071BB9DF"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4DB64E18"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11</w:t>
            </w:r>
          </w:p>
        </w:tc>
        <w:tc>
          <w:tcPr>
            <w:tcW w:w="3489" w:type="dxa"/>
            <w:tcBorders>
              <w:top w:val="nil"/>
              <w:left w:val="nil"/>
              <w:bottom w:val="single" w:sz="4" w:space="0" w:color="auto"/>
              <w:right w:val="single" w:sz="4" w:space="0" w:color="auto"/>
            </w:tcBorders>
            <w:shd w:val="clear" w:color="auto" w:fill="auto"/>
            <w:vAlign w:val="center"/>
            <w:hideMark/>
          </w:tcPr>
          <w:p w14:paraId="65DED463" w14:textId="51C6B685"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Ejecutar el 100% de las labores programadas en el Plan de Comunicación y en la aplicació</w:t>
            </w:r>
            <w:r w:rsidR="0051512E">
              <w:rPr>
                <w:rFonts w:ascii="Calibri Light" w:hAnsi="Calibri Light" w:cs="Calibri Light"/>
                <w:sz w:val="18"/>
                <w:szCs w:val="18"/>
                <w:lang w:val="es-CR" w:eastAsia="es-CR"/>
              </w:rPr>
              <w:t xml:space="preserve">n de herramientas relacionadas </w:t>
            </w:r>
            <w:r w:rsidRPr="00B123B8">
              <w:rPr>
                <w:rFonts w:ascii="Calibri Light" w:hAnsi="Calibri Light" w:cs="Calibri Light"/>
                <w:sz w:val="18"/>
                <w:szCs w:val="18"/>
                <w:lang w:val="es-CR" w:eastAsia="es-CR"/>
              </w:rPr>
              <w:t>(percepción, quejas)</w:t>
            </w:r>
          </w:p>
        </w:tc>
        <w:tc>
          <w:tcPr>
            <w:tcW w:w="1208" w:type="dxa"/>
            <w:tcBorders>
              <w:top w:val="nil"/>
              <w:left w:val="nil"/>
              <w:bottom w:val="single" w:sz="4" w:space="0" w:color="auto"/>
              <w:right w:val="single" w:sz="4" w:space="0" w:color="auto"/>
            </w:tcBorders>
            <w:shd w:val="clear" w:color="auto" w:fill="auto"/>
            <w:vAlign w:val="center"/>
            <w:hideMark/>
          </w:tcPr>
          <w:p w14:paraId="3086B72D" w14:textId="00A777A0"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164,716,952</w:t>
            </w:r>
          </w:p>
        </w:tc>
        <w:tc>
          <w:tcPr>
            <w:tcW w:w="1186" w:type="dxa"/>
            <w:tcBorders>
              <w:top w:val="nil"/>
              <w:left w:val="nil"/>
              <w:bottom w:val="single" w:sz="4" w:space="0" w:color="auto"/>
              <w:right w:val="single" w:sz="4" w:space="0" w:color="auto"/>
            </w:tcBorders>
            <w:shd w:val="clear" w:color="auto" w:fill="auto"/>
            <w:vAlign w:val="center"/>
            <w:hideMark/>
          </w:tcPr>
          <w:p w14:paraId="3B2E11B0" w14:textId="58E0C917"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121,299,285</w:t>
            </w:r>
          </w:p>
        </w:tc>
        <w:tc>
          <w:tcPr>
            <w:tcW w:w="1096" w:type="dxa"/>
            <w:tcBorders>
              <w:top w:val="nil"/>
              <w:left w:val="nil"/>
              <w:bottom w:val="single" w:sz="4" w:space="0" w:color="auto"/>
              <w:right w:val="single" w:sz="4" w:space="0" w:color="auto"/>
            </w:tcBorders>
            <w:shd w:val="clear" w:color="auto" w:fill="auto"/>
            <w:vAlign w:val="center"/>
            <w:hideMark/>
          </w:tcPr>
          <w:p w14:paraId="71696CB1"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74%</w:t>
            </w:r>
          </w:p>
        </w:tc>
      </w:tr>
      <w:tr w:rsidR="0051512E" w:rsidRPr="00B123B8" w14:paraId="3AAA866E" w14:textId="77777777" w:rsidTr="0051512E">
        <w:trPr>
          <w:trHeight w:val="450"/>
        </w:trPr>
        <w:tc>
          <w:tcPr>
            <w:tcW w:w="1187" w:type="dxa"/>
            <w:vMerge/>
            <w:tcBorders>
              <w:top w:val="nil"/>
              <w:left w:val="single" w:sz="4" w:space="0" w:color="auto"/>
              <w:bottom w:val="single" w:sz="4" w:space="0" w:color="auto"/>
              <w:right w:val="single" w:sz="4" w:space="0" w:color="auto"/>
            </w:tcBorders>
            <w:vAlign w:val="center"/>
            <w:hideMark/>
          </w:tcPr>
          <w:p w14:paraId="4BAAD78F"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741C5573"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12</w:t>
            </w:r>
          </w:p>
        </w:tc>
        <w:tc>
          <w:tcPr>
            <w:tcW w:w="3489" w:type="dxa"/>
            <w:tcBorders>
              <w:top w:val="nil"/>
              <w:left w:val="nil"/>
              <w:bottom w:val="single" w:sz="4" w:space="0" w:color="auto"/>
              <w:right w:val="single" w:sz="4" w:space="0" w:color="auto"/>
            </w:tcBorders>
            <w:shd w:val="clear" w:color="auto" w:fill="auto"/>
            <w:vAlign w:val="center"/>
            <w:hideMark/>
          </w:tcPr>
          <w:p w14:paraId="7E070812" w14:textId="7FB69F02" w:rsidR="00B123B8" w:rsidRPr="00B123B8" w:rsidRDefault="0051512E" w:rsidP="00B123B8">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Atender el 100% de</w:t>
            </w:r>
            <w:r w:rsidR="00B123B8" w:rsidRPr="00B123B8">
              <w:rPr>
                <w:rFonts w:ascii="Calibri Light" w:hAnsi="Calibri Light" w:cs="Calibri Light"/>
                <w:sz w:val="18"/>
                <w:szCs w:val="18"/>
                <w:lang w:val="es-CR" w:eastAsia="es-CR"/>
              </w:rPr>
              <w:t xml:space="preserve"> los requerimientos de Servicios Institucionales y del Sistema de Gestión de la Calidad.</w:t>
            </w:r>
          </w:p>
        </w:tc>
        <w:tc>
          <w:tcPr>
            <w:tcW w:w="1208" w:type="dxa"/>
            <w:tcBorders>
              <w:top w:val="nil"/>
              <w:left w:val="nil"/>
              <w:bottom w:val="single" w:sz="4" w:space="0" w:color="auto"/>
              <w:right w:val="single" w:sz="4" w:space="0" w:color="auto"/>
            </w:tcBorders>
            <w:shd w:val="clear" w:color="auto" w:fill="auto"/>
            <w:vAlign w:val="center"/>
            <w:hideMark/>
          </w:tcPr>
          <w:p w14:paraId="6ECD9EEF" w14:textId="123449D2"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798,152,138</w:t>
            </w:r>
          </w:p>
        </w:tc>
        <w:tc>
          <w:tcPr>
            <w:tcW w:w="1186" w:type="dxa"/>
            <w:tcBorders>
              <w:top w:val="nil"/>
              <w:left w:val="nil"/>
              <w:bottom w:val="single" w:sz="4" w:space="0" w:color="auto"/>
              <w:right w:val="single" w:sz="4" w:space="0" w:color="auto"/>
            </w:tcBorders>
            <w:shd w:val="clear" w:color="auto" w:fill="auto"/>
            <w:vAlign w:val="center"/>
            <w:hideMark/>
          </w:tcPr>
          <w:p w14:paraId="61573587" w14:textId="639E6B7A"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587,767,577</w:t>
            </w:r>
          </w:p>
        </w:tc>
        <w:tc>
          <w:tcPr>
            <w:tcW w:w="1096" w:type="dxa"/>
            <w:tcBorders>
              <w:top w:val="nil"/>
              <w:left w:val="nil"/>
              <w:bottom w:val="single" w:sz="4" w:space="0" w:color="auto"/>
              <w:right w:val="single" w:sz="4" w:space="0" w:color="auto"/>
            </w:tcBorders>
            <w:shd w:val="clear" w:color="auto" w:fill="auto"/>
            <w:vAlign w:val="center"/>
            <w:hideMark/>
          </w:tcPr>
          <w:p w14:paraId="69AD5BE0"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74%</w:t>
            </w:r>
          </w:p>
        </w:tc>
      </w:tr>
      <w:tr w:rsidR="0051512E" w:rsidRPr="00B123B8" w14:paraId="006E17AD" w14:textId="77777777" w:rsidTr="0051512E">
        <w:trPr>
          <w:trHeight w:val="360"/>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F3EC93" w14:textId="77777777"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xml:space="preserve">DIVISIÓN DE PLANIFICACIÓN Y NORMATIVA (Proyectos) </w:t>
            </w:r>
          </w:p>
        </w:tc>
        <w:tc>
          <w:tcPr>
            <w:tcW w:w="1208" w:type="dxa"/>
            <w:tcBorders>
              <w:top w:val="nil"/>
              <w:left w:val="nil"/>
              <w:bottom w:val="single" w:sz="4" w:space="0" w:color="auto"/>
              <w:right w:val="single" w:sz="4" w:space="0" w:color="auto"/>
            </w:tcBorders>
            <w:shd w:val="clear" w:color="000000" w:fill="DCE6F1"/>
            <w:vAlign w:val="center"/>
            <w:hideMark/>
          </w:tcPr>
          <w:p w14:paraId="3AC7893C" w14:textId="1A641ECE"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642,429,879</w:t>
            </w:r>
          </w:p>
        </w:tc>
        <w:tc>
          <w:tcPr>
            <w:tcW w:w="1186" w:type="dxa"/>
            <w:tcBorders>
              <w:top w:val="nil"/>
              <w:left w:val="nil"/>
              <w:bottom w:val="single" w:sz="4" w:space="0" w:color="auto"/>
              <w:right w:val="single" w:sz="4" w:space="0" w:color="auto"/>
            </w:tcBorders>
            <w:shd w:val="clear" w:color="000000" w:fill="DCE6F1"/>
            <w:vAlign w:val="center"/>
            <w:hideMark/>
          </w:tcPr>
          <w:p w14:paraId="13E8A7BA" w14:textId="77461C20"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552,306,344</w:t>
            </w:r>
          </w:p>
        </w:tc>
        <w:tc>
          <w:tcPr>
            <w:tcW w:w="1096" w:type="dxa"/>
            <w:tcBorders>
              <w:top w:val="nil"/>
              <w:left w:val="nil"/>
              <w:bottom w:val="single" w:sz="4" w:space="0" w:color="auto"/>
              <w:right w:val="single" w:sz="4" w:space="0" w:color="auto"/>
            </w:tcBorders>
            <w:shd w:val="clear" w:color="000000" w:fill="DCE6F1"/>
            <w:vAlign w:val="center"/>
            <w:hideMark/>
          </w:tcPr>
          <w:p w14:paraId="5F7757BF"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86%</w:t>
            </w:r>
          </w:p>
        </w:tc>
      </w:tr>
      <w:tr w:rsidR="0051512E" w:rsidRPr="00B123B8" w14:paraId="7A1E19DE" w14:textId="77777777" w:rsidTr="0051512E">
        <w:trPr>
          <w:trHeight w:val="675"/>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1A8F00CC"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B1E4762"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13</w:t>
            </w:r>
          </w:p>
        </w:tc>
        <w:tc>
          <w:tcPr>
            <w:tcW w:w="3489" w:type="dxa"/>
            <w:tcBorders>
              <w:top w:val="nil"/>
              <w:left w:val="nil"/>
              <w:bottom w:val="single" w:sz="4" w:space="0" w:color="auto"/>
              <w:right w:val="single" w:sz="4" w:space="0" w:color="auto"/>
            </w:tcBorders>
            <w:shd w:val="clear" w:color="auto" w:fill="auto"/>
            <w:hideMark/>
          </w:tcPr>
          <w:p w14:paraId="53A56590" w14:textId="721A2751"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Cumplir con las actividades planificados e</w:t>
            </w:r>
            <w:r w:rsidR="0051512E">
              <w:rPr>
                <w:rFonts w:ascii="Calibri Light" w:hAnsi="Calibri Light" w:cs="Calibri Light"/>
                <w:sz w:val="18"/>
                <w:szCs w:val="18"/>
                <w:lang w:val="es-CR" w:eastAsia="es-CR"/>
              </w:rPr>
              <w:t>n el ciclo presupuestario para los</w:t>
            </w:r>
            <w:r w:rsidRPr="00B123B8">
              <w:rPr>
                <w:rFonts w:ascii="Calibri Light" w:hAnsi="Calibri Light" w:cs="Calibri Light"/>
                <w:sz w:val="18"/>
                <w:szCs w:val="18"/>
                <w:lang w:val="es-CR" w:eastAsia="es-CR"/>
              </w:rPr>
              <w:t xml:space="preserve"> proyectos declarados en la institución.</w:t>
            </w:r>
          </w:p>
        </w:tc>
        <w:tc>
          <w:tcPr>
            <w:tcW w:w="1208" w:type="dxa"/>
            <w:tcBorders>
              <w:top w:val="nil"/>
              <w:left w:val="nil"/>
              <w:bottom w:val="single" w:sz="4" w:space="0" w:color="auto"/>
              <w:right w:val="single" w:sz="4" w:space="0" w:color="auto"/>
            </w:tcBorders>
            <w:shd w:val="clear" w:color="auto" w:fill="auto"/>
            <w:vAlign w:val="center"/>
            <w:hideMark/>
          </w:tcPr>
          <w:p w14:paraId="0B361736" w14:textId="6285C5DD"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642,429,879</w:t>
            </w:r>
          </w:p>
        </w:tc>
        <w:tc>
          <w:tcPr>
            <w:tcW w:w="1186" w:type="dxa"/>
            <w:tcBorders>
              <w:top w:val="nil"/>
              <w:left w:val="nil"/>
              <w:bottom w:val="single" w:sz="4" w:space="0" w:color="auto"/>
              <w:right w:val="single" w:sz="4" w:space="0" w:color="auto"/>
            </w:tcBorders>
            <w:shd w:val="clear" w:color="auto" w:fill="auto"/>
            <w:vAlign w:val="center"/>
            <w:hideMark/>
          </w:tcPr>
          <w:p w14:paraId="35253A8D" w14:textId="67B3EF49"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552,306,344</w:t>
            </w:r>
          </w:p>
        </w:tc>
        <w:tc>
          <w:tcPr>
            <w:tcW w:w="1096" w:type="dxa"/>
            <w:tcBorders>
              <w:top w:val="nil"/>
              <w:left w:val="nil"/>
              <w:bottom w:val="single" w:sz="4" w:space="0" w:color="auto"/>
              <w:right w:val="single" w:sz="4" w:space="0" w:color="auto"/>
            </w:tcBorders>
            <w:shd w:val="clear" w:color="auto" w:fill="auto"/>
            <w:vAlign w:val="center"/>
            <w:hideMark/>
          </w:tcPr>
          <w:p w14:paraId="7043F515"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86%</w:t>
            </w:r>
          </w:p>
        </w:tc>
      </w:tr>
      <w:tr w:rsidR="0051512E" w:rsidRPr="00B123B8" w14:paraId="1B498637" w14:textId="77777777" w:rsidTr="0051512E">
        <w:trPr>
          <w:trHeight w:val="315"/>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FD34192" w14:textId="2B1D95EA" w:rsidR="00B123B8" w:rsidRPr="00B123B8" w:rsidRDefault="00B123B8" w:rsidP="00B123B8">
            <w:pPr>
              <w:spacing w:line="240" w:lineRule="auto"/>
              <w:jc w:val="lef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ÁREA COMUNICACIÓN Y SERVICIOS (SGC y otros)</w:t>
            </w:r>
          </w:p>
        </w:tc>
        <w:tc>
          <w:tcPr>
            <w:tcW w:w="1208" w:type="dxa"/>
            <w:tcBorders>
              <w:top w:val="nil"/>
              <w:left w:val="nil"/>
              <w:bottom w:val="single" w:sz="4" w:space="0" w:color="auto"/>
              <w:right w:val="single" w:sz="4" w:space="0" w:color="auto"/>
            </w:tcBorders>
            <w:shd w:val="clear" w:color="000000" w:fill="DCE6F1"/>
            <w:vAlign w:val="center"/>
            <w:hideMark/>
          </w:tcPr>
          <w:p w14:paraId="16877BD9" w14:textId="1096F709"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26,931,963</w:t>
            </w:r>
          </w:p>
        </w:tc>
        <w:tc>
          <w:tcPr>
            <w:tcW w:w="1186" w:type="dxa"/>
            <w:tcBorders>
              <w:top w:val="nil"/>
              <w:left w:val="nil"/>
              <w:bottom w:val="single" w:sz="4" w:space="0" w:color="auto"/>
              <w:right w:val="single" w:sz="4" w:space="0" w:color="auto"/>
            </w:tcBorders>
            <w:shd w:val="clear" w:color="000000" w:fill="DCE6F1"/>
            <w:vAlign w:val="center"/>
            <w:hideMark/>
          </w:tcPr>
          <w:p w14:paraId="66A6E668" w14:textId="49BDB2BF"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22,973,887</w:t>
            </w:r>
          </w:p>
        </w:tc>
        <w:tc>
          <w:tcPr>
            <w:tcW w:w="1096" w:type="dxa"/>
            <w:tcBorders>
              <w:top w:val="nil"/>
              <w:left w:val="nil"/>
              <w:bottom w:val="single" w:sz="4" w:space="0" w:color="auto"/>
              <w:right w:val="single" w:sz="4" w:space="0" w:color="auto"/>
            </w:tcBorders>
            <w:shd w:val="clear" w:color="000000" w:fill="DCE6F1"/>
            <w:vAlign w:val="center"/>
            <w:hideMark/>
          </w:tcPr>
          <w:p w14:paraId="2BE214ED"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85%</w:t>
            </w:r>
          </w:p>
        </w:tc>
      </w:tr>
      <w:tr w:rsidR="0051512E" w:rsidRPr="00B123B8" w14:paraId="41EC6FEA" w14:textId="77777777" w:rsidTr="0051512E">
        <w:trPr>
          <w:trHeight w:val="45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6EAEB5B5"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F7DD6C4"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14</w:t>
            </w:r>
          </w:p>
        </w:tc>
        <w:tc>
          <w:tcPr>
            <w:tcW w:w="3489" w:type="dxa"/>
            <w:tcBorders>
              <w:top w:val="nil"/>
              <w:left w:val="nil"/>
              <w:bottom w:val="single" w:sz="4" w:space="0" w:color="auto"/>
              <w:right w:val="single" w:sz="4" w:space="0" w:color="auto"/>
            </w:tcBorders>
            <w:shd w:val="clear" w:color="auto" w:fill="auto"/>
            <w:vAlign w:val="center"/>
            <w:hideMark/>
          </w:tcPr>
          <w:p w14:paraId="59A4FA56" w14:textId="343B87BC" w:rsidR="00B123B8" w:rsidRPr="00B123B8" w:rsidRDefault="0051512E" w:rsidP="00B123B8">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Atender el 100% de</w:t>
            </w:r>
            <w:r w:rsidR="00B123B8" w:rsidRPr="00B123B8">
              <w:rPr>
                <w:rFonts w:ascii="Calibri Light" w:hAnsi="Calibri Light" w:cs="Calibri Light"/>
                <w:sz w:val="18"/>
                <w:szCs w:val="18"/>
                <w:lang w:val="es-CR" w:eastAsia="es-CR"/>
              </w:rPr>
              <w:t xml:space="preserve"> los requerimientos relacionados con la mejora continua (SGC-Riesgos-PGAI) </w:t>
            </w:r>
          </w:p>
        </w:tc>
        <w:tc>
          <w:tcPr>
            <w:tcW w:w="1208" w:type="dxa"/>
            <w:tcBorders>
              <w:top w:val="nil"/>
              <w:left w:val="nil"/>
              <w:bottom w:val="single" w:sz="4" w:space="0" w:color="auto"/>
              <w:right w:val="single" w:sz="4" w:space="0" w:color="auto"/>
            </w:tcBorders>
            <w:shd w:val="clear" w:color="auto" w:fill="auto"/>
            <w:vAlign w:val="center"/>
            <w:hideMark/>
          </w:tcPr>
          <w:p w14:paraId="2924ACFB" w14:textId="62ECE8EE"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26,931,963</w:t>
            </w:r>
          </w:p>
        </w:tc>
        <w:tc>
          <w:tcPr>
            <w:tcW w:w="1186" w:type="dxa"/>
            <w:tcBorders>
              <w:top w:val="nil"/>
              <w:left w:val="nil"/>
              <w:bottom w:val="single" w:sz="4" w:space="0" w:color="auto"/>
              <w:right w:val="single" w:sz="4" w:space="0" w:color="auto"/>
            </w:tcBorders>
            <w:shd w:val="clear" w:color="auto" w:fill="auto"/>
            <w:vAlign w:val="center"/>
            <w:hideMark/>
          </w:tcPr>
          <w:p w14:paraId="7F0CD6B2" w14:textId="5ABCF617"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22,973,887</w:t>
            </w:r>
          </w:p>
        </w:tc>
        <w:tc>
          <w:tcPr>
            <w:tcW w:w="1096" w:type="dxa"/>
            <w:tcBorders>
              <w:top w:val="nil"/>
              <w:left w:val="nil"/>
              <w:bottom w:val="single" w:sz="4" w:space="0" w:color="auto"/>
              <w:right w:val="single" w:sz="4" w:space="0" w:color="auto"/>
            </w:tcBorders>
            <w:shd w:val="clear" w:color="auto" w:fill="auto"/>
            <w:vAlign w:val="center"/>
            <w:hideMark/>
          </w:tcPr>
          <w:p w14:paraId="2A956FBD"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85%</w:t>
            </w:r>
          </w:p>
        </w:tc>
      </w:tr>
      <w:tr w:rsidR="0051512E" w:rsidRPr="00B123B8" w14:paraId="68D9A1F6" w14:textId="77777777" w:rsidTr="0051512E">
        <w:trPr>
          <w:trHeight w:val="390"/>
        </w:trPr>
        <w:tc>
          <w:tcPr>
            <w:tcW w:w="543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68E3E13" w14:textId="38CC28CC" w:rsidR="00B123B8" w:rsidRPr="00B123B8" w:rsidRDefault="0051512E" w:rsidP="00B123B8">
            <w:pPr>
              <w:spacing w:line="240" w:lineRule="auto"/>
              <w:jc w:val="left"/>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ÁREA COMUNICACIÓN Y SERVICIOS</w:t>
            </w:r>
            <w:r w:rsidR="00B123B8" w:rsidRPr="00B123B8">
              <w:rPr>
                <w:rFonts w:ascii="Calibri Light" w:hAnsi="Calibri Light" w:cs="Calibri Light"/>
                <w:b/>
                <w:bCs/>
                <w:sz w:val="18"/>
                <w:szCs w:val="18"/>
                <w:lang w:val="es-CR" w:eastAsia="es-CR"/>
              </w:rPr>
              <w:t xml:space="preserve"> (Capacitación)</w:t>
            </w:r>
          </w:p>
        </w:tc>
        <w:tc>
          <w:tcPr>
            <w:tcW w:w="1208" w:type="dxa"/>
            <w:tcBorders>
              <w:top w:val="nil"/>
              <w:left w:val="nil"/>
              <w:bottom w:val="single" w:sz="4" w:space="0" w:color="auto"/>
              <w:right w:val="single" w:sz="4" w:space="0" w:color="auto"/>
            </w:tcBorders>
            <w:shd w:val="clear" w:color="000000" w:fill="DCE6F1"/>
            <w:vAlign w:val="center"/>
            <w:hideMark/>
          </w:tcPr>
          <w:p w14:paraId="39F01F1E" w14:textId="2948238A"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121,745,188</w:t>
            </w:r>
          </w:p>
        </w:tc>
        <w:tc>
          <w:tcPr>
            <w:tcW w:w="1186" w:type="dxa"/>
            <w:tcBorders>
              <w:top w:val="nil"/>
              <w:left w:val="nil"/>
              <w:bottom w:val="single" w:sz="4" w:space="0" w:color="auto"/>
              <w:right w:val="single" w:sz="4" w:space="0" w:color="auto"/>
            </w:tcBorders>
            <w:shd w:val="clear" w:color="000000" w:fill="DCE6F1"/>
            <w:vAlign w:val="center"/>
            <w:hideMark/>
          </w:tcPr>
          <w:p w14:paraId="4BE68EED" w14:textId="3632C72B"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104,915,197</w:t>
            </w:r>
          </w:p>
        </w:tc>
        <w:tc>
          <w:tcPr>
            <w:tcW w:w="1096" w:type="dxa"/>
            <w:tcBorders>
              <w:top w:val="nil"/>
              <w:left w:val="nil"/>
              <w:bottom w:val="single" w:sz="4" w:space="0" w:color="auto"/>
              <w:right w:val="single" w:sz="4" w:space="0" w:color="auto"/>
            </w:tcBorders>
            <w:shd w:val="clear" w:color="000000" w:fill="DCE6F1"/>
            <w:vAlign w:val="center"/>
            <w:hideMark/>
          </w:tcPr>
          <w:p w14:paraId="6705E972"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86%</w:t>
            </w:r>
          </w:p>
        </w:tc>
      </w:tr>
      <w:tr w:rsidR="0051512E" w:rsidRPr="00B123B8" w14:paraId="7FBCC5EF" w14:textId="77777777" w:rsidTr="0051512E">
        <w:trPr>
          <w:trHeight w:val="45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0275B9F"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00F2A2E8"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15</w:t>
            </w:r>
          </w:p>
        </w:tc>
        <w:tc>
          <w:tcPr>
            <w:tcW w:w="3489" w:type="dxa"/>
            <w:tcBorders>
              <w:top w:val="nil"/>
              <w:left w:val="nil"/>
              <w:bottom w:val="single" w:sz="4" w:space="0" w:color="auto"/>
              <w:right w:val="single" w:sz="4" w:space="0" w:color="auto"/>
            </w:tcBorders>
            <w:shd w:val="clear" w:color="auto" w:fill="auto"/>
            <w:vAlign w:val="center"/>
            <w:hideMark/>
          </w:tcPr>
          <w:p w14:paraId="77603DF9" w14:textId="77777777" w:rsidR="00B123B8" w:rsidRPr="00B123B8" w:rsidRDefault="00B123B8" w:rsidP="00B123B8">
            <w:pPr>
              <w:spacing w:line="240" w:lineRule="auto"/>
              <w:jc w:val="lef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 xml:space="preserve">Atender el 100% de las labores de capacitación programadas, dentro de la jornada laboral. </w:t>
            </w:r>
          </w:p>
        </w:tc>
        <w:tc>
          <w:tcPr>
            <w:tcW w:w="1208" w:type="dxa"/>
            <w:tcBorders>
              <w:top w:val="nil"/>
              <w:left w:val="nil"/>
              <w:bottom w:val="single" w:sz="4" w:space="0" w:color="auto"/>
              <w:right w:val="single" w:sz="4" w:space="0" w:color="auto"/>
            </w:tcBorders>
            <w:shd w:val="clear" w:color="auto" w:fill="auto"/>
            <w:vAlign w:val="center"/>
            <w:hideMark/>
          </w:tcPr>
          <w:p w14:paraId="423681AA" w14:textId="50B8CDCC"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121,745,188</w:t>
            </w:r>
          </w:p>
        </w:tc>
        <w:tc>
          <w:tcPr>
            <w:tcW w:w="1186" w:type="dxa"/>
            <w:tcBorders>
              <w:top w:val="nil"/>
              <w:left w:val="nil"/>
              <w:bottom w:val="single" w:sz="4" w:space="0" w:color="auto"/>
              <w:right w:val="single" w:sz="4" w:space="0" w:color="auto"/>
            </w:tcBorders>
            <w:shd w:val="clear" w:color="auto" w:fill="auto"/>
            <w:vAlign w:val="center"/>
            <w:hideMark/>
          </w:tcPr>
          <w:p w14:paraId="40192DE6" w14:textId="331C63FB" w:rsidR="00B123B8" w:rsidRPr="00B123B8" w:rsidRDefault="00B123B8" w:rsidP="0051512E">
            <w:pPr>
              <w:spacing w:line="240" w:lineRule="auto"/>
              <w:jc w:val="right"/>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104,915,197</w:t>
            </w:r>
          </w:p>
        </w:tc>
        <w:tc>
          <w:tcPr>
            <w:tcW w:w="1096" w:type="dxa"/>
            <w:tcBorders>
              <w:top w:val="nil"/>
              <w:left w:val="nil"/>
              <w:bottom w:val="single" w:sz="4" w:space="0" w:color="auto"/>
              <w:right w:val="single" w:sz="4" w:space="0" w:color="auto"/>
            </w:tcBorders>
            <w:shd w:val="clear" w:color="auto" w:fill="auto"/>
            <w:vAlign w:val="center"/>
            <w:hideMark/>
          </w:tcPr>
          <w:p w14:paraId="2102B3E9" w14:textId="77777777" w:rsidR="00B123B8" w:rsidRPr="00B123B8" w:rsidRDefault="00B123B8" w:rsidP="0051512E">
            <w:pPr>
              <w:spacing w:line="240" w:lineRule="auto"/>
              <w:jc w:val="center"/>
              <w:rPr>
                <w:rFonts w:ascii="Calibri Light" w:hAnsi="Calibri Light" w:cs="Calibri Light"/>
                <w:sz w:val="18"/>
                <w:szCs w:val="18"/>
                <w:lang w:val="es-CR" w:eastAsia="es-CR"/>
              </w:rPr>
            </w:pPr>
            <w:r w:rsidRPr="00B123B8">
              <w:rPr>
                <w:rFonts w:ascii="Calibri Light" w:hAnsi="Calibri Light" w:cs="Calibri Light"/>
                <w:sz w:val="18"/>
                <w:szCs w:val="18"/>
                <w:lang w:val="es-CR" w:eastAsia="es-CR"/>
              </w:rPr>
              <w:t>86%</w:t>
            </w:r>
          </w:p>
        </w:tc>
      </w:tr>
      <w:tr w:rsidR="0051512E" w:rsidRPr="00B123B8" w14:paraId="214C0FBA" w14:textId="77777777" w:rsidTr="0051512E">
        <w:trPr>
          <w:trHeight w:val="435"/>
        </w:trPr>
        <w:tc>
          <w:tcPr>
            <w:tcW w:w="5436"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8026F4B" w14:textId="77777777" w:rsidR="00B123B8" w:rsidRPr="00B123B8" w:rsidRDefault="00B123B8" w:rsidP="00B123B8">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TOTAL</w:t>
            </w:r>
          </w:p>
        </w:tc>
        <w:tc>
          <w:tcPr>
            <w:tcW w:w="1208" w:type="dxa"/>
            <w:tcBorders>
              <w:top w:val="nil"/>
              <w:left w:val="nil"/>
              <w:bottom w:val="single" w:sz="4" w:space="0" w:color="auto"/>
              <w:right w:val="single" w:sz="4" w:space="0" w:color="auto"/>
            </w:tcBorders>
            <w:shd w:val="clear" w:color="000000" w:fill="8DB4E2"/>
            <w:vAlign w:val="center"/>
            <w:hideMark/>
          </w:tcPr>
          <w:p w14:paraId="60744153" w14:textId="6A5A1149"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5,191,636,813</w:t>
            </w:r>
          </w:p>
        </w:tc>
        <w:tc>
          <w:tcPr>
            <w:tcW w:w="1186" w:type="dxa"/>
            <w:tcBorders>
              <w:top w:val="nil"/>
              <w:left w:val="nil"/>
              <w:bottom w:val="single" w:sz="4" w:space="0" w:color="auto"/>
              <w:right w:val="single" w:sz="4" w:space="0" w:color="auto"/>
            </w:tcBorders>
            <w:shd w:val="clear" w:color="000000" w:fill="8DB4E2"/>
            <w:vAlign w:val="center"/>
            <w:hideMark/>
          </w:tcPr>
          <w:p w14:paraId="66FAE604" w14:textId="2B6C3A29" w:rsidR="00B123B8" w:rsidRPr="00B123B8" w:rsidRDefault="00B123B8" w:rsidP="0051512E">
            <w:pPr>
              <w:spacing w:line="240" w:lineRule="auto"/>
              <w:jc w:val="right"/>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4,392,515,702</w:t>
            </w:r>
          </w:p>
        </w:tc>
        <w:tc>
          <w:tcPr>
            <w:tcW w:w="1096" w:type="dxa"/>
            <w:tcBorders>
              <w:top w:val="nil"/>
              <w:left w:val="nil"/>
              <w:bottom w:val="single" w:sz="4" w:space="0" w:color="auto"/>
              <w:right w:val="single" w:sz="4" w:space="0" w:color="auto"/>
            </w:tcBorders>
            <w:shd w:val="clear" w:color="000000" w:fill="8DB4E2"/>
            <w:vAlign w:val="center"/>
            <w:hideMark/>
          </w:tcPr>
          <w:p w14:paraId="425711A0" w14:textId="77777777" w:rsidR="00B123B8" w:rsidRPr="00B123B8" w:rsidRDefault="00B123B8" w:rsidP="0051512E">
            <w:pPr>
              <w:spacing w:line="240" w:lineRule="auto"/>
              <w:jc w:val="center"/>
              <w:rPr>
                <w:rFonts w:ascii="Calibri Light" w:hAnsi="Calibri Light" w:cs="Calibri Light"/>
                <w:b/>
                <w:bCs/>
                <w:sz w:val="18"/>
                <w:szCs w:val="18"/>
                <w:lang w:val="es-CR" w:eastAsia="es-CR"/>
              </w:rPr>
            </w:pPr>
            <w:r w:rsidRPr="00B123B8">
              <w:rPr>
                <w:rFonts w:ascii="Calibri Light" w:hAnsi="Calibri Light" w:cs="Calibri Light"/>
                <w:b/>
                <w:bCs/>
                <w:sz w:val="18"/>
                <w:szCs w:val="18"/>
                <w:lang w:val="es-CR" w:eastAsia="es-CR"/>
              </w:rPr>
              <w:t>85%</w:t>
            </w:r>
          </w:p>
        </w:tc>
      </w:tr>
    </w:tbl>
    <w:p w14:paraId="635BF7BE" w14:textId="2627D35B" w:rsidR="00575E37" w:rsidRDefault="00575E37" w:rsidP="00225437">
      <w:pPr>
        <w:rPr>
          <w:rFonts w:asciiTheme="minorHAnsi" w:hAnsiTheme="minorHAnsi" w:cstheme="minorHAnsi"/>
          <w:lang w:val="es-CR"/>
        </w:rPr>
      </w:pPr>
    </w:p>
    <w:p w14:paraId="60E41F8D" w14:textId="77777777" w:rsidR="00843B0B" w:rsidRDefault="00843B0B" w:rsidP="00225437">
      <w:pPr>
        <w:rPr>
          <w:rFonts w:asciiTheme="minorHAnsi" w:hAnsiTheme="minorHAnsi" w:cstheme="minorHAnsi"/>
          <w:lang w:val="es-CR"/>
        </w:rPr>
      </w:pPr>
    </w:p>
    <w:p w14:paraId="5BA5073E" w14:textId="3CEB1062" w:rsidR="00282C71" w:rsidRPr="00787962" w:rsidRDefault="00282C71" w:rsidP="00282C71">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0" w:name="_Toc504486216"/>
      <w:r>
        <w:rPr>
          <w:rFonts w:asciiTheme="minorHAnsi" w:hAnsiTheme="minorHAnsi" w:cstheme="minorHAnsi"/>
          <w:sz w:val="28"/>
          <w:szCs w:val="28"/>
          <w:lang w:val="es-CR"/>
        </w:rPr>
        <w:t>COMENTARIOS GENERALES DE LOS INGRESOS Y GASTOS</w:t>
      </w:r>
      <w:bookmarkEnd w:id="30"/>
      <w:r>
        <w:rPr>
          <w:rFonts w:asciiTheme="minorHAnsi" w:hAnsiTheme="minorHAnsi" w:cstheme="minorHAnsi"/>
          <w:sz w:val="28"/>
          <w:szCs w:val="28"/>
          <w:lang w:val="es-CR"/>
        </w:rPr>
        <w:t xml:space="preserve"> </w:t>
      </w:r>
    </w:p>
    <w:p w14:paraId="50DE56E8" w14:textId="77777777" w:rsidR="00282C71" w:rsidRDefault="00282C71" w:rsidP="00225437">
      <w:pPr>
        <w:rPr>
          <w:rFonts w:asciiTheme="minorHAnsi" w:hAnsiTheme="minorHAnsi" w:cstheme="minorHAnsi"/>
          <w:lang w:val="es-CR"/>
        </w:rPr>
      </w:pPr>
    </w:p>
    <w:p w14:paraId="1D017019" w14:textId="7C8A6B6E" w:rsidR="00254CAE" w:rsidRPr="006865F9" w:rsidRDefault="000C1848" w:rsidP="00DA5F9A">
      <w:pPr>
        <w:pStyle w:val="Ttulo2"/>
        <w:rPr>
          <w:rStyle w:val="nfasisintenso"/>
          <w:color w:val="auto"/>
          <w:sz w:val="28"/>
          <w:szCs w:val="28"/>
        </w:rPr>
      </w:pPr>
      <w:bookmarkStart w:id="31" w:name="_Toc504486217"/>
      <w:r>
        <w:rPr>
          <w:rStyle w:val="nfasisintenso"/>
          <w:color w:val="auto"/>
          <w:sz w:val="28"/>
          <w:szCs w:val="28"/>
        </w:rPr>
        <w:t>2.1</w:t>
      </w:r>
      <w:r>
        <w:rPr>
          <w:rStyle w:val="nfasisintenso"/>
          <w:color w:val="auto"/>
          <w:sz w:val="28"/>
          <w:szCs w:val="28"/>
        </w:rPr>
        <w:tab/>
      </w:r>
      <w:r w:rsidR="004F00DD">
        <w:rPr>
          <w:rStyle w:val="nfasisintenso"/>
          <w:color w:val="auto"/>
          <w:sz w:val="28"/>
          <w:szCs w:val="28"/>
        </w:rPr>
        <w:t>C</w:t>
      </w:r>
      <w:r w:rsidR="00254CAE" w:rsidRPr="006865F9">
        <w:rPr>
          <w:rStyle w:val="nfasisintenso"/>
          <w:color w:val="auto"/>
          <w:sz w:val="28"/>
          <w:szCs w:val="28"/>
        </w:rPr>
        <w:t>uenta presupuestaria</w:t>
      </w:r>
      <w:r w:rsidR="00222D26" w:rsidRPr="006865F9">
        <w:rPr>
          <w:rStyle w:val="nfasisintenso"/>
          <w:color w:val="auto"/>
          <w:sz w:val="28"/>
          <w:szCs w:val="28"/>
        </w:rPr>
        <w:t xml:space="preserve"> de </w:t>
      </w:r>
      <w:bookmarkEnd w:id="31"/>
      <w:r w:rsidR="008E5C2B">
        <w:rPr>
          <w:rStyle w:val="nfasisintenso"/>
          <w:color w:val="auto"/>
          <w:sz w:val="28"/>
          <w:szCs w:val="28"/>
        </w:rPr>
        <w:t>ingresos</w:t>
      </w:r>
    </w:p>
    <w:p w14:paraId="4D026801" w14:textId="1530CDF7" w:rsidR="00254CAE" w:rsidRDefault="00254CAE" w:rsidP="00225437">
      <w:pPr>
        <w:rPr>
          <w:rFonts w:asciiTheme="minorHAnsi" w:hAnsiTheme="minorHAnsi" w:cstheme="minorHAnsi"/>
          <w:lang w:val="es-CR"/>
        </w:rPr>
      </w:pPr>
    </w:p>
    <w:p w14:paraId="0C5A3FDF" w14:textId="1796A921" w:rsidR="004F00DD" w:rsidRPr="004F00DD" w:rsidRDefault="004F00DD" w:rsidP="00225437">
      <w:pPr>
        <w:rPr>
          <w:rFonts w:asciiTheme="minorHAnsi" w:hAnsiTheme="minorHAnsi" w:cstheme="minorHAnsi"/>
          <w:sz w:val="24"/>
          <w:szCs w:val="24"/>
          <w:lang w:val="es-CR"/>
        </w:rPr>
      </w:pPr>
      <w:r w:rsidRPr="004F00DD">
        <w:rPr>
          <w:rFonts w:asciiTheme="minorHAnsi" w:hAnsiTheme="minorHAnsi" w:cstheme="minorHAnsi"/>
          <w:sz w:val="24"/>
          <w:szCs w:val="24"/>
          <w:lang w:val="es-CR"/>
        </w:rPr>
        <w:t xml:space="preserve">Los ingresos </w:t>
      </w:r>
      <w:r>
        <w:rPr>
          <w:rFonts w:asciiTheme="minorHAnsi" w:hAnsiTheme="minorHAnsi" w:cstheme="minorHAnsi"/>
          <w:sz w:val="24"/>
          <w:szCs w:val="24"/>
          <w:lang w:val="es-CR"/>
        </w:rPr>
        <w:t xml:space="preserve">devengados dependen de la ejecución efectiva de los egresos, el siguiente cuadro detalla el total de </w:t>
      </w:r>
      <w:r w:rsidR="009A563F">
        <w:rPr>
          <w:rFonts w:asciiTheme="minorHAnsi" w:hAnsiTheme="minorHAnsi" w:cstheme="minorHAnsi"/>
          <w:sz w:val="24"/>
          <w:szCs w:val="24"/>
          <w:lang w:val="es-CR"/>
        </w:rPr>
        <w:t xml:space="preserve">ingresos </w:t>
      </w:r>
      <w:r w:rsidR="00843B0B">
        <w:rPr>
          <w:rFonts w:asciiTheme="minorHAnsi" w:hAnsiTheme="minorHAnsi" w:cstheme="minorHAnsi"/>
          <w:sz w:val="24"/>
          <w:szCs w:val="24"/>
          <w:lang w:val="es-CR"/>
        </w:rPr>
        <w:t>del período</w:t>
      </w:r>
      <w:r w:rsidR="009A563F">
        <w:rPr>
          <w:rFonts w:asciiTheme="minorHAnsi" w:hAnsiTheme="minorHAnsi" w:cstheme="minorHAnsi"/>
          <w:sz w:val="24"/>
          <w:szCs w:val="24"/>
          <w:lang w:val="es-CR"/>
        </w:rPr>
        <w:t>.</w:t>
      </w:r>
    </w:p>
    <w:p w14:paraId="29F99221" w14:textId="77777777" w:rsidR="004F00DD" w:rsidRDefault="004F00DD" w:rsidP="00225437">
      <w:pPr>
        <w:rPr>
          <w:rFonts w:asciiTheme="minorHAnsi" w:hAnsiTheme="minorHAnsi" w:cstheme="minorHAnsi"/>
          <w:lang w:val="es-CR"/>
        </w:rPr>
      </w:pPr>
    </w:p>
    <w:p w14:paraId="7D12B2BC" w14:textId="208E35CB" w:rsidR="004F00DD" w:rsidRPr="00AD6B46" w:rsidRDefault="004F00DD" w:rsidP="004F00DD">
      <w:pPr>
        <w:spacing w:line="240" w:lineRule="auto"/>
        <w:ind w:left="284"/>
        <w:jc w:val="left"/>
        <w:rPr>
          <w:rFonts w:asciiTheme="minorHAnsi" w:hAnsiTheme="minorHAnsi" w:cstheme="minorHAnsi"/>
          <w:b/>
          <w:szCs w:val="22"/>
          <w:lang w:val="es-CR"/>
        </w:rPr>
      </w:pPr>
      <w:r>
        <w:rPr>
          <w:rFonts w:asciiTheme="minorHAnsi" w:hAnsiTheme="minorHAnsi" w:cstheme="minorHAnsi"/>
          <w:szCs w:val="22"/>
          <w:lang w:val="es-CR"/>
        </w:rPr>
        <w:t>Cuadro 4</w:t>
      </w:r>
      <w:r w:rsidRPr="00AD6B46">
        <w:rPr>
          <w:rFonts w:asciiTheme="minorHAnsi" w:hAnsiTheme="minorHAnsi" w:cstheme="minorHAnsi"/>
          <w:szCs w:val="22"/>
          <w:lang w:val="es-CR"/>
        </w:rPr>
        <w:t xml:space="preserve">: </w:t>
      </w:r>
      <w:r w:rsidRPr="00AD6B46">
        <w:rPr>
          <w:rFonts w:asciiTheme="minorHAnsi" w:hAnsiTheme="minorHAnsi" w:cstheme="minorHAnsi"/>
          <w:b/>
          <w:szCs w:val="22"/>
          <w:lang w:val="es-CR"/>
        </w:rPr>
        <w:t xml:space="preserve">Detalle de </w:t>
      </w:r>
      <w:r>
        <w:rPr>
          <w:rFonts w:asciiTheme="minorHAnsi" w:hAnsiTheme="minorHAnsi" w:cstheme="minorHAnsi"/>
          <w:b/>
          <w:szCs w:val="22"/>
          <w:lang w:val="es-CR"/>
        </w:rPr>
        <w:t>ingresos</w:t>
      </w:r>
      <w:r w:rsidRPr="00AD6B46">
        <w:rPr>
          <w:rFonts w:asciiTheme="minorHAnsi" w:hAnsiTheme="minorHAnsi" w:cstheme="minorHAnsi"/>
          <w:b/>
          <w:szCs w:val="22"/>
          <w:lang w:val="es-CR"/>
        </w:rPr>
        <w:t xml:space="preserve"> </w:t>
      </w:r>
    </w:p>
    <w:p w14:paraId="40F7736A" w14:textId="4FB3AD99" w:rsidR="008E5C2B" w:rsidRDefault="008E5C2B" w:rsidP="00225437">
      <w:pPr>
        <w:rPr>
          <w:rFonts w:asciiTheme="minorHAnsi" w:hAnsiTheme="minorHAnsi" w:cstheme="minorHAnsi"/>
          <w:lang w:val="es-CR"/>
        </w:rPr>
      </w:pPr>
      <w:r w:rsidRPr="008E5C2B">
        <w:rPr>
          <w:noProof/>
        </w:rPr>
        <w:drawing>
          <wp:inline distT="0" distB="0" distL="0" distR="0" wp14:anchorId="75F20E0F" wp14:editId="64CFEFF5">
            <wp:extent cx="5613400" cy="1389951"/>
            <wp:effectExtent l="0" t="0" r="635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1389951"/>
                    </a:xfrm>
                    <a:prstGeom prst="rect">
                      <a:avLst/>
                    </a:prstGeom>
                    <a:noFill/>
                    <a:ln>
                      <a:noFill/>
                    </a:ln>
                  </pic:spPr>
                </pic:pic>
              </a:graphicData>
            </a:graphic>
          </wp:inline>
        </w:drawing>
      </w:r>
    </w:p>
    <w:p w14:paraId="461BCDCE" w14:textId="1378F6B8" w:rsidR="008E5C2B" w:rsidRDefault="008E5C2B" w:rsidP="00225437">
      <w:pPr>
        <w:rPr>
          <w:rFonts w:asciiTheme="minorHAnsi" w:hAnsiTheme="minorHAnsi" w:cstheme="minorHAnsi"/>
          <w:lang w:val="es-CR"/>
        </w:rPr>
      </w:pPr>
    </w:p>
    <w:p w14:paraId="229DA7C5" w14:textId="77777777" w:rsidR="00843B0B" w:rsidRDefault="00843B0B" w:rsidP="00225437">
      <w:pPr>
        <w:rPr>
          <w:rFonts w:asciiTheme="minorHAnsi" w:hAnsiTheme="minorHAnsi" w:cstheme="minorHAnsi"/>
          <w:lang w:val="es-CR"/>
        </w:rPr>
      </w:pPr>
    </w:p>
    <w:p w14:paraId="0B6007DC" w14:textId="6CDA267B" w:rsidR="008E5C2B" w:rsidRPr="006865F9" w:rsidRDefault="008E5C2B" w:rsidP="008E5C2B">
      <w:pPr>
        <w:pStyle w:val="Ttulo2"/>
        <w:rPr>
          <w:rStyle w:val="nfasisintenso"/>
          <w:color w:val="auto"/>
          <w:sz w:val="28"/>
          <w:szCs w:val="28"/>
        </w:rPr>
      </w:pPr>
      <w:r>
        <w:rPr>
          <w:rStyle w:val="nfasisintenso"/>
          <w:color w:val="auto"/>
          <w:sz w:val="28"/>
          <w:szCs w:val="28"/>
        </w:rPr>
        <w:t>2.2</w:t>
      </w:r>
      <w:r>
        <w:rPr>
          <w:rStyle w:val="nfasisintenso"/>
          <w:color w:val="auto"/>
          <w:sz w:val="28"/>
          <w:szCs w:val="28"/>
        </w:rPr>
        <w:tab/>
      </w:r>
      <w:r w:rsidR="004F00DD">
        <w:rPr>
          <w:rStyle w:val="nfasisintenso"/>
          <w:color w:val="auto"/>
          <w:sz w:val="28"/>
          <w:szCs w:val="28"/>
        </w:rPr>
        <w:t>C</w:t>
      </w:r>
      <w:r w:rsidRPr="006865F9">
        <w:rPr>
          <w:rStyle w:val="nfasisintenso"/>
          <w:color w:val="auto"/>
          <w:sz w:val="28"/>
          <w:szCs w:val="28"/>
        </w:rPr>
        <w:t>uenta</w:t>
      </w:r>
      <w:r w:rsidR="004F00DD">
        <w:rPr>
          <w:rStyle w:val="nfasisintenso"/>
          <w:color w:val="auto"/>
          <w:sz w:val="28"/>
          <w:szCs w:val="28"/>
        </w:rPr>
        <w:t>s</w:t>
      </w:r>
      <w:r w:rsidRPr="006865F9">
        <w:rPr>
          <w:rStyle w:val="nfasisintenso"/>
          <w:color w:val="auto"/>
          <w:sz w:val="28"/>
          <w:szCs w:val="28"/>
        </w:rPr>
        <w:t xml:space="preserve"> presupuestaria</w:t>
      </w:r>
      <w:r w:rsidR="004F00DD">
        <w:rPr>
          <w:rStyle w:val="nfasisintenso"/>
          <w:color w:val="auto"/>
          <w:sz w:val="28"/>
          <w:szCs w:val="28"/>
        </w:rPr>
        <w:t>s</w:t>
      </w:r>
      <w:r w:rsidRPr="006865F9">
        <w:rPr>
          <w:rStyle w:val="nfasisintenso"/>
          <w:color w:val="auto"/>
          <w:sz w:val="28"/>
          <w:szCs w:val="28"/>
        </w:rPr>
        <w:t xml:space="preserve"> de egresos</w:t>
      </w:r>
    </w:p>
    <w:p w14:paraId="5592A3D8" w14:textId="77777777" w:rsidR="008E5C2B" w:rsidRPr="00787962" w:rsidRDefault="008E5C2B" w:rsidP="00225437">
      <w:pPr>
        <w:rPr>
          <w:rFonts w:asciiTheme="minorHAnsi" w:hAnsiTheme="minorHAnsi" w:cstheme="minorHAnsi"/>
          <w:lang w:val="es-CR"/>
        </w:rPr>
      </w:pPr>
    </w:p>
    <w:p w14:paraId="64DC7519" w14:textId="0ED01CEB" w:rsidR="00225437" w:rsidRPr="00787962" w:rsidRDefault="00867601" w:rsidP="00AD6B46">
      <w:pPr>
        <w:pStyle w:val="Ttulo3"/>
        <w:rPr>
          <w:lang w:val="es-CR"/>
        </w:rPr>
      </w:pPr>
      <w:bookmarkStart w:id="32" w:name="_Toc70497972"/>
      <w:bookmarkStart w:id="33" w:name="_Toc131912453"/>
      <w:bookmarkStart w:id="34" w:name="_Toc163371958"/>
      <w:bookmarkStart w:id="35" w:name="_Toc195505391"/>
      <w:bookmarkStart w:id="36" w:name="_Toc226364824"/>
      <w:bookmarkStart w:id="37" w:name="_Toc273448678"/>
      <w:bookmarkStart w:id="38" w:name="_Toc504486218"/>
      <w:r>
        <w:rPr>
          <w:lang w:val="es-CR"/>
        </w:rPr>
        <w:t>2</w:t>
      </w:r>
      <w:r w:rsidR="009A563F">
        <w:rPr>
          <w:lang w:val="es-CR"/>
        </w:rPr>
        <w:t>.2</w:t>
      </w:r>
      <w:r w:rsidR="00473EFF">
        <w:rPr>
          <w:lang w:val="es-CR"/>
        </w:rPr>
        <w:t>.1</w:t>
      </w:r>
      <w:r w:rsidR="00473EFF">
        <w:rPr>
          <w:lang w:val="es-CR"/>
        </w:rPr>
        <w:tab/>
      </w:r>
      <w:r w:rsidR="00225437" w:rsidRPr="00787962">
        <w:rPr>
          <w:lang w:val="es-CR"/>
        </w:rPr>
        <w:t>Cuenta 0</w:t>
      </w:r>
      <w:r w:rsidR="0093473B">
        <w:rPr>
          <w:lang w:val="es-CR"/>
        </w:rPr>
        <w:t xml:space="preserve"> </w:t>
      </w:r>
      <w:r w:rsidR="00225437" w:rsidRPr="00787962">
        <w:rPr>
          <w:lang w:val="es-CR"/>
        </w:rPr>
        <w:t>“REMUNERACIONES”</w:t>
      </w:r>
      <w:bookmarkEnd w:id="32"/>
      <w:bookmarkEnd w:id="33"/>
      <w:bookmarkEnd w:id="34"/>
      <w:bookmarkEnd w:id="35"/>
      <w:bookmarkEnd w:id="36"/>
      <w:bookmarkEnd w:id="37"/>
      <w:bookmarkEnd w:id="38"/>
    </w:p>
    <w:p w14:paraId="05C2B212" w14:textId="77777777" w:rsidR="005D0A6C" w:rsidRDefault="005D0A6C" w:rsidP="00225437">
      <w:pPr>
        <w:rPr>
          <w:rFonts w:asciiTheme="minorHAnsi" w:hAnsiTheme="minorHAnsi" w:cstheme="minorHAnsi"/>
          <w:sz w:val="24"/>
          <w:szCs w:val="24"/>
          <w:lang w:val="es-CR"/>
        </w:rPr>
      </w:pPr>
    </w:p>
    <w:p w14:paraId="64DC751A" w14:textId="02C61FE8"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w:t>
      </w:r>
      <w:r w:rsidR="001E2BFE" w:rsidRPr="00787962">
        <w:rPr>
          <w:rFonts w:asciiTheme="minorHAnsi" w:hAnsiTheme="minorHAnsi" w:cstheme="minorHAnsi"/>
          <w:sz w:val="24"/>
          <w:szCs w:val="24"/>
          <w:lang w:val="es-CR"/>
        </w:rPr>
        <w:t>3</w:t>
      </w:r>
      <w:r w:rsidR="0005259E">
        <w:rPr>
          <w:rFonts w:asciiTheme="minorHAnsi" w:hAnsiTheme="minorHAnsi" w:cstheme="minorHAnsi"/>
          <w:sz w:val="24"/>
          <w:szCs w:val="24"/>
          <w:lang w:val="es-CR"/>
        </w:rPr>
        <w:t>1</w:t>
      </w:r>
      <w:r w:rsidR="001E2BFE" w:rsidRPr="00787962">
        <w:rPr>
          <w:rFonts w:asciiTheme="minorHAnsi" w:hAnsiTheme="minorHAnsi" w:cstheme="minorHAnsi"/>
          <w:sz w:val="24"/>
          <w:szCs w:val="24"/>
          <w:lang w:val="es-CR"/>
        </w:rPr>
        <w:t xml:space="preserve"> de </w:t>
      </w:r>
      <w:r w:rsidR="0005259E">
        <w:rPr>
          <w:rFonts w:asciiTheme="minorHAnsi" w:hAnsiTheme="minorHAnsi" w:cstheme="minorHAnsi"/>
          <w:sz w:val="24"/>
          <w:szCs w:val="24"/>
          <w:lang w:val="es-CR"/>
        </w:rPr>
        <w:t>diciembre</w:t>
      </w:r>
      <w:r w:rsidRPr="00787962">
        <w:rPr>
          <w:rFonts w:asciiTheme="minorHAnsi" w:hAnsiTheme="minorHAnsi" w:cstheme="minorHAnsi"/>
          <w:sz w:val="24"/>
          <w:szCs w:val="24"/>
          <w:lang w:val="es-CR"/>
        </w:rPr>
        <w:t xml:space="preserve">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la cuenta “Remuneraciones” alcanzó un nivel de ejecución de </w:t>
      </w:r>
      <w:r w:rsidR="00BB3FDE">
        <w:rPr>
          <w:rFonts w:asciiTheme="minorHAnsi" w:hAnsiTheme="minorHAnsi" w:cstheme="minorHAnsi"/>
          <w:sz w:val="24"/>
          <w:szCs w:val="24"/>
          <w:lang w:val="es-CR"/>
        </w:rPr>
        <w:t>2.623,4</w:t>
      </w:r>
      <w:r w:rsidRPr="00787962">
        <w:rPr>
          <w:rFonts w:asciiTheme="minorHAnsi" w:hAnsiTheme="minorHAnsi" w:cstheme="minorHAnsi"/>
          <w:sz w:val="24"/>
          <w:szCs w:val="24"/>
          <w:lang w:val="es-CR"/>
        </w:rPr>
        <w:t xml:space="preserve"> millones de colones, lo que representa un </w:t>
      </w:r>
      <w:r w:rsidR="00BB3FDE">
        <w:rPr>
          <w:rFonts w:asciiTheme="minorHAnsi" w:hAnsiTheme="minorHAnsi" w:cstheme="minorHAnsi"/>
          <w:sz w:val="24"/>
          <w:szCs w:val="24"/>
          <w:lang w:val="es-CR"/>
        </w:rPr>
        <w:t>83</w:t>
      </w:r>
      <w:r w:rsidRPr="00787962">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225437">
      <w:pPr>
        <w:rPr>
          <w:rFonts w:asciiTheme="minorHAnsi" w:hAnsiTheme="minorHAnsi" w:cstheme="minorHAnsi"/>
          <w:sz w:val="24"/>
          <w:szCs w:val="24"/>
          <w:lang w:val="es-CR"/>
        </w:rPr>
      </w:pPr>
    </w:p>
    <w:p w14:paraId="001F27C9" w14:textId="068B9BE9" w:rsidR="008355EC"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 xml:space="preserve">dos factores, el primero </w:t>
      </w:r>
      <w:r w:rsidR="00471167" w:rsidRPr="00787962">
        <w:rPr>
          <w:rFonts w:asciiTheme="minorHAnsi" w:hAnsiTheme="minorHAnsi" w:cstheme="minorHAnsi"/>
          <w:sz w:val="24"/>
          <w:szCs w:val="24"/>
          <w:lang w:val="es-CR"/>
        </w:rPr>
        <w:t>concierne</w:t>
      </w:r>
      <w:r w:rsidR="007C274A" w:rsidRPr="00787962">
        <w:rPr>
          <w:rFonts w:asciiTheme="minorHAnsi" w:hAnsiTheme="minorHAnsi" w:cstheme="minorHAnsi"/>
          <w:sz w:val="24"/>
          <w:szCs w:val="24"/>
          <w:lang w:val="es-CR"/>
        </w:rPr>
        <w:t xml:space="preserve"> a que se presupuestó en general un </w:t>
      </w:r>
      <w:r w:rsidR="00471167" w:rsidRPr="00787962">
        <w:rPr>
          <w:rFonts w:asciiTheme="minorHAnsi" w:hAnsiTheme="minorHAnsi" w:cstheme="minorHAnsi"/>
          <w:sz w:val="24"/>
          <w:szCs w:val="24"/>
          <w:lang w:val="es-CR"/>
        </w:rPr>
        <w:t>incremento en los salarios</w:t>
      </w:r>
      <w:r w:rsidR="007C274A" w:rsidRPr="00787962">
        <w:rPr>
          <w:rFonts w:asciiTheme="minorHAnsi" w:hAnsiTheme="minorHAnsi" w:cstheme="minorHAnsi"/>
          <w:sz w:val="24"/>
          <w:szCs w:val="24"/>
          <w:lang w:val="es-CR"/>
        </w:rPr>
        <w:t xml:space="preserve"> del 2% y se aplicó en promedio el 1%, </w:t>
      </w:r>
      <w:r w:rsidR="00471167" w:rsidRPr="00787962">
        <w:rPr>
          <w:rFonts w:asciiTheme="minorHAnsi" w:hAnsiTheme="minorHAnsi" w:cstheme="minorHAnsi"/>
          <w:sz w:val="24"/>
          <w:szCs w:val="24"/>
          <w:lang w:val="es-CR"/>
        </w:rPr>
        <w:t xml:space="preserve">el segundo factor corresponde 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726C28" w:rsidRPr="00787962">
        <w:rPr>
          <w:rFonts w:asciiTheme="minorHAnsi" w:hAnsiTheme="minorHAnsi" w:cstheme="minorHAnsi"/>
          <w:sz w:val="24"/>
          <w:szCs w:val="24"/>
          <w:lang w:val="es-CR"/>
        </w:rPr>
        <w:t xml:space="preserve">cuatro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34E8FDE8" w14:textId="09CA7F7C" w:rsidR="00BB3FDE" w:rsidRDefault="00BB3FDE" w:rsidP="00225437">
      <w:pPr>
        <w:rPr>
          <w:rFonts w:asciiTheme="minorHAnsi" w:hAnsiTheme="minorHAnsi" w:cstheme="minorHAnsi"/>
          <w:sz w:val="24"/>
          <w:szCs w:val="24"/>
          <w:lang w:val="es-CR"/>
        </w:rPr>
      </w:pPr>
    </w:p>
    <w:p w14:paraId="7DA66A46" w14:textId="4260FF7E" w:rsidR="00BB3FDE" w:rsidRPr="00AD6B46" w:rsidRDefault="005D020A" w:rsidP="00B45046">
      <w:pPr>
        <w:spacing w:line="240" w:lineRule="auto"/>
        <w:ind w:left="284"/>
        <w:jc w:val="left"/>
        <w:rPr>
          <w:rFonts w:asciiTheme="minorHAnsi" w:hAnsiTheme="minorHAnsi" w:cstheme="minorHAnsi"/>
          <w:b/>
          <w:szCs w:val="22"/>
          <w:lang w:val="es-CR"/>
        </w:rPr>
      </w:pPr>
      <w:r>
        <w:rPr>
          <w:rFonts w:asciiTheme="minorHAnsi" w:hAnsiTheme="minorHAnsi" w:cstheme="minorHAnsi"/>
          <w:szCs w:val="22"/>
          <w:lang w:val="es-CR"/>
        </w:rPr>
        <w:t>Cuadro 5</w:t>
      </w:r>
      <w:r w:rsidR="00BB3FDE" w:rsidRPr="00AD6B46">
        <w:rPr>
          <w:rFonts w:asciiTheme="minorHAnsi" w:hAnsiTheme="minorHAnsi" w:cstheme="minorHAnsi"/>
          <w:szCs w:val="22"/>
          <w:lang w:val="es-CR"/>
        </w:rPr>
        <w:t xml:space="preserve">: </w:t>
      </w:r>
      <w:r w:rsidR="00BB3FDE" w:rsidRPr="00AD6B46">
        <w:rPr>
          <w:rFonts w:asciiTheme="minorHAnsi" w:hAnsiTheme="minorHAnsi" w:cstheme="minorHAnsi"/>
          <w:b/>
          <w:szCs w:val="22"/>
          <w:lang w:val="es-CR"/>
        </w:rPr>
        <w:t xml:space="preserve">Detalle de plazas vacantes </w:t>
      </w:r>
    </w:p>
    <w:tbl>
      <w:tblPr>
        <w:tblW w:w="8363" w:type="dxa"/>
        <w:jc w:val="center"/>
        <w:tblCellMar>
          <w:left w:w="0" w:type="dxa"/>
          <w:right w:w="0" w:type="dxa"/>
        </w:tblCellMar>
        <w:tblLook w:val="04A0" w:firstRow="1" w:lastRow="0" w:firstColumn="1" w:lastColumn="0" w:noHBand="0" w:noVBand="1"/>
      </w:tblPr>
      <w:tblGrid>
        <w:gridCol w:w="1701"/>
        <w:gridCol w:w="1523"/>
        <w:gridCol w:w="1553"/>
        <w:gridCol w:w="1140"/>
        <w:gridCol w:w="2446"/>
      </w:tblGrid>
      <w:tr w:rsidR="00BB3FDE" w:rsidRPr="001027F3" w14:paraId="558C1655" w14:textId="77777777" w:rsidTr="00235AC7">
        <w:trPr>
          <w:trHeight w:val="600"/>
          <w:tblHeader/>
          <w:jc w:val="center"/>
        </w:trPr>
        <w:tc>
          <w:tcPr>
            <w:tcW w:w="1701"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2FE9F4B5"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Clasificación</w:t>
            </w:r>
          </w:p>
        </w:tc>
        <w:tc>
          <w:tcPr>
            <w:tcW w:w="1523"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D5D841E"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Código de Ubicación</w:t>
            </w:r>
          </w:p>
        </w:tc>
        <w:tc>
          <w:tcPr>
            <w:tcW w:w="1553"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47A24DDC"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Dependencia</w:t>
            </w:r>
          </w:p>
        </w:tc>
        <w:tc>
          <w:tcPr>
            <w:tcW w:w="1140"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891DE65"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Vacante desde:</w:t>
            </w:r>
          </w:p>
        </w:tc>
        <w:tc>
          <w:tcPr>
            <w:tcW w:w="2446"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4F0D8AA1"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Situación</w:t>
            </w:r>
          </w:p>
        </w:tc>
      </w:tr>
      <w:tr w:rsidR="00BB3FDE" w:rsidRPr="001B78E4" w14:paraId="11FA504C" w14:textId="77777777" w:rsidTr="00235AC7">
        <w:trPr>
          <w:trHeight w:val="872"/>
          <w:jc w:val="center"/>
        </w:trPr>
        <w:tc>
          <w:tcPr>
            <w:tcW w:w="170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7A419E88"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Intendente</w:t>
            </w:r>
          </w:p>
        </w:tc>
        <w:tc>
          <w:tcPr>
            <w:tcW w:w="152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426BB793"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26-01-10-10-02</w:t>
            </w:r>
          </w:p>
        </w:tc>
        <w:tc>
          <w:tcPr>
            <w:tcW w:w="155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396E5918"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Despacho Superintendencia</w:t>
            </w:r>
          </w:p>
        </w:tc>
        <w:tc>
          <w:tcPr>
            <w:tcW w:w="114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95CCDA0"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17 nov 2015</w:t>
            </w:r>
          </w:p>
        </w:tc>
        <w:tc>
          <w:tcPr>
            <w:tcW w:w="244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8496025"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Vacante por finalización del nombramiento.</w:t>
            </w:r>
          </w:p>
        </w:tc>
      </w:tr>
      <w:tr w:rsidR="00BB3FDE" w:rsidRPr="001B78E4" w14:paraId="54D96002" w14:textId="77777777" w:rsidTr="00235AC7">
        <w:trPr>
          <w:trHeight w:val="872"/>
          <w:jc w:val="center"/>
        </w:trPr>
        <w:tc>
          <w:tcPr>
            <w:tcW w:w="170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AE739D1"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Líder de Supervisión RC</w:t>
            </w:r>
          </w:p>
        </w:tc>
        <w:tc>
          <w:tcPr>
            <w:tcW w:w="152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3A1E856"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26-15-10-10-03</w:t>
            </w:r>
          </w:p>
        </w:tc>
        <w:tc>
          <w:tcPr>
            <w:tcW w:w="15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55AE3D1"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División Supervisión de Regímenes Colectivos</w:t>
            </w:r>
          </w:p>
        </w:tc>
        <w:tc>
          <w:tcPr>
            <w:tcW w:w="114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AE281B8"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01 mar 2017</w:t>
            </w:r>
          </w:p>
        </w:tc>
        <w:tc>
          <w:tcPr>
            <w:tcW w:w="244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E9763E8"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p w14:paraId="50E0A2FB"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Se solicitó la apertura del proceso de contratación de personal.</w:t>
            </w:r>
          </w:p>
        </w:tc>
      </w:tr>
      <w:tr w:rsidR="00BB3FDE" w:rsidRPr="001B78E4" w14:paraId="0F34F0BA" w14:textId="77777777" w:rsidTr="00235AC7">
        <w:trPr>
          <w:trHeight w:val="872"/>
          <w:jc w:val="center"/>
        </w:trPr>
        <w:tc>
          <w:tcPr>
            <w:tcW w:w="170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2450AFD"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Asistente de Servicios (ASG2)</w:t>
            </w:r>
          </w:p>
        </w:tc>
        <w:tc>
          <w:tcPr>
            <w:tcW w:w="152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DC352B8"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26-01-10-20-17</w:t>
            </w:r>
          </w:p>
        </w:tc>
        <w:tc>
          <w:tcPr>
            <w:tcW w:w="15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9492945"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Área de Comunicación y Servicios</w:t>
            </w:r>
          </w:p>
        </w:tc>
        <w:tc>
          <w:tcPr>
            <w:tcW w:w="114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6C12065"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21 abr 2017</w:t>
            </w:r>
          </w:p>
        </w:tc>
        <w:tc>
          <w:tcPr>
            <w:tcW w:w="244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04A4D9"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 xml:space="preserve">Vacante por renuncia del titular de la plaza. </w:t>
            </w:r>
          </w:p>
        </w:tc>
      </w:tr>
      <w:tr w:rsidR="00BB3FDE" w:rsidRPr="001B78E4" w14:paraId="53B7474E" w14:textId="77777777" w:rsidTr="00235AC7">
        <w:trPr>
          <w:trHeight w:val="872"/>
          <w:jc w:val="center"/>
        </w:trPr>
        <w:tc>
          <w:tcPr>
            <w:tcW w:w="170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D03C584"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Asistente Ejecutivo</w:t>
            </w:r>
          </w:p>
        </w:tc>
        <w:tc>
          <w:tcPr>
            <w:tcW w:w="152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BD50C4" w14:textId="77777777" w:rsidR="00BB3FDE" w:rsidRPr="00BB3FDE" w:rsidRDefault="00BB3FDE" w:rsidP="00BB3FDE">
            <w:pPr>
              <w:spacing w:line="276" w:lineRule="auto"/>
              <w:jc w:val="center"/>
              <w:rPr>
                <w:rFonts w:ascii="Calibri Light" w:hAnsi="Calibri Light" w:cs="Calibri Light"/>
                <w:sz w:val="18"/>
              </w:rPr>
            </w:pPr>
            <w:r w:rsidRPr="00BB3FDE">
              <w:rPr>
                <w:rFonts w:ascii="Calibri Light" w:hAnsi="Calibri Light" w:cs="Calibri Light"/>
                <w:sz w:val="18"/>
              </w:rPr>
              <w:t>26-01-10-20-08</w:t>
            </w:r>
          </w:p>
        </w:tc>
        <w:tc>
          <w:tcPr>
            <w:tcW w:w="155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DD033C3"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Área de Comunicación y Servicios</w:t>
            </w:r>
          </w:p>
        </w:tc>
        <w:tc>
          <w:tcPr>
            <w:tcW w:w="114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75EA165" w14:textId="77777777" w:rsidR="00BB3FDE" w:rsidRPr="00BB3FDE" w:rsidRDefault="00BB3FDE" w:rsidP="00BB3FDE">
            <w:pPr>
              <w:spacing w:line="276" w:lineRule="auto"/>
              <w:jc w:val="center"/>
              <w:rPr>
                <w:rFonts w:ascii="Calibri Light" w:hAnsi="Calibri Light" w:cs="Calibri Light"/>
                <w:sz w:val="18"/>
              </w:rPr>
            </w:pPr>
            <w:r w:rsidRPr="00BB3FDE">
              <w:rPr>
                <w:rFonts w:ascii="Calibri Light" w:hAnsi="Calibri Light" w:cs="Calibri Light"/>
                <w:sz w:val="18"/>
              </w:rPr>
              <w:t>26 jun 2017</w:t>
            </w:r>
          </w:p>
        </w:tc>
        <w:tc>
          <w:tcPr>
            <w:tcW w:w="244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4628C91"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tc>
      </w:tr>
    </w:tbl>
    <w:p w14:paraId="7F544981" w14:textId="77777777" w:rsidR="008D43B9" w:rsidRDefault="008D43B9" w:rsidP="00225437">
      <w:pPr>
        <w:rPr>
          <w:rFonts w:asciiTheme="minorHAnsi" w:hAnsiTheme="minorHAnsi" w:cstheme="minorHAnsi"/>
          <w:sz w:val="24"/>
          <w:szCs w:val="24"/>
          <w:lang w:val="es-CR"/>
        </w:rPr>
      </w:pPr>
    </w:p>
    <w:p w14:paraId="64DC754E" w14:textId="521B6090" w:rsidR="00225437" w:rsidRPr="00787962" w:rsidRDefault="000E5161"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1"/>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w:t>
      </w:r>
    </w:p>
    <w:p w14:paraId="4FD32E90" w14:textId="77777777" w:rsidR="00F6030A" w:rsidRPr="00787962" w:rsidRDefault="00F6030A" w:rsidP="00225437">
      <w:pPr>
        <w:rPr>
          <w:rFonts w:asciiTheme="minorHAnsi" w:hAnsiTheme="minorHAnsi" w:cstheme="minorHAnsi"/>
          <w:b/>
          <w:sz w:val="24"/>
          <w:szCs w:val="24"/>
          <w:lang w:val="es-CR"/>
        </w:rPr>
      </w:pPr>
    </w:p>
    <w:p w14:paraId="64DC7550" w14:textId="753B9BEE" w:rsidR="00225437" w:rsidRPr="00787962" w:rsidRDefault="00225437" w:rsidP="00225437">
      <w:pPr>
        <w:rPr>
          <w:rFonts w:asciiTheme="minorHAnsi" w:hAnsiTheme="minorHAnsi" w:cstheme="minorHAnsi"/>
          <w:b/>
          <w:sz w:val="24"/>
          <w:szCs w:val="24"/>
          <w:lang w:val="es-CR"/>
        </w:rPr>
      </w:pPr>
      <w:r w:rsidRPr="00787962">
        <w:rPr>
          <w:rFonts w:asciiTheme="minorHAnsi" w:hAnsiTheme="minorHAnsi" w:cstheme="minorHAnsi"/>
          <w:b/>
          <w:sz w:val="24"/>
          <w:szCs w:val="24"/>
          <w:lang w:val="es-CR"/>
        </w:rPr>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64DC7552" w14:textId="4FB30144" w:rsidR="00225437" w:rsidRPr="00787962" w:rsidRDefault="00225437" w:rsidP="00DF631F">
      <w:pPr>
        <w:spacing w:line="276"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ejecución de </w:t>
      </w:r>
      <w:r w:rsidR="00BB3FDE">
        <w:rPr>
          <w:rFonts w:asciiTheme="minorHAnsi" w:hAnsiTheme="minorHAnsi" w:cstheme="minorHAnsi"/>
          <w:sz w:val="24"/>
          <w:szCs w:val="24"/>
          <w:lang w:val="es-CR"/>
        </w:rPr>
        <w:t>83</w:t>
      </w:r>
      <w:r w:rsidRPr="00787962">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77720C12" w14:textId="77777777" w:rsidR="00AD6B46" w:rsidRDefault="00AD6B46" w:rsidP="00225437">
      <w:pPr>
        <w:tabs>
          <w:tab w:val="left" w:pos="8505"/>
        </w:tabs>
        <w:rPr>
          <w:rFonts w:asciiTheme="minorHAnsi" w:hAnsiTheme="minorHAnsi" w:cstheme="minorHAnsi"/>
          <w:b/>
          <w:sz w:val="24"/>
          <w:szCs w:val="24"/>
          <w:lang w:val="es-CR"/>
        </w:rPr>
      </w:pPr>
    </w:p>
    <w:p w14:paraId="64DC7554" w14:textId="77A7B25A" w:rsidR="00225437" w:rsidRPr="00787962" w:rsidRDefault="00225437" w:rsidP="00225437">
      <w:pPr>
        <w:tabs>
          <w:tab w:val="left" w:pos="8505"/>
        </w:tabs>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64DC7556" w14:textId="6E011965"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BB3FDE">
        <w:rPr>
          <w:rFonts w:asciiTheme="minorHAnsi" w:hAnsiTheme="minorHAnsi" w:cstheme="minorHAnsi"/>
          <w:sz w:val="24"/>
          <w:szCs w:val="24"/>
          <w:lang w:val="es-CR"/>
        </w:rPr>
        <w:t>27</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BB3FDE">
        <w:rPr>
          <w:rFonts w:asciiTheme="minorHAnsi" w:hAnsiTheme="minorHAnsi" w:cstheme="minorHAnsi"/>
          <w:sz w:val="24"/>
          <w:szCs w:val="24"/>
          <w:lang w:val="es-CR"/>
        </w:rPr>
        <w:t>2</w:t>
      </w:r>
      <w:r w:rsidR="00D75616">
        <w:rPr>
          <w:rFonts w:asciiTheme="minorHAnsi" w:hAnsiTheme="minorHAnsi" w:cstheme="minorHAnsi"/>
          <w:sz w:val="24"/>
          <w:szCs w:val="24"/>
          <w:lang w:val="es-CR"/>
        </w:rPr>
        <w:t>0</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3,0</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235AC7">
        <w:rPr>
          <w:rFonts w:asciiTheme="minorHAnsi" w:hAnsiTheme="minorHAnsi" w:cstheme="minorHAnsi"/>
          <w:sz w:val="24"/>
          <w:szCs w:val="24"/>
          <w:lang w:val="es-CR"/>
        </w:rPr>
        <w:t>50</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235AC7">
        <w:rPr>
          <w:rFonts w:asciiTheme="minorHAnsi" w:hAnsiTheme="minorHAnsi" w:cstheme="minorHAnsi"/>
          <w:sz w:val="24"/>
          <w:szCs w:val="24"/>
          <w:lang w:val="es-CR"/>
        </w:rPr>
        <w:t>2,0</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775E02" w:rsidRPr="00787962">
        <w:rPr>
          <w:rFonts w:asciiTheme="minorHAnsi" w:hAnsiTheme="minorHAnsi" w:cstheme="minorHAnsi"/>
          <w:sz w:val="24"/>
          <w:szCs w:val="24"/>
          <w:lang w:val="es-CR"/>
        </w:rPr>
        <w:t xml:space="preserve">ésta </w:t>
      </w:r>
      <w:r w:rsidR="005F19D1" w:rsidRPr="00787962">
        <w:rPr>
          <w:rFonts w:asciiTheme="minorHAnsi" w:hAnsiTheme="minorHAnsi" w:cstheme="minorHAnsi"/>
          <w:sz w:val="24"/>
          <w:szCs w:val="24"/>
          <w:lang w:val="es-CR"/>
        </w:rPr>
        <w:t>obedece a pagos por trabajos ocasion</w:t>
      </w:r>
      <w:r w:rsidR="000D22E0">
        <w:rPr>
          <w:rFonts w:asciiTheme="minorHAnsi" w:hAnsiTheme="minorHAnsi" w:cstheme="minorHAnsi"/>
          <w:sz w:val="24"/>
          <w:szCs w:val="24"/>
          <w:lang w:val="es-CR"/>
        </w:rPr>
        <w:t>al</w:t>
      </w:r>
      <w:r w:rsidR="005F19D1" w:rsidRPr="00787962">
        <w:rPr>
          <w:rFonts w:asciiTheme="minorHAnsi" w:hAnsiTheme="minorHAnsi" w:cstheme="minorHAnsi"/>
          <w:sz w:val="24"/>
          <w:szCs w:val="24"/>
          <w:lang w:val="es-CR"/>
        </w:rPr>
        <w:t>es y estrictamente necesarios</w:t>
      </w:r>
      <w:r w:rsidRPr="00787962">
        <w:rPr>
          <w:rFonts w:asciiTheme="minorHAnsi" w:hAnsiTheme="minorHAnsi" w:cstheme="minorHAnsi"/>
          <w:sz w:val="24"/>
          <w:szCs w:val="24"/>
          <w:lang w:val="es-CR"/>
        </w:rPr>
        <w:t>.</w:t>
      </w:r>
    </w:p>
    <w:p w14:paraId="64DC7557" w14:textId="77777777" w:rsidR="00225437" w:rsidRPr="00787962" w:rsidRDefault="00225437" w:rsidP="00225437">
      <w:pPr>
        <w:rPr>
          <w:rFonts w:asciiTheme="minorHAnsi" w:hAnsiTheme="minorHAnsi" w:cstheme="minorHAnsi"/>
          <w:sz w:val="24"/>
          <w:szCs w:val="24"/>
          <w:lang w:val="es-CR"/>
        </w:rPr>
      </w:pPr>
    </w:p>
    <w:p w14:paraId="64DC7558" w14:textId="0A352EA7" w:rsidR="00225437"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Cuadro </w:t>
      </w:r>
      <w:r w:rsidR="005D0A6C">
        <w:rPr>
          <w:rFonts w:asciiTheme="minorHAnsi" w:hAnsiTheme="minorHAnsi" w:cstheme="minorHAnsi"/>
          <w:sz w:val="24"/>
          <w:szCs w:val="24"/>
          <w:lang w:val="es-CR"/>
        </w:rPr>
        <w:t>6</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2D192A4A" w14:textId="77777777" w:rsidR="00DD1F02" w:rsidRPr="00787962" w:rsidRDefault="00DD1F02" w:rsidP="00DD1F02">
      <w:pPr>
        <w:spacing w:line="240" w:lineRule="auto"/>
        <w:rPr>
          <w:rFonts w:asciiTheme="minorHAnsi" w:hAnsiTheme="minorHAnsi" w:cstheme="minorHAnsi"/>
          <w:sz w:val="24"/>
          <w:szCs w:val="24"/>
          <w:lang w:val="es-CR"/>
        </w:rPr>
      </w:pPr>
    </w:p>
    <w:p w14:paraId="64DC755B" w14:textId="211E4C6B" w:rsidR="00225437" w:rsidRPr="00787962" w:rsidRDefault="00225437" w:rsidP="00AD6B46">
      <w:pPr>
        <w:pStyle w:val="Ttulo3"/>
        <w:rPr>
          <w:lang w:val="es-CR"/>
        </w:rPr>
      </w:pPr>
      <w:bookmarkStart w:id="39" w:name="_Toc504486219"/>
      <w:r w:rsidRPr="00787962">
        <w:rPr>
          <w:lang w:val="es-CR"/>
        </w:rPr>
        <w:t xml:space="preserve">Detalle de la cuenta </w:t>
      </w:r>
      <w:r w:rsidR="000E5FBC" w:rsidRPr="00787962">
        <w:rPr>
          <w:lang w:val="es-CR"/>
        </w:rPr>
        <w:t>de</w:t>
      </w:r>
      <w:r w:rsidR="007C2142" w:rsidRPr="00787962">
        <w:rPr>
          <w:lang w:val="es-CR"/>
        </w:rPr>
        <w:t xml:space="preserve"> </w:t>
      </w:r>
      <w:r w:rsidRPr="00787962">
        <w:rPr>
          <w:lang w:val="es-CR"/>
        </w:rPr>
        <w:t>Remuneraciones</w:t>
      </w:r>
      <w:r w:rsidR="000E5FBC" w:rsidRPr="00787962">
        <w:rPr>
          <w:lang w:val="es-CR"/>
        </w:rPr>
        <w:t xml:space="preserve"> e incentivos salariales</w:t>
      </w:r>
      <w:bookmarkEnd w:id="39"/>
    </w:p>
    <w:p w14:paraId="0C3A2E49" w14:textId="77777777" w:rsidR="00BD4C14" w:rsidRDefault="00BD4C14" w:rsidP="0093473B">
      <w:pPr>
        <w:spacing w:line="240" w:lineRule="auto"/>
        <w:jc w:val="left"/>
        <w:rPr>
          <w:rFonts w:asciiTheme="minorHAnsi" w:hAnsiTheme="minorHAnsi" w:cstheme="minorHAnsi"/>
          <w:b/>
          <w:i/>
          <w:szCs w:val="22"/>
          <w:lang w:val="es-CR"/>
        </w:rPr>
      </w:pPr>
    </w:p>
    <w:p w14:paraId="28892103" w14:textId="3FF63AD6" w:rsidR="00202904" w:rsidRPr="00AD6B46" w:rsidRDefault="007C274A" w:rsidP="00B45046">
      <w:pPr>
        <w:spacing w:line="240" w:lineRule="auto"/>
        <w:ind w:left="142"/>
        <w:jc w:val="left"/>
        <w:rPr>
          <w:rFonts w:asciiTheme="minorHAnsi" w:hAnsiTheme="minorHAnsi" w:cstheme="minorHAnsi"/>
          <w:szCs w:val="22"/>
          <w:lang w:val="es-CR"/>
        </w:rPr>
      </w:pPr>
      <w:r w:rsidRPr="00AD6B46">
        <w:rPr>
          <w:rFonts w:asciiTheme="minorHAnsi" w:hAnsiTheme="minorHAnsi" w:cstheme="minorHAnsi"/>
          <w:szCs w:val="22"/>
          <w:lang w:val="es-CR"/>
        </w:rPr>
        <w:t xml:space="preserve">Cuadro </w:t>
      </w:r>
      <w:r w:rsidR="005D020A">
        <w:rPr>
          <w:rFonts w:asciiTheme="minorHAnsi" w:hAnsiTheme="minorHAnsi" w:cstheme="minorHAnsi"/>
          <w:szCs w:val="22"/>
          <w:lang w:val="es-CR"/>
        </w:rPr>
        <w:t>6</w:t>
      </w:r>
      <w:r w:rsidRPr="00AD6B46">
        <w:rPr>
          <w:rFonts w:asciiTheme="minorHAnsi" w:hAnsiTheme="minorHAnsi" w:cstheme="minorHAnsi"/>
          <w:szCs w:val="22"/>
          <w:lang w:val="es-CR"/>
        </w:rPr>
        <w:t xml:space="preserve">: </w:t>
      </w:r>
      <w:r w:rsidR="00202904" w:rsidRPr="00AD6B46">
        <w:rPr>
          <w:rFonts w:asciiTheme="minorHAnsi" w:hAnsiTheme="minorHAnsi" w:cstheme="minorHAnsi"/>
          <w:b/>
          <w:szCs w:val="22"/>
          <w:lang w:val="es-CR"/>
        </w:rPr>
        <w:t>Detalle de ejecución por cuenta</w:t>
      </w:r>
      <w:r w:rsidR="001A0F7C" w:rsidRPr="00AD6B46">
        <w:rPr>
          <w:rFonts w:asciiTheme="minorHAnsi" w:hAnsiTheme="minorHAnsi" w:cstheme="minorHAnsi"/>
          <w:szCs w:val="22"/>
          <w:lang w:val="es-CR"/>
        </w:rPr>
        <w:t xml:space="preserve"> </w:t>
      </w:r>
    </w:p>
    <w:p w14:paraId="64DC755C" w14:textId="627D6AB4" w:rsidR="00225437" w:rsidRPr="008D43B9" w:rsidRDefault="00225437" w:rsidP="00B45046">
      <w:pPr>
        <w:spacing w:line="240" w:lineRule="auto"/>
        <w:ind w:left="142"/>
        <w:jc w:val="left"/>
        <w:rPr>
          <w:rFonts w:asciiTheme="minorHAnsi" w:hAnsiTheme="minorHAnsi" w:cstheme="minorHAnsi"/>
          <w:sz w:val="20"/>
          <w:szCs w:val="22"/>
          <w:lang w:val="es-CR"/>
        </w:rPr>
      </w:pPr>
      <w:r w:rsidRPr="008D43B9">
        <w:rPr>
          <w:rFonts w:asciiTheme="minorHAnsi" w:hAnsiTheme="minorHAnsi" w:cstheme="minorHAnsi"/>
          <w:sz w:val="20"/>
          <w:szCs w:val="22"/>
          <w:lang w:val="es-CR"/>
        </w:rPr>
        <w:t>Montos en colones</w:t>
      </w:r>
    </w:p>
    <w:tbl>
      <w:tblPr>
        <w:tblW w:w="93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276"/>
        <w:gridCol w:w="1166"/>
        <w:gridCol w:w="1134"/>
        <w:gridCol w:w="1276"/>
        <w:gridCol w:w="919"/>
      </w:tblGrid>
      <w:tr w:rsidR="00726C28" w:rsidRPr="00787962" w14:paraId="64DC7565" w14:textId="77777777" w:rsidTr="00394A6A">
        <w:trPr>
          <w:trHeight w:val="405"/>
          <w:tblHeader/>
        </w:trPr>
        <w:tc>
          <w:tcPr>
            <w:tcW w:w="719" w:type="dxa"/>
            <w:vMerge w:val="restart"/>
            <w:shd w:val="clear" w:color="auto" w:fill="8DB3E2" w:themeFill="text2" w:themeFillTint="66"/>
            <w:vAlign w:val="center"/>
          </w:tcPr>
          <w:p w14:paraId="64DC755E" w14:textId="7B4D0EC5" w:rsidR="00726C28" w:rsidRPr="0005259E" w:rsidRDefault="00726C28" w:rsidP="00726C28">
            <w:pPr>
              <w:spacing w:line="240" w:lineRule="auto"/>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CÓDIGO</w:t>
            </w:r>
          </w:p>
        </w:tc>
        <w:tc>
          <w:tcPr>
            <w:tcW w:w="2835" w:type="dxa"/>
            <w:vMerge w:val="restart"/>
            <w:shd w:val="clear" w:color="auto" w:fill="8DB3E2" w:themeFill="text2" w:themeFillTint="66"/>
            <w:vAlign w:val="center"/>
          </w:tcPr>
          <w:p w14:paraId="64DC755F" w14:textId="6B5C46E7"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DESCRIPCIÓN</w:t>
            </w:r>
          </w:p>
        </w:tc>
        <w:tc>
          <w:tcPr>
            <w:tcW w:w="1276" w:type="dxa"/>
            <w:vMerge w:val="restart"/>
            <w:shd w:val="clear" w:color="auto" w:fill="8DB3E2" w:themeFill="text2" w:themeFillTint="66"/>
            <w:vAlign w:val="center"/>
          </w:tcPr>
          <w:p w14:paraId="64DC7560" w14:textId="2D94A565"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PRESUPUESTO</w:t>
            </w:r>
          </w:p>
        </w:tc>
        <w:tc>
          <w:tcPr>
            <w:tcW w:w="1166" w:type="dxa"/>
            <w:vMerge w:val="restart"/>
            <w:shd w:val="clear" w:color="auto" w:fill="8DB3E2" w:themeFill="text2" w:themeFillTint="66"/>
            <w:vAlign w:val="center"/>
          </w:tcPr>
          <w:p w14:paraId="64DC7561" w14:textId="3946A51D"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GASTO REAL</w:t>
            </w:r>
          </w:p>
        </w:tc>
        <w:tc>
          <w:tcPr>
            <w:tcW w:w="1134" w:type="dxa"/>
            <w:vMerge w:val="restart"/>
            <w:shd w:val="clear" w:color="auto" w:fill="8DB3E2" w:themeFill="text2" w:themeFillTint="66"/>
            <w:vAlign w:val="center"/>
          </w:tcPr>
          <w:p w14:paraId="64DC7562" w14:textId="3562F5D6"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COMPROMISO</w:t>
            </w:r>
          </w:p>
        </w:tc>
        <w:tc>
          <w:tcPr>
            <w:tcW w:w="1276" w:type="dxa"/>
            <w:vMerge w:val="restart"/>
            <w:shd w:val="clear" w:color="auto" w:fill="8DB3E2" w:themeFill="text2" w:themeFillTint="66"/>
            <w:vAlign w:val="center"/>
          </w:tcPr>
          <w:p w14:paraId="64DC7563" w14:textId="3716D7C0"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 xml:space="preserve">GASTO </w:t>
            </w:r>
            <w:r w:rsidRPr="0005259E">
              <w:rPr>
                <w:rFonts w:ascii="Calibri Light" w:hAnsi="Calibri Light" w:cs="Calibri Light"/>
                <w:color w:val="000000"/>
                <w:sz w:val="16"/>
                <w:szCs w:val="14"/>
                <w:lang w:val="es-CR"/>
              </w:rPr>
              <w:br/>
            </w:r>
            <w:r w:rsidR="0005259E" w:rsidRPr="0005259E">
              <w:rPr>
                <w:rFonts w:ascii="Calibri Light" w:hAnsi="Calibri Light" w:cs="Calibri Light"/>
                <w:color w:val="000000"/>
                <w:sz w:val="16"/>
                <w:szCs w:val="14"/>
                <w:lang w:val="es-CR"/>
              </w:rPr>
              <w:t>IV</w:t>
            </w:r>
            <w:r w:rsidRPr="0005259E">
              <w:rPr>
                <w:rFonts w:ascii="Calibri Light" w:hAnsi="Calibri Light" w:cs="Calibri Light"/>
                <w:color w:val="000000"/>
                <w:sz w:val="16"/>
                <w:szCs w:val="14"/>
                <w:lang w:val="es-CR"/>
              </w:rPr>
              <w:t xml:space="preserve"> TRIMESTRE</w:t>
            </w:r>
          </w:p>
        </w:tc>
        <w:tc>
          <w:tcPr>
            <w:tcW w:w="919" w:type="dxa"/>
            <w:vMerge w:val="restart"/>
            <w:shd w:val="clear" w:color="auto" w:fill="8DB3E2" w:themeFill="text2" w:themeFillTint="66"/>
            <w:vAlign w:val="center"/>
          </w:tcPr>
          <w:p w14:paraId="64DC7564" w14:textId="66DCBE79" w:rsidR="00726C28" w:rsidRPr="0005259E" w:rsidRDefault="00726C28" w:rsidP="00726C28">
            <w:pPr>
              <w:spacing w:line="240" w:lineRule="auto"/>
              <w:jc w:val="center"/>
              <w:rPr>
                <w:rFonts w:ascii="Calibri Light" w:hAnsi="Calibri Light" w:cs="Calibri Light"/>
                <w:b/>
                <w:color w:val="000000"/>
                <w:sz w:val="16"/>
                <w:szCs w:val="12"/>
                <w:lang w:val="es-CR"/>
              </w:rPr>
            </w:pPr>
            <w:r w:rsidRPr="0005259E">
              <w:rPr>
                <w:rFonts w:ascii="Calibri Light" w:hAnsi="Calibri Light" w:cs="Calibri Light"/>
                <w:color w:val="000000"/>
                <w:sz w:val="16"/>
                <w:szCs w:val="12"/>
                <w:lang w:val="es-CR"/>
              </w:rPr>
              <w:t>% DE EJECUCIÓN</w:t>
            </w:r>
          </w:p>
        </w:tc>
      </w:tr>
      <w:tr w:rsidR="00726C28" w:rsidRPr="00787962" w14:paraId="64DC756D" w14:textId="77777777" w:rsidTr="00394A6A">
        <w:trPr>
          <w:trHeight w:val="195"/>
        </w:trPr>
        <w:tc>
          <w:tcPr>
            <w:tcW w:w="719" w:type="dxa"/>
            <w:vMerge/>
            <w:shd w:val="clear" w:color="auto" w:fill="8DB3E2" w:themeFill="text2" w:themeFillTint="66"/>
            <w:vAlign w:val="center"/>
          </w:tcPr>
          <w:p w14:paraId="64DC7566"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2835" w:type="dxa"/>
            <w:vMerge/>
            <w:shd w:val="clear" w:color="auto" w:fill="8DB3E2" w:themeFill="text2" w:themeFillTint="66"/>
            <w:vAlign w:val="center"/>
          </w:tcPr>
          <w:p w14:paraId="64DC7567"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64DC7568"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166" w:type="dxa"/>
            <w:vMerge/>
            <w:shd w:val="clear" w:color="auto" w:fill="8DB3E2" w:themeFill="text2" w:themeFillTint="66"/>
            <w:vAlign w:val="center"/>
          </w:tcPr>
          <w:p w14:paraId="64DC7569"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134" w:type="dxa"/>
            <w:vMerge/>
            <w:shd w:val="clear" w:color="auto" w:fill="8DB3E2" w:themeFill="text2" w:themeFillTint="66"/>
            <w:vAlign w:val="center"/>
          </w:tcPr>
          <w:p w14:paraId="64DC756A"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64DC756B"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919" w:type="dxa"/>
            <w:vMerge/>
            <w:shd w:val="clear" w:color="auto" w:fill="8DB3E2" w:themeFill="text2" w:themeFillTint="66"/>
            <w:vAlign w:val="center"/>
          </w:tcPr>
          <w:p w14:paraId="64DC756C"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r>
      <w:tr w:rsidR="00BB3FDE" w:rsidRPr="00787962" w14:paraId="64DC7575" w14:textId="77777777" w:rsidTr="0005259E">
        <w:trPr>
          <w:trHeight w:val="348"/>
        </w:trPr>
        <w:tc>
          <w:tcPr>
            <w:tcW w:w="719" w:type="dxa"/>
            <w:shd w:val="clear" w:color="auto" w:fill="DBE5F1" w:themeFill="accent1" w:themeFillTint="33"/>
            <w:noWrap/>
            <w:vAlign w:val="center"/>
          </w:tcPr>
          <w:p w14:paraId="64DC756E" w14:textId="138EC453" w:rsidR="00BB3FDE" w:rsidRPr="00BB3FDE" w:rsidRDefault="00BB3FDE" w:rsidP="00BB3FDE">
            <w:pPr>
              <w:spacing w:line="240" w:lineRule="auto"/>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0</w:t>
            </w:r>
          </w:p>
        </w:tc>
        <w:tc>
          <w:tcPr>
            <w:tcW w:w="2835" w:type="dxa"/>
            <w:shd w:val="clear" w:color="auto" w:fill="DBE5F1" w:themeFill="accent1" w:themeFillTint="33"/>
            <w:noWrap/>
            <w:vAlign w:val="center"/>
          </w:tcPr>
          <w:p w14:paraId="64DC756F" w14:textId="302160AC" w:rsidR="00BB3FDE" w:rsidRPr="00BB3FDE" w:rsidRDefault="00BB3FDE" w:rsidP="00BB3FDE">
            <w:pPr>
              <w:spacing w:line="240" w:lineRule="auto"/>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REMUNERACIONES</w:t>
            </w:r>
          </w:p>
        </w:tc>
        <w:tc>
          <w:tcPr>
            <w:tcW w:w="1276" w:type="dxa"/>
            <w:shd w:val="clear" w:color="auto" w:fill="DBE5F1" w:themeFill="accent1" w:themeFillTint="33"/>
            <w:noWrap/>
            <w:vAlign w:val="center"/>
          </w:tcPr>
          <w:p w14:paraId="64DC7570" w14:textId="42297F7F"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3,149,867,726</w:t>
            </w:r>
          </w:p>
        </w:tc>
        <w:tc>
          <w:tcPr>
            <w:tcW w:w="1166" w:type="dxa"/>
            <w:shd w:val="clear" w:color="auto" w:fill="DBE5F1" w:themeFill="accent1" w:themeFillTint="33"/>
            <w:noWrap/>
            <w:vAlign w:val="center"/>
          </w:tcPr>
          <w:p w14:paraId="64DC7571" w14:textId="07D538E0"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2,623,404,220</w:t>
            </w:r>
          </w:p>
        </w:tc>
        <w:tc>
          <w:tcPr>
            <w:tcW w:w="1134" w:type="dxa"/>
            <w:shd w:val="clear" w:color="auto" w:fill="DBE5F1" w:themeFill="accent1" w:themeFillTint="33"/>
            <w:noWrap/>
            <w:vAlign w:val="center"/>
          </w:tcPr>
          <w:p w14:paraId="64DC7572" w14:textId="31B86A29"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13,277</w:t>
            </w:r>
          </w:p>
        </w:tc>
        <w:tc>
          <w:tcPr>
            <w:tcW w:w="1276" w:type="dxa"/>
            <w:shd w:val="clear" w:color="auto" w:fill="DBE5F1" w:themeFill="accent1" w:themeFillTint="33"/>
            <w:noWrap/>
            <w:vAlign w:val="center"/>
          </w:tcPr>
          <w:p w14:paraId="64DC7573" w14:textId="092C79D5"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2,623,417,497</w:t>
            </w:r>
          </w:p>
        </w:tc>
        <w:tc>
          <w:tcPr>
            <w:tcW w:w="919" w:type="dxa"/>
            <w:shd w:val="clear" w:color="auto" w:fill="DBE5F1" w:themeFill="accent1" w:themeFillTint="33"/>
            <w:noWrap/>
            <w:vAlign w:val="center"/>
          </w:tcPr>
          <w:p w14:paraId="64DC7574" w14:textId="6D41A5C2" w:rsidR="00BB3FDE" w:rsidRPr="00BB3FDE" w:rsidRDefault="00BB3FDE" w:rsidP="00BB3FDE">
            <w:pPr>
              <w:spacing w:line="240" w:lineRule="auto"/>
              <w:jc w:val="center"/>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83%</w:t>
            </w:r>
          </w:p>
        </w:tc>
      </w:tr>
      <w:tr w:rsidR="00BB3FDE" w:rsidRPr="00787962" w14:paraId="64DC757D" w14:textId="77777777" w:rsidTr="00A17336">
        <w:trPr>
          <w:trHeight w:val="288"/>
        </w:trPr>
        <w:tc>
          <w:tcPr>
            <w:tcW w:w="719" w:type="dxa"/>
            <w:shd w:val="clear" w:color="auto" w:fill="auto"/>
            <w:noWrap/>
            <w:vAlign w:val="center"/>
          </w:tcPr>
          <w:p w14:paraId="64DC7576" w14:textId="10B69023" w:rsidR="00BB3FDE" w:rsidRPr="00BB3FDE" w:rsidRDefault="00BB3FDE" w:rsidP="00BB3FDE">
            <w:pPr>
              <w:spacing w:line="240" w:lineRule="auto"/>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 </w:t>
            </w:r>
          </w:p>
        </w:tc>
        <w:tc>
          <w:tcPr>
            <w:tcW w:w="2835" w:type="dxa"/>
            <w:shd w:val="clear" w:color="auto" w:fill="auto"/>
            <w:noWrap/>
            <w:vAlign w:val="center"/>
          </w:tcPr>
          <w:p w14:paraId="64DC7577" w14:textId="71C1C841" w:rsidR="00BB3FDE" w:rsidRPr="00BB3FDE" w:rsidRDefault="00BB3FDE" w:rsidP="00BB3FDE">
            <w:pPr>
              <w:spacing w:line="240" w:lineRule="auto"/>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PLANILLA Y CARGAS SOCIALES</w:t>
            </w:r>
          </w:p>
        </w:tc>
        <w:tc>
          <w:tcPr>
            <w:tcW w:w="1276" w:type="dxa"/>
            <w:shd w:val="clear" w:color="auto" w:fill="auto"/>
            <w:noWrap/>
            <w:vAlign w:val="center"/>
          </w:tcPr>
          <w:p w14:paraId="64DC7578" w14:textId="6C14370D"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3,130,767,726</w:t>
            </w:r>
          </w:p>
        </w:tc>
        <w:tc>
          <w:tcPr>
            <w:tcW w:w="1166" w:type="dxa"/>
            <w:shd w:val="clear" w:color="auto" w:fill="auto"/>
            <w:noWrap/>
            <w:vAlign w:val="center"/>
          </w:tcPr>
          <w:p w14:paraId="64DC7579" w14:textId="792F8CFA"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2,618,299,525</w:t>
            </w:r>
          </w:p>
        </w:tc>
        <w:tc>
          <w:tcPr>
            <w:tcW w:w="1134" w:type="dxa"/>
            <w:shd w:val="clear" w:color="auto" w:fill="auto"/>
            <w:noWrap/>
            <w:vAlign w:val="center"/>
          </w:tcPr>
          <w:p w14:paraId="64DC757A" w14:textId="2D3F9034"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0</w:t>
            </w:r>
          </w:p>
        </w:tc>
        <w:tc>
          <w:tcPr>
            <w:tcW w:w="1276" w:type="dxa"/>
            <w:shd w:val="clear" w:color="auto" w:fill="auto"/>
            <w:noWrap/>
            <w:vAlign w:val="center"/>
          </w:tcPr>
          <w:p w14:paraId="64DC757B" w14:textId="6424B387"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2,618,299,525</w:t>
            </w:r>
          </w:p>
        </w:tc>
        <w:tc>
          <w:tcPr>
            <w:tcW w:w="919" w:type="dxa"/>
            <w:shd w:val="clear" w:color="auto" w:fill="auto"/>
            <w:noWrap/>
            <w:vAlign w:val="center"/>
          </w:tcPr>
          <w:p w14:paraId="64DC757C" w14:textId="2A19059D" w:rsidR="00BB3FDE" w:rsidRPr="00BB3FDE" w:rsidRDefault="00BB3FDE" w:rsidP="00BB3FDE">
            <w:pPr>
              <w:spacing w:line="240" w:lineRule="auto"/>
              <w:jc w:val="center"/>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84%</w:t>
            </w:r>
          </w:p>
        </w:tc>
      </w:tr>
      <w:tr w:rsidR="00BB3FDE" w:rsidRPr="00787962" w14:paraId="64DC7585" w14:textId="77777777" w:rsidTr="00A17336">
        <w:trPr>
          <w:trHeight w:val="276"/>
        </w:trPr>
        <w:tc>
          <w:tcPr>
            <w:tcW w:w="719" w:type="dxa"/>
            <w:shd w:val="clear" w:color="auto" w:fill="auto"/>
            <w:noWrap/>
            <w:vAlign w:val="center"/>
          </w:tcPr>
          <w:p w14:paraId="64DC757E" w14:textId="1C26D0A4"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0 01 01</w:t>
            </w:r>
          </w:p>
        </w:tc>
        <w:tc>
          <w:tcPr>
            <w:tcW w:w="2835" w:type="dxa"/>
            <w:shd w:val="clear" w:color="auto" w:fill="auto"/>
            <w:noWrap/>
            <w:vAlign w:val="center"/>
          </w:tcPr>
          <w:p w14:paraId="64DC757F" w14:textId="728341E0"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Sueldos para cargos fijos</w:t>
            </w:r>
          </w:p>
        </w:tc>
        <w:tc>
          <w:tcPr>
            <w:tcW w:w="1276" w:type="dxa"/>
            <w:shd w:val="clear" w:color="auto" w:fill="auto"/>
            <w:noWrap/>
            <w:vAlign w:val="center"/>
          </w:tcPr>
          <w:p w14:paraId="64DC7580" w14:textId="3245C508"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1,808,904,768</w:t>
            </w:r>
          </w:p>
        </w:tc>
        <w:tc>
          <w:tcPr>
            <w:tcW w:w="1166" w:type="dxa"/>
            <w:shd w:val="clear" w:color="auto" w:fill="auto"/>
            <w:noWrap/>
            <w:vAlign w:val="center"/>
          </w:tcPr>
          <w:p w14:paraId="64DC7581" w14:textId="7B9D960C"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1,546,211,574</w:t>
            </w:r>
          </w:p>
        </w:tc>
        <w:tc>
          <w:tcPr>
            <w:tcW w:w="1134" w:type="dxa"/>
            <w:shd w:val="clear" w:color="auto" w:fill="auto"/>
            <w:noWrap/>
            <w:vAlign w:val="center"/>
          </w:tcPr>
          <w:p w14:paraId="64DC7582" w14:textId="704C3E9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83" w14:textId="19CE5D15"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1,546,211,574</w:t>
            </w:r>
          </w:p>
        </w:tc>
        <w:tc>
          <w:tcPr>
            <w:tcW w:w="919" w:type="dxa"/>
            <w:shd w:val="clear" w:color="auto" w:fill="auto"/>
            <w:noWrap/>
            <w:vAlign w:val="center"/>
          </w:tcPr>
          <w:p w14:paraId="64DC7584" w14:textId="4B11D379"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85%</w:t>
            </w:r>
          </w:p>
        </w:tc>
      </w:tr>
      <w:tr w:rsidR="00BB3FDE" w:rsidRPr="00787962" w14:paraId="64DC758D" w14:textId="77777777" w:rsidTr="00A17336">
        <w:trPr>
          <w:trHeight w:val="276"/>
        </w:trPr>
        <w:tc>
          <w:tcPr>
            <w:tcW w:w="719" w:type="dxa"/>
            <w:shd w:val="clear" w:color="auto" w:fill="auto"/>
            <w:noWrap/>
            <w:vAlign w:val="center"/>
          </w:tcPr>
          <w:p w14:paraId="64DC7586" w14:textId="137D346B"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0 03 01</w:t>
            </w:r>
          </w:p>
        </w:tc>
        <w:tc>
          <w:tcPr>
            <w:tcW w:w="2835" w:type="dxa"/>
            <w:shd w:val="clear" w:color="auto" w:fill="auto"/>
            <w:noWrap/>
            <w:vAlign w:val="center"/>
          </w:tcPr>
          <w:p w14:paraId="64DC7587" w14:textId="3FEAF61A"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Retribuciones por años servidos</w:t>
            </w:r>
          </w:p>
        </w:tc>
        <w:tc>
          <w:tcPr>
            <w:tcW w:w="1276" w:type="dxa"/>
            <w:shd w:val="clear" w:color="auto" w:fill="auto"/>
            <w:noWrap/>
            <w:vAlign w:val="center"/>
          </w:tcPr>
          <w:p w14:paraId="64DC7588" w14:textId="1BE2BF3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270,839,280</w:t>
            </w:r>
          </w:p>
        </w:tc>
        <w:tc>
          <w:tcPr>
            <w:tcW w:w="1166" w:type="dxa"/>
            <w:shd w:val="clear" w:color="auto" w:fill="auto"/>
            <w:noWrap/>
            <w:vAlign w:val="center"/>
          </w:tcPr>
          <w:p w14:paraId="64DC7589" w14:textId="00B5469A"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223,707,617</w:t>
            </w:r>
          </w:p>
        </w:tc>
        <w:tc>
          <w:tcPr>
            <w:tcW w:w="1134" w:type="dxa"/>
            <w:shd w:val="clear" w:color="auto" w:fill="auto"/>
            <w:noWrap/>
            <w:vAlign w:val="center"/>
          </w:tcPr>
          <w:p w14:paraId="64DC758A" w14:textId="62DC2B1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8B" w14:textId="1A66348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223,707,617</w:t>
            </w:r>
          </w:p>
        </w:tc>
        <w:tc>
          <w:tcPr>
            <w:tcW w:w="919" w:type="dxa"/>
            <w:shd w:val="clear" w:color="auto" w:fill="auto"/>
            <w:noWrap/>
            <w:vAlign w:val="center"/>
          </w:tcPr>
          <w:p w14:paraId="64DC758C" w14:textId="582A1AA7"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95" w14:textId="77777777" w:rsidTr="00A17336">
        <w:trPr>
          <w:trHeight w:val="276"/>
        </w:trPr>
        <w:tc>
          <w:tcPr>
            <w:tcW w:w="719" w:type="dxa"/>
            <w:shd w:val="clear" w:color="auto" w:fill="auto"/>
            <w:noWrap/>
            <w:vAlign w:val="center"/>
          </w:tcPr>
          <w:p w14:paraId="64DC758E" w14:textId="4F3FEA69"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0 03 02</w:t>
            </w:r>
          </w:p>
        </w:tc>
        <w:tc>
          <w:tcPr>
            <w:tcW w:w="2835" w:type="dxa"/>
            <w:shd w:val="clear" w:color="auto" w:fill="auto"/>
            <w:noWrap/>
            <w:vAlign w:val="center"/>
          </w:tcPr>
          <w:p w14:paraId="64DC758F" w14:textId="31D72DE4"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Restricciones al ejercicio liberal de la profesión</w:t>
            </w:r>
          </w:p>
        </w:tc>
        <w:tc>
          <w:tcPr>
            <w:tcW w:w="1276" w:type="dxa"/>
            <w:shd w:val="clear" w:color="auto" w:fill="auto"/>
            <w:noWrap/>
            <w:vAlign w:val="center"/>
          </w:tcPr>
          <w:p w14:paraId="64DC7590" w14:textId="074EB72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62,118,779</w:t>
            </w:r>
          </w:p>
        </w:tc>
        <w:tc>
          <w:tcPr>
            <w:tcW w:w="1166" w:type="dxa"/>
            <w:shd w:val="clear" w:color="auto" w:fill="auto"/>
            <w:noWrap/>
            <w:vAlign w:val="center"/>
          </w:tcPr>
          <w:p w14:paraId="64DC7591" w14:textId="36CE6D9E"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31,105,654</w:t>
            </w:r>
          </w:p>
        </w:tc>
        <w:tc>
          <w:tcPr>
            <w:tcW w:w="1134" w:type="dxa"/>
            <w:shd w:val="clear" w:color="auto" w:fill="auto"/>
            <w:noWrap/>
            <w:vAlign w:val="center"/>
          </w:tcPr>
          <w:p w14:paraId="64DC7592" w14:textId="254D91B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93" w14:textId="10BE8B4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31,105,654</w:t>
            </w:r>
          </w:p>
        </w:tc>
        <w:tc>
          <w:tcPr>
            <w:tcW w:w="919" w:type="dxa"/>
            <w:shd w:val="clear" w:color="auto" w:fill="auto"/>
            <w:noWrap/>
            <w:vAlign w:val="center"/>
          </w:tcPr>
          <w:p w14:paraId="64DC7594" w14:textId="7A74F67B"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50%</w:t>
            </w:r>
          </w:p>
        </w:tc>
      </w:tr>
      <w:tr w:rsidR="00BB3FDE" w:rsidRPr="00787962" w14:paraId="64DC759D" w14:textId="77777777" w:rsidTr="00A17336">
        <w:trPr>
          <w:trHeight w:val="276"/>
        </w:trPr>
        <w:tc>
          <w:tcPr>
            <w:tcW w:w="719" w:type="dxa"/>
            <w:shd w:val="clear" w:color="auto" w:fill="auto"/>
            <w:noWrap/>
            <w:vAlign w:val="center"/>
          </w:tcPr>
          <w:p w14:paraId="64DC7596" w14:textId="27F102C4"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0 03 03</w:t>
            </w:r>
          </w:p>
        </w:tc>
        <w:tc>
          <w:tcPr>
            <w:tcW w:w="2835" w:type="dxa"/>
            <w:shd w:val="clear" w:color="auto" w:fill="auto"/>
            <w:noWrap/>
            <w:vAlign w:val="center"/>
          </w:tcPr>
          <w:p w14:paraId="64DC7597" w14:textId="061CC3D8"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Decimotercer mes</w:t>
            </w:r>
          </w:p>
        </w:tc>
        <w:tc>
          <w:tcPr>
            <w:tcW w:w="1276" w:type="dxa"/>
            <w:shd w:val="clear" w:color="auto" w:fill="auto"/>
            <w:noWrap/>
            <w:vAlign w:val="center"/>
          </w:tcPr>
          <w:p w14:paraId="64DC7598" w14:textId="32460AB5"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187,501,055</w:t>
            </w:r>
          </w:p>
        </w:tc>
        <w:tc>
          <w:tcPr>
            <w:tcW w:w="1166" w:type="dxa"/>
            <w:shd w:val="clear" w:color="auto" w:fill="auto"/>
            <w:noWrap/>
            <w:vAlign w:val="center"/>
          </w:tcPr>
          <w:p w14:paraId="64DC7599" w14:textId="07FF95E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156,339,633</w:t>
            </w:r>
          </w:p>
        </w:tc>
        <w:tc>
          <w:tcPr>
            <w:tcW w:w="1134" w:type="dxa"/>
            <w:shd w:val="clear" w:color="auto" w:fill="auto"/>
            <w:noWrap/>
            <w:vAlign w:val="center"/>
          </w:tcPr>
          <w:p w14:paraId="64DC759A" w14:textId="54507D6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9B" w14:textId="6EBB960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156,339,633</w:t>
            </w:r>
          </w:p>
        </w:tc>
        <w:tc>
          <w:tcPr>
            <w:tcW w:w="919" w:type="dxa"/>
            <w:shd w:val="clear" w:color="auto" w:fill="auto"/>
            <w:noWrap/>
            <w:vAlign w:val="center"/>
          </w:tcPr>
          <w:p w14:paraId="64DC759C" w14:textId="5CED6053"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A5" w14:textId="77777777" w:rsidTr="00A17336">
        <w:trPr>
          <w:trHeight w:val="276"/>
        </w:trPr>
        <w:tc>
          <w:tcPr>
            <w:tcW w:w="719" w:type="dxa"/>
            <w:shd w:val="clear" w:color="auto" w:fill="auto"/>
            <w:noWrap/>
            <w:vAlign w:val="center"/>
          </w:tcPr>
          <w:p w14:paraId="64DC759E" w14:textId="0B339E8B"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0 03 04</w:t>
            </w:r>
          </w:p>
        </w:tc>
        <w:tc>
          <w:tcPr>
            <w:tcW w:w="2835" w:type="dxa"/>
            <w:shd w:val="clear" w:color="auto" w:fill="auto"/>
            <w:noWrap/>
            <w:vAlign w:val="center"/>
          </w:tcPr>
          <w:p w14:paraId="64DC759F" w14:textId="45B2ECE5" w:rsidR="00BB3FDE" w:rsidRPr="00BB3FDE" w:rsidRDefault="000D22E0" w:rsidP="00BB3FDE">
            <w:pPr>
              <w:spacing w:line="240" w:lineRule="auto"/>
              <w:jc w:val="left"/>
              <w:rPr>
                <w:rFonts w:ascii="Calibri Light" w:hAnsi="Calibri Light" w:cs="Calibri Light"/>
                <w:color w:val="000000"/>
                <w:sz w:val="16"/>
                <w:szCs w:val="16"/>
                <w:lang w:val="es-CR"/>
              </w:rPr>
            </w:pPr>
            <w:r>
              <w:rPr>
                <w:rFonts w:ascii="Calibri Light" w:hAnsi="Calibri Light" w:cs="Calibri Light"/>
                <w:color w:val="000000"/>
                <w:sz w:val="16"/>
                <w:szCs w:val="16"/>
              </w:rPr>
              <w:t>Salario E</w:t>
            </w:r>
            <w:r w:rsidR="00BB3FDE" w:rsidRPr="00BB3FDE">
              <w:rPr>
                <w:rFonts w:ascii="Calibri Light" w:hAnsi="Calibri Light" w:cs="Calibri Light"/>
                <w:color w:val="000000"/>
                <w:sz w:val="16"/>
                <w:szCs w:val="16"/>
              </w:rPr>
              <w:t>scolar</w:t>
            </w:r>
          </w:p>
        </w:tc>
        <w:tc>
          <w:tcPr>
            <w:tcW w:w="1276" w:type="dxa"/>
            <w:shd w:val="clear" w:color="auto" w:fill="auto"/>
            <w:noWrap/>
            <w:vAlign w:val="center"/>
          </w:tcPr>
          <w:p w14:paraId="64DC75A0" w14:textId="01E55A13"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45,564,381</w:t>
            </w:r>
          </w:p>
        </w:tc>
        <w:tc>
          <w:tcPr>
            <w:tcW w:w="1166" w:type="dxa"/>
            <w:shd w:val="clear" w:color="auto" w:fill="auto"/>
            <w:noWrap/>
            <w:vAlign w:val="center"/>
          </w:tcPr>
          <w:p w14:paraId="64DC75A1" w14:textId="371CE93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32,404,536</w:t>
            </w:r>
          </w:p>
        </w:tc>
        <w:tc>
          <w:tcPr>
            <w:tcW w:w="1134" w:type="dxa"/>
            <w:shd w:val="clear" w:color="auto" w:fill="auto"/>
            <w:noWrap/>
            <w:vAlign w:val="center"/>
          </w:tcPr>
          <w:p w14:paraId="64DC75A2" w14:textId="358E08E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A3" w14:textId="60EFB2AC"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32,404,536</w:t>
            </w:r>
          </w:p>
        </w:tc>
        <w:tc>
          <w:tcPr>
            <w:tcW w:w="919" w:type="dxa"/>
            <w:shd w:val="clear" w:color="auto" w:fill="auto"/>
            <w:noWrap/>
            <w:vAlign w:val="center"/>
          </w:tcPr>
          <w:p w14:paraId="64DC75A4" w14:textId="18A5B3FA"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71%</w:t>
            </w:r>
          </w:p>
        </w:tc>
      </w:tr>
      <w:tr w:rsidR="00BB3FDE" w:rsidRPr="00787962" w14:paraId="64DC75AD" w14:textId="77777777" w:rsidTr="00A17336">
        <w:trPr>
          <w:trHeight w:val="276"/>
        </w:trPr>
        <w:tc>
          <w:tcPr>
            <w:tcW w:w="719" w:type="dxa"/>
            <w:shd w:val="clear" w:color="auto" w:fill="auto"/>
            <w:noWrap/>
            <w:vAlign w:val="center"/>
          </w:tcPr>
          <w:p w14:paraId="64DC75A6" w14:textId="2C32723F"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0 03 99</w:t>
            </w:r>
          </w:p>
        </w:tc>
        <w:tc>
          <w:tcPr>
            <w:tcW w:w="2835" w:type="dxa"/>
            <w:shd w:val="clear" w:color="auto" w:fill="auto"/>
            <w:noWrap/>
            <w:vAlign w:val="center"/>
          </w:tcPr>
          <w:p w14:paraId="64DC75A7" w14:textId="3F1A6B3A"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Otros incentivos salariales</w:t>
            </w:r>
          </w:p>
        </w:tc>
        <w:tc>
          <w:tcPr>
            <w:tcW w:w="1276" w:type="dxa"/>
            <w:shd w:val="clear" w:color="auto" w:fill="auto"/>
            <w:noWrap/>
            <w:vAlign w:val="center"/>
          </w:tcPr>
          <w:p w14:paraId="64DC75A8" w14:textId="07ABD0C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43,485,454</w:t>
            </w:r>
          </w:p>
        </w:tc>
        <w:tc>
          <w:tcPr>
            <w:tcW w:w="1166" w:type="dxa"/>
            <w:shd w:val="clear" w:color="auto" w:fill="auto"/>
            <w:noWrap/>
            <w:vAlign w:val="center"/>
          </w:tcPr>
          <w:p w14:paraId="64DC75A9" w14:textId="47F62ED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35,593,337</w:t>
            </w:r>
          </w:p>
        </w:tc>
        <w:tc>
          <w:tcPr>
            <w:tcW w:w="1134" w:type="dxa"/>
            <w:shd w:val="clear" w:color="auto" w:fill="auto"/>
            <w:noWrap/>
            <w:vAlign w:val="center"/>
          </w:tcPr>
          <w:p w14:paraId="64DC75AA" w14:textId="46ED322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AB" w14:textId="439AC07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35,593,337</w:t>
            </w:r>
          </w:p>
        </w:tc>
        <w:tc>
          <w:tcPr>
            <w:tcW w:w="919" w:type="dxa"/>
            <w:shd w:val="clear" w:color="auto" w:fill="auto"/>
            <w:noWrap/>
            <w:vAlign w:val="center"/>
          </w:tcPr>
          <w:p w14:paraId="64DC75AC" w14:textId="3B4CFA25"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82%</w:t>
            </w:r>
          </w:p>
        </w:tc>
      </w:tr>
      <w:tr w:rsidR="00BB3FDE" w:rsidRPr="00787962" w14:paraId="64DC75B5" w14:textId="77777777" w:rsidTr="00A17336">
        <w:trPr>
          <w:trHeight w:val="276"/>
        </w:trPr>
        <w:tc>
          <w:tcPr>
            <w:tcW w:w="719" w:type="dxa"/>
            <w:shd w:val="clear" w:color="auto" w:fill="auto"/>
            <w:noWrap/>
            <w:vAlign w:val="center"/>
          </w:tcPr>
          <w:p w14:paraId="64DC75AE" w14:textId="151A1E97"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0 04 00</w:t>
            </w:r>
          </w:p>
        </w:tc>
        <w:tc>
          <w:tcPr>
            <w:tcW w:w="2835" w:type="dxa"/>
            <w:shd w:val="clear" w:color="auto" w:fill="auto"/>
            <w:noWrap/>
            <w:vAlign w:val="center"/>
          </w:tcPr>
          <w:p w14:paraId="64DC75AF" w14:textId="738CC3D6"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Contribuciones patronales al desarrollo y la seguridad social</w:t>
            </w:r>
          </w:p>
        </w:tc>
        <w:tc>
          <w:tcPr>
            <w:tcW w:w="1276" w:type="dxa"/>
            <w:shd w:val="clear" w:color="auto" w:fill="auto"/>
            <w:noWrap/>
            <w:vAlign w:val="center"/>
          </w:tcPr>
          <w:p w14:paraId="64DC75B0" w14:textId="4E61545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376,877,121</w:t>
            </w:r>
          </w:p>
        </w:tc>
        <w:tc>
          <w:tcPr>
            <w:tcW w:w="1166" w:type="dxa"/>
            <w:shd w:val="clear" w:color="auto" w:fill="auto"/>
            <w:noWrap/>
            <w:vAlign w:val="center"/>
          </w:tcPr>
          <w:p w14:paraId="64DC75B1" w14:textId="6AA9B0A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313,916,352</w:t>
            </w:r>
          </w:p>
        </w:tc>
        <w:tc>
          <w:tcPr>
            <w:tcW w:w="1134" w:type="dxa"/>
            <w:shd w:val="clear" w:color="auto" w:fill="auto"/>
            <w:noWrap/>
            <w:vAlign w:val="center"/>
          </w:tcPr>
          <w:p w14:paraId="64DC75B2" w14:textId="209E4DE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B3" w14:textId="531E9CC8"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313,916,352</w:t>
            </w:r>
          </w:p>
        </w:tc>
        <w:tc>
          <w:tcPr>
            <w:tcW w:w="919" w:type="dxa"/>
            <w:shd w:val="clear" w:color="auto" w:fill="auto"/>
            <w:noWrap/>
            <w:vAlign w:val="center"/>
          </w:tcPr>
          <w:p w14:paraId="64DC75B4" w14:textId="15C69789"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BD" w14:textId="77777777" w:rsidTr="00A17336">
        <w:trPr>
          <w:trHeight w:val="276"/>
        </w:trPr>
        <w:tc>
          <w:tcPr>
            <w:tcW w:w="719" w:type="dxa"/>
            <w:shd w:val="clear" w:color="auto" w:fill="auto"/>
            <w:noWrap/>
            <w:vAlign w:val="center"/>
          </w:tcPr>
          <w:p w14:paraId="64DC75B6" w14:textId="44F8F90F"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0 05 00</w:t>
            </w:r>
          </w:p>
        </w:tc>
        <w:tc>
          <w:tcPr>
            <w:tcW w:w="2835" w:type="dxa"/>
            <w:shd w:val="clear" w:color="auto" w:fill="auto"/>
            <w:noWrap/>
            <w:vAlign w:val="center"/>
          </w:tcPr>
          <w:p w14:paraId="64DC75B7" w14:textId="6A360E97"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Contribuciones patronales a fondos de pensiones y otros</w:t>
            </w:r>
          </w:p>
        </w:tc>
        <w:tc>
          <w:tcPr>
            <w:tcW w:w="1276" w:type="dxa"/>
            <w:shd w:val="clear" w:color="auto" w:fill="auto"/>
            <w:noWrap/>
            <w:vAlign w:val="center"/>
          </w:tcPr>
          <w:p w14:paraId="64DC75B8" w14:textId="7BB3F9E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335,476,888</w:t>
            </w:r>
          </w:p>
        </w:tc>
        <w:tc>
          <w:tcPr>
            <w:tcW w:w="1166" w:type="dxa"/>
            <w:shd w:val="clear" w:color="auto" w:fill="auto"/>
            <w:noWrap/>
            <w:vAlign w:val="center"/>
          </w:tcPr>
          <w:p w14:paraId="64DC75B9" w14:textId="4D4C9F30"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279,020,823</w:t>
            </w:r>
          </w:p>
        </w:tc>
        <w:tc>
          <w:tcPr>
            <w:tcW w:w="1134" w:type="dxa"/>
            <w:shd w:val="clear" w:color="auto" w:fill="auto"/>
            <w:noWrap/>
            <w:vAlign w:val="center"/>
          </w:tcPr>
          <w:p w14:paraId="64DC75BA" w14:textId="505656E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BB" w14:textId="01D28B3B"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279,020,823</w:t>
            </w:r>
          </w:p>
        </w:tc>
        <w:tc>
          <w:tcPr>
            <w:tcW w:w="919" w:type="dxa"/>
            <w:shd w:val="clear" w:color="auto" w:fill="auto"/>
            <w:noWrap/>
            <w:vAlign w:val="center"/>
          </w:tcPr>
          <w:p w14:paraId="64DC75BC" w14:textId="38A39EDD"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41794864" w14:textId="77777777" w:rsidTr="00A17336">
        <w:trPr>
          <w:trHeight w:val="276"/>
        </w:trPr>
        <w:tc>
          <w:tcPr>
            <w:tcW w:w="719" w:type="dxa"/>
            <w:shd w:val="clear" w:color="auto" w:fill="auto"/>
            <w:noWrap/>
            <w:vAlign w:val="center"/>
          </w:tcPr>
          <w:p w14:paraId="3063931B" w14:textId="71168549"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2835" w:type="dxa"/>
            <w:shd w:val="clear" w:color="auto" w:fill="auto"/>
            <w:noWrap/>
            <w:vAlign w:val="center"/>
          </w:tcPr>
          <w:p w14:paraId="770F33B2" w14:textId="77777777" w:rsidR="00BB3FDE" w:rsidRPr="00BB3FDE" w:rsidRDefault="00BB3FDE" w:rsidP="00BB3FDE">
            <w:pPr>
              <w:spacing w:line="240" w:lineRule="auto"/>
              <w:jc w:val="left"/>
              <w:rPr>
                <w:rFonts w:ascii="Calibri Light" w:hAnsi="Calibri Light" w:cs="Calibri Light"/>
                <w:color w:val="000000"/>
                <w:sz w:val="16"/>
                <w:szCs w:val="16"/>
                <w:lang w:val="es-CR"/>
              </w:rPr>
            </w:pPr>
          </w:p>
        </w:tc>
        <w:tc>
          <w:tcPr>
            <w:tcW w:w="1276" w:type="dxa"/>
            <w:shd w:val="clear" w:color="auto" w:fill="auto"/>
            <w:noWrap/>
            <w:vAlign w:val="center"/>
          </w:tcPr>
          <w:p w14:paraId="1D3F190B" w14:textId="258B314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166" w:type="dxa"/>
            <w:shd w:val="clear" w:color="auto" w:fill="auto"/>
            <w:noWrap/>
            <w:vAlign w:val="center"/>
          </w:tcPr>
          <w:p w14:paraId="18B08BB2" w14:textId="29E5E78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134" w:type="dxa"/>
            <w:shd w:val="clear" w:color="auto" w:fill="auto"/>
            <w:noWrap/>
            <w:vAlign w:val="center"/>
          </w:tcPr>
          <w:p w14:paraId="47EBF731" w14:textId="382CAF61"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276" w:type="dxa"/>
            <w:shd w:val="clear" w:color="auto" w:fill="auto"/>
            <w:noWrap/>
            <w:vAlign w:val="center"/>
          </w:tcPr>
          <w:p w14:paraId="4276F03D" w14:textId="77777777" w:rsidR="00BB3FDE" w:rsidRPr="00BB3FDE" w:rsidRDefault="00BB3FDE" w:rsidP="00BB3FDE">
            <w:pPr>
              <w:spacing w:line="240" w:lineRule="auto"/>
              <w:jc w:val="right"/>
              <w:rPr>
                <w:rFonts w:ascii="Calibri Light" w:hAnsi="Calibri Light" w:cs="Calibri Light"/>
                <w:color w:val="000000"/>
                <w:sz w:val="16"/>
                <w:szCs w:val="16"/>
                <w:lang w:val="es-CR"/>
              </w:rPr>
            </w:pPr>
          </w:p>
        </w:tc>
        <w:tc>
          <w:tcPr>
            <w:tcW w:w="919" w:type="dxa"/>
            <w:shd w:val="clear" w:color="auto" w:fill="auto"/>
            <w:noWrap/>
            <w:vAlign w:val="center"/>
          </w:tcPr>
          <w:p w14:paraId="67EB1B0A" w14:textId="2EC0A625"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r>
      <w:tr w:rsidR="00BB3FDE" w:rsidRPr="00787962" w14:paraId="64DC75C5" w14:textId="77777777" w:rsidTr="00AC7DE6">
        <w:trPr>
          <w:trHeight w:val="193"/>
        </w:trPr>
        <w:tc>
          <w:tcPr>
            <w:tcW w:w="719" w:type="dxa"/>
            <w:shd w:val="clear" w:color="auto" w:fill="8DB3E2" w:themeFill="text2" w:themeFillTint="66"/>
            <w:noWrap/>
            <w:vAlign w:val="center"/>
          </w:tcPr>
          <w:p w14:paraId="64DC75BE" w14:textId="73C2F7C7"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 </w:t>
            </w:r>
          </w:p>
        </w:tc>
        <w:tc>
          <w:tcPr>
            <w:tcW w:w="2835" w:type="dxa"/>
            <w:shd w:val="clear" w:color="auto" w:fill="8DB3E2" w:themeFill="text2" w:themeFillTint="66"/>
            <w:noWrap/>
            <w:vAlign w:val="center"/>
          </w:tcPr>
          <w:p w14:paraId="64DC75BF" w14:textId="6EC83B3B"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OTROS SERVICIOS PERSONALES</w:t>
            </w:r>
          </w:p>
        </w:tc>
        <w:tc>
          <w:tcPr>
            <w:tcW w:w="1276" w:type="dxa"/>
            <w:shd w:val="clear" w:color="auto" w:fill="8DB3E2" w:themeFill="text2" w:themeFillTint="66"/>
            <w:noWrap/>
            <w:vAlign w:val="center"/>
          </w:tcPr>
          <w:p w14:paraId="64DC75C0" w14:textId="01F4E1DD"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19,100,000</w:t>
            </w:r>
          </w:p>
        </w:tc>
        <w:tc>
          <w:tcPr>
            <w:tcW w:w="1166" w:type="dxa"/>
            <w:shd w:val="clear" w:color="auto" w:fill="8DB3E2" w:themeFill="text2" w:themeFillTint="66"/>
            <w:noWrap/>
            <w:vAlign w:val="center"/>
          </w:tcPr>
          <w:p w14:paraId="64DC75C1" w14:textId="782E57EB"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5,104,695</w:t>
            </w:r>
          </w:p>
        </w:tc>
        <w:tc>
          <w:tcPr>
            <w:tcW w:w="1134" w:type="dxa"/>
            <w:shd w:val="clear" w:color="auto" w:fill="8DB3E2" w:themeFill="text2" w:themeFillTint="66"/>
            <w:noWrap/>
            <w:vAlign w:val="center"/>
          </w:tcPr>
          <w:p w14:paraId="64DC75C2" w14:textId="1F9C2115"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13,277</w:t>
            </w:r>
          </w:p>
        </w:tc>
        <w:tc>
          <w:tcPr>
            <w:tcW w:w="1276" w:type="dxa"/>
            <w:shd w:val="clear" w:color="auto" w:fill="8DB3E2" w:themeFill="text2" w:themeFillTint="66"/>
            <w:noWrap/>
            <w:vAlign w:val="center"/>
          </w:tcPr>
          <w:p w14:paraId="64DC75C3" w14:textId="01939D9C"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5,117,972</w:t>
            </w:r>
          </w:p>
        </w:tc>
        <w:tc>
          <w:tcPr>
            <w:tcW w:w="919" w:type="dxa"/>
            <w:shd w:val="clear" w:color="auto" w:fill="8DB3E2" w:themeFill="text2" w:themeFillTint="66"/>
            <w:noWrap/>
            <w:vAlign w:val="center"/>
          </w:tcPr>
          <w:p w14:paraId="64DC75C4" w14:textId="2DF4E0F8"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27%</w:t>
            </w:r>
          </w:p>
        </w:tc>
      </w:tr>
      <w:tr w:rsidR="00BB3FDE" w:rsidRPr="00787962" w14:paraId="7AA982D8" w14:textId="77777777" w:rsidTr="00A17336">
        <w:trPr>
          <w:trHeight w:val="193"/>
        </w:trPr>
        <w:tc>
          <w:tcPr>
            <w:tcW w:w="719" w:type="dxa"/>
            <w:shd w:val="clear" w:color="auto" w:fill="auto"/>
            <w:noWrap/>
            <w:vAlign w:val="center"/>
          </w:tcPr>
          <w:p w14:paraId="28482B69" w14:textId="65E09B89"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0 02 02</w:t>
            </w:r>
          </w:p>
        </w:tc>
        <w:tc>
          <w:tcPr>
            <w:tcW w:w="2835" w:type="dxa"/>
            <w:shd w:val="clear" w:color="auto" w:fill="auto"/>
            <w:noWrap/>
            <w:vAlign w:val="center"/>
          </w:tcPr>
          <w:p w14:paraId="73B62519" w14:textId="622C32F1"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Recargo o sustitución de funcionarios</w:t>
            </w:r>
          </w:p>
        </w:tc>
        <w:tc>
          <w:tcPr>
            <w:tcW w:w="1276" w:type="dxa"/>
            <w:shd w:val="clear" w:color="auto" w:fill="auto"/>
            <w:noWrap/>
            <w:vAlign w:val="center"/>
          </w:tcPr>
          <w:p w14:paraId="2DBA14A3" w14:textId="4912129D"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15,000,000</w:t>
            </w:r>
          </w:p>
        </w:tc>
        <w:tc>
          <w:tcPr>
            <w:tcW w:w="1166" w:type="dxa"/>
            <w:shd w:val="clear" w:color="auto" w:fill="auto"/>
            <w:noWrap/>
            <w:vAlign w:val="center"/>
          </w:tcPr>
          <w:p w14:paraId="56B68210" w14:textId="02FF9AF7"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3,063,504</w:t>
            </w:r>
          </w:p>
        </w:tc>
        <w:tc>
          <w:tcPr>
            <w:tcW w:w="1134" w:type="dxa"/>
            <w:shd w:val="clear" w:color="auto" w:fill="auto"/>
            <w:noWrap/>
            <w:vAlign w:val="center"/>
          </w:tcPr>
          <w:p w14:paraId="32A87947" w14:textId="507141CB"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13,277</w:t>
            </w:r>
          </w:p>
        </w:tc>
        <w:tc>
          <w:tcPr>
            <w:tcW w:w="1276" w:type="dxa"/>
            <w:shd w:val="clear" w:color="auto" w:fill="auto"/>
            <w:noWrap/>
            <w:vAlign w:val="center"/>
          </w:tcPr>
          <w:p w14:paraId="04416DFE" w14:textId="2B6CC161"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3,076,781</w:t>
            </w:r>
          </w:p>
        </w:tc>
        <w:tc>
          <w:tcPr>
            <w:tcW w:w="919" w:type="dxa"/>
            <w:shd w:val="clear" w:color="auto" w:fill="auto"/>
            <w:noWrap/>
            <w:vAlign w:val="center"/>
          </w:tcPr>
          <w:p w14:paraId="5D254A8A" w14:textId="66A97008"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21%</w:t>
            </w:r>
          </w:p>
        </w:tc>
      </w:tr>
      <w:tr w:rsidR="00BB3FDE" w:rsidRPr="00787962" w14:paraId="64DC75CD" w14:textId="77777777" w:rsidTr="00AC7DE6">
        <w:trPr>
          <w:trHeight w:val="276"/>
        </w:trPr>
        <w:tc>
          <w:tcPr>
            <w:tcW w:w="719" w:type="dxa"/>
            <w:shd w:val="clear" w:color="auto" w:fill="auto"/>
            <w:noWrap/>
            <w:vAlign w:val="center"/>
          </w:tcPr>
          <w:p w14:paraId="64DC75C6" w14:textId="49208D69"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0 02 01</w:t>
            </w:r>
          </w:p>
        </w:tc>
        <w:tc>
          <w:tcPr>
            <w:tcW w:w="2835" w:type="dxa"/>
            <w:shd w:val="clear" w:color="auto" w:fill="auto"/>
            <w:noWrap/>
            <w:vAlign w:val="center"/>
          </w:tcPr>
          <w:p w14:paraId="64DC75C7" w14:textId="584C0BDD"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Tiempo Extraordinario</w:t>
            </w:r>
          </w:p>
        </w:tc>
        <w:tc>
          <w:tcPr>
            <w:tcW w:w="1276" w:type="dxa"/>
            <w:shd w:val="clear" w:color="auto" w:fill="auto"/>
            <w:noWrap/>
            <w:vAlign w:val="center"/>
          </w:tcPr>
          <w:p w14:paraId="64DC75C8" w14:textId="7D6DA0F8"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4,100,000</w:t>
            </w:r>
          </w:p>
        </w:tc>
        <w:tc>
          <w:tcPr>
            <w:tcW w:w="1166" w:type="dxa"/>
            <w:shd w:val="clear" w:color="auto" w:fill="auto"/>
            <w:noWrap/>
            <w:vAlign w:val="center"/>
          </w:tcPr>
          <w:p w14:paraId="64DC75C9" w14:textId="38139F1E"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2,041,191</w:t>
            </w:r>
          </w:p>
        </w:tc>
        <w:tc>
          <w:tcPr>
            <w:tcW w:w="1134" w:type="dxa"/>
            <w:shd w:val="clear" w:color="auto" w:fill="auto"/>
            <w:noWrap/>
            <w:vAlign w:val="center"/>
          </w:tcPr>
          <w:p w14:paraId="64DC75CA" w14:textId="261D8CAF"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CB" w14:textId="712F068C"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2,041,191</w:t>
            </w:r>
          </w:p>
        </w:tc>
        <w:tc>
          <w:tcPr>
            <w:tcW w:w="919" w:type="dxa"/>
            <w:shd w:val="clear" w:color="auto" w:fill="auto"/>
            <w:noWrap/>
            <w:vAlign w:val="center"/>
          </w:tcPr>
          <w:p w14:paraId="64DC75CC" w14:textId="0EDB3565"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50%</w:t>
            </w:r>
          </w:p>
        </w:tc>
      </w:tr>
    </w:tbl>
    <w:p w14:paraId="28272EC9" w14:textId="163CF3B1" w:rsidR="006B7BDE" w:rsidRDefault="006B7BDE" w:rsidP="00FA7483">
      <w:pPr>
        <w:rPr>
          <w:rFonts w:asciiTheme="minorHAnsi" w:hAnsiTheme="minorHAnsi" w:cstheme="minorHAnsi"/>
          <w:sz w:val="24"/>
          <w:lang w:val="es-CR"/>
        </w:rPr>
      </w:pPr>
      <w:bookmarkStart w:id="40" w:name="_Toc70497974"/>
      <w:bookmarkStart w:id="41" w:name="_Toc131912454"/>
      <w:bookmarkStart w:id="42" w:name="_Toc163371959"/>
      <w:bookmarkStart w:id="43" w:name="_Toc195505392"/>
      <w:bookmarkStart w:id="44" w:name="_Toc226364825"/>
      <w:bookmarkStart w:id="45" w:name="_Toc273448679"/>
    </w:p>
    <w:p w14:paraId="3CA17840" w14:textId="012A890A" w:rsidR="00162A43" w:rsidRPr="00787962" w:rsidRDefault="00162A43" w:rsidP="005D0A6C">
      <w:pPr>
        <w:pStyle w:val="Ttulo3"/>
        <w:ind w:left="1134"/>
        <w:rPr>
          <w:lang w:val="es-CR"/>
        </w:rPr>
      </w:pPr>
      <w:bookmarkStart w:id="46" w:name="_Toc504486220"/>
      <w:r w:rsidRPr="00787962">
        <w:rPr>
          <w:lang w:val="es-CR"/>
        </w:rPr>
        <w:t>Resumen general de la relación de puestos de plazas fijas</w:t>
      </w:r>
      <w:bookmarkEnd w:id="46"/>
    </w:p>
    <w:p w14:paraId="61E5F13E" w14:textId="77777777" w:rsidR="002D2F2C" w:rsidRPr="00787962" w:rsidRDefault="002D2F2C" w:rsidP="005D0A6C">
      <w:pPr>
        <w:spacing w:line="240" w:lineRule="auto"/>
        <w:ind w:left="1134"/>
        <w:jc w:val="center"/>
        <w:rPr>
          <w:rFonts w:asciiTheme="minorHAnsi" w:hAnsiTheme="minorHAnsi" w:cstheme="minorHAnsi"/>
          <w:b/>
          <w:i/>
          <w:szCs w:val="22"/>
          <w:lang w:val="es-CR"/>
        </w:rPr>
      </w:pPr>
    </w:p>
    <w:p w14:paraId="5A5910CC" w14:textId="17189E12" w:rsidR="000D3368" w:rsidRPr="00615B1B" w:rsidRDefault="00235AC7" w:rsidP="005D0A6C">
      <w:pPr>
        <w:ind w:left="284"/>
        <w:jc w:val="left"/>
        <w:rPr>
          <w:rFonts w:asciiTheme="minorHAnsi" w:hAnsiTheme="minorHAnsi" w:cstheme="minorHAnsi"/>
          <w:szCs w:val="22"/>
          <w:lang w:val="es-CR"/>
        </w:rPr>
      </w:pPr>
      <w:r w:rsidRPr="00615B1B">
        <w:rPr>
          <w:rFonts w:asciiTheme="minorHAnsi" w:hAnsiTheme="minorHAnsi" w:cstheme="minorHAnsi"/>
          <w:szCs w:val="22"/>
          <w:lang w:val="es-CR"/>
        </w:rPr>
        <w:t xml:space="preserve">Cuadro </w:t>
      </w:r>
      <w:r w:rsidR="005D020A">
        <w:rPr>
          <w:rFonts w:asciiTheme="minorHAnsi" w:hAnsiTheme="minorHAnsi" w:cstheme="minorHAnsi"/>
          <w:szCs w:val="22"/>
          <w:lang w:val="es-CR"/>
        </w:rPr>
        <w:t>7</w:t>
      </w:r>
      <w:r w:rsidR="007C274A" w:rsidRPr="00615B1B">
        <w:rPr>
          <w:rFonts w:asciiTheme="minorHAnsi" w:hAnsiTheme="minorHAnsi" w:cstheme="minorHAnsi"/>
          <w:szCs w:val="22"/>
          <w:lang w:val="es-CR"/>
        </w:rPr>
        <w:t xml:space="preserve">: </w:t>
      </w:r>
      <w:r w:rsidR="000D3368" w:rsidRPr="00615B1B">
        <w:rPr>
          <w:rFonts w:asciiTheme="minorHAnsi" w:hAnsiTheme="minorHAnsi" w:cstheme="minorHAnsi"/>
          <w:b/>
          <w:szCs w:val="22"/>
          <w:lang w:val="es-CR"/>
        </w:rPr>
        <w:t>Relación de puestos</w:t>
      </w:r>
    </w:p>
    <w:tbl>
      <w:tblPr>
        <w:tblW w:w="8666" w:type="dxa"/>
        <w:tblInd w:w="279" w:type="dxa"/>
        <w:tblCellMar>
          <w:left w:w="70" w:type="dxa"/>
          <w:right w:w="70" w:type="dxa"/>
        </w:tblCellMar>
        <w:tblLook w:val="04A0" w:firstRow="1" w:lastRow="0" w:firstColumn="1" w:lastColumn="0" w:noHBand="0" w:noVBand="1"/>
      </w:tblPr>
      <w:tblGrid>
        <w:gridCol w:w="993"/>
        <w:gridCol w:w="2692"/>
        <w:gridCol w:w="1300"/>
        <w:gridCol w:w="1200"/>
        <w:gridCol w:w="1220"/>
        <w:gridCol w:w="1261"/>
      </w:tblGrid>
      <w:tr w:rsidR="00FE3245" w:rsidRPr="00787962" w14:paraId="4DABBDA9" w14:textId="77777777" w:rsidTr="005D0A6C">
        <w:trPr>
          <w:trHeight w:val="495"/>
          <w:tblHeader/>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267C2B"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Categoría</w:t>
            </w:r>
          </w:p>
        </w:tc>
        <w:tc>
          <w:tcPr>
            <w:tcW w:w="26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766267"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A9C8A8"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Escala</w:t>
            </w:r>
          </w:p>
        </w:tc>
        <w:tc>
          <w:tcPr>
            <w:tcW w:w="12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C83BA8F"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Salario base 2017</w:t>
            </w:r>
          </w:p>
        </w:tc>
        <w:tc>
          <w:tcPr>
            <w:tcW w:w="12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498DE81"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Número de puestos</w:t>
            </w:r>
          </w:p>
        </w:tc>
        <w:tc>
          <w:tcPr>
            <w:tcW w:w="12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9D03E9" w14:textId="78532F3F"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Total anual (miles</w:t>
            </w:r>
            <w:r w:rsidR="00D75616">
              <w:rPr>
                <w:rFonts w:ascii="Calibri Light" w:hAnsi="Calibri Light" w:cs="Calibri Light"/>
                <w:b/>
                <w:bCs/>
                <w:sz w:val="16"/>
                <w:szCs w:val="16"/>
                <w:lang w:val="es-CR" w:eastAsia="es-CR"/>
              </w:rPr>
              <w:t xml:space="preserve"> colones</w:t>
            </w:r>
            <w:r w:rsidRPr="00235AC7">
              <w:rPr>
                <w:rFonts w:ascii="Calibri Light" w:hAnsi="Calibri Light" w:cs="Calibri Light"/>
                <w:b/>
                <w:bCs/>
                <w:sz w:val="16"/>
                <w:szCs w:val="16"/>
                <w:lang w:val="es-CR" w:eastAsia="es-CR"/>
              </w:rPr>
              <w:t>)</w:t>
            </w:r>
          </w:p>
        </w:tc>
      </w:tr>
      <w:tr w:rsidR="00FE3245" w:rsidRPr="00787962" w14:paraId="2FFE3B97"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5097E93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03</w:t>
            </w:r>
          </w:p>
        </w:tc>
        <w:tc>
          <w:tcPr>
            <w:tcW w:w="2692" w:type="dxa"/>
            <w:tcBorders>
              <w:top w:val="nil"/>
              <w:left w:val="nil"/>
              <w:bottom w:val="single" w:sz="4" w:space="0" w:color="auto"/>
              <w:right w:val="single" w:sz="4" w:space="0" w:color="auto"/>
            </w:tcBorders>
            <w:shd w:val="clear" w:color="000000" w:fill="F2F2F2"/>
            <w:noWrap/>
            <w:vAlign w:val="center"/>
            <w:hideMark/>
          </w:tcPr>
          <w:p w14:paraId="6ED9CCBF"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Intendente</w:t>
            </w:r>
          </w:p>
        </w:tc>
        <w:tc>
          <w:tcPr>
            <w:tcW w:w="1300" w:type="dxa"/>
            <w:tcBorders>
              <w:top w:val="nil"/>
              <w:left w:val="nil"/>
              <w:bottom w:val="single" w:sz="4" w:space="0" w:color="auto"/>
              <w:right w:val="single" w:sz="4" w:space="0" w:color="auto"/>
            </w:tcBorders>
            <w:shd w:val="clear" w:color="000000" w:fill="F2F2F2"/>
            <w:noWrap/>
            <w:vAlign w:val="center"/>
            <w:hideMark/>
          </w:tcPr>
          <w:p w14:paraId="3490B45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 Global</w:t>
            </w:r>
          </w:p>
        </w:tc>
        <w:tc>
          <w:tcPr>
            <w:tcW w:w="1200" w:type="dxa"/>
            <w:tcBorders>
              <w:top w:val="nil"/>
              <w:left w:val="nil"/>
              <w:bottom w:val="single" w:sz="4" w:space="0" w:color="auto"/>
              <w:right w:val="single" w:sz="4" w:space="0" w:color="auto"/>
            </w:tcBorders>
            <w:shd w:val="clear" w:color="000000" w:fill="F2F2F2"/>
            <w:noWrap/>
            <w:vAlign w:val="center"/>
            <w:hideMark/>
          </w:tcPr>
          <w:p w14:paraId="2E628E3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1,181,206</w:t>
            </w:r>
          </w:p>
        </w:tc>
        <w:tc>
          <w:tcPr>
            <w:tcW w:w="1220" w:type="dxa"/>
            <w:tcBorders>
              <w:top w:val="nil"/>
              <w:left w:val="nil"/>
              <w:bottom w:val="single" w:sz="4" w:space="0" w:color="auto"/>
              <w:right w:val="single" w:sz="4" w:space="0" w:color="auto"/>
            </w:tcBorders>
            <w:shd w:val="clear" w:color="000000" w:fill="F2F2F2"/>
            <w:noWrap/>
            <w:vAlign w:val="center"/>
            <w:hideMark/>
          </w:tcPr>
          <w:p w14:paraId="15F6F1C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3DA64DA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70,636</w:t>
            </w:r>
          </w:p>
        </w:tc>
      </w:tr>
      <w:tr w:rsidR="00FE3245" w:rsidRPr="00787962" w14:paraId="020C3749"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40D89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04</w:t>
            </w:r>
          </w:p>
        </w:tc>
        <w:tc>
          <w:tcPr>
            <w:tcW w:w="2692" w:type="dxa"/>
            <w:tcBorders>
              <w:top w:val="nil"/>
              <w:left w:val="nil"/>
              <w:bottom w:val="single" w:sz="4" w:space="0" w:color="auto"/>
              <w:right w:val="single" w:sz="4" w:space="0" w:color="auto"/>
            </w:tcBorders>
            <w:shd w:val="clear" w:color="auto" w:fill="auto"/>
            <w:noWrap/>
            <w:vAlign w:val="center"/>
            <w:hideMark/>
          </w:tcPr>
          <w:p w14:paraId="1DC2C0D3"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Superintendente</w:t>
            </w:r>
          </w:p>
        </w:tc>
        <w:tc>
          <w:tcPr>
            <w:tcW w:w="1300" w:type="dxa"/>
            <w:tcBorders>
              <w:top w:val="nil"/>
              <w:left w:val="nil"/>
              <w:bottom w:val="single" w:sz="4" w:space="0" w:color="auto"/>
              <w:right w:val="single" w:sz="4" w:space="0" w:color="auto"/>
            </w:tcBorders>
            <w:shd w:val="clear" w:color="auto" w:fill="auto"/>
            <w:noWrap/>
            <w:vAlign w:val="center"/>
            <w:hideMark/>
          </w:tcPr>
          <w:p w14:paraId="536C248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 Global</w:t>
            </w:r>
          </w:p>
        </w:tc>
        <w:tc>
          <w:tcPr>
            <w:tcW w:w="1200" w:type="dxa"/>
            <w:tcBorders>
              <w:top w:val="nil"/>
              <w:left w:val="nil"/>
              <w:bottom w:val="single" w:sz="4" w:space="0" w:color="auto"/>
              <w:right w:val="single" w:sz="4" w:space="0" w:color="auto"/>
            </w:tcBorders>
            <w:shd w:val="clear" w:color="auto" w:fill="auto"/>
            <w:noWrap/>
            <w:vAlign w:val="center"/>
            <w:hideMark/>
          </w:tcPr>
          <w:p w14:paraId="76C36DD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1,603,715</w:t>
            </w:r>
          </w:p>
        </w:tc>
        <w:tc>
          <w:tcPr>
            <w:tcW w:w="1220" w:type="dxa"/>
            <w:tcBorders>
              <w:top w:val="nil"/>
              <w:left w:val="nil"/>
              <w:bottom w:val="single" w:sz="4" w:space="0" w:color="auto"/>
              <w:right w:val="single" w:sz="4" w:space="0" w:color="auto"/>
            </w:tcBorders>
            <w:shd w:val="clear" w:color="auto" w:fill="auto"/>
            <w:noWrap/>
            <w:vAlign w:val="center"/>
            <w:hideMark/>
          </w:tcPr>
          <w:p w14:paraId="4259E6E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0DFB703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95,902</w:t>
            </w:r>
          </w:p>
        </w:tc>
      </w:tr>
      <w:tr w:rsidR="00FE3245" w:rsidRPr="00787962" w14:paraId="5B6AA552"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9B1AE6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02</w:t>
            </w:r>
          </w:p>
        </w:tc>
        <w:tc>
          <w:tcPr>
            <w:tcW w:w="2692" w:type="dxa"/>
            <w:tcBorders>
              <w:top w:val="nil"/>
              <w:left w:val="nil"/>
              <w:bottom w:val="single" w:sz="4" w:space="0" w:color="auto"/>
              <w:right w:val="single" w:sz="4" w:space="0" w:color="auto"/>
            </w:tcBorders>
            <w:shd w:val="clear" w:color="000000" w:fill="F2F2F2"/>
            <w:noWrap/>
            <w:vAlign w:val="center"/>
            <w:hideMark/>
          </w:tcPr>
          <w:p w14:paraId="207D93AC"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Generales 2</w:t>
            </w:r>
          </w:p>
        </w:tc>
        <w:tc>
          <w:tcPr>
            <w:tcW w:w="1300" w:type="dxa"/>
            <w:tcBorders>
              <w:top w:val="nil"/>
              <w:left w:val="nil"/>
              <w:bottom w:val="single" w:sz="4" w:space="0" w:color="auto"/>
              <w:right w:val="single" w:sz="4" w:space="0" w:color="auto"/>
            </w:tcBorders>
            <w:shd w:val="clear" w:color="000000" w:fill="F2F2F2"/>
            <w:noWrap/>
            <w:vAlign w:val="center"/>
            <w:hideMark/>
          </w:tcPr>
          <w:p w14:paraId="0C96F29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5E490A6"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115,264</w:t>
            </w:r>
          </w:p>
        </w:tc>
        <w:tc>
          <w:tcPr>
            <w:tcW w:w="1220" w:type="dxa"/>
            <w:tcBorders>
              <w:top w:val="nil"/>
              <w:left w:val="nil"/>
              <w:bottom w:val="single" w:sz="4" w:space="0" w:color="auto"/>
              <w:right w:val="single" w:sz="4" w:space="0" w:color="auto"/>
            </w:tcBorders>
            <w:shd w:val="clear" w:color="000000" w:fill="F2F2F2"/>
            <w:noWrap/>
            <w:vAlign w:val="center"/>
            <w:hideMark/>
          </w:tcPr>
          <w:p w14:paraId="7C8E005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6EAF700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6,861</w:t>
            </w:r>
          </w:p>
        </w:tc>
      </w:tr>
      <w:tr w:rsidR="00FE3245" w:rsidRPr="00787962" w14:paraId="0A810B8B"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552BB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02</w:t>
            </w:r>
          </w:p>
        </w:tc>
        <w:tc>
          <w:tcPr>
            <w:tcW w:w="2692" w:type="dxa"/>
            <w:tcBorders>
              <w:top w:val="nil"/>
              <w:left w:val="nil"/>
              <w:bottom w:val="single" w:sz="4" w:space="0" w:color="auto"/>
              <w:right w:val="single" w:sz="4" w:space="0" w:color="auto"/>
            </w:tcBorders>
            <w:shd w:val="clear" w:color="auto" w:fill="auto"/>
            <w:noWrap/>
            <w:vAlign w:val="center"/>
            <w:hideMark/>
          </w:tcPr>
          <w:p w14:paraId="4F7A8E54"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auto"/>
            <w:noWrap/>
            <w:vAlign w:val="center"/>
            <w:hideMark/>
          </w:tcPr>
          <w:p w14:paraId="2BB3029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D77E93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115,264</w:t>
            </w:r>
          </w:p>
        </w:tc>
        <w:tc>
          <w:tcPr>
            <w:tcW w:w="1220" w:type="dxa"/>
            <w:tcBorders>
              <w:top w:val="nil"/>
              <w:left w:val="nil"/>
              <w:bottom w:val="single" w:sz="4" w:space="0" w:color="auto"/>
              <w:right w:val="single" w:sz="4" w:space="0" w:color="auto"/>
            </w:tcBorders>
            <w:shd w:val="clear" w:color="auto" w:fill="auto"/>
            <w:noWrap/>
            <w:vAlign w:val="center"/>
            <w:hideMark/>
          </w:tcPr>
          <w:p w14:paraId="4C3A0AC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69BCC93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13,722</w:t>
            </w:r>
          </w:p>
        </w:tc>
      </w:tr>
      <w:tr w:rsidR="00FE3245" w:rsidRPr="00787962" w14:paraId="736D6DA3"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3A499E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03</w:t>
            </w:r>
          </w:p>
        </w:tc>
        <w:tc>
          <w:tcPr>
            <w:tcW w:w="2692" w:type="dxa"/>
            <w:tcBorders>
              <w:top w:val="nil"/>
              <w:left w:val="nil"/>
              <w:bottom w:val="single" w:sz="4" w:space="0" w:color="auto"/>
              <w:right w:val="single" w:sz="4" w:space="0" w:color="auto"/>
            </w:tcBorders>
            <w:shd w:val="clear" w:color="000000" w:fill="F2F2F2"/>
            <w:noWrap/>
            <w:vAlign w:val="center"/>
            <w:hideMark/>
          </w:tcPr>
          <w:p w14:paraId="2CB20F69"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460601B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F7CA9C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140,559</w:t>
            </w:r>
          </w:p>
        </w:tc>
        <w:tc>
          <w:tcPr>
            <w:tcW w:w="1220" w:type="dxa"/>
            <w:tcBorders>
              <w:top w:val="nil"/>
              <w:left w:val="nil"/>
              <w:bottom w:val="single" w:sz="4" w:space="0" w:color="auto"/>
              <w:right w:val="single" w:sz="4" w:space="0" w:color="auto"/>
            </w:tcBorders>
            <w:shd w:val="clear" w:color="000000" w:fill="F2F2F2"/>
            <w:noWrap/>
            <w:vAlign w:val="center"/>
            <w:hideMark/>
          </w:tcPr>
          <w:p w14:paraId="1C89875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5</w:t>
            </w:r>
          </w:p>
        </w:tc>
        <w:tc>
          <w:tcPr>
            <w:tcW w:w="1261" w:type="dxa"/>
            <w:tcBorders>
              <w:top w:val="nil"/>
              <w:left w:val="nil"/>
              <w:bottom w:val="single" w:sz="4" w:space="0" w:color="auto"/>
              <w:right w:val="single" w:sz="4" w:space="0" w:color="auto"/>
            </w:tcBorders>
            <w:shd w:val="clear" w:color="000000" w:fill="F2F2F2"/>
            <w:noWrap/>
            <w:vAlign w:val="center"/>
            <w:hideMark/>
          </w:tcPr>
          <w:p w14:paraId="6319E4D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37,069</w:t>
            </w:r>
          </w:p>
        </w:tc>
      </w:tr>
      <w:tr w:rsidR="00FE3245" w:rsidRPr="00787962" w14:paraId="701F46E7"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13FC6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05</w:t>
            </w:r>
          </w:p>
        </w:tc>
        <w:tc>
          <w:tcPr>
            <w:tcW w:w="2692" w:type="dxa"/>
            <w:tcBorders>
              <w:top w:val="nil"/>
              <w:left w:val="nil"/>
              <w:bottom w:val="single" w:sz="4" w:space="0" w:color="auto"/>
              <w:right w:val="single" w:sz="4" w:space="0" w:color="auto"/>
            </w:tcBorders>
            <w:shd w:val="clear" w:color="auto" w:fill="auto"/>
            <w:noWrap/>
            <w:vAlign w:val="center"/>
            <w:hideMark/>
          </w:tcPr>
          <w:p w14:paraId="41C5D9F3"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auto"/>
            <w:noWrap/>
            <w:vAlign w:val="center"/>
            <w:hideMark/>
          </w:tcPr>
          <w:p w14:paraId="5E47086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61A626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173,891</w:t>
            </w:r>
          </w:p>
        </w:tc>
        <w:tc>
          <w:tcPr>
            <w:tcW w:w="1220" w:type="dxa"/>
            <w:tcBorders>
              <w:top w:val="nil"/>
              <w:left w:val="nil"/>
              <w:bottom w:val="single" w:sz="4" w:space="0" w:color="auto"/>
              <w:right w:val="single" w:sz="4" w:space="0" w:color="auto"/>
            </w:tcBorders>
            <w:shd w:val="clear" w:color="auto" w:fill="auto"/>
            <w:noWrap/>
            <w:vAlign w:val="center"/>
            <w:hideMark/>
          </w:tcPr>
          <w:p w14:paraId="1D3E2DD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5704BF7"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10,351</w:t>
            </w:r>
          </w:p>
        </w:tc>
      </w:tr>
      <w:tr w:rsidR="00FE3245" w:rsidRPr="00787962" w14:paraId="4BA61F6D"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7AEFF5A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07</w:t>
            </w:r>
          </w:p>
        </w:tc>
        <w:tc>
          <w:tcPr>
            <w:tcW w:w="2692" w:type="dxa"/>
            <w:tcBorders>
              <w:top w:val="nil"/>
              <w:left w:val="nil"/>
              <w:bottom w:val="single" w:sz="4" w:space="0" w:color="auto"/>
              <w:right w:val="single" w:sz="4" w:space="0" w:color="auto"/>
            </w:tcBorders>
            <w:shd w:val="clear" w:color="000000" w:fill="F2F2F2"/>
            <w:noWrap/>
            <w:vAlign w:val="center"/>
            <w:hideMark/>
          </w:tcPr>
          <w:p w14:paraId="62AF79CE"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2F2F2"/>
            <w:noWrap/>
            <w:vAlign w:val="center"/>
            <w:hideMark/>
          </w:tcPr>
          <w:p w14:paraId="00E0BCF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8BDFD2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308,378</w:t>
            </w:r>
          </w:p>
        </w:tc>
        <w:tc>
          <w:tcPr>
            <w:tcW w:w="1220" w:type="dxa"/>
            <w:tcBorders>
              <w:top w:val="nil"/>
              <w:left w:val="nil"/>
              <w:bottom w:val="single" w:sz="4" w:space="0" w:color="auto"/>
              <w:right w:val="single" w:sz="4" w:space="0" w:color="auto"/>
            </w:tcBorders>
            <w:shd w:val="clear" w:color="000000" w:fill="F2F2F2"/>
            <w:noWrap/>
            <w:vAlign w:val="center"/>
            <w:hideMark/>
          </w:tcPr>
          <w:p w14:paraId="3BA5046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44A6BCCF"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36,350</w:t>
            </w:r>
          </w:p>
        </w:tc>
      </w:tr>
      <w:tr w:rsidR="00FE3245" w:rsidRPr="00787962" w14:paraId="05A8685A"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10645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07</w:t>
            </w:r>
          </w:p>
        </w:tc>
        <w:tc>
          <w:tcPr>
            <w:tcW w:w="2692" w:type="dxa"/>
            <w:tcBorders>
              <w:top w:val="nil"/>
              <w:left w:val="nil"/>
              <w:bottom w:val="single" w:sz="4" w:space="0" w:color="auto"/>
              <w:right w:val="single" w:sz="4" w:space="0" w:color="auto"/>
            </w:tcBorders>
            <w:shd w:val="clear" w:color="auto" w:fill="auto"/>
            <w:noWrap/>
            <w:vAlign w:val="center"/>
            <w:hideMark/>
          </w:tcPr>
          <w:p w14:paraId="72E69CA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1</w:t>
            </w:r>
          </w:p>
        </w:tc>
        <w:tc>
          <w:tcPr>
            <w:tcW w:w="1300" w:type="dxa"/>
            <w:tcBorders>
              <w:top w:val="nil"/>
              <w:left w:val="nil"/>
              <w:bottom w:val="single" w:sz="4" w:space="0" w:color="auto"/>
              <w:right w:val="single" w:sz="4" w:space="0" w:color="auto"/>
            </w:tcBorders>
            <w:shd w:val="clear" w:color="auto" w:fill="auto"/>
            <w:noWrap/>
            <w:vAlign w:val="center"/>
            <w:hideMark/>
          </w:tcPr>
          <w:p w14:paraId="1415535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112C11BF"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308,378</w:t>
            </w:r>
          </w:p>
        </w:tc>
        <w:tc>
          <w:tcPr>
            <w:tcW w:w="1220" w:type="dxa"/>
            <w:tcBorders>
              <w:top w:val="nil"/>
              <w:left w:val="nil"/>
              <w:bottom w:val="single" w:sz="4" w:space="0" w:color="auto"/>
              <w:right w:val="single" w:sz="4" w:space="0" w:color="auto"/>
            </w:tcBorders>
            <w:shd w:val="clear" w:color="auto" w:fill="auto"/>
            <w:noWrap/>
            <w:vAlign w:val="center"/>
            <w:hideMark/>
          </w:tcPr>
          <w:p w14:paraId="62B182A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w:t>
            </w:r>
          </w:p>
        </w:tc>
        <w:tc>
          <w:tcPr>
            <w:tcW w:w="1261" w:type="dxa"/>
            <w:tcBorders>
              <w:top w:val="nil"/>
              <w:left w:val="nil"/>
              <w:bottom w:val="single" w:sz="4" w:space="0" w:color="auto"/>
              <w:right w:val="single" w:sz="4" w:space="0" w:color="auto"/>
            </w:tcBorders>
            <w:shd w:val="clear" w:color="auto" w:fill="auto"/>
            <w:noWrap/>
            <w:vAlign w:val="center"/>
            <w:hideMark/>
          </w:tcPr>
          <w:p w14:paraId="4EED6E2C"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145,402</w:t>
            </w:r>
          </w:p>
        </w:tc>
      </w:tr>
      <w:tr w:rsidR="00FE3245" w:rsidRPr="00787962" w14:paraId="0AB8892E"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B7FA6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auto" w:fill="auto"/>
            <w:noWrap/>
            <w:vAlign w:val="center"/>
            <w:hideMark/>
          </w:tcPr>
          <w:p w14:paraId="350EBDC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3</w:t>
            </w:r>
          </w:p>
        </w:tc>
        <w:tc>
          <w:tcPr>
            <w:tcW w:w="1300" w:type="dxa"/>
            <w:tcBorders>
              <w:top w:val="nil"/>
              <w:left w:val="nil"/>
              <w:bottom w:val="single" w:sz="4" w:space="0" w:color="auto"/>
              <w:right w:val="single" w:sz="4" w:space="0" w:color="auto"/>
            </w:tcBorders>
            <w:shd w:val="clear" w:color="auto" w:fill="auto"/>
            <w:noWrap/>
            <w:vAlign w:val="center"/>
            <w:hideMark/>
          </w:tcPr>
          <w:p w14:paraId="11934C2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5ADCDA8B"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65B8DBB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w:t>
            </w:r>
          </w:p>
        </w:tc>
        <w:tc>
          <w:tcPr>
            <w:tcW w:w="1261" w:type="dxa"/>
            <w:tcBorders>
              <w:top w:val="nil"/>
              <w:left w:val="nil"/>
              <w:bottom w:val="single" w:sz="4" w:space="0" w:color="auto"/>
              <w:right w:val="single" w:sz="4" w:space="0" w:color="auto"/>
            </w:tcBorders>
            <w:shd w:val="clear" w:color="auto" w:fill="auto"/>
            <w:noWrap/>
            <w:vAlign w:val="center"/>
            <w:hideMark/>
          </w:tcPr>
          <w:p w14:paraId="7FD0DCEE"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311,852</w:t>
            </w:r>
          </w:p>
        </w:tc>
      </w:tr>
      <w:tr w:rsidR="00FE3245" w:rsidRPr="00787962" w14:paraId="74A22958"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7360C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000000" w:fill="F2F2F2"/>
            <w:noWrap/>
            <w:vAlign w:val="center"/>
            <w:hideMark/>
          </w:tcPr>
          <w:p w14:paraId="3954C5E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2</w:t>
            </w:r>
          </w:p>
        </w:tc>
        <w:tc>
          <w:tcPr>
            <w:tcW w:w="1300" w:type="dxa"/>
            <w:tcBorders>
              <w:top w:val="nil"/>
              <w:left w:val="nil"/>
              <w:bottom w:val="single" w:sz="4" w:space="0" w:color="auto"/>
              <w:right w:val="single" w:sz="4" w:space="0" w:color="auto"/>
            </w:tcBorders>
            <w:shd w:val="clear" w:color="000000" w:fill="F2F2F2"/>
            <w:noWrap/>
            <w:vAlign w:val="center"/>
            <w:hideMark/>
          </w:tcPr>
          <w:p w14:paraId="0439025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A1A9746"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000000" w:fill="F2F2F2"/>
            <w:noWrap/>
            <w:vAlign w:val="center"/>
            <w:hideMark/>
          </w:tcPr>
          <w:p w14:paraId="092A149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w:t>
            </w:r>
          </w:p>
        </w:tc>
        <w:tc>
          <w:tcPr>
            <w:tcW w:w="1261" w:type="dxa"/>
            <w:tcBorders>
              <w:top w:val="nil"/>
              <w:left w:val="nil"/>
              <w:bottom w:val="single" w:sz="4" w:space="0" w:color="auto"/>
              <w:right w:val="single" w:sz="4" w:space="0" w:color="auto"/>
            </w:tcBorders>
            <w:shd w:val="clear" w:color="000000" w:fill="F2F2F2"/>
            <w:noWrap/>
            <w:vAlign w:val="center"/>
            <w:hideMark/>
          </w:tcPr>
          <w:p w14:paraId="2E6505F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356,402</w:t>
            </w:r>
          </w:p>
        </w:tc>
      </w:tr>
      <w:tr w:rsidR="00FE3245" w:rsidRPr="00787962" w14:paraId="77488C1A"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90EA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auto" w:fill="auto"/>
            <w:noWrap/>
            <w:vAlign w:val="center"/>
            <w:hideMark/>
          </w:tcPr>
          <w:p w14:paraId="3853F5E9"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TI</w:t>
            </w:r>
          </w:p>
        </w:tc>
        <w:tc>
          <w:tcPr>
            <w:tcW w:w="1300" w:type="dxa"/>
            <w:tcBorders>
              <w:top w:val="nil"/>
              <w:left w:val="nil"/>
              <w:bottom w:val="single" w:sz="4" w:space="0" w:color="auto"/>
              <w:right w:val="single" w:sz="4" w:space="0" w:color="auto"/>
            </w:tcBorders>
            <w:shd w:val="clear" w:color="auto" w:fill="auto"/>
            <w:noWrap/>
            <w:vAlign w:val="center"/>
            <w:hideMark/>
          </w:tcPr>
          <w:p w14:paraId="080DABF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F89C3D2"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332A1A8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14821E0"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44,550</w:t>
            </w:r>
          </w:p>
        </w:tc>
      </w:tr>
      <w:tr w:rsidR="00FE3245" w:rsidRPr="00787962" w14:paraId="166E044D"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3533B9DB"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09</w:t>
            </w:r>
          </w:p>
        </w:tc>
        <w:tc>
          <w:tcPr>
            <w:tcW w:w="2692" w:type="dxa"/>
            <w:tcBorders>
              <w:top w:val="nil"/>
              <w:left w:val="nil"/>
              <w:bottom w:val="single" w:sz="4" w:space="0" w:color="auto"/>
              <w:right w:val="single" w:sz="4" w:space="0" w:color="auto"/>
            </w:tcBorders>
            <w:shd w:val="clear" w:color="000000" w:fill="F2F2F2"/>
            <w:noWrap/>
            <w:vAlign w:val="center"/>
            <w:hideMark/>
          </w:tcPr>
          <w:p w14:paraId="1C6DDC8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4</w:t>
            </w:r>
          </w:p>
        </w:tc>
        <w:tc>
          <w:tcPr>
            <w:tcW w:w="1300" w:type="dxa"/>
            <w:tcBorders>
              <w:top w:val="nil"/>
              <w:left w:val="nil"/>
              <w:bottom w:val="single" w:sz="4" w:space="0" w:color="auto"/>
              <w:right w:val="single" w:sz="4" w:space="0" w:color="auto"/>
            </w:tcBorders>
            <w:shd w:val="clear" w:color="000000" w:fill="F2F2F2"/>
            <w:noWrap/>
            <w:vAlign w:val="center"/>
            <w:hideMark/>
          </w:tcPr>
          <w:p w14:paraId="3DB10174"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A9188A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472,895</w:t>
            </w:r>
          </w:p>
        </w:tc>
        <w:tc>
          <w:tcPr>
            <w:tcW w:w="1220" w:type="dxa"/>
            <w:tcBorders>
              <w:top w:val="nil"/>
              <w:left w:val="nil"/>
              <w:bottom w:val="single" w:sz="4" w:space="0" w:color="auto"/>
              <w:right w:val="single" w:sz="4" w:space="0" w:color="auto"/>
            </w:tcBorders>
            <w:shd w:val="clear" w:color="000000" w:fill="F2F2F2"/>
            <w:noWrap/>
            <w:vAlign w:val="center"/>
            <w:hideMark/>
          </w:tcPr>
          <w:p w14:paraId="4C34030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0265CCC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82,456</w:t>
            </w:r>
          </w:p>
        </w:tc>
      </w:tr>
      <w:tr w:rsidR="00FE3245" w:rsidRPr="00787962" w14:paraId="47C8259D"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A7CA2E"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09</w:t>
            </w:r>
          </w:p>
        </w:tc>
        <w:tc>
          <w:tcPr>
            <w:tcW w:w="2692" w:type="dxa"/>
            <w:tcBorders>
              <w:top w:val="nil"/>
              <w:left w:val="nil"/>
              <w:bottom w:val="single" w:sz="4" w:space="0" w:color="auto"/>
              <w:right w:val="single" w:sz="4" w:space="0" w:color="auto"/>
            </w:tcBorders>
            <w:shd w:val="clear" w:color="auto" w:fill="auto"/>
            <w:noWrap/>
            <w:vAlign w:val="center"/>
            <w:hideMark/>
          </w:tcPr>
          <w:p w14:paraId="610406C6"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auto" w:fill="auto"/>
            <w:noWrap/>
            <w:vAlign w:val="center"/>
            <w:hideMark/>
          </w:tcPr>
          <w:p w14:paraId="7284BF6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9AEEA3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472,895</w:t>
            </w:r>
          </w:p>
        </w:tc>
        <w:tc>
          <w:tcPr>
            <w:tcW w:w="1220" w:type="dxa"/>
            <w:tcBorders>
              <w:top w:val="nil"/>
              <w:left w:val="nil"/>
              <w:bottom w:val="single" w:sz="4" w:space="0" w:color="auto"/>
              <w:right w:val="single" w:sz="4" w:space="0" w:color="auto"/>
            </w:tcBorders>
            <w:shd w:val="clear" w:color="auto" w:fill="auto"/>
            <w:noWrap/>
            <w:vAlign w:val="center"/>
            <w:hideMark/>
          </w:tcPr>
          <w:p w14:paraId="765B40AD"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5</w:t>
            </w:r>
          </w:p>
        </w:tc>
        <w:tc>
          <w:tcPr>
            <w:tcW w:w="1261" w:type="dxa"/>
            <w:tcBorders>
              <w:top w:val="nil"/>
              <w:left w:val="nil"/>
              <w:bottom w:val="single" w:sz="4" w:space="0" w:color="auto"/>
              <w:right w:val="single" w:sz="4" w:space="0" w:color="auto"/>
            </w:tcBorders>
            <w:shd w:val="clear" w:color="auto" w:fill="auto"/>
            <w:noWrap/>
            <w:vAlign w:val="center"/>
            <w:hideMark/>
          </w:tcPr>
          <w:p w14:paraId="25CD15C0"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137,426</w:t>
            </w:r>
          </w:p>
        </w:tc>
      </w:tr>
      <w:tr w:rsidR="00FE3245" w:rsidRPr="00787962" w14:paraId="75C0F1F0"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57E11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w:t>
            </w:r>
          </w:p>
        </w:tc>
        <w:tc>
          <w:tcPr>
            <w:tcW w:w="2692" w:type="dxa"/>
            <w:tcBorders>
              <w:top w:val="nil"/>
              <w:left w:val="nil"/>
              <w:bottom w:val="single" w:sz="4" w:space="0" w:color="auto"/>
              <w:right w:val="single" w:sz="4" w:space="0" w:color="auto"/>
            </w:tcBorders>
            <w:shd w:val="clear" w:color="000000" w:fill="F2F2F2"/>
            <w:noWrap/>
            <w:vAlign w:val="center"/>
            <w:hideMark/>
          </w:tcPr>
          <w:p w14:paraId="1A62D5CC"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Departamento</w:t>
            </w:r>
          </w:p>
        </w:tc>
        <w:tc>
          <w:tcPr>
            <w:tcW w:w="1300" w:type="dxa"/>
            <w:tcBorders>
              <w:top w:val="nil"/>
              <w:left w:val="nil"/>
              <w:bottom w:val="single" w:sz="4" w:space="0" w:color="auto"/>
              <w:right w:val="single" w:sz="4" w:space="0" w:color="auto"/>
            </w:tcBorders>
            <w:shd w:val="clear" w:color="000000" w:fill="F2F2F2"/>
            <w:noWrap/>
            <w:vAlign w:val="center"/>
            <w:hideMark/>
          </w:tcPr>
          <w:p w14:paraId="5CB0AD8D"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0FEEE2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868,878</w:t>
            </w:r>
          </w:p>
        </w:tc>
        <w:tc>
          <w:tcPr>
            <w:tcW w:w="1220" w:type="dxa"/>
            <w:tcBorders>
              <w:top w:val="nil"/>
              <w:left w:val="nil"/>
              <w:bottom w:val="single" w:sz="4" w:space="0" w:color="auto"/>
              <w:right w:val="single" w:sz="4" w:space="0" w:color="auto"/>
            </w:tcBorders>
            <w:shd w:val="clear" w:color="000000" w:fill="F2F2F2"/>
            <w:noWrap/>
            <w:vAlign w:val="center"/>
            <w:hideMark/>
          </w:tcPr>
          <w:p w14:paraId="4F028E7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3020CF6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92,222</w:t>
            </w:r>
          </w:p>
        </w:tc>
      </w:tr>
      <w:tr w:rsidR="00FE3245" w:rsidRPr="00787962" w14:paraId="2EB76D2E"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0E706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w:t>
            </w:r>
          </w:p>
        </w:tc>
        <w:tc>
          <w:tcPr>
            <w:tcW w:w="2692" w:type="dxa"/>
            <w:tcBorders>
              <w:top w:val="nil"/>
              <w:left w:val="nil"/>
              <w:bottom w:val="single" w:sz="4" w:space="0" w:color="auto"/>
              <w:right w:val="single" w:sz="4" w:space="0" w:color="auto"/>
            </w:tcBorders>
            <w:shd w:val="clear" w:color="auto" w:fill="auto"/>
            <w:noWrap/>
            <w:vAlign w:val="center"/>
            <w:hideMark/>
          </w:tcPr>
          <w:p w14:paraId="72FA448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623E29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29B84B9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868,878</w:t>
            </w:r>
          </w:p>
        </w:tc>
        <w:tc>
          <w:tcPr>
            <w:tcW w:w="1220" w:type="dxa"/>
            <w:tcBorders>
              <w:top w:val="nil"/>
              <w:left w:val="nil"/>
              <w:bottom w:val="single" w:sz="4" w:space="0" w:color="auto"/>
              <w:right w:val="single" w:sz="4" w:space="0" w:color="auto"/>
            </w:tcBorders>
            <w:shd w:val="clear" w:color="auto" w:fill="auto"/>
            <w:noWrap/>
            <w:vAlign w:val="center"/>
            <w:hideMark/>
          </w:tcPr>
          <w:p w14:paraId="1E37C08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5BE3015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92,222</w:t>
            </w:r>
          </w:p>
        </w:tc>
      </w:tr>
      <w:tr w:rsidR="00FE3245" w:rsidRPr="00787962" w14:paraId="426CC7B9"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DE439E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w:t>
            </w:r>
          </w:p>
        </w:tc>
        <w:tc>
          <w:tcPr>
            <w:tcW w:w="2692" w:type="dxa"/>
            <w:tcBorders>
              <w:top w:val="nil"/>
              <w:left w:val="nil"/>
              <w:bottom w:val="single" w:sz="4" w:space="0" w:color="auto"/>
              <w:right w:val="single" w:sz="4" w:space="0" w:color="auto"/>
            </w:tcBorders>
            <w:shd w:val="clear" w:color="000000" w:fill="F2F2F2"/>
            <w:noWrap/>
            <w:vAlign w:val="center"/>
            <w:hideMark/>
          </w:tcPr>
          <w:p w14:paraId="478D411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5</w:t>
            </w:r>
          </w:p>
        </w:tc>
        <w:tc>
          <w:tcPr>
            <w:tcW w:w="1300" w:type="dxa"/>
            <w:tcBorders>
              <w:top w:val="nil"/>
              <w:left w:val="nil"/>
              <w:bottom w:val="single" w:sz="4" w:space="0" w:color="auto"/>
              <w:right w:val="single" w:sz="4" w:space="0" w:color="auto"/>
            </w:tcBorders>
            <w:shd w:val="clear" w:color="000000" w:fill="F2F2F2"/>
            <w:noWrap/>
            <w:vAlign w:val="center"/>
            <w:hideMark/>
          </w:tcPr>
          <w:p w14:paraId="110796E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B34090E"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804,755</w:t>
            </w:r>
          </w:p>
        </w:tc>
        <w:tc>
          <w:tcPr>
            <w:tcW w:w="1220" w:type="dxa"/>
            <w:tcBorders>
              <w:top w:val="nil"/>
              <w:left w:val="nil"/>
              <w:bottom w:val="single" w:sz="4" w:space="0" w:color="auto"/>
              <w:right w:val="single" w:sz="4" w:space="0" w:color="auto"/>
            </w:tcBorders>
            <w:shd w:val="clear" w:color="000000" w:fill="F2F2F2"/>
            <w:noWrap/>
            <w:vAlign w:val="center"/>
            <w:hideMark/>
          </w:tcPr>
          <w:p w14:paraId="464C5DB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AB30FA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46,300</w:t>
            </w:r>
          </w:p>
        </w:tc>
      </w:tr>
      <w:tr w:rsidR="00FE3245" w:rsidRPr="00787962" w14:paraId="0B06ACC8"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36CB7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12</w:t>
            </w:r>
          </w:p>
        </w:tc>
        <w:tc>
          <w:tcPr>
            <w:tcW w:w="2692" w:type="dxa"/>
            <w:tcBorders>
              <w:top w:val="nil"/>
              <w:left w:val="nil"/>
              <w:bottom w:val="single" w:sz="4" w:space="0" w:color="auto"/>
              <w:right w:val="single" w:sz="4" w:space="0" w:color="auto"/>
            </w:tcBorders>
            <w:shd w:val="clear" w:color="auto" w:fill="auto"/>
            <w:noWrap/>
            <w:vAlign w:val="center"/>
            <w:hideMark/>
          </w:tcPr>
          <w:p w14:paraId="6B28641A"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auto" w:fill="auto"/>
            <w:noWrap/>
            <w:vAlign w:val="center"/>
            <w:hideMark/>
          </w:tcPr>
          <w:p w14:paraId="07952B6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0AF3FA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1,280,368</w:t>
            </w:r>
          </w:p>
        </w:tc>
        <w:tc>
          <w:tcPr>
            <w:tcW w:w="1220" w:type="dxa"/>
            <w:tcBorders>
              <w:top w:val="nil"/>
              <w:left w:val="nil"/>
              <w:bottom w:val="single" w:sz="4" w:space="0" w:color="auto"/>
              <w:right w:val="single" w:sz="4" w:space="0" w:color="auto"/>
            </w:tcBorders>
            <w:shd w:val="clear" w:color="auto" w:fill="auto"/>
            <w:noWrap/>
            <w:vAlign w:val="center"/>
            <w:hideMark/>
          </w:tcPr>
          <w:p w14:paraId="5E28A6D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5895EF3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64,915</w:t>
            </w:r>
          </w:p>
        </w:tc>
      </w:tr>
      <w:tr w:rsidR="00FE3245" w:rsidRPr="00787962" w14:paraId="284AB20C"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A1F370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09</w:t>
            </w:r>
          </w:p>
        </w:tc>
        <w:tc>
          <w:tcPr>
            <w:tcW w:w="2692" w:type="dxa"/>
            <w:tcBorders>
              <w:top w:val="nil"/>
              <w:left w:val="nil"/>
              <w:bottom w:val="single" w:sz="4" w:space="0" w:color="auto"/>
              <w:right w:val="single" w:sz="4" w:space="0" w:color="auto"/>
            </w:tcBorders>
            <w:shd w:val="clear" w:color="000000" w:fill="F2F2F2"/>
            <w:noWrap/>
            <w:vAlign w:val="center"/>
            <w:hideMark/>
          </w:tcPr>
          <w:p w14:paraId="3A8F784A"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2D0679D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6C7BEC9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62,862</w:t>
            </w:r>
          </w:p>
        </w:tc>
        <w:tc>
          <w:tcPr>
            <w:tcW w:w="1220" w:type="dxa"/>
            <w:tcBorders>
              <w:top w:val="nil"/>
              <w:left w:val="nil"/>
              <w:bottom w:val="single" w:sz="4" w:space="0" w:color="auto"/>
              <w:right w:val="single" w:sz="4" w:space="0" w:color="auto"/>
            </w:tcBorders>
            <w:shd w:val="clear" w:color="000000" w:fill="F2F2F2"/>
            <w:noWrap/>
            <w:vAlign w:val="center"/>
            <w:hideMark/>
          </w:tcPr>
          <w:p w14:paraId="69312AE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1E47170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6,973</w:t>
            </w:r>
          </w:p>
        </w:tc>
      </w:tr>
      <w:tr w:rsidR="00FE3245" w:rsidRPr="00787962" w14:paraId="5C26968C"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9D35A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22</w:t>
            </w:r>
          </w:p>
        </w:tc>
        <w:tc>
          <w:tcPr>
            <w:tcW w:w="2692" w:type="dxa"/>
            <w:tcBorders>
              <w:top w:val="nil"/>
              <w:left w:val="nil"/>
              <w:bottom w:val="single" w:sz="4" w:space="0" w:color="auto"/>
              <w:right w:val="single" w:sz="4" w:space="0" w:color="auto"/>
            </w:tcBorders>
            <w:shd w:val="clear" w:color="auto" w:fill="auto"/>
            <w:noWrap/>
            <w:vAlign w:val="center"/>
            <w:hideMark/>
          </w:tcPr>
          <w:p w14:paraId="2E20F3F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2</w:t>
            </w:r>
          </w:p>
        </w:tc>
        <w:tc>
          <w:tcPr>
            <w:tcW w:w="1300" w:type="dxa"/>
            <w:tcBorders>
              <w:top w:val="nil"/>
              <w:left w:val="nil"/>
              <w:bottom w:val="single" w:sz="4" w:space="0" w:color="auto"/>
              <w:right w:val="single" w:sz="4" w:space="0" w:color="auto"/>
            </w:tcBorders>
            <w:shd w:val="clear" w:color="auto" w:fill="auto"/>
            <w:noWrap/>
            <w:vAlign w:val="center"/>
            <w:hideMark/>
          </w:tcPr>
          <w:p w14:paraId="413CBE9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5269BCD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153,132</w:t>
            </w:r>
          </w:p>
        </w:tc>
        <w:tc>
          <w:tcPr>
            <w:tcW w:w="1220" w:type="dxa"/>
            <w:tcBorders>
              <w:top w:val="nil"/>
              <w:left w:val="nil"/>
              <w:bottom w:val="single" w:sz="4" w:space="0" w:color="auto"/>
              <w:right w:val="single" w:sz="4" w:space="0" w:color="auto"/>
            </w:tcBorders>
            <w:shd w:val="clear" w:color="auto" w:fill="auto"/>
            <w:noWrap/>
            <w:vAlign w:val="center"/>
            <w:hideMark/>
          </w:tcPr>
          <w:p w14:paraId="3D7D7CB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1226235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16,986</w:t>
            </w:r>
          </w:p>
        </w:tc>
      </w:tr>
      <w:tr w:rsidR="00FE3245" w:rsidRPr="00787962" w14:paraId="0E94E6C2"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F6A5FC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25</w:t>
            </w:r>
          </w:p>
        </w:tc>
        <w:tc>
          <w:tcPr>
            <w:tcW w:w="2692" w:type="dxa"/>
            <w:tcBorders>
              <w:top w:val="nil"/>
              <w:left w:val="nil"/>
              <w:bottom w:val="single" w:sz="4" w:space="0" w:color="auto"/>
              <w:right w:val="single" w:sz="4" w:space="0" w:color="auto"/>
            </w:tcBorders>
            <w:shd w:val="clear" w:color="000000" w:fill="F2F2F2"/>
            <w:noWrap/>
            <w:vAlign w:val="center"/>
            <w:hideMark/>
          </w:tcPr>
          <w:p w14:paraId="3EEA781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000000" w:fill="F2F2F2"/>
            <w:noWrap/>
            <w:vAlign w:val="center"/>
            <w:hideMark/>
          </w:tcPr>
          <w:p w14:paraId="440D05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4290849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190,720</w:t>
            </w:r>
          </w:p>
        </w:tc>
        <w:tc>
          <w:tcPr>
            <w:tcW w:w="1220" w:type="dxa"/>
            <w:tcBorders>
              <w:top w:val="nil"/>
              <w:left w:val="nil"/>
              <w:bottom w:val="single" w:sz="4" w:space="0" w:color="auto"/>
              <w:right w:val="single" w:sz="4" w:space="0" w:color="auto"/>
            </w:tcBorders>
            <w:shd w:val="clear" w:color="000000" w:fill="F2F2F2"/>
            <w:noWrap/>
            <w:vAlign w:val="center"/>
            <w:hideMark/>
          </w:tcPr>
          <w:p w14:paraId="3D3B1169"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1E17B55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31,733</w:t>
            </w:r>
          </w:p>
        </w:tc>
      </w:tr>
      <w:tr w:rsidR="00FE3245" w:rsidRPr="00787962" w14:paraId="1D552CC4"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6568A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w:t>
            </w:r>
          </w:p>
        </w:tc>
        <w:tc>
          <w:tcPr>
            <w:tcW w:w="2692" w:type="dxa"/>
            <w:tcBorders>
              <w:top w:val="nil"/>
              <w:left w:val="nil"/>
              <w:bottom w:val="single" w:sz="4" w:space="0" w:color="auto"/>
              <w:right w:val="single" w:sz="4" w:space="0" w:color="auto"/>
            </w:tcBorders>
            <w:shd w:val="clear" w:color="auto" w:fill="auto"/>
            <w:noWrap/>
            <w:vAlign w:val="center"/>
            <w:hideMark/>
          </w:tcPr>
          <w:p w14:paraId="2A6BE59F"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854C5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372102D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271,260</w:t>
            </w:r>
          </w:p>
        </w:tc>
        <w:tc>
          <w:tcPr>
            <w:tcW w:w="1220" w:type="dxa"/>
            <w:tcBorders>
              <w:top w:val="nil"/>
              <w:left w:val="nil"/>
              <w:bottom w:val="single" w:sz="4" w:space="0" w:color="auto"/>
              <w:right w:val="single" w:sz="4" w:space="0" w:color="auto"/>
            </w:tcBorders>
            <w:shd w:val="clear" w:color="auto" w:fill="auto"/>
            <w:noWrap/>
            <w:vAlign w:val="center"/>
            <w:hideMark/>
          </w:tcPr>
          <w:p w14:paraId="087672E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43227E5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30,089</w:t>
            </w:r>
          </w:p>
        </w:tc>
      </w:tr>
      <w:tr w:rsidR="00FE3245" w:rsidRPr="00787962" w14:paraId="465D41CA" w14:textId="77777777" w:rsidTr="005D0A6C">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7A323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w:t>
            </w:r>
          </w:p>
        </w:tc>
        <w:tc>
          <w:tcPr>
            <w:tcW w:w="2692" w:type="dxa"/>
            <w:tcBorders>
              <w:top w:val="nil"/>
              <w:left w:val="nil"/>
              <w:bottom w:val="single" w:sz="4" w:space="0" w:color="auto"/>
              <w:right w:val="single" w:sz="4" w:space="0" w:color="auto"/>
            </w:tcBorders>
            <w:shd w:val="clear" w:color="000000" w:fill="F2F2F2"/>
            <w:noWrap/>
            <w:vAlign w:val="center"/>
            <w:hideMark/>
          </w:tcPr>
          <w:p w14:paraId="788D775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000000" w:fill="F2F2F2"/>
            <w:noWrap/>
            <w:vAlign w:val="center"/>
            <w:hideMark/>
          </w:tcPr>
          <w:p w14:paraId="6627496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0C389CC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393,372</w:t>
            </w:r>
          </w:p>
        </w:tc>
        <w:tc>
          <w:tcPr>
            <w:tcW w:w="1220" w:type="dxa"/>
            <w:tcBorders>
              <w:top w:val="nil"/>
              <w:left w:val="nil"/>
              <w:bottom w:val="single" w:sz="4" w:space="0" w:color="auto"/>
              <w:right w:val="single" w:sz="4" w:space="0" w:color="auto"/>
            </w:tcBorders>
            <w:shd w:val="clear" w:color="000000" w:fill="F2F2F2"/>
            <w:noWrap/>
            <w:vAlign w:val="center"/>
            <w:hideMark/>
          </w:tcPr>
          <w:p w14:paraId="72E2A739"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C36335C"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21,817</w:t>
            </w:r>
          </w:p>
        </w:tc>
      </w:tr>
      <w:tr w:rsidR="007A7F8E" w:rsidRPr="00787962" w14:paraId="0E1D6ECD" w14:textId="77777777" w:rsidTr="005D0A6C">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3567A5A" w14:textId="5C128403"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w:t>
            </w:r>
          </w:p>
        </w:tc>
        <w:tc>
          <w:tcPr>
            <w:tcW w:w="2692" w:type="dxa"/>
            <w:tcBorders>
              <w:top w:val="nil"/>
              <w:left w:val="nil"/>
              <w:bottom w:val="single" w:sz="4" w:space="0" w:color="auto"/>
              <w:right w:val="single" w:sz="4" w:space="0" w:color="auto"/>
            </w:tcBorders>
            <w:shd w:val="clear" w:color="auto" w:fill="auto"/>
            <w:noWrap/>
            <w:vAlign w:val="center"/>
          </w:tcPr>
          <w:p w14:paraId="37A0B160" w14:textId="69FB01AB" w:rsidR="007A7F8E" w:rsidRPr="00235AC7" w:rsidRDefault="007A7F8E" w:rsidP="007A7F8E">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Supervisión</w:t>
            </w:r>
          </w:p>
        </w:tc>
        <w:tc>
          <w:tcPr>
            <w:tcW w:w="1300" w:type="dxa"/>
            <w:tcBorders>
              <w:top w:val="nil"/>
              <w:left w:val="nil"/>
              <w:bottom w:val="single" w:sz="4" w:space="0" w:color="auto"/>
              <w:right w:val="single" w:sz="4" w:space="0" w:color="auto"/>
            </w:tcBorders>
            <w:shd w:val="clear" w:color="auto" w:fill="auto"/>
            <w:noWrap/>
            <w:vAlign w:val="center"/>
          </w:tcPr>
          <w:p w14:paraId="2AC1922F" w14:textId="5D7BE5CB"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tcPr>
          <w:p w14:paraId="5F11D489" w14:textId="752B936E" w:rsidR="007A7F8E" w:rsidRPr="00235AC7" w:rsidRDefault="007A7F8E" w:rsidP="007A7F8E">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393,372</w:t>
            </w:r>
          </w:p>
        </w:tc>
        <w:tc>
          <w:tcPr>
            <w:tcW w:w="1220" w:type="dxa"/>
            <w:tcBorders>
              <w:top w:val="nil"/>
              <w:left w:val="nil"/>
              <w:bottom w:val="single" w:sz="4" w:space="0" w:color="auto"/>
              <w:right w:val="single" w:sz="4" w:space="0" w:color="auto"/>
            </w:tcBorders>
            <w:shd w:val="clear" w:color="auto" w:fill="auto"/>
            <w:noWrap/>
            <w:vAlign w:val="center"/>
          </w:tcPr>
          <w:p w14:paraId="4A138634" w14:textId="23C3D860"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tcPr>
          <w:p w14:paraId="6A104B16" w14:textId="322F4FBB" w:rsidR="007A7F8E" w:rsidRPr="00235AC7" w:rsidRDefault="007A7F8E" w:rsidP="007A7F8E">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43,634</w:t>
            </w:r>
          </w:p>
        </w:tc>
      </w:tr>
      <w:tr w:rsidR="00FE3245" w:rsidRPr="00875754" w14:paraId="2B38C40E" w14:textId="77777777" w:rsidTr="005D0A6C">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2B1B57B" w14:textId="77777777" w:rsidR="00FE3245" w:rsidRPr="00235AC7" w:rsidRDefault="00FE3245" w:rsidP="00FE3245">
            <w:pPr>
              <w:spacing w:line="240" w:lineRule="auto"/>
              <w:jc w:val="right"/>
              <w:rPr>
                <w:rFonts w:ascii="Calibri Light" w:hAnsi="Calibri Light" w:cs="Calibri Light"/>
                <w:sz w:val="16"/>
                <w:szCs w:val="16"/>
                <w:lang w:val="es-CR" w:eastAsia="es-CR"/>
              </w:rPr>
            </w:pPr>
          </w:p>
        </w:tc>
        <w:tc>
          <w:tcPr>
            <w:tcW w:w="269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68BF404"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Total</w:t>
            </w:r>
          </w:p>
        </w:tc>
        <w:tc>
          <w:tcPr>
            <w:tcW w:w="13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21D3078"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4D95577" w14:textId="77777777" w:rsidR="00FE3245" w:rsidRPr="00235AC7" w:rsidRDefault="00FE3245" w:rsidP="00FE3245">
            <w:pPr>
              <w:spacing w:line="240" w:lineRule="auto"/>
              <w:jc w:val="center"/>
              <w:rPr>
                <w:rFonts w:ascii="Calibri Light" w:hAnsi="Calibri Light" w:cs="Calibri Light"/>
                <w:sz w:val="16"/>
                <w:szCs w:val="16"/>
                <w:lang w:val="es-CR" w:eastAsia="es-CR"/>
              </w:rPr>
            </w:pPr>
          </w:p>
        </w:tc>
        <w:tc>
          <w:tcPr>
            <w:tcW w:w="12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0B0A966"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79</w:t>
            </w:r>
          </w:p>
        </w:tc>
        <w:tc>
          <w:tcPr>
            <w:tcW w:w="126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45F6880" w14:textId="77777777" w:rsidR="00FE3245" w:rsidRPr="00235AC7" w:rsidRDefault="00FE3245" w:rsidP="00FE3245">
            <w:pPr>
              <w:spacing w:line="240" w:lineRule="auto"/>
              <w:jc w:val="right"/>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1,795,871</w:t>
            </w:r>
          </w:p>
        </w:tc>
      </w:tr>
    </w:tbl>
    <w:p w14:paraId="65767ADB" w14:textId="568BCEE2" w:rsidR="007E7F77" w:rsidRDefault="007E7F77">
      <w:pPr>
        <w:spacing w:line="240" w:lineRule="auto"/>
        <w:jc w:val="left"/>
        <w:rPr>
          <w:rFonts w:asciiTheme="minorHAnsi" w:hAnsiTheme="minorHAnsi" w:cstheme="minorHAnsi"/>
          <w:lang w:val="es-CR"/>
        </w:rPr>
      </w:pPr>
    </w:p>
    <w:p w14:paraId="4C8C89F8" w14:textId="77777777" w:rsidR="00615B1B" w:rsidRPr="00787962" w:rsidRDefault="00615B1B">
      <w:pPr>
        <w:spacing w:line="240" w:lineRule="auto"/>
        <w:jc w:val="left"/>
        <w:rPr>
          <w:rFonts w:asciiTheme="minorHAnsi" w:hAnsiTheme="minorHAnsi" w:cstheme="minorHAnsi"/>
          <w:lang w:val="es-CR"/>
        </w:rPr>
      </w:pPr>
    </w:p>
    <w:p w14:paraId="2CE1BB24" w14:textId="577A29F5" w:rsidR="00FA7585" w:rsidRPr="00787962" w:rsidRDefault="00FA7585" w:rsidP="00AD6B46">
      <w:pPr>
        <w:pStyle w:val="Ttulo3"/>
        <w:rPr>
          <w:lang w:val="es-CR"/>
        </w:rPr>
      </w:pPr>
      <w:bookmarkStart w:id="47" w:name="_Toc504486221"/>
      <w:r w:rsidRPr="00787962">
        <w:rPr>
          <w:lang w:val="es-CR"/>
        </w:rPr>
        <w:t>Detalle d</w:t>
      </w:r>
      <w:r w:rsidR="007C1CB5">
        <w:rPr>
          <w:lang w:val="es-CR"/>
        </w:rPr>
        <w:t>e dietas que se cancelan en la I</w:t>
      </w:r>
      <w:r w:rsidRPr="00787962">
        <w:rPr>
          <w:lang w:val="es-CR"/>
        </w:rPr>
        <w:t>nstitución</w:t>
      </w:r>
      <w:bookmarkEnd w:id="47"/>
    </w:p>
    <w:p w14:paraId="3B842691" w14:textId="739832FA" w:rsidR="00FA7585" w:rsidRPr="00787962" w:rsidRDefault="00FA7585">
      <w:pPr>
        <w:spacing w:line="240" w:lineRule="auto"/>
        <w:jc w:val="left"/>
        <w:rPr>
          <w:rFonts w:asciiTheme="minorHAnsi" w:hAnsiTheme="minorHAnsi" w:cstheme="minorHAnsi"/>
          <w:lang w:val="es-CR"/>
        </w:rPr>
      </w:pPr>
    </w:p>
    <w:p w14:paraId="30E886B9" w14:textId="05474A11" w:rsidR="00FA7585" w:rsidRPr="00787962" w:rsidRDefault="0023212D" w:rsidP="00775FBF">
      <w:pPr>
        <w:spacing w:line="360" w:lineRule="auto"/>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0D22E0">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w:t>
      </w:r>
      <w:r w:rsidR="005D0A6C">
        <w:rPr>
          <w:rFonts w:asciiTheme="minorHAnsi" w:hAnsiTheme="minorHAnsi" w:cstheme="minorHAnsi"/>
          <w:lang w:val="es-CR"/>
        </w:rPr>
        <w:t>tanto, no corresponde adjuntar</w:t>
      </w:r>
      <w:r w:rsidR="00FA7585" w:rsidRPr="00787962">
        <w:rPr>
          <w:rFonts w:asciiTheme="minorHAnsi" w:hAnsiTheme="minorHAnsi" w:cstheme="minorHAnsi"/>
          <w:lang w:val="es-CR"/>
        </w:rPr>
        <w:t xml:space="preserve"> detalle </w:t>
      </w:r>
      <w:r w:rsidRPr="00787962">
        <w:rPr>
          <w:rFonts w:asciiTheme="minorHAnsi" w:hAnsiTheme="minorHAnsi" w:cstheme="minorHAnsi"/>
          <w:lang w:val="es-CR"/>
        </w:rPr>
        <w:t>alguno</w:t>
      </w:r>
      <w:r w:rsidR="005D0A6C">
        <w:rPr>
          <w:rFonts w:asciiTheme="minorHAnsi" w:hAnsiTheme="minorHAnsi" w:cstheme="minorHAnsi"/>
          <w:lang w:val="es-CR"/>
        </w:rPr>
        <w:t xml:space="preserve"> en esta sección del informe de liquidación</w:t>
      </w:r>
      <w:r w:rsidR="00FA7585" w:rsidRPr="00787962">
        <w:rPr>
          <w:rFonts w:asciiTheme="minorHAnsi" w:hAnsiTheme="minorHAnsi" w:cstheme="minorHAnsi"/>
          <w:lang w:val="es-CR"/>
        </w:rPr>
        <w:t>.</w:t>
      </w:r>
    </w:p>
    <w:p w14:paraId="07D5C87C" w14:textId="7AC3261D" w:rsidR="00FA7585" w:rsidRDefault="00FA7585">
      <w:pPr>
        <w:spacing w:line="240" w:lineRule="auto"/>
        <w:jc w:val="left"/>
        <w:rPr>
          <w:rFonts w:asciiTheme="minorHAnsi" w:hAnsiTheme="minorHAnsi" w:cstheme="minorHAnsi"/>
          <w:lang w:val="es-CR"/>
        </w:rPr>
      </w:pPr>
    </w:p>
    <w:p w14:paraId="4612020F" w14:textId="4971697B" w:rsidR="00FE3245" w:rsidRPr="00787962" w:rsidRDefault="00FE3245" w:rsidP="00AD6B46">
      <w:pPr>
        <w:pStyle w:val="Ttulo3"/>
        <w:rPr>
          <w:lang w:val="es-CR"/>
        </w:rPr>
      </w:pPr>
      <w:bookmarkStart w:id="48" w:name="_Toc504486222"/>
      <w:r w:rsidRPr="00787962">
        <w:rPr>
          <w:lang w:val="es-CR"/>
        </w:rPr>
        <w:t>Desglose de los incentivos salariales que se reconocen</w:t>
      </w:r>
      <w:bookmarkEnd w:id="48"/>
    </w:p>
    <w:p w14:paraId="05187BE5" w14:textId="77777777" w:rsidR="00FE3245" w:rsidRPr="00787962" w:rsidRDefault="00FE3245" w:rsidP="00FA7585">
      <w:pPr>
        <w:spacing w:line="240" w:lineRule="auto"/>
        <w:rPr>
          <w:rFonts w:asciiTheme="minorHAnsi" w:hAnsiTheme="minorHAnsi" w:cstheme="minorHAnsi"/>
          <w:sz w:val="24"/>
          <w:szCs w:val="24"/>
          <w:lang w:val="es-CR"/>
        </w:rPr>
      </w:pPr>
    </w:p>
    <w:p w14:paraId="16CA1FDF" w14:textId="5561DAFB" w:rsidR="00BE1950" w:rsidRPr="00787962" w:rsidRDefault="00FE3245"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dictada por la Junta Directiva del ente emisor.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global</w:t>
      </w:r>
      <w:r w:rsidR="00DD1F02">
        <w:rPr>
          <w:rFonts w:asciiTheme="minorHAnsi" w:hAnsiTheme="minorHAnsi" w:cstheme="minorHAnsi"/>
          <w:sz w:val="24"/>
          <w:szCs w:val="24"/>
          <w:lang w:val="es-CR"/>
        </w:rPr>
        <w:t xml:space="preserve"> a la cual no se le reconocen pagos adicionales,</w:t>
      </w:r>
      <w:r w:rsidR="00BE1950" w:rsidRPr="00787962">
        <w:rPr>
          <w:rFonts w:asciiTheme="minorHAnsi" w:hAnsiTheme="minorHAnsi" w:cstheme="minorHAnsi"/>
          <w:sz w:val="24"/>
          <w:szCs w:val="24"/>
          <w:lang w:val="es-CR"/>
        </w:rPr>
        <w:t xml:space="preserve">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w:t>
      </w:r>
      <w:r w:rsidR="00DD1F02">
        <w:rPr>
          <w:rFonts w:asciiTheme="minorHAnsi" w:hAnsiTheme="minorHAnsi" w:cstheme="minorHAnsi"/>
          <w:sz w:val="24"/>
          <w:szCs w:val="24"/>
          <w:lang w:val="es-CR"/>
        </w:rPr>
        <w:t xml:space="preserve">la suma de incentivos adicionales denominados </w:t>
      </w:r>
      <w:r w:rsidR="00062F8C">
        <w:rPr>
          <w:rFonts w:asciiTheme="minorHAnsi" w:hAnsiTheme="minorHAnsi" w:cstheme="minorHAnsi"/>
          <w:sz w:val="24"/>
          <w:szCs w:val="24"/>
          <w:lang w:val="es-CR"/>
        </w:rPr>
        <w:t>“</w:t>
      </w:r>
      <w:r w:rsidR="00BE1950" w:rsidRPr="00787962">
        <w:rPr>
          <w:rFonts w:asciiTheme="minorHAnsi" w:hAnsiTheme="minorHAnsi" w:cstheme="minorHAnsi"/>
          <w:sz w:val="24"/>
          <w:szCs w:val="24"/>
          <w:lang w:val="es-CR"/>
        </w:rPr>
        <w:t>pluses</w:t>
      </w:r>
      <w:r w:rsidR="00062F8C">
        <w:rPr>
          <w:rFonts w:asciiTheme="minorHAnsi" w:hAnsiTheme="minorHAnsi" w:cstheme="minorHAnsi"/>
          <w:sz w:val="24"/>
          <w:szCs w:val="24"/>
          <w:lang w:val="es-CR"/>
        </w:rPr>
        <w:t>”</w:t>
      </w:r>
      <w:r w:rsidR="00BE1950" w:rsidRPr="00787962">
        <w:rPr>
          <w:rFonts w:asciiTheme="minorHAnsi" w:hAnsiTheme="minorHAnsi" w:cstheme="minorHAnsi"/>
          <w:sz w:val="24"/>
          <w:szCs w:val="24"/>
          <w:lang w:val="es-CR"/>
        </w:rPr>
        <w:t xml:space="preserve">. </w:t>
      </w:r>
    </w:p>
    <w:p w14:paraId="24E63F83" w14:textId="27ACD3EF" w:rsidR="00BE1950" w:rsidRPr="00787962" w:rsidRDefault="00BE1950" w:rsidP="00FE3245">
      <w:pPr>
        <w:rPr>
          <w:rFonts w:asciiTheme="minorHAnsi" w:hAnsiTheme="minorHAnsi" w:cstheme="minorHAnsi"/>
          <w:sz w:val="24"/>
          <w:szCs w:val="24"/>
          <w:lang w:val="es-CR"/>
        </w:rPr>
      </w:pPr>
    </w:p>
    <w:p w14:paraId="2C4B309F" w14:textId="2050B1F2" w:rsidR="00BE1950" w:rsidRPr="00787962" w:rsidRDefault="000F16CD"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al gasto</w:t>
      </w:r>
      <w:r w:rsidR="00BE1950" w:rsidRPr="00787962">
        <w:rPr>
          <w:rFonts w:asciiTheme="minorHAnsi" w:hAnsiTheme="minorHAnsi" w:cstheme="minorHAnsi"/>
          <w:sz w:val="24"/>
          <w:szCs w:val="24"/>
          <w:lang w:val="es-CR"/>
        </w:rPr>
        <w:t>:</w:t>
      </w:r>
    </w:p>
    <w:p w14:paraId="496BCF8E" w14:textId="5BEDCB00" w:rsidR="00BE1950" w:rsidRPr="00787962" w:rsidRDefault="00BE1950" w:rsidP="00FE3245">
      <w:pPr>
        <w:rPr>
          <w:rFonts w:asciiTheme="minorHAnsi" w:hAnsiTheme="minorHAnsi" w:cstheme="minorHAnsi"/>
          <w:sz w:val="24"/>
          <w:szCs w:val="24"/>
          <w:lang w:val="es-CR"/>
        </w:rPr>
      </w:pPr>
    </w:p>
    <w:p w14:paraId="7AA7CB5E" w14:textId="4A1F5BA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Anualidades: </w:t>
      </w:r>
      <w:r w:rsidRPr="00787962">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3C7C97" w:rsidRPr="00787962">
        <w:rPr>
          <w:rFonts w:asciiTheme="minorHAnsi" w:hAnsiTheme="minorHAnsi" w:cstheme="minorHAnsi"/>
          <w:iCs/>
          <w:color w:val="000000"/>
          <w:sz w:val="24"/>
          <w:szCs w:val="24"/>
          <w:lang w:val="es-CR"/>
        </w:rPr>
        <w:t xml:space="preserve">. </w:t>
      </w:r>
      <w:r w:rsidRPr="00787962">
        <w:rPr>
          <w:rFonts w:asciiTheme="minorHAnsi" w:hAnsiTheme="minorHAnsi" w:cstheme="minorHAnsi"/>
          <w:sz w:val="24"/>
          <w:szCs w:val="24"/>
          <w:lang w:val="es-CR"/>
        </w:rPr>
        <w:t xml:space="preserve">Se refiere al reconocimiento económico, por concepto de años servidos al Banco Central de Costa Rica o al Sector Público, a cubrir al trabajador sobre su salario base y costo vida. Desde enero de 1995, al fenecer el Convenio de Partes del Banco Central de Costa Rica, se asigna a todos los funcionarios un 2% por cada año de servicio a la Institución o en el Sector Público. Dicho componente es exclusivo </w:t>
      </w:r>
      <w:r w:rsidR="002C3FE6">
        <w:rPr>
          <w:rFonts w:asciiTheme="minorHAnsi" w:hAnsiTheme="minorHAnsi" w:cstheme="minorHAnsi"/>
          <w:sz w:val="24"/>
          <w:szCs w:val="24"/>
          <w:lang w:val="es-CR"/>
        </w:rPr>
        <w:t xml:space="preserve">solo </w:t>
      </w:r>
      <w:r w:rsidRPr="00787962">
        <w:rPr>
          <w:rFonts w:asciiTheme="minorHAnsi" w:hAnsiTheme="minorHAnsi" w:cstheme="minorHAnsi"/>
          <w:sz w:val="24"/>
          <w:szCs w:val="24"/>
          <w:lang w:val="es-CR"/>
        </w:rPr>
        <w:t>para empleados de la escala de básico más pluses.</w:t>
      </w:r>
    </w:p>
    <w:p w14:paraId="1231D2BB" w14:textId="77777777" w:rsidR="00BE1950" w:rsidRPr="00787962" w:rsidRDefault="00BE1950" w:rsidP="00BE1950">
      <w:pPr>
        <w:rPr>
          <w:rFonts w:asciiTheme="minorHAnsi" w:hAnsiTheme="minorHAnsi" w:cstheme="minorHAnsi"/>
          <w:sz w:val="24"/>
          <w:szCs w:val="24"/>
          <w:lang w:val="es-CR"/>
        </w:rPr>
      </w:pPr>
    </w:p>
    <w:p w14:paraId="3D93BF43" w14:textId="575D02FC"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Pr="00787962">
        <w:rPr>
          <w:rFonts w:asciiTheme="minorHAnsi" w:hAnsiTheme="minorHAnsi" w:cstheme="minorHAnsi"/>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w:t>
      </w:r>
      <w:r w:rsidR="003438EC" w:rsidRPr="00787962">
        <w:rPr>
          <w:rFonts w:asciiTheme="minorHAnsi" w:hAnsiTheme="minorHAnsi" w:cstheme="minorHAnsi"/>
          <w:sz w:val="24"/>
          <w:szCs w:val="24"/>
          <w:lang w:val="es-CR"/>
        </w:rPr>
        <w:t>junio</w:t>
      </w:r>
      <w:r w:rsidRPr="00787962">
        <w:rPr>
          <w:rFonts w:asciiTheme="minorHAnsi" w:hAnsiTheme="minorHAnsi" w:cstheme="minorHAnsi"/>
          <w:sz w:val="24"/>
          <w:szCs w:val="24"/>
          <w:lang w:val="es-CR"/>
        </w:rPr>
        <w:t xml:space="preserve"> de 1994 para el BCCR y también es exclusivo para empleados de la escala de básico más pluses.</w:t>
      </w:r>
    </w:p>
    <w:p w14:paraId="681D4142" w14:textId="77777777" w:rsidR="00BE1950" w:rsidRPr="00787962" w:rsidRDefault="00BE1950" w:rsidP="00BE1950">
      <w:pPr>
        <w:rPr>
          <w:rFonts w:asciiTheme="minorHAnsi" w:hAnsiTheme="minorHAnsi" w:cstheme="minorHAnsi"/>
          <w:sz w:val="24"/>
          <w:szCs w:val="24"/>
          <w:lang w:val="es-CR"/>
        </w:rPr>
      </w:pPr>
    </w:p>
    <w:p w14:paraId="0CB8CF7C" w14:textId="50CCB332"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B31989">
        <w:rPr>
          <w:rFonts w:asciiTheme="minorHAnsi" w:hAnsiTheme="minorHAnsi" w:cstheme="minorHAnsi"/>
          <w:b/>
          <w:bCs/>
          <w:sz w:val="24"/>
          <w:szCs w:val="24"/>
          <w:lang w:val="es-CR"/>
        </w:rPr>
        <w:t>:</w:t>
      </w:r>
      <w:r w:rsidR="00D97C2E" w:rsidRPr="00787962">
        <w:rPr>
          <w:rFonts w:asciiTheme="minorHAnsi" w:hAnsiTheme="minorHAnsi" w:cstheme="minorHAnsi"/>
          <w:b/>
          <w:bCs/>
          <w:sz w:val="24"/>
          <w:szCs w:val="24"/>
          <w:lang w:val="es-CR"/>
        </w:rPr>
        <w:tab/>
      </w:r>
      <w:r w:rsidRPr="00787962">
        <w:rPr>
          <w:rFonts w:asciiTheme="minorHAnsi" w:hAnsiTheme="minorHAnsi" w:cstheme="minorHAnsi"/>
          <w:sz w:val="24"/>
          <w:szCs w:val="24"/>
          <w:lang w:val="es-CR"/>
        </w:rPr>
        <w:t xml:space="preserve">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w:t>
      </w:r>
      <w:r w:rsidR="00615B1B">
        <w:rPr>
          <w:rFonts w:asciiTheme="minorHAnsi" w:hAnsiTheme="minorHAnsi" w:cstheme="minorHAnsi"/>
          <w:sz w:val="24"/>
          <w:szCs w:val="24"/>
          <w:lang w:val="es-CR"/>
        </w:rPr>
        <w:t>detalle</w:t>
      </w:r>
      <w:r w:rsidRPr="00787962">
        <w:rPr>
          <w:rFonts w:asciiTheme="minorHAnsi" w:hAnsiTheme="minorHAnsi" w:cstheme="minorHAnsi"/>
          <w:sz w:val="24"/>
          <w:szCs w:val="24"/>
          <w:lang w:val="es-CR"/>
        </w:rPr>
        <w:t>:</w:t>
      </w:r>
    </w:p>
    <w:p w14:paraId="0D2668DE" w14:textId="77777777" w:rsidR="00F63D66" w:rsidRPr="00787962" w:rsidRDefault="00F63D66" w:rsidP="00F63D66">
      <w:pPr>
        <w:spacing w:line="240" w:lineRule="auto"/>
        <w:ind w:left="1276" w:hanging="1276"/>
        <w:rPr>
          <w:rFonts w:asciiTheme="minorHAnsi" w:hAnsiTheme="minorHAnsi" w:cstheme="minorHAnsi"/>
          <w:sz w:val="24"/>
          <w:szCs w:val="24"/>
          <w:lang w:val="es-CR"/>
        </w:rPr>
      </w:pPr>
    </w:p>
    <w:tbl>
      <w:tblPr>
        <w:tblW w:w="0" w:type="auto"/>
        <w:tblInd w:w="2684" w:type="dxa"/>
        <w:tblCellMar>
          <w:left w:w="0" w:type="dxa"/>
          <w:right w:w="0" w:type="dxa"/>
        </w:tblCellMar>
        <w:tblLook w:val="04A0" w:firstRow="1" w:lastRow="0" w:firstColumn="1" w:lastColumn="0" w:noHBand="0" w:noVBand="1"/>
      </w:tblPr>
      <w:tblGrid>
        <w:gridCol w:w="2832"/>
        <w:gridCol w:w="1846"/>
      </w:tblGrid>
      <w:tr w:rsidR="00BE1950" w:rsidRPr="00787962" w14:paraId="6E464F9F" w14:textId="77777777" w:rsidTr="00DD1F02">
        <w:trPr>
          <w:tblHeader/>
        </w:trPr>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68DC2E11" w14:textId="77777777" w:rsidR="00BE1950" w:rsidRPr="00787962" w:rsidRDefault="00BE1950" w:rsidP="00F63D66">
            <w:pPr>
              <w:spacing w:line="240" w:lineRule="auto"/>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61E0205C" w14:textId="77777777" w:rsidR="00BE1950" w:rsidRPr="00787962" w:rsidRDefault="00BE1950">
            <w:pPr>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PORCENTAJE</w:t>
            </w:r>
          </w:p>
        </w:tc>
      </w:tr>
      <w:tr w:rsidR="00BE1950" w:rsidRPr="00787962" w14:paraId="1684753D"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697DAD"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C071383"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2.5</w:t>
            </w:r>
          </w:p>
        </w:tc>
      </w:tr>
      <w:tr w:rsidR="00BE1950" w:rsidRPr="00787962" w14:paraId="3825BA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2672B"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58CDDCB"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3.0</w:t>
            </w:r>
          </w:p>
        </w:tc>
      </w:tr>
      <w:tr w:rsidR="00BE1950" w:rsidRPr="00787962" w14:paraId="557ED5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761633"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3F3E563A"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3.5</w:t>
            </w:r>
          </w:p>
        </w:tc>
      </w:tr>
    </w:tbl>
    <w:p w14:paraId="7CD80191" w14:textId="77777777" w:rsidR="00775FBF" w:rsidRPr="00787962" w:rsidRDefault="00775FBF" w:rsidP="00F63D66">
      <w:pPr>
        <w:spacing w:line="240" w:lineRule="auto"/>
        <w:ind w:left="1276"/>
        <w:rPr>
          <w:rFonts w:asciiTheme="minorHAnsi" w:hAnsiTheme="minorHAnsi" w:cstheme="minorHAnsi"/>
          <w:sz w:val="24"/>
          <w:szCs w:val="24"/>
          <w:lang w:val="es-CR"/>
        </w:rPr>
      </w:pPr>
    </w:p>
    <w:p w14:paraId="435572B2" w14:textId="6C85D2E1" w:rsidR="00BE1950" w:rsidRPr="00787962" w:rsidRDefault="00BE1950" w:rsidP="00F63D66">
      <w:pPr>
        <w:spacing w:line="240" w:lineRule="auto"/>
        <w:ind w:left="1276"/>
        <w:rPr>
          <w:rFonts w:asciiTheme="minorHAnsi" w:hAnsiTheme="minorHAnsi" w:cstheme="minorHAnsi"/>
          <w:sz w:val="24"/>
          <w:szCs w:val="24"/>
          <w:lang w:val="es-CR"/>
        </w:rPr>
      </w:pPr>
      <w:r w:rsidRPr="00787962">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sidR="003438E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Central de Costa Rica”, régimen que también es exclusivo </w:t>
      </w:r>
      <w:r w:rsidR="002C3FE6">
        <w:rPr>
          <w:rFonts w:asciiTheme="minorHAnsi" w:hAnsiTheme="minorHAnsi" w:cstheme="minorHAnsi"/>
          <w:sz w:val="24"/>
          <w:szCs w:val="24"/>
          <w:lang w:val="es-CR"/>
        </w:rPr>
        <w:t xml:space="preserve">solo </w:t>
      </w:r>
      <w:r w:rsidRPr="00787962">
        <w:rPr>
          <w:rFonts w:asciiTheme="minorHAnsi" w:hAnsiTheme="minorHAnsi" w:cstheme="minorHAnsi"/>
          <w:sz w:val="24"/>
          <w:szCs w:val="24"/>
          <w:lang w:val="es-CR"/>
        </w:rPr>
        <w:t>para funcionarios de la escala de básico más pluses.</w:t>
      </w:r>
    </w:p>
    <w:p w14:paraId="401DF885" w14:textId="77777777" w:rsidR="00BE1950" w:rsidRPr="00787962" w:rsidRDefault="00BE1950" w:rsidP="00BE1950">
      <w:pPr>
        <w:rPr>
          <w:rFonts w:asciiTheme="minorHAnsi" w:hAnsiTheme="minorHAnsi" w:cstheme="minorHAnsi"/>
          <w:b/>
          <w:sz w:val="24"/>
          <w:szCs w:val="24"/>
          <w:lang w:val="es-CR"/>
        </w:rPr>
      </w:pPr>
    </w:p>
    <w:p w14:paraId="21E03BD1" w14:textId="2D9F9F15"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w:t>
      </w:r>
      <w:r w:rsidR="00B15258" w:rsidRPr="00787962">
        <w:rPr>
          <w:rFonts w:asciiTheme="minorHAnsi" w:hAnsiTheme="minorHAnsi" w:cstheme="minorHAnsi"/>
          <w:sz w:val="24"/>
          <w:szCs w:val="24"/>
          <w:lang w:val="es-CR"/>
        </w:rPr>
        <w:t>mes de enero de cada año y est</w:t>
      </w:r>
      <w:r w:rsidRPr="00787962">
        <w:rPr>
          <w:rFonts w:asciiTheme="minorHAnsi" w:hAnsiTheme="minorHAnsi" w:cstheme="minorHAnsi"/>
          <w:sz w:val="24"/>
          <w:szCs w:val="24"/>
          <w:lang w:val="es-CR"/>
        </w:rPr>
        <w:t>á sujeto a las c</w:t>
      </w:r>
      <w:r w:rsidR="002D3A55" w:rsidRPr="00787962">
        <w:rPr>
          <w:rFonts w:asciiTheme="minorHAnsi" w:hAnsiTheme="minorHAnsi" w:cstheme="minorHAnsi"/>
          <w:sz w:val="24"/>
          <w:szCs w:val="24"/>
          <w:lang w:val="es-CR"/>
        </w:rPr>
        <w:t>argas sociales de Ley, excepto I</w:t>
      </w:r>
      <w:r w:rsidRPr="00787962">
        <w:rPr>
          <w:rFonts w:asciiTheme="minorHAnsi" w:hAnsiTheme="minorHAnsi" w:cstheme="minorHAnsi"/>
          <w:sz w:val="24"/>
          <w:szCs w:val="24"/>
          <w:lang w:val="es-CR"/>
        </w:rPr>
        <w:t xml:space="preserve">mpuesto </w:t>
      </w:r>
      <w:r w:rsidR="002D3A55" w:rsidRPr="00787962">
        <w:rPr>
          <w:rFonts w:asciiTheme="minorHAnsi" w:hAnsiTheme="minorHAnsi" w:cstheme="minorHAnsi"/>
          <w:sz w:val="24"/>
          <w:szCs w:val="24"/>
          <w:lang w:val="es-CR"/>
        </w:rPr>
        <w:t>sobre la R</w:t>
      </w:r>
      <w:r w:rsidRPr="00787962">
        <w:rPr>
          <w:rFonts w:asciiTheme="minorHAnsi" w:hAnsiTheme="minorHAnsi" w:cstheme="minorHAnsi"/>
          <w:sz w:val="24"/>
          <w:szCs w:val="24"/>
          <w:lang w:val="es-CR"/>
        </w:rPr>
        <w:t xml:space="preserve">enta. El salario escolar del Sector Público </w:t>
      </w:r>
      <w:r w:rsidR="00304D22" w:rsidRPr="00787962">
        <w:rPr>
          <w:rFonts w:asciiTheme="minorHAnsi" w:hAnsiTheme="minorHAnsi" w:cstheme="minorHAnsi"/>
          <w:sz w:val="24"/>
          <w:szCs w:val="24"/>
          <w:lang w:val="es-CR"/>
        </w:rPr>
        <w:t>tiene la base legal</w:t>
      </w:r>
      <w:r w:rsidR="00DF631F" w:rsidRPr="00787962">
        <w:rPr>
          <w:rFonts w:asciiTheme="minorHAnsi" w:hAnsiTheme="minorHAnsi" w:cstheme="minorHAnsi"/>
          <w:sz w:val="24"/>
          <w:szCs w:val="24"/>
          <w:lang w:val="es-CR"/>
        </w:rPr>
        <w:t xml:space="preserve"> en el</w:t>
      </w:r>
      <w:r w:rsidRPr="00787962">
        <w:rPr>
          <w:rFonts w:asciiTheme="minorHAnsi" w:hAnsiTheme="minorHAnsi" w:cstheme="minorHAnsi"/>
          <w:sz w:val="24"/>
          <w:szCs w:val="24"/>
          <w:lang w:val="es-CR"/>
        </w:rPr>
        <w:t xml:space="preserve"> Decreto Ejecutivo 23907-H, publicado en La Gaceta 246 del 27 de diciembre de 1</w:t>
      </w:r>
      <w:r w:rsidR="00DF631F" w:rsidRPr="00787962">
        <w:rPr>
          <w:rFonts w:asciiTheme="minorHAnsi" w:hAnsiTheme="minorHAnsi" w:cstheme="minorHAnsi"/>
          <w:sz w:val="24"/>
          <w:szCs w:val="24"/>
          <w:lang w:val="es-CR"/>
        </w:rPr>
        <w:t>994</w:t>
      </w:r>
      <w:r w:rsidR="002C3FE6">
        <w:rPr>
          <w:rFonts w:asciiTheme="minorHAnsi" w:hAnsiTheme="minorHAnsi" w:cstheme="minorHAnsi"/>
          <w:sz w:val="24"/>
          <w:szCs w:val="24"/>
          <w:lang w:val="es-CR"/>
        </w:rPr>
        <w:t xml:space="preserve"> y es exclusivo solo para funcionarios de la escala básico más pluses</w:t>
      </w:r>
      <w:r w:rsidR="00DF631F" w:rsidRPr="00787962">
        <w:rPr>
          <w:rFonts w:asciiTheme="minorHAnsi" w:hAnsiTheme="minorHAnsi" w:cstheme="minorHAnsi"/>
          <w:sz w:val="24"/>
          <w:szCs w:val="24"/>
          <w:lang w:val="es-CR"/>
        </w:rPr>
        <w:t>.</w:t>
      </w:r>
    </w:p>
    <w:p w14:paraId="311E4F6C" w14:textId="77777777" w:rsidR="00BE1950" w:rsidRPr="00787962" w:rsidRDefault="00BE1950" w:rsidP="00BE1950">
      <w:pPr>
        <w:rPr>
          <w:rFonts w:asciiTheme="minorHAnsi" w:hAnsiTheme="minorHAnsi" w:cstheme="minorHAnsi"/>
          <w:b/>
          <w:bCs/>
          <w:sz w:val="24"/>
          <w:szCs w:val="24"/>
          <w:lang w:val="es-CR"/>
        </w:rPr>
      </w:pPr>
    </w:p>
    <w:p w14:paraId="6E78E9FE" w14:textId="1C56BE81" w:rsidR="00BE1950" w:rsidRPr="00787962" w:rsidRDefault="00BE1950" w:rsidP="00F63D66">
      <w:pPr>
        <w:spacing w:line="240" w:lineRule="auto"/>
        <w:ind w:left="1276"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w:t>
      </w:r>
    </w:p>
    <w:p w14:paraId="2FB5B268" w14:textId="77777777" w:rsidR="00BE1950" w:rsidRPr="00787962" w:rsidRDefault="00BE1950" w:rsidP="00BE1950">
      <w:pPr>
        <w:rPr>
          <w:rFonts w:asciiTheme="minorHAnsi" w:hAnsiTheme="minorHAnsi" w:cstheme="minorHAnsi"/>
          <w:sz w:val="24"/>
          <w:szCs w:val="24"/>
          <w:lang w:val="es-CR"/>
        </w:rPr>
      </w:pPr>
    </w:p>
    <w:p w14:paraId="5B631273" w14:textId="5F282ACF"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304D22"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auditor Interno), según artículo</w:t>
      </w:r>
      <w:r w:rsidR="00956F89" w:rsidRPr="00787962">
        <w:rPr>
          <w:rFonts w:asciiTheme="minorHAnsi" w:hAnsiTheme="minorHAnsi" w:cstheme="minorHAnsi"/>
          <w:sz w:val="24"/>
          <w:szCs w:val="24"/>
          <w:lang w:val="es-CR"/>
        </w:rPr>
        <w:t xml:space="preserve"> 34 de la Ley </w:t>
      </w:r>
      <w:r w:rsidR="002D3A55" w:rsidRPr="00787962">
        <w:rPr>
          <w:rFonts w:asciiTheme="minorHAnsi" w:hAnsiTheme="minorHAnsi" w:cstheme="minorHAnsi"/>
          <w:sz w:val="24"/>
          <w:szCs w:val="24"/>
          <w:lang w:val="es-CR"/>
        </w:rPr>
        <w:t>General de Control Interno, N°</w:t>
      </w:r>
      <w:r w:rsidR="008512B3">
        <w:rPr>
          <w:rFonts w:asciiTheme="minorHAnsi" w:hAnsiTheme="minorHAnsi" w:cstheme="minorHAnsi"/>
          <w:sz w:val="24"/>
          <w:szCs w:val="24"/>
          <w:lang w:val="es-CR"/>
        </w:rPr>
        <w:t>.</w:t>
      </w:r>
      <w:r w:rsidR="009468CE" w:rsidRPr="00787962">
        <w:rPr>
          <w:rFonts w:asciiTheme="minorHAnsi" w:hAnsiTheme="minorHAnsi" w:cstheme="minorHAnsi"/>
          <w:sz w:val="24"/>
          <w:szCs w:val="24"/>
          <w:lang w:val="es-CR"/>
        </w:rPr>
        <w:t xml:space="preserve">8292. Al </w:t>
      </w:r>
      <w:r w:rsidR="00B46099" w:rsidRPr="00787962">
        <w:rPr>
          <w:rFonts w:asciiTheme="minorHAnsi" w:hAnsiTheme="minorHAnsi" w:cstheme="minorHAnsi"/>
          <w:sz w:val="24"/>
          <w:szCs w:val="24"/>
          <w:lang w:val="es-CR"/>
        </w:rPr>
        <w:t>director</w:t>
      </w:r>
      <w:r w:rsidRPr="00787962">
        <w:rPr>
          <w:rFonts w:asciiTheme="minorHAnsi" w:hAnsiTheme="minorHAnsi" w:cstheme="minorHAnsi"/>
          <w:sz w:val="24"/>
          <w:szCs w:val="24"/>
          <w:lang w:val="es-CR"/>
        </w:rPr>
        <w:t xml:space="preserve"> de la División Administrativa, al Director de Departamento de Proveeduría y a todos los puestos de nivel gerencial, según artículo 14 de la Ley Contra la Corrupción y el Enriquecimiento Ilícito en la Función </w:t>
      </w:r>
      <w:r w:rsidR="00956F89" w:rsidRPr="00787962">
        <w:rPr>
          <w:rFonts w:asciiTheme="minorHAnsi" w:hAnsiTheme="minorHAnsi" w:cstheme="minorHAnsi"/>
          <w:sz w:val="24"/>
          <w:szCs w:val="24"/>
          <w:lang w:val="es-CR"/>
        </w:rPr>
        <w:t>Pública</w:t>
      </w:r>
      <w:r w:rsidR="00AC7DE6">
        <w:rPr>
          <w:rFonts w:asciiTheme="minorHAnsi" w:hAnsiTheme="minorHAnsi" w:cstheme="minorHAnsi"/>
          <w:sz w:val="24"/>
          <w:szCs w:val="24"/>
          <w:lang w:val="es-CR"/>
        </w:rPr>
        <w:t>, N°</w:t>
      </w:r>
      <w:r w:rsidR="008512B3">
        <w:rPr>
          <w:rFonts w:asciiTheme="minorHAnsi" w:hAnsiTheme="minorHAnsi" w:cstheme="minorHAnsi"/>
          <w:sz w:val="24"/>
          <w:szCs w:val="24"/>
          <w:lang w:val="es-CR"/>
        </w:rPr>
        <w:t xml:space="preserve">. </w:t>
      </w:r>
      <w:r w:rsidR="00ED7B7E">
        <w:rPr>
          <w:rFonts w:asciiTheme="minorHAnsi" w:hAnsiTheme="minorHAnsi" w:cstheme="minorHAnsi"/>
          <w:sz w:val="24"/>
          <w:szCs w:val="24"/>
          <w:lang w:val="es-CR"/>
        </w:rPr>
        <w:t>84</w:t>
      </w:r>
      <w:r w:rsidRPr="00787962">
        <w:rPr>
          <w:rFonts w:asciiTheme="minorHAnsi" w:hAnsiTheme="minorHAnsi" w:cstheme="minorHAnsi"/>
          <w:sz w:val="24"/>
          <w:szCs w:val="24"/>
          <w:lang w:val="es-CR"/>
        </w:rPr>
        <w:t xml:space="preserve">22. En el caso de las escalas gerenciales globales representa el 37.3% del salario global que se defina en cada categoría salarial. </w:t>
      </w:r>
    </w:p>
    <w:p w14:paraId="02C7AF95" w14:textId="77777777" w:rsidR="00BE1950" w:rsidRPr="00787962" w:rsidRDefault="00BE1950" w:rsidP="00BE1950">
      <w:pPr>
        <w:spacing w:line="360" w:lineRule="auto"/>
        <w:rPr>
          <w:rFonts w:asciiTheme="minorHAnsi" w:hAnsiTheme="minorHAnsi" w:cstheme="minorHAnsi"/>
          <w:b/>
          <w:sz w:val="24"/>
          <w:szCs w:val="24"/>
          <w:lang w:val="es-CR"/>
        </w:rPr>
      </w:pPr>
    </w:p>
    <w:p w14:paraId="0E7F9BE2" w14:textId="38DA43DA"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Costo de </w:t>
      </w:r>
      <w:r w:rsidR="00ED7B7E">
        <w:rPr>
          <w:rFonts w:asciiTheme="minorHAnsi" w:hAnsiTheme="minorHAnsi" w:cstheme="minorHAnsi"/>
          <w:b/>
          <w:bCs/>
          <w:sz w:val="24"/>
          <w:szCs w:val="24"/>
          <w:lang w:val="es-CR"/>
        </w:rPr>
        <w:t>V</w:t>
      </w:r>
      <w:r w:rsidRPr="00787962">
        <w:rPr>
          <w:rFonts w:asciiTheme="minorHAnsi" w:hAnsiTheme="minorHAnsi" w:cstheme="minorHAnsi"/>
          <w:b/>
          <w:bCs/>
          <w:sz w:val="24"/>
          <w:szCs w:val="24"/>
          <w:lang w:val="es-CR"/>
        </w:rPr>
        <w:t>ida</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w:t>
      </w:r>
      <w:r w:rsidR="002D3A55" w:rsidRPr="00787962">
        <w:rPr>
          <w:rFonts w:asciiTheme="minorHAnsi" w:hAnsiTheme="minorHAnsi" w:cstheme="minorHAnsi"/>
          <w:sz w:val="24"/>
          <w:szCs w:val="24"/>
          <w:lang w:val="es-CR"/>
        </w:rPr>
        <w:t xml:space="preserve">se reconoce en el BCCR </w:t>
      </w:r>
      <w:r w:rsidRPr="00787962">
        <w:rPr>
          <w:rFonts w:asciiTheme="minorHAnsi" w:hAnsiTheme="minorHAnsi" w:cstheme="minorHAnsi"/>
          <w:sz w:val="24"/>
          <w:szCs w:val="24"/>
          <w:lang w:val="es-CR"/>
        </w:rPr>
        <w:t xml:space="preserve">desde el 1º de julio de 1988. Actualmente forma </w:t>
      </w:r>
      <w:r w:rsidR="002D3A55" w:rsidRPr="00787962">
        <w:rPr>
          <w:rFonts w:asciiTheme="minorHAnsi" w:hAnsiTheme="minorHAnsi" w:cstheme="minorHAnsi"/>
          <w:sz w:val="24"/>
          <w:szCs w:val="24"/>
          <w:lang w:val="es-CR"/>
        </w:rPr>
        <w:t xml:space="preserve">parte </w:t>
      </w:r>
      <w:r w:rsidRPr="00787962">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 es de aplicación exclusivo para empleados de la escala de básico más pluses.</w:t>
      </w:r>
    </w:p>
    <w:p w14:paraId="508BDA95" w14:textId="77777777" w:rsidR="00BE1950" w:rsidRPr="00787962" w:rsidRDefault="00BE1950" w:rsidP="00BE1950">
      <w:pPr>
        <w:spacing w:line="360" w:lineRule="auto"/>
        <w:rPr>
          <w:rFonts w:asciiTheme="minorHAnsi" w:hAnsiTheme="minorHAnsi" w:cstheme="minorHAnsi"/>
          <w:sz w:val="24"/>
          <w:szCs w:val="24"/>
          <w:lang w:val="es-CR"/>
        </w:rPr>
      </w:pPr>
    </w:p>
    <w:p w14:paraId="54E00DD3" w14:textId="55F7ECF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p>
    <w:p w14:paraId="4C919637" w14:textId="77777777" w:rsidR="00BE1950" w:rsidRPr="00787962" w:rsidRDefault="00BE1950" w:rsidP="00FE3245">
      <w:pPr>
        <w:rPr>
          <w:rFonts w:asciiTheme="minorHAnsi" w:hAnsiTheme="minorHAnsi" w:cstheme="minorHAnsi"/>
          <w:sz w:val="24"/>
          <w:szCs w:val="24"/>
          <w:lang w:val="es-CR"/>
        </w:rPr>
      </w:pPr>
    </w:p>
    <w:p w14:paraId="20E11337" w14:textId="65D4A3CD" w:rsidR="00D134FC" w:rsidRPr="00787962" w:rsidRDefault="00D134FC" w:rsidP="00AD6B46">
      <w:pPr>
        <w:pStyle w:val="Ttulo3"/>
        <w:rPr>
          <w:lang w:val="es-CR"/>
        </w:rPr>
      </w:pPr>
      <w:bookmarkStart w:id="49" w:name="_Toc504486223"/>
      <w:r w:rsidRPr="00787962">
        <w:rPr>
          <w:lang w:val="es-CR"/>
        </w:rPr>
        <w:t>Detalle de transferencias</w:t>
      </w:r>
      <w:r w:rsidR="005D1D02" w:rsidRPr="00787962">
        <w:rPr>
          <w:lang w:val="es-CR"/>
        </w:rPr>
        <w:t xml:space="preserve"> giradas</w:t>
      </w:r>
      <w:bookmarkEnd w:id="49"/>
    </w:p>
    <w:p w14:paraId="196ECCBA" w14:textId="77777777" w:rsidR="00775FBF" w:rsidRPr="00787962" w:rsidRDefault="00775FBF" w:rsidP="005D1D02">
      <w:pPr>
        <w:spacing w:line="240" w:lineRule="auto"/>
        <w:rPr>
          <w:rFonts w:asciiTheme="minorHAnsi" w:hAnsiTheme="minorHAnsi" w:cstheme="minorHAnsi"/>
          <w:sz w:val="24"/>
          <w:szCs w:val="24"/>
          <w:lang w:val="es-CR"/>
        </w:rPr>
      </w:pPr>
    </w:p>
    <w:p w14:paraId="4AB0B02B" w14:textId="684BD76B" w:rsidR="00775FBF"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en consecuencia,</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es</w:t>
      </w:r>
      <w:r w:rsidR="00775FBF" w:rsidRPr="00787962">
        <w:rPr>
          <w:rFonts w:asciiTheme="minorHAnsi" w:hAnsiTheme="minorHAnsi" w:cstheme="minorHAnsi"/>
          <w:sz w:val="24"/>
          <w:szCs w:val="24"/>
          <w:lang w:val="es-CR"/>
        </w:rPr>
        <w:t xml:space="preserve">e detalle no aplica </w:t>
      </w:r>
      <w:r w:rsidR="004F4944" w:rsidRPr="00787962">
        <w:rPr>
          <w:rFonts w:asciiTheme="minorHAnsi" w:hAnsiTheme="minorHAnsi" w:cstheme="minorHAnsi"/>
          <w:sz w:val="24"/>
          <w:szCs w:val="24"/>
          <w:lang w:val="es-CR"/>
        </w:rPr>
        <w:t xml:space="preserve">adjuntarlo </w:t>
      </w:r>
      <w:r w:rsidR="00775FBF" w:rsidRPr="00787962">
        <w:rPr>
          <w:rFonts w:asciiTheme="minorHAnsi" w:hAnsiTheme="minorHAnsi" w:cstheme="minorHAnsi"/>
          <w:sz w:val="24"/>
          <w:szCs w:val="24"/>
          <w:lang w:val="es-CR"/>
        </w:rPr>
        <w:t>en este informe.</w:t>
      </w:r>
    </w:p>
    <w:p w14:paraId="10122BD8" w14:textId="25EAA68A" w:rsidR="00D134FC" w:rsidRPr="00787962" w:rsidRDefault="00D134FC" w:rsidP="00FE3245">
      <w:pPr>
        <w:rPr>
          <w:rFonts w:asciiTheme="minorHAnsi" w:hAnsiTheme="minorHAnsi" w:cstheme="minorHAnsi"/>
          <w:sz w:val="24"/>
          <w:szCs w:val="24"/>
          <w:lang w:val="es-CR"/>
        </w:rPr>
      </w:pPr>
    </w:p>
    <w:p w14:paraId="44686664" w14:textId="1DE5D594" w:rsidR="00D134FC" w:rsidRPr="00787962" w:rsidRDefault="00D134FC" w:rsidP="00AD6B46">
      <w:pPr>
        <w:pStyle w:val="Ttulo3"/>
        <w:rPr>
          <w:lang w:val="es-CR"/>
        </w:rPr>
      </w:pPr>
      <w:bookmarkStart w:id="50" w:name="_Toc504486224"/>
      <w:r w:rsidRPr="00787962">
        <w:rPr>
          <w:lang w:val="es-CR"/>
        </w:rPr>
        <w:t>Detalle de préstamos, amortización e intereses</w:t>
      </w:r>
      <w:bookmarkEnd w:id="50"/>
    </w:p>
    <w:p w14:paraId="3603B53B" w14:textId="71531C4A" w:rsidR="00D134FC" w:rsidRPr="00787962" w:rsidRDefault="00D134FC" w:rsidP="005D1D02">
      <w:pPr>
        <w:spacing w:line="240" w:lineRule="auto"/>
        <w:rPr>
          <w:rFonts w:asciiTheme="minorHAnsi" w:hAnsiTheme="minorHAnsi" w:cstheme="minorHAnsi"/>
          <w:sz w:val="24"/>
          <w:szCs w:val="24"/>
          <w:lang w:val="es-CR"/>
        </w:rPr>
      </w:pPr>
    </w:p>
    <w:p w14:paraId="1C713813" w14:textId="49AD32CA" w:rsidR="00D134FC"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w:t>
      </w:r>
      <w:r w:rsidR="00696965">
        <w:rPr>
          <w:rFonts w:asciiTheme="minorHAnsi" w:hAnsiTheme="minorHAnsi" w:cstheme="minorHAnsi"/>
          <w:sz w:val="24"/>
          <w:szCs w:val="24"/>
          <w:lang w:val="es-CR"/>
        </w:rPr>
        <w:t>las erogaciones d</w:t>
      </w:r>
      <w:r w:rsidRPr="00787962">
        <w:rPr>
          <w:rFonts w:asciiTheme="minorHAnsi" w:hAnsiTheme="minorHAnsi" w:cstheme="minorHAnsi"/>
          <w:sz w:val="24"/>
          <w:szCs w:val="24"/>
          <w:lang w:val="es-CR"/>
        </w:rPr>
        <w:t xml:space="preserve">el presupuesto, no requiere de préstamos, por lo que ese detalle no </w:t>
      </w:r>
      <w:r w:rsidR="0071133D">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w:t>
      </w:r>
      <w:r w:rsidR="004F4944" w:rsidRPr="00787962">
        <w:rPr>
          <w:rFonts w:asciiTheme="minorHAnsi" w:hAnsiTheme="minorHAnsi" w:cstheme="minorHAnsi"/>
          <w:sz w:val="24"/>
          <w:szCs w:val="24"/>
          <w:lang w:val="es-CR"/>
        </w:rPr>
        <w:t xml:space="preserve">adjuntarlo </w:t>
      </w:r>
      <w:r w:rsidRPr="00787962">
        <w:rPr>
          <w:rFonts w:asciiTheme="minorHAnsi" w:hAnsiTheme="minorHAnsi" w:cstheme="minorHAnsi"/>
          <w:sz w:val="24"/>
          <w:szCs w:val="24"/>
          <w:lang w:val="es-CR"/>
        </w:rPr>
        <w:t>en este informe</w:t>
      </w:r>
      <w:r w:rsidR="00D134FC" w:rsidRPr="00787962">
        <w:rPr>
          <w:rFonts w:asciiTheme="minorHAnsi" w:hAnsiTheme="minorHAnsi" w:cstheme="minorHAnsi"/>
          <w:sz w:val="24"/>
          <w:szCs w:val="24"/>
          <w:lang w:val="es-CR"/>
        </w:rPr>
        <w:t>.</w:t>
      </w:r>
    </w:p>
    <w:p w14:paraId="7B05FD93" w14:textId="77777777" w:rsidR="00FE3245" w:rsidRPr="00787962" w:rsidRDefault="00FE3245" w:rsidP="00FE3245">
      <w:pPr>
        <w:rPr>
          <w:rFonts w:asciiTheme="minorHAnsi" w:hAnsiTheme="minorHAnsi" w:cstheme="minorHAnsi"/>
          <w:sz w:val="24"/>
          <w:szCs w:val="24"/>
          <w:lang w:val="es-CR"/>
        </w:rPr>
      </w:pPr>
    </w:p>
    <w:p w14:paraId="4FB4A8BD" w14:textId="479EDDA1" w:rsidR="00E97338" w:rsidRPr="00787962" w:rsidRDefault="00E97338" w:rsidP="00AD6B46">
      <w:pPr>
        <w:pStyle w:val="Ttulo3"/>
        <w:rPr>
          <w:lang w:val="es-CR"/>
        </w:rPr>
      </w:pPr>
      <w:bookmarkStart w:id="51" w:name="_Toc504486225"/>
      <w:r w:rsidRPr="00787962">
        <w:rPr>
          <w:lang w:val="es-CR"/>
        </w:rPr>
        <w:t>Identificación de necesidades de ajustes a nivel presupuestario.</w:t>
      </w:r>
      <w:bookmarkEnd w:id="51"/>
    </w:p>
    <w:p w14:paraId="60BA4AE7" w14:textId="77777777" w:rsidR="00E97338" w:rsidRPr="00787962" w:rsidRDefault="00E97338" w:rsidP="00E97338">
      <w:pPr>
        <w:spacing w:line="240" w:lineRule="auto"/>
        <w:rPr>
          <w:rFonts w:asciiTheme="minorHAnsi" w:hAnsiTheme="minorHAnsi" w:cstheme="minorHAnsi"/>
          <w:sz w:val="24"/>
          <w:szCs w:val="24"/>
          <w:lang w:val="es-CR"/>
        </w:rPr>
      </w:pPr>
    </w:p>
    <w:p w14:paraId="25BEC2F9" w14:textId="2A5FD90A" w:rsidR="000F5573" w:rsidRDefault="00423B31" w:rsidP="00423B31">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En el primer trimestre se aplicaron dos modificaciones para ajustar las partidas presupuestarias: El primer ajuste obedec</w:t>
      </w:r>
      <w:r w:rsidR="00ED7B7E">
        <w:rPr>
          <w:rFonts w:asciiTheme="minorHAnsi" w:hAnsiTheme="minorHAnsi" w:cstheme="minorHAnsi"/>
          <w:sz w:val="24"/>
          <w:szCs w:val="24"/>
          <w:lang w:val="es-CR"/>
        </w:rPr>
        <w:t>e a una recomendación del Ente R</w:t>
      </w:r>
      <w:r w:rsidRPr="00787962">
        <w:rPr>
          <w:rFonts w:asciiTheme="minorHAnsi" w:hAnsiTheme="minorHAnsi" w:cstheme="minorHAnsi"/>
          <w:sz w:val="24"/>
          <w:szCs w:val="24"/>
          <w:lang w:val="es-CR"/>
        </w:rPr>
        <w:t xml:space="preserve">egulador, en la cual se reclasifican los recursos de la subpartida 0.99.99, correspondiente a “Otras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 xml:space="preserve">3,1 millones, a la subpartida 6.02.02 “Becas a terceras personas”, esto tomando en cuenta que es una ayuda para costear el almuerzo a los estudiantes que realizan la práctica profesional. </w:t>
      </w:r>
    </w:p>
    <w:p w14:paraId="1BE454E6" w14:textId="77777777" w:rsidR="000F5573" w:rsidRDefault="000F5573" w:rsidP="00423B31">
      <w:pPr>
        <w:spacing w:line="360" w:lineRule="auto"/>
        <w:rPr>
          <w:rFonts w:asciiTheme="minorHAnsi" w:hAnsiTheme="minorHAnsi" w:cstheme="minorHAnsi"/>
          <w:sz w:val="24"/>
          <w:szCs w:val="24"/>
          <w:lang w:val="es-CR"/>
        </w:rPr>
      </w:pPr>
    </w:p>
    <w:p w14:paraId="5B386A48" w14:textId="60A4FCE2" w:rsidR="00423B31" w:rsidRPr="00787962" w:rsidRDefault="00423B31" w:rsidP="00423B31">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modificación </w:t>
      </w:r>
      <w:r w:rsidR="000F5573">
        <w:rPr>
          <w:rFonts w:asciiTheme="minorHAnsi" w:hAnsiTheme="minorHAnsi" w:cstheme="minorHAnsi"/>
          <w:sz w:val="24"/>
          <w:szCs w:val="24"/>
          <w:lang w:val="es-CR"/>
        </w:rPr>
        <w:t xml:space="preserve">número dos </w:t>
      </w:r>
      <w:r w:rsidRPr="00787962">
        <w:rPr>
          <w:rFonts w:asciiTheme="minorHAnsi" w:hAnsiTheme="minorHAnsi" w:cstheme="minorHAnsi"/>
          <w:sz w:val="24"/>
          <w:szCs w:val="24"/>
          <w:lang w:val="es-CR"/>
        </w:rPr>
        <w:t xml:space="preserve">es para dotar de contenido económico las partidas y subpartidas correspondientes a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10,6 millones, para hacer efectivo el aumento de salario aprobado.</w:t>
      </w:r>
    </w:p>
    <w:p w14:paraId="2079477E" w14:textId="77777777" w:rsidR="00AC7DE6" w:rsidRDefault="00AC7DE6" w:rsidP="00677436">
      <w:pPr>
        <w:spacing w:line="360" w:lineRule="auto"/>
        <w:rPr>
          <w:rFonts w:asciiTheme="minorHAnsi" w:hAnsiTheme="minorHAnsi" w:cstheme="minorHAnsi"/>
          <w:sz w:val="24"/>
          <w:szCs w:val="24"/>
          <w:lang w:val="es-CR"/>
        </w:rPr>
      </w:pPr>
    </w:p>
    <w:p w14:paraId="05B7C0BC" w14:textId="77777777" w:rsidR="00C64CF2" w:rsidRDefault="00423B31" w:rsidP="00677436">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En el segundo</w:t>
      </w:r>
      <w:r w:rsidR="000D31CF">
        <w:rPr>
          <w:rFonts w:asciiTheme="minorHAnsi" w:hAnsiTheme="minorHAnsi" w:cstheme="minorHAnsi"/>
          <w:sz w:val="24"/>
          <w:szCs w:val="24"/>
          <w:lang w:val="es-CR"/>
        </w:rPr>
        <w:t xml:space="preserve"> trimestre</w:t>
      </w:r>
      <w:r w:rsidRPr="00787962">
        <w:rPr>
          <w:rFonts w:asciiTheme="minorHAnsi" w:hAnsiTheme="minorHAnsi" w:cstheme="minorHAnsi"/>
          <w:sz w:val="24"/>
          <w:szCs w:val="24"/>
          <w:lang w:val="es-CR"/>
        </w:rPr>
        <w:t xml:space="preserve"> no fue necesario aplicar ningú</w:t>
      </w:r>
      <w:r w:rsidR="00CF44DA">
        <w:rPr>
          <w:rFonts w:asciiTheme="minorHAnsi" w:hAnsiTheme="minorHAnsi" w:cstheme="minorHAnsi"/>
          <w:sz w:val="24"/>
          <w:szCs w:val="24"/>
          <w:lang w:val="es-CR"/>
        </w:rPr>
        <w:t>n ajuste a nivel presupuestario</w:t>
      </w:r>
      <w:r w:rsidRPr="00787962">
        <w:rPr>
          <w:rFonts w:asciiTheme="minorHAnsi" w:hAnsiTheme="minorHAnsi" w:cstheme="minorHAnsi"/>
          <w:sz w:val="24"/>
          <w:szCs w:val="24"/>
          <w:lang w:val="es-CR"/>
        </w:rPr>
        <w:t>.</w:t>
      </w:r>
      <w:r w:rsidR="00CF44DA">
        <w:rPr>
          <w:rFonts w:asciiTheme="minorHAnsi" w:hAnsiTheme="minorHAnsi" w:cstheme="minorHAnsi"/>
          <w:sz w:val="24"/>
          <w:szCs w:val="24"/>
          <w:lang w:val="es-CR"/>
        </w:rPr>
        <w:t xml:space="preserve"> </w:t>
      </w:r>
    </w:p>
    <w:p w14:paraId="195BAAE4" w14:textId="77777777" w:rsidR="00C64CF2" w:rsidRDefault="00C64CF2" w:rsidP="00677436">
      <w:pPr>
        <w:spacing w:line="360" w:lineRule="auto"/>
        <w:rPr>
          <w:rFonts w:asciiTheme="minorHAnsi" w:hAnsiTheme="minorHAnsi" w:cstheme="minorHAnsi"/>
          <w:sz w:val="24"/>
          <w:szCs w:val="24"/>
          <w:lang w:val="es-CR"/>
        </w:rPr>
      </w:pPr>
    </w:p>
    <w:p w14:paraId="5F5F568E" w14:textId="1C1A2450" w:rsidR="00CF44DA" w:rsidRDefault="00CF44DA" w:rsidP="00677436">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 xml:space="preserve">Para el tercer trimestre se realizó </w:t>
      </w:r>
      <w:r w:rsidR="00E935CF">
        <w:rPr>
          <w:rFonts w:asciiTheme="minorHAnsi" w:hAnsiTheme="minorHAnsi" w:cstheme="minorHAnsi"/>
          <w:sz w:val="24"/>
          <w:szCs w:val="24"/>
          <w:lang w:val="es-CR"/>
        </w:rPr>
        <w:t>un</w:t>
      </w:r>
      <w:r>
        <w:rPr>
          <w:rFonts w:asciiTheme="minorHAnsi" w:hAnsiTheme="minorHAnsi" w:cstheme="minorHAnsi"/>
          <w:sz w:val="24"/>
          <w:szCs w:val="24"/>
          <w:lang w:val="es-CR"/>
        </w:rPr>
        <w:t xml:space="preserve"> ajuste a nivel presupuestario con el propósito de darle </w:t>
      </w:r>
      <w:r w:rsidR="00030CC6">
        <w:rPr>
          <w:rFonts w:asciiTheme="minorHAnsi" w:hAnsiTheme="minorHAnsi" w:cstheme="minorHAnsi"/>
          <w:sz w:val="24"/>
          <w:szCs w:val="24"/>
          <w:lang w:val="es-CR"/>
        </w:rPr>
        <w:t xml:space="preserve">más </w:t>
      </w:r>
      <w:r>
        <w:rPr>
          <w:rFonts w:asciiTheme="minorHAnsi" w:hAnsiTheme="minorHAnsi" w:cstheme="minorHAnsi"/>
          <w:sz w:val="24"/>
          <w:szCs w:val="24"/>
          <w:lang w:val="es-CR"/>
        </w:rPr>
        <w:t xml:space="preserve">contenido </w:t>
      </w:r>
      <w:r w:rsidR="00E935CF">
        <w:rPr>
          <w:rFonts w:asciiTheme="minorHAnsi" w:hAnsiTheme="minorHAnsi" w:cstheme="minorHAnsi"/>
          <w:sz w:val="24"/>
          <w:szCs w:val="24"/>
          <w:lang w:val="es-CR"/>
        </w:rPr>
        <w:t>económico</w:t>
      </w:r>
      <w:r>
        <w:rPr>
          <w:rFonts w:asciiTheme="minorHAnsi" w:hAnsiTheme="minorHAnsi" w:cstheme="minorHAnsi"/>
          <w:sz w:val="24"/>
          <w:szCs w:val="24"/>
          <w:lang w:val="es-CR"/>
        </w:rPr>
        <w:t xml:space="preserve"> a varias cuentas que se detallan en el siguiente resumen:</w:t>
      </w:r>
    </w:p>
    <w:p w14:paraId="4AA17B88" w14:textId="43F5959F" w:rsidR="00CF44DA" w:rsidRPr="00E935CF" w:rsidRDefault="00615B1B" w:rsidP="00E935CF">
      <w:pPr>
        <w:spacing w:line="240" w:lineRule="auto"/>
        <w:ind w:left="993"/>
        <w:rPr>
          <w:rFonts w:asciiTheme="minorHAnsi" w:hAnsiTheme="minorHAnsi" w:cstheme="minorHAnsi"/>
          <w:sz w:val="20"/>
          <w:szCs w:val="24"/>
          <w:lang w:val="es-CR"/>
        </w:rPr>
      </w:pPr>
      <w:r>
        <w:rPr>
          <w:rFonts w:asciiTheme="minorHAnsi" w:hAnsiTheme="minorHAnsi" w:cstheme="minorHAnsi"/>
          <w:sz w:val="20"/>
          <w:szCs w:val="24"/>
          <w:lang w:val="es-CR"/>
        </w:rPr>
        <w:t>Resumen por</w:t>
      </w:r>
      <w:r w:rsidR="00E935CF">
        <w:rPr>
          <w:rFonts w:asciiTheme="minorHAnsi" w:hAnsiTheme="minorHAnsi" w:cstheme="minorHAnsi"/>
          <w:sz w:val="20"/>
          <w:szCs w:val="24"/>
          <w:lang w:val="es-CR"/>
        </w:rPr>
        <w:t xml:space="preserve"> cuentas </w:t>
      </w:r>
      <w:r w:rsidR="00F46B28">
        <w:rPr>
          <w:rFonts w:asciiTheme="minorHAnsi" w:hAnsiTheme="minorHAnsi" w:cstheme="minorHAnsi"/>
          <w:sz w:val="20"/>
          <w:szCs w:val="24"/>
          <w:lang w:val="es-CR"/>
        </w:rPr>
        <w:t>de la modificación del tercer trimestre</w:t>
      </w:r>
    </w:p>
    <w:tbl>
      <w:tblPr>
        <w:tblW w:w="6378" w:type="dxa"/>
        <w:tblInd w:w="970" w:type="dxa"/>
        <w:tblCellMar>
          <w:left w:w="70" w:type="dxa"/>
          <w:right w:w="70" w:type="dxa"/>
        </w:tblCellMar>
        <w:tblLook w:val="04A0" w:firstRow="1" w:lastRow="0" w:firstColumn="1" w:lastColumn="0" w:noHBand="0" w:noVBand="1"/>
      </w:tblPr>
      <w:tblGrid>
        <w:gridCol w:w="1137"/>
        <w:gridCol w:w="3682"/>
        <w:gridCol w:w="1559"/>
      </w:tblGrid>
      <w:tr w:rsidR="00CF44DA" w:rsidRPr="00E935CF" w14:paraId="1D333A28" w14:textId="77777777" w:rsidTr="008933F7">
        <w:trPr>
          <w:trHeight w:val="360"/>
          <w:tblHeader/>
        </w:trPr>
        <w:tc>
          <w:tcPr>
            <w:tcW w:w="1137" w:type="dxa"/>
            <w:tcBorders>
              <w:top w:val="single" w:sz="4" w:space="0" w:color="auto"/>
              <w:left w:val="double" w:sz="6" w:space="0" w:color="auto"/>
              <w:bottom w:val="single" w:sz="4" w:space="0" w:color="auto"/>
              <w:right w:val="double" w:sz="6" w:space="0" w:color="auto"/>
            </w:tcBorders>
            <w:shd w:val="clear" w:color="000000" w:fill="F2F2F2"/>
            <w:noWrap/>
            <w:vAlign w:val="center"/>
          </w:tcPr>
          <w:p w14:paraId="14004BDA" w14:textId="4D656AFA" w:rsidR="00CF44DA" w:rsidRPr="00E935CF" w:rsidRDefault="00CF44DA" w:rsidP="00CF44DA">
            <w:pPr>
              <w:spacing w:line="240" w:lineRule="auto"/>
              <w:jc w:val="center"/>
              <w:rPr>
                <w:rFonts w:asciiTheme="minorHAnsi" w:hAnsiTheme="minorHAnsi" w:cstheme="minorHAnsi"/>
                <w:b/>
                <w:sz w:val="18"/>
                <w:lang w:val="es-CR" w:eastAsia="es-CR"/>
              </w:rPr>
            </w:pPr>
            <w:r w:rsidRPr="00E935CF">
              <w:rPr>
                <w:rFonts w:asciiTheme="minorHAnsi" w:hAnsiTheme="minorHAnsi" w:cstheme="minorHAnsi"/>
                <w:b/>
                <w:sz w:val="18"/>
                <w:lang w:val="es-CR" w:eastAsia="es-CR"/>
              </w:rPr>
              <w:t>Cuenta</w:t>
            </w:r>
          </w:p>
        </w:tc>
        <w:tc>
          <w:tcPr>
            <w:tcW w:w="3682" w:type="dxa"/>
            <w:tcBorders>
              <w:top w:val="single" w:sz="4" w:space="0" w:color="auto"/>
              <w:left w:val="nil"/>
              <w:bottom w:val="single" w:sz="4" w:space="0" w:color="auto"/>
              <w:right w:val="double" w:sz="6" w:space="0" w:color="auto"/>
            </w:tcBorders>
            <w:shd w:val="clear" w:color="000000" w:fill="F2F2F2"/>
            <w:vAlign w:val="center"/>
          </w:tcPr>
          <w:p w14:paraId="6A6A9E31" w14:textId="761CA18D" w:rsidR="00CF44DA" w:rsidRPr="00E935CF" w:rsidRDefault="00CF44DA" w:rsidP="00CF44DA">
            <w:pPr>
              <w:spacing w:line="240" w:lineRule="auto"/>
              <w:jc w:val="left"/>
              <w:rPr>
                <w:rFonts w:asciiTheme="minorHAnsi" w:hAnsiTheme="minorHAnsi" w:cstheme="minorHAnsi"/>
                <w:b/>
                <w:sz w:val="18"/>
                <w:lang w:val="es-CR" w:eastAsia="es-CR"/>
              </w:rPr>
            </w:pPr>
            <w:r w:rsidRPr="00E935CF">
              <w:rPr>
                <w:rFonts w:asciiTheme="minorHAnsi" w:hAnsiTheme="minorHAnsi" w:cstheme="minorHAnsi"/>
                <w:b/>
                <w:sz w:val="18"/>
                <w:lang w:val="es-CR" w:eastAsia="es-CR"/>
              </w:rPr>
              <w:t>Descripción</w:t>
            </w:r>
          </w:p>
        </w:tc>
        <w:tc>
          <w:tcPr>
            <w:tcW w:w="1559" w:type="dxa"/>
            <w:tcBorders>
              <w:top w:val="single" w:sz="4" w:space="0" w:color="auto"/>
              <w:left w:val="nil"/>
              <w:bottom w:val="single" w:sz="4" w:space="0" w:color="auto"/>
              <w:right w:val="single" w:sz="8" w:space="0" w:color="auto"/>
            </w:tcBorders>
            <w:shd w:val="clear" w:color="000000" w:fill="F2F2F2"/>
            <w:noWrap/>
            <w:vAlign w:val="center"/>
          </w:tcPr>
          <w:p w14:paraId="1743C041" w14:textId="7A136A17" w:rsidR="00CF44DA" w:rsidRPr="00E935CF" w:rsidRDefault="00CF44DA" w:rsidP="00CF44DA">
            <w:pPr>
              <w:spacing w:line="240" w:lineRule="auto"/>
              <w:jc w:val="center"/>
              <w:rPr>
                <w:rFonts w:asciiTheme="minorHAnsi" w:hAnsiTheme="minorHAnsi" w:cstheme="minorHAnsi"/>
                <w:b/>
                <w:color w:val="000000"/>
                <w:sz w:val="18"/>
                <w:lang w:val="es-CR" w:eastAsia="es-CR"/>
              </w:rPr>
            </w:pPr>
            <w:r w:rsidRPr="00E935CF">
              <w:rPr>
                <w:rFonts w:asciiTheme="minorHAnsi" w:hAnsiTheme="minorHAnsi" w:cstheme="minorHAnsi"/>
                <w:b/>
                <w:color w:val="000000"/>
                <w:sz w:val="18"/>
                <w:lang w:val="es-CR" w:eastAsia="es-CR"/>
              </w:rPr>
              <w:t>Monto</w:t>
            </w:r>
          </w:p>
        </w:tc>
      </w:tr>
      <w:tr w:rsidR="00CF44DA" w:rsidRPr="00CF44DA" w14:paraId="47BC33A3" w14:textId="77777777" w:rsidTr="008933F7">
        <w:trPr>
          <w:trHeight w:val="36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22F7E42A"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1.01.01</w:t>
            </w:r>
          </w:p>
        </w:tc>
        <w:tc>
          <w:tcPr>
            <w:tcW w:w="3682" w:type="dxa"/>
            <w:tcBorders>
              <w:top w:val="nil"/>
              <w:left w:val="nil"/>
              <w:bottom w:val="single" w:sz="4" w:space="0" w:color="auto"/>
              <w:right w:val="double" w:sz="6" w:space="0" w:color="auto"/>
            </w:tcBorders>
            <w:shd w:val="clear" w:color="auto" w:fill="auto"/>
            <w:vAlign w:val="center"/>
            <w:hideMark/>
          </w:tcPr>
          <w:p w14:paraId="1AF8EBFD"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Alquiler de edificio</w:t>
            </w:r>
          </w:p>
        </w:tc>
        <w:tc>
          <w:tcPr>
            <w:tcW w:w="1559" w:type="dxa"/>
            <w:tcBorders>
              <w:top w:val="nil"/>
              <w:left w:val="nil"/>
              <w:bottom w:val="single" w:sz="4" w:space="0" w:color="auto"/>
              <w:right w:val="single" w:sz="8" w:space="0" w:color="auto"/>
            </w:tcBorders>
            <w:shd w:val="clear" w:color="auto" w:fill="auto"/>
            <w:noWrap/>
            <w:vAlign w:val="center"/>
            <w:hideMark/>
          </w:tcPr>
          <w:p w14:paraId="5A81FC62"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4,000,000.00</w:t>
            </w:r>
          </w:p>
        </w:tc>
      </w:tr>
      <w:tr w:rsidR="00CF44DA" w:rsidRPr="00CF44DA" w14:paraId="4B5550A8" w14:textId="77777777" w:rsidTr="008933F7">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1A15CD9B"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1.08.08</w:t>
            </w:r>
          </w:p>
        </w:tc>
        <w:tc>
          <w:tcPr>
            <w:tcW w:w="3682" w:type="dxa"/>
            <w:tcBorders>
              <w:top w:val="nil"/>
              <w:left w:val="nil"/>
              <w:bottom w:val="single" w:sz="4" w:space="0" w:color="auto"/>
              <w:right w:val="double" w:sz="6" w:space="0" w:color="auto"/>
            </w:tcBorders>
            <w:shd w:val="clear" w:color="auto" w:fill="auto"/>
            <w:vAlign w:val="center"/>
            <w:hideMark/>
          </w:tcPr>
          <w:p w14:paraId="517D8188"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Mantenimiento y reparación de equipo de cómputo</w:t>
            </w:r>
          </w:p>
        </w:tc>
        <w:tc>
          <w:tcPr>
            <w:tcW w:w="1559" w:type="dxa"/>
            <w:tcBorders>
              <w:top w:val="nil"/>
              <w:left w:val="nil"/>
              <w:bottom w:val="single" w:sz="4" w:space="0" w:color="auto"/>
              <w:right w:val="single" w:sz="8" w:space="0" w:color="auto"/>
            </w:tcBorders>
            <w:shd w:val="clear" w:color="auto" w:fill="auto"/>
            <w:noWrap/>
            <w:vAlign w:val="center"/>
            <w:hideMark/>
          </w:tcPr>
          <w:p w14:paraId="56DF3085"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400,000.00</w:t>
            </w:r>
          </w:p>
        </w:tc>
      </w:tr>
      <w:tr w:rsidR="00CF44DA" w:rsidRPr="00CF44DA" w14:paraId="3AF25917" w14:textId="77777777" w:rsidTr="008933F7">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23041DEA"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2.99.07</w:t>
            </w:r>
          </w:p>
        </w:tc>
        <w:tc>
          <w:tcPr>
            <w:tcW w:w="3682" w:type="dxa"/>
            <w:tcBorders>
              <w:top w:val="nil"/>
              <w:left w:val="nil"/>
              <w:bottom w:val="single" w:sz="4" w:space="0" w:color="auto"/>
              <w:right w:val="double" w:sz="6" w:space="0" w:color="auto"/>
            </w:tcBorders>
            <w:shd w:val="clear" w:color="auto" w:fill="auto"/>
            <w:vAlign w:val="center"/>
            <w:hideMark/>
          </w:tcPr>
          <w:p w14:paraId="6FFC6E86"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Útiles y materiales de cocina y comedor</w:t>
            </w:r>
          </w:p>
        </w:tc>
        <w:tc>
          <w:tcPr>
            <w:tcW w:w="1559" w:type="dxa"/>
            <w:tcBorders>
              <w:top w:val="nil"/>
              <w:left w:val="nil"/>
              <w:bottom w:val="single" w:sz="4" w:space="0" w:color="auto"/>
              <w:right w:val="single" w:sz="8" w:space="0" w:color="auto"/>
            </w:tcBorders>
            <w:shd w:val="clear" w:color="auto" w:fill="auto"/>
            <w:noWrap/>
            <w:vAlign w:val="center"/>
            <w:hideMark/>
          </w:tcPr>
          <w:p w14:paraId="422906B0"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160,000.00</w:t>
            </w:r>
          </w:p>
        </w:tc>
      </w:tr>
      <w:tr w:rsidR="00CF44DA" w:rsidRPr="00CF44DA" w14:paraId="393A14C9" w14:textId="77777777" w:rsidTr="008933F7">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7E50A84F"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6.03.01</w:t>
            </w:r>
          </w:p>
        </w:tc>
        <w:tc>
          <w:tcPr>
            <w:tcW w:w="3682" w:type="dxa"/>
            <w:tcBorders>
              <w:top w:val="nil"/>
              <w:left w:val="nil"/>
              <w:bottom w:val="single" w:sz="4" w:space="0" w:color="auto"/>
              <w:right w:val="double" w:sz="6" w:space="0" w:color="auto"/>
            </w:tcBorders>
            <w:shd w:val="clear" w:color="auto" w:fill="auto"/>
            <w:vAlign w:val="center"/>
            <w:hideMark/>
          </w:tcPr>
          <w:p w14:paraId="7755E08C"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Prestaciones legales</w:t>
            </w:r>
          </w:p>
        </w:tc>
        <w:tc>
          <w:tcPr>
            <w:tcW w:w="1559" w:type="dxa"/>
            <w:tcBorders>
              <w:top w:val="nil"/>
              <w:left w:val="nil"/>
              <w:bottom w:val="single" w:sz="4" w:space="0" w:color="auto"/>
              <w:right w:val="single" w:sz="8" w:space="0" w:color="auto"/>
            </w:tcBorders>
            <w:shd w:val="clear" w:color="auto" w:fill="auto"/>
            <w:noWrap/>
            <w:vAlign w:val="center"/>
            <w:hideMark/>
          </w:tcPr>
          <w:p w14:paraId="349452D2"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10,000,000.00</w:t>
            </w:r>
          </w:p>
        </w:tc>
      </w:tr>
    </w:tbl>
    <w:p w14:paraId="2AC5C8AB" w14:textId="77777777" w:rsidR="00CF44DA" w:rsidRDefault="00CF44DA" w:rsidP="00677436">
      <w:pPr>
        <w:spacing w:line="360" w:lineRule="auto"/>
        <w:rPr>
          <w:rFonts w:asciiTheme="minorHAnsi" w:hAnsiTheme="minorHAnsi" w:cstheme="minorHAnsi"/>
          <w:sz w:val="24"/>
          <w:szCs w:val="24"/>
          <w:lang w:val="es-CR"/>
        </w:rPr>
      </w:pPr>
    </w:p>
    <w:p w14:paraId="694F55D9" w14:textId="46D77822" w:rsidR="00AB2877" w:rsidRDefault="00CF44DA" w:rsidP="00677436">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En el cuarto trimestre no se presentaron modificaciones a nivel presupuestario.</w:t>
      </w:r>
    </w:p>
    <w:p w14:paraId="29AB62AE" w14:textId="77777777" w:rsidR="00CF44DA" w:rsidRPr="00787962" w:rsidRDefault="00CF44DA" w:rsidP="00677436">
      <w:pPr>
        <w:spacing w:line="360" w:lineRule="auto"/>
        <w:rPr>
          <w:rFonts w:asciiTheme="minorHAnsi" w:hAnsiTheme="minorHAnsi" w:cstheme="minorHAnsi"/>
          <w:sz w:val="24"/>
          <w:szCs w:val="24"/>
          <w:lang w:val="es-CR"/>
        </w:rPr>
      </w:pPr>
    </w:p>
    <w:p w14:paraId="44AF053B" w14:textId="77777777" w:rsidR="00AB2877" w:rsidRPr="00787962" w:rsidRDefault="00AB2877" w:rsidP="00AD6B46">
      <w:pPr>
        <w:pStyle w:val="Ttulo3"/>
        <w:rPr>
          <w:lang w:val="es-CR"/>
        </w:rPr>
      </w:pPr>
      <w:bookmarkStart w:id="52" w:name="_Toc504486226"/>
      <w:r w:rsidRPr="00787962">
        <w:rPr>
          <w:lang w:val="es-CR"/>
        </w:rPr>
        <w:t>Inversión Pública</w:t>
      </w:r>
      <w:bookmarkEnd w:id="52"/>
    </w:p>
    <w:p w14:paraId="09688DBE" w14:textId="77777777" w:rsidR="00AB2877" w:rsidRPr="00787962" w:rsidRDefault="00AB2877" w:rsidP="00AB2877">
      <w:pPr>
        <w:spacing w:line="240" w:lineRule="auto"/>
        <w:rPr>
          <w:rFonts w:asciiTheme="minorHAnsi" w:hAnsiTheme="minorHAnsi" w:cstheme="minorHAnsi"/>
          <w:sz w:val="24"/>
          <w:szCs w:val="24"/>
          <w:lang w:val="es-CR"/>
        </w:rPr>
      </w:pPr>
    </w:p>
    <w:p w14:paraId="0B125551" w14:textId="0105D1A2" w:rsidR="00AB2877" w:rsidRPr="00787962" w:rsidRDefault="00AB2877" w:rsidP="00AB2877">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reportó en el presupuesto proyectos de inversión pública, por lo tanto, no se adjunta el detalle correspondiente al avance de logros.</w:t>
      </w:r>
    </w:p>
    <w:p w14:paraId="595FCD1B" w14:textId="77777777" w:rsidR="00AB2877" w:rsidRPr="00787962" w:rsidRDefault="00AB2877" w:rsidP="00AB2877">
      <w:pPr>
        <w:spacing w:line="360" w:lineRule="auto"/>
        <w:rPr>
          <w:rFonts w:asciiTheme="minorHAnsi" w:hAnsiTheme="minorHAnsi" w:cstheme="minorHAnsi"/>
          <w:sz w:val="24"/>
          <w:szCs w:val="24"/>
          <w:lang w:val="es-CR"/>
        </w:rPr>
      </w:pPr>
    </w:p>
    <w:p w14:paraId="64DC75EF" w14:textId="6FF79E21" w:rsidR="00225437" w:rsidRPr="00473EFF" w:rsidRDefault="002B2D01" w:rsidP="00AD6B46">
      <w:pPr>
        <w:pStyle w:val="Ttulo3"/>
        <w:rPr>
          <w:lang w:val="es-CR"/>
        </w:rPr>
      </w:pPr>
      <w:bookmarkStart w:id="53" w:name="_Toc504486227"/>
      <w:r>
        <w:rPr>
          <w:lang w:val="es-CR"/>
        </w:rPr>
        <w:t>2</w:t>
      </w:r>
      <w:r w:rsidR="00473EFF">
        <w:rPr>
          <w:lang w:val="es-CR"/>
        </w:rPr>
        <w:t>.</w:t>
      </w:r>
      <w:r w:rsidR="005D020A">
        <w:rPr>
          <w:lang w:val="es-CR"/>
        </w:rPr>
        <w:t>2</w:t>
      </w:r>
      <w:r w:rsidR="00473EFF">
        <w:rPr>
          <w:lang w:val="es-CR"/>
        </w:rPr>
        <w:t>.2</w:t>
      </w:r>
      <w:r w:rsidR="00473EFF">
        <w:rPr>
          <w:lang w:val="es-CR"/>
        </w:rPr>
        <w:tab/>
      </w:r>
      <w:r w:rsidR="00225437" w:rsidRPr="00473EFF">
        <w:rPr>
          <w:lang w:val="es-CR"/>
        </w:rPr>
        <w:t>Cuenta 1 “SERVICIOS”</w:t>
      </w:r>
      <w:bookmarkEnd w:id="40"/>
      <w:bookmarkEnd w:id="41"/>
      <w:bookmarkEnd w:id="42"/>
      <w:bookmarkEnd w:id="43"/>
      <w:bookmarkEnd w:id="44"/>
      <w:bookmarkEnd w:id="45"/>
      <w:bookmarkEnd w:id="53"/>
    </w:p>
    <w:p w14:paraId="64DC75F0" w14:textId="77777777" w:rsidR="00225437" w:rsidRPr="00787962" w:rsidRDefault="00225437" w:rsidP="00225437">
      <w:pPr>
        <w:rPr>
          <w:rFonts w:asciiTheme="minorHAnsi" w:hAnsiTheme="minorHAnsi" w:cstheme="minorHAnsi"/>
          <w:lang w:val="es-CR"/>
        </w:rPr>
      </w:pPr>
    </w:p>
    <w:p w14:paraId="64DC75F1" w14:textId="2123A982"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Esta partida presupuestaria i</w:t>
      </w:r>
      <w:r w:rsidR="00070903" w:rsidRPr="00787962">
        <w:rPr>
          <w:rFonts w:asciiTheme="minorHAnsi" w:hAnsiTheme="minorHAnsi" w:cstheme="minorHAnsi"/>
          <w:szCs w:val="24"/>
          <w:lang w:val="es-CR"/>
        </w:rPr>
        <w:t>ncluye las obligaciones que la I</w:t>
      </w:r>
      <w:r w:rsidRPr="00787962">
        <w:rPr>
          <w:rFonts w:asciiTheme="minorHAnsi" w:hAnsiTheme="minorHAnsi" w:cstheme="minorHAnsi"/>
          <w:szCs w:val="24"/>
          <w:lang w:val="es-CR"/>
        </w:rPr>
        <w:t>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4DC75F2"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3" w14:textId="5F07C4EF" w:rsidR="00225437" w:rsidRPr="00787962" w:rsidRDefault="00746AE5"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De igual </w:t>
      </w:r>
      <w:r w:rsidR="0025051A" w:rsidRPr="00787962">
        <w:rPr>
          <w:rFonts w:asciiTheme="minorHAnsi" w:hAnsiTheme="minorHAnsi" w:cstheme="minorHAnsi"/>
          <w:szCs w:val="24"/>
          <w:lang w:val="es-CR"/>
        </w:rPr>
        <w:t>forma</w:t>
      </w:r>
      <w:r w:rsidR="00225437" w:rsidRPr="00787962">
        <w:rPr>
          <w:rFonts w:asciiTheme="minorHAnsi" w:hAnsiTheme="minorHAnsi" w:cstheme="minorHAnsi"/>
          <w:szCs w:val="24"/>
          <w:lang w:val="es-CR"/>
        </w:rPr>
        <w:t xml:space="preserve"> </w:t>
      </w:r>
      <w:r w:rsidRPr="00787962">
        <w:rPr>
          <w:rFonts w:asciiTheme="minorHAnsi" w:hAnsiTheme="minorHAnsi" w:cstheme="minorHAnsi"/>
          <w:szCs w:val="24"/>
          <w:lang w:val="es-CR"/>
        </w:rPr>
        <w:t>incluye</w:t>
      </w:r>
      <w:r w:rsidR="00225437" w:rsidRPr="00787962">
        <w:rPr>
          <w:rFonts w:asciiTheme="minorHAnsi" w:hAnsiTheme="minorHAnsi" w:cstheme="minorHAnsi"/>
          <w:szCs w:val="24"/>
          <w:lang w:val="es-CR"/>
        </w:rPr>
        <w:t xml:space="preserve"> entre otros, los pagos por el arrendamiento de edificio y equipo, servicios públicos, servicios de mantenimiento y reparación, así como la contratación de diversos servicios de carácter profesional y técnico incluyendo los servicios administrativos que brind</w:t>
      </w:r>
      <w:r w:rsidR="002D3A55" w:rsidRPr="00787962">
        <w:rPr>
          <w:rFonts w:asciiTheme="minorHAnsi" w:hAnsiTheme="minorHAnsi" w:cstheme="minorHAnsi"/>
          <w:szCs w:val="24"/>
          <w:lang w:val="es-CR"/>
        </w:rPr>
        <w:t>a el BCCR</w:t>
      </w:r>
      <w:r w:rsidR="00C640BE" w:rsidRPr="00787962">
        <w:rPr>
          <w:rFonts w:asciiTheme="minorHAnsi" w:hAnsiTheme="minorHAnsi" w:cstheme="minorHAnsi"/>
          <w:szCs w:val="24"/>
          <w:lang w:val="es-CR"/>
        </w:rPr>
        <w:t xml:space="preserve"> a la </w:t>
      </w:r>
      <w:r w:rsidR="000D22E0">
        <w:rPr>
          <w:rFonts w:asciiTheme="minorHAnsi" w:hAnsiTheme="minorHAnsi" w:cstheme="minorHAnsi"/>
          <w:szCs w:val="24"/>
          <w:lang w:val="es-CR"/>
        </w:rPr>
        <w:t>SUPEN</w:t>
      </w:r>
      <w:r w:rsidR="00225437" w:rsidRPr="00787962">
        <w:rPr>
          <w:rFonts w:asciiTheme="minorHAnsi" w:hAnsiTheme="minorHAnsi" w:cstheme="minorHAnsi"/>
          <w:szCs w:val="24"/>
          <w:lang w:val="es-CR"/>
        </w:rPr>
        <w:t>.</w:t>
      </w:r>
      <w:r w:rsidR="00054F67" w:rsidRPr="00787962">
        <w:rPr>
          <w:rFonts w:asciiTheme="minorHAnsi" w:hAnsiTheme="minorHAnsi" w:cstheme="minorHAnsi"/>
          <w:szCs w:val="24"/>
          <w:lang w:val="es-CR"/>
        </w:rPr>
        <w:t xml:space="preserve"> </w:t>
      </w:r>
    </w:p>
    <w:p w14:paraId="64DC75F4"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00E2CA39" w14:textId="3DA882B2" w:rsidR="00B36EE4" w:rsidRPr="00787962" w:rsidRDefault="00423B31" w:rsidP="00B36EE4">
      <w:pPr>
        <w:pStyle w:val="Textoindependiente"/>
        <w:numPr>
          <w:ilvl w:val="0"/>
          <w:numId w:val="0"/>
        </w:numPr>
        <w:rPr>
          <w:rFonts w:asciiTheme="minorHAnsi" w:hAnsiTheme="minorHAnsi" w:cstheme="minorHAnsi"/>
          <w:szCs w:val="24"/>
          <w:lang w:val="es-CR"/>
        </w:rPr>
      </w:pPr>
      <w:r w:rsidRPr="00EE3816">
        <w:rPr>
          <w:rFonts w:asciiTheme="minorHAnsi" w:hAnsiTheme="minorHAnsi" w:cstheme="minorHAnsi"/>
          <w:szCs w:val="24"/>
          <w:lang w:val="es-CR"/>
        </w:rPr>
        <w:t>A la fecha de corte de este informe</w:t>
      </w:r>
      <w:r w:rsidR="00B36EE4" w:rsidRPr="00EE3816">
        <w:rPr>
          <w:rFonts w:asciiTheme="minorHAnsi" w:hAnsiTheme="minorHAnsi" w:cstheme="minorHAnsi"/>
          <w:szCs w:val="24"/>
          <w:lang w:val="es-CR"/>
        </w:rPr>
        <w:t xml:space="preserve">, </w:t>
      </w:r>
      <w:r w:rsidR="00AB2877" w:rsidRPr="00EE3816">
        <w:rPr>
          <w:rFonts w:asciiTheme="minorHAnsi" w:hAnsiTheme="minorHAnsi" w:cstheme="minorHAnsi"/>
          <w:szCs w:val="24"/>
          <w:lang w:val="es-CR"/>
        </w:rPr>
        <w:t xml:space="preserve">la cuenta </w:t>
      </w:r>
      <w:r w:rsidR="00B36EE4" w:rsidRPr="00EE3816">
        <w:rPr>
          <w:rFonts w:asciiTheme="minorHAnsi" w:hAnsiTheme="minorHAnsi" w:cstheme="minorHAnsi"/>
          <w:szCs w:val="24"/>
          <w:lang w:val="es-CR"/>
        </w:rPr>
        <w:t>cerró con una ejecución de ¢</w:t>
      </w:r>
      <w:r w:rsidR="003A42DE" w:rsidRPr="00EE3816">
        <w:rPr>
          <w:rFonts w:asciiTheme="minorHAnsi" w:hAnsiTheme="minorHAnsi" w:cstheme="minorHAnsi"/>
          <w:szCs w:val="24"/>
          <w:lang w:val="es-CR"/>
        </w:rPr>
        <w:t>1.718,3</w:t>
      </w:r>
      <w:r w:rsidR="0044707F" w:rsidRPr="00EE3816">
        <w:rPr>
          <w:rFonts w:asciiTheme="minorHAnsi" w:hAnsiTheme="minorHAnsi" w:cstheme="minorHAnsi"/>
          <w:szCs w:val="24"/>
          <w:lang w:val="es-CR"/>
        </w:rPr>
        <w:t xml:space="preserve"> millones</w:t>
      </w:r>
      <w:r w:rsidR="00B36EE4" w:rsidRPr="00EE3816">
        <w:rPr>
          <w:rFonts w:asciiTheme="minorHAnsi" w:hAnsiTheme="minorHAnsi" w:cstheme="minorHAnsi"/>
          <w:szCs w:val="24"/>
          <w:lang w:val="es-CR"/>
        </w:rPr>
        <w:t xml:space="preserve">, cifra que equivale a un </w:t>
      </w:r>
      <w:r w:rsidR="003A42DE" w:rsidRPr="00EE3816">
        <w:rPr>
          <w:rFonts w:asciiTheme="minorHAnsi" w:hAnsiTheme="minorHAnsi" w:cstheme="minorHAnsi"/>
          <w:szCs w:val="24"/>
          <w:lang w:val="es-CR"/>
        </w:rPr>
        <w:t>89,5</w:t>
      </w:r>
      <w:r w:rsidR="00B36EE4" w:rsidRPr="00EE3816">
        <w:rPr>
          <w:rFonts w:asciiTheme="minorHAnsi" w:hAnsiTheme="minorHAnsi" w:cstheme="minorHAnsi"/>
          <w:szCs w:val="24"/>
          <w:lang w:val="es-CR"/>
        </w:rPr>
        <w:t>% del total de recursos presupuestados en esta partida.</w:t>
      </w:r>
    </w:p>
    <w:p w14:paraId="64DC75F6"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7" w14:textId="42C72B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A" w14:textId="2D8FAAA3" w:rsidR="00225437" w:rsidRPr="00787962" w:rsidRDefault="00225437" w:rsidP="00AD6B46">
      <w:pPr>
        <w:pStyle w:val="Ttulo3"/>
        <w:rPr>
          <w:lang w:val="es-CR"/>
        </w:rPr>
      </w:pPr>
      <w:bookmarkStart w:id="54" w:name="_Toc504486228"/>
      <w:r w:rsidRPr="00787962">
        <w:rPr>
          <w:lang w:val="es-CR"/>
        </w:rPr>
        <w:t xml:space="preserve">Detalle de la cuenta </w:t>
      </w:r>
      <w:r w:rsidR="00812DB2" w:rsidRPr="00787962">
        <w:rPr>
          <w:lang w:val="es-CR"/>
        </w:rPr>
        <w:t xml:space="preserve">correspondiente a </w:t>
      </w:r>
      <w:r w:rsidR="00D71BFB">
        <w:rPr>
          <w:lang w:val="es-CR"/>
        </w:rPr>
        <w:t>s</w:t>
      </w:r>
      <w:r w:rsidRPr="00787962">
        <w:rPr>
          <w:lang w:val="es-CR"/>
        </w:rPr>
        <w:t>ervicios</w:t>
      </w:r>
      <w:bookmarkEnd w:id="54"/>
    </w:p>
    <w:p w14:paraId="448B5B72" w14:textId="77777777" w:rsidR="00D46EAD" w:rsidRPr="00787962" w:rsidRDefault="00D46EAD" w:rsidP="002F706D">
      <w:pPr>
        <w:pStyle w:val="Textoindependiente"/>
        <w:numPr>
          <w:ilvl w:val="0"/>
          <w:numId w:val="0"/>
        </w:numPr>
        <w:spacing w:line="240" w:lineRule="auto"/>
        <w:jc w:val="center"/>
        <w:rPr>
          <w:rFonts w:asciiTheme="minorHAnsi" w:hAnsiTheme="minorHAnsi" w:cstheme="minorHAnsi"/>
          <w:lang w:val="es-CR"/>
        </w:rPr>
      </w:pPr>
    </w:p>
    <w:p w14:paraId="63C45736" w14:textId="6F8C8FE4" w:rsidR="00235FFA" w:rsidRPr="008D43B9" w:rsidRDefault="00582911" w:rsidP="00BD4C14">
      <w:pPr>
        <w:pStyle w:val="Textoindependiente"/>
        <w:numPr>
          <w:ilvl w:val="0"/>
          <w:numId w:val="0"/>
        </w:numPr>
        <w:spacing w:line="240" w:lineRule="auto"/>
        <w:jc w:val="left"/>
        <w:rPr>
          <w:rFonts w:asciiTheme="minorHAnsi" w:hAnsiTheme="minorHAnsi" w:cstheme="minorHAnsi"/>
          <w:sz w:val="22"/>
          <w:szCs w:val="22"/>
          <w:lang w:val="es-CR"/>
        </w:rPr>
      </w:pPr>
      <w:r w:rsidRPr="008D43B9">
        <w:rPr>
          <w:rFonts w:asciiTheme="minorHAnsi" w:hAnsiTheme="minorHAnsi" w:cstheme="minorHAnsi"/>
          <w:sz w:val="22"/>
          <w:szCs w:val="22"/>
          <w:lang w:val="es-CR"/>
        </w:rPr>
        <w:t xml:space="preserve">Cuadro </w:t>
      </w:r>
      <w:r w:rsidR="005D020A">
        <w:rPr>
          <w:rFonts w:asciiTheme="minorHAnsi" w:hAnsiTheme="minorHAnsi" w:cstheme="minorHAnsi"/>
          <w:sz w:val="22"/>
          <w:szCs w:val="22"/>
          <w:lang w:val="es-CR"/>
        </w:rPr>
        <w:t>8</w:t>
      </w:r>
      <w:r w:rsidRPr="008D43B9">
        <w:rPr>
          <w:rFonts w:asciiTheme="minorHAnsi" w:hAnsiTheme="minorHAnsi" w:cstheme="minorHAnsi"/>
          <w:sz w:val="22"/>
          <w:szCs w:val="22"/>
          <w:lang w:val="es-CR"/>
        </w:rPr>
        <w:t xml:space="preserve">: </w:t>
      </w:r>
      <w:r w:rsidR="00235FFA" w:rsidRPr="008D43B9">
        <w:rPr>
          <w:rFonts w:asciiTheme="minorHAnsi" w:hAnsiTheme="minorHAnsi" w:cstheme="minorHAnsi"/>
          <w:b/>
          <w:sz w:val="22"/>
          <w:szCs w:val="22"/>
          <w:lang w:val="es-CR"/>
        </w:rPr>
        <w:t>Detalle de ejecución por cuenta</w:t>
      </w:r>
    </w:p>
    <w:p w14:paraId="64DC75FB" w14:textId="7E52B178" w:rsidR="00225437" w:rsidRPr="00B45046" w:rsidRDefault="000F538F" w:rsidP="00BD4C14">
      <w:pPr>
        <w:jc w:val="left"/>
        <w:rPr>
          <w:rFonts w:asciiTheme="minorHAnsi" w:hAnsiTheme="minorHAnsi" w:cstheme="minorHAnsi"/>
          <w:sz w:val="14"/>
          <w:szCs w:val="16"/>
          <w:lang w:val="es-CR"/>
        </w:rPr>
      </w:pPr>
      <w:r w:rsidRPr="00B45046">
        <w:rPr>
          <w:rFonts w:asciiTheme="minorHAnsi" w:hAnsiTheme="minorHAnsi" w:cstheme="minorHAnsi"/>
          <w:sz w:val="20"/>
          <w:szCs w:val="22"/>
          <w:lang w:val="es-CR"/>
        </w:rPr>
        <w:t>Montos en colones</w:t>
      </w:r>
    </w:p>
    <w:tbl>
      <w:tblPr>
        <w:tblW w:w="89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388"/>
        <w:gridCol w:w="1275"/>
        <w:gridCol w:w="1253"/>
        <w:gridCol w:w="1089"/>
        <w:gridCol w:w="1202"/>
        <w:gridCol w:w="957"/>
      </w:tblGrid>
      <w:tr w:rsidR="0046011A" w:rsidRPr="00EE3816" w14:paraId="64DC7603" w14:textId="77777777" w:rsidTr="00534505">
        <w:trPr>
          <w:trHeight w:val="405"/>
          <w:tblHeader/>
        </w:trPr>
        <w:tc>
          <w:tcPr>
            <w:tcW w:w="808" w:type="dxa"/>
            <w:vMerge w:val="restart"/>
            <w:shd w:val="clear" w:color="auto" w:fill="8DB3E2" w:themeFill="text2" w:themeFillTint="66"/>
            <w:vAlign w:val="center"/>
          </w:tcPr>
          <w:p w14:paraId="64DC75FC" w14:textId="324A3FA1" w:rsidR="0046011A" w:rsidRPr="00534505" w:rsidRDefault="0046011A" w:rsidP="0046011A">
            <w:pPr>
              <w:spacing w:line="240" w:lineRule="auto"/>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CÓDIGO</w:t>
            </w:r>
          </w:p>
        </w:tc>
        <w:tc>
          <w:tcPr>
            <w:tcW w:w="2388" w:type="dxa"/>
            <w:vMerge w:val="restart"/>
            <w:shd w:val="clear" w:color="auto" w:fill="8DB3E2" w:themeFill="text2" w:themeFillTint="66"/>
            <w:vAlign w:val="center"/>
          </w:tcPr>
          <w:p w14:paraId="64DC75FD" w14:textId="3EEEF9AB"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DESCRIPCIÓN</w:t>
            </w:r>
          </w:p>
        </w:tc>
        <w:tc>
          <w:tcPr>
            <w:tcW w:w="1275" w:type="dxa"/>
            <w:vMerge w:val="restart"/>
            <w:shd w:val="clear" w:color="auto" w:fill="8DB3E2" w:themeFill="text2" w:themeFillTint="66"/>
            <w:vAlign w:val="center"/>
          </w:tcPr>
          <w:p w14:paraId="64DC75FE" w14:textId="4A5C1EC6"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PRESUPUESTO</w:t>
            </w:r>
          </w:p>
        </w:tc>
        <w:tc>
          <w:tcPr>
            <w:tcW w:w="1253" w:type="dxa"/>
            <w:vMerge w:val="restart"/>
            <w:shd w:val="clear" w:color="auto" w:fill="8DB3E2" w:themeFill="text2" w:themeFillTint="66"/>
            <w:vAlign w:val="center"/>
          </w:tcPr>
          <w:p w14:paraId="64DC75FF" w14:textId="11F09DEE"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GASTO REAL</w:t>
            </w:r>
          </w:p>
        </w:tc>
        <w:tc>
          <w:tcPr>
            <w:tcW w:w="1089" w:type="dxa"/>
            <w:vMerge w:val="restart"/>
            <w:shd w:val="clear" w:color="auto" w:fill="8DB3E2" w:themeFill="text2" w:themeFillTint="66"/>
            <w:vAlign w:val="center"/>
          </w:tcPr>
          <w:p w14:paraId="64DC7600" w14:textId="05342492"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COMPROMISO</w:t>
            </w:r>
          </w:p>
        </w:tc>
        <w:tc>
          <w:tcPr>
            <w:tcW w:w="1202" w:type="dxa"/>
            <w:vMerge w:val="restart"/>
            <w:shd w:val="clear" w:color="auto" w:fill="8DB3E2" w:themeFill="text2" w:themeFillTint="66"/>
            <w:vAlign w:val="center"/>
          </w:tcPr>
          <w:p w14:paraId="64DC7601" w14:textId="553089DC" w:rsidR="0046011A" w:rsidRPr="00534505" w:rsidRDefault="00394A6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 xml:space="preserve">GASTO </w:t>
            </w:r>
            <w:r w:rsidRPr="00534505">
              <w:rPr>
                <w:rFonts w:ascii="Calibri Light" w:hAnsi="Calibri Light" w:cs="Calibri Light"/>
                <w:b/>
                <w:color w:val="000000"/>
                <w:sz w:val="16"/>
                <w:szCs w:val="16"/>
                <w:lang w:val="es-CR"/>
              </w:rPr>
              <w:br/>
            </w:r>
            <w:r w:rsidR="005C7423" w:rsidRPr="00534505">
              <w:rPr>
                <w:rFonts w:ascii="Calibri Light" w:hAnsi="Calibri Light" w:cs="Calibri Light"/>
                <w:b/>
                <w:color w:val="000000"/>
                <w:sz w:val="16"/>
                <w:szCs w:val="16"/>
                <w:lang w:val="es-CR"/>
              </w:rPr>
              <w:t>I</w:t>
            </w:r>
            <w:r w:rsidR="00EE3816" w:rsidRPr="00534505">
              <w:rPr>
                <w:rFonts w:ascii="Calibri Light" w:hAnsi="Calibri Light" w:cs="Calibri Light"/>
                <w:b/>
                <w:color w:val="000000"/>
                <w:sz w:val="16"/>
                <w:szCs w:val="16"/>
                <w:lang w:val="es-CR"/>
              </w:rPr>
              <w:t>V</w:t>
            </w:r>
            <w:r w:rsidR="0046011A" w:rsidRPr="00534505">
              <w:rPr>
                <w:rFonts w:ascii="Calibri Light" w:hAnsi="Calibri Light" w:cs="Calibri Light"/>
                <w:b/>
                <w:color w:val="000000"/>
                <w:sz w:val="16"/>
                <w:szCs w:val="16"/>
                <w:lang w:val="es-CR"/>
              </w:rPr>
              <w:t xml:space="preserve"> TRIMESTRE</w:t>
            </w:r>
          </w:p>
        </w:tc>
        <w:tc>
          <w:tcPr>
            <w:tcW w:w="957" w:type="dxa"/>
            <w:vMerge w:val="restart"/>
            <w:shd w:val="clear" w:color="auto" w:fill="8DB3E2" w:themeFill="text2" w:themeFillTint="66"/>
            <w:vAlign w:val="center"/>
          </w:tcPr>
          <w:p w14:paraId="64DC7602" w14:textId="6DF0AB15" w:rsidR="0046011A" w:rsidRPr="00534505" w:rsidRDefault="0046011A" w:rsidP="00186F96">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 xml:space="preserve">% DE EJECUCIÓN </w:t>
            </w:r>
          </w:p>
        </w:tc>
      </w:tr>
      <w:tr w:rsidR="0046011A" w:rsidRPr="00EE3816" w14:paraId="64DC760B" w14:textId="77777777" w:rsidTr="00534505">
        <w:trPr>
          <w:trHeight w:val="220"/>
          <w:tblHeader/>
        </w:trPr>
        <w:tc>
          <w:tcPr>
            <w:tcW w:w="808" w:type="dxa"/>
            <w:vMerge/>
            <w:shd w:val="clear" w:color="auto" w:fill="8DB3E2" w:themeFill="text2" w:themeFillTint="66"/>
            <w:vAlign w:val="center"/>
          </w:tcPr>
          <w:p w14:paraId="64DC7604"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2388" w:type="dxa"/>
            <w:vMerge/>
            <w:shd w:val="clear" w:color="auto" w:fill="8DB3E2" w:themeFill="text2" w:themeFillTint="66"/>
            <w:vAlign w:val="center"/>
          </w:tcPr>
          <w:p w14:paraId="64DC7605"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75" w:type="dxa"/>
            <w:vMerge/>
            <w:shd w:val="clear" w:color="auto" w:fill="8DB3E2" w:themeFill="text2" w:themeFillTint="66"/>
            <w:vAlign w:val="center"/>
          </w:tcPr>
          <w:p w14:paraId="64DC7606"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53" w:type="dxa"/>
            <w:vMerge/>
            <w:shd w:val="clear" w:color="auto" w:fill="8DB3E2" w:themeFill="text2" w:themeFillTint="66"/>
            <w:vAlign w:val="center"/>
          </w:tcPr>
          <w:p w14:paraId="64DC7607"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089" w:type="dxa"/>
            <w:vMerge/>
            <w:shd w:val="clear" w:color="auto" w:fill="8DB3E2" w:themeFill="text2" w:themeFillTint="66"/>
            <w:vAlign w:val="center"/>
          </w:tcPr>
          <w:p w14:paraId="64DC7608"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02" w:type="dxa"/>
            <w:vMerge/>
            <w:shd w:val="clear" w:color="auto" w:fill="8DB3E2" w:themeFill="text2" w:themeFillTint="66"/>
            <w:vAlign w:val="center"/>
          </w:tcPr>
          <w:p w14:paraId="64DC7609"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957" w:type="dxa"/>
            <w:vMerge/>
            <w:shd w:val="clear" w:color="auto" w:fill="8DB3E2" w:themeFill="text2" w:themeFillTint="66"/>
            <w:vAlign w:val="center"/>
          </w:tcPr>
          <w:p w14:paraId="64DC760A" w14:textId="77777777" w:rsidR="0046011A" w:rsidRPr="00534505" w:rsidRDefault="0046011A" w:rsidP="0046011A">
            <w:pPr>
              <w:spacing w:line="240" w:lineRule="auto"/>
              <w:jc w:val="left"/>
              <w:rPr>
                <w:rFonts w:ascii="Calibri Light" w:hAnsi="Calibri Light" w:cs="Calibri Light"/>
                <w:sz w:val="16"/>
                <w:szCs w:val="16"/>
                <w:lang w:val="es-CR"/>
              </w:rPr>
            </w:pPr>
          </w:p>
        </w:tc>
      </w:tr>
      <w:tr w:rsidR="00EE3816" w:rsidRPr="00787962" w14:paraId="64DC7613" w14:textId="77777777" w:rsidTr="00534505">
        <w:trPr>
          <w:trHeight w:val="290"/>
        </w:trPr>
        <w:tc>
          <w:tcPr>
            <w:tcW w:w="808" w:type="dxa"/>
            <w:shd w:val="clear" w:color="auto" w:fill="FFFFFF" w:themeFill="background1"/>
            <w:noWrap/>
            <w:vAlign w:val="center"/>
          </w:tcPr>
          <w:p w14:paraId="64DC760C" w14:textId="71760889" w:rsidR="00EE3816" w:rsidRPr="00534505" w:rsidRDefault="00EE3816" w:rsidP="00EE3816">
            <w:pPr>
              <w:rPr>
                <w:rFonts w:ascii="Calibri Light" w:hAnsi="Calibri Light" w:cs="Calibri Light"/>
                <w:b/>
                <w:bCs/>
                <w:iCs/>
                <w:color w:val="000000"/>
                <w:sz w:val="16"/>
                <w:szCs w:val="16"/>
                <w:lang w:val="es-CR"/>
              </w:rPr>
            </w:pPr>
            <w:r w:rsidRPr="00534505">
              <w:rPr>
                <w:rFonts w:ascii="Calibri Light" w:hAnsi="Calibri Light" w:cs="Calibri Light"/>
                <w:sz w:val="16"/>
                <w:szCs w:val="16"/>
              </w:rPr>
              <w:t>1.01.01</w:t>
            </w:r>
          </w:p>
        </w:tc>
        <w:tc>
          <w:tcPr>
            <w:tcW w:w="2388" w:type="dxa"/>
            <w:shd w:val="clear" w:color="auto" w:fill="FFFFFF" w:themeFill="background1"/>
            <w:noWrap/>
            <w:vAlign w:val="center"/>
          </w:tcPr>
          <w:p w14:paraId="64DC760D" w14:textId="1D97A7E7" w:rsidR="00EE3816" w:rsidRPr="00534505" w:rsidRDefault="00EE3816" w:rsidP="00EE3816">
            <w:pPr>
              <w:rPr>
                <w:rFonts w:ascii="Calibri Light" w:hAnsi="Calibri Light" w:cs="Calibri Light"/>
                <w:b/>
                <w:bCs/>
                <w:iCs/>
                <w:color w:val="000000"/>
                <w:sz w:val="16"/>
                <w:szCs w:val="16"/>
                <w:lang w:val="es-CR"/>
              </w:rPr>
            </w:pPr>
            <w:r w:rsidRPr="00534505">
              <w:rPr>
                <w:rFonts w:ascii="Calibri Light" w:hAnsi="Calibri Light" w:cs="Calibri Light"/>
                <w:sz w:val="16"/>
                <w:szCs w:val="16"/>
              </w:rPr>
              <w:t>Alquiler de edificios</w:t>
            </w:r>
          </w:p>
        </w:tc>
        <w:tc>
          <w:tcPr>
            <w:tcW w:w="1275" w:type="dxa"/>
            <w:shd w:val="clear" w:color="auto" w:fill="FFFFFF" w:themeFill="background1"/>
            <w:noWrap/>
            <w:vAlign w:val="center"/>
          </w:tcPr>
          <w:p w14:paraId="64DC760E" w14:textId="4E4A8DDE"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166,439,377</w:t>
            </w:r>
          </w:p>
        </w:tc>
        <w:tc>
          <w:tcPr>
            <w:tcW w:w="1253" w:type="dxa"/>
            <w:shd w:val="clear" w:color="auto" w:fill="FFFFFF" w:themeFill="background1"/>
            <w:noWrap/>
            <w:vAlign w:val="center"/>
          </w:tcPr>
          <w:p w14:paraId="64DC760F" w14:textId="0C90DE9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160,903,966</w:t>
            </w:r>
          </w:p>
        </w:tc>
        <w:tc>
          <w:tcPr>
            <w:tcW w:w="1089" w:type="dxa"/>
            <w:shd w:val="clear" w:color="auto" w:fill="FFFFFF" w:themeFill="background1"/>
            <w:noWrap/>
            <w:vAlign w:val="center"/>
          </w:tcPr>
          <w:p w14:paraId="64DC7610" w14:textId="0F352A2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0</w:t>
            </w:r>
          </w:p>
        </w:tc>
        <w:tc>
          <w:tcPr>
            <w:tcW w:w="1202" w:type="dxa"/>
            <w:shd w:val="clear" w:color="auto" w:fill="FFFFFF" w:themeFill="background1"/>
            <w:noWrap/>
            <w:vAlign w:val="center"/>
          </w:tcPr>
          <w:p w14:paraId="64DC7611" w14:textId="1C79A4B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160,903,966</w:t>
            </w:r>
          </w:p>
        </w:tc>
        <w:tc>
          <w:tcPr>
            <w:tcW w:w="957" w:type="dxa"/>
            <w:shd w:val="clear" w:color="auto" w:fill="FFFFFF" w:themeFill="background1"/>
            <w:noWrap/>
            <w:vAlign w:val="center"/>
          </w:tcPr>
          <w:p w14:paraId="64DC7612" w14:textId="5B23C1F9" w:rsidR="00EE3816" w:rsidRPr="00534505" w:rsidRDefault="00EE3816" w:rsidP="00EE3816">
            <w:pPr>
              <w:jc w:val="center"/>
              <w:rPr>
                <w:rFonts w:ascii="Calibri Light" w:hAnsi="Calibri Light" w:cs="Calibri Light"/>
                <w:b/>
                <w:bCs/>
                <w:iCs/>
                <w:color w:val="000000"/>
                <w:sz w:val="16"/>
                <w:szCs w:val="16"/>
                <w:lang w:val="es-CR"/>
              </w:rPr>
            </w:pPr>
            <w:r w:rsidRPr="00534505">
              <w:rPr>
                <w:rFonts w:ascii="Calibri Light" w:hAnsi="Calibri Light" w:cs="Calibri Light"/>
                <w:sz w:val="16"/>
                <w:szCs w:val="16"/>
              </w:rPr>
              <w:t>97%</w:t>
            </w:r>
          </w:p>
        </w:tc>
      </w:tr>
      <w:tr w:rsidR="00EE3816" w:rsidRPr="00787962" w14:paraId="64DC761B" w14:textId="77777777" w:rsidTr="00534505">
        <w:trPr>
          <w:trHeight w:val="276"/>
        </w:trPr>
        <w:tc>
          <w:tcPr>
            <w:tcW w:w="808" w:type="dxa"/>
            <w:shd w:val="clear" w:color="auto" w:fill="auto"/>
            <w:noWrap/>
            <w:vAlign w:val="center"/>
          </w:tcPr>
          <w:p w14:paraId="64DC7614" w14:textId="66E2C05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1.02.01</w:t>
            </w:r>
          </w:p>
        </w:tc>
        <w:tc>
          <w:tcPr>
            <w:tcW w:w="2388" w:type="dxa"/>
            <w:shd w:val="clear" w:color="auto" w:fill="auto"/>
            <w:noWrap/>
            <w:vAlign w:val="center"/>
          </w:tcPr>
          <w:p w14:paraId="64DC7615" w14:textId="1ED122B2"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agua y alcantarillado</w:t>
            </w:r>
          </w:p>
        </w:tc>
        <w:tc>
          <w:tcPr>
            <w:tcW w:w="1275" w:type="dxa"/>
            <w:shd w:val="clear" w:color="auto" w:fill="auto"/>
            <w:noWrap/>
            <w:vAlign w:val="center"/>
          </w:tcPr>
          <w:p w14:paraId="64DC7616" w14:textId="4A7A1F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2,880,000</w:t>
            </w:r>
          </w:p>
        </w:tc>
        <w:tc>
          <w:tcPr>
            <w:tcW w:w="1253" w:type="dxa"/>
            <w:shd w:val="clear" w:color="auto" w:fill="auto"/>
            <w:noWrap/>
            <w:vAlign w:val="center"/>
          </w:tcPr>
          <w:p w14:paraId="64DC7617" w14:textId="2E57FE6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2,189,567</w:t>
            </w:r>
          </w:p>
        </w:tc>
        <w:tc>
          <w:tcPr>
            <w:tcW w:w="1089" w:type="dxa"/>
            <w:shd w:val="clear" w:color="auto" w:fill="auto"/>
            <w:noWrap/>
            <w:vAlign w:val="center"/>
          </w:tcPr>
          <w:p w14:paraId="64DC7618" w14:textId="5E294EC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19" w14:textId="60660D8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2,189,567</w:t>
            </w:r>
          </w:p>
        </w:tc>
        <w:tc>
          <w:tcPr>
            <w:tcW w:w="957" w:type="dxa"/>
            <w:shd w:val="clear" w:color="auto" w:fill="auto"/>
            <w:noWrap/>
            <w:vAlign w:val="center"/>
          </w:tcPr>
          <w:p w14:paraId="64DC761A" w14:textId="146F27A1"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76%</w:t>
            </w:r>
          </w:p>
        </w:tc>
      </w:tr>
      <w:tr w:rsidR="00EE3816" w:rsidRPr="00787962" w14:paraId="64DC7623" w14:textId="77777777" w:rsidTr="00534505">
        <w:trPr>
          <w:trHeight w:val="276"/>
        </w:trPr>
        <w:tc>
          <w:tcPr>
            <w:tcW w:w="808" w:type="dxa"/>
            <w:shd w:val="clear" w:color="auto" w:fill="auto"/>
            <w:noWrap/>
            <w:vAlign w:val="center"/>
          </w:tcPr>
          <w:p w14:paraId="64DC761C" w14:textId="24148E79"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1.02.02</w:t>
            </w:r>
          </w:p>
        </w:tc>
        <w:tc>
          <w:tcPr>
            <w:tcW w:w="2388" w:type="dxa"/>
            <w:shd w:val="clear" w:color="auto" w:fill="auto"/>
            <w:noWrap/>
            <w:vAlign w:val="center"/>
          </w:tcPr>
          <w:p w14:paraId="64DC761D" w14:textId="7D5282B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energía eléctrica</w:t>
            </w:r>
          </w:p>
        </w:tc>
        <w:tc>
          <w:tcPr>
            <w:tcW w:w="1275" w:type="dxa"/>
            <w:shd w:val="clear" w:color="auto" w:fill="auto"/>
            <w:noWrap/>
            <w:vAlign w:val="center"/>
          </w:tcPr>
          <w:p w14:paraId="64DC761E" w14:textId="2C7C866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36,500,000</w:t>
            </w:r>
          </w:p>
        </w:tc>
        <w:tc>
          <w:tcPr>
            <w:tcW w:w="1253" w:type="dxa"/>
            <w:shd w:val="clear" w:color="auto" w:fill="auto"/>
            <w:noWrap/>
            <w:vAlign w:val="center"/>
          </w:tcPr>
          <w:p w14:paraId="64DC761F" w14:textId="6E1446D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28,103,515</w:t>
            </w:r>
          </w:p>
        </w:tc>
        <w:tc>
          <w:tcPr>
            <w:tcW w:w="1089" w:type="dxa"/>
            <w:shd w:val="clear" w:color="auto" w:fill="auto"/>
            <w:noWrap/>
            <w:vAlign w:val="center"/>
          </w:tcPr>
          <w:p w14:paraId="64DC7620" w14:textId="74EA323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21" w14:textId="7167161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28,103,515</w:t>
            </w:r>
          </w:p>
        </w:tc>
        <w:tc>
          <w:tcPr>
            <w:tcW w:w="957" w:type="dxa"/>
            <w:shd w:val="clear" w:color="auto" w:fill="auto"/>
            <w:noWrap/>
            <w:vAlign w:val="center"/>
          </w:tcPr>
          <w:p w14:paraId="64DC7622" w14:textId="5D83E719"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77%</w:t>
            </w:r>
          </w:p>
        </w:tc>
      </w:tr>
      <w:tr w:rsidR="00EE3816" w:rsidRPr="00787962" w14:paraId="64DC762B" w14:textId="77777777" w:rsidTr="00534505">
        <w:trPr>
          <w:trHeight w:val="276"/>
        </w:trPr>
        <w:tc>
          <w:tcPr>
            <w:tcW w:w="808" w:type="dxa"/>
            <w:shd w:val="clear" w:color="auto" w:fill="auto"/>
            <w:noWrap/>
            <w:vAlign w:val="center"/>
          </w:tcPr>
          <w:p w14:paraId="64DC7624" w14:textId="0F16589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1.02.03</w:t>
            </w:r>
          </w:p>
        </w:tc>
        <w:tc>
          <w:tcPr>
            <w:tcW w:w="2388" w:type="dxa"/>
            <w:shd w:val="clear" w:color="auto" w:fill="auto"/>
            <w:noWrap/>
            <w:vAlign w:val="center"/>
          </w:tcPr>
          <w:p w14:paraId="64DC7625" w14:textId="1B02B4E8"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correo</w:t>
            </w:r>
          </w:p>
        </w:tc>
        <w:tc>
          <w:tcPr>
            <w:tcW w:w="1275" w:type="dxa"/>
            <w:shd w:val="clear" w:color="auto" w:fill="auto"/>
            <w:noWrap/>
            <w:vAlign w:val="center"/>
          </w:tcPr>
          <w:p w14:paraId="64DC7626" w14:textId="0BBE5D7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110,000</w:t>
            </w:r>
          </w:p>
        </w:tc>
        <w:tc>
          <w:tcPr>
            <w:tcW w:w="1253" w:type="dxa"/>
            <w:shd w:val="clear" w:color="auto" w:fill="auto"/>
            <w:noWrap/>
            <w:vAlign w:val="center"/>
          </w:tcPr>
          <w:p w14:paraId="64DC7627" w14:textId="3CE71A8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19,060</w:t>
            </w:r>
          </w:p>
        </w:tc>
        <w:tc>
          <w:tcPr>
            <w:tcW w:w="1089" w:type="dxa"/>
            <w:shd w:val="clear" w:color="auto" w:fill="auto"/>
            <w:noWrap/>
            <w:vAlign w:val="center"/>
          </w:tcPr>
          <w:p w14:paraId="64DC7628" w14:textId="436655C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29" w14:textId="34C6656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19,060</w:t>
            </w:r>
          </w:p>
        </w:tc>
        <w:tc>
          <w:tcPr>
            <w:tcW w:w="957" w:type="dxa"/>
            <w:shd w:val="clear" w:color="auto" w:fill="auto"/>
            <w:noWrap/>
            <w:vAlign w:val="center"/>
          </w:tcPr>
          <w:p w14:paraId="64DC762A" w14:textId="72854BB2"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17%</w:t>
            </w:r>
          </w:p>
        </w:tc>
      </w:tr>
      <w:tr w:rsidR="00EE3816" w:rsidRPr="00787962" w14:paraId="64DC7633" w14:textId="77777777" w:rsidTr="00534505">
        <w:trPr>
          <w:trHeight w:val="276"/>
        </w:trPr>
        <w:tc>
          <w:tcPr>
            <w:tcW w:w="808" w:type="dxa"/>
            <w:shd w:val="clear" w:color="auto" w:fill="auto"/>
            <w:noWrap/>
            <w:vAlign w:val="center"/>
          </w:tcPr>
          <w:p w14:paraId="64DC762C" w14:textId="21EA6F0F"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1.02.04</w:t>
            </w:r>
          </w:p>
        </w:tc>
        <w:tc>
          <w:tcPr>
            <w:tcW w:w="2388" w:type="dxa"/>
            <w:shd w:val="clear" w:color="auto" w:fill="auto"/>
            <w:noWrap/>
            <w:vAlign w:val="center"/>
          </w:tcPr>
          <w:p w14:paraId="64DC762D" w14:textId="2FAACE7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telecomunicaciones</w:t>
            </w:r>
          </w:p>
        </w:tc>
        <w:tc>
          <w:tcPr>
            <w:tcW w:w="1275" w:type="dxa"/>
            <w:shd w:val="clear" w:color="auto" w:fill="auto"/>
            <w:noWrap/>
            <w:vAlign w:val="center"/>
          </w:tcPr>
          <w:p w14:paraId="64DC762E" w14:textId="2FB0A75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3,816,000</w:t>
            </w:r>
          </w:p>
        </w:tc>
        <w:tc>
          <w:tcPr>
            <w:tcW w:w="1253" w:type="dxa"/>
            <w:shd w:val="clear" w:color="auto" w:fill="auto"/>
            <w:noWrap/>
            <w:vAlign w:val="center"/>
          </w:tcPr>
          <w:p w14:paraId="64DC762F" w14:textId="4EDCDFD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2,981,488</w:t>
            </w:r>
          </w:p>
        </w:tc>
        <w:tc>
          <w:tcPr>
            <w:tcW w:w="1089" w:type="dxa"/>
            <w:shd w:val="clear" w:color="auto" w:fill="auto"/>
            <w:noWrap/>
            <w:vAlign w:val="center"/>
          </w:tcPr>
          <w:p w14:paraId="64DC7630" w14:textId="733C0A6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31" w14:textId="59855AD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2,981,488</w:t>
            </w:r>
          </w:p>
        </w:tc>
        <w:tc>
          <w:tcPr>
            <w:tcW w:w="957" w:type="dxa"/>
            <w:shd w:val="clear" w:color="auto" w:fill="auto"/>
            <w:noWrap/>
            <w:vAlign w:val="center"/>
          </w:tcPr>
          <w:p w14:paraId="64DC7632" w14:textId="1DFCD72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78%</w:t>
            </w:r>
          </w:p>
        </w:tc>
      </w:tr>
      <w:tr w:rsidR="00EE3816" w:rsidRPr="00787962" w14:paraId="64DC763B" w14:textId="77777777" w:rsidTr="00534505">
        <w:trPr>
          <w:trHeight w:val="276"/>
        </w:trPr>
        <w:tc>
          <w:tcPr>
            <w:tcW w:w="808" w:type="dxa"/>
            <w:shd w:val="clear" w:color="auto" w:fill="auto"/>
            <w:vAlign w:val="center"/>
          </w:tcPr>
          <w:p w14:paraId="64DC7634" w14:textId="46DC8BAE"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1.02.99</w:t>
            </w:r>
          </w:p>
        </w:tc>
        <w:tc>
          <w:tcPr>
            <w:tcW w:w="2388" w:type="dxa"/>
            <w:shd w:val="clear" w:color="auto" w:fill="auto"/>
            <w:vAlign w:val="center"/>
          </w:tcPr>
          <w:p w14:paraId="64DC7635" w14:textId="68A211F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básicos</w:t>
            </w:r>
          </w:p>
        </w:tc>
        <w:tc>
          <w:tcPr>
            <w:tcW w:w="1275" w:type="dxa"/>
            <w:shd w:val="clear" w:color="auto" w:fill="auto"/>
            <w:noWrap/>
            <w:vAlign w:val="center"/>
          </w:tcPr>
          <w:p w14:paraId="64DC7636" w14:textId="7A48E44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570,000</w:t>
            </w:r>
          </w:p>
        </w:tc>
        <w:tc>
          <w:tcPr>
            <w:tcW w:w="1253" w:type="dxa"/>
            <w:shd w:val="clear" w:color="auto" w:fill="auto"/>
            <w:noWrap/>
            <w:vAlign w:val="center"/>
          </w:tcPr>
          <w:p w14:paraId="64DC7637" w14:textId="5F76FDD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48,354</w:t>
            </w:r>
          </w:p>
        </w:tc>
        <w:tc>
          <w:tcPr>
            <w:tcW w:w="1089" w:type="dxa"/>
            <w:shd w:val="clear" w:color="auto" w:fill="auto"/>
            <w:noWrap/>
            <w:vAlign w:val="center"/>
          </w:tcPr>
          <w:p w14:paraId="64DC7638" w14:textId="39B699D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39" w14:textId="5573E59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48,354</w:t>
            </w:r>
          </w:p>
        </w:tc>
        <w:tc>
          <w:tcPr>
            <w:tcW w:w="957" w:type="dxa"/>
            <w:shd w:val="clear" w:color="auto" w:fill="auto"/>
            <w:noWrap/>
            <w:vAlign w:val="center"/>
          </w:tcPr>
          <w:p w14:paraId="64DC763A" w14:textId="57E7757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8%</w:t>
            </w:r>
          </w:p>
        </w:tc>
      </w:tr>
      <w:tr w:rsidR="00EE3816" w:rsidRPr="00787962" w14:paraId="64DC7643" w14:textId="77777777" w:rsidTr="00534505">
        <w:trPr>
          <w:trHeight w:val="276"/>
        </w:trPr>
        <w:tc>
          <w:tcPr>
            <w:tcW w:w="808" w:type="dxa"/>
            <w:shd w:val="clear" w:color="auto" w:fill="auto"/>
            <w:noWrap/>
            <w:vAlign w:val="center"/>
          </w:tcPr>
          <w:p w14:paraId="64DC763C" w14:textId="0D3D760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1.03.01</w:t>
            </w:r>
          </w:p>
        </w:tc>
        <w:tc>
          <w:tcPr>
            <w:tcW w:w="2388" w:type="dxa"/>
            <w:shd w:val="clear" w:color="auto" w:fill="auto"/>
            <w:noWrap/>
            <w:vAlign w:val="center"/>
          </w:tcPr>
          <w:p w14:paraId="64DC763D" w14:textId="2FA29AB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Información</w:t>
            </w:r>
          </w:p>
        </w:tc>
        <w:tc>
          <w:tcPr>
            <w:tcW w:w="1275" w:type="dxa"/>
            <w:shd w:val="clear" w:color="auto" w:fill="auto"/>
            <w:noWrap/>
            <w:vAlign w:val="center"/>
          </w:tcPr>
          <w:p w14:paraId="64DC763E" w14:textId="61EAB1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63,800,000</w:t>
            </w:r>
          </w:p>
        </w:tc>
        <w:tc>
          <w:tcPr>
            <w:tcW w:w="1253" w:type="dxa"/>
            <w:shd w:val="clear" w:color="auto" w:fill="auto"/>
            <w:noWrap/>
            <w:vAlign w:val="center"/>
          </w:tcPr>
          <w:p w14:paraId="64DC763F" w14:textId="6FCC5A5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205,174</w:t>
            </w:r>
          </w:p>
        </w:tc>
        <w:tc>
          <w:tcPr>
            <w:tcW w:w="1089" w:type="dxa"/>
            <w:shd w:val="clear" w:color="auto" w:fill="auto"/>
            <w:noWrap/>
            <w:vAlign w:val="center"/>
          </w:tcPr>
          <w:p w14:paraId="64DC7640" w14:textId="072480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41" w14:textId="40C2206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205,174</w:t>
            </w:r>
          </w:p>
        </w:tc>
        <w:tc>
          <w:tcPr>
            <w:tcW w:w="957" w:type="dxa"/>
            <w:shd w:val="clear" w:color="auto" w:fill="auto"/>
            <w:noWrap/>
            <w:vAlign w:val="center"/>
          </w:tcPr>
          <w:p w14:paraId="64DC7642" w14:textId="158539F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4B" w14:textId="77777777" w:rsidTr="00534505">
        <w:trPr>
          <w:trHeight w:val="276"/>
        </w:trPr>
        <w:tc>
          <w:tcPr>
            <w:tcW w:w="808" w:type="dxa"/>
            <w:shd w:val="clear" w:color="auto" w:fill="auto"/>
            <w:noWrap/>
            <w:vAlign w:val="center"/>
          </w:tcPr>
          <w:p w14:paraId="64DC7644" w14:textId="1AB9B52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1.03.03</w:t>
            </w:r>
          </w:p>
        </w:tc>
        <w:tc>
          <w:tcPr>
            <w:tcW w:w="2388" w:type="dxa"/>
            <w:shd w:val="clear" w:color="auto" w:fill="auto"/>
            <w:noWrap/>
            <w:vAlign w:val="center"/>
          </w:tcPr>
          <w:p w14:paraId="64DC7645" w14:textId="3732674F"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Impresión, encuadernación y otros</w:t>
            </w:r>
          </w:p>
        </w:tc>
        <w:tc>
          <w:tcPr>
            <w:tcW w:w="1275" w:type="dxa"/>
            <w:shd w:val="clear" w:color="auto" w:fill="auto"/>
            <w:noWrap/>
            <w:vAlign w:val="center"/>
          </w:tcPr>
          <w:p w14:paraId="64DC7646" w14:textId="002B2D9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3,700,000</w:t>
            </w:r>
          </w:p>
        </w:tc>
        <w:tc>
          <w:tcPr>
            <w:tcW w:w="1253" w:type="dxa"/>
            <w:shd w:val="clear" w:color="auto" w:fill="auto"/>
            <w:noWrap/>
            <w:vAlign w:val="center"/>
          </w:tcPr>
          <w:p w14:paraId="64DC7647" w14:textId="47F7050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14,122</w:t>
            </w:r>
          </w:p>
        </w:tc>
        <w:tc>
          <w:tcPr>
            <w:tcW w:w="1089" w:type="dxa"/>
            <w:shd w:val="clear" w:color="auto" w:fill="auto"/>
            <w:noWrap/>
            <w:vAlign w:val="center"/>
          </w:tcPr>
          <w:p w14:paraId="64DC7648" w14:textId="2A59C74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49" w14:textId="4873EF6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14,122</w:t>
            </w:r>
          </w:p>
        </w:tc>
        <w:tc>
          <w:tcPr>
            <w:tcW w:w="957" w:type="dxa"/>
            <w:shd w:val="clear" w:color="auto" w:fill="auto"/>
            <w:noWrap/>
            <w:vAlign w:val="center"/>
          </w:tcPr>
          <w:p w14:paraId="64DC764A" w14:textId="52C6711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53" w14:textId="77777777" w:rsidTr="00534505">
        <w:trPr>
          <w:trHeight w:val="276"/>
        </w:trPr>
        <w:tc>
          <w:tcPr>
            <w:tcW w:w="808" w:type="dxa"/>
            <w:shd w:val="clear" w:color="auto" w:fill="auto"/>
            <w:noWrap/>
            <w:vAlign w:val="center"/>
          </w:tcPr>
          <w:p w14:paraId="64DC764C" w14:textId="024548D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1.03.07</w:t>
            </w:r>
          </w:p>
        </w:tc>
        <w:tc>
          <w:tcPr>
            <w:tcW w:w="2388" w:type="dxa"/>
            <w:shd w:val="clear" w:color="auto" w:fill="auto"/>
            <w:noWrap/>
            <w:vAlign w:val="center"/>
          </w:tcPr>
          <w:p w14:paraId="64DC764D" w14:textId="42DA14E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transferencia electrónica de información</w:t>
            </w:r>
          </w:p>
        </w:tc>
        <w:tc>
          <w:tcPr>
            <w:tcW w:w="1275" w:type="dxa"/>
            <w:shd w:val="clear" w:color="auto" w:fill="auto"/>
            <w:noWrap/>
            <w:vAlign w:val="center"/>
          </w:tcPr>
          <w:p w14:paraId="64DC764E" w14:textId="7CEB4A9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23,692,654</w:t>
            </w:r>
          </w:p>
        </w:tc>
        <w:tc>
          <w:tcPr>
            <w:tcW w:w="1253" w:type="dxa"/>
            <w:shd w:val="clear" w:color="auto" w:fill="auto"/>
            <w:noWrap/>
            <w:vAlign w:val="center"/>
          </w:tcPr>
          <w:p w14:paraId="64DC764F" w14:textId="2D714C9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22,806,134</w:t>
            </w:r>
          </w:p>
        </w:tc>
        <w:tc>
          <w:tcPr>
            <w:tcW w:w="1089" w:type="dxa"/>
            <w:shd w:val="clear" w:color="auto" w:fill="auto"/>
            <w:noWrap/>
            <w:vAlign w:val="center"/>
          </w:tcPr>
          <w:p w14:paraId="64DC7650" w14:textId="3BC2A6B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51" w14:textId="551D785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22,806,134</w:t>
            </w:r>
          </w:p>
        </w:tc>
        <w:tc>
          <w:tcPr>
            <w:tcW w:w="957" w:type="dxa"/>
            <w:shd w:val="clear" w:color="auto" w:fill="auto"/>
            <w:noWrap/>
            <w:vAlign w:val="center"/>
          </w:tcPr>
          <w:p w14:paraId="64DC7652" w14:textId="01B7B8C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96%</w:t>
            </w:r>
          </w:p>
        </w:tc>
      </w:tr>
      <w:tr w:rsidR="00EE3816" w:rsidRPr="00787962" w14:paraId="64DC765B" w14:textId="77777777" w:rsidTr="00534505">
        <w:trPr>
          <w:trHeight w:val="276"/>
        </w:trPr>
        <w:tc>
          <w:tcPr>
            <w:tcW w:w="808" w:type="dxa"/>
            <w:shd w:val="clear" w:color="auto" w:fill="auto"/>
            <w:noWrap/>
            <w:vAlign w:val="center"/>
          </w:tcPr>
          <w:p w14:paraId="64DC7654" w14:textId="2A47D42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1.04.04</w:t>
            </w:r>
          </w:p>
        </w:tc>
        <w:tc>
          <w:tcPr>
            <w:tcW w:w="2388" w:type="dxa"/>
            <w:shd w:val="clear" w:color="auto" w:fill="auto"/>
            <w:noWrap/>
            <w:vAlign w:val="center"/>
          </w:tcPr>
          <w:p w14:paraId="64DC7655" w14:textId="7EDEC2D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Servicios en ciencias económicas y sociales</w:t>
            </w:r>
          </w:p>
        </w:tc>
        <w:tc>
          <w:tcPr>
            <w:tcW w:w="1275" w:type="dxa"/>
            <w:shd w:val="clear" w:color="auto" w:fill="auto"/>
            <w:noWrap/>
            <w:vAlign w:val="center"/>
          </w:tcPr>
          <w:p w14:paraId="64DC7656" w14:textId="671D3C2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1,452,997,411</w:t>
            </w:r>
          </w:p>
        </w:tc>
        <w:tc>
          <w:tcPr>
            <w:tcW w:w="1253" w:type="dxa"/>
            <w:shd w:val="clear" w:color="auto" w:fill="auto"/>
            <w:noWrap/>
            <w:vAlign w:val="center"/>
          </w:tcPr>
          <w:p w14:paraId="64DC7657" w14:textId="0921A64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1,389,073,157</w:t>
            </w:r>
          </w:p>
        </w:tc>
        <w:tc>
          <w:tcPr>
            <w:tcW w:w="1089" w:type="dxa"/>
            <w:shd w:val="clear" w:color="auto" w:fill="auto"/>
            <w:noWrap/>
            <w:vAlign w:val="center"/>
          </w:tcPr>
          <w:p w14:paraId="64DC7658" w14:textId="3AB940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8,500,000</w:t>
            </w:r>
          </w:p>
        </w:tc>
        <w:tc>
          <w:tcPr>
            <w:tcW w:w="1202" w:type="dxa"/>
            <w:shd w:val="clear" w:color="auto" w:fill="auto"/>
            <w:noWrap/>
            <w:vAlign w:val="center"/>
          </w:tcPr>
          <w:p w14:paraId="64DC7659" w14:textId="0B70D9E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1,397,573,157</w:t>
            </w:r>
          </w:p>
        </w:tc>
        <w:tc>
          <w:tcPr>
            <w:tcW w:w="957" w:type="dxa"/>
            <w:shd w:val="clear" w:color="auto" w:fill="auto"/>
            <w:noWrap/>
            <w:vAlign w:val="center"/>
          </w:tcPr>
          <w:p w14:paraId="64DC765A" w14:textId="5EFAD4DB"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96%</w:t>
            </w:r>
          </w:p>
        </w:tc>
      </w:tr>
      <w:tr w:rsidR="00EE3816" w:rsidRPr="00787962" w14:paraId="64DC7663" w14:textId="77777777" w:rsidTr="00534505">
        <w:trPr>
          <w:trHeight w:val="276"/>
        </w:trPr>
        <w:tc>
          <w:tcPr>
            <w:tcW w:w="808" w:type="dxa"/>
            <w:shd w:val="clear" w:color="auto" w:fill="auto"/>
            <w:noWrap/>
            <w:vAlign w:val="center"/>
          </w:tcPr>
          <w:p w14:paraId="64DC765C" w14:textId="2FEB695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1.04.06</w:t>
            </w:r>
          </w:p>
        </w:tc>
        <w:tc>
          <w:tcPr>
            <w:tcW w:w="2388" w:type="dxa"/>
            <w:shd w:val="clear" w:color="auto" w:fill="auto"/>
            <w:noWrap/>
            <w:vAlign w:val="center"/>
          </w:tcPr>
          <w:p w14:paraId="64DC765D" w14:textId="7F40FF7C"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Servicios generales</w:t>
            </w:r>
          </w:p>
        </w:tc>
        <w:tc>
          <w:tcPr>
            <w:tcW w:w="1275" w:type="dxa"/>
            <w:shd w:val="clear" w:color="auto" w:fill="auto"/>
            <w:noWrap/>
            <w:vAlign w:val="center"/>
          </w:tcPr>
          <w:p w14:paraId="64DC765E" w14:textId="4A2FE11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18,770,000</w:t>
            </w:r>
          </w:p>
        </w:tc>
        <w:tc>
          <w:tcPr>
            <w:tcW w:w="1253" w:type="dxa"/>
            <w:shd w:val="clear" w:color="auto" w:fill="auto"/>
            <w:noWrap/>
            <w:vAlign w:val="center"/>
          </w:tcPr>
          <w:p w14:paraId="64DC765F" w14:textId="3529EC5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17,799,229</w:t>
            </w:r>
          </w:p>
        </w:tc>
        <w:tc>
          <w:tcPr>
            <w:tcW w:w="1089" w:type="dxa"/>
            <w:shd w:val="clear" w:color="auto" w:fill="auto"/>
            <w:noWrap/>
            <w:vAlign w:val="center"/>
          </w:tcPr>
          <w:p w14:paraId="64DC7660" w14:textId="7B195F0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61" w14:textId="44EA08D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17,799,229</w:t>
            </w:r>
          </w:p>
        </w:tc>
        <w:tc>
          <w:tcPr>
            <w:tcW w:w="957" w:type="dxa"/>
            <w:shd w:val="clear" w:color="auto" w:fill="auto"/>
            <w:noWrap/>
            <w:vAlign w:val="center"/>
          </w:tcPr>
          <w:p w14:paraId="64DC7662" w14:textId="2762B2A3"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95%</w:t>
            </w:r>
          </w:p>
        </w:tc>
      </w:tr>
      <w:tr w:rsidR="00EE3816" w:rsidRPr="00787962" w14:paraId="64DC766B" w14:textId="77777777" w:rsidTr="00534505">
        <w:trPr>
          <w:trHeight w:val="276"/>
        </w:trPr>
        <w:tc>
          <w:tcPr>
            <w:tcW w:w="808" w:type="dxa"/>
            <w:shd w:val="clear" w:color="auto" w:fill="auto"/>
            <w:noWrap/>
            <w:vAlign w:val="center"/>
          </w:tcPr>
          <w:p w14:paraId="64DC7664" w14:textId="1664EAC6"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1.04.99</w:t>
            </w:r>
          </w:p>
        </w:tc>
        <w:tc>
          <w:tcPr>
            <w:tcW w:w="2388" w:type="dxa"/>
            <w:shd w:val="clear" w:color="auto" w:fill="auto"/>
            <w:noWrap/>
            <w:vAlign w:val="center"/>
          </w:tcPr>
          <w:p w14:paraId="64DC7665" w14:textId="6E53D310"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de gestión y apoyo</w:t>
            </w:r>
          </w:p>
        </w:tc>
        <w:tc>
          <w:tcPr>
            <w:tcW w:w="1275" w:type="dxa"/>
            <w:shd w:val="clear" w:color="auto" w:fill="auto"/>
            <w:noWrap/>
            <w:vAlign w:val="center"/>
          </w:tcPr>
          <w:p w14:paraId="64DC7666" w14:textId="291BFBB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12,150,000</w:t>
            </w:r>
          </w:p>
        </w:tc>
        <w:tc>
          <w:tcPr>
            <w:tcW w:w="1253" w:type="dxa"/>
            <w:shd w:val="clear" w:color="auto" w:fill="auto"/>
            <w:noWrap/>
            <w:vAlign w:val="center"/>
          </w:tcPr>
          <w:p w14:paraId="64DC7667" w14:textId="2D2DF9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4,846,065</w:t>
            </w:r>
          </w:p>
        </w:tc>
        <w:tc>
          <w:tcPr>
            <w:tcW w:w="1089" w:type="dxa"/>
            <w:shd w:val="clear" w:color="auto" w:fill="auto"/>
            <w:noWrap/>
            <w:vAlign w:val="center"/>
          </w:tcPr>
          <w:p w14:paraId="64DC7668" w14:textId="76D6EEA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1,613,489</w:t>
            </w:r>
          </w:p>
        </w:tc>
        <w:tc>
          <w:tcPr>
            <w:tcW w:w="1202" w:type="dxa"/>
            <w:shd w:val="clear" w:color="auto" w:fill="auto"/>
            <w:noWrap/>
            <w:vAlign w:val="center"/>
          </w:tcPr>
          <w:p w14:paraId="64DC7669" w14:textId="7F6962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6,459,554</w:t>
            </w:r>
          </w:p>
        </w:tc>
        <w:tc>
          <w:tcPr>
            <w:tcW w:w="957" w:type="dxa"/>
            <w:shd w:val="clear" w:color="auto" w:fill="auto"/>
            <w:noWrap/>
            <w:vAlign w:val="center"/>
          </w:tcPr>
          <w:p w14:paraId="64DC766A" w14:textId="6367CE76"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53%</w:t>
            </w:r>
          </w:p>
        </w:tc>
      </w:tr>
      <w:tr w:rsidR="00EE3816" w:rsidRPr="00787962" w14:paraId="64DC7673" w14:textId="77777777" w:rsidTr="00534505">
        <w:trPr>
          <w:trHeight w:val="276"/>
        </w:trPr>
        <w:tc>
          <w:tcPr>
            <w:tcW w:w="808" w:type="dxa"/>
            <w:shd w:val="clear" w:color="auto" w:fill="auto"/>
            <w:noWrap/>
            <w:vAlign w:val="center"/>
          </w:tcPr>
          <w:p w14:paraId="64DC766C" w14:textId="6045291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1.05.01</w:t>
            </w:r>
          </w:p>
        </w:tc>
        <w:tc>
          <w:tcPr>
            <w:tcW w:w="2388" w:type="dxa"/>
            <w:shd w:val="clear" w:color="auto" w:fill="auto"/>
            <w:noWrap/>
            <w:vAlign w:val="center"/>
          </w:tcPr>
          <w:p w14:paraId="64DC766D" w14:textId="7B7A43A4"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Transporte dentro del país</w:t>
            </w:r>
          </w:p>
        </w:tc>
        <w:tc>
          <w:tcPr>
            <w:tcW w:w="1275" w:type="dxa"/>
            <w:shd w:val="clear" w:color="auto" w:fill="auto"/>
            <w:noWrap/>
            <w:vAlign w:val="center"/>
          </w:tcPr>
          <w:p w14:paraId="64DC766E" w14:textId="3BE5915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80,000</w:t>
            </w:r>
          </w:p>
        </w:tc>
        <w:tc>
          <w:tcPr>
            <w:tcW w:w="1253" w:type="dxa"/>
            <w:shd w:val="clear" w:color="auto" w:fill="auto"/>
            <w:noWrap/>
            <w:vAlign w:val="center"/>
          </w:tcPr>
          <w:p w14:paraId="64DC766F" w14:textId="77929B7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50,815</w:t>
            </w:r>
          </w:p>
        </w:tc>
        <w:tc>
          <w:tcPr>
            <w:tcW w:w="1089" w:type="dxa"/>
            <w:shd w:val="clear" w:color="auto" w:fill="auto"/>
            <w:noWrap/>
            <w:vAlign w:val="center"/>
          </w:tcPr>
          <w:p w14:paraId="64DC7670" w14:textId="7969428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71" w14:textId="0B54DF2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50,815</w:t>
            </w:r>
          </w:p>
        </w:tc>
        <w:tc>
          <w:tcPr>
            <w:tcW w:w="957" w:type="dxa"/>
            <w:shd w:val="clear" w:color="auto" w:fill="auto"/>
            <w:noWrap/>
            <w:vAlign w:val="center"/>
          </w:tcPr>
          <w:p w14:paraId="64DC7672" w14:textId="059AFAB7"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64%</w:t>
            </w:r>
          </w:p>
        </w:tc>
      </w:tr>
      <w:tr w:rsidR="00EE3816" w:rsidRPr="00787962" w14:paraId="64DC767B" w14:textId="77777777" w:rsidTr="00534505">
        <w:trPr>
          <w:trHeight w:val="276"/>
        </w:trPr>
        <w:tc>
          <w:tcPr>
            <w:tcW w:w="808" w:type="dxa"/>
            <w:shd w:val="clear" w:color="auto" w:fill="auto"/>
            <w:noWrap/>
            <w:vAlign w:val="center"/>
          </w:tcPr>
          <w:p w14:paraId="64DC7674" w14:textId="44F271E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1.05.02</w:t>
            </w:r>
          </w:p>
        </w:tc>
        <w:tc>
          <w:tcPr>
            <w:tcW w:w="2388" w:type="dxa"/>
            <w:shd w:val="clear" w:color="auto" w:fill="auto"/>
            <w:noWrap/>
            <w:vAlign w:val="center"/>
          </w:tcPr>
          <w:p w14:paraId="64DC7675" w14:textId="179D734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Viáticos dentro de país</w:t>
            </w:r>
          </w:p>
        </w:tc>
        <w:tc>
          <w:tcPr>
            <w:tcW w:w="1275" w:type="dxa"/>
            <w:shd w:val="clear" w:color="auto" w:fill="auto"/>
            <w:noWrap/>
            <w:vAlign w:val="center"/>
          </w:tcPr>
          <w:p w14:paraId="64DC7676" w14:textId="7357751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720,000</w:t>
            </w:r>
          </w:p>
        </w:tc>
        <w:tc>
          <w:tcPr>
            <w:tcW w:w="1253" w:type="dxa"/>
            <w:shd w:val="clear" w:color="auto" w:fill="auto"/>
            <w:noWrap/>
            <w:vAlign w:val="center"/>
          </w:tcPr>
          <w:p w14:paraId="64DC7677" w14:textId="61C5386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134,390</w:t>
            </w:r>
          </w:p>
        </w:tc>
        <w:tc>
          <w:tcPr>
            <w:tcW w:w="1089" w:type="dxa"/>
            <w:shd w:val="clear" w:color="auto" w:fill="auto"/>
            <w:noWrap/>
            <w:vAlign w:val="center"/>
          </w:tcPr>
          <w:p w14:paraId="64DC7678" w14:textId="6C4ACEB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79" w14:textId="10451FF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134,390</w:t>
            </w:r>
          </w:p>
        </w:tc>
        <w:tc>
          <w:tcPr>
            <w:tcW w:w="957" w:type="dxa"/>
            <w:shd w:val="clear" w:color="auto" w:fill="auto"/>
            <w:noWrap/>
            <w:vAlign w:val="center"/>
          </w:tcPr>
          <w:p w14:paraId="64DC767A" w14:textId="648C5F8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19%</w:t>
            </w:r>
          </w:p>
        </w:tc>
      </w:tr>
      <w:tr w:rsidR="00EE3816" w:rsidRPr="00787962" w14:paraId="64DC7683" w14:textId="77777777" w:rsidTr="00534505">
        <w:trPr>
          <w:trHeight w:val="276"/>
        </w:trPr>
        <w:tc>
          <w:tcPr>
            <w:tcW w:w="808" w:type="dxa"/>
            <w:shd w:val="clear" w:color="auto" w:fill="auto"/>
            <w:noWrap/>
            <w:vAlign w:val="center"/>
          </w:tcPr>
          <w:p w14:paraId="64DC767C" w14:textId="4C49899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1.05.03</w:t>
            </w:r>
          </w:p>
        </w:tc>
        <w:tc>
          <w:tcPr>
            <w:tcW w:w="2388" w:type="dxa"/>
            <w:shd w:val="clear" w:color="auto" w:fill="auto"/>
            <w:noWrap/>
            <w:vAlign w:val="center"/>
          </w:tcPr>
          <w:p w14:paraId="64DC767D" w14:textId="03BCFE4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Transporte en el exterior</w:t>
            </w:r>
          </w:p>
        </w:tc>
        <w:tc>
          <w:tcPr>
            <w:tcW w:w="1275" w:type="dxa"/>
            <w:shd w:val="clear" w:color="auto" w:fill="auto"/>
            <w:noWrap/>
            <w:vAlign w:val="center"/>
          </w:tcPr>
          <w:p w14:paraId="64DC767E" w14:textId="4A52470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8,250,314</w:t>
            </w:r>
          </w:p>
        </w:tc>
        <w:tc>
          <w:tcPr>
            <w:tcW w:w="1253" w:type="dxa"/>
            <w:shd w:val="clear" w:color="auto" w:fill="auto"/>
            <w:noWrap/>
            <w:vAlign w:val="center"/>
          </w:tcPr>
          <w:p w14:paraId="64DC767F" w14:textId="7C0C833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7,542,033</w:t>
            </w:r>
          </w:p>
        </w:tc>
        <w:tc>
          <w:tcPr>
            <w:tcW w:w="1089" w:type="dxa"/>
            <w:shd w:val="clear" w:color="auto" w:fill="auto"/>
            <w:noWrap/>
            <w:vAlign w:val="center"/>
          </w:tcPr>
          <w:p w14:paraId="64DC7680" w14:textId="7558E28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81" w14:textId="5F728DF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7,542,033</w:t>
            </w:r>
          </w:p>
        </w:tc>
        <w:tc>
          <w:tcPr>
            <w:tcW w:w="957" w:type="dxa"/>
            <w:shd w:val="clear" w:color="auto" w:fill="auto"/>
            <w:noWrap/>
            <w:vAlign w:val="center"/>
          </w:tcPr>
          <w:p w14:paraId="64DC7682" w14:textId="250A271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r w:rsidR="00EE3816" w:rsidRPr="00787962" w14:paraId="64DC768B" w14:textId="77777777" w:rsidTr="00534505">
        <w:trPr>
          <w:trHeight w:val="276"/>
        </w:trPr>
        <w:tc>
          <w:tcPr>
            <w:tcW w:w="808" w:type="dxa"/>
            <w:shd w:val="clear" w:color="auto" w:fill="auto"/>
            <w:vAlign w:val="center"/>
          </w:tcPr>
          <w:p w14:paraId="64DC7684" w14:textId="2304143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1.05.04</w:t>
            </w:r>
          </w:p>
        </w:tc>
        <w:tc>
          <w:tcPr>
            <w:tcW w:w="2388" w:type="dxa"/>
            <w:shd w:val="clear" w:color="auto" w:fill="auto"/>
            <w:vAlign w:val="center"/>
          </w:tcPr>
          <w:p w14:paraId="64DC7685" w14:textId="633F269F"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Viáticos en el exterior</w:t>
            </w:r>
          </w:p>
        </w:tc>
        <w:tc>
          <w:tcPr>
            <w:tcW w:w="1275" w:type="dxa"/>
            <w:shd w:val="clear" w:color="auto" w:fill="auto"/>
            <w:noWrap/>
            <w:vAlign w:val="center"/>
          </w:tcPr>
          <w:p w14:paraId="64DC7686" w14:textId="4F968B4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8,907,513</w:t>
            </w:r>
          </w:p>
        </w:tc>
        <w:tc>
          <w:tcPr>
            <w:tcW w:w="1253" w:type="dxa"/>
            <w:shd w:val="clear" w:color="auto" w:fill="auto"/>
            <w:noWrap/>
            <w:vAlign w:val="center"/>
          </w:tcPr>
          <w:p w14:paraId="64DC7687" w14:textId="6FC1843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8,064,821</w:t>
            </w:r>
          </w:p>
        </w:tc>
        <w:tc>
          <w:tcPr>
            <w:tcW w:w="1089" w:type="dxa"/>
            <w:shd w:val="clear" w:color="auto" w:fill="auto"/>
            <w:noWrap/>
            <w:vAlign w:val="center"/>
          </w:tcPr>
          <w:p w14:paraId="64DC7688" w14:textId="21474BE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89" w14:textId="4FFDC34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8,064,821</w:t>
            </w:r>
          </w:p>
        </w:tc>
        <w:tc>
          <w:tcPr>
            <w:tcW w:w="957" w:type="dxa"/>
            <w:shd w:val="clear" w:color="auto" w:fill="auto"/>
            <w:noWrap/>
            <w:vAlign w:val="center"/>
          </w:tcPr>
          <w:p w14:paraId="64DC768A" w14:textId="7EEFC8AB"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r w:rsidR="00EE3816" w:rsidRPr="00787962" w14:paraId="64DC7693" w14:textId="77777777" w:rsidTr="00534505">
        <w:trPr>
          <w:trHeight w:val="276"/>
        </w:trPr>
        <w:tc>
          <w:tcPr>
            <w:tcW w:w="808" w:type="dxa"/>
            <w:shd w:val="clear" w:color="auto" w:fill="auto"/>
            <w:noWrap/>
            <w:vAlign w:val="center"/>
          </w:tcPr>
          <w:p w14:paraId="64DC768C" w14:textId="1D9C6097"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1.06.01</w:t>
            </w:r>
          </w:p>
        </w:tc>
        <w:tc>
          <w:tcPr>
            <w:tcW w:w="2388" w:type="dxa"/>
            <w:shd w:val="clear" w:color="auto" w:fill="auto"/>
            <w:noWrap/>
            <w:vAlign w:val="center"/>
          </w:tcPr>
          <w:p w14:paraId="64DC768D" w14:textId="0A8F75B7"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Seguros</w:t>
            </w:r>
          </w:p>
        </w:tc>
        <w:tc>
          <w:tcPr>
            <w:tcW w:w="1275" w:type="dxa"/>
            <w:shd w:val="clear" w:color="auto" w:fill="auto"/>
            <w:noWrap/>
            <w:vAlign w:val="center"/>
          </w:tcPr>
          <w:p w14:paraId="64DC768E" w14:textId="6C93867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8,500,000</w:t>
            </w:r>
          </w:p>
        </w:tc>
        <w:tc>
          <w:tcPr>
            <w:tcW w:w="1253" w:type="dxa"/>
            <w:shd w:val="clear" w:color="auto" w:fill="auto"/>
            <w:noWrap/>
            <w:vAlign w:val="center"/>
          </w:tcPr>
          <w:p w14:paraId="64DC768F" w14:textId="391F1BF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5,252,296</w:t>
            </w:r>
          </w:p>
        </w:tc>
        <w:tc>
          <w:tcPr>
            <w:tcW w:w="1089" w:type="dxa"/>
            <w:shd w:val="clear" w:color="auto" w:fill="auto"/>
            <w:noWrap/>
            <w:vAlign w:val="center"/>
          </w:tcPr>
          <w:p w14:paraId="64DC7690" w14:textId="71EC08E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91" w14:textId="162636F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5,252,296</w:t>
            </w:r>
          </w:p>
        </w:tc>
        <w:tc>
          <w:tcPr>
            <w:tcW w:w="957" w:type="dxa"/>
            <w:shd w:val="clear" w:color="auto" w:fill="auto"/>
            <w:noWrap/>
            <w:vAlign w:val="center"/>
          </w:tcPr>
          <w:p w14:paraId="64DC7692" w14:textId="35E3C5E6"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62%</w:t>
            </w:r>
          </w:p>
        </w:tc>
      </w:tr>
      <w:tr w:rsidR="00EE3816" w:rsidRPr="00787962" w14:paraId="64DC769B" w14:textId="77777777" w:rsidTr="00534505">
        <w:trPr>
          <w:trHeight w:val="276"/>
        </w:trPr>
        <w:tc>
          <w:tcPr>
            <w:tcW w:w="808" w:type="dxa"/>
            <w:shd w:val="clear" w:color="auto" w:fill="auto"/>
            <w:noWrap/>
            <w:vAlign w:val="center"/>
          </w:tcPr>
          <w:p w14:paraId="64DC7694" w14:textId="744B71DA"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1.07.01</w:t>
            </w:r>
          </w:p>
        </w:tc>
        <w:tc>
          <w:tcPr>
            <w:tcW w:w="2388" w:type="dxa"/>
            <w:shd w:val="clear" w:color="auto" w:fill="auto"/>
            <w:noWrap/>
            <w:vAlign w:val="center"/>
          </w:tcPr>
          <w:p w14:paraId="64DC7695" w14:textId="121CFA0C"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Actividades de capacitación</w:t>
            </w:r>
          </w:p>
        </w:tc>
        <w:tc>
          <w:tcPr>
            <w:tcW w:w="1275" w:type="dxa"/>
            <w:shd w:val="clear" w:color="auto" w:fill="auto"/>
            <w:noWrap/>
            <w:vAlign w:val="center"/>
          </w:tcPr>
          <w:p w14:paraId="64DC7696" w14:textId="3AAE642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93,623,651</w:t>
            </w:r>
          </w:p>
        </w:tc>
        <w:tc>
          <w:tcPr>
            <w:tcW w:w="1253" w:type="dxa"/>
            <w:shd w:val="clear" w:color="auto" w:fill="auto"/>
            <w:noWrap/>
            <w:vAlign w:val="center"/>
          </w:tcPr>
          <w:p w14:paraId="64DC7697" w14:textId="0249A7E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63,653,682</w:t>
            </w:r>
          </w:p>
        </w:tc>
        <w:tc>
          <w:tcPr>
            <w:tcW w:w="1089" w:type="dxa"/>
            <w:shd w:val="clear" w:color="auto" w:fill="auto"/>
            <w:noWrap/>
            <w:vAlign w:val="center"/>
          </w:tcPr>
          <w:p w14:paraId="64DC7698" w14:textId="5C51047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17,944,738</w:t>
            </w:r>
          </w:p>
        </w:tc>
        <w:tc>
          <w:tcPr>
            <w:tcW w:w="1202" w:type="dxa"/>
            <w:shd w:val="clear" w:color="auto" w:fill="auto"/>
            <w:noWrap/>
            <w:vAlign w:val="center"/>
          </w:tcPr>
          <w:p w14:paraId="64DC7699" w14:textId="2466D4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81,598,420</w:t>
            </w:r>
          </w:p>
        </w:tc>
        <w:tc>
          <w:tcPr>
            <w:tcW w:w="957" w:type="dxa"/>
            <w:shd w:val="clear" w:color="auto" w:fill="auto"/>
            <w:noWrap/>
            <w:vAlign w:val="center"/>
          </w:tcPr>
          <w:p w14:paraId="64DC769A" w14:textId="7221168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87%</w:t>
            </w:r>
          </w:p>
        </w:tc>
      </w:tr>
      <w:tr w:rsidR="00EE3816" w:rsidRPr="00787962" w14:paraId="64DC76A3" w14:textId="77777777" w:rsidTr="00534505">
        <w:trPr>
          <w:trHeight w:val="276"/>
        </w:trPr>
        <w:tc>
          <w:tcPr>
            <w:tcW w:w="808" w:type="dxa"/>
            <w:shd w:val="clear" w:color="auto" w:fill="auto"/>
            <w:noWrap/>
            <w:vAlign w:val="center"/>
          </w:tcPr>
          <w:p w14:paraId="64DC769C" w14:textId="30941F2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1.07.02</w:t>
            </w:r>
          </w:p>
        </w:tc>
        <w:tc>
          <w:tcPr>
            <w:tcW w:w="2388" w:type="dxa"/>
            <w:shd w:val="clear" w:color="auto" w:fill="auto"/>
            <w:noWrap/>
            <w:vAlign w:val="center"/>
          </w:tcPr>
          <w:p w14:paraId="64DC769D" w14:textId="76B5B75A"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Actividades protocolarias y sociales</w:t>
            </w:r>
          </w:p>
        </w:tc>
        <w:tc>
          <w:tcPr>
            <w:tcW w:w="1275" w:type="dxa"/>
            <w:shd w:val="clear" w:color="auto" w:fill="auto"/>
            <w:noWrap/>
            <w:vAlign w:val="center"/>
          </w:tcPr>
          <w:p w14:paraId="64DC769E" w14:textId="4790C93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4,500,000</w:t>
            </w:r>
          </w:p>
        </w:tc>
        <w:tc>
          <w:tcPr>
            <w:tcW w:w="1253" w:type="dxa"/>
            <w:shd w:val="clear" w:color="auto" w:fill="auto"/>
            <w:noWrap/>
            <w:vAlign w:val="center"/>
          </w:tcPr>
          <w:p w14:paraId="64DC769F" w14:textId="20C5454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A0" w14:textId="49D045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A1" w14:textId="7918925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957" w:type="dxa"/>
            <w:shd w:val="clear" w:color="auto" w:fill="auto"/>
            <w:noWrap/>
            <w:vAlign w:val="center"/>
          </w:tcPr>
          <w:p w14:paraId="64DC76A2" w14:textId="7F917BD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AB" w14:textId="77777777" w:rsidTr="00534505">
        <w:trPr>
          <w:trHeight w:val="276"/>
        </w:trPr>
        <w:tc>
          <w:tcPr>
            <w:tcW w:w="808" w:type="dxa"/>
            <w:shd w:val="clear" w:color="auto" w:fill="auto"/>
            <w:noWrap/>
            <w:vAlign w:val="center"/>
          </w:tcPr>
          <w:p w14:paraId="64DC76A4" w14:textId="2291F47A"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1.08.01</w:t>
            </w:r>
          </w:p>
        </w:tc>
        <w:tc>
          <w:tcPr>
            <w:tcW w:w="2388" w:type="dxa"/>
            <w:shd w:val="clear" w:color="auto" w:fill="auto"/>
            <w:noWrap/>
            <w:vAlign w:val="center"/>
          </w:tcPr>
          <w:p w14:paraId="64DC76A5" w14:textId="02623027"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de edificio y locales</w:t>
            </w:r>
          </w:p>
        </w:tc>
        <w:tc>
          <w:tcPr>
            <w:tcW w:w="1275" w:type="dxa"/>
            <w:shd w:val="clear" w:color="auto" w:fill="auto"/>
            <w:noWrap/>
            <w:vAlign w:val="center"/>
          </w:tcPr>
          <w:p w14:paraId="64DC76A6" w14:textId="5F228E1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5,000,000</w:t>
            </w:r>
          </w:p>
        </w:tc>
        <w:tc>
          <w:tcPr>
            <w:tcW w:w="1253" w:type="dxa"/>
            <w:shd w:val="clear" w:color="auto" w:fill="auto"/>
            <w:noWrap/>
            <w:vAlign w:val="center"/>
          </w:tcPr>
          <w:p w14:paraId="64DC76A7" w14:textId="66778DC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1,780,024</w:t>
            </w:r>
          </w:p>
        </w:tc>
        <w:tc>
          <w:tcPr>
            <w:tcW w:w="1089" w:type="dxa"/>
            <w:shd w:val="clear" w:color="auto" w:fill="auto"/>
            <w:noWrap/>
            <w:vAlign w:val="center"/>
          </w:tcPr>
          <w:p w14:paraId="64DC76A8" w14:textId="3750AF3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A9" w14:textId="0B5765A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1,780,023.74</w:t>
            </w:r>
          </w:p>
        </w:tc>
        <w:tc>
          <w:tcPr>
            <w:tcW w:w="957" w:type="dxa"/>
            <w:shd w:val="clear" w:color="auto" w:fill="auto"/>
            <w:noWrap/>
            <w:vAlign w:val="center"/>
          </w:tcPr>
          <w:p w14:paraId="64DC76AA" w14:textId="424E481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36%</w:t>
            </w:r>
          </w:p>
        </w:tc>
      </w:tr>
      <w:tr w:rsidR="00EE3816" w:rsidRPr="00787962" w14:paraId="64DC76B3" w14:textId="77777777" w:rsidTr="00534505">
        <w:trPr>
          <w:trHeight w:val="276"/>
        </w:trPr>
        <w:tc>
          <w:tcPr>
            <w:tcW w:w="808" w:type="dxa"/>
            <w:shd w:val="clear" w:color="auto" w:fill="auto"/>
            <w:noWrap/>
            <w:vAlign w:val="center"/>
          </w:tcPr>
          <w:p w14:paraId="64DC76AC" w14:textId="5A291731"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1.08.04</w:t>
            </w:r>
          </w:p>
        </w:tc>
        <w:tc>
          <w:tcPr>
            <w:tcW w:w="2388" w:type="dxa"/>
            <w:shd w:val="clear" w:color="auto" w:fill="auto"/>
            <w:noWrap/>
            <w:vAlign w:val="center"/>
          </w:tcPr>
          <w:p w14:paraId="64DC76AD" w14:textId="390DCC1D"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maquinaria y equipo de producción</w:t>
            </w:r>
          </w:p>
        </w:tc>
        <w:tc>
          <w:tcPr>
            <w:tcW w:w="1275" w:type="dxa"/>
            <w:shd w:val="clear" w:color="auto" w:fill="auto"/>
            <w:noWrap/>
            <w:vAlign w:val="center"/>
          </w:tcPr>
          <w:p w14:paraId="64DC76AE" w14:textId="2D4E898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200,000</w:t>
            </w:r>
          </w:p>
        </w:tc>
        <w:tc>
          <w:tcPr>
            <w:tcW w:w="1253" w:type="dxa"/>
            <w:shd w:val="clear" w:color="auto" w:fill="auto"/>
            <w:noWrap/>
            <w:vAlign w:val="center"/>
          </w:tcPr>
          <w:p w14:paraId="64DC76AF" w14:textId="0DB8451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B0" w14:textId="31D11B2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B1" w14:textId="3B35626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B2" w14:textId="32509DC3"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BB" w14:textId="77777777" w:rsidTr="00534505">
        <w:trPr>
          <w:trHeight w:val="276"/>
        </w:trPr>
        <w:tc>
          <w:tcPr>
            <w:tcW w:w="808" w:type="dxa"/>
            <w:shd w:val="clear" w:color="auto" w:fill="auto"/>
            <w:noWrap/>
            <w:vAlign w:val="center"/>
          </w:tcPr>
          <w:p w14:paraId="64DC76B4" w14:textId="5D365793"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1.08.05</w:t>
            </w:r>
          </w:p>
        </w:tc>
        <w:tc>
          <w:tcPr>
            <w:tcW w:w="2388" w:type="dxa"/>
            <w:shd w:val="clear" w:color="auto" w:fill="auto"/>
            <w:noWrap/>
            <w:vAlign w:val="center"/>
          </w:tcPr>
          <w:p w14:paraId="64DC76B5" w14:textId="5EB63E0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transporte</w:t>
            </w:r>
          </w:p>
        </w:tc>
        <w:tc>
          <w:tcPr>
            <w:tcW w:w="1275" w:type="dxa"/>
            <w:shd w:val="clear" w:color="auto" w:fill="auto"/>
            <w:noWrap/>
            <w:vAlign w:val="center"/>
          </w:tcPr>
          <w:p w14:paraId="64DC76B6" w14:textId="357A3AE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2,200,000</w:t>
            </w:r>
          </w:p>
        </w:tc>
        <w:tc>
          <w:tcPr>
            <w:tcW w:w="1253" w:type="dxa"/>
            <w:shd w:val="clear" w:color="auto" w:fill="auto"/>
            <w:noWrap/>
            <w:vAlign w:val="center"/>
          </w:tcPr>
          <w:p w14:paraId="64DC76B7" w14:textId="166BB5E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2,173,582</w:t>
            </w:r>
          </w:p>
        </w:tc>
        <w:tc>
          <w:tcPr>
            <w:tcW w:w="1089" w:type="dxa"/>
            <w:shd w:val="clear" w:color="auto" w:fill="auto"/>
            <w:noWrap/>
            <w:vAlign w:val="center"/>
          </w:tcPr>
          <w:p w14:paraId="64DC76B8" w14:textId="31D9B56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B9" w14:textId="2FD231E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2,173,581.57</w:t>
            </w:r>
          </w:p>
        </w:tc>
        <w:tc>
          <w:tcPr>
            <w:tcW w:w="957" w:type="dxa"/>
            <w:shd w:val="clear" w:color="auto" w:fill="auto"/>
            <w:noWrap/>
            <w:vAlign w:val="center"/>
          </w:tcPr>
          <w:p w14:paraId="64DC76BA" w14:textId="7D768FBD"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99%</w:t>
            </w:r>
          </w:p>
        </w:tc>
      </w:tr>
      <w:tr w:rsidR="00EE3816" w:rsidRPr="00787962" w14:paraId="64DC76C3" w14:textId="77777777" w:rsidTr="00534505">
        <w:trPr>
          <w:trHeight w:val="288"/>
        </w:trPr>
        <w:tc>
          <w:tcPr>
            <w:tcW w:w="808" w:type="dxa"/>
            <w:shd w:val="clear" w:color="auto" w:fill="auto"/>
            <w:noWrap/>
            <w:vAlign w:val="center"/>
          </w:tcPr>
          <w:p w14:paraId="64DC76BC" w14:textId="546DD36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1.08.06</w:t>
            </w:r>
          </w:p>
        </w:tc>
        <w:tc>
          <w:tcPr>
            <w:tcW w:w="2388" w:type="dxa"/>
            <w:shd w:val="clear" w:color="auto" w:fill="auto"/>
            <w:noWrap/>
            <w:vAlign w:val="center"/>
          </w:tcPr>
          <w:p w14:paraId="64DC76BD" w14:textId="6A252E0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comunicación</w:t>
            </w:r>
          </w:p>
        </w:tc>
        <w:tc>
          <w:tcPr>
            <w:tcW w:w="1275" w:type="dxa"/>
            <w:shd w:val="clear" w:color="auto" w:fill="auto"/>
            <w:noWrap/>
            <w:vAlign w:val="center"/>
          </w:tcPr>
          <w:p w14:paraId="64DC76BE" w14:textId="0859A94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500,000</w:t>
            </w:r>
          </w:p>
        </w:tc>
        <w:tc>
          <w:tcPr>
            <w:tcW w:w="1253" w:type="dxa"/>
            <w:shd w:val="clear" w:color="auto" w:fill="auto"/>
            <w:noWrap/>
            <w:vAlign w:val="center"/>
          </w:tcPr>
          <w:p w14:paraId="64DC76BF" w14:textId="2800F09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C0" w14:textId="009003C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C1" w14:textId="2182917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C2" w14:textId="50FBBAE9"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CB" w14:textId="77777777" w:rsidTr="00534505">
        <w:trPr>
          <w:trHeight w:val="288"/>
        </w:trPr>
        <w:tc>
          <w:tcPr>
            <w:tcW w:w="808" w:type="dxa"/>
            <w:shd w:val="clear" w:color="auto" w:fill="auto"/>
            <w:noWrap/>
            <w:vAlign w:val="center"/>
          </w:tcPr>
          <w:p w14:paraId="64DC76C4" w14:textId="44F4C6E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1.08.07</w:t>
            </w:r>
          </w:p>
        </w:tc>
        <w:tc>
          <w:tcPr>
            <w:tcW w:w="2388" w:type="dxa"/>
            <w:shd w:val="clear" w:color="auto" w:fill="auto"/>
            <w:noWrap/>
            <w:vAlign w:val="center"/>
          </w:tcPr>
          <w:p w14:paraId="64DC76C5" w14:textId="3EEAFC7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oficina</w:t>
            </w:r>
          </w:p>
        </w:tc>
        <w:tc>
          <w:tcPr>
            <w:tcW w:w="1275" w:type="dxa"/>
            <w:shd w:val="clear" w:color="auto" w:fill="auto"/>
            <w:noWrap/>
            <w:vAlign w:val="center"/>
          </w:tcPr>
          <w:p w14:paraId="64DC76C6" w14:textId="7E1388D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600,000</w:t>
            </w:r>
          </w:p>
        </w:tc>
        <w:tc>
          <w:tcPr>
            <w:tcW w:w="1253" w:type="dxa"/>
            <w:shd w:val="clear" w:color="auto" w:fill="auto"/>
            <w:noWrap/>
            <w:vAlign w:val="center"/>
          </w:tcPr>
          <w:p w14:paraId="64DC76C7" w14:textId="3BC6227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463,665</w:t>
            </w:r>
          </w:p>
        </w:tc>
        <w:tc>
          <w:tcPr>
            <w:tcW w:w="1089" w:type="dxa"/>
            <w:shd w:val="clear" w:color="auto" w:fill="auto"/>
            <w:noWrap/>
            <w:vAlign w:val="center"/>
          </w:tcPr>
          <w:p w14:paraId="64DC76C8" w14:textId="715BD90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C9" w14:textId="3A7864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463,665.39</w:t>
            </w:r>
          </w:p>
        </w:tc>
        <w:tc>
          <w:tcPr>
            <w:tcW w:w="957" w:type="dxa"/>
            <w:shd w:val="clear" w:color="auto" w:fill="auto"/>
            <w:noWrap/>
            <w:vAlign w:val="center"/>
          </w:tcPr>
          <w:p w14:paraId="64DC76CA" w14:textId="1C4F9DB8"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77%</w:t>
            </w:r>
          </w:p>
        </w:tc>
      </w:tr>
      <w:tr w:rsidR="00EE3816" w:rsidRPr="00787962" w14:paraId="64DC76D3" w14:textId="77777777" w:rsidTr="00534505">
        <w:trPr>
          <w:trHeight w:val="288"/>
        </w:trPr>
        <w:tc>
          <w:tcPr>
            <w:tcW w:w="808" w:type="dxa"/>
            <w:shd w:val="clear" w:color="auto" w:fill="auto"/>
            <w:noWrap/>
            <w:vAlign w:val="center"/>
          </w:tcPr>
          <w:p w14:paraId="64DC76CC" w14:textId="17E00A9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1.08.08</w:t>
            </w:r>
          </w:p>
        </w:tc>
        <w:tc>
          <w:tcPr>
            <w:tcW w:w="2388" w:type="dxa"/>
            <w:shd w:val="clear" w:color="auto" w:fill="auto"/>
            <w:noWrap/>
            <w:vAlign w:val="center"/>
          </w:tcPr>
          <w:p w14:paraId="64DC76CD" w14:textId="4A983E4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cómputo</w:t>
            </w:r>
          </w:p>
        </w:tc>
        <w:tc>
          <w:tcPr>
            <w:tcW w:w="1275" w:type="dxa"/>
            <w:shd w:val="clear" w:color="auto" w:fill="auto"/>
            <w:noWrap/>
            <w:vAlign w:val="center"/>
          </w:tcPr>
          <w:p w14:paraId="64DC76CE" w14:textId="3357731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600,000</w:t>
            </w:r>
          </w:p>
        </w:tc>
        <w:tc>
          <w:tcPr>
            <w:tcW w:w="1253" w:type="dxa"/>
            <w:shd w:val="clear" w:color="auto" w:fill="auto"/>
            <w:noWrap/>
            <w:vAlign w:val="center"/>
          </w:tcPr>
          <w:p w14:paraId="64DC76CF" w14:textId="285140D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198,604</w:t>
            </w:r>
          </w:p>
        </w:tc>
        <w:tc>
          <w:tcPr>
            <w:tcW w:w="1089" w:type="dxa"/>
            <w:shd w:val="clear" w:color="auto" w:fill="auto"/>
            <w:noWrap/>
            <w:vAlign w:val="center"/>
          </w:tcPr>
          <w:p w14:paraId="64DC76D0" w14:textId="79FFB5F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D1" w14:textId="129947C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198,604.00</w:t>
            </w:r>
          </w:p>
        </w:tc>
        <w:tc>
          <w:tcPr>
            <w:tcW w:w="957" w:type="dxa"/>
            <w:shd w:val="clear" w:color="auto" w:fill="auto"/>
            <w:noWrap/>
            <w:vAlign w:val="center"/>
          </w:tcPr>
          <w:p w14:paraId="64DC76D2" w14:textId="262D160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33%</w:t>
            </w:r>
          </w:p>
        </w:tc>
      </w:tr>
      <w:tr w:rsidR="00EE3816" w:rsidRPr="00787962" w14:paraId="64DC76DB" w14:textId="77777777" w:rsidTr="00534505">
        <w:trPr>
          <w:trHeight w:val="288"/>
        </w:trPr>
        <w:tc>
          <w:tcPr>
            <w:tcW w:w="808" w:type="dxa"/>
            <w:shd w:val="clear" w:color="auto" w:fill="auto"/>
            <w:noWrap/>
            <w:vAlign w:val="center"/>
          </w:tcPr>
          <w:p w14:paraId="64DC76D4" w14:textId="16A92A59"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1.08.99</w:t>
            </w:r>
          </w:p>
        </w:tc>
        <w:tc>
          <w:tcPr>
            <w:tcW w:w="2388" w:type="dxa"/>
            <w:shd w:val="clear" w:color="auto" w:fill="auto"/>
            <w:noWrap/>
            <w:vAlign w:val="center"/>
          </w:tcPr>
          <w:p w14:paraId="64DC76D5" w14:textId="58F8914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otros equipos</w:t>
            </w:r>
          </w:p>
        </w:tc>
        <w:tc>
          <w:tcPr>
            <w:tcW w:w="1275" w:type="dxa"/>
            <w:shd w:val="clear" w:color="auto" w:fill="auto"/>
            <w:noWrap/>
            <w:vAlign w:val="center"/>
          </w:tcPr>
          <w:p w14:paraId="64DC76D6" w14:textId="7456F7E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100,000</w:t>
            </w:r>
          </w:p>
        </w:tc>
        <w:tc>
          <w:tcPr>
            <w:tcW w:w="1253" w:type="dxa"/>
            <w:shd w:val="clear" w:color="auto" w:fill="auto"/>
            <w:noWrap/>
            <w:vAlign w:val="center"/>
          </w:tcPr>
          <w:p w14:paraId="64DC76D7" w14:textId="545A6E7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13,000</w:t>
            </w:r>
          </w:p>
        </w:tc>
        <w:tc>
          <w:tcPr>
            <w:tcW w:w="1089" w:type="dxa"/>
            <w:shd w:val="clear" w:color="auto" w:fill="auto"/>
            <w:noWrap/>
            <w:vAlign w:val="center"/>
          </w:tcPr>
          <w:p w14:paraId="64DC76D8" w14:textId="716E1C6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D9" w14:textId="01B8CF9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13,000.00</w:t>
            </w:r>
          </w:p>
        </w:tc>
        <w:tc>
          <w:tcPr>
            <w:tcW w:w="957" w:type="dxa"/>
            <w:shd w:val="clear" w:color="auto" w:fill="auto"/>
            <w:noWrap/>
            <w:vAlign w:val="center"/>
          </w:tcPr>
          <w:p w14:paraId="64DC76DA" w14:textId="6D6966AF"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13%</w:t>
            </w:r>
          </w:p>
        </w:tc>
      </w:tr>
      <w:tr w:rsidR="00EE3816" w:rsidRPr="00787962" w14:paraId="64DC76E3" w14:textId="77777777" w:rsidTr="00534505">
        <w:trPr>
          <w:trHeight w:val="282"/>
        </w:trPr>
        <w:tc>
          <w:tcPr>
            <w:tcW w:w="808" w:type="dxa"/>
            <w:shd w:val="clear" w:color="auto" w:fill="auto"/>
            <w:noWrap/>
            <w:vAlign w:val="center"/>
          </w:tcPr>
          <w:p w14:paraId="64DC76DC" w14:textId="1D6269DF"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1.09.99</w:t>
            </w:r>
          </w:p>
        </w:tc>
        <w:tc>
          <w:tcPr>
            <w:tcW w:w="2388" w:type="dxa"/>
            <w:shd w:val="clear" w:color="auto" w:fill="auto"/>
            <w:noWrap/>
            <w:vAlign w:val="center"/>
          </w:tcPr>
          <w:p w14:paraId="64DC76DD" w14:textId="6365EC5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impuestos</w:t>
            </w:r>
          </w:p>
        </w:tc>
        <w:tc>
          <w:tcPr>
            <w:tcW w:w="1275" w:type="dxa"/>
            <w:shd w:val="clear" w:color="auto" w:fill="auto"/>
            <w:noWrap/>
            <w:vAlign w:val="center"/>
          </w:tcPr>
          <w:p w14:paraId="64DC76DE" w14:textId="456F28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80,000</w:t>
            </w:r>
          </w:p>
        </w:tc>
        <w:tc>
          <w:tcPr>
            <w:tcW w:w="1253" w:type="dxa"/>
            <w:shd w:val="clear" w:color="auto" w:fill="auto"/>
            <w:noWrap/>
            <w:vAlign w:val="center"/>
          </w:tcPr>
          <w:p w14:paraId="64DC76DF" w14:textId="22C381B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31,100</w:t>
            </w:r>
          </w:p>
        </w:tc>
        <w:tc>
          <w:tcPr>
            <w:tcW w:w="1089" w:type="dxa"/>
            <w:shd w:val="clear" w:color="auto" w:fill="auto"/>
            <w:noWrap/>
            <w:vAlign w:val="center"/>
          </w:tcPr>
          <w:p w14:paraId="64DC76E0" w14:textId="54320E9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E1" w14:textId="2FF1624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31,100.00</w:t>
            </w:r>
          </w:p>
        </w:tc>
        <w:tc>
          <w:tcPr>
            <w:tcW w:w="957" w:type="dxa"/>
            <w:shd w:val="clear" w:color="auto" w:fill="auto"/>
            <w:noWrap/>
            <w:vAlign w:val="center"/>
          </w:tcPr>
          <w:p w14:paraId="64DC76E2" w14:textId="71E8B71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39%</w:t>
            </w:r>
          </w:p>
        </w:tc>
      </w:tr>
      <w:tr w:rsidR="00EE3816" w:rsidRPr="00787962" w14:paraId="64DC76EB" w14:textId="77777777" w:rsidTr="00534505">
        <w:trPr>
          <w:trHeight w:val="360"/>
        </w:trPr>
        <w:tc>
          <w:tcPr>
            <w:tcW w:w="808" w:type="dxa"/>
            <w:shd w:val="clear" w:color="auto" w:fill="auto"/>
            <w:noWrap/>
            <w:vAlign w:val="center"/>
          </w:tcPr>
          <w:p w14:paraId="64DC76E4" w14:textId="4393A4E7"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1.99.99</w:t>
            </w:r>
          </w:p>
        </w:tc>
        <w:tc>
          <w:tcPr>
            <w:tcW w:w="2388" w:type="dxa"/>
            <w:shd w:val="clear" w:color="auto" w:fill="auto"/>
            <w:noWrap/>
            <w:vAlign w:val="center"/>
          </w:tcPr>
          <w:p w14:paraId="64DC76E5" w14:textId="6F3AA3DE"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no especificados</w:t>
            </w:r>
          </w:p>
        </w:tc>
        <w:tc>
          <w:tcPr>
            <w:tcW w:w="1275" w:type="dxa"/>
            <w:shd w:val="clear" w:color="auto" w:fill="auto"/>
            <w:noWrap/>
            <w:vAlign w:val="center"/>
          </w:tcPr>
          <w:p w14:paraId="64DC76E6" w14:textId="10A9C31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812,000</w:t>
            </w:r>
          </w:p>
        </w:tc>
        <w:tc>
          <w:tcPr>
            <w:tcW w:w="1253" w:type="dxa"/>
            <w:shd w:val="clear" w:color="auto" w:fill="auto"/>
            <w:noWrap/>
            <w:vAlign w:val="center"/>
          </w:tcPr>
          <w:p w14:paraId="64DC76E7" w14:textId="41B7304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E8" w14:textId="15861CC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E9" w14:textId="183E2E2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EA" w14:textId="4F9D2F1F"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F3" w14:textId="77777777" w:rsidTr="00534505">
        <w:trPr>
          <w:trHeight w:val="360"/>
        </w:trPr>
        <w:tc>
          <w:tcPr>
            <w:tcW w:w="3196" w:type="dxa"/>
            <w:gridSpan w:val="2"/>
            <w:shd w:val="clear" w:color="auto" w:fill="C6D9F1" w:themeFill="text2" w:themeFillTint="33"/>
            <w:noWrap/>
            <w:vAlign w:val="center"/>
          </w:tcPr>
          <w:p w14:paraId="64DC76ED" w14:textId="0AC2D118"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Total general</w:t>
            </w:r>
          </w:p>
        </w:tc>
        <w:tc>
          <w:tcPr>
            <w:tcW w:w="1275" w:type="dxa"/>
            <w:shd w:val="clear" w:color="auto" w:fill="C6D9F1" w:themeFill="text2" w:themeFillTint="33"/>
            <w:noWrap/>
            <w:vAlign w:val="center"/>
          </w:tcPr>
          <w:p w14:paraId="64DC76EE" w14:textId="55ECAF2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1,920,098,919</w:t>
            </w:r>
          </w:p>
        </w:tc>
        <w:tc>
          <w:tcPr>
            <w:tcW w:w="1253" w:type="dxa"/>
            <w:shd w:val="clear" w:color="auto" w:fill="C6D9F1" w:themeFill="text2" w:themeFillTint="33"/>
            <w:noWrap/>
            <w:vAlign w:val="center"/>
          </w:tcPr>
          <w:p w14:paraId="64DC76EF" w14:textId="0B15E51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1,718,347,842</w:t>
            </w:r>
          </w:p>
        </w:tc>
        <w:tc>
          <w:tcPr>
            <w:tcW w:w="1089" w:type="dxa"/>
            <w:shd w:val="clear" w:color="auto" w:fill="C6D9F1" w:themeFill="text2" w:themeFillTint="33"/>
            <w:noWrap/>
            <w:vAlign w:val="center"/>
          </w:tcPr>
          <w:p w14:paraId="64DC76F0" w14:textId="00819F8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28,058,227</w:t>
            </w:r>
          </w:p>
        </w:tc>
        <w:tc>
          <w:tcPr>
            <w:tcW w:w="1202" w:type="dxa"/>
            <w:shd w:val="clear" w:color="auto" w:fill="C6D9F1" w:themeFill="text2" w:themeFillTint="33"/>
            <w:noWrap/>
            <w:vAlign w:val="center"/>
          </w:tcPr>
          <w:p w14:paraId="64DC76F1" w14:textId="3E6FD3D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1,746,406,070</w:t>
            </w:r>
          </w:p>
        </w:tc>
        <w:tc>
          <w:tcPr>
            <w:tcW w:w="957" w:type="dxa"/>
            <w:shd w:val="clear" w:color="auto" w:fill="C6D9F1" w:themeFill="text2" w:themeFillTint="33"/>
            <w:noWrap/>
            <w:vAlign w:val="center"/>
          </w:tcPr>
          <w:p w14:paraId="64DC76F2" w14:textId="30AD8F6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bl>
    <w:p w14:paraId="64DC7704" w14:textId="77777777" w:rsidR="00225437" w:rsidRPr="00787962" w:rsidRDefault="00225437" w:rsidP="00225437">
      <w:pPr>
        <w:pStyle w:val="Textoindependiente"/>
        <w:numPr>
          <w:ilvl w:val="0"/>
          <w:numId w:val="0"/>
        </w:numPr>
        <w:rPr>
          <w:rFonts w:asciiTheme="minorHAnsi" w:hAnsiTheme="minorHAnsi" w:cstheme="minorHAnsi"/>
          <w:sz w:val="22"/>
          <w:szCs w:val="22"/>
          <w:lang w:val="es-CR"/>
        </w:rPr>
      </w:pPr>
    </w:p>
    <w:p w14:paraId="64DC7706" w14:textId="488C487F"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Pr="00787962">
        <w:rPr>
          <w:rFonts w:asciiTheme="minorHAnsi" w:hAnsiTheme="minorHAnsi" w:cstheme="minorHAnsi"/>
          <w:szCs w:val="24"/>
          <w:lang w:val="es-CR"/>
        </w:rPr>
        <w:t xml:space="preserve">. </w:t>
      </w:r>
    </w:p>
    <w:p w14:paraId="6DE0AD60" w14:textId="77777777" w:rsidR="00070903" w:rsidRPr="00787962" w:rsidRDefault="00070903"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081CE93A" w14:textId="0BA56D73" w:rsidR="004779C2"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64DC770A" w14:textId="28E6C96E" w:rsidR="002414EC" w:rsidRPr="00787962" w:rsidRDefault="002414EC" w:rsidP="004A2908">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801CB0" w:rsidRPr="00787962">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0B" w14:textId="5699A504" w:rsidR="002414EC"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7C64C3">
        <w:rPr>
          <w:rFonts w:asciiTheme="minorHAnsi" w:hAnsiTheme="minorHAnsi" w:cstheme="minorHAnsi"/>
          <w:szCs w:val="24"/>
          <w:lang w:val="es-CR"/>
        </w:rPr>
        <w:t>76</w:t>
      </w:r>
      <w:r w:rsidR="002D3A55" w:rsidRPr="00787962">
        <w:rPr>
          <w:rFonts w:asciiTheme="minorHAnsi" w:hAnsiTheme="minorHAnsi" w:cstheme="minorHAnsi"/>
          <w:szCs w:val="24"/>
          <w:lang w:val="es-CR"/>
        </w:rPr>
        <w:t>%.</w:t>
      </w:r>
    </w:p>
    <w:p w14:paraId="64DC770C" w14:textId="3C4319F5"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7C64C3">
        <w:rPr>
          <w:rFonts w:asciiTheme="minorHAnsi" w:hAnsiTheme="minorHAnsi" w:cstheme="minorHAnsi"/>
          <w:szCs w:val="24"/>
          <w:lang w:val="es-CR"/>
        </w:rPr>
        <w:t>77</w:t>
      </w:r>
      <w:r w:rsidR="002D3A55" w:rsidRPr="00787962">
        <w:rPr>
          <w:rFonts w:asciiTheme="minorHAnsi" w:hAnsiTheme="minorHAnsi" w:cstheme="minorHAnsi"/>
          <w:szCs w:val="24"/>
          <w:lang w:val="es-CR"/>
        </w:rPr>
        <w:t>%.</w:t>
      </w:r>
    </w:p>
    <w:p w14:paraId="64DC770D" w14:textId="19AD0944"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7C64C3">
        <w:rPr>
          <w:rFonts w:asciiTheme="minorHAnsi" w:hAnsiTheme="minorHAnsi" w:cstheme="minorHAnsi"/>
          <w:szCs w:val="24"/>
          <w:lang w:val="es-CR"/>
        </w:rPr>
        <w:t>78</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156A10E6" w:rsidR="003253F9"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4A2908" w:rsidRPr="00787962">
        <w:rPr>
          <w:rFonts w:asciiTheme="minorHAnsi" w:hAnsiTheme="minorHAnsi" w:cstheme="minorHAnsi"/>
          <w:szCs w:val="24"/>
          <w:lang w:val="es-CR"/>
        </w:rPr>
        <w:t>0</w:t>
      </w:r>
      <w:r w:rsidR="0025051A"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esto debido a que se </w:t>
      </w:r>
      <w:r w:rsidR="00801CB0" w:rsidRPr="00787962">
        <w:rPr>
          <w:rFonts w:asciiTheme="minorHAnsi" w:hAnsiTheme="minorHAnsi" w:cstheme="minorHAnsi"/>
          <w:szCs w:val="24"/>
          <w:lang w:val="es-CR"/>
        </w:rPr>
        <w:t>optó por acatar la directriz de contención del gasto emitida por el Poder Ejecutivo</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0590059C" w:rsidR="003253F9"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6B4E53">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11" w14:textId="794E0302" w:rsidR="00225437"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6B4E53">
        <w:rPr>
          <w:rFonts w:asciiTheme="minorHAnsi" w:hAnsiTheme="minorHAnsi" w:cstheme="minorHAnsi"/>
          <w:szCs w:val="24"/>
          <w:lang w:val="es-CR"/>
        </w:rPr>
        <w:t>95</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06018242" w14:textId="05EE3977" w:rsidR="005D020A" w:rsidRDefault="005D020A" w:rsidP="00E807B4">
      <w:pPr>
        <w:pStyle w:val="Textoindependiente"/>
        <w:numPr>
          <w:ilvl w:val="0"/>
          <w:numId w:val="0"/>
        </w:numPr>
        <w:spacing w:line="240" w:lineRule="auto"/>
        <w:jc w:val="left"/>
        <w:rPr>
          <w:rFonts w:asciiTheme="minorHAnsi" w:hAnsiTheme="minorHAnsi" w:cstheme="minorHAnsi"/>
          <w:sz w:val="22"/>
          <w:szCs w:val="22"/>
          <w:lang w:val="es-CR"/>
        </w:rPr>
      </w:pPr>
    </w:p>
    <w:p w14:paraId="1F1F5037" w14:textId="77777777" w:rsidR="005D020A" w:rsidRDefault="005D020A" w:rsidP="00E807B4">
      <w:pPr>
        <w:pStyle w:val="Textoindependiente"/>
        <w:numPr>
          <w:ilvl w:val="0"/>
          <w:numId w:val="0"/>
        </w:numPr>
        <w:spacing w:line="240" w:lineRule="auto"/>
        <w:jc w:val="left"/>
        <w:rPr>
          <w:rFonts w:asciiTheme="minorHAnsi" w:hAnsiTheme="minorHAnsi" w:cstheme="minorHAnsi"/>
          <w:sz w:val="22"/>
          <w:szCs w:val="22"/>
          <w:lang w:val="es-CR"/>
        </w:rPr>
      </w:pPr>
    </w:p>
    <w:p w14:paraId="012461A5" w14:textId="28ACBDFE" w:rsidR="00607083" w:rsidRPr="000F5573" w:rsidRDefault="004E665D" w:rsidP="00E807B4">
      <w:pPr>
        <w:pStyle w:val="Textoindependiente"/>
        <w:numPr>
          <w:ilvl w:val="0"/>
          <w:numId w:val="0"/>
        </w:numPr>
        <w:spacing w:line="240" w:lineRule="auto"/>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5D020A">
        <w:rPr>
          <w:rFonts w:asciiTheme="minorHAnsi" w:hAnsiTheme="minorHAnsi" w:cstheme="minorHAnsi"/>
          <w:sz w:val="22"/>
          <w:szCs w:val="22"/>
          <w:lang w:val="es-CR"/>
        </w:rPr>
        <w:t>9</w:t>
      </w:r>
      <w:r w:rsidR="00582911" w:rsidRPr="000F5573">
        <w:rPr>
          <w:rFonts w:asciiTheme="minorHAnsi" w:hAnsiTheme="minorHAnsi" w:cstheme="minorHAnsi"/>
          <w:sz w:val="22"/>
          <w:szCs w:val="22"/>
          <w:lang w:val="es-CR"/>
        </w:rPr>
        <w:t xml:space="preserve">: </w:t>
      </w:r>
      <w:r w:rsidR="00607083" w:rsidRPr="000F5573">
        <w:rPr>
          <w:rFonts w:asciiTheme="minorHAnsi" w:hAnsiTheme="minorHAnsi" w:cstheme="minorHAnsi"/>
          <w:b/>
          <w:sz w:val="22"/>
          <w:szCs w:val="22"/>
          <w:lang w:val="es-CR"/>
        </w:rPr>
        <w:t>Detalle consultorías</w:t>
      </w:r>
    </w:p>
    <w:p w14:paraId="6BC2B941" w14:textId="0D677CC3" w:rsidR="00607083" w:rsidRPr="00B45046" w:rsidRDefault="00607083" w:rsidP="00E807B4">
      <w:pPr>
        <w:jc w:val="left"/>
        <w:rPr>
          <w:rFonts w:asciiTheme="minorHAnsi" w:hAnsiTheme="minorHAnsi" w:cstheme="minorHAnsi"/>
          <w:sz w:val="20"/>
          <w:szCs w:val="22"/>
          <w:lang w:val="es-CR"/>
        </w:rPr>
      </w:pPr>
      <w:r w:rsidRPr="00B45046">
        <w:rPr>
          <w:rFonts w:asciiTheme="minorHAnsi" w:hAnsiTheme="minorHAnsi" w:cstheme="minorHAnsi"/>
          <w:sz w:val="20"/>
          <w:szCs w:val="22"/>
          <w:lang w:val="es-CR"/>
        </w:rPr>
        <w:t>Montos en colones</w:t>
      </w:r>
    </w:p>
    <w:tbl>
      <w:tblPr>
        <w:tblW w:w="8926" w:type="dxa"/>
        <w:tblCellMar>
          <w:left w:w="70" w:type="dxa"/>
          <w:right w:w="70" w:type="dxa"/>
        </w:tblCellMar>
        <w:tblLook w:val="04A0" w:firstRow="1" w:lastRow="0" w:firstColumn="1" w:lastColumn="0" w:noHBand="0" w:noVBand="1"/>
      </w:tblPr>
      <w:tblGrid>
        <w:gridCol w:w="3681"/>
        <w:gridCol w:w="1276"/>
        <w:gridCol w:w="1275"/>
        <w:gridCol w:w="1276"/>
        <w:gridCol w:w="1418"/>
      </w:tblGrid>
      <w:tr w:rsidR="00203152" w:rsidRPr="00787962" w14:paraId="6A8FD963" w14:textId="77777777" w:rsidTr="00E807B4">
        <w:trPr>
          <w:trHeight w:val="725"/>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48A1344" w14:textId="77777777" w:rsidR="00203152" w:rsidRPr="00A52AE6" w:rsidRDefault="00203152" w:rsidP="00203152">
            <w:pPr>
              <w:spacing w:line="240" w:lineRule="auto"/>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Consultoría</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1011C1AB"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143F65CF"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Monto ejecutado/</w:t>
            </w:r>
            <w:r w:rsidRPr="00A52AE6">
              <w:rPr>
                <w:rFonts w:ascii="Calibri Light" w:hAnsi="Calibri Light" w:cs="Calibri Light"/>
                <w:b/>
                <w:bCs/>
                <w:color w:val="000000"/>
                <w:sz w:val="18"/>
                <w:szCs w:val="18"/>
                <w:lang w:val="es-CR" w:eastAsia="es-CR"/>
              </w:rPr>
              <w:br/>
              <w:t>Comprometido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5F3181E0"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Ajuste</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095059C0"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 xml:space="preserve">Saldo </w:t>
            </w:r>
          </w:p>
        </w:tc>
      </w:tr>
      <w:tr w:rsidR="00A52AE6" w:rsidRPr="00787962" w14:paraId="6AA322EC"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93A579" w14:textId="44C7F678"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Estudio Actuarial CCSS</w:t>
            </w:r>
          </w:p>
        </w:tc>
        <w:tc>
          <w:tcPr>
            <w:tcW w:w="1276" w:type="dxa"/>
            <w:tcBorders>
              <w:top w:val="nil"/>
              <w:left w:val="nil"/>
              <w:bottom w:val="single" w:sz="4" w:space="0" w:color="auto"/>
              <w:right w:val="single" w:sz="4" w:space="0" w:color="auto"/>
            </w:tcBorders>
            <w:shd w:val="clear" w:color="auto" w:fill="auto"/>
            <w:vAlign w:val="center"/>
            <w:hideMark/>
          </w:tcPr>
          <w:p w14:paraId="5A3FEC1F" w14:textId="2F15596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35,318,125</w:t>
            </w:r>
          </w:p>
        </w:tc>
        <w:tc>
          <w:tcPr>
            <w:tcW w:w="1275" w:type="dxa"/>
            <w:tcBorders>
              <w:top w:val="nil"/>
              <w:left w:val="nil"/>
              <w:bottom w:val="single" w:sz="4" w:space="0" w:color="auto"/>
              <w:right w:val="single" w:sz="4" w:space="0" w:color="auto"/>
            </w:tcBorders>
            <w:shd w:val="clear" w:color="auto" w:fill="auto"/>
            <w:vAlign w:val="center"/>
            <w:hideMark/>
          </w:tcPr>
          <w:p w14:paraId="615240F2" w14:textId="3BFDCDA8"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B925C08" w14:textId="0C0B2DF8"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8E169C3" w14:textId="2C9CDEBC"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35,318,125</w:t>
            </w:r>
          </w:p>
        </w:tc>
      </w:tr>
      <w:tr w:rsidR="00A52AE6" w:rsidRPr="00787962" w14:paraId="1AF2ED75" w14:textId="77777777" w:rsidTr="00203152">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7FA3B6" w14:textId="643E9E01" w:rsidR="00A52AE6" w:rsidRPr="00A52AE6" w:rsidRDefault="00A52AE6" w:rsidP="00ED7B7E">
            <w:pPr>
              <w:spacing w:line="240" w:lineRule="auto"/>
              <w:jc w:val="center"/>
              <w:rPr>
                <w:rFonts w:ascii="Calibri Light" w:hAnsi="Calibri Light" w:cs="Calibri Light"/>
                <w:sz w:val="18"/>
                <w:szCs w:val="18"/>
                <w:lang w:val="es-CR" w:eastAsia="es-CR"/>
              </w:rPr>
            </w:pPr>
            <w:r w:rsidRPr="00A52AE6">
              <w:rPr>
                <w:rFonts w:ascii="Calibri Light" w:hAnsi="Calibri Light" w:cs="Calibri Light"/>
                <w:sz w:val="18"/>
                <w:szCs w:val="18"/>
              </w:rPr>
              <w:t xml:space="preserve">– Asesoría en </w:t>
            </w:r>
            <w:r w:rsidR="00ED7B7E">
              <w:rPr>
                <w:rFonts w:ascii="Calibri Light" w:hAnsi="Calibri Light" w:cs="Calibri Light"/>
                <w:sz w:val="18"/>
                <w:szCs w:val="18"/>
              </w:rPr>
              <w:t>desarrollo Productos A</w:t>
            </w:r>
            <w:r w:rsidRPr="00A52AE6">
              <w:rPr>
                <w:rFonts w:ascii="Calibri Light" w:hAnsi="Calibri Light" w:cs="Calibri Light"/>
                <w:sz w:val="18"/>
                <w:szCs w:val="18"/>
              </w:rPr>
              <w:t>utorizados</w:t>
            </w:r>
          </w:p>
        </w:tc>
        <w:tc>
          <w:tcPr>
            <w:tcW w:w="1276" w:type="dxa"/>
            <w:tcBorders>
              <w:top w:val="nil"/>
              <w:left w:val="nil"/>
              <w:bottom w:val="single" w:sz="4" w:space="0" w:color="auto"/>
              <w:right w:val="single" w:sz="4" w:space="0" w:color="auto"/>
            </w:tcBorders>
            <w:shd w:val="clear" w:color="auto" w:fill="auto"/>
            <w:vAlign w:val="center"/>
            <w:hideMark/>
          </w:tcPr>
          <w:p w14:paraId="2EB826C7" w14:textId="46A7062A"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7,911,260</w:t>
            </w:r>
          </w:p>
        </w:tc>
        <w:tc>
          <w:tcPr>
            <w:tcW w:w="1275" w:type="dxa"/>
            <w:tcBorders>
              <w:top w:val="nil"/>
              <w:left w:val="nil"/>
              <w:bottom w:val="single" w:sz="4" w:space="0" w:color="auto"/>
              <w:right w:val="single" w:sz="4" w:space="0" w:color="auto"/>
            </w:tcBorders>
            <w:shd w:val="clear" w:color="auto" w:fill="auto"/>
            <w:vAlign w:val="center"/>
            <w:hideMark/>
          </w:tcPr>
          <w:p w14:paraId="69B479D4" w14:textId="0AE999B3"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BB2BC8A" w14:textId="0270B00D"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2F7E402" w14:textId="0883538F"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7,911,260</w:t>
            </w:r>
          </w:p>
        </w:tc>
      </w:tr>
      <w:tr w:rsidR="00A52AE6" w:rsidRPr="00787962" w14:paraId="55E195C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48C54FA" w14:textId="4296C3A7"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w:t>
            </w:r>
            <w:r w:rsidR="00ED7B7E">
              <w:rPr>
                <w:rFonts w:ascii="Calibri Light" w:hAnsi="Calibri Light" w:cs="Calibri Light"/>
                <w:sz w:val="18"/>
                <w:szCs w:val="18"/>
              </w:rPr>
              <w:t>esoría en desarrollo Disciplina de M</w:t>
            </w:r>
            <w:r w:rsidRPr="00A52AE6">
              <w:rPr>
                <w:rFonts w:ascii="Calibri Light" w:hAnsi="Calibri Light" w:cs="Calibri Light"/>
                <w:sz w:val="18"/>
                <w:szCs w:val="18"/>
              </w:rPr>
              <w:t xml:space="preserve">ercado </w:t>
            </w:r>
          </w:p>
        </w:tc>
        <w:tc>
          <w:tcPr>
            <w:tcW w:w="1276" w:type="dxa"/>
            <w:tcBorders>
              <w:top w:val="nil"/>
              <w:left w:val="nil"/>
              <w:bottom w:val="single" w:sz="4" w:space="0" w:color="auto"/>
              <w:right w:val="single" w:sz="4" w:space="0" w:color="auto"/>
            </w:tcBorders>
            <w:shd w:val="clear" w:color="auto" w:fill="auto"/>
            <w:vAlign w:val="center"/>
            <w:hideMark/>
          </w:tcPr>
          <w:p w14:paraId="46A4F2DB" w14:textId="3027F301"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c>
          <w:tcPr>
            <w:tcW w:w="1275" w:type="dxa"/>
            <w:tcBorders>
              <w:top w:val="nil"/>
              <w:left w:val="nil"/>
              <w:bottom w:val="single" w:sz="4" w:space="0" w:color="auto"/>
              <w:right w:val="single" w:sz="4" w:space="0" w:color="auto"/>
            </w:tcBorders>
            <w:shd w:val="clear" w:color="auto" w:fill="auto"/>
            <w:vAlign w:val="center"/>
            <w:hideMark/>
          </w:tcPr>
          <w:p w14:paraId="41059519" w14:textId="733CD97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E35BC3F" w14:textId="6AC4516C"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E838066" w14:textId="784FA3B0"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r>
      <w:tr w:rsidR="00A52AE6" w:rsidRPr="00787962" w14:paraId="4B460F7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3BF37F" w14:textId="2B92DF09"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Continuación educación al afiliado</w:t>
            </w:r>
          </w:p>
        </w:tc>
        <w:tc>
          <w:tcPr>
            <w:tcW w:w="1276" w:type="dxa"/>
            <w:tcBorders>
              <w:top w:val="nil"/>
              <w:left w:val="nil"/>
              <w:bottom w:val="single" w:sz="4" w:space="0" w:color="auto"/>
              <w:right w:val="single" w:sz="4" w:space="0" w:color="auto"/>
            </w:tcBorders>
            <w:shd w:val="clear" w:color="auto" w:fill="auto"/>
            <w:vAlign w:val="center"/>
            <w:hideMark/>
          </w:tcPr>
          <w:p w14:paraId="78F920CE" w14:textId="0FD6CC5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23,000,000</w:t>
            </w:r>
          </w:p>
        </w:tc>
        <w:tc>
          <w:tcPr>
            <w:tcW w:w="1275" w:type="dxa"/>
            <w:tcBorders>
              <w:top w:val="nil"/>
              <w:left w:val="nil"/>
              <w:bottom w:val="single" w:sz="4" w:space="0" w:color="auto"/>
              <w:right w:val="single" w:sz="4" w:space="0" w:color="auto"/>
            </w:tcBorders>
            <w:shd w:val="clear" w:color="auto" w:fill="auto"/>
            <w:vAlign w:val="center"/>
            <w:hideMark/>
          </w:tcPr>
          <w:p w14:paraId="086C7E98" w14:textId="64F1C9B9"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22,876,037</w:t>
            </w:r>
          </w:p>
        </w:tc>
        <w:tc>
          <w:tcPr>
            <w:tcW w:w="1276" w:type="dxa"/>
            <w:tcBorders>
              <w:top w:val="nil"/>
              <w:left w:val="nil"/>
              <w:bottom w:val="single" w:sz="4" w:space="0" w:color="auto"/>
              <w:right w:val="single" w:sz="4" w:space="0" w:color="auto"/>
            </w:tcBorders>
            <w:shd w:val="clear" w:color="auto" w:fill="auto"/>
            <w:vAlign w:val="center"/>
            <w:hideMark/>
          </w:tcPr>
          <w:p w14:paraId="45413528" w14:textId="393E7181"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1A11240" w14:textId="18708AEF"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123,963</w:t>
            </w:r>
          </w:p>
        </w:tc>
      </w:tr>
      <w:tr w:rsidR="00A52AE6" w:rsidRPr="00787962" w14:paraId="3710AA6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9CC4FED" w14:textId="15872763"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0E230F11" w14:textId="2D70FEB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3,390,540</w:t>
            </w:r>
          </w:p>
        </w:tc>
        <w:tc>
          <w:tcPr>
            <w:tcW w:w="1275" w:type="dxa"/>
            <w:tcBorders>
              <w:top w:val="nil"/>
              <w:left w:val="nil"/>
              <w:bottom w:val="single" w:sz="4" w:space="0" w:color="auto"/>
              <w:right w:val="single" w:sz="4" w:space="0" w:color="auto"/>
            </w:tcBorders>
            <w:shd w:val="clear" w:color="auto" w:fill="auto"/>
            <w:vAlign w:val="center"/>
            <w:hideMark/>
          </w:tcPr>
          <w:p w14:paraId="7205BC17" w14:textId="76C7870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2,550,000</w:t>
            </w:r>
          </w:p>
        </w:tc>
        <w:tc>
          <w:tcPr>
            <w:tcW w:w="1276" w:type="dxa"/>
            <w:tcBorders>
              <w:top w:val="nil"/>
              <w:left w:val="nil"/>
              <w:bottom w:val="single" w:sz="4" w:space="0" w:color="auto"/>
              <w:right w:val="single" w:sz="4" w:space="0" w:color="auto"/>
            </w:tcBorders>
            <w:shd w:val="clear" w:color="auto" w:fill="auto"/>
            <w:vAlign w:val="center"/>
            <w:hideMark/>
          </w:tcPr>
          <w:p w14:paraId="610DB20B" w14:textId="63EC1F7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5743B37" w14:textId="6ED7A74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840,540</w:t>
            </w:r>
          </w:p>
        </w:tc>
      </w:tr>
      <w:tr w:rsidR="00A52AE6" w:rsidRPr="00787962" w14:paraId="3C955C3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5665A89" w14:textId="4F5E32EE"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Gestión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12ABEBD3" w14:textId="599FAC99"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7,996,024</w:t>
            </w:r>
          </w:p>
        </w:tc>
        <w:tc>
          <w:tcPr>
            <w:tcW w:w="1275" w:type="dxa"/>
            <w:tcBorders>
              <w:top w:val="nil"/>
              <w:left w:val="nil"/>
              <w:bottom w:val="single" w:sz="4" w:space="0" w:color="auto"/>
              <w:right w:val="single" w:sz="4" w:space="0" w:color="auto"/>
            </w:tcBorders>
            <w:shd w:val="clear" w:color="auto" w:fill="auto"/>
            <w:vAlign w:val="center"/>
            <w:hideMark/>
          </w:tcPr>
          <w:p w14:paraId="6882BE03" w14:textId="5F9AE2E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AC07A6A" w14:textId="71785FD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452521FA" w14:textId="0775D7B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7,996,024</w:t>
            </w:r>
          </w:p>
        </w:tc>
      </w:tr>
      <w:tr w:rsidR="00A52AE6" w:rsidRPr="00787962" w14:paraId="0C945F80"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FEC4FA" w14:textId="08D3D472"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xml:space="preserve">– Contratación de </w:t>
            </w:r>
            <w:r w:rsidR="00ED7B7E">
              <w:rPr>
                <w:rFonts w:ascii="Calibri Light" w:hAnsi="Calibri Light" w:cs="Calibri Light"/>
                <w:sz w:val="18"/>
                <w:szCs w:val="18"/>
              </w:rPr>
              <w:t>Escuela de Matemática/ Revisión de Estudios A</w:t>
            </w:r>
            <w:r w:rsidRPr="00A52AE6">
              <w:rPr>
                <w:rFonts w:ascii="Calibri Light" w:hAnsi="Calibri Light" w:cs="Calibri Light"/>
                <w:sz w:val="18"/>
                <w:szCs w:val="18"/>
              </w:rPr>
              <w:t>ctuariales</w:t>
            </w:r>
          </w:p>
        </w:tc>
        <w:tc>
          <w:tcPr>
            <w:tcW w:w="1276" w:type="dxa"/>
            <w:tcBorders>
              <w:top w:val="nil"/>
              <w:left w:val="nil"/>
              <w:bottom w:val="single" w:sz="4" w:space="0" w:color="auto"/>
              <w:right w:val="single" w:sz="4" w:space="0" w:color="auto"/>
            </w:tcBorders>
            <w:shd w:val="clear" w:color="auto" w:fill="auto"/>
            <w:vAlign w:val="center"/>
            <w:hideMark/>
          </w:tcPr>
          <w:p w14:paraId="70D78A5A" w14:textId="430AB2B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19,000,000</w:t>
            </w:r>
          </w:p>
        </w:tc>
        <w:tc>
          <w:tcPr>
            <w:tcW w:w="1275" w:type="dxa"/>
            <w:tcBorders>
              <w:top w:val="nil"/>
              <w:left w:val="nil"/>
              <w:bottom w:val="single" w:sz="4" w:space="0" w:color="auto"/>
              <w:right w:val="single" w:sz="4" w:space="0" w:color="auto"/>
            </w:tcBorders>
            <w:shd w:val="clear" w:color="auto" w:fill="auto"/>
            <w:vAlign w:val="center"/>
            <w:hideMark/>
          </w:tcPr>
          <w:p w14:paraId="17E38F3E" w14:textId="3057523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FFAEA69" w14:textId="0F77FF1A"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7FF6A0E" w14:textId="6353092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19,000,000</w:t>
            </w:r>
          </w:p>
        </w:tc>
      </w:tr>
      <w:tr w:rsidR="00A52AE6" w:rsidRPr="00787962" w14:paraId="7BD22AFE" w14:textId="77777777" w:rsidTr="00203152">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3205EC2" w14:textId="264EC662"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7BE00739" w14:textId="7C2F0D40"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8,000,000</w:t>
            </w:r>
          </w:p>
        </w:tc>
        <w:tc>
          <w:tcPr>
            <w:tcW w:w="1275" w:type="dxa"/>
            <w:tcBorders>
              <w:top w:val="nil"/>
              <w:left w:val="nil"/>
              <w:bottom w:val="single" w:sz="4" w:space="0" w:color="auto"/>
              <w:right w:val="single" w:sz="4" w:space="0" w:color="auto"/>
            </w:tcBorders>
            <w:shd w:val="clear" w:color="auto" w:fill="auto"/>
            <w:vAlign w:val="center"/>
            <w:hideMark/>
          </w:tcPr>
          <w:p w14:paraId="5C82123D" w14:textId="3E07DB4C"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50283CF" w14:textId="72B73F3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4C8740EA" w14:textId="0984D1DE"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r>
      <w:tr w:rsidR="00A52AE6" w:rsidRPr="00787962" w14:paraId="2B12E7B1"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C8583F" w14:textId="465D34F3"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Asesoría en cambio de Ley para Auxilio desempleo</w:t>
            </w:r>
          </w:p>
        </w:tc>
        <w:tc>
          <w:tcPr>
            <w:tcW w:w="1276" w:type="dxa"/>
            <w:tcBorders>
              <w:top w:val="nil"/>
              <w:left w:val="nil"/>
              <w:bottom w:val="single" w:sz="4" w:space="0" w:color="auto"/>
              <w:right w:val="single" w:sz="4" w:space="0" w:color="auto"/>
            </w:tcBorders>
            <w:shd w:val="clear" w:color="auto" w:fill="auto"/>
            <w:vAlign w:val="center"/>
            <w:hideMark/>
          </w:tcPr>
          <w:p w14:paraId="48EE3A09" w14:textId="263F1CF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9,000,000</w:t>
            </w:r>
          </w:p>
        </w:tc>
        <w:tc>
          <w:tcPr>
            <w:tcW w:w="1275" w:type="dxa"/>
            <w:tcBorders>
              <w:top w:val="nil"/>
              <w:left w:val="nil"/>
              <w:bottom w:val="single" w:sz="4" w:space="0" w:color="auto"/>
              <w:right w:val="single" w:sz="4" w:space="0" w:color="auto"/>
            </w:tcBorders>
            <w:shd w:val="clear" w:color="auto" w:fill="auto"/>
            <w:vAlign w:val="center"/>
            <w:hideMark/>
          </w:tcPr>
          <w:p w14:paraId="76353A3E" w14:textId="69F5D8C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3084798" w14:textId="415E4C3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FAF81CA" w14:textId="5E33BD8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9,000,000</w:t>
            </w:r>
          </w:p>
        </w:tc>
      </w:tr>
      <w:tr w:rsidR="00A52AE6" w:rsidRPr="00787962" w14:paraId="63902345"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4F4BD1" w14:textId="0B6EE4C3" w:rsidR="00A52AE6" w:rsidRPr="00A52AE6" w:rsidRDefault="00ED7B7E" w:rsidP="00A52AE6">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rPr>
              <w:t>– Elaboración de Tablas de V</w:t>
            </w:r>
            <w:r w:rsidR="00A52AE6" w:rsidRPr="00A52AE6">
              <w:rPr>
                <w:rFonts w:ascii="Calibri Light" w:hAnsi="Calibri Light" w:cs="Calibri Light"/>
                <w:sz w:val="18"/>
                <w:szCs w:val="18"/>
              </w:rPr>
              <w:t>ida</w:t>
            </w:r>
          </w:p>
        </w:tc>
        <w:tc>
          <w:tcPr>
            <w:tcW w:w="1276" w:type="dxa"/>
            <w:tcBorders>
              <w:top w:val="nil"/>
              <w:left w:val="nil"/>
              <w:bottom w:val="single" w:sz="4" w:space="0" w:color="auto"/>
              <w:right w:val="single" w:sz="4" w:space="0" w:color="auto"/>
            </w:tcBorders>
            <w:shd w:val="clear" w:color="auto" w:fill="auto"/>
            <w:vAlign w:val="center"/>
            <w:hideMark/>
          </w:tcPr>
          <w:p w14:paraId="701C5495" w14:textId="250CB76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11,500,000</w:t>
            </w:r>
          </w:p>
        </w:tc>
        <w:tc>
          <w:tcPr>
            <w:tcW w:w="1275" w:type="dxa"/>
            <w:tcBorders>
              <w:top w:val="nil"/>
              <w:left w:val="nil"/>
              <w:bottom w:val="single" w:sz="4" w:space="0" w:color="auto"/>
              <w:right w:val="single" w:sz="4" w:space="0" w:color="auto"/>
            </w:tcBorders>
            <w:shd w:val="clear" w:color="auto" w:fill="auto"/>
            <w:vAlign w:val="center"/>
            <w:hideMark/>
          </w:tcPr>
          <w:p w14:paraId="09E5D929" w14:textId="29725359"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8,500,000</w:t>
            </w:r>
          </w:p>
        </w:tc>
        <w:tc>
          <w:tcPr>
            <w:tcW w:w="1276" w:type="dxa"/>
            <w:tcBorders>
              <w:top w:val="nil"/>
              <w:left w:val="nil"/>
              <w:bottom w:val="single" w:sz="4" w:space="0" w:color="auto"/>
              <w:right w:val="single" w:sz="4" w:space="0" w:color="auto"/>
            </w:tcBorders>
            <w:shd w:val="clear" w:color="auto" w:fill="auto"/>
            <w:vAlign w:val="center"/>
            <w:hideMark/>
          </w:tcPr>
          <w:p w14:paraId="51C8A547" w14:textId="3606018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9797527" w14:textId="1C78D454"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3,000,000</w:t>
            </w:r>
          </w:p>
        </w:tc>
      </w:tr>
      <w:tr w:rsidR="00A52AE6" w:rsidRPr="00787962" w14:paraId="2F5E030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A6008F" w14:textId="72133E7E"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Asesoría en temas de Planificación</w:t>
            </w:r>
          </w:p>
        </w:tc>
        <w:tc>
          <w:tcPr>
            <w:tcW w:w="1276" w:type="dxa"/>
            <w:tcBorders>
              <w:top w:val="nil"/>
              <w:left w:val="nil"/>
              <w:bottom w:val="single" w:sz="4" w:space="0" w:color="auto"/>
              <w:right w:val="single" w:sz="4" w:space="0" w:color="auto"/>
            </w:tcBorders>
            <w:shd w:val="clear" w:color="auto" w:fill="auto"/>
            <w:vAlign w:val="center"/>
            <w:hideMark/>
          </w:tcPr>
          <w:p w14:paraId="1A703668" w14:textId="355A1E3F"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4,320,000</w:t>
            </w:r>
          </w:p>
        </w:tc>
        <w:tc>
          <w:tcPr>
            <w:tcW w:w="1275" w:type="dxa"/>
            <w:tcBorders>
              <w:top w:val="nil"/>
              <w:left w:val="nil"/>
              <w:bottom w:val="single" w:sz="4" w:space="0" w:color="auto"/>
              <w:right w:val="single" w:sz="4" w:space="0" w:color="auto"/>
            </w:tcBorders>
            <w:shd w:val="clear" w:color="auto" w:fill="auto"/>
            <w:vAlign w:val="center"/>
            <w:hideMark/>
          </w:tcPr>
          <w:p w14:paraId="5DE4000F" w14:textId="0CF49A7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EE315D8" w14:textId="24CF67B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8C9C381" w14:textId="3293B272"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4,320,000</w:t>
            </w:r>
          </w:p>
        </w:tc>
      </w:tr>
      <w:tr w:rsidR="00A52AE6" w:rsidRPr="00787962" w14:paraId="483CD143"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A620B8" w14:textId="72DFDAA8"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Asesoría en revisión de indicadores y límites de riesgo Reg.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34420724" w14:textId="3BE0CECB"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10,768,313</w:t>
            </w:r>
          </w:p>
        </w:tc>
        <w:tc>
          <w:tcPr>
            <w:tcW w:w="1275" w:type="dxa"/>
            <w:tcBorders>
              <w:top w:val="nil"/>
              <w:left w:val="nil"/>
              <w:bottom w:val="single" w:sz="4" w:space="0" w:color="auto"/>
              <w:right w:val="single" w:sz="4" w:space="0" w:color="auto"/>
            </w:tcBorders>
            <w:shd w:val="clear" w:color="auto" w:fill="auto"/>
            <w:vAlign w:val="center"/>
            <w:hideMark/>
          </w:tcPr>
          <w:p w14:paraId="6418B0D0" w14:textId="10E55B5F"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244195F" w14:textId="6F34F30A"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98E0404" w14:textId="48569351"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10,768,313</w:t>
            </w:r>
          </w:p>
        </w:tc>
      </w:tr>
      <w:tr w:rsidR="00A52AE6" w:rsidRPr="00787962" w14:paraId="49D4E12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034DFF0" w14:textId="0E755CA4"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677FE9E7" w14:textId="26B8A94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1,304,793,149</w:t>
            </w:r>
          </w:p>
        </w:tc>
        <w:tc>
          <w:tcPr>
            <w:tcW w:w="1275" w:type="dxa"/>
            <w:tcBorders>
              <w:top w:val="nil"/>
              <w:left w:val="nil"/>
              <w:bottom w:val="single" w:sz="4" w:space="0" w:color="auto"/>
              <w:right w:val="single" w:sz="4" w:space="0" w:color="auto"/>
            </w:tcBorders>
            <w:shd w:val="clear" w:color="auto" w:fill="auto"/>
            <w:vAlign w:val="center"/>
            <w:hideMark/>
          </w:tcPr>
          <w:p w14:paraId="313D3C74" w14:textId="6A8ED6F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xml:space="preserve">1,363,647,120 </w:t>
            </w:r>
          </w:p>
        </w:tc>
        <w:tc>
          <w:tcPr>
            <w:tcW w:w="1276" w:type="dxa"/>
            <w:tcBorders>
              <w:top w:val="nil"/>
              <w:left w:val="nil"/>
              <w:bottom w:val="single" w:sz="4" w:space="0" w:color="auto"/>
              <w:right w:val="single" w:sz="4" w:space="0" w:color="auto"/>
            </w:tcBorders>
            <w:shd w:val="clear" w:color="auto" w:fill="auto"/>
            <w:vAlign w:val="center"/>
            <w:hideMark/>
          </w:tcPr>
          <w:p w14:paraId="1544F972" w14:textId="4DCECEA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22252F3" w14:textId="0BFC4D12"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FF0000"/>
                <w:sz w:val="18"/>
                <w:szCs w:val="18"/>
              </w:rPr>
              <w:t>(58,853,971)</w:t>
            </w:r>
          </w:p>
        </w:tc>
      </w:tr>
      <w:tr w:rsidR="00A52AE6" w:rsidRPr="00787962" w14:paraId="5C239D69" w14:textId="77777777" w:rsidTr="00A52AE6">
        <w:trPr>
          <w:trHeight w:val="256"/>
        </w:trPr>
        <w:tc>
          <w:tcPr>
            <w:tcW w:w="3681" w:type="dxa"/>
            <w:tcBorders>
              <w:top w:val="nil"/>
              <w:left w:val="single" w:sz="4" w:space="0" w:color="auto"/>
              <w:bottom w:val="single" w:sz="4" w:space="0" w:color="auto"/>
              <w:right w:val="single" w:sz="4" w:space="0" w:color="auto"/>
            </w:tcBorders>
            <w:shd w:val="clear" w:color="000000" w:fill="FFFFFF"/>
            <w:vAlign w:val="center"/>
          </w:tcPr>
          <w:p w14:paraId="284F62C8" w14:textId="339336C9"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88D62C2" w14:textId="7081D880"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sz w:val="18"/>
                <w:szCs w:val="18"/>
              </w:rPr>
              <w:t> </w:t>
            </w:r>
          </w:p>
        </w:tc>
        <w:tc>
          <w:tcPr>
            <w:tcW w:w="1275" w:type="dxa"/>
            <w:tcBorders>
              <w:top w:val="nil"/>
              <w:left w:val="nil"/>
              <w:bottom w:val="single" w:sz="4" w:space="0" w:color="auto"/>
              <w:right w:val="single" w:sz="4" w:space="0" w:color="auto"/>
            </w:tcBorders>
            <w:shd w:val="clear" w:color="auto" w:fill="auto"/>
          </w:tcPr>
          <w:p w14:paraId="3312669F" w14:textId="405B8AAE"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c>
          <w:tcPr>
            <w:tcW w:w="1276" w:type="dxa"/>
            <w:tcBorders>
              <w:top w:val="nil"/>
              <w:left w:val="nil"/>
              <w:bottom w:val="single" w:sz="4" w:space="0" w:color="auto"/>
              <w:right w:val="single" w:sz="4" w:space="0" w:color="auto"/>
            </w:tcBorders>
            <w:shd w:val="clear" w:color="auto" w:fill="auto"/>
          </w:tcPr>
          <w:p w14:paraId="63F7B9CD" w14:textId="12E4098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color w:val="000000"/>
                <w:sz w:val="18"/>
                <w:szCs w:val="18"/>
              </w:rPr>
              <w:t> </w:t>
            </w:r>
          </w:p>
        </w:tc>
        <w:tc>
          <w:tcPr>
            <w:tcW w:w="1418" w:type="dxa"/>
            <w:tcBorders>
              <w:top w:val="nil"/>
              <w:left w:val="nil"/>
              <w:bottom w:val="single" w:sz="4" w:space="0" w:color="auto"/>
              <w:right w:val="single" w:sz="4" w:space="0" w:color="auto"/>
            </w:tcBorders>
            <w:shd w:val="clear" w:color="auto" w:fill="auto"/>
            <w:vAlign w:val="bottom"/>
          </w:tcPr>
          <w:p w14:paraId="319FD7B9" w14:textId="05A8B0CC"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r>
      <w:tr w:rsidR="00A52AE6" w:rsidRPr="00787962" w14:paraId="34DCD47B"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8084E02" w14:textId="04349202" w:rsidR="00A52AE6" w:rsidRPr="00A52AE6" w:rsidRDefault="00A52AE6" w:rsidP="00A52AE6">
            <w:pPr>
              <w:spacing w:line="240" w:lineRule="auto"/>
              <w:jc w:val="lef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11A55E99" w14:textId="6A1764F4"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1,452,997,411</w:t>
            </w:r>
          </w:p>
        </w:tc>
        <w:tc>
          <w:tcPr>
            <w:tcW w:w="1275" w:type="dxa"/>
            <w:tcBorders>
              <w:top w:val="nil"/>
              <w:left w:val="nil"/>
              <w:bottom w:val="single" w:sz="4" w:space="0" w:color="auto"/>
              <w:right w:val="single" w:sz="4" w:space="0" w:color="auto"/>
            </w:tcBorders>
            <w:shd w:val="clear" w:color="000000" w:fill="DCE6F1"/>
            <w:vAlign w:val="center"/>
            <w:hideMark/>
          </w:tcPr>
          <w:p w14:paraId="102ACC15" w14:textId="032216C4"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1,397,573,157</w:t>
            </w:r>
          </w:p>
        </w:tc>
        <w:tc>
          <w:tcPr>
            <w:tcW w:w="1276" w:type="dxa"/>
            <w:tcBorders>
              <w:top w:val="nil"/>
              <w:left w:val="nil"/>
              <w:bottom w:val="single" w:sz="4" w:space="0" w:color="auto"/>
              <w:right w:val="single" w:sz="4" w:space="0" w:color="auto"/>
            </w:tcBorders>
            <w:shd w:val="clear" w:color="000000" w:fill="DCE6F1"/>
            <w:vAlign w:val="center"/>
            <w:hideMark/>
          </w:tcPr>
          <w:p w14:paraId="54E3F375" w14:textId="44BD569F"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0</w:t>
            </w:r>
          </w:p>
        </w:tc>
        <w:tc>
          <w:tcPr>
            <w:tcW w:w="1418" w:type="dxa"/>
            <w:tcBorders>
              <w:top w:val="nil"/>
              <w:left w:val="nil"/>
              <w:bottom w:val="single" w:sz="4" w:space="0" w:color="auto"/>
              <w:right w:val="single" w:sz="4" w:space="0" w:color="auto"/>
            </w:tcBorders>
            <w:shd w:val="clear" w:color="000000" w:fill="DCE6F1"/>
            <w:vAlign w:val="center"/>
            <w:hideMark/>
          </w:tcPr>
          <w:p w14:paraId="47FFA153" w14:textId="56E346BE"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55,424,254</w:t>
            </w:r>
          </w:p>
        </w:tc>
      </w:tr>
    </w:tbl>
    <w:p w14:paraId="1051B5FA" w14:textId="77777777" w:rsidR="00E50795" w:rsidRPr="00787962" w:rsidRDefault="00E50795" w:rsidP="00312FF9">
      <w:pPr>
        <w:pStyle w:val="Textoindependiente"/>
        <w:numPr>
          <w:ilvl w:val="0"/>
          <w:numId w:val="0"/>
        </w:numPr>
        <w:tabs>
          <w:tab w:val="decimal" w:pos="7088"/>
        </w:tabs>
        <w:rPr>
          <w:rFonts w:asciiTheme="minorHAnsi" w:hAnsiTheme="minorHAnsi" w:cstheme="minorHAnsi"/>
          <w:szCs w:val="24"/>
          <w:lang w:val="es-CR"/>
        </w:rPr>
      </w:pPr>
    </w:p>
    <w:p w14:paraId="64DC776E" w14:textId="08146BC1" w:rsidR="00216C86"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“Servicios Generales” (1 04 06) refleja una ejecución del </w:t>
      </w:r>
      <w:r w:rsidR="00775B3F" w:rsidRPr="00787962">
        <w:rPr>
          <w:rFonts w:asciiTheme="minorHAnsi" w:hAnsiTheme="minorHAnsi" w:cstheme="minorHAnsi"/>
          <w:szCs w:val="24"/>
          <w:lang w:val="es-CR"/>
        </w:rPr>
        <w:t>9</w:t>
      </w:r>
      <w:r w:rsidR="00312DF3" w:rsidRPr="00787962">
        <w:rPr>
          <w:rFonts w:asciiTheme="minorHAnsi" w:hAnsiTheme="minorHAnsi" w:cstheme="minorHAnsi"/>
          <w:szCs w:val="24"/>
          <w:lang w:val="es-CR"/>
        </w:rPr>
        <w:t>5</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2D3A55" w:rsidRPr="00787962">
        <w:rPr>
          <w:rFonts w:asciiTheme="minorHAnsi" w:hAnsiTheme="minorHAnsi" w:cstheme="minorHAnsi"/>
          <w:szCs w:val="24"/>
          <w:lang w:val="es-CR"/>
        </w:rPr>
        <w:t>.</w:t>
      </w:r>
    </w:p>
    <w:p w14:paraId="64DC7770" w14:textId="48BACB11" w:rsidR="00216C86" w:rsidRPr="00787962" w:rsidRDefault="00840C43"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0452D4">
        <w:rPr>
          <w:rFonts w:asciiTheme="minorHAnsi" w:hAnsiTheme="minorHAnsi" w:cstheme="minorHAnsi"/>
          <w:szCs w:val="24"/>
          <w:lang w:val="es-CR"/>
        </w:rPr>
        <w:t>91</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0452D4">
        <w:rPr>
          <w:rFonts w:asciiTheme="minorHAnsi" w:hAnsiTheme="minorHAnsi" w:cstheme="minorHAnsi"/>
          <w:szCs w:val="24"/>
          <w:lang w:val="es-CR"/>
        </w:rPr>
        <w:t>90</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 xml:space="preserve">l siguiente cuadro detalla los cargos realizados durante este </w:t>
      </w:r>
      <w:r w:rsidR="00294D73">
        <w:rPr>
          <w:rFonts w:asciiTheme="minorHAnsi" w:hAnsiTheme="minorHAnsi" w:cstheme="minorHAnsi"/>
          <w:szCs w:val="24"/>
          <w:lang w:val="es-CR"/>
        </w:rPr>
        <w:t xml:space="preserve">período de </w:t>
      </w:r>
      <w:r w:rsidR="00FB2033" w:rsidRPr="00787962">
        <w:rPr>
          <w:rFonts w:asciiTheme="minorHAnsi" w:hAnsiTheme="minorHAnsi" w:cstheme="minorHAnsi"/>
          <w:szCs w:val="24"/>
          <w:lang w:val="es-CR"/>
        </w:rPr>
        <w:t>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48933124" w14:textId="77777777" w:rsidR="005D020A" w:rsidRDefault="005D020A" w:rsidP="00E807B4">
      <w:pPr>
        <w:pStyle w:val="Textoindependiente"/>
        <w:numPr>
          <w:ilvl w:val="0"/>
          <w:numId w:val="0"/>
        </w:numPr>
        <w:spacing w:line="240" w:lineRule="auto"/>
        <w:ind w:left="284"/>
        <w:jc w:val="left"/>
        <w:rPr>
          <w:rFonts w:asciiTheme="minorHAnsi" w:hAnsiTheme="minorHAnsi" w:cstheme="minorHAnsi"/>
          <w:sz w:val="22"/>
          <w:szCs w:val="22"/>
          <w:lang w:val="es-CR"/>
        </w:rPr>
      </w:pPr>
    </w:p>
    <w:p w14:paraId="3FEF9E9D" w14:textId="5B2B4255" w:rsidR="00607083" w:rsidRPr="000F5573" w:rsidRDefault="00775B3F" w:rsidP="00E807B4">
      <w:pPr>
        <w:pStyle w:val="Textoindependiente"/>
        <w:numPr>
          <w:ilvl w:val="0"/>
          <w:numId w:val="0"/>
        </w:numPr>
        <w:spacing w:line="240" w:lineRule="auto"/>
        <w:ind w:left="284"/>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5D020A">
        <w:rPr>
          <w:rFonts w:asciiTheme="minorHAnsi" w:hAnsiTheme="minorHAnsi" w:cstheme="minorHAnsi"/>
          <w:sz w:val="22"/>
          <w:szCs w:val="22"/>
          <w:lang w:val="es-CR"/>
        </w:rPr>
        <w:t>10</w:t>
      </w:r>
      <w:r w:rsidR="00582911" w:rsidRPr="000F5573">
        <w:rPr>
          <w:rFonts w:asciiTheme="minorHAnsi" w:hAnsiTheme="minorHAnsi" w:cstheme="minorHAnsi"/>
          <w:sz w:val="22"/>
          <w:szCs w:val="22"/>
          <w:lang w:val="es-CR"/>
        </w:rPr>
        <w:t xml:space="preserve">: </w:t>
      </w:r>
      <w:r w:rsidR="00607083" w:rsidRPr="000F5573">
        <w:rPr>
          <w:rFonts w:asciiTheme="minorHAnsi" w:hAnsiTheme="minorHAnsi" w:cstheme="minorHAnsi"/>
          <w:b/>
          <w:sz w:val="22"/>
          <w:szCs w:val="22"/>
          <w:lang w:val="es-CR"/>
        </w:rPr>
        <w:t>Detalle de viáticos en el exterior</w:t>
      </w:r>
    </w:p>
    <w:p w14:paraId="66A4B4F7" w14:textId="671A3383" w:rsidR="00607083" w:rsidRPr="00B45046" w:rsidRDefault="00607083" w:rsidP="00B45046">
      <w:pPr>
        <w:ind w:left="284"/>
        <w:jc w:val="left"/>
        <w:rPr>
          <w:rFonts w:asciiTheme="minorHAnsi" w:hAnsiTheme="minorHAnsi" w:cstheme="minorHAnsi"/>
          <w:sz w:val="20"/>
          <w:szCs w:val="22"/>
          <w:lang w:val="es-CR"/>
        </w:rPr>
      </w:pPr>
      <w:r w:rsidRPr="00B45046">
        <w:rPr>
          <w:rFonts w:asciiTheme="minorHAnsi" w:hAnsiTheme="minorHAnsi" w:cstheme="minorHAnsi"/>
          <w:sz w:val="20"/>
          <w:szCs w:val="22"/>
          <w:lang w:val="es-CR"/>
        </w:rPr>
        <w:t>Montos en colones</w:t>
      </w:r>
    </w:p>
    <w:tbl>
      <w:tblPr>
        <w:tblW w:w="9077" w:type="dxa"/>
        <w:tblInd w:w="137" w:type="dxa"/>
        <w:tblCellMar>
          <w:left w:w="70" w:type="dxa"/>
          <w:right w:w="70" w:type="dxa"/>
        </w:tblCellMar>
        <w:tblLook w:val="04A0" w:firstRow="1" w:lastRow="0" w:firstColumn="1" w:lastColumn="0" w:noHBand="0" w:noVBand="1"/>
      </w:tblPr>
      <w:tblGrid>
        <w:gridCol w:w="1271"/>
        <w:gridCol w:w="1359"/>
        <w:gridCol w:w="2414"/>
        <w:gridCol w:w="992"/>
        <w:gridCol w:w="993"/>
        <w:gridCol w:w="1095"/>
        <w:gridCol w:w="1095"/>
      </w:tblGrid>
      <w:tr w:rsidR="002376C9" w:rsidRPr="002376C9" w14:paraId="242B1F40" w14:textId="77777777" w:rsidTr="001B6A00">
        <w:trPr>
          <w:trHeight w:val="435"/>
          <w:tblHeader/>
        </w:trPr>
        <w:tc>
          <w:tcPr>
            <w:tcW w:w="127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8909AF" w14:textId="77777777" w:rsidR="002376C9" w:rsidRPr="002376C9" w:rsidRDefault="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Funcionario</w:t>
            </w:r>
          </w:p>
        </w:tc>
        <w:tc>
          <w:tcPr>
            <w:tcW w:w="1139" w:type="dxa"/>
            <w:tcBorders>
              <w:top w:val="single" w:sz="4" w:space="0" w:color="auto"/>
              <w:left w:val="nil"/>
              <w:bottom w:val="single" w:sz="4" w:space="0" w:color="auto"/>
              <w:right w:val="single" w:sz="4" w:space="0" w:color="auto"/>
            </w:tcBorders>
            <w:shd w:val="clear" w:color="000000" w:fill="B8CCE4"/>
            <w:noWrap/>
            <w:vAlign w:val="center"/>
            <w:hideMark/>
          </w:tcPr>
          <w:p w14:paraId="18452457"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Cargo</w:t>
            </w:r>
          </w:p>
        </w:tc>
        <w:tc>
          <w:tcPr>
            <w:tcW w:w="2414" w:type="dxa"/>
            <w:tcBorders>
              <w:top w:val="single" w:sz="4" w:space="0" w:color="auto"/>
              <w:left w:val="nil"/>
              <w:bottom w:val="single" w:sz="4" w:space="0" w:color="auto"/>
              <w:right w:val="single" w:sz="4" w:space="0" w:color="auto"/>
            </w:tcBorders>
            <w:shd w:val="clear" w:color="000000" w:fill="B8CCE4"/>
            <w:vAlign w:val="center"/>
            <w:hideMark/>
          </w:tcPr>
          <w:p w14:paraId="2F8FE610"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Descripción</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14:paraId="3E79C017"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Salida</w:t>
            </w:r>
          </w:p>
        </w:tc>
        <w:tc>
          <w:tcPr>
            <w:tcW w:w="993" w:type="dxa"/>
            <w:tcBorders>
              <w:top w:val="single" w:sz="4" w:space="0" w:color="auto"/>
              <w:left w:val="nil"/>
              <w:bottom w:val="single" w:sz="4" w:space="0" w:color="auto"/>
              <w:right w:val="single" w:sz="4" w:space="0" w:color="auto"/>
            </w:tcBorders>
            <w:shd w:val="clear" w:color="000000" w:fill="B8CCE4"/>
            <w:noWrap/>
            <w:vAlign w:val="center"/>
            <w:hideMark/>
          </w:tcPr>
          <w:p w14:paraId="5FCB08BF"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Regreso</w:t>
            </w:r>
          </w:p>
        </w:tc>
        <w:tc>
          <w:tcPr>
            <w:tcW w:w="1095" w:type="dxa"/>
            <w:tcBorders>
              <w:top w:val="single" w:sz="4" w:space="0" w:color="auto"/>
              <w:left w:val="nil"/>
              <w:bottom w:val="single" w:sz="4" w:space="0" w:color="auto"/>
              <w:right w:val="single" w:sz="4" w:space="0" w:color="auto"/>
            </w:tcBorders>
            <w:shd w:val="clear" w:color="000000" w:fill="B8CCE4"/>
            <w:vAlign w:val="center"/>
            <w:hideMark/>
          </w:tcPr>
          <w:p w14:paraId="0B1B71CA"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Costo pasaje</w:t>
            </w:r>
          </w:p>
        </w:tc>
        <w:tc>
          <w:tcPr>
            <w:tcW w:w="1173" w:type="dxa"/>
            <w:tcBorders>
              <w:top w:val="single" w:sz="4" w:space="0" w:color="auto"/>
              <w:left w:val="nil"/>
              <w:bottom w:val="single" w:sz="4" w:space="0" w:color="auto"/>
              <w:right w:val="single" w:sz="4" w:space="0" w:color="auto"/>
            </w:tcBorders>
            <w:shd w:val="clear" w:color="000000" w:fill="B8CCE4"/>
            <w:vAlign w:val="center"/>
            <w:hideMark/>
          </w:tcPr>
          <w:p w14:paraId="36E90329"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Monto viáticos</w:t>
            </w:r>
          </w:p>
        </w:tc>
      </w:tr>
      <w:tr w:rsidR="002376C9" w:rsidRPr="002376C9" w14:paraId="5E3279DF" w14:textId="77777777" w:rsidTr="001B6A00">
        <w:trPr>
          <w:trHeight w:val="1200"/>
        </w:trPr>
        <w:tc>
          <w:tcPr>
            <w:tcW w:w="1271" w:type="dxa"/>
            <w:tcBorders>
              <w:top w:val="nil"/>
              <w:left w:val="single" w:sz="4" w:space="0" w:color="auto"/>
              <w:bottom w:val="nil"/>
              <w:right w:val="single" w:sz="4" w:space="0" w:color="auto"/>
            </w:tcBorders>
            <w:shd w:val="clear" w:color="auto" w:fill="auto"/>
            <w:vAlign w:val="center"/>
            <w:hideMark/>
          </w:tcPr>
          <w:p w14:paraId="255AAE8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Álvaro Ramos Chaves</w:t>
            </w:r>
          </w:p>
        </w:tc>
        <w:tc>
          <w:tcPr>
            <w:tcW w:w="1139" w:type="dxa"/>
            <w:tcBorders>
              <w:top w:val="nil"/>
              <w:left w:val="nil"/>
              <w:bottom w:val="nil"/>
              <w:right w:val="single" w:sz="4" w:space="0" w:color="auto"/>
            </w:tcBorders>
            <w:shd w:val="clear" w:color="auto" w:fill="auto"/>
            <w:vAlign w:val="center"/>
            <w:hideMark/>
          </w:tcPr>
          <w:p w14:paraId="22E6F199"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Superintendente</w:t>
            </w:r>
          </w:p>
        </w:tc>
        <w:tc>
          <w:tcPr>
            <w:tcW w:w="2414" w:type="dxa"/>
            <w:tcBorders>
              <w:top w:val="nil"/>
              <w:left w:val="nil"/>
              <w:bottom w:val="nil"/>
              <w:right w:val="single" w:sz="4" w:space="0" w:color="auto"/>
            </w:tcBorders>
            <w:shd w:val="clear" w:color="auto" w:fill="auto"/>
            <w:vAlign w:val="center"/>
            <w:hideMark/>
          </w:tcPr>
          <w:p w14:paraId="10CF5207" w14:textId="1500B997"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tres actividades: Reunión Conjunta de la IOPS y del Grupo de Trabajo de la OECD en Pensiones Privadas; en Seminario de Investigación OCDE / IOPS / INPARR y en la 99ª Reunión del Comité de Seguros y Pensiones Privadas</w:t>
            </w:r>
          </w:p>
        </w:tc>
        <w:tc>
          <w:tcPr>
            <w:tcW w:w="992" w:type="dxa"/>
            <w:tcBorders>
              <w:top w:val="nil"/>
              <w:left w:val="nil"/>
              <w:bottom w:val="nil"/>
              <w:right w:val="single" w:sz="4" w:space="0" w:color="auto"/>
            </w:tcBorders>
            <w:shd w:val="clear" w:color="auto" w:fill="auto"/>
            <w:vAlign w:val="center"/>
            <w:hideMark/>
          </w:tcPr>
          <w:p w14:paraId="7C8A890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17-jun-17</w:t>
            </w:r>
          </w:p>
        </w:tc>
        <w:tc>
          <w:tcPr>
            <w:tcW w:w="993" w:type="dxa"/>
            <w:tcBorders>
              <w:top w:val="nil"/>
              <w:left w:val="nil"/>
              <w:bottom w:val="nil"/>
              <w:right w:val="single" w:sz="4" w:space="0" w:color="auto"/>
            </w:tcBorders>
            <w:shd w:val="clear" w:color="auto" w:fill="auto"/>
            <w:vAlign w:val="center"/>
            <w:hideMark/>
          </w:tcPr>
          <w:p w14:paraId="69B8552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24-jun-17</w:t>
            </w:r>
          </w:p>
        </w:tc>
        <w:tc>
          <w:tcPr>
            <w:tcW w:w="1095" w:type="dxa"/>
            <w:tcBorders>
              <w:top w:val="nil"/>
              <w:left w:val="nil"/>
              <w:bottom w:val="nil"/>
              <w:right w:val="single" w:sz="4" w:space="0" w:color="auto"/>
            </w:tcBorders>
            <w:shd w:val="clear" w:color="auto" w:fill="auto"/>
            <w:vAlign w:val="center"/>
            <w:hideMark/>
          </w:tcPr>
          <w:p w14:paraId="5FA83B4B" w14:textId="54F6677F"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783,042.66 </w:t>
            </w:r>
          </w:p>
        </w:tc>
        <w:tc>
          <w:tcPr>
            <w:tcW w:w="1173" w:type="dxa"/>
            <w:tcBorders>
              <w:top w:val="nil"/>
              <w:left w:val="nil"/>
              <w:bottom w:val="nil"/>
              <w:right w:val="single" w:sz="4" w:space="0" w:color="auto"/>
            </w:tcBorders>
            <w:shd w:val="clear" w:color="auto" w:fill="auto"/>
            <w:vAlign w:val="center"/>
            <w:hideMark/>
          </w:tcPr>
          <w:p w14:paraId="53F7A2EE" w14:textId="4550C83C"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1,117,824.72 </w:t>
            </w:r>
          </w:p>
        </w:tc>
      </w:tr>
      <w:tr w:rsidR="002376C9" w:rsidRPr="002376C9" w14:paraId="2925343C" w14:textId="77777777" w:rsidTr="00E807B4">
        <w:trPr>
          <w:trHeight w:val="489"/>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517A520D"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Porfirio Rojas</w:t>
            </w:r>
          </w:p>
        </w:tc>
        <w:tc>
          <w:tcPr>
            <w:tcW w:w="1139" w:type="dxa"/>
            <w:tcBorders>
              <w:top w:val="single" w:sz="4" w:space="0" w:color="auto"/>
              <w:left w:val="nil"/>
              <w:bottom w:val="nil"/>
              <w:right w:val="single" w:sz="4" w:space="0" w:color="auto"/>
            </w:tcBorders>
            <w:shd w:val="clear" w:color="auto" w:fill="auto"/>
            <w:vAlign w:val="center"/>
            <w:hideMark/>
          </w:tcPr>
          <w:p w14:paraId="5CAAA818"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Planificación</w:t>
            </w:r>
          </w:p>
        </w:tc>
        <w:tc>
          <w:tcPr>
            <w:tcW w:w="2414" w:type="dxa"/>
            <w:tcBorders>
              <w:top w:val="single" w:sz="4" w:space="0" w:color="auto"/>
              <w:left w:val="nil"/>
              <w:bottom w:val="nil"/>
              <w:right w:val="single" w:sz="4" w:space="0" w:color="auto"/>
            </w:tcBorders>
            <w:shd w:val="clear" w:color="auto" w:fill="auto"/>
            <w:vAlign w:val="center"/>
            <w:hideMark/>
          </w:tcPr>
          <w:p w14:paraId="19FF85BA" w14:textId="1CEF73B4"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tres actividades: Reunión Conjunta de la IOPS y del Grupo de Trabajo de la OECD en Pensiones Privadas; en Seminario de Investigación OCDE / IOPS / INPARR y en la 99ª Reunión del Comité de Seguros y Pensiones Privadas</w:t>
            </w:r>
          </w:p>
        </w:tc>
        <w:tc>
          <w:tcPr>
            <w:tcW w:w="992" w:type="dxa"/>
            <w:tcBorders>
              <w:top w:val="single" w:sz="4" w:space="0" w:color="auto"/>
              <w:left w:val="nil"/>
              <w:bottom w:val="nil"/>
              <w:right w:val="single" w:sz="4" w:space="0" w:color="auto"/>
            </w:tcBorders>
            <w:shd w:val="clear" w:color="auto" w:fill="auto"/>
            <w:vAlign w:val="center"/>
            <w:hideMark/>
          </w:tcPr>
          <w:p w14:paraId="7AB9DE59"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17-jun-17</w:t>
            </w:r>
          </w:p>
        </w:tc>
        <w:tc>
          <w:tcPr>
            <w:tcW w:w="993" w:type="dxa"/>
            <w:tcBorders>
              <w:top w:val="single" w:sz="4" w:space="0" w:color="auto"/>
              <w:left w:val="nil"/>
              <w:bottom w:val="nil"/>
              <w:right w:val="single" w:sz="4" w:space="0" w:color="auto"/>
            </w:tcBorders>
            <w:shd w:val="clear" w:color="auto" w:fill="auto"/>
            <w:vAlign w:val="center"/>
            <w:hideMark/>
          </w:tcPr>
          <w:p w14:paraId="4793FBDC"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24-jun-17</w:t>
            </w:r>
          </w:p>
        </w:tc>
        <w:tc>
          <w:tcPr>
            <w:tcW w:w="1095" w:type="dxa"/>
            <w:tcBorders>
              <w:top w:val="single" w:sz="4" w:space="0" w:color="auto"/>
              <w:left w:val="nil"/>
              <w:bottom w:val="nil"/>
              <w:right w:val="single" w:sz="4" w:space="0" w:color="auto"/>
            </w:tcBorders>
            <w:shd w:val="clear" w:color="auto" w:fill="auto"/>
            <w:vAlign w:val="center"/>
            <w:hideMark/>
          </w:tcPr>
          <w:p w14:paraId="133206C2" w14:textId="1B06B53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933,709.55 </w:t>
            </w:r>
          </w:p>
        </w:tc>
        <w:tc>
          <w:tcPr>
            <w:tcW w:w="1173" w:type="dxa"/>
            <w:tcBorders>
              <w:top w:val="single" w:sz="4" w:space="0" w:color="auto"/>
              <w:left w:val="nil"/>
              <w:bottom w:val="nil"/>
              <w:right w:val="single" w:sz="4" w:space="0" w:color="auto"/>
            </w:tcBorders>
            <w:shd w:val="clear" w:color="auto" w:fill="auto"/>
            <w:vAlign w:val="center"/>
            <w:hideMark/>
          </w:tcPr>
          <w:p w14:paraId="013A002B" w14:textId="38196467"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1,028,292.44 </w:t>
            </w:r>
          </w:p>
        </w:tc>
      </w:tr>
      <w:tr w:rsidR="002376C9" w:rsidRPr="002376C9" w14:paraId="15535069" w14:textId="77777777" w:rsidTr="001B6A00">
        <w:trPr>
          <w:trHeight w:val="12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A7A2"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Patricia Abarca Rodríguez</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E98BBEB"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Directora de División de Supervisión de Regímenes de Capitalización Individual</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046E0233"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Reunión del Comité Ejecutivo de IOPS, y en Seminario Internacional en Pensiones y Regulación IOPS/FSC,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715D4"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21-feb-17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ED1B7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25-feb-17</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1428515" w14:textId="4F3E409E"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511,939.21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1FF857F7" w14:textId="36EE4013"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856,989.70 </w:t>
            </w:r>
          </w:p>
        </w:tc>
      </w:tr>
      <w:tr w:rsidR="002376C9" w:rsidRPr="002376C9" w14:paraId="5B85A49B" w14:textId="77777777" w:rsidTr="001B6A00">
        <w:trPr>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409008"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Johnny Monge Mata</w:t>
            </w:r>
          </w:p>
        </w:tc>
        <w:tc>
          <w:tcPr>
            <w:tcW w:w="1139" w:type="dxa"/>
            <w:tcBorders>
              <w:top w:val="nil"/>
              <w:left w:val="nil"/>
              <w:bottom w:val="single" w:sz="4" w:space="0" w:color="auto"/>
              <w:right w:val="single" w:sz="4" w:space="0" w:color="auto"/>
            </w:tcBorders>
            <w:shd w:val="clear" w:color="auto" w:fill="auto"/>
            <w:vAlign w:val="center"/>
            <w:hideMark/>
          </w:tcPr>
          <w:p w14:paraId="1FE24C1D"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vAlign w:val="center"/>
            <w:hideMark/>
          </w:tcPr>
          <w:p w14:paraId="478EB9C5"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el Seminario Sistema de Pensiones: Desafíos y Perspectivas Rol de las Administradoras de Fondos de Pensiones y las Aseguradoras, en la Asamblea General de la Asociación Internacional de Organismos De Supervisión de Fondos De Pensiones. </w:t>
            </w:r>
          </w:p>
        </w:tc>
        <w:tc>
          <w:tcPr>
            <w:tcW w:w="992" w:type="dxa"/>
            <w:tcBorders>
              <w:top w:val="nil"/>
              <w:left w:val="nil"/>
              <w:bottom w:val="single" w:sz="4" w:space="0" w:color="auto"/>
              <w:right w:val="single" w:sz="4" w:space="0" w:color="auto"/>
            </w:tcBorders>
            <w:shd w:val="clear" w:color="auto" w:fill="auto"/>
            <w:vAlign w:val="center"/>
            <w:hideMark/>
          </w:tcPr>
          <w:p w14:paraId="49798E1C"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16-abr-17</w:t>
            </w:r>
          </w:p>
        </w:tc>
        <w:tc>
          <w:tcPr>
            <w:tcW w:w="993" w:type="dxa"/>
            <w:tcBorders>
              <w:top w:val="nil"/>
              <w:left w:val="nil"/>
              <w:bottom w:val="single" w:sz="4" w:space="0" w:color="auto"/>
              <w:right w:val="single" w:sz="4" w:space="0" w:color="auto"/>
            </w:tcBorders>
            <w:shd w:val="clear" w:color="auto" w:fill="auto"/>
            <w:vAlign w:val="center"/>
            <w:hideMark/>
          </w:tcPr>
          <w:p w14:paraId="574DB65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21-abr-17</w:t>
            </w:r>
          </w:p>
        </w:tc>
        <w:tc>
          <w:tcPr>
            <w:tcW w:w="1095" w:type="dxa"/>
            <w:tcBorders>
              <w:top w:val="nil"/>
              <w:left w:val="nil"/>
              <w:bottom w:val="single" w:sz="4" w:space="0" w:color="auto"/>
              <w:right w:val="single" w:sz="4" w:space="0" w:color="auto"/>
            </w:tcBorders>
            <w:shd w:val="clear" w:color="auto" w:fill="auto"/>
            <w:vAlign w:val="center"/>
            <w:hideMark/>
          </w:tcPr>
          <w:p w14:paraId="5B581BB7" w14:textId="25A8C1A8"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498,975.15 </w:t>
            </w:r>
          </w:p>
        </w:tc>
        <w:tc>
          <w:tcPr>
            <w:tcW w:w="1173" w:type="dxa"/>
            <w:tcBorders>
              <w:top w:val="nil"/>
              <w:left w:val="nil"/>
              <w:bottom w:val="single" w:sz="4" w:space="0" w:color="auto"/>
              <w:right w:val="single" w:sz="4" w:space="0" w:color="auto"/>
            </w:tcBorders>
            <w:shd w:val="clear" w:color="auto" w:fill="auto"/>
            <w:vAlign w:val="center"/>
            <w:hideMark/>
          </w:tcPr>
          <w:p w14:paraId="5E2C1099" w14:textId="66A07680"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564,740.38 </w:t>
            </w:r>
          </w:p>
        </w:tc>
      </w:tr>
      <w:tr w:rsidR="002376C9" w:rsidRPr="002376C9" w14:paraId="2D3C1BC4" w14:textId="77777777" w:rsidTr="001B6A00">
        <w:trPr>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08C525"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Juan José Marín Matamoros</w:t>
            </w:r>
          </w:p>
        </w:tc>
        <w:tc>
          <w:tcPr>
            <w:tcW w:w="1139" w:type="dxa"/>
            <w:tcBorders>
              <w:top w:val="nil"/>
              <w:left w:val="nil"/>
              <w:bottom w:val="single" w:sz="4" w:space="0" w:color="auto"/>
              <w:right w:val="single" w:sz="4" w:space="0" w:color="auto"/>
            </w:tcBorders>
            <w:shd w:val="clear" w:color="auto" w:fill="auto"/>
            <w:vAlign w:val="center"/>
            <w:hideMark/>
          </w:tcPr>
          <w:p w14:paraId="387FF96E"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vAlign w:val="center"/>
            <w:hideMark/>
          </w:tcPr>
          <w:p w14:paraId="2090B466"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XVI Congreso Iberoamericano de Seguridad Social y Seminario “La Garantía de los Derechos Sociales. El Reto de la Judicialización”</w:t>
            </w:r>
          </w:p>
        </w:tc>
        <w:tc>
          <w:tcPr>
            <w:tcW w:w="992" w:type="dxa"/>
            <w:tcBorders>
              <w:top w:val="nil"/>
              <w:left w:val="nil"/>
              <w:bottom w:val="single" w:sz="4" w:space="0" w:color="auto"/>
              <w:right w:val="single" w:sz="4" w:space="0" w:color="auto"/>
            </w:tcBorders>
            <w:shd w:val="clear" w:color="auto" w:fill="auto"/>
            <w:vAlign w:val="center"/>
            <w:hideMark/>
          </w:tcPr>
          <w:p w14:paraId="6A6572D0"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27-mar-17</w:t>
            </w:r>
          </w:p>
        </w:tc>
        <w:tc>
          <w:tcPr>
            <w:tcW w:w="993" w:type="dxa"/>
            <w:tcBorders>
              <w:top w:val="nil"/>
              <w:left w:val="nil"/>
              <w:bottom w:val="single" w:sz="4" w:space="0" w:color="auto"/>
              <w:right w:val="single" w:sz="4" w:space="0" w:color="auto"/>
            </w:tcBorders>
            <w:shd w:val="clear" w:color="auto" w:fill="auto"/>
            <w:vAlign w:val="center"/>
            <w:hideMark/>
          </w:tcPr>
          <w:p w14:paraId="50F27386"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01-abr-17</w:t>
            </w:r>
          </w:p>
        </w:tc>
        <w:tc>
          <w:tcPr>
            <w:tcW w:w="1095" w:type="dxa"/>
            <w:tcBorders>
              <w:top w:val="nil"/>
              <w:left w:val="nil"/>
              <w:bottom w:val="single" w:sz="4" w:space="0" w:color="auto"/>
              <w:right w:val="single" w:sz="4" w:space="0" w:color="auto"/>
            </w:tcBorders>
            <w:shd w:val="clear" w:color="auto" w:fill="auto"/>
            <w:vAlign w:val="center"/>
            <w:hideMark/>
          </w:tcPr>
          <w:p w14:paraId="0046ACFB" w14:textId="6ACF7BCF"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588,120.00 </w:t>
            </w:r>
          </w:p>
        </w:tc>
        <w:tc>
          <w:tcPr>
            <w:tcW w:w="1173" w:type="dxa"/>
            <w:tcBorders>
              <w:top w:val="nil"/>
              <w:left w:val="nil"/>
              <w:bottom w:val="single" w:sz="4" w:space="0" w:color="auto"/>
              <w:right w:val="single" w:sz="4" w:space="0" w:color="auto"/>
            </w:tcBorders>
            <w:shd w:val="clear" w:color="auto" w:fill="auto"/>
            <w:vAlign w:val="center"/>
            <w:hideMark/>
          </w:tcPr>
          <w:p w14:paraId="3266CFBC" w14:textId="77201704"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659,459.05 </w:t>
            </w:r>
          </w:p>
        </w:tc>
      </w:tr>
      <w:tr w:rsidR="002376C9" w:rsidRPr="002376C9" w14:paraId="11334EE8" w14:textId="77777777" w:rsidTr="001B6A00">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020677"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Rocío Hernández</w:t>
            </w:r>
          </w:p>
        </w:tc>
        <w:tc>
          <w:tcPr>
            <w:tcW w:w="1139" w:type="dxa"/>
            <w:tcBorders>
              <w:top w:val="nil"/>
              <w:left w:val="nil"/>
              <w:bottom w:val="single" w:sz="4" w:space="0" w:color="auto"/>
              <w:right w:val="single" w:sz="4" w:space="0" w:color="auto"/>
            </w:tcBorders>
            <w:shd w:val="clear" w:color="auto" w:fill="auto"/>
            <w:vAlign w:val="center"/>
            <w:hideMark/>
          </w:tcPr>
          <w:p w14:paraId="46BF0262"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noWrap/>
            <w:vAlign w:val="center"/>
            <w:hideMark/>
          </w:tcPr>
          <w:p w14:paraId="28CB4CE2"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1A51476E"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15-jul-17</w:t>
            </w:r>
          </w:p>
        </w:tc>
        <w:tc>
          <w:tcPr>
            <w:tcW w:w="993" w:type="dxa"/>
            <w:tcBorders>
              <w:top w:val="nil"/>
              <w:left w:val="nil"/>
              <w:bottom w:val="single" w:sz="4" w:space="0" w:color="auto"/>
              <w:right w:val="single" w:sz="4" w:space="0" w:color="auto"/>
            </w:tcBorders>
            <w:shd w:val="clear" w:color="auto" w:fill="auto"/>
            <w:vAlign w:val="center"/>
            <w:hideMark/>
          </w:tcPr>
          <w:p w14:paraId="3B2E0BD2"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20-jul-17</w:t>
            </w:r>
          </w:p>
        </w:tc>
        <w:tc>
          <w:tcPr>
            <w:tcW w:w="1095" w:type="dxa"/>
            <w:tcBorders>
              <w:top w:val="nil"/>
              <w:left w:val="nil"/>
              <w:bottom w:val="single" w:sz="4" w:space="0" w:color="auto"/>
              <w:right w:val="single" w:sz="4" w:space="0" w:color="auto"/>
            </w:tcBorders>
            <w:shd w:val="clear" w:color="auto" w:fill="auto"/>
            <w:vAlign w:val="center"/>
            <w:hideMark/>
          </w:tcPr>
          <w:p w14:paraId="70884E5A" w14:textId="6D1DDAE6"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723,642.37 </w:t>
            </w:r>
          </w:p>
        </w:tc>
        <w:tc>
          <w:tcPr>
            <w:tcW w:w="1173" w:type="dxa"/>
            <w:tcBorders>
              <w:top w:val="nil"/>
              <w:left w:val="nil"/>
              <w:bottom w:val="single" w:sz="4" w:space="0" w:color="auto"/>
              <w:right w:val="single" w:sz="4" w:space="0" w:color="auto"/>
            </w:tcBorders>
            <w:shd w:val="clear" w:color="auto" w:fill="auto"/>
            <w:vAlign w:val="center"/>
            <w:hideMark/>
          </w:tcPr>
          <w:p w14:paraId="3832D572" w14:textId="7CC937E5"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488,584.36 </w:t>
            </w:r>
          </w:p>
        </w:tc>
      </w:tr>
      <w:tr w:rsidR="002376C9" w:rsidRPr="002376C9" w14:paraId="627E2FD9" w14:textId="77777777" w:rsidTr="001B6A00">
        <w:trPr>
          <w:trHeight w:val="9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66E19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Norman Orozco</w:t>
            </w:r>
          </w:p>
        </w:tc>
        <w:tc>
          <w:tcPr>
            <w:tcW w:w="1139" w:type="dxa"/>
            <w:tcBorders>
              <w:top w:val="nil"/>
              <w:left w:val="nil"/>
              <w:bottom w:val="single" w:sz="4" w:space="0" w:color="auto"/>
              <w:right w:val="single" w:sz="4" w:space="0" w:color="auto"/>
            </w:tcBorders>
            <w:shd w:val="clear" w:color="auto" w:fill="auto"/>
            <w:vAlign w:val="center"/>
            <w:hideMark/>
          </w:tcPr>
          <w:p w14:paraId="1DEA1AE1"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noWrap/>
            <w:vAlign w:val="center"/>
            <w:hideMark/>
          </w:tcPr>
          <w:p w14:paraId="3915F14C"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19D6B5FF"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15-jul-17</w:t>
            </w:r>
          </w:p>
        </w:tc>
        <w:tc>
          <w:tcPr>
            <w:tcW w:w="993" w:type="dxa"/>
            <w:tcBorders>
              <w:top w:val="nil"/>
              <w:left w:val="nil"/>
              <w:bottom w:val="single" w:sz="4" w:space="0" w:color="auto"/>
              <w:right w:val="single" w:sz="4" w:space="0" w:color="auto"/>
            </w:tcBorders>
            <w:shd w:val="clear" w:color="auto" w:fill="auto"/>
            <w:vAlign w:val="center"/>
            <w:hideMark/>
          </w:tcPr>
          <w:p w14:paraId="5D10B2C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20-jul-17</w:t>
            </w:r>
          </w:p>
        </w:tc>
        <w:tc>
          <w:tcPr>
            <w:tcW w:w="1095" w:type="dxa"/>
            <w:tcBorders>
              <w:top w:val="nil"/>
              <w:left w:val="nil"/>
              <w:bottom w:val="single" w:sz="4" w:space="0" w:color="auto"/>
              <w:right w:val="single" w:sz="4" w:space="0" w:color="auto"/>
            </w:tcBorders>
            <w:shd w:val="clear" w:color="auto" w:fill="auto"/>
            <w:vAlign w:val="center"/>
            <w:hideMark/>
          </w:tcPr>
          <w:p w14:paraId="64A67C04" w14:textId="35428A45"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723,642.37 </w:t>
            </w:r>
          </w:p>
        </w:tc>
        <w:tc>
          <w:tcPr>
            <w:tcW w:w="1173" w:type="dxa"/>
            <w:tcBorders>
              <w:top w:val="nil"/>
              <w:left w:val="nil"/>
              <w:bottom w:val="single" w:sz="4" w:space="0" w:color="auto"/>
              <w:right w:val="single" w:sz="4" w:space="0" w:color="auto"/>
            </w:tcBorders>
            <w:shd w:val="clear" w:color="auto" w:fill="auto"/>
            <w:vAlign w:val="center"/>
            <w:hideMark/>
          </w:tcPr>
          <w:p w14:paraId="61F0807D" w14:textId="6650435D"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479,132.63 </w:t>
            </w:r>
          </w:p>
        </w:tc>
      </w:tr>
      <w:tr w:rsidR="002376C9" w:rsidRPr="002376C9" w14:paraId="2D56CBFB" w14:textId="77777777" w:rsidTr="001B6A00">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FE7C03"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Mauricio Guzmán</w:t>
            </w:r>
          </w:p>
        </w:tc>
        <w:tc>
          <w:tcPr>
            <w:tcW w:w="1139" w:type="dxa"/>
            <w:tcBorders>
              <w:top w:val="nil"/>
              <w:left w:val="nil"/>
              <w:bottom w:val="single" w:sz="4" w:space="0" w:color="auto"/>
              <w:right w:val="single" w:sz="4" w:space="0" w:color="auto"/>
            </w:tcBorders>
            <w:shd w:val="clear" w:color="auto" w:fill="auto"/>
            <w:vAlign w:val="center"/>
            <w:hideMark/>
          </w:tcPr>
          <w:p w14:paraId="46E8534F"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vAlign w:val="center"/>
            <w:hideMark/>
          </w:tcPr>
          <w:p w14:paraId="59D0DDD5"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fase presencial del curso máster en Dirección y Gestión de Planes y Fondos de Pensiones </w:t>
            </w:r>
          </w:p>
        </w:tc>
        <w:tc>
          <w:tcPr>
            <w:tcW w:w="992" w:type="dxa"/>
            <w:tcBorders>
              <w:top w:val="nil"/>
              <w:left w:val="nil"/>
              <w:bottom w:val="single" w:sz="4" w:space="0" w:color="auto"/>
              <w:right w:val="single" w:sz="4" w:space="0" w:color="auto"/>
            </w:tcBorders>
            <w:shd w:val="clear" w:color="auto" w:fill="auto"/>
            <w:vAlign w:val="center"/>
            <w:hideMark/>
          </w:tcPr>
          <w:p w14:paraId="3CDB0FF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14-oct-17</w:t>
            </w:r>
          </w:p>
        </w:tc>
        <w:tc>
          <w:tcPr>
            <w:tcW w:w="993" w:type="dxa"/>
            <w:tcBorders>
              <w:top w:val="nil"/>
              <w:left w:val="nil"/>
              <w:bottom w:val="single" w:sz="4" w:space="0" w:color="auto"/>
              <w:right w:val="single" w:sz="4" w:space="0" w:color="auto"/>
            </w:tcBorders>
            <w:shd w:val="clear" w:color="auto" w:fill="auto"/>
            <w:vAlign w:val="center"/>
            <w:hideMark/>
          </w:tcPr>
          <w:p w14:paraId="3AFF690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27-oct-17</w:t>
            </w:r>
          </w:p>
        </w:tc>
        <w:tc>
          <w:tcPr>
            <w:tcW w:w="1095" w:type="dxa"/>
            <w:tcBorders>
              <w:top w:val="nil"/>
              <w:left w:val="nil"/>
              <w:bottom w:val="single" w:sz="4" w:space="0" w:color="auto"/>
              <w:right w:val="single" w:sz="4" w:space="0" w:color="auto"/>
            </w:tcBorders>
            <w:shd w:val="clear" w:color="auto" w:fill="auto"/>
            <w:vAlign w:val="center"/>
            <w:hideMark/>
          </w:tcPr>
          <w:p w14:paraId="736D9253" w14:textId="68DC354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533,614.45 </w:t>
            </w:r>
          </w:p>
        </w:tc>
        <w:tc>
          <w:tcPr>
            <w:tcW w:w="1173" w:type="dxa"/>
            <w:tcBorders>
              <w:top w:val="nil"/>
              <w:left w:val="nil"/>
              <w:bottom w:val="single" w:sz="4" w:space="0" w:color="auto"/>
              <w:right w:val="single" w:sz="4" w:space="0" w:color="auto"/>
            </w:tcBorders>
            <w:shd w:val="clear" w:color="auto" w:fill="auto"/>
            <w:vAlign w:val="center"/>
            <w:hideMark/>
          </w:tcPr>
          <w:p w14:paraId="4D93775B" w14:textId="0B58B10B"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978,527.09 </w:t>
            </w:r>
          </w:p>
        </w:tc>
      </w:tr>
      <w:tr w:rsidR="002376C9" w:rsidRPr="002376C9" w14:paraId="1DA1BAB1" w14:textId="77777777" w:rsidTr="001B6A00">
        <w:trPr>
          <w:trHeight w:val="720"/>
        </w:trPr>
        <w:tc>
          <w:tcPr>
            <w:tcW w:w="1271" w:type="dxa"/>
            <w:tcBorders>
              <w:top w:val="nil"/>
              <w:left w:val="single" w:sz="4" w:space="0" w:color="auto"/>
              <w:bottom w:val="nil"/>
              <w:right w:val="single" w:sz="4" w:space="0" w:color="auto"/>
            </w:tcBorders>
            <w:shd w:val="clear" w:color="auto" w:fill="auto"/>
            <w:vAlign w:val="center"/>
            <w:hideMark/>
          </w:tcPr>
          <w:p w14:paraId="75DC2190"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Sergio Víquez Vargas</w:t>
            </w:r>
          </w:p>
        </w:tc>
        <w:tc>
          <w:tcPr>
            <w:tcW w:w="1139" w:type="dxa"/>
            <w:tcBorders>
              <w:top w:val="nil"/>
              <w:left w:val="nil"/>
              <w:bottom w:val="nil"/>
              <w:right w:val="single" w:sz="4" w:space="0" w:color="auto"/>
            </w:tcBorders>
            <w:shd w:val="clear" w:color="auto" w:fill="auto"/>
            <w:vAlign w:val="center"/>
            <w:hideMark/>
          </w:tcPr>
          <w:p w14:paraId="19009929" w14:textId="77777777" w:rsidR="002376C9" w:rsidRPr="002376C9" w:rsidRDefault="002376C9" w:rsidP="00ED7B7E">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Supervisor Regímenes Colectivos</w:t>
            </w:r>
          </w:p>
        </w:tc>
        <w:tc>
          <w:tcPr>
            <w:tcW w:w="2414" w:type="dxa"/>
            <w:tcBorders>
              <w:top w:val="nil"/>
              <w:left w:val="nil"/>
              <w:bottom w:val="nil"/>
              <w:right w:val="single" w:sz="4" w:space="0" w:color="auto"/>
            </w:tcBorders>
            <w:shd w:val="clear" w:color="auto" w:fill="auto"/>
            <w:vAlign w:val="center"/>
            <w:hideMark/>
          </w:tcPr>
          <w:p w14:paraId="47007982" w14:textId="77777777"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Taller Sistemas de Pensiones: Tendencias y Retos al 2030"</w:t>
            </w:r>
          </w:p>
        </w:tc>
        <w:tc>
          <w:tcPr>
            <w:tcW w:w="992" w:type="dxa"/>
            <w:tcBorders>
              <w:top w:val="nil"/>
              <w:left w:val="nil"/>
              <w:bottom w:val="nil"/>
              <w:right w:val="single" w:sz="4" w:space="0" w:color="auto"/>
            </w:tcBorders>
            <w:shd w:val="clear" w:color="auto" w:fill="auto"/>
            <w:vAlign w:val="center"/>
            <w:hideMark/>
          </w:tcPr>
          <w:p w14:paraId="7842523B" w14:textId="32F2908A"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20-set</w:t>
            </w:r>
            <w:r w:rsidR="002376C9" w:rsidRPr="002376C9">
              <w:rPr>
                <w:rFonts w:ascii="Calibri Light" w:hAnsi="Calibri Light" w:cs="Calibri Light"/>
                <w:color w:val="000000"/>
                <w:sz w:val="18"/>
                <w:szCs w:val="18"/>
                <w:lang w:val="es-CR" w:eastAsia="es-CR"/>
              </w:rPr>
              <w:t>-17</w:t>
            </w:r>
          </w:p>
        </w:tc>
        <w:tc>
          <w:tcPr>
            <w:tcW w:w="993" w:type="dxa"/>
            <w:tcBorders>
              <w:top w:val="nil"/>
              <w:left w:val="nil"/>
              <w:bottom w:val="nil"/>
              <w:right w:val="single" w:sz="4" w:space="0" w:color="auto"/>
            </w:tcBorders>
            <w:shd w:val="clear" w:color="auto" w:fill="auto"/>
            <w:vAlign w:val="center"/>
            <w:hideMark/>
          </w:tcPr>
          <w:p w14:paraId="235991C1" w14:textId="13CEF740"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23-set</w:t>
            </w:r>
            <w:r w:rsidR="002376C9" w:rsidRPr="002376C9">
              <w:rPr>
                <w:rFonts w:ascii="Calibri Light" w:hAnsi="Calibri Light" w:cs="Calibri Light"/>
                <w:color w:val="000000"/>
                <w:sz w:val="18"/>
                <w:szCs w:val="18"/>
                <w:lang w:val="es-CR" w:eastAsia="es-CR"/>
              </w:rPr>
              <w:t>-17</w:t>
            </w:r>
          </w:p>
        </w:tc>
        <w:tc>
          <w:tcPr>
            <w:tcW w:w="1095" w:type="dxa"/>
            <w:tcBorders>
              <w:top w:val="nil"/>
              <w:left w:val="nil"/>
              <w:bottom w:val="nil"/>
              <w:right w:val="single" w:sz="4" w:space="0" w:color="auto"/>
            </w:tcBorders>
            <w:shd w:val="clear" w:color="auto" w:fill="auto"/>
            <w:vAlign w:val="center"/>
            <w:hideMark/>
          </w:tcPr>
          <w:p w14:paraId="3E395761" w14:textId="2CAEB4E8"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872,487.36 </w:t>
            </w:r>
          </w:p>
        </w:tc>
        <w:tc>
          <w:tcPr>
            <w:tcW w:w="1173" w:type="dxa"/>
            <w:tcBorders>
              <w:top w:val="nil"/>
              <w:left w:val="nil"/>
              <w:bottom w:val="single" w:sz="4" w:space="0" w:color="auto"/>
              <w:right w:val="single" w:sz="4" w:space="0" w:color="auto"/>
            </w:tcBorders>
            <w:shd w:val="clear" w:color="auto" w:fill="auto"/>
            <w:vAlign w:val="center"/>
            <w:hideMark/>
          </w:tcPr>
          <w:p w14:paraId="38D9FBE8" w14:textId="5E11611F"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448,439.63 </w:t>
            </w:r>
          </w:p>
        </w:tc>
      </w:tr>
      <w:tr w:rsidR="002376C9" w:rsidRPr="002376C9" w14:paraId="3D611AA8" w14:textId="77777777" w:rsidTr="001B6A00">
        <w:trPr>
          <w:trHeight w:val="12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CFBF"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Patricia Abarca Rodríguez</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BC5BC1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Directora de División de Supervisión de Regímenes de Capitalización Individual</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2BCE6354"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IV encuentro de supervisores Perú - AIOS 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5493C" w14:textId="60A9F181"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24-se</w:t>
            </w:r>
            <w:r w:rsidR="00ED7B7E">
              <w:rPr>
                <w:rFonts w:ascii="Calibri Light" w:hAnsi="Calibri Light" w:cs="Calibri Light"/>
                <w:color w:val="000000"/>
                <w:sz w:val="18"/>
                <w:szCs w:val="18"/>
                <w:lang w:val="es-CR" w:eastAsia="es-CR"/>
              </w:rPr>
              <w:t>t</w:t>
            </w:r>
            <w:r w:rsidRPr="002376C9">
              <w:rPr>
                <w:rFonts w:ascii="Calibri Light" w:hAnsi="Calibri Light" w:cs="Calibri Light"/>
                <w:color w:val="000000"/>
                <w:sz w:val="18"/>
                <w:szCs w:val="18"/>
                <w:lang w:val="es-CR" w:eastAsia="es-CR"/>
              </w:rPr>
              <w:t>-17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9753B8" w14:textId="29AB76C1"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27-set</w:t>
            </w:r>
            <w:r w:rsidR="002376C9" w:rsidRPr="002376C9">
              <w:rPr>
                <w:rFonts w:ascii="Calibri Light" w:hAnsi="Calibri Light" w:cs="Calibri Light"/>
                <w:color w:val="000000"/>
                <w:sz w:val="18"/>
                <w:szCs w:val="18"/>
                <w:lang w:val="es-CR" w:eastAsia="es-CR"/>
              </w:rPr>
              <w:t>-17</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6739A48" w14:textId="73918AF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331,929.93 </w:t>
            </w:r>
          </w:p>
        </w:tc>
        <w:tc>
          <w:tcPr>
            <w:tcW w:w="1173" w:type="dxa"/>
            <w:tcBorders>
              <w:top w:val="nil"/>
              <w:left w:val="nil"/>
              <w:bottom w:val="single" w:sz="4" w:space="0" w:color="auto"/>
              <w:right w:val="single" w:sz="4" w:space="0" w:color="auto"/>
            </w:tcBorders>
            <w:shd w:val="clear" w:color="auto" w:fill="auto"/>
            <w:vAlign w:val="center"/>
            <w:hideMark/>
          </w:tcPr>
          <w:p w14:paraId="1BF266DE" w14:textId="5E243ACE"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333,736.71 </w:t>
            </w:r>
          </w:p>
        </w:tc>
      </w:tr>
      <w:tr w:rsidR="002376C9" w:rsidRPr="002376C9" w14:paraId="79C89327" w14:textId="77777777" w:rsidTr="001B6A00">
        <w:trPr>
          <w:trHeight w:val="9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4867D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Johnny Monge Mata</w:t>
            </w:r>
          </w:p>
        </w:tc>
        <w:tc>
          <w:tcPr>
            <w:tcW w:w="1139" w:type="dxa"/>
            <w:tcBorders>
              <w:top w:val="nil"/>
              <w:left w:val="nil"/>
              <w:bottom w:val="single" w:sz="4" w:space="0" w:color="auto"/>
              <w:right w:val="single" w:sz="4" w:space="0" w:color="auto"/>
            </w:tcBorders>
            <w:shd w:val="clear" w:color="auto" w:fill="auto"/>
            <w:vAlign w:val="center"/>
            <w:hideMark/>
          </w:tcPr>
          <w:p w14:paraId="61C5520A"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vAlign w:val="center"/>
            <w:hideMark/>
          </w:tcPr>
          <w:p w14:paraId="69E931C8" w14:textId="1068BA8D"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el IV </w:t>
            </w:r>
            <w:r w:rsidR="00ED7B7E">
              <w:rPr>
                <w:rFonts w:ascii="Calibri Light" w:hAnsi="Calibri Light" w:cs="Calibri Light"/>
                <w:color w:val="000000"/>
                <w:sz w:val="18"/>
                <w:szCs w:val="18"/>
                <w:lang w:val="es-CR" w:eastAsia="es-CR"/>
              </w:rPr>
              <w:t>Encuentro de S</w:t>
            </w:r>
            <w:r w:rsidRPr="002376C9">
              <w:rPr>
                <w:rFonts w:ascii="Calibri Light" w:hAnsi="Calibri Light" w:cs="Calibri Light"/>
                <w:color w:val="000000"/>
                <w:sz w:val="18"/>
                <w:szCs w:val="18"/>
                <w:lang w:val="es-CR" w:eastAsia="es-CR"/>
              </w:rPr>
              <w:t>upervisores Perú - AIOS 2017.</w:t>
            </w:r>
          </w:p>
        </w:tc>
        <w:tc>
          <w:tcPr>
            <w:tcW w:w="992" w:type="dxa"/>
            <w:tcBorders>
              <w:top w:val="nil"/>
              <w:left w:val="nil"/>
              <w:bottom w:val="single" w:sz="4" w:space="0" w:color="auto"/>
              <w:right w:val="single" w:sz="4" w:space="0" w:color="auto"/>
            </w:tcBorders>
            <w:shd w:val="clear" w:color="auto" w:fill="auto"/>
            <w:vAlign w:val="center"/>
            <w:hideMark/>
          </w:tcPr>
          <w:p w14:paraId="3227B1EE" w14:textId="00BCE710"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24-se</w:t>
            </w:r>
            <w:r w:rsidR="00ED7B7E">
              <w:rPr>
                <w:rFonts w:ascii="Calibri Light" w:hAnsi="Calibri Light" w:cs="Calibri Light"/>
                <w:color w:val="000000"/>
                <w:sz w:val="18"/>
                <w:szCs w:val="18"/>
                <w:lang w:val="es-CR" w:eastAsia="es-CR"/>
              </w:rPr>
              <w:t>t</w:t>
            </w:r>
            <w:r w:rsidRPr="002376C9">
              <w:rPr>
                <w:rFonts w:ascii="Calibri Light" w:hAnsi="Calibri Light" w:cs="Calibri Light"/>
                <w:color w:val="000000"/>
                <w:sz w:val="18"/>
                <w:szCs w:val="18"/>
                <w:lang w:val="es-CR" w:eastAsia="es-CR"/>
              </w:rPr>
              <w:t>-17</w:t>
            </w:r>
          </w:p>
        </w:tc>
        <w:tc>
          <w:tcPr>
            <w:tcW w:w="993" w:type="dxa"/>
            <w:tcBorders>
              <w:top w:val="nil"/>
              <w:left w:val="nil"/>
              <w:bottom w:val="single" w:sz="4" w:space="0" w:color="auto"/>
              <w:right w:val="single" w:sz="4" w:space="0" w:color="auto"/>
            </w:tcBorders>
            <w:shd w:val="clear" w:color="auto" w:fill="auto"/>
            <w:vAlign w:val="center"/>
            <w:hideMark/>
          </w:tcPr>
          <w:p w14:paraId="37E1BCFF" w14:textId="73E627F7"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27-set</w:t>
            </w:r>
            <w:r w:rsidR="002376C9" w:rsidRPr="002376C9">
              <w:rPr>
                <w:rFonts w:ascii="Calibri Light" w:hAnsi="Calibri Light" w:cs="Calibri Light"/>
                <w:color w:val="000000"/>
                <w:sz w:val="18"/>
                <w:szCs w:val="18"/>
                <w:lang w:val="es-CR" w:eastAsia="es-CR"/>
              </w:rPr>
              <w:t>-17</w:t>
            </w:r>
          </w:p>
        </w:tc>
        <w:tc>
          <w:tcPr>
            <w:tcW w:w="1095" w:type="dxa"/>
            <w:tcBorders>
              <w:top w:val="nil"/>
              <w:left w:val="nil"/>
              <w:bottom w:val="single" w:sz="4" w:space="0" w:color="auto"/>
              <w:right w:val="single" w:sz="4" w:space="0" w:color="auto"/>
            </w:tcBorders>
            <w:shd w:val="clear" w:color="auto" w:fill="auto"/>
            <w:vAlign w:val="center"/>
            <w:hideMark/>
          </w:tcPr>
          <w:p w14:paraId="6A1C4BB1" w14:textId="290DCD95"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331,929.93 </w:t>
            </w:r>
          </w:p>
        </w:tc>
        <w:tc>
          <w:tcPr>
            <w:tcW w:w="1173" w:type="dxa"/>
            <w:tcBorders>
              <w:top w:val="nil"/>
              <w:left w:val="nil"/>
              <w:bottom w:val="single" w:sz="4" w:space="0" w:color="auto"/>
              <w:right w:val="single" w:sz="4" w:space="0" w:color="auto"/>
            </w:tcBorders>
            <w:shd w:val="clear" w:color="auto" w:fill="auto"/>
            <w:vAlign w:val="center"/>
            <w:hideMark/>
          </w:tcPr>
          <w:p w14:paraId="5A90A2F6" w14:textId="389E10A8"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399,825.19 </w:t>
            </w:r>
          </w:p>
        </w:tc>
      </w:tr>
      <w:tr w:rsidR="002376C9" w:rsidRPr="002376C9" w14:paraId="1F8F2581" w14:textId="77777777" w:rsidTr="00E807B4">
        <w:trPr>
          <w:trHeight w:val="489"/>
        </w:trPr>
        <w:tc>
          <w:tcPr>
            <w:tcW w:w="1271" w:type="dxa"/>
            <w:tcBorders>
              <w:top w:val="nil"/>
              <w:left w:val="single" w:sz="4" w:space="0" w:color="auto"/>
              <w:bottom w:val="nil"/>
              <w:right w:val="single" w:sz="4" w:space="0" w:color="auto"/>
            </w:tcBorders>
            <w:shd w:val="clear" w:color="auto" w:fill="auto"/>
            <w:vAlign w:val="center"/>
            <w:hideMark/>
          </w:tcPr>
          <w:p w14:paraId="1EC22C91"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Porfirio Rojas</w:t>
            </w:r>
          </w:p>
        </w:tc>
        <w:tc>
          <w:tcPr>
            <w:tcW w:w="1139" w:type="dxa"/>
            <w:tcBorders>
              <w:top w:val="nil"/>
              <w:left w:val="nil"/>
              <w:bottom w:val="nil"/>
              <w:right w:val="single" w:sz="4" w:space="0" w:color="auto"/>
            </w:tcBorders>
            <w:shd w:val="clear" w:color="auto" w:fill="auto"/>
            <w:vAlign w:val="center"/>
            <w:hideMark/>
          </w:tcPr>
          <w:p w14:paraId="1A3471A6"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Planificación</w:t>
            </w:r>
          </w:p>
        </w:tc>
        <w:tc>
          <w:tcPr>
            <w:tcW w:w="2414" w:type="dxa"/>
            <w:tcBorders>
              <w:top w:val="nil"/>
              <w:left w:val="nil"/>
              <w:bottom w:val="single" w:sz="4" w:space="0" w:color="auto"/>
              <w:right w:val="single" w:sz="4" w:space="0" w:color="auto"/>
            </w:tcBorders>
            <w:shd w:val="clear" w:color="auto" w:fill="auto"/>
            <w:vAlign w:val="center"/>
            <w:hideMark/>
          </w:tcPr>
          <w:p w14:paraId="68F89EE8"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dos actividades: Reunión OECD en pensiones privadas y reunión con la Secretarían del WPPP y funcionarios de OECD, atender tema de remisión de información.</w:t>
            </w:r>
          </w:p>
        </w:tc>
        <w:tc>
          <w:tcPr>
            <w:tcW w:w="992" w:type="dxa"/>
            <w:tcBorders>
              <w:top w:val="nil"/>
              <w:left w:val="nil"/>
              <w:bottom w:val="single" w:sz="4" w:space="0" w:color="auto"/>
              <w:right w:val="single" w:sz="4" w:space="0" w:color="auto"/>
            </w:tcBorders>
            <w:shd w:val="clear" w:color="auto" w:fill="auto"/>
            <w:vAlign w:val="center"/>
            <w:hideMark/>
          </w:tcPr>
          <w:p w14:paraId="24F50D90"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02-dic-17</w:t>
            </w:r>
          </w:p>
        </w:tc>
        <w:tc>
          <w:tcPr>
            <w:tcW w:w="993" w:type="dxa"/>
            <w:tcBorders>
              <w:top w:val="nil"/>
              <w:left w:val="nil"/>
              <w:bottom w:val="single" w:sz="4" w:space="0" w:color="auto"/>
              <w:right w:val="single" w:sz="4" w:space="0" w:color="auto"/>
            </w:tcBorders>
            <w:shd w:val="clear" w:color="auto" w:fill="auto"/>
            <w:vAlign w:val="center"/>
            <w:hideMark/>
          </w:tcPr>
          <w:p w14:paraId="68161AA3"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07-dic-17</w:t>
            </w:r>
          </w:p>
        </w:tc>
        <w:tc>
          <w:tcPr>
            <w:tcW w:w="1095" w:type="dxa"/>
            <w:tcBorders>
              <w:top w:val="nil"/>
              <w:left w:val="nil"/>
              <w:bottom w:val="single" w:sz="4" w:space="0" w:color="auto"/>
              <w:right w:val="single" w:sz="4" w:space="0" w:color="auto"/>
            </w:tcBorders>
            <w:shd w:val="clear" w:color="auto" w:fill="auto"/>
            <w:vAlign w:val="center"/>
            <w:hideMark/>
          </w:tcPr>
          <w:p w14:paraId="3308CA70" w14:textId="563612DA"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708,999.72 </w:t>
            </w:r>
          </w:p>
        </w:tc>
        <w:tc>
          <w:tcPr>
            <w:tcW w:w="1173" w:type="dxa"/>
            <w:tcBorders>
              <w:top w:val="nil"/>
              <w:left w:val="nil"/>
              <w:bottom w:val="single" w:sz="4" w:space="0" w:color="auto"/>
              <w:right w:val="single" w:sz="4" w:space="0" w:color="auto"/>
            </w:tcBorders>
            <w:shd w:val="clear" w:color="auto" w:fill="auto"/>
            <w:vAlign w:val="center"/>
            <w:hideMark/>
          </w:tcPr>
          <w:p w14:paraId="734B01C0" w14:textId="632D72E2"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709,269.47 </w:t>
            </w:r>
          </w:p>
        </w:tc>
      </w:tr>
      <w:tr w:rsidR="002376C9" w:rsidRPr="002376C9" w14:paraId="46C7D1ED" w14:textId="77777777" w:rsidTr="001B6A00">
        <w:trPr>
          <w:trHeight w:val="9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77FD"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76E129B"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2414" w:type="dxa"/>
            <w:tcBorders>
              <w:top w:val="nil"/>
              <w:left w:val="nil"/>
              <w:bottom w:val="single" w:sz="4" w:space="0" w:color="auto"/>
              <w:right w:val="single" w:sz="4" w:space="0" w:color="auto"/>
            </w:tcBorders>
            <w:shd w:val="clear" w:color="auto" w:fill="auto"/>
            <w:vAlign w:val="center"/>
            <w:hideMark/>
          </w:tcPr>
          <w:p w14:paraId="64CC9B26"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auto" w:fill="auto"/>
            <w:vAlign w:val="center"/>
            <w:hideMark/>
          </w:tcPr>
          <w:p w14:paraId="1868EEA7"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993" w:type="dxa"/>
            <w:tcBorders>
              <w:top w:val="nil"/>
              <w:left w:val="nil"/>
              <w:bottom w:val="single" w:sz="4" w:space="0" w:color="auto"/>
              <w:right w:val="single" w:sz="4" w:space="0" w:color="auto"/>
            </w:tcBorders>
            <w:shd w:val="clear" w:color="auto" w:fill="auto"/>
            <w:vAlign w:val="center"/>
            <w:hideMark/>
          </w:tcPr>
          <w:p w14:paraId="0C983B16"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095" w:type="dxa"/>
            <w:tcBorders>
              <w:top w:val="nil"/>
              <w:left w:val="nil"/>
              <w:bottom w:val="single" w:sz="4" w:space="0" w:color="auto"/>
              <w:right w:val="single" w:sz="4" w:space="0" w:color="auto"/>
            </w:tcBorders>
            <w:shd w:val="clear" w:color="auto" w:fill="auto"/>
            <w:vAlign w:val="center"/>
            <w:hideMark/>
          </w:tcPr>
          <w:p w14:paraId="471F7A3B" w14:textId="77777777"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173" w:type="dxa"/>
            <w:tcBorders>
              <w:top w:val="nil"/>
              <w:left w:val="nil"/>
              <w:bottom w:val="single" w:sz="4" w:space="0" w:color="auto"/>
              <w:right w:val="single" w:sz="4" w:space="0" w:color="auto"/>
            </w:tcBorders>
            <w:shd w:val="clear" w:color="auto" w:fill="auto"/>
            <w:vAlign w:val="center"/>
            <w:hideMark/>
          </w:tcPr>
          <w:p w14:paraId="1DA10EF7" w14:textId="77777777" w:rsidR="002376C9" w:rsidRPr="002376C9" w:rsidRDefault="002376C9" w:rsidP="002376C9">
            <w:pPr>
              <w:spacing w:line="240" w:lineRule="auto"/>
              <w:jc w:val="left"/>
              <w:rPr>
                <w:rFonts w:ascii="Calibri Light" w:hAnsi="Calibri Light" w:cs="Calibri Light"/>
                <w:i/>
                <w:iCs/>
                <w:color w:val="000000"/>
                <w:sz w:val="18"/>
                <w:szCs w:val="16"/>
                <w:lang w:val="es-CR" w:eastAsia="es-CR"/>
              </w:rPr>
            </w:pPr>
            <w:r w:rsidRPr="002376C9">
              <w:rPr>
                <w:rFonts w:ascii="Calibri Light" w:hAnsi="Calibri Light" w:cs="Calibri Light"/>
                <w:i/>
                <w:iCs/>
                <w:color w:val="000000"/>
                <w:sz w:val="18"/>
                <w:szCs w:val="16"/>
                <w:lang w:val="es-CR" w:eastAsia="es-CR"/>
              </w:rPr>
              <w:t> </w:t>
            </w:r>
          </w:p>
        </w:tc>
      </w:tr>
      <w:tr w:rsidR="002376C9" w:rsidRPr="002376C9" w14:paraId="48211805" w14:textId="77777777" w:rsidTr="001B6A00">
        <w:trPr>
          <w:trHeight w:val="420"/>
        </w:trPr>
        <w:tc>
          <w:tcPr>
            <w:tcW w:w="1271" w:type="dxa"/>
            <w:tcBorders>
              <w:top w:val="nil"/>
              <w:left w:val="single" w:sz="4" w:space="0" w:color="auto"/>
              <w:bottom w:val="single" w:sz="4" w:space="0" w:color="auto"/>
              <w:right w:val="single" w:sz="4" w:space="0" w:color="auto"/>
            </w:tcBorders>
            <w:shd w:val="clear" w:color="000000" w:fill="C5D9F1"/>
            <w:vAlign w:val="center"/>
            <w:hideMark/>
          </w:tcPr>
          <w:p w14:paraId="7ACD53C6"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1139" w:type="dxa"/>
            <w:tcBorders>
              <w:top w:val="nil"/>
              <w:left w:val="nil"/>
              <w:bottom w:val="single" w:sz="4" w:space="0" w:color="auto"/>
              <w:right w:val="single" w:sz="4" w:space="0" w:color="auto"/>
            </w:tcBorders>
            <w:shd w:val="clear" w:color="000000" w:fill="C5D9F1"/>
            <w:vAlign w:val="center"/>
            <w:hideMark/>
          </w:tcPr>
          <w:p w14:paraId="3213DB9A"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2414" w:type="dxa"/>
            <w:tcBorders>
              <w:top w:val="nil"/>
              <w:left w:val="nil"/>
              <w:bottom w:val="single" w:sz="4" w:space="0" w:color="auto"/>
              <w:right w:val="single" w:sz="4" w:space="0" w:color="auto"/>
            </w:tcBorders>
            <w:shd w:val="clear" w:color="000000" w:fill="C5D9F1"/>
            <w:vAlign w:val="center"/>
            <w:hideMark/>
          </w:tcPr>
          <w:p w14:paraId="3EDC6269"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Total </w:t>
            </w:r>
          </w:p>
        </w:tc>
        <w:tc>
          <w:tcPr>
            <w:tcW w:w="992" w:type="dxa"/>
            <w:tcBorders>
              <w:top w:val="nil"/>
              <w:left w:val="nil"/>
              <w:bottom w:val="single" w:sz="4" w:space="0" w:color="auto"/>
              <w:right w:val="single" w:sz="4" w:space="0" w:color="auto"/>
            </w:tcBorders>
            <w:shd w:val="clear" w:color="000000" w:fill="C5D9F1"/>
            <w:vAlign w:val="center"/>
            <w:hideMark/>
          </w:tcPr>
          <w:p w14:paraId="27B82A37" w14:textId="77777777" w:rsidR="002376C9" w:rsidRPr="002376C9" w:rsidRDefault="002376C9" w:rsidP="002376C9">
            <w:pPr>
              <w:spacing w:line="240" w:lineRule="auto"/>
              <w:jc w:val="center"/>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993" w:type="dxa"/>
            <w:tcBorders>
              <w:top w:val="nil"/>
              <w:left w:val="nil"/>
              <w:bottom w:val="single" w:sz="4" w:space="0" w:color="auto"/>
              <w:right w:val="single" w:sz="4" w:space="0" w:color="auto"/>
            </w:tcBorders>
            <w:shd w:val="clear" w:color="000000" w:fill="C5D9F1"/>
            <w:vAlign w:val="center"/>
            <w:hideMark/>
          </w:tcPr>
          <w:p w14:paraId="5F38522D" w14:textId="77777777" w:rsidR="002376C9" w:rsidRPr="002376C9" w:rsidRDefault="002376C9" w:rsidP="002376C9">
            <w:pPr>
              <w:spacing w:line="240" w:lineRule="auto"/>
              <w:jc w:val="center"/>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1095" w:type="dxa"/>
            <w:tcBorders>
              <w:top w:val="nil"/>
              <w:left w:val="nil"/>
              <w:bottom w:val="single" w:sz="4" w:space="0" w:color="auto"/>
              <w:right w:val="single" w:sz="4" w:space="0" w:color="auto"/>
            </w:tcBorders>
            <w:shd w:val="clear" w:color="000000" w:fill="C5D9F1"/>
            <w:vAlign w:val="center"/>
            <w:hideMark/>
          </w:tcPr>
          <w:p w14:paraId="0EB56C28" w14:textId="50ABC773" w:rsidR="002376C9" w:rsidRPr="002376C9" w:rsidRDefault="002376C9" w:rsidP="002376C9">
            <w:pPr>
              <w:spacing w:line="240" w:lineRule="auto"/>
              <w:jc w:val="righ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7,542,032.70 </w:t>
            </w:r>
          </w:p>
        </w:tc>
        <w:tc>
          <w:tcPr>
            <w:tcW w:w="1173" w:type="dxa"/>
            <w:tcBorders>
              <w:top w:val="nil"/>
              <w:left w:val="nil"/>
              <w:bottom w:val="single" w:sz="4" w:space="0" w:color="auto"/>
              <w:right w:val="single" w:sz="4" w:space="0" w:color="auto"/>
            </w:tcBorders>
            <w:shd w:val="clear" w:color="000000" w:fill="C5D9F1"/>
            <w:vAlign w:val="center"/>
            <w:hideMark/>
          </w:tcPr>
          <w:p w14:paraId="6102EBE8" w14:textId="0C3EE6B5" w:rsidR="002376C9" w:rsidRPr="002376C9" w:rsidRDefault="002376C9" w:rsidP="002376C9">
            <w:pPr>
              <w:spacing w:line="240" w:lineRule="auto"/>
              <w:jc w:val="righ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8,064,821.37 </w:t>
            </w:r>
          </w:p>
        </w:tc>
      </w:tr>
    </w:tbl>
    <w:p w14:paraId="3E9BF3C1" w14:textId="2A0000FE" w:rsidR="00F6644D" w:rsidRPr="000F5573" w:rsidRDefault="00F6644D" w:rsidP="000F5573">
      <w:pPr>
        <w:pStyle w:val="Textoindependiente"/>
        <w:numPr>
          <w:ilvl w:val="0"/>
          <w:numId w:val="0"/>
        </w:numPr>
        <w:tabs>
          <w:tab w:val="left" w:pos="1134"/>
          <w:tab w:val="decimal" w:pos="7088"/>
        </w:tabs>
        <w:rPr>
          <w:rFonts w:asciiTheme="minorHAnsi" w:hAnsiTheme="minorHAnsi" w:cstheme="minorHAnsi"/>
          <w:szCs w:val="24"/>
          <w:lang w:val="es-CR"/>
        </w:rPr>
      </w:pPr>
    </w:p>
    <w:p w14:paraId="64DC7771" w14:textId="22B0B7D9" w:rsidR="00225437"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601B83">
        <w:rPr>
          <w:rFonts w:asciiTheme="minorHAnsi" w:hAnsiTheme="minorHAnsi" w:cstheme="minorHAnsi"/>
          <w:szCs w:val="24"/>
          <w:lang w:val="es-CR"/>
        </w:rPr>
        <w:t>62</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3" w14:textId="77777777" w:rsidR="00216C86" w:rsidRPr="00787962" w:rsidRDefault="00216C86" w:rsidP="00216C86">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61F7897F" w:rsidR="00216C86" w:rsidRPr="00787962"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1F10A4" w:rsidRPr="00787962">
        <w:rPr>
          <w:rFonts w:asciiTheme="minorHAnsi" w:hAnsiTheme="minorHAnsi" w:cstheme="minorHAnsi"/>
          <w:szCs w:val="24"/>
          <w:lang w:val="es-CR"/>
        </w:rPr>
        <w:t>36</w:t>
      </w:r>
      <w:r w:rsidR="00E73463" w:rsidRPr="00787962">
        <w:rPr>
          <w:rFonts w:asciiTheme="minorHAnsi" w:hAnsiTheme="minorHAnsi" w:cstheme="minorHAnsi"/>
          <w:szCs w:val="24"/>
          <w:lang w:val="es-CR"/>
        </w:rPr>
        <w:t>%</w:t>
      </w:r>
      <w:r w:rsidR="00FA132B">
        <w:rPr>
          <w:rFonts w:asciiTheme="minorHAnsi" w:hAnsiTheme="minorHAnsi" w:cstheme="minorHAnsi"/>
          <w:szCs w:val="24"/>
          <w:lang w:val="es-CR"/>
        </w:rPr>
        <w:t>, los trabajos fueron mínimos en espera de instrucciones relacionadas con el nuevo edificio.</w:t>
      </w:r>
    </w:p>
    <w:p w14:paraId="64DC7775" w14:textId="39CF801B" w:rsidR="00216C86"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FA132B">
        <w:rPr>
          <w:rFonts w:asciiTheme="minorHAnsi" w:hAnsiTheme="minorHAnsi" w:cstheme="minorHAnsi"/>
          <w:szCs w:val="24"/>
          <w:lang w:val="es-CR"/>
        </w:rPr>
        <w:t>99</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4FD0E26E" w14:textId="77777777" w:rsidR="00344B17" w:rsidRDefault="00344B1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9" w14:textId="233BFFCB"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FA132B">
        <w:rPr>
          <w:rFonts w:asciiTheme="minorHAnsi" w:hAnsiTheme="minorHAnsi" w:cstheme="minorHAnsi"/>
          <w:szCs w:val="24"/>
          <w:lang w:val="es-CR"/>
        </w:rPr>
        <w:t>68</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r w:rsidR="006C5DF2" w:rsidRPr="00787962">
        <w:rPr>
          <w:rFonts w:asciiTheme="minorHAnsi" w:hAnsiTheme="minorHAnsi" w:cstheme="minorHAnsi"/>
          <w:szCs w:val="24"/>
          <w:lang w:val="es-CR"/>
        </w:rPr>
        <w:t xml:space="preserve"> </w:t>
      </w:r>
    </w:p>
    <w:p w14:paraId="64DC777A" w14:textId="6526CB31" w:rsidR="00225437"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B"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Las actividades de capacitación impartidas comprendieron los siguientes temas: </w:t>
      </w:r>
    </w:p>
    <w:p w14:paraId="148B0383" w14:textId="77777777" w:rsidR="00D71BFB" w:rsidRPr="00787962" w:rsidRDefault="00D71BFB"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4999EAC6" w14:textId="7E0E097C" w:rsidR="002043B6" w:rsidRPr="000F5573" w:rsidRDefault="00A52AE6" w:rsidP="00E807B4">
      <w:pPr>
        <w:pStyle w:val="Textoindependiente"/>
        <w:numPr>
          <w:ilvl w:val="0"/>
          <w:numId w:val="0"/>
        </w:numPr>
        <w:spacing w:line="240" w:lineRule="auto"/>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5D020A">
        <w:rPr>
          <w:rFonts w:asciiTheme="minorHAnsi" w:hAnsiTheme="minorHAnsi" w:cstheme="minorHAnsi"/>
          <w:sz w:val="22"/>
          <w:szCs w:val="22"/>
          <w:lang w:val="es-CR"/>
        </w:rPr>
        <w:t>11</w:t>
      </w:r>
      <w:r w:rsidRPr="000F5573">
        <w:rPr>
          <w:rFonts w:asciiTheme="minorHAnsi" w:hAnsiTheme="minorHAnsi" w:cstheme="minorHAnsi"/>
          <w:sz w:val="22"/>
          <w:szCs w:val="22"/>
          <w:lang w:val="es-CR"/>
        </w:rPr>
        <w:t xml:space="preserve">: </w:t>
      </w:r>
      <w:r w:rsidR="002D3A55" w:rsidRPr="000F5573">
        <w:rPr>
          <w:rFonts w:asciiTheme="minorHAnsi" w:hAnsiTheme="minorHAnsi" w:cstheme="minorHAnsi"/>
          <w:b/>
          <w:sz w:val="22"/>
          <w:szCs w:val="22"/>
          <w:lang w:val="es-CR"/>
        </w:rPr>
        <w:t>Detalle de la C</w:t>
      </w:r>
      <w:r w:rsidR="002043B6" w:rsidRPr="000F5573">
        <w:rPr>
          <w:rFonts w:asciiTheme="minorHAnsi" w:hAnsiTheme="minorHAnsi" w:cstheme="minorHAnsi"/>
          <w:b/>
          <w:sz w:val="22"/>
          <w:szCs w:val="22"/>
          <w:lang w:val="es-CR"/>
        </w:rPr>
        <w:t>apacitación</w:t>
      </w:r>
    </w:p>
    <w:tbl>
      <w:tblPr>
        <w:tblW w:w="9233" w:type="dxa"/>
        <w:tblCellMar>
          <w:left w:w="70" w:type="dxa"/>
          <w:right w:w="70" w:type="dxa"/>
        </w:tblCellMar>
        <w:tblLook w:val="04A0" w:firstRow="1" w:lastRow="0" w:firstColumn="1" w:lastColumn="0" w:noHBand="0" w:noVBand="1"/>
      </w:tblPr>
      <w:tblGrid>
        <w:gridCol w:w="1220"/>
        <w:gridCol w:w="3595"/>
        <w:gridCol w:w="3118"/>
        <w:gridCol w:w="1300"/>
      </w:tblGrid>
      <w:tr w:rsidR="00DA5023" w:rsidRPr="00DA5023" w14:paraId="49424E8E" w14:textId="77777777" w:rsidTr="00F10E26">
        <w:trPr>
          <w:trHeight w:val="735"/>
          <w:tblHeader/>
        </w:trPr>
        <w:tc>
          <w:tcPr>
            <w:tcW w:w="12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BAA322C" w14:textId="77777777" w:rsidR="00DA5023" w:rsidRPr="00DA5023" w:rsidRDefault="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Cantidad Funcionarios por Curso</w:t>
            </w:r>
          </w:p>
        </w:tc>
        <w:tc>
          <w:tcPr>
            <w:tcW w:w="3595" w:type="dxa"/>
            <w:tcBorders>
              <w:top w:val="single" w:sz="4" w:space="0" w:color="auto"/>
              <w:left w:val="nil"/>
              <w:bottom w:val="single" w:sz="4" w:space="0" w:color="auto"/>
              <w:right w:val="single" w:sz="4" w:space="0" w:color="auto"/>
            </w:tcBorders>
            <w:shd w:val="clear" w:color="000000" w:fill="B8CCE4"/>
            <w:vAlign w:val="center"/>
            <w:hideMark/>
          </w:tcPr>
          <w:p w14:paraId="5B53A796"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TIPO</w:t>
            </w:r>
          </w:p>
        </w:tc>
        <w:tc>
          <w:tcPr>
            <w:tcW w:w="3118" w:type="dxa"/>
            <w:tcBorders>
              <w:top w:val="single" w:sz="4" w:space="0" w:color="auto"/>
              <w:left w:val="nil"/>
              <w:bottom w:val="single" w:sz="4" w:space="0" w:color="auto"/>
              <w:right w:val="single" w:sz="4" w:space="0" w:color="auto"/>
            </w:tcBorders>
            <w:shd w:val="clear" w:color="000000" w:fill="B8CCE4"/>
            <w:vAlign w:val="center"/>
            <w:hideMark/>
          </w:tcPr>
          <w:p w14:paraId="33510B05"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Áreas Beneficiadas</w:t>
            </w:r>
          </w:p>
        </w:tc>
        <w:tc>
          <w:tcPr>
            <w:tcW w:w="1300" w:type="dxa"/>
            <w:tcBorders>
              <w:top w:val="single" w:sz="4" w:space="0" w:color="auto"/>
              <w:left w:val="nil"/>
              <w:bottom w:val="single" w:sz="4" w:space="0" w:color="auto"/>
              <w:right w:val="single" w:sz="4" w:space="0" w:color="auto"/>
            </w:tcBorders>
            <w:shd w:val="clear" w:color="000000" w:fill="B8CCE4"/>
            <w:vAlign w:val="center"/>
            <w:hideMark/>
          </w:tcPr>
          <w:p w14:paraId="47209D60"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Estado</w:t>
            </w:r>
          </w:p>
        </w:tc>
      </w:tr>
      <w:tr w:rsidR="00DA5023" w:rsidRPr="00DA5023" w14:paraId="136DBA63"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FCC7F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35333A8" w14:textId="4F7DC76B"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Programa de I</w:t>
            </w:r>
            <w:r w:rsidR="00DA5023" w:rsidRPr="00DA5023">
              <w:rPr>
                <w:rFonts w:ascii="Calibri Light" w:hAnsi="Calibri Light" w:cs="Calibri Light"/>
                <w:color w:val="000000"/>
                <w:sz w:val="18"/>
                <w:szCs w:val="18"/>
                <w:lang w:val="es-CR" w:eastAsia="es-CR"/>
              </w:rPr>
              <w:t xml:space="preserve">nglés </w:t>
            </w:r>
          </w:p>
        </w:tc>
        <w:tc>
          <w:tcPr>
            <w:tcW w:w="3118" w:type="dxa"/>
            <w:tcBorders>
              <w:top w:val="nil"/>
              <w:left w:val="nil"/>
              <w:bottom w:val="single" w:sz="4" w:space="0" w:color="auto"/>
              <w:right w:val="single" w:sz="4" w:space="0" w:color="auto"/>
            </w:tcBorders>
            <w:shd w:val="clear" w:color="auto" w:fill="auto"/>
            <w:vAlign w:val="center"/>
            <w:hideMark/>
          </w:tcPr>
          <w:p w14:paraId="19F1881A" w14:textId="47A60E74"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w:t>
            </w:r>
            <w:r w:rsidR="00F10E26">
              <w:rPr>
                <w:rFonts w:ascii="Calibri Light" w:hAnsi="Calibri Light" w:cs="Calibri Light"/>
                <w:color w:val="000000"/>
                <w:sz w:val="18"/>
                <w:szCs w:val="18"/>
                <w:lang w:val="es-CR" w:eastAsia="es-CR"/>
              </w:rPr>
              <w:t xml:space="preserve">alización Individual, División </w:t>
            </w:r>
            <w:r w:rsidRPr="00DA5023">
              <w:rPr>
                <w:rFonts w:ascii="Calibri Light" w:hAnsi="Calibri Light" w:cs="Calibri Light"/>
                <w:color w:val="000000"/>
                <w:sz w:val="18"/>
                <w:szCs w:val="18"/>
                <w:lang w:val="es-CR" w:eastAsia="es-CR"/>
              </w:rPr>
              <w:t>Jurídica</w:t>
            </w:r>
          </w:p>
        </w:tc>
        <w:tc>
          <w:tcPr>
            <w:tcW w:w="1300" w:type="dxa"/>
            <w:tcBorders>
              <w:top w:val="nil"/>
              <w:left w:val="nil"/>
              <w:bottom w:val="single" w:sz="4" w:space="0" w:color="auto"/>
              <w:right w:val="single" w:sz="4" w:space="0" w:color="auto"/>
            </w:tcBorders>
            <w:shd w:val="clear" w:color="auto" w:fill="auto"/>
            <w:vAlign w:val="center"/>
            <w:hideMark/>
          </w:tcPr>
          <w:p w14:paraId="61FF1FA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4DE7266"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394195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139D1359" w14:textId="59C315AA" w:rsidR="00DA5023" w:rsidRPr="00DA5023" w:rsidRDefault="00C53DDE" w:rsidP="00DA5023">
            <w:pPr>
              <w:spacing w:line="240" w:lineRule="auto"/>
              <w:jc w:val="left"/>
              <w:rPr>
                <w:rFonts w:ascii="Calibri Light" w:hAnsi="Calibri Light" w:cs="Calibri Light"/>
                <w:color w:val="000000"/>
                <w:sz w:val="18"/>
                <w:szCs w:val="18"/>
                <w:lang w:val="en-US" w:eastAsia="es-CR"/>
              </w:rPr>
            </w:pPr>
            <w:r>
              <w:rPr>
                <w:rFonts w:ascii="Calibri Light" w:hAnsi="Calibri Light" w:cs="Calibri Light"/>
                <w:color w:val="000000"/>
                <w:sz w:val="18"/>
                <w:szCs w:val="18"/>
                <w:lang w:val="en-US" w:eastAsia="es-CR"/>
              </w:rPr>
              <w:t>Curso en L</w:t>
            </w:r>
            <w:r w:rsidR="00DA5023" w:rsidRPr="00DA5023">
              <w:rPr>
                <w:rFonts w:ascii="Calibri Light" w:hAnsi="Calibri Light" w:cs="Calibri Light"/>
                <w:color w:val="000000"/>
                <w:sz w:val="18"/>
                <w:szCs w:val="18"/>
                <w:lang w:val="en-US" w:eastAsia="es-CR"/>
              </w:rPr>
              <w:t>ínea "Foundations of Financial Risk"</w:t>
            </w:r>
          </w:p>
        </w:tc>
        <w:tc>
          <w:tcPr>
            <w:tcW w:w="3118" w:type="dxa"/>
            <w:tcBorders>
              <w:top w:val="nil"/>
              <w:left w:val="nil"/>
              <w:bottom w:val="single" w:sz="4" w:space="0" w:color="auto"/>
              <w:right w:val="single" w:sz="4" w:space="0" w:color="auto"/>
            </w:tcBorders>
            <w:shd w:val="clear" w:color="auto" w:fill="auto"/>
            <w:vAlign w:val="center"/>
            <w:hideMark/>
          </w:tcPr>
          <w:p w14:paraId="0BFBF0D0" w14:textId="574F9802"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w:t>
            </w:r>
            <w:r w:rsidR="00C53DDE">
              <w:rPr>
                <w:rFonts w:ascii="Calibri Light" w:hAnsi="Calibri Light" w:cs="Calibri Light"/>
                <w:color w:val="000000"/>
                <w:sz w:val="18"/>
                <w:szCs w:val="18"/>
                <w:lang w:val="es-CR" w:eastAsia="es-CR"/>
              </w:rPr>
              <w:t>ón de Planificación y Normativa</w:t>
            </w:r>
            <w:r w:rsidRPr="00DA5023">
              <w:rPr>
                <w:rFonts w:ascii="Calibri Light" w:hAnsi="Calibri Light" w:cs="Calibri Light"/>
                <w:color w:val="000000"/>
                <w:sz w:val="18"/>
                <w:szCs w:val="18"/>
                <w:lang w:val="es-CR" w:eastAsia="es-CR"/>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5B5206D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36ACF63" w14:textId="77777777" w:rsidTr="00DA5023">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D7A7A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24</w:t>
            </w:r>
          </w:p>
        </w:tc>
        <w:tc>
          <w:tcPr>
            <w:tcW w:w="3595" w:type="dxa"/>
            <w:tcBorders>
              <w:top w:val="nil"/>
              <w:left w:val="nil"/>
              <w:bottom w:val="single" w:sz="4" w:space="0" w:color="auto"/>
              <w:right w:val="single" w:sz="4" w:space="0" w:color="auto"/>
            </w:tcBorders>
            <w:shd w:val="clear" w:color="auto" w:fill="auto"/>
            <w:vAlign w:val="center"/>
            <w:hideMark/>
          </w:tcPr>
          <w:p w14:paraId="304730B2" w14:textId="79C87D1E"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Fortalecimiento y la A</w:t>
            </w:r>
            <w:r w:rsidR="00DA5023" w:rsidRPr="00DA5023">
              <w:rPr>
                <w:rFonts w:ascii="Calibri Light" w:hAnsi="Calibri Light" w:cs="Calibri Light"/>
                <w:color w:val="000000"/>
                <w:sz w:val="18"/>
                <w:szCs w:val="18"/>
                <w:lang w:val="es-CR" w:eastAsia="es-CR"/>
              </w:rPr>
              <w:t>rmonización del Modelo de Supervisión Basado en Riesgos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3623E8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División de Regímenes de Capitalización Individual, División de Regímenes Colectivos, División de Planificación y Normativa, </w:t>
            </w:r>
          </w:p>
        </w:tc>
        <w:tc>
          <w:tcPr>
            <w:tcW w:w="1300" w:type="dxa"/>
            <w:tcBorders>
              <w:top w:val="nil"/>
              <w:left w:val="nil"/>
              <w:bottom w:val="single" w:sz="4" w:space="0" w:color="auto"/>
              <w:right w:val="single" w:sz="4" w:space="0" w:color="auto"/>
            </w:tcBorders>
            <w:shd w:val="clear" w:color="auto" w:fill="auto"/>
            <w:vAlign w:val="center"/>
            <w:hideMark/>
          </w:tcPr>
          <w:p w14:paraId="1AA0BC7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F213E38"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3A2DE9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A42D1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a distancia máster en Dirección y Gestión de Planes y Fondos de Pensiones.</w:t>
            </w:r>
          </w:p>
        </w:tc>
        <w:tc>
          <w:tcPr>
            <w:tcW w:w="3118" w:type="dxa"/>
            <w:tcBorders>
              <w:top w:val="nil"/>
              <w:left w:val="nil"/>
              <w:bottom w:val="single" w:sz="4" w:space="0" w:color="auto"/>
              <w:right w:val="single" w:sz="4" w:space="0" w:color="auto"/>
            </w:tcBorders>
            <w:shd w:val="clear" w:color="auto" w:fill="auto"/>
            <w:vAlign w:val="center"/>
            <w:hideMark/>
          </w:tcPr>
          <w:p w14:paraId="60758CB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División de Regímenes Colectivos </w:t>
            </w:r>
          </w:p>
        </w:tc>
        <w:tc>
          <w:tcPr>
            <w:tcW w:w="1300" w:type="dxa"/>
            <w:tcBorders>
              <w:top w:val="nil"/>
              <w:left w:val="nil"/>
              <w:bottom w:val="single" w:sz="4" w:space="0" w:color="auto"/>
              <w:right w:val="single" w:sz="4" w:space="0" w:color="auto"/>
            </w:tcBorders>
            <w:shd w:val="clear" w:color="auto" w:fill="auto"/>
            <w:vAlign w:val="center"/>
            <w:hideMark/>
          </w:tcPr>
          <w:p w14:paraId="18A50E4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96A8B7" w14:textId="77777777" w:rsidTr="00DA5023">
        <w:trPr>
          <w:trHeight w:val="76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95C92F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3F7E85B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Control de Principios de Incendio y Primeros Auxilios</w:t>
            </w:r>
          </w:p>
        </w:tc>
        <w:tc>
          <w:tcPr>
            <w:tcW w:w="3118" w:type="dxa"/>
            <w:tcBorders>
              <w:top w:val="nil"/>
              <w:left w:val="nil"/>
              <w:bottom w:val="single" w:sz="4" w:space="0" w:color="auto"/>
              <w:right w:val="single" w:sz="4" w:space="0" w:color="auto"/>
            </w:tcBorders>
            <w:shd w:val="clear" w:color="auto" w:fill="auto"/>
            <w:vAlign w:val="center"/>
            <w:hideMark/>
          </w:tcPr>
          <w:p w14:paraId="73DC869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E24F34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51A5D8F"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0D342E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3BB851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IV Foro Nacional Lean y Six Sigma: Excelencia Operativa.</w:t>
            </w:r>
          </w:p>
        </w:tc>
        <w:tc>
          <w:tcPr>
            <w:tcW w:w="3118" w:type="dxa"/>
            <w:tcBorders>
              <w:top w:val="nil"/>
              <w:left w:val="nil"/>
              <w:bottom w:val="single" w:sz="4" w:space="0" w:color="auto"/>
              <w:right w:val="single" w:sz="4" w:space="0" w:color="auto"/>
            </w:tcBorders>
            <w:shd w:val="clear" w:color="auto" w:fill="auto"/>
            <w:vAlign w:val="center"/>
            <w:hideMark/>
          </w:tcPr>
          <w:p w14:paraId="2BEEB5E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7FC4346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17E859B"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83F53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46316A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Conferencia Latinoamericana Big Data Latam Costa Rica 2017</w:t>
            </w:r>
          </w:p>
        </w:tc>
        <w:tc>
          <w:tcPr>
            <w:tcW w:w="3118" w:type="dxa"/>
            <w:tcBorders>
              <w:top w:val="nil"/>
              <w:left w:val="nil"/>
              <w:bottom w:val="single" w:sz="4" w:space="0" w:color="auto"/>
              <w:right w:val="single" w:sz="4" w:space="0" w:color="auto"/>
            </w:tcBorders>
            <w:shd w:val="clear" w:color="auto" w:fill="auto"/>
            <w:vAlign w:val="center"/>
            <w:hideMark/>
          </w:tcPr>
          <w:p w14:paraId="6868A5D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11AFD4A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FE9E248"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DD84AD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DBC41D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Programa Técnico en Riesgo (PTR)</w:t>
            </w:r>
          </w:p>
        </w:tc>
        <w:tc>
          <w:tcPr>
            <w:tcW w:w="3118" w:type="dxa"/>
            <w:tcBorders>
              <w:top w:val="nil"/>
              <w:left w:val="nil"/>
              <w:bottom w:val="single" w:sz="4" w:space="0" w:color="auto"/>
              <w:right w:val="single" w:sz="4" w:space="0" w:color="auto"/>
            </w:tcBorders>
            <w:shd w:val="clear" w:color="auto" w:fill="auto"/>
            <w:vAlign w:val="center"/>
            <w:hideMark/>
          </w:tcPr>
          <w:p w14:paraId="7A37D61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B1CEE2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6013045" w14:textId="77777777" w:rsidTr="00DA5023">
        <w:trPr>
          <w:trHeight w:val="66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9AA4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9B4BCA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curso Control de Principios de Incendio, en las instalaciones de la Academia Nacional de Bomberos. </w:t>
            </w:r>
          </w:p>
        </w:tc>
        <w:tc>
          <w:tcPr>
            <w:tcW w:w="3118" w:type="dxa"/>
            <w:tcBorders>
              <w:top w:val="nil"/>
              <w:left w:val="nil"/>
              <w:bottom w:val="single" w:sz="4" w:space="0" w:color="auto"/>
              <w:right w:val="single" w:sz="4" w:space="0" w:color="auto"/>
            </w:tcBorders>
            <w:shd w:val="clear" w:color="auto" w:fill="auto"/>
            <w:vAlign w:val="center"/>
            <w:hideMark/>
          </w:tcPr>
          <w:p w14:paraId="05B56BB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BF235A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013CECC"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A5906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78A2526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Redacción de Informes Técnicos</w:t>
            </w:r>
          </w:p>
        </w:tc>
        <w:tc>
          <w:tcPr>
            <w:tcW w:w="3118" w:type="dxa"/>
            <w:tcBorders>
              <w:top w:val="nil"/>
              <w:left w:val="nil"/>
              <w:bottom w:val="single" w:sz="4" w:space="0" w:color="auto"/>
              <w:right w:val="single" w:sz="4" w:space="0" w:color="auto"/>
            </w:tcBorders>
            <w:shd w:val="clear" w:color="auto" w:fill="auto"/>
            <w:vAlign w:val="center"/>
            <w:hideMark/>
          </w:tcPr>
          <w:p w14:paraId="06402B1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66C1B39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22325D2"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F1364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7ABB6D1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curso Transición ISO 9001:2015</w:t>
            </w:r>
          </w:p>
        </w:tc>
        <w:tc>
          <w:tcPr>
            <w:tcW w:w="3118" w:type="dxa"/>
            <w:tcBorders>
              <w:top w:val="nil"/>
              <w:left w:val="nil"/>
              <w:bottom w:val="single" w:sz="4" w:space="0" w:color="auto"/>
              <w:right w:val="single" w:sz="4" w:space="0" w:color="auto"/>
            </w:tcBorders>
            <w:shd w:val="clear" w:color="auto" w:fill="auto"/>
            <w:vAlign w:val="center"/>
            <w:hideMark/>
          </w:tcPr>
          <w:p w14:paraId="035634B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1D3194B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3B6A596" w14:textId="77777777" w:rsidTr="00DA5023">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96EADF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7</w:t>
            </w:r>
          </w:p>
        </w:tc>
        <w:tc>
          <w:tcPr>
            <w:tcW w:w="3595" w:type="dxa"/>
            <w:tcBorders>
              <w:top w:val="nil"/>
              <w:left w:val="nil"/>
              <w:bottom w:val="single" w:sz="4" w:space="0" w:color="auto"/>
              <w:right w:val="single" w:sz="4" w:space="0" w:color="auto"/>
            </w:tcBorders>
            <w:shd w:val="clear" w:color="auto" w:fill="auto"/>
            <w:vAlign w:val="center"/>
            <w:hideMark/>
          </w:tcPr>
          <w:p w14:paraId="5615FF2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 Taller Técnicas para Hablar en Público y Realizar Presentaciones Efectivas</w:t>
            </w:r>
          </w:p>
        </w:tc>
        <w:tc>
          <w:tcPr>
            <w:tcW w:w="3118" w:type="dxa"/>
            <w:tcBorders>
              <w:top w:val="nil"/>
              <w:left w:val="nil"/>
              <w:bottom w:val="single" w:sz="4" w:space="0" w:color="auto"/>
              <w:right w:val="single" w:sz="4" w:space="0" w:color="auto"/>
            </w:tcBorders>
            <w:shd w:val="clear" w:color="auto" w:fill="auto"/>
            <w:vAlign w:val="center"/>
            <w:hideMark/>
          </w:tcPr>
          <w:p w14:paraId="24E9799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BEB7A1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1AF5B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0FB22F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D783AE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Programa Experto en Minería de Datos.</w:t>
            </w:r>
          </w:p>
        </w:tc>
        <w:tc>
          <w:tcPr>
            <w:tcW w:w="3118" w:type="dxa"/>
            <w:tcBorders>
              <w:top w:val="nil"/>
              <w:left w:val="nil"/>
              <w:bottom w:val="single" w:sz="4" w:space="0" w:color="auto"/>
              <w:right w:val="single" w:sz="4" w:space="0" w:color="auto"/>
            </w:tcBorders>
            <w:shd w:val="clear" w:color="auto" w:fill="auto"/>
            <w:vAlign w:val="center"/>
            <w:hideMark/>
          </w:tcPr>
          <w:p w14:paraId="5878E1C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307B313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20F0EFF"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519AA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FA656A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seminario "LSE Global Pensions Programme 2017"</w:t>
            </w:r>
          </w:p>
        </w:tc>
        <w:tc>
          <w:tcPr>
            <w:tcW w:w="3118" w:type="dxa"/>
            <w:tcBorders>
              <w:top w:val="nil"/>
              <w:left w:val="nil"/>
              <w:bottom w:val="single" w:sz="4" w:space="0" w:color="auto"/>
              <w:right w:val="single" w:sz="4" w:space="0" w:color="auto"/>
            </w:tcBorders>
            <w:shd w:val="clear" w:color="auto" w:fill="auto"/>
            <w:vAlign w:val="center"/>
            <w:hideMark/>
          </w:tcPr>
          <w:p w14:paraId="7B57182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574736D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7D096E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6BF3E6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1C8DEB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Cliente Interno y Externo: Calidad de Servicio.</w:t>
            </w:r>
          </w:p>
        </w:tc>
        <w:tc>
          <w:tcPr>
            <w:tcW w:w="3118" w:type="dxa"/>
            <w:tcBorders>
              <w:top w:val="nil"/>
              <w:left w:val="nil"/>
              <w:bottom w:val="single" w:sz="4" w:space="0" w:color="auto"/>
              <w:right w:val="single" w:sz="4" w:space="0" w:color="auto"/>
            </w:tcBorders>
            <w:shd w:val="clear" w:color="auto" w:fill="auto"/>
            <w:vAlign w:val="center"/>
            <w:hideMark/>
          </w:tcPr>
          <w:p w14:paraId="3215C7D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08A11C8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EFE06D3"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39DB5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E9F32C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Resolución Alterna de Conflictos (RAC) en el Sector Público</w:t>
            </w:r>
          </w:p>
        </w:tc>
        <w:tc>
          <w:tcPr>
            <w:tcW w:w="3118" w:type="dxa"/>
            <w:tcBorders>
              <w:top w:val="nil"/>
              <w:left w:val="nil"/>
              <w:bottom w:val="single" w:sz="4" w:space="0" w:color="auto"/>
              <w:right w:val="single" w:sz="4" w:space="0" w:color="auto"/>
            </w:tcBorders>
            <w:shd w:val="clear" w:color="auto" w:fill="auto"/>
            <w:vAlign w:val="center"/>
            <w:hideMark/>
          </w:tcPr>
          <w:p w14:paraId="2C6CB8C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1FA00D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08A08E1" w14:textId="77777777" w:rsidTr="00DA5023">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58AFA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1F56B1A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XXIX Congreso Archivístico Nacional "Sistema Nacional de Archivos: Nuevas Reglas del Juego"</w:t>
            </w:r>
          </w:p>
        </w:tc>
        <w:tc>
          <w:tcPr>
            <w:tcW w:w="3118" w:type="dxa"/>
            <w:tcBorders>
              <w:top w:val="nil"/>
              <w:left w:val="nil"/>
              <w:bottom w:val="single" w:sz="4" w:space="0" w:color="auto"/>
              <w:right w:val="single" w:sz="4" w:space="0" w:color="auto"/>
            </w:tcBorders>
            <w:shd w:val="clear" w:color="auto" w:fill="auto"/>
            <w:vAlign w:val="center"/>
            <w:hideMark/>
          </w:tcPr>
          <w:p w14:paraId="5BEAC27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8333BC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AD1317D"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A837EA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719F6B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seminario Taller Cómo Negociar con Clientes Difíciles: Aspectos Técnicos y Psicológicos</w:t>
            </w:r>
          </w:p>
        </w:tc>
        <w:tc>
          <w:tcPr>
            <w:tcW w:w="3118" w:type="dxa"/>
            <w:tcBorders>
              <w:top w:val="nil"/>
              <w:left w:val="nil"/>
              <w:bottom w:val="single" w:sz="4" w:space="0" w:color="auto"/>
              <w:right w:val="single" w:sz="4" w:space="0" w:color="auto"/>
            </w:tcBorders>
            <w:shd w:val="clear" w:color="auto" w:fill="auto"/>
            <w:vAlign w:val="center"/>
            <w:hideMark/>
          </w:tcPr>
          <w:p w14:paraId="0BF166A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46FB895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E53A26D" w14:textId="77777777" w:rsidTr="00DA5023">
        <w:trPr>
          <w:trHeight w:val="69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64628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425826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taller Reforma Procesal: Nuevo Proceso Ordinario y Tutelas Especiales, </w:t>
            </w:r>
          </w:p>
        </w:tc>
        <w:tc>
          <w:tcPr>
            <w:tcW w:w="3118" w:type="dxa"/>
            <w:tcBorders>
              <w:top w:val="nil"/>
              <w:left w:val="nil"/>
              <w:bottom w:val="single" w:sz="4" w:space="0" w:color="auto"/>
              <w:right w:val="single" w:sz="4" w:space="0" w:color="auto"/>
            </w:tcBorders>
            <w:shd w:val="clear" w:color="auto" w:fill="auto"/>
            <w:vAlign w:val="center"/>
            <w:hideMark/>
          </w:tcPr>
          <w:p w14:paraId="3E0898B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AD667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6485733" w14:textId="77777777" w:rsidTr="00DA5023">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98AF5F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30A80F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curso Evaluación Efectiva del Sistema de Control Interno en un Ambiente de TI, </w:t>
            </w:r>
          </w:p>
        </w:tc>
        <w:tc>
          <w:tcPr>
            <w:tcW w:w="3118" w:type="dxa"/>
            <w:tcBorders>
              <w:top w:val="nil"/>
              <w:left w:val="nil"/>
              <w:bottom w:val="single" w:sz="4" w:space="0" w:color="auto"/>
              <w:right w:val="single" w:sz="4" w:space="0" w:color="auto"/>
            </w:tcBorders>
            <w:shd w:val="clear" w:color="auto" w:fill="auto"/>
            <w:vAlign w:val="center"/>
            <w:hideMark/>
          </w:tcPr>
          <w:p w14:paraId="55031A3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w:t>
            </w:r>
          </w:p>
        </w:tc>
        <w:tc>
          <w:tcPr>
            <w:tcW w:w="1300" w:type="dxa"/>
            <w:tcBorders>
              <w:top w:val="nil"/>
              <w:left w:val="nil"/>
              <w:bottom w:val="single" w:sz="4" w:space="0" w:color="auto"/>
              <w:right w:val="single" w:sz="4" w:space="0" w:color="auto"/>
            </w:tcBorders>
            <w:shd w:val="clear" w:color="auto" w:fill="auto"/>
            <w:vAlign w:val="center"/>
            <w:hideMark/>
          </w:tcPr>
          <w:p w14:paraId="7312761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BD19C21"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45FE1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5831ABE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Congreso de Derecho Procesal: Reforma Procesal Laboral</w:t>
            </w:r>
          </w:p>
        </w:tc>
        <w:tc>
          <w:tcPr>
            <w:tcW w:w="3118" w:type="dxa"/>
            <w:tcBorders>
              <w:top w:val="nil"/>
              <w:left w:val="nil"/>
              <w:bottom w:val="single" w:sz="4" w:space="0" w:color="auto"/>
              <w:right w:val="single" w:sz="4" w:space="0" w:color="auto"/>
            </w:tcBorders>
            <w:shd w:val="clear" w:color="auto" w:fill="auto"/>
            <w:vAlign w:val="center"/>
            <w:hideMark/>
          </w:tcPr>
          <w:p w14:paraId="049C4D7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B5520A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50F81C4"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35F572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7B9F8A1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estrategias de trabajo en equipo</w:t>
            </w:r>
          </w:p>
        </w:tc>
        <w:tc>
          <w:tcPr>
            <w:tcW w:w="3118" w:type="dxa"/>
            <w:tcBorders>
              <w:top w:val="nil"/>
              <w:left w:val="nil"/>
              <w:bottom w:val="single" w:sz="4" w:space="0" w:color="auto"/>
              <w:right w:val="single" w:sz="4" w:space="0" w:color="auto"/>
            </w:tcBorders>
            <w:shd w:val="clear" w:color="auto" w:fill="auto"/>
            <w:vAlign w:val="center"/>
            <w:hideMark/>
          </w:tcPr>
          <w:p w14:paraId="3280CE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26B9A6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470BD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EF20AF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69B08C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Juicio Oral y Público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24ADC2D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918A38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F66D1D0"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D9E637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059B73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CD5FA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7E4CBA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CEC81E4"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68BFF3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3CAB4F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Evaluación Efectiva del Sistema de Control Interno en un ambiente de TI</w:t>
            </w:r>
          </w:p>
        </w:tc>
        <w:tc>
          <w:tcPr>
            <w:tcW w:w="3118" w:type="dxa"/>
            <w:tcBorders>
              <w:top w:val="nil"/>
              <w:left w:val="nil"/>
              <w:bottom w:val="single" w:sz="4" w:space="0" w:color="auto"/>
              <w:right w:val="single" w:sz="4" w:space="0" w:color="auto"/>
            </w:tcBorders>
            <w:shd w:val="clear" w:color="auto" w:fill="auto"/>
            <w:vAlign w:val="center"/>
            <w:hideMark/>
          </w:tcPr>
          <w:p w14:paraId="028DA60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F28024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5C77449" w14:textId="77777777" w:rsidTr="00DA5023">
        <w:trPr>
          <w:trHeight w:val="78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83FCA5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7243370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Charla: ¿Qué Esperar para la Economía de Costa Rica en 2017-2018?</w:t>
            </w:r>
          </w:p>
        </w:tc>
        <w:tc>
          <w:tcPr>
            <w:tcW w:w="3118" w:type="dxa"/>
            <w:tcBorders>
              <w:top w:val="nil"/>
              <w:left w:val="nil"/>
              <w:bottom w:val="single" w:sz="4" w:space="0" w:color="auto"/>
              <w:right w:val="single" w:sz="4" w:space="0" w:color="auto"/>
            </w:tcBorders>
            <w:shd w:val="clear" w:color="auto" w:fill="auto"/>
            <w:vAlign w:val="center"/>
            <w:hideMark/>
          </w:tcPr>
          <w:p w14:paraId="17A2572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49F5CD0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09CDFB8"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C5003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3A5326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Técnicas de Comunicaciones Telefónicas y Manejo de Clientes Difíciles</w:t>
            </w:r>
          </w:p>
        </w:tc>
        <w:tc>
          <w:tcPr>
            <w:tcW w:w="3118" w:type="dxa"/>
            <w:tcBorders>
              <w:top w:val="nil"/>
              <w:left w:val="nil"/>
              <w:bottom w:val="single" w:sz="4" w:space="0" w:color="auto"/>
              <w:right w:val="single" w:sz="4" w:space="0" w:color="auto"/>
            </w:tcBorders>
            <w:shd w:val="clear" w:color="auto" w:fill="auto"/>
            <w:vAlign w:val="center"/>
            <w:hideMark/>
          </w:tcPr>
          <w:p w14:paraId="338AF10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744D9D6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B3AEC5" w14:textId="77777777" w:rsidTr="00DA5023">
        <w:trPr>
          <w:trHeight w:val="81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3F8B8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9D9AE2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Primer Encuentro Internacional de Capacitación y Desarrollo, "Las Mejores Prácticas en la Gestión de Capacitación y Desarrollo"</w:t>
            </w:r>
          </w:p>
        </w:tc>
        <w:tc>
          <w:tcPr>
            <w:tcW w:w="3118" w:type="dxa"/>
            <w:tcBorders>
              <w:top w:val="nil"/>
              <w:left w:val="nil"/>
              <w:bottom w:val="single" w:sz="4" w:space="0" w:color="auto"/>
              <w:right w:val="single" w:sz="4" w:space="0" w:color="auto"/>
            </w:tcBorders>
            <w:shd w:val="clear" w:color="auto" w:fill="auto"/>
            <w:vAlign w:val="center"/>
            <w:hideMark/>
          </w:tcPr>
          <w:p w14:paraId="7EFA4F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3D26D3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7C42F8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A44775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FA3DC5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Participación en el XVIII Congreso Auditoría Interna</w:t>
            </w:r>
          </w:p>
        </w:tc>
        <w:tc>
          <w:tcPr>
            <w:tcW w:w="3118" w:type="dxa"/>
            <w:tcBorders>
              <w:top w:val="nil"/>
              <w:left w:val="nil"/>
              <w:bottom w:val="single" w:sz="4" w:space="0" w:color="auto"/>
              <w:right w:val="single" w:sz="4" w:space="0" w:color="auto"/>
            </w:tcBorders>
            <w:shd w:val="clear" w:color="auto" w:fill="auto"/>
            <w:vAlign w:val="center"/>
            <w:hideMark/>
          </w:tcPr>
          <w:p w14:paraId="3C47C57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86EA53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9D3D4A2"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60290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1011F8D6"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Principios de Servicio al Cliente en la Función Pública</w:t>
            </w:r>
          </w:p>
        </w:tc>
        <w:tc>
          <w:tcPr>
            <w:tcW w:w="3118" w:type="dxa"/>
            <w:tcBorders>
              <w:top w:val="nil"/>
              <w:left w:val="nil"/>
              <w:bottom w:val="single" w:sz="4" w:space="0" w:color="auto"/>
              <w:right w:val="single" w:sz="4" w:space="0" w:color="auto"/>
            </w:tcBorders>
            <w:shd w:val="clear" w:color="auto" w:fill="auto"/>
            <w:vAlign w:val="center"/>
            <w:hideMark/>
          </w:tcPr>
          <w:p w14:paraId="1C83EBC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0BF825E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57E6A615"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E91150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EE0A7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Perfeccionamiento en el Uso de los Signos de Puntuación</w:t>
            </w:r>
          </w:p>
        </w:tc>
        <w:tc>
          <w:tcPr>
            <w:tcW w:w="3118" w:type="dxa"/>
            <w:tcBorders>
              <w:top w:val="nil"/>
              <w:left w:val="nil"/>
              <w:bottom w:val="single" w:sz="4" w:space="0" w:color="auto"/>
              <w:right w:val="single" w:sz="4" w:space="0" w:color="auto"/>
            </w:tcBorders>
            <w:shd w:val="clear" w:color="auto" w:fill="auto"/>
            <w:vAlign w:val="center"/>
            <w:hideMark/>
          </w:tcPr>
          <w:p w14:paraId="0B7395B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C42C0A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50F3F659"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67E499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5D94CF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2C6B75C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192347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0609FB3" w14:textId="77777777" w:rsidTr="00DA5023">
        <w:trPr>
          <w:trHeight w:val="8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3E9FD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0F87612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Participación en el Cuarto Congreso Internacional sobre NIIF y NIA "Tecnología, Clave para la Transparencia y Control de la Información Financiera en el Mundo Digital"</w:t>
            </w:r>
          </w:p>
        </w:tc>
        <w:tc>
          <w:tcPr>
            <w:tcW w:w="3118" w:type="dxa"/>
            <w:tcBorders>
              <w:top w:val="nil"/>
              <w:left w:val="nil"/>
              <w:bottom w:val="single" w:sz="4" w:space="0" w:color="auto"/>
              <w:right w:val="single" w:sz="4" w:space="0" w:color="auto"/>
            </w:tcBorders>
            <w:shd w:val="clear" w:color="auto" w:fill="auto"/>
            <w:vAlign w:val="center"/>
            <w:hideMark/>
          </w:tcPr>
          <w:p w14:paraId="57A6479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116525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13100C3" w14:textId="77777777" w:rsidTr="00DA5023">
        <w:trPr>
          <w:trHeight w:val="9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5DB91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12</w:t>
            </w:r>
          </w:p>
        </w:tc>
        <w:tc>
          <w:tcPr>
            <w:tcW w:w="3595" w:type="dxa"/>
            <w:tcBorders>
              <w:top w:val="nil"/>
              <w:left w:val="nil"/>
              <w:bottom w:val="single" w:sz="4" w:space="0" w:color="auto"/>
              <w:right w:val="single" w:sz="4" w:space="0" w:color="auto"/>
            </w:tcBorders>
            <w:shd w:val="clear" w:color="auto" w:fill="auto"/>
            <w:vAlign w:val="center"/>
            <w:hideMark/>
          </w:tcPr>
          <w:p w14:paraId="136FCF26" w14:textId="324D3373"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Participación en el Curso de Bolsa y D</w:t>
            </w:r>
            <w:r w:rsidR="00DA5023" w:rsidRPr="00DA5023">
              <w:rPr>
                <w:rFonts w:ascii="Calibri Light" w:hAnsi="Calibri Light" w:cs="Calibri Light"/>
                <w:color w:val="000000"/>
                <w:sz w:val="18"/>
                <w:szCs w:val="18"/>
                <w:lang w:val="es-CR" w:eastAsia="es-CR"/>
              </w:rPr>
              <w:t>erivados on-line / Bolsa de Madrid.</w:t>
            </w:r>
          </w:p>
        </w:tc>
        <w:tc>
          <w:tcPr>
            <w:tcW w:w="3118" w:type="dxa"/>
            <w:tcBorders>
              <w:top w:val="nil"/>
              <w:left w:val="nil"/>
              <w:bottom w:val="single" w:sz="4" w:space="0" w:color="auto"/>
              <w:right w:val="single" w:sz="4" w:space="0" w:color="auto"/>
            </w:tcBorders>
            <w:shd w:val="clear" w:color="auto" w:fill="auto"/>
            <w:vAlign w:val="center"/>
            <w:hideMark/>
          </w:tcPr>
          <w:p w14:paraId="436A949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6AD3FA2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4ACCA15" w14:textId="77777777" w:rsidTr="00DA5023">
        <w:trPr>
          <w:trHeight w:val="8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F71B1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5D66066"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Participación en la Conferencia anual latinoamericana sobre gobierno, auditoría y seguridad en tecnología de información, Latin CACS 2017</w:t>
            </w:r>
          </w:p>
        </w:tc>
        <w:tc>
          <w:tcPr>
            <w:tcW w:w="3118" w:type="dxa"/>
            <w:tcBorders>
              <w:top w:val="nil"/>
              <w:left w:val="nil"/>
              <w:bottom w:val="single" w:sz="4" w:space="0" w:color="auto"/>
              <w:right w:val="single" w:sz="4" w:space="0" w:color="auto"/>
            </w:tcBorders>
            <w:shd w:val="clear" w:color="auto" w:fill="auto"/>
            <w:vAlign w:val="center"/>
            <w:hideMark/>
          </w:tcPr>
          <w:p w14:paraId="7C3D013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B659FB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AFD38E3" w14:textId="77777777" w:rsidTr="00DA5023">
        <w:trPr>
          <w:trHeight w:val="8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3D14D9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F9B4C89" w14:textId="0C89C45A"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Participación en curso la Reforma Procesal Laboral: </w:t>
            </w:r>
            <w:r w:rsidR="00C53DDE">
              <w:rPr>
                <w:rFonts w:ascii="Calibri Light" w:hAnsi="Calibri Light" w:cs="Calibri Light"/>
                <w:color w:val="000000"/>
                <w:sz w:val="18"/>
                <w:szCs w:val="18"/>
                <w:lang w:val="es-CR" w:eastAsia="es-CR"/>
              </w:rPr>
              <w:t>U</w:t>
            </w:r>
            <w:r w:rsidRPr="00DA5023">
              <w:rPr>
                <w:rFonts w:ascii="Calibri Light" w:hAnsi="Calibri Light" w:cs="Calibri Light"/>
                <w:color w:val="000000"/>
                <w:sz w:val="18"/>
                <w:szCs w:val="18"/>
                <w:lang w:val="es-CR" w:eastAsia="es-CR"/>
              </w:rPr>
              <w:t>na visión general sobre los alcances de la normativa para la Administración Pública</w:t>
            </w:r>
          </w:p>
        </w:tc>
        <w:tc>
          <w:tcPr>
            <w:tcW w:w="3118" w:type="dxa"/>
            <w:tcBorders>
              <w:top w:val="nil"/>
              <w:left w:val="nil"/>
              <w:bottom w:val="single" w:sz="4" w:space="0" w:color="auto"/>
              <w:right w:val="single" w:sz="4" w:space="0" w:color="auto"/>
            </w:tcBorders>
            <w:shd w:val="clear" w:color="auto" w:fill="auto"/>
            <w:vAlign w:val="center"/>
            <w:hideMark/>
          </w:tcPr>
          <w:p w14:paraId="13D40F1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952DD3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0DB824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7C0E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554240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47F733A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7184707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148F16"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220A8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4F9C47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CF3DB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23E0A0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0EDFBF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CC1E3D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54F307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Mecanismos y Metodologías para la Evaluación de la Satisfacción del Cliente.</w:t>
            </w:r>
          </w:p>
        </w:tc>
        <w:tc>
          <w:tcPr>
            <w:tcW w:w="3118" w:type="dxa"/>
            <w:tcBorders>
              <w:top w:val="nil"/>
              <w:left w:val="nil"/>
              <w:bottom w:val="single" w:sz="4" w:space="0" w:color="auto"/>
              <w:right w:val="single" w:sz="4" w:space="0" w:color="auto"/>
            </w:tcBorders>
            <w:shd w:val="clear" w:color="auto" w:fill="auto"/>
            <w:vAlign w:val="center"/>
            <w:hideMark/>
          </w:tcPr>
          <w:p w14:paraId="4A03E7E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2E4DC8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53043CF" w14:textId="77777777" w:rsidTr="00DA5023">
        <w:trPr>
          <w:trHeight w:val="96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4E81E6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11</w:t>
            </w:r>
          </w:p>
        </w:tc>
        <w:tc>
          <w:tcPr>
            <w:tcW w:w="3595" w:type="dxa"/>
            <w:tcBorders>
              <w:top w:val="nil"/>
              <w:left w:val="nil"/>
              <w:bottom w:val="single" w:sz="4" w:space="0" w:color="auto"/>
              <w:right w:val="single" w:sz="4" w:space="0" w:color="auto"/>
            </w:tcBorders>
            <w:shd w:val="clear" w:color="auto" w:fill="auto"/>
            <w:vAlign w:val="center"/>
            <w:hideMark/>
          </w:tcPr>
          <w:p w14:paraId="07E3300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Tercer Congreso de Gobierno Corporativo: Una Estrategia ante la Incertidumbre</w:t>
            </w:r>
          </w:p>
        </w:tc>
        <w:tc>
          <w:tcPr>
            <w:tcW w:w="3118" w:type="dxa"/>
            <w:tcBorders>
              <w:top w:val="nil"/>
              <w:left w:val="nil"/>
              <w:bottom w:val="single" w:sz="4" w:space="0" w:color="auto"/>
              <w:right w:val="single" w:sz="4" w:space="0" w:color="auto"/>
            </w:tcBorders>
            <w:shd w:val="clear" w:color="auto" w:fill="auto"/>
            <w:vAlign w:val="center"/>
            <w:hideMark/>
          </w:tcPr>
          <w:p w14:paraId="31B5876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División de Planificación y Normativa y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C19647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CB43DB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A62B7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CDEA18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Congreso Nacional de Excelencia Empresarial: Buscando la Perfección se Alcanza la Excelencia.</w:t>
            </w:r>
          </w:p>
        </w:tc>
        <w:tc>
          <w:tcPr>
            <w:tcW w:w="3118" w:type="dxa"/>
            <w:tcBorders>
              <w:top w:val="nil"/>
              <w:left w:val="nil"/>
              <w:bottom w:val="single" w:sz="4" w:space="0" w:color="auto"/>
              <w:right w:val="single" w:sz="4" w:space="0" w:color="auto"/>
            </w:tcBorders>
            <w:shd w:val="clear" w:color="auto" w:fill="auto"/>
            <w:vAlign w:val="center"/>
            <w:hideMark/>
          </w:tcPr>
          <w:p w14:paraId="43E80A3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37DCCD1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94AB572" w14:textId="77777777" w:rsidTr="00DA5023">
        <w:trPr>
          <w:trHeight w:val="7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9B0CA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32</w:t>
            </w:r>
          </w:p>
        </w:tc>
        <w:tc>
          <w:tcPr>
            <w:tcW w:w="3595" w:type="dxa"/>
            <w:tcBorders>
              <w:top w:val="nil"/>
              <w:left w:val="nil"/>
              <w:bottom w:val="single" w:sz="4" w:space="0" w:color="auto"/>
              <w:right w:val="single" w:sz="4" w:space="0" w:color="auto"/>
            </w:tcBorders>
            <w:shd w:val="clear" w:color="auto" w:fill="auto"/>
            <w:vAlign w:val="center"/>
            <w:hideMark/>
          </w:tcPr>
          <w:p w14:paraId="2E5B70D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Instrumentos Financieros Básicos</w:t>
            </w:r>
          </w:p>
        </w:tc>
        <w:tc>
          <w:tcPr>
            <w:tcW w:w="3118" w:type="dxa"/>
            <w:tcBorders>
              <w:top w:val="nil"/>
              <w:left w:val="nil"/>
              <w:bottom w:val="single" w:sz="4" w:space="0" w:color="auto"/>
              <w:right w:val="single" w:sz="4" w:space="0" w:color="auto"/>
            </w:tcBorders>
            <w:shd w:val="clear" w:color="auto" w:fill="auto"/>
            <w:vAlign w:val="center"/>
            <w:hideMark/>
          </w:tcPr>
          <w:p w14:paraId="0503B6F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A8F5F5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CD089E9"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21FD30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49EF434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Ejecución de Sentencia, Otros Modos de Terminación del Proceso y Ejecución de Sentencia</w:t>
            </w:r>
          </w:p>
        </w:tc>
        <w:tc>
          <w:tcPr>
            <w:tcW w:w="3118" w:type="dxa"/>
            <w:tcBorders>
              <w:top w:val="nil"/>
              <w:left w:val="nil"/>
              <w:bottom w:val="single" w:sz="4" w:space="0" w:color="auto"/>
              <w:right w:val="single" w:sz="4" w:space="0" w:color="auto"/>
            </w:tcBorders>
            <w:shd w:val="clear" w:color="auto" w:fill="auto"/>
            <w:vAlign w:val="center"/>
            <w:hideMark/>
          </w:tcPr>
          <w:p w14:paraId="7AF4DA5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E6892B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1778AB"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74781E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6D4FD8C7" w14:textId="279D7AB6"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w:t>
            </w:r>
            <w:r w:rsidR="00C53DDE">
              <w:rPr>
                <w:rFonts w:ascii="Calibri Light" w:hAnsi="Calibri Light" w:cs="Calibri Light"/>
                <w:color w:val="000000"/>
                <w:sz w:val="18"/>
                <w:szCs w:val="18"/>
                <w:lang w:val="es-CR" w:eastAsia="es-CR"/>
              </w:rPr>
              <w:t xml:space="preserve"> Seguridad Informática Jurídica</w:t>
            </w:r>
          </w:p>
        </w:tc>
        <w:tc>
          <w:tcPr>
            <w:tcW w:w="3118" w:type="dxa"/>
            <w:tcBorders>
              <w:top w:val="nil"/>
              <w:left w:val="nil"/>
              <w:bottom w:val="single" w:sz="4" w:space="0" w:color="auto"/>
              <w:right w:val="single" w:sz="4" w:space="0" w:color="auto"/>
            </w:tcBorders>
            <w:shd w:val="clear" w:color="auto" w:fill="auto"/>
            <w:vAlign w:val="center"/>
            <w:hideMark/>
          </w:tcPr>
          <w:p w14:paraId="2B3C444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214268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14D4A14" w14:textId="77777777" w:rsidTr="00DA5023">
        <w:trPr>
          <w:trHeight w:val="7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7CE74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10</w:t>
            </w:r>
          </w:p>
        </w:tc>
        <w:tc>
          <w:tcPr>
            <w:tcW w:w="3595" w:type="dxa"/>
            <w:tcBorders>
              <w:top w:val="nil"/>
              <w:left w:val="nil"/>
              <w:bottom w:val="single" w:sz="4" w:space="0" w:color="auto"/>
              <w:right w:val="single" w:sz="4" w:space="0" w:color="auto"/>
            </w:tcBorders>
            <w:shd w:val="clear" w:color="auto" w:fill="auto"/>
            <w:vAlign w:val="center"/>
            <w:hideMark/>
          </w:tcPr>
          <w:p w14:paraId="7FC065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Seminario Sanciones can base a la Nueva Reforma Procesal Laboral </w:t>
            </w:r>
          </w:p>
        </w:tc>
        <w:tc>
          <w:tcPr>
            <w:tcW w:w="3118" w:type="dxa"/>
            <w:tcBorders>
              <w:top w:val="nil"/>
              <w:left w:val="nil"/>
              <w:bottom w:val="single" w:sz="4" w:space="0" w:color="auto"/>
              <w:right w:val="single" w:sz="4" w:space="0" w:color="auto"/>
            </w:tcBorders>
            <w:shd w:val="clear" w:color="auto" w:fill="auto"/>
            <w:vAlign w:val="center"/>
            <w:hideMark/>
          </w:tcPr>
          <w:p w14:paraId="130C7F59"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17E31E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29BA2F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D1FAEF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13</w:t>
            </w:r>
          </w:p>
        </w:tc>
        <w:tc>
          <w:tcPr>
            <w:tcW w:w="3595" w:type="dxa"/>
            <w:tcBorders>
              <w:top w:val="nil"/>
              <w:left w:val="nil"/>
              <w:bottom w:val="single" w:sz="4" w:space="0" w:color="auto"/>
              <w:right w:val="single" w:sz="4" w:space="0" w:color="auto"/>
            </w:tcBorders>
            <w:shd w:val="clear" w:color="auto" w:fill="auto"/>
            <w:vAlign w:val="center"/>
            <w:hideMark/>
          </w:tcPr>
          <w:p w14:paraId="5388216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Compromiso por medio de Equipos Efectivos.</w:t>
            </w:r>
          </w:p>
        </w:tc>
        <w:tc>
          <w:tcPr>
            <w:tcW w:w="3118" w:type="dxa"/>
            <w:tcBorders>
              <w:top w:val="nil"/>
              <w:left w:val="nil"/>
              <w:bottom w:val="single" w:sz="4" w:space="0" w:color="auto"/>
              <w:right w:val="single" w:sz="4" w:space="0" w:color="auto"/>
            </w:tcBorders>
            <w:shd w:val="clear" w:color="auto" w:fill="auto"/>
            <w:vAlign w:val="center"/>
            <w:hideMark/>
          </w:tcPr>
          <w:p w14:paraId="287761C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06EF3A4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FB7ADDE" w14:textId="77777777" w:rsidTr="00DA5023">
        <w:trPr>
          <w:trHeight w:val="450"/>
        </w:trPr>
        <w:tc>
          <w:tcPr>
            <w:tcW w:w="1220" w:type="dxa"/>
            <w:tcBorders>
              <w:top w:val="nil"/>
              <w:left w:val="single" w:sz="4" w:space="0" w:color="auto"/>
              <w:bottom w:val="single" w:sz="4" w:space="0" w:color="auto"/>
              <w:right w:val="single" w:sz="4" w:space="0" w:color="auto"/>
            </w:tcBorders>
            <w:shd w:val="clear" w:color="000000" w:fill="95B3D7"/>
            <w:noWrap/>
            <w:vAlign w:val="center"/>
            <w:hideMark/>
          </w:tcPr>
          <w:p w14:paraId="33CB56EB"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 </w:t>
            </w:r>
          </w:p>
        </w:tc>
        <w:tc>
          <w:tcPr>
            <w:tcW w:w="3595" w:type="dxa"/>
            <w:tcBorders>
              <w:top w:val="nil"/>
              <w:left w:val="nil"/>
              <w:bottom w:val="single" w:sz="4" w:space="0" w:color="auto"/>
              <w:right w:val="single" w:sz="4" w:space="0" w:color="auto"/>
            </w:tcBorders>
            <w:shd w:val="clear" w:color="000000" w:fill="95B3D7"/>
            <w:noWrap/>
            <w:vAlign w:val="center"/>
            <w:hideMark/>
          </w:tcPr>
          <w:p w14:paraId="1AD239DC"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 </w:t>
            </w:r>
          </w:p>
        </w:tc>
        <w:tc>
          <w:tcPr>
            <w:tcW w:w="3118" w:type="dxa"/>
            <w:tcBorders>
              <w:top w:val="nil"/>
              <w:left w:val="nil"/>
              <w:bottom w:val="single" w:sz="4" w:space="0" w:color="auto"/>
              <w:right w:val="single" w:sz="4" w:space="0" w:color="auto"/>
            </w:tcBorders>
            <w:shd w:val="clear" w:color="000000" w:fill="95B3D7"/>
            <w:noWrap/>
            <w:vAlign w:val="center"/>
            <w:hideMark/>
          </w:tcPr>
          <w:p w14:paraId="0E026126"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w:t>
            </w:r>
          </w:p>
        </w:tc>
        <w:tc>
          <w:tcPr>
            <w:tcW w:w="1300" w:type="dxa"/>
            <w:tcBorders>
              <w:top w:val="nil"/>
              <w:left w:val="nil"/>
              <w:bottom w:val="single" w:sz="4" w:space="0" w:color="auto"/>
              <w:right w:val="single" w:sz="4" w:space="0" w:color="auto"/>
            </w:tcBorders>
            <w:shd w:val="clear" w:color="000000" w:fill="95B3D7"/>
            <w:noWrap/>
            <w:vAlign w:val="center"/>
            <w:hideMark/>
          </w:tcPr>
          <w:p w14:paraId="0C55B97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w:t>
            </w:r>
          </w:p>
        </w:tc>
      </w:tr>
    </w:tbl>
    <w:p w14:paraId="43A2CA73" w14:textId="77777777" w:rsidR="00DA5023" w:rsidRPr="000F5573" w:rsidRDefault="00DA5023" w:rsidP="000F5573">
      <w:pPr>
        <w:pStyle w:val="Textoindependiente"/>
        <w:numPr>
          <w:ilvl w:val="0"/>
          <w:numId w:val="0"/>
        </w:numPr>
        <w:tabs>
          <w:tab w:val="left" w:pos="1134"/>
          <w:tab w:val="decimal" w:pos="7088"/>
        </w:tabs>
        <w:rPr>
          <w:rFonts w:asciiTheme="minorHAnsi" w:hAnsiTheme="minorHAnsi" w:cstheme="minorHAnsi"/>
          <w:szCs w:val="24"/>
          <w:lang w:val="es-CR"/>
        </w:rPr>
      </w:pPr>
    </w:p>
    <w:p w14:paraId="3E8AE177" w14:textId="2BBCFB23" w:rsidR="00293493"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A63448">
        <w:rPr>
          <w:rFonts w:asciiTheme="minorHAnsi" w:hAnsiTheme="minorHAnsi" w:cstheme="minorHAnsi"/>
          <w:b/>
          <w:szCs w:val="24"/>
          <w:lang w:val="es-CR"/>
        </w:rPr>
        <w:t>E</w:t>
      </w:r>
      <w:r w:rsidR="00F9144E" w:rsidRPr="00A63448">
        <w:rPr>
          <w:rFonts w:asciiTheme="minorHAnsi" w:hAnsiTheme="minorHAnsi" w:cstheme="minorHAnsi"/>
          <w:b/>
          <w:szCs w:val="24"/>
          <w:lang w:val="es-CR"/>
        </w:rPr>
        <w:t>st</w:t>
      </w:r>
      <w:r w:rsidR="00BB68BF" w:rsidRPr="00A63448">
        <w:rPr>
          <w:rFonts w:asciiTheme="minorHAnsi" w:hAnsiTheme="minorHAnsi" w:cstheme="minorHAnsi"/>
          <w:b/>
          <w:szCs w:val="24"/>
          <w:lang w:val="es-CR"/>
        </w:rPr>
        <w:t>ado de los proyectos especiales</w:t>
      </w:r>
    </w:p>
    <w:p w14:paraId="6CF264E3" w14:textId="2FDFB4E7" w:rsidR="00104446" w:rsidRDefault="00104446"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42BBB9D" w14:textId="535E5D7E" w:rsidR="002340DD"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r>
        <w:rPr>
          <w:rFonts w:asciiTheme="minorHAnsi" w:hAnsiTheme="minorHAnsi" w:cstheme="minorHAnsi"/>
          <w:szCs w:val="24"/>
          <w:lang w:val="es-CR"/>
        </w:rPr>
        <w:t>Seguidamente se presenta un estado de los proyectos especiales declarados para este período.</w:t>
      </w:r>
    </w:p>
    <w:p w14:paraId="5CFEC409" w14:textId="77777777" w:rsidR="002340DD" w:rsidRPr="000F5573"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5BEFF848" w14:textId="21FFCBAF" w:rsidR="002043B6" w:rsidRPr="000F5573" w:rsidRDefault="00F15035" w:rsidP="00B45046">
      <w:pPr>
        <w:pStyle w:val="Textoindependiente"/>
        <w:numPr>
          <w:ilvl w:val="0"/>
          <w:numId w:val="0"/>
        </w:numPr>
        <w:spacing w:line="240" w:lineRule="auto"/>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5D020A">
        <w:rPr>
          <w:rFonts w:asciiTheme="minorHAnsi" w:hAnsiTheme="minorHAnsi" w:cstheme="minorHAnsi"/>
          <w:sz w:val="22"/>
          <w:szCs w:val="22"/>
          <w:lang w:val="es-CR"/>
        </w:rPr>
        <w:t>12</w:t>
      </w:r>
      <w:r w:rsidRPr="000F5573">
        <w:rPr>
          <w:rFonts w:asciiTheme="minorHAnsi" w:hAnsiTheme="minorHAnsi" w:cstheme="minorHAnsi"/>
          <w:sz w:val="22"/>
          <w:szCs w:val="22"/>
          <w:lang w:val="es-CR"/>
        </w:rPr>
        <w:t xml:space="preserve">: </w:t>
      </w:r>
      <w:r w:rsidR="00C53DDE" w:rsidRPr="000F5573">
        <w:rPr>
          <w:rFonts w:asciiTheme="minorHAnsi" w:hAnsiTheme="minorHAnsi" w:cstheme="minorHAnsi"/>
          <w:b/>
          <w:sz w:val="22"/>
          <w:szCs w:val="22"/>
          <w:lang w:val="es-CR"/>
        </w:rPr>
        <w:t>Detalle de P</w:t>
      </w:r>
      <w:r w:rsidR="002043B6" w:rsidRPr="000F5573">
        <w:rPr>
          <w:rFonts w:asciiTheme="minorHAnsi" w:hAnsiTheme="minorHAnsi" w:cstheme="minorHAnsi"/>
          <w:b/>
          <w:sz w:val="22"/>
          <w:szCs w:val="22"/>
          <w:lang w:val="es-CR"/>
        </w:rPr>
        <w:t>royectos</w:t>
      </w:r>
      <w:r w:rsidR="00C53DDE" w:rsidRPr="000F5573">
        <w:rPr>
          <w:rFonts w:asciiTheme="minorHAnsi" w:hAnsiTheme="minorHAnsi" w:cstheme="minorHAnsi"/>
          <w:b/>
          <w:sz w:val="22"/>
          <w:szCs w:val="22"/>
          <w:lang w:val="es-CR"/>
        </w:rPr>
        <w:t xml:space="preserve"> E</w:t>
      </w:r>
      <w:r w:rsidRPr="000F5573">
        <w:rPr>
          <w:rFonts w:asciiTheme="minorHAnsi" w:hAnsiTheme="minorHAnsi" w:cstheme="minorHAnsi"/>
          <w:b/>
          <w:sz w:val="22"/>
          <w:szCs w:val="22"/>
          <w:lang w:val="es-CR"/>
        </w:rPr>
        <w:t>speciales</w:t>
      </w:r>
    </w:p>
    <w:tbl>
      <w:tblPr>
        <w:tblW w:w="8784" w:type="dxa"/>
        <w:jc w:val="center"/>
        <w:tblCellMar>
          <w:left w:w="0" w:type="dxa"/>
          <w:right w:w="0" w:type="dxa"/>
        </w:tblCellMar>
        <w:tblLook w:val="04A0" w:firstRow="1" w:lastRow="0" w:firstColumn="1" w:lastColumn="0" w:noHBand="0" w:noVBand="1"/>
      </w:tblPr>
      <w:tblGrid>
        <w:gridCol w:w="3823"/>
        <w:gridCol w:w="4961"/>
      </w:tblGrid>
      <w:tr w:rsidR="00E009A1" w:rsidRPr="00ED5693" w14:paraId="0D6EC3F6" w14:textId="77777777" w:rsidTr="00E009A1">
        <w:trPr>
          <w:trHeight w:val="441"/>
          <w:tblHeader/>
          <w:jc w:val="center"/>
        </w:trPr>
        <w:tc>
          <w:tcPr>
            <w:tcW w:w="3823"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047746DC" w14:textId="77777777" w:rsidR="00E009A1" w:rsidRPr="00E009A1" w:rsidRDefault="00E009A1" w:rsidP="00A06D37">
            <w:pPr>
              <w:jc w:val="center"/>
              <w:rPr>
                <w:rFonts w:ascii="Calibri Light" w:hAnsi="Calibri Light" w:cs="Calibri Light"/>
                <w:b/>
                <w:bCs/>
                <w:color w:val="000000"/>
                <w:szCs w:val="18"/>
              </w:rPr>
            </w:pPr>
            <w:r w:rsidRPr="00E009A1">
              <w:rPr>
                <w:rFonts w:ascii="Calibri Light" w:hAnsi="Calibri Light" w:cs="Calibri Light"/>
                <w:b/>
                <w:bCs/>
                <w:color w:val="000000"/>
                <w:szCs w:val="18"/>
              </w:rPr>
              <w:t>Proyecto</w:t>
            </w:r>
          </w:p>
        </w:tc>
        <w:tc>
          <w:tcPr>
            <w:tcW w:w="4961" w:type="dxa"/>
            <w:tcBorders>
              <w:top w:val="single" w:sz="8" w:space="0" w:color="auto"/>
              <w:left w:val="nil"/>
              <w:bottom w:val="single" w:sz="8" w:space="0" w:color="auto"/>
              <w:right w:val="single" w:sz="8" w:space="0" w:color="auto"/>
            </w:tcBorders>
            <w:shd w:val="clear" w:color="auto" w:fill="8DB3E2" w:themeFill="text2" w:themeFillTint="66"/>
            <w:tcMar>
              <w:top w:w="0" w:type="dxa"/>
              <w:left w:w="70" w:type="dxa"/>
              <w:bottom w:w="0" w:type="dxa"/>
              <w:right w:w="70" w:type="dxa"/>
            </w:tcMar>
            <w:vAlign w:val="center"/>
            <w:hideMark/>
          </w:tcPr>
          <w:p w14:paraId="6EE62037" w14:textId="77777777" w:rsidR="00E009A1" w:rsidRPr="00E009A1" w:rsidRDefault="00E009A1" w:rsidP="00A06D37">
            <w:pPr>
              <w:jc w:val="center"/>
              <w:rPr>
                <w:rFonts w:ascii="Calibri Light" w:hAnsi="Calibri Light" w:cs="Calibri Light"/>
                <w:b/>
                <w:bCs/>
                <w:color w:val="000000"/>
                <w:szCs w:val="18"/>
                <w:lang w:val="es-CR"/>
              </w:rPr>
            </w:pPr>
            <w:r w:rsidRPr="00E009A1">
              <w:rPr>
                <w:rFonts w:ascii="Calibri Light" w:hAnsi="Calibri Light" w:cs="Calibri Light"/>
                <w:b/>
                <w:bCs/>
                <w:color w:val="000000"/>
                <w:szCs w:val="18"/>
              </w:rPr>
              <w:t>Observaciones</w:t>
            </w:r>
          </w:p>
        </w:tc>
      </w:tr>
      <w:tr w:rsidR="00E009A1" w14:paraId="35ED88C8" w14:textId="77777777" w:rsidTr="00A06D37">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607015" w14:textId="77777777" w:rsidR="00E009A1" w:rsidRDefault="00E009A1" w:rsidP="00A06D37">
            <w:pPr>
              <w:rPr>
                <w:rFonts w:ascii="Calibri Light" w:hAnsi="Calibri Light" w:cs="Calibri Light"/>
                <w:b/>
                <w:bCs/>
                <w:color w:val="000000"/>
                <w:sz w:val="18"/>
                <w:szCs w:val="18"/>
              </w:rPr>
            </w:pPr>
            <w:r>
              <w:rPr>
                <w:rFonts w:ascii="Calibri Light" w:hAnsi="Calibri Light" w:cs="Calibri Light"/>
                <w:b/>
                <w:bCs/>
                <w:color w:val="000000"/>
                <w:sz w:val="18"/>
                <w:szCs w:val="18"/>
              </w:rPr>
              <w:t>MSBR: Implementación</w:t>
            </w:r>
          </w:p>
          <w:p w14:paraId="27B8CCEB"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Diseñar e implementar en la Superintendencia de Pensiones la normativa reglamentaria para la gestión y calificación de riesgos de las entidades reguladas y los fondos administrados.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9A0D70" w14:textId="77777777" w:rsidR="00E009A1" w:rsidRDefault="00E009A1" w:rsidP="00A06D37">
            <w:pPr>
              <w:rPr>
                <w:rFonts w:ascii="Calibri Light" w:hAnsi="Calibri Light" w:cs="Calibri Light"/>
                <w:b/>
                <w:bCs/>
                <w:sz w:val="18"/>
                <w:szCs w:val="18"/>
              </w:rPr>
            </w:pPr>
            <w:r>
              <w:rPr>
                <w:rFonts w:ascii="Calibri Light" w:hAnsi="Calibri Light" w:cs="Calibri Light"/>
                <w:b/>
                <w:bCs/>
                <w:sz w:val="18"/>
                <w:szCs w:val="18"/>
              </w:rPr>
              <w:t>En Ejecución:</w:t>
            </w:r>
          </w:p>
          <w:p w14:paraId="6C02791F" w14:textId="77777777" w:rsidR="00E009A1" w:rsidRDefault="00E009A1" w:rsidP="00A06D37">
            <w:pPr>
              <w:rPr>
                <w:rFonts w:ascii="Calibri Light" w:hAnsi="Calibri Light" w:cs="Calibri Light"/>
                <w:color w:val="000000"/>
                <w:sz w:val="18"/>
                <w:szCs w:val="18"/>
              </w:rPr>
            </w:pPr>
            <w:r>
              <w:rPr>
                <w:rFonts w:ascii="Calibri Light" w:hAnsi="Calibri Light" w:cs="Calibri Light"/>
                <w:color w:val="000000"/>
                <w:sz w:val="18"/>
                <w:szCs w:val="18"/>
              </w:rPr>
              <w:t>La Superintendencia de Pensiones está llevando a cabo planes piloto de aplicación del nuevo MSBR, en las cuales se están aplicando las nuevas metodologías desarrolladas. Las pruebas finalizarán en el 2018. Se están depurando las Guías internas de las actividades significativas y criterios de evaluación sobre la gestión del riesgo por parte de los administradores de los fondos de pensiones.</w:t>
            </w:r>
          </w:p>
        </w:tc>
      </w:tr>
      <w:tr w:rsidR="00E009A1" w14:paraId="208D61DF" w14:textId="77777777" w:rsidTr="00A06D37">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A5377F" w14:textId="77777777" w:rsidR="00E009A1" w:rsidRDefault="00E009A1" w:rsidP="00A06D37">
            <w:pPr>
              <w:rPr>
                <w:rFonts w:ascii="Calibri Light" w:hAnsi="Calibri Light" w:cs="Calibri Light"/>
                <w:b/>
                <w:bCs/>
                <w:color w:val="000000"/>
                <w:sz w:val="18"/>
                <w:szCs w:val="18"/>
              </w:rPr>
            </w:pPr>
            <w:r>
              <w:rPr>
                <w:rFonts w:ascii="Calibri Light" w:hAnsi="Calibri Light" w:cs="Calibri Light"/>
                <w:b/>
                <w:bCs/>
                <w:color w:val="000000"/>
                <w:sz w:val="18"/>
                <w:szCs w:val="18"/>
              </w:rPr>
              <w:t>Reglamento de Autorizaciones</w:t>
            </w:r>
          </w:p>
          <w:p w14:paraId="014EF0FC"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Mejorar el marco sobre requisitos los productos que pueden ofrecer las operadoras.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7FB21D" w14:textId="77777777" w:rsidR="00E009A1" w:rsidRDefault="00E009A1" w:rsidP="00A06D37">
            <w:pPr>
              <w:rPr>
                <w:rFonts w:ascii="Calibri Light" w:hAnsi="Calibri Light" w:cs="Calibri Light"/>
                <w:b/>
                <w:bCs/>
                <w:sz w:val="18"/>
                <w:szCs w:val="18"/>
              </w:rPr>
            </w:pPr>
            <w:r>
              <w:rPr>
                <w:rFonts w:ascii="Calibri Light" w:hAnsi="Calibri Light" w:cs="Calibri Light"/>
                <w:b/>
                <w:bCs/>
                <w:sz w:val="18"/>
                <w:szCs w:val="18"/>
              </w:rPr>
              <w:t>En Ejecución:</w:t>
            </w:r>
          </w:p>
          <w:p w14:paraId="59E0CFB6"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rPr>
              <w:t>Se encuentra en revisión de Normativa para ajustarlo y trasladarlo a revisión conjunta con División Jurídica para remitirse posteriormente al Comité de Proyectos.</w:t>
            </w:r>
          </w:p>
        </w:tc>
      </w:tr>
      <w:tr w:rsidR="00E009A1" w14:paraId="2821B034" w14:textId="77777777" w:rsidTr="00A06D37">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F058F0" w14:textId="77777777" w:rsidR="00E009A1" w:rsidRDefault="00E009A1" w:rsidP="00A06D37">
            <w:pPr>
              <w:rPr>
                <w:rFonts w:ascii="Calibri Light" w:hAnsi="Calibri Light" w:cs="Calibri Light"/>
                <w:b/>
                <w:bCs/>
                <w:color w:val="000000"/>
                <w:sz w:val="18"/>
                <w:szCs w:val="18"/>
              </w:rPr>
            </w:pPr>
            <w:r>
              <w:rPr>
                <w:rFonts w:ascii="Calibri Light" w:hAnsi="Calibri Light" w:cs="Calibri Light"/>
                <w:b/>
                <w:bCs/>
                <w:color w:val="000000"/>
                <w:sz w:val="18"/>
                <w:szCs w:val="18"/>
              </w:rPr>
              <w:t>Reglamento de Disciplina de Mercado</w:t>
            </w:r>
          </w:p>
          <w:p w14:paraId="2190E07B"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Regular la relación entre los afiliados y pensionados, entidades supervisadas y la SUPEN, donde se establezca un marco para la atención de consultas y denuncias y quejas de los afiliados entre otros.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09ABC" w14:textId="77777777" w:rsidR="00E009A1" w:rsidRDefault="00E009A1" w:rsidP="00A06D37">
            <w:pPr>
              <w:rPr>
                <w:rFonts w:ascii="Calibri Light" w:hAnsi="Calibri Light" w:cs="Calibri Light"/>
                <w:b/>
                <w:bCs/>
                <w:sz w:val="18"/>
                <w:szCs w:val="18"/>
              </w:rPr>
            </w:pPr>
            <w:r>
              <w:rPr>
                <w:rFonts w:ascii="Calibri Light" w:hAnsi="Calibri Light" w:cs="Calibri Light"/>
                <w:b/>
                <w:bCs/>
                <w:sz w:val="18"/>
                <w:szCs w:val="18"/>
              </w:rPr>
              <w:t>Detenido:</w:t>
            </w:r>
          </w:p>
          <w:p w14:paraId="083D0627"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rPr>
              <w:t>El proyecto se ha detenido para destinarle recursos al Reglamento de Productos Autorizados. Sin embargo, se continúa el desarrollo del Registro Único de Beneficiarios y ajustes en los sistemas sobre publicación de rentabilidad.</w:t>
            </w:r>
          </w:p>
        </w:tc>
      </w:tr>
      <w:tr w:rsidR="00E009A1" w14:paraId="39BB108C" w14:textId="77777777" w:rsidTr="00A06D37">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190E9" w14:textId="77777777" w:rsidR="00E009A1" w:rsidRDefault="00E009A1" w:rsidP="00A06D37">
            <w:pPr>
              <w:rPr>
                <w:rFonts w:ascii="Calibri Light" w:hAnsi="Calibri Light" w:cs="Calibri Light"/>
                <w:b/>
                <w:bCs/>
                <w:color w:val="000000"/>
                <w:sz w:val="18"/>
                <w:szCs w:val="18"/>
              </w:rPr>
            </w:pPr>
            <w:r>
              <w:rPr>
                <w:rFonts w:ascii="Calibri Light" w:hAnsi="Calibri Light" w:cs="Calibri Light"/>
                <w:b/>
                <w:bCs/>
                <w:color w:val="000000"/>
                <w:sz w:val="18"/>
                <w:szCs w:val="18"/>
              </w:rPr>
              <w:t>Gestión de Activos</w:t>
            </w:r>
          </w:p>
          <w:p w14:paraId="32D10234" w14:textId="77777777" w:rsidR="00E009A1" w:rsidRDefault="00E009A1" w:rsidP="00A06D37">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Actualizar las reglas que sustentan la gestión de los activos por parte de los gestores de fondos de pensión.</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E4A47" w14:textId="77777777" w:rsidR="00E009A1" w:rsidRDefault="00E009A1" w:rsidP="00A06D37">
            <w:pPr>
              <w:rPr>
                <w:rFonts w:ascii="Calibri Light" w:hAnsi="Calibri Light" w:cs="Calibri Light"/>
                <w:b/>
                <w:bCs/>
                <w:sz w:val="18"/>
                <w:szCs w:val="18"/>
              </w:rPr>
            </w:pPr>
            <w:r>
              <w:rPr>
                <w:rFonts w:ascii="Calibri Light" w:hAnsi="Calibri Light" w:cs="Calibri Light"/>
                <w:b/>
                <w:bCs/>
                <w:sz w:val="18"/>
                <w:szCs w:val="18"/>
              </w:rPr>
              <w:t>En Ejecución:</w:t>
            </w:r>
          </w:p>
          <w:p w14:paraId="318440EA" w14:textId="77777777" w:rsidR="00E009A1" w:rsidRDefault="00E009A1" w:rsidP="00A06D37">
            <w:pPr>
              <w:rPr>
                <w:rFonts w:ascii="Calibri Light" w:hAnsi="Calibri Light" w:cs="Calibri Light"/>
                <w:sz w:val="18"/>
                <w:szCs w:val="18"/>
              </w:rPr>
            </w:pPr>
            <w:r>
              <w:rPr>
                <w:rFonts w:ascii="Calibri Light" w:hAnsi="Calibri Light" w:cs="Calibri Light"/>
                <w:sz w:val="18"/>
                <w:szCs w:val="18"/>
              </w:rPr>
              <w:t xml:space="preserve">La propuesta del Reglamento de Gestión de Activos fue presentada al Conassif y se mantiene en análisis. </w:t>
            </w:r>
          </w:p>
        </w:tc>
      </w:tr>
      <w:tr w:rsidR="00E009A1" w14:paraId="37623FBD" w14:textId="77777777" w:rsidTr="00A06D37">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76A5E5" w14:textId="77777777" w:rsidR="00E009A1" w:rsidRDefault="00E009A1" w:rsidP="00A06D37">
            <w:pPr>
              <w:rPr>
                <w:rFonts w:ascii="Calibri Light" w:hAnsi="Calibri Light" w:cs="Calibri Light"/>
                <w:b/>
                <w:bCs/>
                <w:color w:val="000000"/>
                <w:sz w:val="18"/>
                <w:szCs w:val="18"/>
              </w:rPr>
            </w:pPr>
            <w:r>
              <w:rPr>
                <w:rFonts w:ascii="Calibri Light" w:hAnsi="Calibri Light" w:cs="Calibri Light"/>
                <w:b/>
                <w:bCs/>
                <w:color w:val="000000"/>
                <w:sz w:val="18"/>
                <w:szCs w:val="18"/>
              </w:rPr>
              <w:t>Expediente Previsional</w:t>
            </w:r>
          </w:p>
          <w:p w14:paraId="5AC736A1" w14:textId="77777777" w:rsidR="00E009A1" w:rsidRDefault="00E009A1" w:rsidP="00A06D37">
            <w:pPr>
              <w:rPr>
                <w:rFonts w:ascii="Calibri Light" w:hAnsi="Calibri Light" w:cs="Calibri Light"/>
                <w:color w:val="000000"/>
                <w:sz w:val="18"/>
                <w:szCs w:val="18"/>
              </w:rPr>
            </w:pPr>
            <w:r>
              <w:rPr>
                <w:rFonts w:ascii="Calibri Light" w:hAnsi="Calibri Light" w:cs="Calibri Light"/>
                <w:color w:val="000000"/>
                <w:sz w:val="18"/>
                <w:szCs w:val="18"/>
                <w:u w:val="single"/>
              </w:rPr>
              <w:t>Objetivo</w:t>
            </w:r>
            <w:r>
              <w:rPr>
                <w:rFonts w:ascii="Calibri Light" w:hAnsi="Calibri Light" w:cs="Calibri Light"/>
                <w:color w:val="000000"/>
                <w:sz w:val="18"/>
                <w:szCs w:val="18"/>
              </w:rPr>
              <w:t>: Consolidar la información que se recibe en la Supen de los diferentes gestores en una plataforma común al servicio de la supervisión y de la información que se puede brindar a los afiliados. Para tener una única plataforma que permita supervisar pensiones múltiples, consolidación de derechos, verificación de información común entre gestores.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87A2AB" w14:textId="77777777" w:rsidR="00E009A1" w:rsidRDefault="00E009A1" w:rsidP="00A06D37">
            <w:pPr>
              <w:rPr>
                <w:rFonts w:ascii="Calibri Light" w:hAnsi="Calibri Light" w:cs="Calibri Light"/>
                <w:b/>
                <w:bCs/>
                <w:sz w:val="18"/>
                <w:szCs w:val="18"/>
              </w:rPr>
            </w:pPr>
            <w:r>
              <w:rPr>
                <w:rFonts w:ascii="Calibri Light" w:hAnsi="Calibri Light" w:cs="Calibri Light"/>
                <w:b/>
                <w:bCs/>
                <w:sz w:val="18"/>
                <w:szCs w:val="18"/>
              </w:rPr>
              <w:t>En Ejecución:</w:t>
            </w:r>
          </w:p>
          <w:p w14:paraId="19784E58" w14:textId="77777777" w:rsidR="00E009A1" w:rsidRDefault="00E009A1" w:rsidP="00A06D37">
            <w:pPr>
              <w:rPr>
                <w:rFonts w:ascii="Calibri Light" w:hAnsi="Calibri Light" w:cs="Calibri Light"/>
                <w:sz w:val="18"/>
                <w:szCs w:val="18"/>
              </w:rPr>
            </w:pPr>
            <w:r>
              <w:rPr>
                <w:rFonts w:ascii="Calibri Light" w:hAnsi="Calibri Light" w:cs="Calibri Light"/>
                <w:sz w:val="18"/>
                <w:szCs w:val="18"/>
              </w:rPr>
              <w:t>La Superintendencia ha desarrollado un sistema que permite al afiliado consolidar sus productos previsionales. Se está revisando el esquema de autenticación para el acceso por parte de los afiliados.</w:t>
            </w:r>
          </w:p>
        </w:tc>
      </w:tr>
    </w:tbl>
    <w:p w14:paraId="157B3E9A" w14:textId="77777777" w:rsidR="00E009A1" w:rsidRPr="00C307A2" w:rsidRDefault="00E009A1" w:rsidP="00F15035">
      <w:pPr>
        <w:pStyle w:val="Textoindependiente"/>
        <w:numPr>
          <w:ilvl w:val="0"/>
          <w:numId w:val="0"/>
        </w:numPr>
        <w:spacing w:line="240" w:lineRule="auto"/>
        <w:jc w:val="center"/>
        <w:rPr>
          <w:rFonts w:asciiTheme="minorHAnsi" w:hAnsiTheme="minorHAnsi" w:cstheme="minorHAnsi"/>
          <w:sz w:val="16"/>
          <w:szCs w:val="16"/>
          <w:highlight w:val="yellow"/>
          <w:lang w:val="es-CR"/>
        </w:rPr>
      </w:pPr>
    </w:p>
    <w:p w14:paraId="70929170" w14:textId="77777777" w:rsidR="00726573" w:rsidRPr="00787962" w:rsidRDefault="00726573" w:rsidP="00F15035">
      <w:pPr>
        <w:pStyle w:val="Textoindependiente"/>
        <w:numPr>
          <w:ilvl w:val="0"/>
          <w:numId w:val="0"/>
        </w:numPr>
        <w:spacing w:line="240" w:lineRule="auto"/>
        <w:jc w:val="center"/>
        <w:rPr>
          <w:rFonts w:asciiTheme="minorHAnsi" w:hAnsiTheme="minorHAnsi" w:cstheme="minorHAnsi"/>
          <w:sz w:val="16"/>
          <w:szCs w:val="16"/>
          <w:lang w:val="es-CR"/>
        </w:rPr>
      </w:pPr>
    </w:p>
    <w:p w14:paraId="081C8116" w14:textId="545D6D0A" w:rsidR="008F4AF5" w:rsidRPr="00787962" w:rsidRDefault="008F4AF5" w:rsidP="00F15035">
      <w:pPr>
        <w:pStyle w:val="Textoindependiente"/>
        <w:numPr>
          <w:ilvl w:val="0"/>
          <w:numId w:val="0"/>
        </w:numPr>
        <w:spacing w:line="240" w:lineRule="auto"/>
        <w:jc w:val="center"/>
        <w:rPr>
          <w:rFonts w:asciiTheme="minorHAnsi" w:hAnsiTheme="minorHAnsi" w:cstheme="minorHAnsi"/>
          <w:sz w:val="16"/>
          <w:szCs w:val="16"/>
          <w:lang w:val="es-CR"/>
        </w:rPr>
      </w:pPr>
    </w:p>
    <w:p w14:paraId="04232E0E" w14:textId="77777777" w:rsidR="00293493" w:rsidRPr="00787962" w:rsidRDefault="00293493">
      <w:pPr>
        <w:spacing w:line="240" w:lineRule="auto"/>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317D1C65" w:rsidR="00225437" w:rsidRPr="00473EFF" w:rsidRDefault="002B2D01" w:rsidP="00AD6B46">
      <w:pPr>
        <w:pStyle w:val="Ttulo3"/>
        <w:rPr>
          <w:lang w:val="es-CR"/>
        </w:rPr>
      </w:pPr>
      <w:bookmarkStart w:id="55" w:name="_Toc70497975"/>
      <w:bookmarkStart w:id="56" w:name="_Toc131912455"/>
      <w:bookmarkStart w:id="57" w:name="_Toc163371960"/>
      <w:bookmarkStart w:id="58" w:name="_Toc195505393"/>
      <w:bookmarkStart w:id="59" w:name="_Toc226364826"/>
      <w:bookmarkStart w:id="60" w:name="_Toc273448680"/>
      <w:bookmarkStart w:id="61" w:name="_Toc504486229"/>
      <w:r>
        <w:rPr>
          <w:lang w:val="es-CR"/>
        </w:rPr>
        <w:t>2</w:t>
      </w:r>
      <w:r w:rsidR="005D020A">
        <w:rPr>
          <w:lang w:val="es-CR"/>
        </w:rPr>
        <w:t>.2</w:t>
      </w:r>
      <w:r w:rsidR="00473EFF">
        <w:rPr>
          <w:lang w:val="es-CR"/>
        </w:rPr>
        <w:t>.3</w:t>
      </w:r>
      <w:r w:rsidR="00473EFF">
        <w:rPr>
          <w:lang w:val="es-CR"/>
        </w:rPr>
        <w:tab/>
      </w:r>
      <w:r w:rsidR="00225437" w:rsidRPr="00473EFF">
        <w:rPr>
          <w:lang w:val="es-CR"/>
        </w:rPr>
        <w:t>Cuenta 2 “MATERIALES Y SUMINISTROS”</w:t>
      </w:r>
      <w:bookmarkEnd w:id="55"/>
      <w:bookmarkEnd w:id="56"/>
      <w:bookmarkEnd w:id="57"/>
      <w:bookmarkEnd w:id="58"/>
      <w:bookmarkEnd w:id="59"/>
      <w:bookmarkEnd w:id="60"/>
      <w:bookmarkEnd w:id="61"/>
    </w:p>
    <w:p w14:paraId="64DC7899" w14:textId="77777777" w:rsidR="00225437" w:rsidRPr="00787962" w:rsidRDefault="00225437" w:rsidP="00225437">
      <w:pPr>
        <w:rPr>
          <w:rFonts w:asciiTheme="minorHAnsi" w:hAnsiTheme="minorHAnsi" w:cstheme="minorHAnsi"/>
          <w:sz w:val="24"/>
          <w:szCs w:val="24"/>
          <w:lang w:val="es-CR"/>
        </w:rPr>
      </w:pPr>
    </w:p>
    <w:p w14:paraId="64DC789A" w14:textId="77777777"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64DC789B" w14:textId="77777777" w:rsidR="00225437" w:rsidRPr="00787962" w:rsidRDefault="00225437" w:rsidP="00225437">
      <w:pPr>
        <w:spacing w:line="240" w:lineRule="auto"/>
        <w:rPr>
          <w:rFonts w:asciiTheme="minorHAnsi" w:hAnsiTheme="minorHAnsi" w:cstheme="minorHAnsi"/>
          <w:sz w:val="24"/>
          <w:szCs w:val="24"/>
          <w:lang w:val="es-CR"/>
        </w:rPr>
      </w:pPr>
    </w:p>
    <w:p w14:paraId="52A4FE32" w14:textId="77777777" w:rsidR="00F10E26" w:rsidRDefault="00225437" w:rsidP="00225437">
      <w:pPr>
        <w:rPr>
          <w:rFonts w:asciiTheme="minorHAnsi" w:hAnsiTheme="minorHAnsi" w:cstheme="minorHAnsi"/>
          <w:sz w:val="24"/>
          <w:szCs w:val="24"/>
          <w:lang w:val="es-CR"/>
        </w:rPr>
      </w:pPr>
      <w:r w:rsidRPr="00487DF0">
        <w:rPr>
          <w:rFonts w:asciiTheme="minorHAnsi" w:hAnsiTheme="minorHAnsi" w:cstheme="minorHAnsi"/>
          <w:sz w:val="24"/>
          <w:szCs w:val="24"/>
          <w:lang w:val="es-CR"/>
        </w:rPr>
        <w:t xml:space="preserve">Esta partida alcanzó una ejecución de </w:t>
      </w:r>
      <w:r w:rsidR="00907E68" w:rsidRPr="00487DF0">
        <w:rPr>
          <w:rFonts w:asciiTheme="minorHAnsi" w:hAnsiTheme="minorHAnsi" w:cstheme="minorHAnsi"/>
          <w:szCs w:val="24"/>
          <w:lang w:val="es-CR"/>
        </w:rPr>
        <w:t>¢</w:t>
      </w:r>
      <w:r w:rsidR="001A7E86" w:rsidRPr="00487DF0">
        <w:rPr>
          <w:rFonts w:asciiTheme="minorHAnsi" w:hAnsiTheme="minorHAnsi" w:cstheme="minorHAnsi"/>
          <w:sz w:val="24"/>
          <w:szCs w:val="24"/>
          <w:lang w:val="es-CR"/>
        </w:rPr>
        <w:t>10,1</w:t>
      </w:r>
      <w:r w:rsidR="00907E68" w:rsidRPr="00487DF0">
        <w:rPr>
          <w:rFonts w:asciiTheme="minorHAnsi" w:hAnsiTheme="minorHAnsi" w:cstheme="minorHAnsi"/>
          <w:sz w:val="24"/>
          <w:szCs w:val="24"/>
          <w:lang w:val="es-CR"/>
        </w:rPr>
        <w:t xml:space="preserve"> millones</w:t>
      </w:r>
      <w:r w:rsidR="007F099D" w:rsidRPr="00487DF0">
        <w:rPr>
          <w:rFonts w:asciiTheme="minorHAnsi" w:hAnsiTheme="minorHAnsi" w:cstheme="minorHAnsi"/>
          <w:sz w:val="24"/>
          <w:szCs w:val="24"/>
          <w:lang w:val="es-CR"/>
        </w:rPr>
        <w:t xml:space="preserve">, </w:t>
      </w:r>
      <w:r w:rsidRPr="00487DF0">
        <w:rPr>
          <w:rFonts w:asciiTheme="minorHAnsi" w:hAnsiTheme="minorHAnsi" w:cstheme="minorHAnsi"/>
          <w:sz w:val="24"/>
          <w:szCs w:val="24"/>
          <w:lang w:val="es-CR"/>
        </w:rPr>
        <w:t xml:space="preserve">lo que representa un </w:t>
      </w:r>
      <w:r w:rsidR="001A7E86" w:rsidRPr="00487DF0">
        <w:rPr>
          <w:rFonts w:asciiTheme="minorHAnsi" w:hAnsiTheme="minorHAnsi" w:cstheme="minorHAnsi"/>
          <w:sz w:val="24"/>
          <w:szCs w:val="24"/>
          <w:lang w:val="es-CR"/>
        </w:rPr>
        <w:t>50</w:t>
      </w:r>
      <w:r w:rsidRPr="00487DF0">
        <w:rPr>
          <w:rFonts w:asciiTheme="minorHAnsi" w:hAnsiTheme="minorHAnsi" w:cstheme="minorHAnsi"/>
          <w:sz w:val="24"/>
          <w:szCs w:val="24"/>
          <w:lang w:val="es-CR"/>
        </w:rPr>
        <w:t>% del total de recursos presupuestados en esta cuenta.</w:t>
      </w:r>
    </w:p>
    <w:p w14:paraId="0C8F150B" w14:textId="77777777" w:rsidR="00F10E26" w:rsidRDefault="00F10E26" w:rsidP="00225437">
      <w:pPr>
        <w:rPr>
          <w:rFonts w:asciiTheme="minorHAnsi" w:hAnsiTheme="minorHAnsi" w:cstheme="minorHAnsi"/>
          <w:sz w:val="24"/>
          <w:szCs w:val="24"/>
          <w:lang w:val="es-CR"/>
        </w:rPr>
      </w:pPr>
    </w:p>
    <w:p w14:paraId="4F5DDF8E" w14:textId="6F3CAD19" w:rsidR="00A37319" w:rsidRDefault="00A37319" w:rsidP="00225437">
      <w:pPr>
        <w:rPr>
          <w:rFonts w:asciiTheme="minorHAnsi" w:hAnsiTheme="minorHAnsi" w:cstheme="minorHAnsi"/>
          <w:sz w:val="24"/>
          <w:szCs w:val="24"/>
          <w:lang w:val="es-CR"/>
        </w:rPr>
      </w:pPr>
      <w:r>
        <w:rPr>
          <w:rFonts w:asciiTheme="minorHAnsi" w:hAnsiTheme="minorHAnsi" w:cstheme="minorHAnsi"/>
          <w:sz w:val="24"/>
          <w:szCs w:val="24"/>
          <w:lang w:val="es-CR"/>
        </w:rPr>
        <w:t>La ejecución de los rubros presupuestarios que conforman esta partida se realizó en pago estricto a las políticas de austeridad</w:t>
      </w:r>
      <w:r w:rsidR="00FF0D37">
        <w:rPr>
          <w:rFonts w:asciiTheme="minorHAnsi" w:hAnsiTheme="minorHAnsi" w:cstheme="minorHAnsi"/>
          <w:sz w:val="24"/>
          <w:szCs w:val="24"/>
          <w:lang w:val="es-CR"/>
        </w:rPr>
        <w:t xml:space="preserve"> establecidas por las altas autoridades</w:t>
      </w:r>
      <w:r>
        <w:rPr>
          <w:rFonts w:asciiTheme="minorHAnsi" w:hAnsiTheme="minorHAnsi" w:cstheme="minorHAnsi"/>
          <w:sz w:val="24"/>
          <w:szCs w:val="24"/>
          <w:lang w:val="es-CR"/>
        </w:rPr>
        <w:t xml:space="preserve">, procurando en todo momento controlar el gasto en suministros, sin que ello fuera en detrimento de la ejecución de las metas y objetivos de cada dependencia que conforman </w:t>
      </w:r>
      <w:r w:rsidR="000D22E0">
        <w:rPr>
          <w:rFonts w:asciiTheme="minorHAnsi" w:hAnsiTheme="minorHAnsi" w:cstheme="minorHAnsi"/>
          <w:sz w:val="24"/>
          <w:szCs w:val="24"/>
          <w:lang w:val="es-CR"/>
        </w:rPr>
        <w:t>SUPEN</w:t>
      </w:r>
      <w:r>
        <w:rPr>
          <w:rFonts w:asciiTheme="minorHAnsi" w:hAnsiTheme="minorHAnsi" w:cstheme="minorHAnsi"/>
          <w:sz w:val="24"/>
          <w:szCs w:val="24"/>
          <w:lang w:val="es-CR"/>
        </w:rPr>
        <w:t>.</w:t>
      </w:r>
    </w:p>
    <w:p w14:paraId="2193A876" w14:textId="77777777" w:rsidR="00A37319" w:rsidRDefault="00A37319" w:rsidP="00225437">
      <w:pPr>
        <w:rPr>
          <w:rFonts w:asciiTheme="minorHAnsi" w:hAnsiTheme="minorHAnsi" w:cstheme="minorHAnsi"/>
          <w:sz w:val="24"/>
          <w:szCs w:val="24"/>
          <w:lang w:val="es-CR"/>
        </w:rPr>
      </w:pPr>
    </w:p>
    <w:p w14:paraId="723F97DE" w14:textId="04784C8E" w:rsidR="00FF0D37" w:rsidRDefault="00FF0D37" w:rsidP="00225437">
      <w:pPr>
        <w:rPr>
          <w:rFonts w:asciiTheme="minorHAnsi" w:hAnsiTheme="minorHAnsi" w:cstheme="minorHAnsi"/>
          <w:sz w:val="24"/>
          <w:szCs w:val="24"/>
          <w:lang w:val="es-CR"/>
        </w:rPr>
      </w:pPr>
      <w:r>
        <w:rPr>
          <w:rFonts w:asciiTheme="minorHAnsi" w:hAnsiTheme="minorHAnsi" w:cstheme="minorHAnsi"/>
          <w:sz w:val="24"/>
          <w:szCs w:val="24"/>
          <w:lang w:val="es-CR"/>
        </w:rPr>
        <w:t>Como se muestra a continuación las cuentas que representan mayor porcenta</w:t>
      </w:r>
      <w:r w:rsidR="00B24475">
        <w:rPr>
          <w:rFonts w:asciiTheme="minorHAnsi" w:hAnsiTheme="minorHAnsi" w:cstheme="minorHAnsi"/>
          <w:sz w:val="24"/>
          <w:szCs w:val="24"/>
          <w:lang w:val="es-CR"/>
        </w:rPr>
        <w:t>je de ejecución son:</w:t>
      </w:r>
    </w:p>
    <w:p w14:paraId="161D91F8" w14:textId="77777777" w:rsidR="00B24475" w:rsidRDefault="00B24475" w:rsidP="00225437">
      <w:pPr>
        <w:rPr>
          <w:rFonts w:asciiTheme="minorHAnsi" w:hAnsiTheme="minorHAnsi" w:cstheme="minorHAnsi"/>
          <w:sz w:val="24"/>
          <w:szCs w:val="24"/>
          <w:lang w:val="es-CR"/>
        </w:rPr>
      </w:pPr>
    </w:p>
    <w:p w14:paraId="4F2E768F" w14:textId="14D2539C" w:rsidR="00FF0D37"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2.01.</w:t>
      </w:r>
      <w:r w:rsidR="000D24E0" w:rsidRPr="00FF0D37">
        <w:rPr>
          <w:rFonts w:asciiTheme="minorHAnsi" w:hAnsiTheme="minorHAnsi" w:cstheme="minorHAnsi"/>
          <w:sz w:val="24"/>
          <w:szCs w:val="24"/>
          <w:lang w:val="es-CR"/>
        </w:rPr>
        <w:t>01 Combustibles y lubricantes</w:t>
      </w:r>
      <w:r w:rsidR="00FF0D37">
        <w:rPr>
          <w:rFonts w:asciiTheme="minorHAnsi" w:hAnsiTheme="minorHAnsi" w:cstheme="minorHAnsi"/>
          <w:sz w:val="24"/>
          <w:szCs w:val="24"/>
          <w:lang w:val="es-CR"/>
        </w:rPr>
        <w:t xml:space="preserve"> con un 52% correspondiente a ₵567.418,00.</w:t>
      </w:r>
    </w:p>
    <w:p w14:paraId="35EE3A48" w14:textId="2C3279AB"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w:t>
      </w:r>
      <w:r w:rsidR="00FF0D37">
        <w:rPr>
          <w:rFonts w:asciiTheme="minorHAnsi" w:hAnsiTheme="minorHAnsi" w:cstheme="minorHAnsi"/>
          <w:sz w:val="24"/>
          <w:szCs w:val="24"/>
          <w:lang w:val="es-CR"/>
        </w:rPr>
        <w:t>0</w:t>
      </w:r>
      <w:r>
        <w:rPr>
          <w:rFonts w:asciiTheme="minorHAnsi" w:hAnsiTheme="minorHAnsi" w:cstheme="minorHAnsi"/>
          <w:sz w:val="24"/>
          <w:szCs w:val="24"/>
          <w:lang w:val="es-CR"/>
        </w:rPr>
        <w:t>1.</w:t>
      </w:r>
      <w:r w:rsidR="00FF0D37">
        <w:rPr>
          <w:rFonts w:asciiTheme="minorHAnsi" w:hAnsiTheme="minorHAnsi" w:cstheme="minorHAnsi"/>
          <w:sz w:val="24"/>
          <w:szCs w:val="24"/>
          <w:lang w:val="es-CR"/>
        </w:rPr>
        <w:t>02 Productos farmacéuticos y medicinas con un 100%</w:t>
      </w:r>
      <w:r w:rsidR="004B7111" w:rsidRPr="00FF0D37">
        <w:rPr>
          <w:rFonts w:asciiTheme="minorHAnsi" w:hAnsiTheme="minorHAnsi" w:cstheme="minorHAnsi"/>
          <w:sz w:val="24"/>
          <w:szCs w:val="24"/>
          <w:lang w:val="es-CR"/>
        </w:rPr>
        <w:t xml:space="preserve"> </w:t>
      </w:r>
      <w:r>
        <w:rPr>
          <w:rFonts w:asciiTheme="minorHAnsi" w:hAnsiTheme="minorHAnsi" w:cstheme="minorHAnsi"/>
          <w:sz w:val="24"/>
          <w:szCs w:val="24"/>
          <w:lang w:val="es-CR"/>
        </w:rPr>
        <w:t>que equivale a ₵449.240,00</w:t>
      </w:r>
    </w:p>
    <w:p w14:paraId="2600737B" w14:textId="7A555AB3"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 xml:space="preserve">2.02.03 Alimentos y bebidas con 73% que corresponde a ₵2.195.279,56. </w:t>
      </w:r>
    </w:p>
    <w:p w14:paraId="283112CC" w14:textId="63BC04CA" w:rsidR="00664E4A" w:rsidRDefault="00F15035" w:rsidP="006F6C6B">
      <w:pPr>
        <w:pStyle w:val="Prrafodelista"/>
        <w:numPr>
          <w:ilvl w:val="0"/>
          <w:numId w:val="15"/>
        </w:numPr>
        <w:ind w:left="426"/>
        <w:rPr>
          <w:rFonts w:asciiTheme="minorHAnsi" w:hAnsiTheme="minorHAnsi" w:cstheme="minorHAnsi"/>
          <w:sz w:val="24"/>
          <w:szCs w:val="24"/>
          <w:lang w:val="es-CR"/>
        </w:rPr>
      </w:pPr>
      <w:r w:rsidRPr="00FF0D37">
        <w:rPr>
          <w:rFonts w:asciiTheme="minorHAnsi" w:hAnsiTheme="minorHAnsi" w:cstheme="minorHAnsi"/>
          <w:sz w:val="24"/>
          <w:szCs w:val="24"/>
          <w:lang w:val="es-CR"/>
        </w:rPr>
        <w:t>2.99.03 Productos de papel, cartón e impresos</w:t>
      </w:r>
      <w:r w:rsidR="006F6C6B">
        <w:rPr>
          <w:rFonts w:asciiTheme="minorHAnsi" w:hAnsiTheme="minorHAnsi" w:cstheme="minorHAnsi"/>
          <w:sz w:val="24"/>
          <w:szCs w:val="24"/>
          <w:lang w:val="es-CR"/>
        </w:rPr>
        <w:t xml:space="preserve"> con 74% para ₵3.682.651,27</w:t>
      </w:r>
      <w:r w:rsidR="00664E4A" w:rsidRPr="00FF0D37">
        <w:rPr>
          <w:rFonts w:asciiTheme="minorHAnsi" w:hAnsiTheme="minorHAnsi" w:cstheme="minorHAnsi"/>
          <w:sz w:val="24"/>
          <w:szCs w:val="24"/>
          <w:lang w:val="es-CR"/>
        </w:rPr>
        <w:t>.</w:t>
      </w:r>
    </w:p>
    <w:p w14:paraId="3F109BEA" w14:textId="0AEC154C"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 xml:space="preserve">2.99.05 Útiles y materiales de limpieza con 74% </w:t>
      </w:r>
      <w:r w:rsidR="0073724F">
        <w:rPr>
          <w:rFonts w:asciiTheme="minorHAnsi" w:hAnsiTheme="minorHAnsi" w:cstheme="minorHAnsi"/>
          <w:sz w:val="24"/>
          <w:szCs w:val="24"/>
          <w:lang w:val="es-CR"/>
        </w:rPr>
        <w:t>que equivale a ₵1.118.701,74.</w:t>
      </w:r>
    </w:p>
    <w:p w14:paraId="58DCFA9C" w14:textId="7EA53287" w:rsidR="0073724F" w:rsidRPr="00FF0D37" w:rsidRDefault="0073724F"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2.99.06 Útiles y materiales de resguardo y seguridad con 67% por ₵200.619,91.</w:t>
      </w:r>
    </w:p>
    <w:p w14:paraId="48724CCA" w14:textId="77777777" w:rsidR="00664E4A" w:rsidRDefault="00664E4A" w:rsidP="00225437">
      <w:pPr>
        <w:rPr>
          <w:rFonts w:asciiTheme="minorHAnsi" w:hAnsiTheme="minorHAnsi" w:cstheme="minorHAnsi"/>
          <w:sz w:val="24"/>
          <w:szCs w:val="24"/>
          <w:lang w:val="es-CR"/>
        </w:rPr>
      </w:pPr>
    </w:p>
    <w:p w14:paraId="64DC789C" w14:textId="10742C38" w:rsidR="00225437" w:rsidRPr="00787962" w:rsidRDefault="002D762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Para la cuenta de “2.03.04 Materiales y productos </w:t>
      </w:r>
      <w:r w:rsidR="00664E4A">
        <w:rPr>
          <w:rFonts w:asciiTheme="minorHAnsi" w:hAnsiTheme="minorHAnsi" w:cstheme="minorHAnsi"/>
          <w:sz w:val="24"/>
          <w:szCs w:val="24"/>
          <w:lang w:val="es-CR"/>
        </w:rPr>
        <w:t>eléctrico</w:t>
      </w:r>
      <w:r w:rsidR="00B93662">
        <w:rPr>
          <w:rFonts w:asciiTheme="minorHAnsi" w:hAnsiTheme="minorHAnsi" w:cstheme="minorHAnsi"/>
          <w:sz w:val="24"/>
          <w:szCs w:val="24"/>
          <w:lang w:val="es-CR"/>
        </w:rPr>
        <w:t>s” la ejecución es de 38</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la ejecución depend</w:t>
      </w:r>
      <w:r w:rsidR="00B93662">
        <w:rPr>
          <w:rFonts w:asciiTheme="minorHAnsi" w:hAnsiTheme="minorHAnsi" w:cstheme="minorHAnsi"/>
          <w:sz w:val="24"/>
          <w:szCs w:val="24"/>
          <w:lang w:val="es-CR"/>
        </w:rPr>
        <w:t xml:space="preserve">ió </w:t>
      </w:r>
      <w:r w:rsidR="00571DB1" w:rsidRPr="00787962">
        <w:rPr>
          <w:rFonts w:asciiTheme="minorHAnsi" w:hAnsiTheme="minorHAnsi" w:cstheme="minorHAnsi"/>
          <w:sz w:val="24"/>
          <w:szCs w:val="24"/>
          <w:lang w:val="es-CR"/>
        </w:rPr>
        <w:t>del avance del proyecto de cambio de edificio.</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La cuenta “2.99.01 Útiles y materiales de oficina y cómputo” refleja una ejecución </w:t>
      </w:r>
      <w:r w:rsidR="00CB6B4F" w:rsidRPr="00787962">
        <w:rPr>
          <w:rFonts w:asciiTheme="minorHAnsi" w:hAnsiTheme="minorHAnsi" w:cstheme="minorHAnsi"/>
          <w:sz w:val="24"/>
          <w:szCs w:val="24"/>
          <w:lang w:val="es-CR"/>
        </w:rPr>
        <w:t xml:space="preserve">baja </w:t>
      </w:r>
      <w:r w:rsidR="00B93662">
        <w:rPr>
          <w:rFonts w:asciiTheme="minorHAnsi" w:hAnsiTheme="minorHAnsi" w:cstheme="minorHAnsi"/>
          <w:sz w:val="24"/>
          <w:szCs w:val="24"/>
          <w:lang w:val="es-CR"/>
        </w:rPr>
        <w:t>del 5</w:t>
      </w:r>
      <w:r w:rsidR="00571DB1" w:rsidRPr="00787962">
        <w:rPr>
          <w:rFonts w:asciiTheme="minorHAnsi" w:hAnsiTheme="minorHAnsi" w:cstheme="minorHAnsi"/>
          <w:sz w:val="24"/>
          <w:szCs w:val="24"/>
          <w:lang w:val="es-CR"/>
        </w:rPr>
        <w:t>%</w:t>
      </w:r>
      <w:r w:rsidR="00CB6B4F"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debido que </w:t>
      </w:r>
      <w:r w:rsidR="00487DF0">
        <w:rPr>
          <w:rFonts w:asciiTheme="minorHAnsi" w:hAnsiTheme="minorHAnsi" w:cstheme="minorHAnsi"/>
          <w:sz w:val="24"/>
          <w:szCs w:val="24"/>
          <w:lang w:val="es-CR"/>
        </w:rPr>
        <w:t xml:space="preserve">para este año no fue </w:t>
      </w:r>
      <w:r w:rsidR="00B93662">
        <w:rPr>
          <w:rFonts w:asciiTheme="minorHAnsi" w:hAnsiTheme="minorHAnsi" w:cstheme="minorHAnsi"/>
          <w:sz w:val="24"/>
          <w:szCs w:val="24"/>
          <w:lang w:val="es-CR"/>
        </w:rPr>
        <w:t>necesario la compra de dispositivos para hacer respaldo de los</w:t>
      </w:r>
      <w:r w:rsidR="00612FB0">
        <w:rPr>
          <w:rFonts w:asciiTheme="minorHAnsi" w:hAnsiTheme="minorHAnsi" w:cstheme="minorHAnsi"/>
          <w:sz w:val="24"/>
          <w:szCs w:val="24"/>
          <w:lang w:val="es-CR"/>
        </w:rPr>
        <w:t xml:space="preserve"> datos de los</w:t>
      </w:r>
      <w:r w:rsidR="00B93662">
        <w:rPr>
          <w:rFonts w:asciiTheme="minorHAnsi" w:hAnsiTheme="minorHAnsi" w:cstheme="minorHAnsi"/>
          <w:sz w:val="24"/>
          <w:szCs w:val="24"/>
          <w:lang w:val="es-CR"/>
        </w:rPr>
        <w:t xml:space="preserve"> servidores de información</w:t>
      </w:r>
      <w:r w:rsidR="00CB6B4F" w:rsidRPr="00787962">
        <w:rPr>
          <w:rFonts w:asciiTheme="minorHAnsi" w:hAnsiTheme="minorHAnsi" w:cstheme="minorHAnsi"/>
          <w:sz w:val="24"/>
          <w:szCs w:val="24"/>
          <w:lang w:val="es-CR"/>
        </w:rPr>
        <w:t>.</w:t>
      </w:r>
      <w:r w:rsidR="00571DB1" w:rsidRPr="00787962">
        <w:rPr>
          <w:rFonts w:asciiTheme="minorHAnsi" w:hAnsiTheme="minorHAnsi" w:cstheme="minorHAnsi"/>
          <w:sz w:val="24"/>
          <w:szCs w:val="24"/>
          <w:lang w:val="es-CR"/>
        </w:rPr>
        <w:t xml:space="preserve"> </w:t>
      </w:r>
    </w:p>
    <w:p w14:paraId="64DC789D" w14:textId="77777777" w:rsidR="00225437" w:rsidRPr="00787962" w:rsidRDefault="00225437" w:rsidP="00225437">
      <w:pPr>
        <w:spacing w:line="240" w:lineRule="auto"/>
        <w:rPr>
          <w:rFonts w:asciiTheme="minorHAnsi" w:hAnsiTheme="minorHAnsi" w:cstheme="minorHAnsi"/>
          <w:sz w:val="24"/>
          <w:szCs w:val="24"/>
          <w:lang w:val="es-CR"/>
        </w:rPr>
      </w:pPr>
    </w:p>
    <w:p w14:paraId="64DC789E" w14:textId="0D40C462" w:rsidR="00225437" w:rsidRPr="00787962" w:rsidRDefault="000F5573" w:rsidP="00225437">
      <w:pPr>
        <w:rPr>
          <w:rFonts w:asciiTheme="minorHAnsi" w:hAnsiTheme="minorHAnsi" w:cstheme="minorHAnsi"/>
          <w:sz w:val="24"/>
          <w:szCs w:val="24"/>
          <w:lang w:val="es-CR"/>
        </w:rPr>
      </w:pPr>
      <w:r>
        <w:rPr>
          <w:rFonts w:asciiTheme="minorHAnsi" w:hAnsiTheme="minorHAnsi" w:cstheme="minorHAnsi"/>
          <w:sz w:val="24"/>
          <w:szCs w:val="24"/>
          <w:lang w:val="es-CR"/>
        </w:rPr>
        <w:t>Para mayor detalle en el</w:t>
      </w:r>
      <w:r w:rsidR="00812DB2" w:rsidRPr="00787962">
        <w:rPr>
          <w:rFonts w:asciiTheme="minorHAnsi" w:hAnsiTheme="minorHAnsi" w:cstheme="minorHAnsi"/>
          <w:sz w:val="24"/>
          <w:szCs w:val="24"/>
          <w:lang w:val="es-CR"/>
        </w:rPr>
        <w:t xml:space="preserve"> </w:t>
      </w:r>
      <w:r>
        <w:rPr>
          <w:rFonts w:asciiTheme="minorHAnsi" w:hAnsiTheme="minorHAnsi" w:cstheme="minorHAnsi"/>
          <w:sz w:val="24"/>
          <w:szCs w:val="24"/>
          <w:lang w:val="es-CR"/>
        </w:rPr>
        <w:t xml:space="preserve">siguiente cuadro se </w:t>
      </w:r>
      <w:r w:rsidR="00225437" w:rsidRPr="00787962">
        <w:rPr>
          <w:rFonts w:asciiTheme="minorHAnsi" w:hAnsiTheme="minorHAnsi" w:cstheme="minorHAnsi"/>
          <w:sz w:val="24"/>
          <w:szCs w:val="24"/>
          <w:lang w:val="es-CR"/>
        </w:rPr>
        <w:t>presenta en detalle las sub-partidas que conforman la cuenta de Materiales y Suministros.</w:t>
      </w:r>
    </w:p>
    <w:p w14:paraId="4D3E9A18" w14:textId="77777777" w:rsidR="00907E68" w:rsidRPr="00787962" w:rsidRDefault="00907E68" w:rsidP="00225437">
      <w:pPr>
        <w:rPr>
          <w:rFonts w:asciiTheme="minorHAnsi" w:hAnsiTheme="minorHAnsi" w:cstheme="minorHAnsi"/>
          <w:sz w:val="24"/>
          <w:szCs w:val="24"/>
          <w:lang w:val="es-CR"/>
        </w:rPr>
      </w:pPr>
    </w:p>
    <w:p w14:paraId="64DC78A0" w14:textId="1BCA26FF" w:rsidR="00225437" w:rsidRPr="00787962" w:rsidRDefault="00225437" w:rsidP="00AD6B46">
      <w:pPr>
        <w:pStyle w:val="Ttulo3"/>
        <w:rPr>
          <w:lang w:val="es-CR"/>
        </w:rPr>
      </w:pPr>
      <w:bookmarkStart w:id="62" w:name="_Toc504486230"/>
      <w:r w:rsidRPr="00787962">
        <w:rPr>
          <w:lang w:val="es-CR"/>
        </w:rPr>
        <w:t xml:space="preserve">Detalle de la cuenta </w:t>
      </w:r>
      <w:r w:rsidR="00C65C67" w:rsidRPr="00787962">
        <w:rPr>
          <w:lang w:val="es-CR"/>
        </w:rPr>
        <w:t xml:space="preserve">correspondiente a </w:t>
      </w:r>
      <w:r w:rsidRPr="00787962">
        <w:rPr>
          <w:lang w:val="es-CR"/>
        </w:rPr>
        <w:t>Materiales y Suministros</w:t>
      </w:r>
      <w:bookmarkEnd w:id="62"/>
    </w:p>
    <w:p w14:paraId="1F1FA254" w14:textId="77777777" w:rsidR="006868A3" w:rsidRPr="00787962"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74F15228" w:rsidR="00235FFA" w:rsidRPr="000F5573" w:rsidRDefault="00F15035" w:rsidP="00A775D5">
      <w:pPr>
        <w:pStyle w:val="Textoindependiente"/>
        <w:numPr>
          <w:ilvl w:val="0"/>
          <w:numId w:val="0"/>
        </w:numPr>
        <w:tabs>
          <w:tab w:val="left" w:pos="1134"/>
          <w:tab w:val="decimal" w:pos="7088"/>
        </w:tabs>
        <w:spacing w:line="240" w:lineRule="auto"/>
        <w:ind w:left="142"/>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B45046" w:rsidRPr="000F5573">
        <w:rPr>
          <w:rFonts w:asciiTheme="minorHAnsi" w:hAnsiTheme="minorHAnsi" w:cstheme="minorHAnsi"/>
          <w:sz w:val="22"/>
          <w:szCs w:val="22"/>
          <w:lang w:val="es-CR"/>
        </w:rPr>
        <w:t>1</w:t>
      </w:r>
      <w:r w:rsidR="005D020A">
        <w:rPr>
          <w:rFonts w:asciiTheme="minorHAnsi" w:hAnsiTheme="minorHAnsi" w:cstheme="minorHAnsi"/>
          <w:sz w:val="22"/>
          <w:szCs w:val="22"/>
          <w:lang w:val="es-CR"/>
        </w:rPr>
        <w:t>3</w:t>
      </w:r>
      <w:r w:rsidRPr="000F5573">
        <w:rPr>
          <w:rFonts w:asciiTheme="minorHAnsi" w:hAnsiTheme="minorHAnsi" w:cstheme="minorHAnsi"/>
          <w:sz w:val="22"/>
          <w:szCs w:val="22"/>
          <w:lang w:val="es-CR"/>
        </w:rPr>
        <w:t xml:space="preserve">: </w:t>
      </w:r>
      <w:r w:rsidR="00235FFA" w:rsidRPr="000F5573">
        <w:rPr>
          <w:rFonts w:asciiTheme="minorHAnsi" w:hAnsiTheme="minorHAnsi" w:cstheme="minorHAnsi"/>
          <w:b/>
          <w:sz w:val="22"/>
          <w:szCs w:val="22"/>
          <w:lang w:val="es-CR"/>
        </w:rPr>
        <w:t>Detalle de ejecución por cuenta</w:t>
      </w:r>
    </w:p>
    <w:p w14:paraId="64DC78A1" w14:textId="77777777" w:rsidR="00225437" w:rsidRPr="00A775D5" w:rsidRDefault="00225437" w:rsidP="00A775D5">
      <w:pPr>
        <w:spacing w:line="240" w:lineRule="auto"/>
        <w:ind w:left="142"/>
        <w:jc w:val="left"/>
        <w:rPr>
          <w:rFonts w:asciiTheme="minorHAnsi" w:hAnsiTheme="minorHAnsi" w:cstheme="minorHAnsi"/>
          <w:sz w:val="12"/>
          <w:szCs w:val="16"/>
          <w:lang w:val="es-CR"/>
        </w:rPr>
      </w:pPr>
      <w:r w:rsidRPr="00A775D5">
        <w:rPr>
          <w:rFonts w:asciiTheme="minorHAnsi" w:hAnsiTheme="minorHAnsi" w:cstheme="minorHAnsi"/>
          <w:sz w:val="20"/>
          <w:szCs w:val="22"/>
          <w:lang w:val="es-CR"/>
        </w:rPr>
        <w:t>Montos en colones</w:t>
      </w:r>
    </w:p>
    <w:tbl>
      <w:tblPr>
        <w:tblW w:w="9219"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89"/>
        <w:gridCol w:w="2623"/>
        <w:gridCol w:w="1350"/>
        <w:gridCol w:w="1060"/>
        <w:gridCol w:w="1246"/>
        <w:gridCol w:w="1179"/>
        <w:gridCol w:w="972"/>
      </w:tblGrid>
      <w:tr w:rsidR="007758FE" w:rsidRPr="00457FF3" w14:paraId="64DC78AA" w14:textId="77777777" w:rsidTr="00487DF0">
        <w:trPr>
          <w:trHeight w:val="405"/>
          <w:tblHeader/>
        </w:trPr>
        <w:tc>
          <w:tcPr>
            <w:tcW w:w="7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3" w14:textId="1CA8DD1D" w:rsidR="007758FE" w:rsidRPr="00457FF3" w:rsidRDefault="007758FE" w:rsidP="007758FE">
            <w:pPr>
              <w:spacing w:line="240" w:lineRule="auto"/>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CÓDIGO</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4" w14:textId="0A8DDA2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DESCRIPCIÓN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5" w14:textId="079AD0F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PRESUPUESTO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6" w14:textId="7DAED01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GASTO REAL</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7" w14:textId="7A250703"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COMPROMISO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8" w14:textId="02EF7862" w:rsidR="007758FE" w:rsidRPr="00457FF3" w:rsidRDefault="00562D38"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 xml:space="preserve">GASTO </w:t>
            </w:r>
            <w:r w:rsidRPr="00457FF3">
              <w:rPr>
                <w:rFonts w:ascii="Calibri Light" w:hAnsi="Calibri Light" w:cs="Calibri Light"/>
                <w:b/>
                <w:color w:val="000000"/>
                <w:sz w:val="18"/>
                <w:szCs w:val="18"/>
                <w:lang w:val="es-CR"/>
              </w:rPr>
              <w:br/>
            </w:r>
            <w:r w:rsidR="004B7111" w:rsidRPr="00457FF3">
              <w:rPr>
                <w:rFonts w:ascii="Calibri Light" w:hAnsi="Calibri Light" w:cs="Calibri Light"/>
                <w:b/>
                <w:color w:val="000000"/>
                <w:sz w:val="18"/>
                <w:szCs w:val="18"/>
                <w:lang w:val="es-CR"/>
              </w:rPr>
              <w:t>I</w:t>
            </w:r>
            <w:r w:rsidR="00487DF0" w:rsidRPr="00457FF3">
              <w:rPr>
                <w:rFonts w:ascii="Calibri Light" w:hAnsi="Calibri Light" w:cs="Calibri Light"/>
                <w:b/>
                <w:color w:val="000000"/>
                <w:sz w:val="18"/>
                <w:szCs w:val="18"/>
                <w:lang w:val="es-CR"/>
              </w:rPr>
              <w:t>V</w:t>
            </w:r>
            <w:r w:rsidR="007758FE" w:rsidRPr="00457FF3">
              <w:rPr>
                <w:rFonts w:ascii="Calibri Light" w:hAnsi="Calibri Light" w:cs="Calibri Light"/>
                <w:b/>
                <w:color w:val="000000"/>
                <w:sz w:val="18"/>
                <w:szCs w:val="18"/>
                <w:lang w:val="es-CR"/>
              </w:rPr>
              <w:t xml:space="preserve"> TRIMESTRE</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9" w14:textId="727BA9A5"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 xml:space="preserve">% DE EJECUCIÓN REAL </w:t>
            </w:r>
          </w:p>
        </w:tc>
      </w:tr>
      <w:tr w:rsidR="007758FE" w:rsidRPr="00A37319" w14:paraId="64DC78B2" w14:textId="77777777" w:rsidTr="00487DF0">
        <w:trPr>
          <w:trHeight w:val="428"/>
          <w:tblHeader/>
        </w:trPr>
        <w:tc>
          <w:tcPr>
            <w:tcW w:w="7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B"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highlight w:val="yellow"/>
                <w:lang w:val="es-CR"/>
                <w:rPrChange w:id="63" w:author="alvaradovs" w:date="2007-04-12T14:26:00Z">
                  <w:rPr>
                    <w:rFonts w:cs="Arial"/>
                    <w:b/>
                    <w:bCs/>
                    <w:color w:val="000000"/>
                    <w:sz w:val="16"/>
                    <w:szCs w:val="16"/>
                  </w:rPr>
                </w:rPrChange>
              </w:rPr>
            </w:pPr>
          </w:p>
        </w:tc>
        <w:tc>
          <w:tcPr>
            <w:tcW w:w="262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C"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highlight w:val="yellow"/>
                <w:lang w:val="es-CR"/>
                <w:rPrChange w:id="64" w:author="alvaradovs" w:date="2007-04-12T14:26:00Z">
                  <w:rPr>
                    <w:rFonts w:cs="Arial"/>
                    <w:b/>
                    <w:bCs/>
                    <w:color w:val="000000"/>
                    <w:sz w:val="16"/>
                    <w:szCs w:val="16"/>
                  </w:rPr>
                </w:rPrChange>
              </w:rPr>
            </w:pPr>
          </w:p>
        </w:tc>
        <w:tc>
          <w:tcPr>
            <w:tcW w:w="135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D"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65" w:author="alvaradovs" w:date="2007-04-12T14:26:00Z">
                  <w:rPr>
                    <w:rFonts w:cs="Arial"/>
                    <w:b/>
                    <w:color w:val="000000"/>
                    <w:sz w:val="16"/>
                    <w:szCs w:val="16"/>
                  </w:rPr>
                </w:rPrChange>
              </w:rPr>
            </w:pPr>
          </w:p>
        </w:tc>
        <w:tc>
          <w:tcPr>
            <w:tcW w:w="10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E"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66" w:author="alvaradovs" w:date="2007-04-12T14:26:00Z">
                  <w:rPr>
                    <w:rFonts w:cs="Arial"/>
                    <w:b/>
                    <w:color w:val="000000"/>
                    <w:sz w:val="16"/>
                    <w:szCs w:val="16"/>
                  </w:rPr>
                </w:rPrChange>
              </w:rPr>
            </w:pPr>
          </w:p>
        </w:tc>
        <w:tc>
          <w:tcPr>
            <w:tcW w:w="1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F"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67" w:author="alvaradovs" w:date="2007-04-12T14:26:00Z">
                  <w:rPr>
                    <w:rFonts w:cs="Arial"/>
                    <w:b/>
                    <w:color w:val="000000"/>
                    <w:sz w:val="16"/>
                    <w:szCs w:val="16"/>
                  </w:rPr>
                </w:rPrChange>
              </w:rPr>
            </w:pPr>
          </w:p>
        </w:tc>
        <w:tc>
          <w:tcPr>
            <w:tcW w:w="11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0"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68" w:author="alvaradovs" w:date="2007-04-12T14:26:00Z">
                  <w:rPr>
                    <w:rFonts w:cs="Arial"/>
                    <w:b/>
                    <w:color w:val="000000"/>
                    <w:sz w:val="16"/>
                    <w:szCs w:val="16"/>
                  </w:rPr>
                </w:rPrChange>
              </w:rPr>
            </w:pPr>
          </w:p>
        </w:tc>
        <w:tc>
          <w:tcPr>
            <w:tcW w:w="97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1"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69" w:author="alvaradovs" w:date="2007-04-12T14:26:00Z">
                  <w:rPr>
                    <w:rFonts w:cs="Arial"/>
                    <w:b/>
                    <w:color w:val="000000"/>
                    <w:sz w:val="16"/>
                    <w:szCs w:val="16"/>
                  </w:rPr>
                </w:rPrChange>
              </w:rPr>
            </w:pPr>
          </w:p>
        </w:tc>
      </w:tr>
      <w:tr w:rsidR="00487DF0" w:rsidRPr="00487DF0" w14:paraId="64DC78BA" w14:textId="77777777" w:rsidTr="00487DF0">
        <w:trPr>
          <w:trHeight w:val="368"/>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3" w14:textId="2CA5D76C" w:rsidR="00487DF0" w:rsidRPr="00487DF0" w:rsidRDefault="00487DF0" w:rsidP="00487DF0">
            <w:pPr>
              <w:spacing w:line="240" w:lineRule="auto"/>
              <w:rPr>
                <w:rFonts w:ascii="Calibri Light" w:hAnsi="Calibri Light" w:cs="Calibri Light"/>
                <w:sz w:val="16"/>
                <w:szCs w:val="16"/>
              </w:rPr>
            </w:pPr>
            <w:r w:rsidRPr="00487DF0">
              <w:rPr>
                <w:rFonts w:ascii="Calibri Light" w:hAnsi="Calibri Light" w:cs="Calibri Light"/>
                <w:sz w:val="16"/>
                <w:szCs w:val="16"/>
              </w:rPr>
              <w:t>2.01.01</w:t>
            </w:r>
          </w:p>
        </w:tc>
        <w:tc>
          <w:tcPr>
            <w:tcW w:w="2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4" w14:textId="28AC8F0E" w:rsidR="00487DF0" w:rsidRPr="00487DF0" w:rsidRDefault="00487DF0" w:rsidP="00487DF0">
            <w:pPr>
              <w:spacing w:line="240" w:lineRule="auto"/>
              <w:rPr>
                <w:rFonts w:ascii="Calibri Light" w:hAnsi="Calibri Light" w:cs="Calibri Light"/>
                <w:sz w:val="16"/>
                <w:szCs w:val="16"/>
              </w:rPr>
            </w:pPr>
            <w:r w:rsidRPr="00487DF0">
              <w:rPr>
                <w:rFonts w:ascii="Calibri Light" w:hAnsi="Calibri Light" w:cs="Calibri Light"/>
                <w:sz w:val="16"/>
                <w:szCs w:val="16"/>
              </w:rPr>
              <w:t>Combustibles y lubricantes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5" w14:textId="2D1B0C76"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1,100,000</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6" w14:textId="51E9D80C"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567,418</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7" w14:textId="3BBE14F1"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396,000</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8" w14:textId="675AF67A"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963,418</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9" w14:textId="6D54CC9B" w:rsidR="00487DF0" w:rsidRPr="00487DF0" w:rsidRDefault="00487DF0" w:rsidP="00487DF0">
            <w:pPr>
              <w:spacing w:line="240" w:lineRule="auto"/>
              <w:jc w:val="center"/>
              <w:rPr>
                <w:rFonts w:ascii="Calibri Light" w:hAnsi="Calibri Light" w:cs="Calibri Light"/>
                <w:sz w:val="16"/>
                <w:szCs w:val="16"/>
              </w:rPr>
            </w:pPr>
            <w:r w:rsidRPr="00487DF0">
              <w:rPr>
                <w:rFonts w:ascii="Calibri Light" w:hAnsi="Calibri Light" w:cs="Calibri Light"/>
                <w:sz w:val="16"/>
                <w:szCs w:val="16"/>
              </w:rPr>
              <w:t>88%</w:t>
            </w:r>
          </w:p>
        </w:tc>
      </w:tr>
      <w:tr w:rsidR="00487DF0" w:rsidRPr="00787962" w14:paraId="64DC78C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B" w14:textId="7C74E42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2.01.02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C" w14:textId="6833AAB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Productos farmacéuticos y medicinas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D" w14:textId="17D2DD5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E" w14:textId="3875F05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449,240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F" w14:textId="4F3DD59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0" w14:textId="22A40BE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449,240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1" w14:textId="7651D03C"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100%</w:t>
            </w:r>
          </w:p>
        </w:tc>
      </w:tr>
      <w:tr w:rsidR="00487DF0" w:rsidRPr="00787962" w14:paraId="64DC78C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3" w14:textId="311D58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2.01.04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4" w14:textId="46AA37D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Tintas, pintura y diluyentes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5" w14:textId="678239E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1,030,000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6" w14:textId="604D0A2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272,616</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7" w14:textId="469F3A4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8" w14:textId="5574420E"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272,616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9" w14:textId="56D3407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26%</w:t>
            </w:r>
          </w:p>
        </w:tc>
      </w:tr>
      <w:tr w:rsidR="00487DF0" w:rsidRPr="00787962" w14:paraId="64DC78D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B" w14:textId="13A3617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2.02.03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C" w14:textId="06DAF746"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Alimentos y bebidas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D" w14:textId="37FFE99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E" w14:textId="5F6EA8F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2,195,280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F" w14:textId="69A7BA8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0" w14:textId="136F90A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2,195,280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1" w14:textId="41458ECB"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73%</w:t>
            </w:r>
          </w:p>
        </w:tc>
      </w:tr>
      <w:tr w:rsidR="00487DF0" w:rsidRPr="00787962" w14:paraId="64DC78D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3" w14:textId="71D697CD"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4" w14:textId="6AAFDAE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Materiales y productos metálicos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5" w14:textId="1F4D9C5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6" w14:textId="00BFC1F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14,910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7" w14:textId="758771A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8" w14:textId="1564095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14,910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9" w14:textId="325D1C60"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6%</w:t>
            </w:r>
          </w:p>
        </w:tc>
      </w:tr>
      <w:tr w:rsidR="00487DF0" w:rsidRPr="00787962" w14:paraId="64DC78E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B" w14:textId="2A09F9A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C" w14:textId="663DF08E"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Materiales y productos eléctricos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D" w14:textId="1B11D38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E" w14:textId="575B1DE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498,101</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F" w14:textId="00FFD27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0" w14:textId="3DE5A6C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498,101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1" w14:textId="6F4B3C2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38%</w:t>
            </w:r>
          </w:p>
        </w:tc>
      </w:tr>
      <w:tr w:rsidR="00487DF0" w:rsidRPr="00787962" w14:paraId="64DC78E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3" w14:textId="178B882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4" w14:textId="33583443" w:rsidR="00487DF0" w:rsidRPr="00487DF0" w:rsidRDefault="00C53DDE" w:rsidP="00487DF0">
            <w:pPr>
              <w:spacing w:line="240" w:lineRule="auto"/>
              <w:rPr>
                <w:rFonts w:ascii="Calibri Light" w:hAnsi="Calibri Light" w:cs="Calibri Light"/>
                <w:color w:val="000000"/>
                <w:sz w:val="16"/>
                <w:szCs w:val="16"/>
                <w:lang w:val="es-CR"/>
              </w:rPr>
            </w:pPr>
            <w:r>
              <w:rPr>
                <w:rFonts w:ascii="Calibri Light" w:hAnsi="Calibri Light" w:cs="Calibri Light"/>
                <w:sz w:val="16"/>
                <w:szCs w:val="16"/>
              </w:rPr>
              <w:t>Materiales y productos p</w:t>
            </w:r>
            <w:r w:rsidR="00487DF0" w:rsidRPr="00487DF0">
              <w:rPr>
                <w:rFonts w:ascii="Calibri Light" w:hAnsi="Calibri Light" w:cs="Calibri Light"/>
                <w:sz w:val="16"/>
                <w:szCs w:val="16"/>
              </w:rPr>
              <w:t>lásticos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5" w14:textId="6E69DB5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6" w14:textId="0043EA6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7" w14:textId="0C77A5A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8" w14:textId="7A9259D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9" w14:textId="5C11D3E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0%</w:t>
            </w:r>
          </w:p>
        </w:tc>
      </w:tr>
      <w:tr w:rsidR="00487DF0" w:rsidRPr="00787962" w14:paraId="64DC78F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B" w14:textId="4A77F0F4"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C" w14:textId="68B6B4F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Otros materiales y productos de uso en la construcción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D" w14:textId="7ADE55E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E" w14:textId="0D97F0E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17,598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F" w14:textId="02DAD0D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0" w14:textId="20999EF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17,598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1" w14:textId="2D107814"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8F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3" w14:textId="579E236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2.04.01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4" w14:textId="33F06FA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Herramientas e instrumentos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5" w14:textId="30C3209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6" w14:textId="5933194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6,939</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7" w14:textId="4B2D7F8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8" w14:textId="3A31529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6,939</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9" w14:textId="1AD66491"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90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B" w14:textId="08872A0D"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2.04.02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C" w14:textId="6F0174A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Repuestos y accesorios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D" w14:textId="3BA5CBA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E" w14:textId="6ACC212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223,040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F" w14:textId="1787CA4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0" w14:textId="5150D8E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223,040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1" w14:textId="46A7E2F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37%</w:t>
            </w:r>
          </w:p>
        </w:tc>
      </w:tr>
      <w:tr w:rsidR="00487DF0" w:rsidRPr="00787962" w14:paraId="64DC790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3" w14:textId="1CB8E4D8"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4" w14:textId="58F3744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oficina y cómputo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5" w14:textId="1030881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1,950,000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6" w14:textId="45BD88D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105,634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7" w14:textId="640BBE4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8" w14:textId="42FCADB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105,634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9" w14:textId="10E68239"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91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B" w14:textId="0BE3DE81"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C" w14:textId="6CB2EF2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médicos, hospitalarios y de investigación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D" w14:textId="621350E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E" w14:textId="7DA1A8B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12,900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F" w14:textId="6B0D7EC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0" w14:textId="3C2F8EC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12,900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1" w14:textId="76702EDE"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4%</w:t>
            </w:r>
          </w:p>
        </w:tc>
      </w:tr>
      <w:tr w:rsidR="00487DF0" w:rsidRPr="00787962" w14:paraId="64DC791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3" w14:textId="7BD086E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4" w14:textId="4A66485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Productos de papel, cartón e impresos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5" w14:textId="53A7546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6" w14:textId="7D38A8A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3,682,651</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7" w14:textId="36BAAC8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8" w14:textId="1597185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3,682,651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9" w14:textId="15BE8D94"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74%</w:t>
            </w:r>
          </w:p>
        </w:tc>
      </w:tr>
      <w:tr w:rsidR="00487DF0" w:rsidRPr="00787962" w14:paraId="64DC792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B" w14:textId="19983A48"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C" w14:textId="33226E0A"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Textiles y vestuario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D" w14:textId="30E415C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E" w14:textId="4727988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330,406</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F" w14:textId="66DFC20E"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0" w14:textId="61CEDF9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330,406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1" w14:textId="23FD12E8"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31%</w:t>
            </w:r>
          </w:p>
        </w:tc>
      </w:tr>
      <w:tr w:rsidR="00487DF0" w:rsidRPr="00787962" w14:paraId="64DC792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3" w14:textId="0D26401E"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2.99.05</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4" w14:textId="4ECC5603"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limpieza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5" w14:textId="4BA524D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1,510,000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6" w14:textId="719F97B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1,118,702</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7" w14:textId="15FDC44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8" w14:textId="4DEE4ED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1,118,702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9" w14:textId="5D70C988"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74%</w:t>
            </w:r>
          </w:p>
        </w:tc>
      </w:tr>
      <w:tr w:rsidR="00487DF0" w:rsidRPr="00787962" w14:paraId="64DC793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B" w14:textId="027AED6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C" w14:textId="3281782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resguardo y seguridad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D" w14:textId="1667962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E" w14:textId="50A7B13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200,620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F" w14:textId="490B9F1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0" w14:textId="0647864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200,620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1" w14:textId="777087F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67%</w:t>
            </w:r>
          </w:p>
        </w:tc>
      </w:tr>
      <w:tr w:rsidR="00487DF0" w:rsidRPr="00787962" w14:paraId="64DC793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3" w14:textId="5F9594D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2.99.07</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4" w14:textId="44C88B51"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cocina y comedor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5" w14:textId="6EDE221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460,000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6" w14:textId="438B8C3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202,760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7" w14:textId="732CC41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8" w14:textId="745D86A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202,760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9" w14:textId="2161433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44%</w:t>
            </w:r>
          </w:p>
        </w:tc>
      </w:tr>
      <w:tr w:rsidR="00487DF0" w:rsidRPr="00787962" w14:paraId="64DC794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B" w14:textId="739856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C" w14:textId="4F3F1B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Otros útiles, 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D" w14:textId="5C6AAD1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E" w14:textId="3992E81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216,585</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F" w14:textId="23AD65D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40" w14:textId="1F441AD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216,585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41" w14:textId="6C1B77E0"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22%</w:t>
            </w:r>
          </w:p>
        </w:tc>
      </w:tr>
      <w:tr w:rsidR="00487DF0" w:rsidRPr="00787962" w14:paraId="47DD7BEB" w14:textId="77777777" w:rsidTr="00487DF0">
        <w:trPr>
          <w:trHeight w:val="288"/>
        </w:trPr>
        <w:tc>
          <w:tcPr>
            <w:tcW w:w="34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4ADF1A82" w14:textId="5CDC6B3D" w:rsidR="00487DF0" w:rsidRPr="00487DF0" w:rsidRDefault="00C53DDE" w:rsidP="00487DF0">
            <w:pPr>
              <w:spacing w:line="240" w:lineRule="auto"/>
              <w:rPr>
                <w:rFonts w:ascii="Calibri Light" w:hAnsi="Calibri Light" w:cs="Calibri Light"/>
                <w:color w:val="000000"/>
                <w:sz w:val="16"/>
                <w:szCs w:val="16"/>
                <w:lang w:val="es-CR"/>
              </w:rPr>
            </w:pPr>
            <w:r>
              <w:rPr>
                <w:rFonts w:ascii="Calibri Light" w:hAnsi="Calibri Light" w:cs="Calibri Light"/>
                <w:b/>
                <w:bCs/>
                <w:color w:val="000000"/>
                <w:sz w:val="16"/>
                <w:szCs w:val="16"/>
              </w:rPr>
              <w:t>Total G</w:t>
            </w:r>
            <w:r w:rsidR="00487DF0" w:rsidRPr="00487DF0">
              <w:rPr>
                <w:rFonts w:ascii="Calibri Light" w:hAnsi="Calibri Light" w:cs="Calibri Light"/>
                <w:b/>
                <w:bCs/>
                <w:color w:val="000000"/>
                <w:sz w:val="16"/>
                <w:szCs w:val="16"/>
              </w:rPr>
              <w:t>eneral</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6C08C21E" w14:textId="725E2ED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20,030,000</w:t>
            </w:r>
          </w:p>
        </w:tc>
        <w:tc>
          <w:tcPr>
            <w:tcW w:w="10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70BF163" w14:textId="48A9809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10,115,401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10381971" w14:textId="190526C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396,000</w:t>
            </w:r>
          </w:p>
        </w:tc>
        <w:tc>
          <w:tcPr>
            <w:tcW w:w="117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5334B98C" w14:textId="088CB2D6" w:rsidR="00487DF0" w:rsidRPr="004317A0" w:rsidRDefault="00487DF0" w:rsidP="00487DF0">
            <w:pPr>
              <w:spacing w:line="240" w:lineRule="auto"/>
              <w:jc w:val="right"/>
              <w:rPr>
                <w:rFonts w:ascii="Calibri Light" w:hAnsi="Calibri Light" w:cs="Calibri Light"/>
                <w:b/>
                <w:color w:val="000000"/>
                <w:sz w:val="16"/>
                <w:szCs w:val="16"/>
                <w:lang w:val="es-CR"/>
              </w:rPr>
            </w:pPr>
            <w:r w:rsidRPr="004317A0">
              <w:rPr>
                <w:rFonts w:ascii="Calibri Light" w:hAnsi="Calibri Light" w:cs="Calibri Light"/>
                <w:b/>
                <w:sz w:val="16"/>
                <w:szCs w:val="16"/>
              </w:rPr>
              <w:t>10,511,401</w:t>
            </w:r>
          </w:p>
        </w:tc>
        <w:tc>
          <w:tcPr>
            <w:tcW w:w="97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8BF243A" w14:textId="05DFAD58" w:rsidR="00487DF0" w:rsidRPr="004317A0" w:rsidRDefault="00487DF0" w:rsidP="00487DF0">
            <w:pPr>
              <w:spacing w:line="240" w:lineRule="auto"/>
              <w:jc w:val="center"/>
              <w:rPr>
                <w:rFonts w:ascii="Calibri Light" w:hAnsi="Calibri Light" w:cs="Calibri Light"/>
                <w:b/>
                <w:color w:val="000000"/>
                <w:sz w:val="16"/>
                <w:szCs w:val="16"/>
                <w:lang w:val="es-CR"/>
              </w:rPr>
            </w:pPr>
            <w:r w:rsidRPr="004317A0">
              <w:rPr>
                <w:rFonts w:ascii="Calibri Light" w:hAnsi="Calibri Light" w:cs="Calibri Light"/>
                <w:b/>
                <w:sz w:val="16"/>
                <w:szCs w:val="16"/>
              </w:rPr>
              <w:t>52%</w:t>
            </w:r>
          </w:p>
        </w:tc>
      </w:tr>
    </w:tbl>
    <w:p w14:paraId="0FC94565" w14:textId="1A159B5E" w:rsidR="00D45037" w:rsidRPr="00787962" w:rsidRDefault="00D45037" w:rsidP="003C0CF7">
      <w:pPr>
        <w:rPr>
          <w:rFonts w:asciiTheme="minorHAnsi" w:hAnsiTheme="minorHAnsi" w:cstheme="minorHAnsi"/>
          <w:lang w:val="es-CR"/>
        </w:rPr>
      </w:pPr>
      <w:bookmarkStart w:id="70" w:name="_Toc70497976"/>
      <w:bookmarkStart w:id="71" w:name="_Toc131912456"/>
      <w:bookmarkStart w:id="72" w:name="_Toc163371961"/>
      <w:bookmarkStart w:id="73" w:name="_Toc195505394"/>
      <w:bookmarkStart w:id="74" w:name="_Toc226364827"/>
      <w:bookmarkStart w:id="75" w:name="_Toc273448681"/>
    </w:p>
    <w:p w14:paraId="49F6182D" w14:textId="77777777" w:rsidR="00D45037" w:rsidRPr="00787962" w:rsidRDefault="00D45037">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46A835C2" w:rsidR="00225437" w:rsidRPr="00473EFF" w:rsidRDefault="002B2D01" w:rsidP="00AD6B46">
      <w:pPr>
        <w:pStyle w:val="Ttulo3"/>
        <w:rPr>
          <w:lang w:val="es-CR"/>
        </w:rPr>
      </w:pPr>
      <w:bookmarkStart w:id="76" w:name="_Toc504486231"/>
      <w:r>
        <w:rPr>
          <w:lang w:val="es-CR"/>
        </w:rPr>
        <w:t>2</w:t>
      </w:r>
      <w:r w:rsidR="005D020A">
        <w:rPr>
          <w:lang w:val="es-CR"/>
        </w:rPr>
        <w:t>.2</w:t>
      </w:r>
      <w:r w:rsidR="00473EFF">
        <w:rPr>
          <w:lang w:val="es-CR"/>
        </w:rPr>
        <w:t>.4</w:t>
      </w:r>
      <w:r w:rsidR="00473EFF">
        <w:rPr>
          <w:lang w:val="es-CR"/>
        </w:rPr>
        <w:tab/>
      </w:r>
      <w:r w:rsidR="00225437" w:rsidRPr="00473EFF">
        <w:rPr>
          <w:lang w:val="es-CR"/>
        </w:rPr>
        <w:t>Cuenta 5 “BIENES DURADEROS”</w:t>
      </w:r>
      <w:bookmarkEnd w:id="70"/>
      <w:bookmarkEnd w:id="71"/>
      <w:bookmarkEnd w:id="72"/>
      <w:bookmarkEnd w:id="73"/>
      <w:bookmarkEnd w:id="74"/>
      <w:bookmarkEnd w:id="75"/>
      <w:bookmarkEnd w:id="76"/>
    </w:p>
    <w:p w14:paraId="64DC794C" w14:textId="77777777" w:rsidR="00225437" w:rsidRPr="00787962" w:rsidRDefault="00225437" w:rsidP="00225437">
      <w:pPr>
        <w:spacing w:line="240" w:lineRule="auto"/>
        <w:rPr>
          <w:rFonts w:asciiTheme="minorHAnsi" w:hAnsiTheme="minorHAnsi" w:cstheme="minorHAnsi"/>
          <w:sz w:val="24"/>
          <w:szCs w:val="16"/>
          <w:lang w:val="es-CR"/>
        </w:rPr>
      </w:pPr>
    </w:p>
    <w:p w14:paraId="64DC794D" w14:textId="2F62C4D6" w:rsidR="00225437" w:rsidRPr="00787962" w:rsidRDefault="00225437"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77777777" w:rsidR="00B1488A" w:rsidRPr="00787962" w:rsidRDefault="00B1488A" w:rsidP="00D45037">
      <w:pPr>
        <w:rPr>
          <w:rFonts w:asciiTheme="minorHAnsi" w:hAnsiTheme="minorHAnsi" w:cstheme="minorHAnsi"/>
          <w:sz w:val="24"/>
          <w:szCs w:val="22"/>
          <w:lang w:val="es-CR"/>
        </w:rPr>
      </w:pPr>
    </w:p>
    <w:p w14:paraId="119268DA" w14:textId="65D34ED4" w:rsidR="0069219D" w:rsidRPr="000F5573" w:rsidRDefault="004E371C" w:rsidP="00A775D5">
      <w:pPr>
        <w:pStyle w:val="Textoindependiente"/>
        <w:numPr>
          <w:ilvl w:val="0"/>
          <w:numId w:val="0"/>
        </w:numPr>
        <w:tabs>
          <w:tab w:val="left" w:pos="1134"/>
          <w:tab w:val="decimal" w:pos="7088"/>
        </w:tabs>
        <w:ind w:left="1276"/>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1B6A00" w:rsidRPr="000F5573">
        <w:rPr>
          <w:rFonts w:asciiTheme="minorHAnsi" w:hAnsiTheme="minorHAnsi" w:cstheme="minorHAnsi"/>
          <w:sz w:val="22"/>
          <w:szCs w:val="22"/>
          <w:lang w:val="es-CR"/>
        </w:rPr>
        <w:t>1</w:t>
      </w:r>
      <w:r w:rsidR="005D020A">
        <w:rPr>
          <w:rFonts w:asciiTheme="minorHAnsi" w:hAnsiTheme="minorHAnsi" w:cstheme="minorHAnsi"/>
          <w:sz w:val="22"/>
          <w:szCs w:val="22"/>
          <w:lang w:val="es-CR"/>
        </w:rPr>
        <w:t>4</w:t>
      </w:r>
      <w:r w:rsidRPr="000F5573">
        <w:rPr>
          <w:rFonts w:asciiTheme="minorHAnsi" w:hAnsiTheme="minorHAnsi" w:cstheme="minorHAnsi"/>
          <w:sz w:val="22"/>
          <w:szCs w:val="22"/>
          <w:lang w:val="es-CR"/>
        </w:rPr>
        <w:t xml:space="preserve">: </w:t>
      </w:r>
      <w:r w:rsidR="00452AA5" w:rsidRPr="000F5573">
        <w:rPr>
          <w:rFonts w:asciiTheme="minorHAnsi" w:hAnsiTheme="minorHAnsi" w:cstheme="minorHAnsi"/>
          <w:b/>
          <w:sz w:val="22"/>
          <w:szCs w:val="22"/>
          <w:lang w:val="es-CR"/>
        </w:rPr>
        <w:t>Detalle de la C</w:t>
      </w:r>
      <w:r w:rsidR="0069219D" w:rsidRPr="000F5573">
        <w:rPr>
          <w:rFonts w:asciiTheme="minorHAnsi" w:hAnsiTheme="minorHAnsi" w:cstheme="minorHAnsi"/>
          <w:b/>
          <w:sz w:val="22"/>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256948">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0F18CD"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8375B18"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AE93C3"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118B0B0"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Pizarras</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5530526C"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50</w:t>
            </w:r>
            <w:r w:rsidR="00D44CE0" w:rsidRPr="001B6A00">
              <w:rPr>
                <w:rFonts w:ascii="Calibri Light" w:hAnsi="Calibri Light" w:cs="Calibri Light"/>
                <w:color w:val="000000"/>
                <w:sz w:val="18"/>
                <w:szCs w:val="18"/>
                <w:lang w:val="es-CR"/>
              </w:rPr>
              <w:t xml:space="preserve">0,000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Microondas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20</w:t>
            </w:r>
            <w:r w:rsidR="00D44CE0" w:rsidRPr="001B6A00">
              <w:rPr>
                <w:rFonts w:ascii="Calibri Light" w:hAnsi="Calibri Light" w:cs="Calibri Light"/>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Programa de Auditoría Team Mate</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615BAB79"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3.729.594</w:t>
            </w:r>
            <w:r w:rsidR="00D44CE0" w:rsidRPr="001B6A00">
              <w:rPr>
                <w:rFonts w:ascii="Calibri Light" w:hAnsi="Calibri Light" w:cs="Calibri Light"/>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3539C646"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1.469.234</w:t>
            </w:r>
            <w:r w:rsidR="00D44CE0" w:rsidRPr="001B6A00">
              <w:rPr>
                <w:rFonts w:ascii="Calibri Light" w:hAnsi="Calibri Light" w:cs="Calibri Light"/>
                <w:color w:val="000000"/>
                <w:sz w:val="18"/>
                <w:szCs w:val="18"/>
                <w:lang w:val="es-CR"/>
              </w:rPr>
              <w:t xml:space="preserve"> </w:t>
            </w:r>
          </w:p>
        </w:tc>
      </w:tr>
      <w:tr w:rsidR="00D44CE0" w:rsidRPr="00787962" w14:paraId="668E1D8D" w14:textId="77777777" w:rsidTr="00256948">
        <w:trPr>
          <w:trHeight w:val="390"/>
        </w:trPr>
        <w:tc>
          <w:tcPr>
            <w:tcW w:w="124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0CA646A"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B8CCE4" w:themeFill="accent1" w:themeFillTint="66"/>
            <w:vAlign w:val="center"/>
            <w:hideMark/>
          </w:tcPr>
          <w:p w14:paraId="5F7B15F7" w14:textId="77777777" w:rsidR="00D44CE0" w:rsidRPr="001B6A00" w:rsidRDefault="00D44CE0" w:rsidP="00D44CE0">
            <w:pPr>
              <w:spacing w:line="240" w:lineRule="auto"/>
              <w:jc w:val="left"/>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B8CCE4" w:themeFill="accent1" w:themeFillTint="66"/>
            <w:vAlign w:val="center"/>
            <w:hideMark/>
          </w:tcPr>
          <w:p w14:paraId="10068E4F" w14:textId="6D7621B4" w:rsidR="00D44CE0" w:rsidRPr="001B6A00" w:rsidRDefault="003D5B6E" w:rsidP="00D44CE0">
            <w:pPr>
              <w:spacing w:line="240" w:lineRule="auto"/>
              <w:jc w:val="right"/>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5.898.828</w:t>
            </w:r>
          </w:p>
        </w:tc>
      </w:tr>
    </w:tbl>
    <w:p w14:paraId="394ACBA5" w14:textId="77777777" w:rsidR="00D44CE0" w:rsidRPr="00787962" w:rsidRDefault="00D44CE0" w:rsidP="00D44CE0">
      <w:pPr>
        <w:rPr>
          <w:rFonts w:asciiTheme="minorHAnsi" w:hAnsiTheme="minorHAnsi" w:cstheme="minorHAnsi"/>
          <w:sz w:val="24"/>
          <w:szCs w:val="22"/>
          <w:lang w:val="es-CR"/>
        </w:rPr>
      </w:pPr>
    </w:p>
    <w:p w14:paraId="64DC798B" w14:textId="69B7B932" w:rsidR="00225437" w:rsidRDefault="00EB1450"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a cuenta correspondiente a “</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 xml:space="preserve">comprende la compra de las actualizaciones de los programas de auditoría </w:t>
      </w:r>
      <w:r w:rsidRPr="00787962">
        <w:rPr>
          <w:rFonts w:asciiTheme="minorHAnsi" w:hAnsiTheme="minorHAnsi" w:cstheme="minorHAnsi"/>
          <w:sz w:val="24"/>
          <w:szCs w:val="22"/>
          <w:lang w:val="es-CR"/>
        </w:rPr>
        <w:t xml:space="preserve">tales como </w:t>
      </w:r>
      <w:r w:rsidR="00D45037" w:rsidRPr="00787962">
        <w:rPr>
          <w:rFonts w:asciiTheme="minorHAnsi" w:hAnsiTheme="minorHAnsi" w:cstheme="minorHAnsi"/>
          <w:sz w:val="24"/>
          <w:szCs w:val="22"/>
          <w:lang w:val="es-CR"/>
        </w:rPr>
        <w:t>IDEA y Team Mate</w:t>
      </w:r>
      <w:r w:rsidR="008D71F2">
        <w:rPr>
          <w:rFonts w:asciiTheme="minorHAnsi" w:hAnsiTheme="minorHAnsi" w:cstheme="minorHAnsi"/>
          <w:sz w:val="24"/>
          <w:szCs w:val="22"/>
          <w:lang w:val="es-CR"/>
        </w:rPr>
        <w:t>, la ejecución es del 28</w:t>
      </w:r>
      <w:r w:rsidR="00F668FA" w:rsidRPr="00787962">
        <w:rPr>
          <w:rFonts w:asciiTheme="minorHAnsi" w:hAnsiTheme="minorHAnsi" w:cstheme="minorHAnsi"/>
          <w:sz w:val="24"/>
          <w:szCs w:val="22"/>
          <w:lang w:val="es-CR"/>
        </w:rPr>
        <w:t xml:space="preserve">% y obedece a que por cambios en el modelo de supervisión se </w:t>
      </w:r>
      <w:r w:rsidR="008D71F2">
        <w:rPr>
          <w:rFonts w:asciiTheme="minorHAnsi" w:hAnsiTheme="minorHAnsi" w:cstheme="minorHAnsi"/>
          <w:sz w:val="24"/>
          <w:szCs w:val="22"/>
          <w:lang w:val="es-CR"/>
        </w:rPr>
        <w:t>determinó que no es necesario comprar la actualización del programa de auditoría</w:t>
      </w:r>
      <w:r w:rsidR="000825BD" w:rsidRPr="00787962">
        <w:rPr>
          <w:rFonts w:asciiTheme="minorHAnsi" w:hAnsiTheme="minorHAnsi" w:cstheme="minorHAnsi"/>
          <w:sz w:val="24"/>
          <w:szCs w:val="22"/>
          <w:lang w:val="es-CR"/>
        </w:rPr>
        <w:t>.</w:t>
      </w:r>
    </w:p>
    <w:p w14:paraId="4848953F" w14:textId="77777777" w:rsidR="00C4171E" w:rsidRPr="00787962" w:rsidRDefault="00C4171E" w:rsidP="00225437">
      <w:pPr>
        <w:rPr>
          <w:rFonts w:asciiTheme="minorHAnsi" w:hAnsiTheme="minorHAnsi" w:cstheme="minorHAnsi"/>
          <w:sz w:val="24"/>
          <w:szCs w:val="22"/>
          <w:lang w:val="es-CR"/>
        </w:rPr>
      </w:pPr>
    </w:p>
    <w:p w14:paraId="64DC798E" w14:textId="04B81603" w:rsidR="00225437" w:rsidRPr="00787962" w:rsidRDefault="00225437" w:rsidP="00AD6B46">
      <w:pPr>
        <w:pStyle w:val="Ttulo3"/>
        <w:rPr>
          <w:lang w:val="es-CR"/>
        </w:rPr>
      </w:pPr>
      <w:bookmarkStart w:id="77" w:name="_Toc504486232"/>
      <w:r w:rsidRPr="00787962">
        <w:rPr>
          <w:lang w:val="es-CR"/>
        </w:rPr>
        <w:t xml:space="preserve">Detalle de la cuenta </w:t>
      </w:r>
      <w:r w:rsidR="00C65C67" w:rsidRPr="00787962">
        <w:rPr>
          <w:lang w:val="es-CR"/>
        </w:rPr>
        <w:t>correspondiente a</w:t>
      </w:r>
      <w:r w:rsidRPr="00787962">
        <w:rPr>
          <w:lang w:val="es-CR"/>
        </w:rPr>
        <w:t xml:space="preserve"> Bienes Duraderos</w:t>
      </w:r>
      <w:bookmarkEnd w:id="77"/>
    </w:p>
    <w:p w14:paraId="11AF6573" w14:textId="77777777" w:rsidR="00BD4C62" w:rsidRPr="00787962" w:rsidRDefault="00BD4C62" w:rsidP="00BD4C62">
      <w:pPr>
        <w:pStyle w:val="Textoindependiente"/>
        <w:numPr>
          <w:ilvl w:val="0"/>
          <w:numId w:val="0"/>
        </w:numPr>
        <w:rPr>
          <w:rFonts w:asciiTheme="minorHAnsi" w:hAnsiTheme="minorHAnsi" w:cstheme="minorHAnsi"/>
          <w:sz w:val="16"/>
          <w:szCs w:val="16"/>
          <w:lang w:val="es-CR"/>
        </w:rPr>
      </w:pPr>
    </w:p>
    <w:p w14:paraId="50C9051A" w14:textId="606A1CC9" w:rsidR="00235FFA" w:rsidRPr="000F5573" w:rsidRDefault="00542AE5" w:rsidP="00A775D5">
      <w:pPr>
        <w:pStyle w:val="Textoindependiente"/>
        <w:numPr>
          <w:ilvl w:val="0"/>
          <w:numId w:val="0"/>
        </w:numPr>
        <w:spacing w:line="240" w:lineRule="auto"/>
        <w:ind w:left="284"/>
        <w:jc w:val="left"/>
        <w:rPr>
          <w:rFonts w:asciiTheme="minorHAnsi" w:hAnsiTheme="minorHAnsi" w:cstheme="minorHAnsi"/>
          <w:sz w:val="22"/>
          <w:szCs w:val="22"/>
          <w:lang w:val="es-CR"/>
        </w:rPr>
      </w:pPr>
      <w:r w:rsidRPr="000F5573">
        <w:rPr>
          <w:rFonts w:asciiTheme="minorHAnsi" w:hAnsiTheme="minorHAnsi" w:cstheme="minorHAnsi"/>
          <w:sz w:val="22"/>
          <w:szCs w:val="22"/>
          <w:lang w:val="es-CR"/>
        </w:rPr>
        <w:t xml:space="preserve">Cuadro </w:t>
      </w:r>
      <w:r w:rsidR="003D5B6E" w:rsidRPr="000F5573">
        <w:rPr>
          <w:rFonts w:asciiTheme="minorHAnsi" w:hAnsiTheme="minorHAnsi" w:cstheme="minorHAnsi"/>
          <w:sz w:val="22"/>
          <w:szCs w:val="22"/>
          <w:lang w:val="es-CR"/>
        </w:rPr>
        <w:t>1</w:t>
      </w:r>
      <w:r w:rsidR="005D020A">
        <w:rPr>
          <w:rFonts w:asciiTheme="minorHAnsi" w:hAnsiTheme="minorHAnsi" w:cstheme="minorHAnsi"/>
          <w:sz w:val="22"/>
          <w:szCs w:val="22"/>
          <w:lang w:val="es-CR"/>
        </w:rPr>
        <w:t>5</w:t>
      </w:r>
      <w:r w:rsidR="003D5B6E" w:rsidRPr="000F5573">
        <w:rPr>
          <w:rFonts w:asciiTheme="minorHAnsi" w:hAnsiTheme="minorHAnsi" w:cstheme="minorHAnsi"/>
          <w:sz w:val="22"/>
          <w:szCs w:val="22"/>
          <w:lang w:val="es-CR"/>
        </w:rPr>
        <w:t xml:space="preserve">: </w:t>
      </w:r>
      <w:r w:rsidR="00235FFA" w:rsidRPr="000F5573">
        <w:rPr>
          <w:rFonts w:asciiTheme="minorHAnsi" w:hAnsiTheme="minorHAnsi" w:cstheme="minorHAnsi"/>
          <w:b/>
          <w:sz w:val="22"/>
          <w:szCs w:val="22"/>
          <w:lang w:val="es-CR"/>
        </w:rPr>
        <w:t>Detalle de ejecución por cuenta</w:t>
      </w:r>
    </w:p>
    <w:p w14:paraId="64DC798F" w14:textId="7133BAB4" w:rsidR="00225437" w:rsidRPr="00A775D5" w:rsidRDefault="00CF6FA4" w:rsidP="00A775D5">
      <w:pPr>
        <w:spacing w:line="240" w:lineRule="auto"/>
        <w:ind w:left="284"/>
        <w:jc w:val="left"/>
        <w:rPr>
          <w:rFonts w:asciiTheme="minorHAnsi" w:hAnsiTheme="minorHAnsi" w:cstheme="minorHAnsi"/>
          <w:sz w:val="20"/>
          <w:szCs w:val="22"/>
          <w:lang w:val="es-CR"/>
        </w:rPr>
      </w:pPr>
      <w:r w:rsidRPr="00A775D5">
        <w:rPr>
          <w:rFonts w:asciiTheme="minorHAnsi" w:hAnsiTheme="minorHAnsi" w:cstheme="minorHAnsi"/>
          <w:sz w:val="20"/>
          <w:szCs w:val="22"/>
          <w:lang w:val="es-CR"/>
        </w:rPr>
        <w:t>Montos en C</w:t>
      </w:r>
      <w:r w:rsidR="00225437" w:rsidRPr="00A775D5">
        <w:rPr>
          <w:rFonts w:asciiTheme="minorHAnsi" w:hAnsiTheme="minorHAnsi" w:cstheme="minorHAnsi"/>
          <w:sz w:val="20"/>
          <w:szCs w:val="22"/>
          <w:lang w:val="es-CR"/>
        </w:rPr>
        <w:t>olones</w:t>
      </w:r>
    </w:p>
    <w:tbl>
      <w:tblPr>
        <w:tblW w:w="88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2137"/>
        <w:gridCol w:w="1276"/>
        <w:gridCol w:w="1276"/>
        <w:gridCol w:w="1253"/>
        <w:gridCol w:w="1192"/>
        <w:gridCol w:w="957"/>
      </w:tblGrid>
      <w:tr w:rsidR="000825BD" w:rsidRPr="001B6A00" w14:paraId="64DC7998" w14:textId="77777777" w:rsidTr="001B6A00">
        <w:trPr>
          <w:trHeight w:val="405"/>
          <w:tblHeader/>
        </w:trPr>
        <w:tc>
          <w:tcPr>
            <w:tcW w:w="739" w:type="dxa"/>
            <w:vMerge w:val="restart"/>
            <w:shd w:val="clear" w:color="auto" w:fill="C6D9F1" w:themeFill="text2" w:themeFillTint="33"/>
            <w:vAlign w:val="center"/>
          </w:tcPr>
          <w:p w14:paraId="64DC7991" w14:textId="00A2F64B" w:rsidR="000825BD" w:rsidRPr="001B6A00" w:rsidRDefault="000825BD" w:rsidP="00E36244">
            <w:pPr>
              <w:spacing w:line="240" w:lineRule="auto"/>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CÓDIGO</w:t>
            </w:r>
          </w:p>
        </w:tc>
        <w:tc>
          <w:tcPr>
            <w:tcW w:w="2137" w:type="dxa"/>
            <w:vMerge w:val="restart"/>
            <w:shd w:val="clear" w:color="auto" w:fill="C6D9F1" w:themeFill="text2" w:themeFillTint="33"/>
            <w:vAlign w:val="center"/>
          </w:tcPr>
          <w:p w14:paraId="64DC7992" w14:textId="58E6AE1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DESCRIPCIÓN</w:t>
            </w:r>
          </w:p>
        </w:tc>
        <w:tc>
          <w:tcPr>
            <w:tcW w:w="1276" w:type="dxa"/>
            <w:vMerge w:val="restart"/>
            <w:shd w:val="clear" w:color="auto" w:fill="C6D9F1" w:themeFill="text2" w:themeFillTint="33"/>
            <w:vAlign w:val="center"/>
          </w:tcPr>
          <w:p w14:paraId="64DC7993" w14:textId="2D8694B8"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PRESUPUESTO</w:t>
            </w:r>
          </w:p>
        </w:tc>
        <w:tc>
          <w:tcPr>
            <w:tcW w:w="1276" w:type="dxa"/>
            <w:vMerge w:val="restart"/>
            <w:shd w:val="clear" w:color="auto" w:fill="C6D9F1" w:themeFill="text2" w:themeFillTint="33"/>
            <w:vAlign w:val="center"/>
          </w:tcPr>
          <w:p w14:paraId="64DC7994" w14:textId="7C7C55E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GASTO REAL</w:t>
            </w:r>
          </w:p>
        </w:tc>
        <w:tc>
          <w:tcPr>
            <w:tcW w:w="1253" w:type="dxa"/>
            <w:vMerge w:val="restart"/>
            <w:shd w:val="clear" w:color="auto" w:fill="C6D9F1" w:themeFill="text2" w:themeFillTint="33"/>
            <w:vAlign w:val="center"/>
          </w:tcPr>
          <w:p w14:paraId="64DC7995" w14:textId="641F5D5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COMPROMISO</w:t>
            </w:r>
          </w:p>
        </w:tc>
        <w:tc>
          <w:tcPr>
            <w:tcW w:w="1192" w:type="dxa"/>
            <w:vMerge w:val="restart"/>
            <w:shd w:val="clear" w:color="auto" w:fill="C6D9F1" w:themeFill="text2" w:themeFillTint="33"/>
            <w:vAlign w:val="center"/>
          </w:tcPr>
          <w:p w14:paraId="64DC7996" w14:textId="0DAA70C4" w:rsidR="000825BD" w:rsidRPr="001B6A00" w:rsidRDefault="003935F8"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 xml:space="preserve">GASTO </w:t>
            </w:r>
            <w:r w:rsidRPr="001B6A00">
              <w:rPr>
                <w:rFonts w:ascii="Calibri Light" w:hAnsi="Calibri Light" w:cs="Calibri Light"/>
                <w:b/>
                <w:color w:val="000000"/>
                <w:sz w:val="16"/>
                <w:szCs w:val="18"/>
                <w:lang w:val="es-CR"/>
              </w:rPr>
              <w:br/>
            </w:r>
            <w:r w:rsidR="00C4171E" w:rsidRPr="001B6A00">
              <w:rPr>
                <w:rFonts w:ascii="Calibri Light" w:hAnsi="Calibri Light" w:cs="Calibri Light"/>
                <w:b/>
                <w:color w:val="000000"/>
                <w:sz w:val="16"/>
                <w:szCs w:val="18"/>
                <w:lang w:val="es-CR"/>
              </w:rPr>
              <w:t>IV</w:t>
            </w:r>
            <w:r w:rsidR="000825BD" w:rsidRPr="001B6A00">
              <w:rPr>
                <w:rFonts w:ascii="Calibri Light" w:hAnsi="Calibri Light" w:cs="Calibri Light"/>
                <w:b/>
                <w:color w:val="000000"/>
                <w:sz w:val="16"/>
                <w:szCs w:val="18"/>
                <w:lang w:val="es-CR"/>
              </w:rPr>
              <w:t xml:space="preserve"> TRIMESTRE</w:t>
            </w:r>
          </w:p>
        </w:tc>
        <w:tc>
          <w:tcPr>
            <w:tcW w:w="957" w:type="dxa"/>
            <w:vMerge w:val="restart"/>
            <w:shd w:val="clear" w:color="auto" w:fill="C6D9F1" w:themeFill="text2" w:themeFillTint="33"/>
            <w:vAlign w:val="center"/>
          </w:tcPr>
          <w:p w14:paraId="64DC7997" w14:textId="2ED1DDF9"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 xml:space="preserve">% DE EJECUCIÓN REAL </w:t>
            </w:r>
          </w:p>
        </w:tc>
      </w:tr>
      <w:tr w:rsidR="000825BD" w:rsidRPr="00787962" w14:paraId="64DC79A0" w14:textId="77777777" w:rsidTr="001B6A00">
        <w:trPr>
          <w:trHeight w:val="401"/>
        </w:trPr>
        <w:tc>
          <w:tcPr>
            <w:tcW w:w="739" w:type="dxa"/>
            <w:vMerge/>
            <w:shd w:val="clear" w:color="auto" w:fill="C6D9F1" w:themeFill="text2" w:themeFillTint="33"/>
            <w:vAlign w:val="center"/>
          </w:tcPr>
          <w:p w14:paraId="64DC7999"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2137" w:type="dxa"/>
            <w:vMerge/>
            <w:shd w:val="clear" w:color="auto" w:fill="C6D9F1" w:themeFill="text2" w:themeFillTint="33"/>
            <w:vAlign w:val="center"/>
          </w:tcPr>
          <w:p w14:paraId="64DC799A"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76" w:type="dxa"/>
            <w:vMerge/>
            <w:shd w:val="clear" w:color="auto" w:fill="C6D9F1" w:themeFill="text2" w:themeFillTint="33"/>
            <w:vAlign w:val="center"/>
          </w:tcPr>
          <w:p w14:paraId="64DC799B"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76" w:type="dxa"/>
            <w:vMerge/>
            <w:shd w:val="clear" w:color="auto" w:fill="C6D9F1" w:themeFill="text2" w:themeFillTint="33"/>
            <w:vAlign w:val="center"/>
          </w:tcPr>
          <w:p w14:paraId="64DC799C"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53" w:type="dxa"/>
            <w:vMerge/>
            <w:shd w:val="clear" w:color="auto" w:fill="C6D9F1" w:themeFill="text2" w:themeFillTint="33"/>
            <w:vAlign w:val="center"/>
          </w:tcPr>
          <w:p w14:paraId="64DC799D"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192" w:type="dxa"/>
            <w:vMerge/>
            <w:shd w:val="clear" w:color="auto" w:fill="C6D9F1" w:themeFill="text2" w:themeFillTint="33"/>
            <w:vAlign w:val="center"/>
          </w:tcPr>
          <w:p w14:paraId="64DC799E"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957" w:type="dxa"/>
            <w:vMerge/>
            <w:shd w:val="clear" w:color="auto" w:fill="C6D9F1" w:themeFill="text2" w:themeFillTint="33"/>
            <w:vAlign w:val="center"/>
          </w:tcPr>
          <w:p w14:paraId="64DC799F" w14:textId="77777777" w:rsidR="000825BD" w:rsidRPr="001B6A00" w:rsidRDefault="000825BD" w:rsidP="000825BD">
            <w:pPr>
              <w:spacing w:line="240" w:lineRule="auto"/>
              <w:jc w:val="left"/>
              <w:rPr>
                <w:rFonts w:asciiTheme="minorHAnsi" w:hAnsiTheme="minorHAnsi" w:cstheme="minorHAnsi"/>
                <w:color w:val="000000"/>
                <w:sz w:val="16"/>
                <w:szCs w:val="12"/>
                <w:lang w:val="es-CR"/>
              </w:rPr>
            </w:pPr>
          </w:p>
        </w:tc>
      </w:tr>
      <w:tr w:rsidR="001B6A00" w:rsidRPr="00E36244" w14:paraId="64DC79A8" w14:textId="77777777" w:rsidTr="001B6A00">
        <w:trPr>
          <w:trHeight w:val="450"/>
        </w:trPr>
        <w:tc>
          <w:tcPr>
            <w:tcW w:w="739" w:type="dxa"/>
            <w:shd w:val="clear" w:color="auto" w:fill="auto"/>
            <w:noWrap/>
            <w:vAlign w:val="center"/>
          </w:tcPr>
          <w:p w14:paraId="64DC79A1" w14:textId="294F4EE7" w:rsidR="001B6A00" w:rsidRPr="001B6A00" w:rsidRDefault="001B6A00" w:rsidP="001B6A00">
            <w:pPr>
              <w:spacing w:line="240" w:lineRule="auto"/>
              <w:rPr>
                <w:rFonts w:ascii="Calibri Light" w:hAnsi="Calibri Light" w:cs="Calibri Light"/>
                <w:b/>
                <w:bCs/>
                <w:color w:val="000000"/>
                <w:sz w:val="16"/>
                <w:szCs w:val="18"/>
                <w:lang w:val="es-CR"/>
              </w:rPr>
            </w:pPr>
            <w:r w:rsidRPr="001B6A00">
              <w:rPr>
                <w:rFonts w:ascii="Calibri Light" w:hAnsi="Calibri Light" w:cs="Calibri Light"/>
                <w:sz w:val="16"/>
                <w:szCs w:val="18"/>
              </w:rPr>
              <w:t>5.01.07</w:t>
            </w:r>
          </w:p>
        </w:tc>
        <w:tc>
          <w:tcPr>
            <w:tcW w:w="2137" w:type="dxa"/>
            <w:shd w:val="clear" w:color="auto" w:fill="auto"/>
            <w:noWrap/>
            <w:vAlign w:val="center"/>
          </w:tcPr>
          <w:p w14:paraId="64DC79A2" w14:textId="305D51A8" w:rsidR="001B6A00" w:rsidRPr="001B6A00" w:rsidRDefault="001B6A00" w:rsidP="003021E3">
            <w:pPr>
              <w:spacing w:line="240" w:lineRule="auto"/>
              <w:rPr>
                <w:rFonts w:ascii="Calibri Light" w:hAnsi="Calibri Light" w:cs="Calibri Light"/>
                <w:b/>
                <w:bCs/>
                <w:color w:val="000000"/>
                <w:sz w:val="16"/>
                <w:szCs w:val="18"/>
                <w:lang w:val="es-CR"/>
              </w:rPr>
            </w:pPr>
            <w:r w:rsidRPr="001B6A00">
              <w:rPr>
                <w:rFonts w:ascii="Calibri Light" w:hAnsi="Calibri Light" w:cs="Calibri Light"/>
                <w:sz w:val="16"/>
                <w:szCs w:val="18"/>
              </w:rPr>
              <w:t>Equipo y mobiliario educacional, deportivo y recreativo</w:t>
            </w:r>
          </w:p>
        </w:tc>
        <w:tc>
          <w:tcPr>
            <w:tcW w:w="1276" w:type="dxa"/>
            <w:shd w:val="clear" w:color="auto" w:fill="auto"/>
            <w:noWrap/>
            <w:vAlign w:val="center"/>
          </w:tcPr>
          <w:p w14:paraId="64DC79A3" w14:textId="67A99E10"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500,000</w:t>
            </w:r>
          </w:p>
        </w:tc>
        <w:tc>
          <w:tcPr>
            <w:tcW w:w="1276" w:type="dxa"/>
            <w:shd w:val="clear" w:color="auto" w:fill="auto"/>
            <w:noWrap/>
            <w:vAlign w:val="center"/>
          </w:tcPr>
          <w:p w14:paraId="64DC79A4" w14:textId="380CCD98"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1253" w:type="dxa"/>
            <w:shd w:val="clear" w:color="auto" w:fill="auto"/>
            <w:noWrap/>
            <w:vAlign w:val="center"/>
          </w:tcPr>
          <w:p w14:paraId="64DC79A5" w14:textId="259DAD8B"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A6" w14:textId="7637B362"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957" w:type="dxa"/>
            <w:shd w:val="clear" w:color="auto" w:fill="auto"/>
            <w:noWrap/>
            <w:vAlign w:val="center"/>
          </w:tcPr>
          <w:p w14:paraId="64DC79A7" w14:textId="0C9B5FA8" w:rsidR="001B6A00" w:rsidRPr="001B6A00" w:rsidRDefault="001B6A00" w:rsidP="001B6A00">
            <w:pPr>
              <w:spacing w:line="240" w:lineRule="auto"/>
              <w:jc w:val="center"/>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r>
      <w:tr w:rsidR="001B6A00" w:rsidRPr="00787962" w14:paraId="64DC79B8" w14:textId="77777777" w:rsidTr="001B6A00">
        <w:trPr>
          <w:trHeight w:val="288"/>
        </w:trPr>
        <w:tc>
          <w:tcPr>
            <w:tcW w:w="739" w:type="dxa"/>
            <w:shd w:val="clear" w:color="auto" w:fill="auto"/>
            <w:noWrap/>
            <w:vAlign w:val="center"/>
          </w:tcPr>
          <w:p w14:paraId="64DC79B1" w14:textId="1545CCC1" w:rsidR="001B6A00" w:rsidRPr="001B6A00" w:rsidRDefault="001B6A00" w:rsidP="001B6A00">
            <w:pPr>
              <w:spacing w:line="240" w:lineRule="auto"/>
              <w:rPr>
                <w:rFonts w:ascii="Calibri Light" w:hAnsi="Calibri Light" w:cs="Calibri Light"/>
                <w:color w:val="000000"/>
                <w:sz w:val="16"/>
                <w:szCs w:val="18"/>
                <w:lang w:val="es-CR"/>
              </w:rPr>
            </w:pPr>
            <w:r w:rsidRPr="001B6A00">
              <w:rPr>
                <w:rFonts w:ascii="Calibri Light" w:hAnsi="Calibri Light" w:cs="Calibri Light"/>
                <w:sz w:val="16"/>
                <w:szCs w:val="18"/>
              </w:rPr>
              <w:t>5.01.99</w:t>
            </w:r>
          </w:p>
        </w:tc>
        <w:tc>
          <w:tcPr>
            <w:tcW w:w="2137" w:type="dxa"/>
            <w:shd w:val="clear" w:color="auto" w:fill="auto"/>
            <w:noWrap/>
            <w:vAlign w:val="center"/>
          </w:tcPr>
          <w:p w14:paraId="64DC79B2" w14:textId="14E3D170" w:rsidR="001B6A00" w:rsidRPr="001B6A00" w:rsidRDefault="001B6A00" w:rsidP="003021E3">
            <w:pPr>
              <w:spacing w:line="240" w:lineRule="auto"/>
              <w:jc w:val="left"/>
              <w:rPr>
                <w:rFonts w:ascii="Calibri Light" w:hAnsi="Calibri Light" w:cs="Calibri Light"/>
                <w:color w:val="000000"/>
                <w:sz w:val="16"/>
                <w:szCs w:val="18"/>
                <w:lang w:val="es-CR"/>
              </w:rPr>
            </w:pPr>
            <w:r w:rsidRPr="001B6A00">
              <w:rPr>
                <w:rFonts w:ascii="Calibri Light" w:hAnsi="Calibri Light" w:cs="Calibri Light"/>
                <w:sz w:val="16"/>
                <w:szCs w:val="18"/>
              </w:rPr>
              <w:t>Maquinaria y equipo diverso</w:t>
            </w:r>
          </w:p>
        </w:tc>
        <w:tc>
          <w:tcPr>
            <w:tcW w:w="1276" w:type="dxa"/>
            <w:shd w:val="clear" w:color="auto" w:fill="auto"/>
            <w:noWrap/>
            <w:vAlign w:val="center"/>
          </w:tcPr>
          <w:p w14:paraId="64DC79B3" w14:textId="5D85549C"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200,000</w:t>
            </w:r>
          </w:p>
        </w:tc>
        <w:tc>
          <w:tcPr>
            <w:tcW w:w="1276" w:type="dxa"/>
            <w:shd w:val="clear" w:color="auto" w:fill="auto"/>
            <w:noWrap/>
            <w:vAlign w:val="center"/>
          </w:tcPr>
          <w:p w14:paraId="64DC79B4" w14:textId="6028754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253" w:type="dxa"/>
            <w:shd w:val="clear" w:color="auto" w:fill="auto"/>
            <w:noWrap/>
            <w:vAlign w:val="center"/>
          </w:tcPr>
          <w:p w14:paraId="64DC79B5" w14:textId="460810A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B6" w14:textId="267B9D37"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957" w:type="dxa"/>
            <w:shd w:val="clear" w:color="auto" w:fill="auto"/>
            <w:noWrap/>
            <w:vAlign w:val="center"/>
          </w:tcPr>
          <w:p w14:paraId="64DC79B7" w14:textId="2CB05292" w:rsidR="001B6A00" w:rsidRPr="001B6A00" w:rsidRDefault="001B6A00" w:rsidP="001B6A00">
            <w:pPr>
              <w:spacing w:line="240" w:lineRule="auto"/>
              <w:jc w:val="center"/>
              <w:rPr>
                <w:rFonts w:ascii="Calibri Light" w:hAnsi="Calibri Light" w:cs="Calibri Light"/>
                <w:color w:val="000000"/>
                <w:sz w:val="16"/>
                <w:szCs w:val="18"/>
                <w:lang w:val="es-CR"/>
              </w:rPr>
            </w:pPr>
            <w:r w:rsidRPr="001B6A00">
              <w:rPr>
                <w:rFonts w:ascii="Calibri Light" w:hAnsi="Calibri Light" w:cs="Calibri Light"/>
                <w:sz w:val="16"/>
                <w:szCs w:val="18"/>
              </w:rPr>
              <w:t>0%</w:t>
            </w:r>
          </w:p>
        </w:tc>
      </w:tr>
      <w:tr w:rsidR="001B6A00" w:rsidRPr="00787962" w14:paraId="64DC79C0" w14:textId="77777777" w:rsidTr="001B6A00">
        <w:trPr>
          <w:trHeight w:val="378"/>
        </w:trPr>
        <w:tc>
          <w:tcPr>
            <w:tcW w:w="739" w:type="dxa"/>
            <w:shd w:val="clear" w:color="auto" w:fill="auto"/>
            <w:noWrap/>
            <w:vAlign w:val="center"/>
          </w:tcPr>
          <w:p w14:paraId="64DC79B9" w14:textId="0DC49009" w:rsidR="001B6A00" w:rsidRPr="001B6A00" w:rsidRDefault="001B6A00" w:rsidP="001B6A00">
            <w:pPr>
              <w:spacing w:line="240" w:lineRule="auto"/>
              <w:rPr>
                <w:rFonts w:ascii="Calibri Light" w:hAnsi="Calibri Light" w:cs="Calibri Light"/>
                <w:color w:val="000000"/>
                <w:sz w:val="16"/>
                <w:szCs w:val="18"/>
                <w:lang w:val="es-CR"/>
              </w:rPr>
            </w:pPr>
            <w:r w:rsidRPr="001B6A00">
              <w:rPr>
                <w:rFonts w:ascii="Calibri Light" w:hAnsi="Calibri Light" w:cs="Calibri Light"/>
                <w:sz w:val="16"/>
                <w:szCs w:val="18"/>
              </w:rPr>
              <w:t>5.99.03</w:t>
            </w:r>
          </w:p>
        </w:tc>
        <w:tc>
          <w:tcPr>
            <w:tcW w:w="2137" w:type="dxa"/>
            <w:shd w:val="clear" w:color="auto" w:fill="auto"/>
            <w:noWrap/>
            <w:vAlign w:val="center"/>
          </w:tcPr>
          <w:p w14:paraId="64DC79BA" w14:textId="763C2392" w:rsidR="001B6A00" w:rsidRPr="001B6A00" w:rsidRDefault="001B6A00" w:rsidP="003021E3">
            <w:pPr>
              <w:spacing w:line="240" w:lineRule="auto"/>
              <w:jc w:val="left"/>
              <w:rPr>
                <w:rFonts w:ascii="Calibri Light" w:hAnsi="Calibri Light" w:cs="Calibri Light"/>
                <w:color w:val="000000"/>
                <w:sz w:val="16"/>
                <w:szCs w:val="18"/>
                <w:lang w:val="es-CR"/>
              </w:rPr>
            </w:pPr>
            <w:r w:rsidRPr="001B6A00">
              <w:rPr>
                <w:rFonts w:ascii="Calibri Light" w:hAnsi="Calibri Light" w:cs="Calibri Light"/>
                <w:sz w:val="16"/>
                <w:szCs w:val="18"/>
              </w:rPr>
              <w:t>Bienes Intangibles</w:t>
            </w:r>
          </w:p>
        </w:tc>
        <w:tc>
          <w:tcPr>
            <w:tcW w:w="1276" w:type="dxa"/>
            <w:shd w:val="clear" w:color="auto" w:fill="auto"/>
            <w:noWrap/>
            <w:vAlign w:val="center"/>
          </w:tcPr>
          <w:p w14:paraId="64DC79BB" w14:textId="240092C8"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5,198,828</w:t>
            </w:r>
          </w:p>
        </w:tc>
        <w:tc>
          <w:tcPr>
            <w:tcW w:w="1276" w:type="dxa"/>
            <w:shd w:val="clear" w:color="auto" w:fill="auto"/>
            <w:noWrap/>
            <w:vAlign w:val="center"/>
          </w:tcPr>
          <w:p w14:paraId="64DC79BC" w14:textId="6E3754F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1,469,234</w:t>
            </w:r>
          </w:p>
        </w:tc>
        <w:tc>
          <w:tcPr>
            <w:tcW w:w="1253" w:type="dxa"/>
            <w:shd w:val="clear" w:color="auto" w:fill="auto"/>
            <w:noWrap/>
            <w:vAlign w:val="center"/>
          </w:tcPr>
          <w:p w14:paraId="64DC79BD" w14:textId="4B69C6AA"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BE" w14:textId="2EA8073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1,469,234</w:t>
            </w:r>
          </w:p>
        </w:tc>
        <w:tc>
          <w:tcPr>
            <w:tcW w:w="957" w:type="dxa"/>
            <w:shd w:val="clear" w:color="auto" w:fill="auto"/>
            <w:noWrap/>
            <w:vAlign w:val="center"/>
          </w:tcPr>
          <w:p w14:paraId="64DC79BF" w14:textId="2A056A5B" w:rsidR="001B6A00" w:rsidRPr="001B6A00" w:rsidRDefault="001B6A00" w:rsidP="001B6A00">
            <w:pPr>
              <w:spacing w:line="240" w:lineRule="auto"/>
              <w:jc w:val="center"/>
              <w:rPr>
                <w:rFonts w:ascii="Calibri Light" w:hAnsi="Calibri Light" w:cs="Calibri Light"/>
                <w:color w:val="000000"/>
                <w:sz w:val="16"/>
                <w:szCs w:val="18"/>
                <w:lang w:val="es-CR"/>
              </w:rPr>
            </w:pPr>
            <w:r w:rsidRPr="001B6A00">
              <w:rPr>
                <w:rFonts w:ascii="Calibri Light" w:hAnsi="Calibri Light" w:cs="Calibri Light"/>
                <w:sz w:val="16"/>
                <w:szCs w:val="18"/>
              </w:rPr>
              <w:t>28%</w:t>
            </w:r>
          </w:p>
        </w:tc>
      </w:tr>
      <w:tr w:rsidR="001B6A00" w:rsidRPr="00787962" w14:paraId="64DC79C8" w14:textId="77777777" w:rsidTr="001B6A00">
        <w:trPr>
          <w:trHeight w:val="354"/>
        </w:trPr>
        <w:tc>
          <w:tcPr>
            <w:tcW w:w="2876" w:type="dxa"/>
            <w:gridSpan w:val="2"/>
            <w:shd w:val="clear" w:color="auto" w:fill="8DB3E2" w:themeFill="text2" w:themeFillTint="66"/>
            <w:noWrap/>
            <w:vAlign w:val="center"/>
          </w:tcPr>
          <w:p w14:paraId="64DC79C2" w14:textId="696A93E8" w:rsidR="001B6A00" w:rsidRPr="001B6A00" w:rsidRDefault="003F4F45" w:rsidP="001B6A00">
            <w:pPr>
              <w:spacing w:line="240" w:lineRule="auto"/>
              <w:rPr>
                <w:rFonts w:ascii="Calibri Light" w:hAnsi="Calibri Light" w:cs="Calibri Light"/>
                <w:color w:val="000000"/>
                <w:sz w:val="16"/>
                <w:szCs w:val="18"/>
                <w:lang w:val="es-CR"/>
              </w:rPr>
            </w:pPr>
            <w:r>
              <w:rPr>
                <w:rFonts w:ascii="Calibri Light" w:hAnsi="Calibri Light" w:cs="Calibri Light"/>
                <w:b/>
                <w:bCs/>
                <w:color w:val="000000"/>
                <w:sz w:val="16"/>
                <w:szCs w:val="18"/>
              </w:rPr>
              <w:t>Total G</w:t>
            </w:r>
            <w:r w:rsidR="001B6A00" w:rsidRPr="001B6A00">
              <w:rPr>
                <w:rFonts w:ascii="Calibri Light" w:hAnsi="Calibri Light" w:cs="Calibri Light"/>
                <w:b/>
                <w:bCs/>
                <w:color w:val="000000"/>
                <w:sz w:val="16"/>
                <w:szCs w:val="18"/>
              </w:rPr>
              <w:t>eneral</w:t>
            </w:r>
          </w:p>
        </w:tc>
        <w:tc>
          <w:tcPr>
            <w:tcW w:w="1276" w:type="dxa"/>
            <w:shd w:val="clear" w:color="auto" w:fill="8DB3E2" w:themeFill="text2" w:themeFillTint="66"/>
            <w:noWrap/>
            <w:vAlign w:val="center"/>
          </w:tcPr>
          <w:p w14:paraId="64DC79C3" w14:textId="40D0FCC5"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5,898,828</w:t>
            </w:r>
          </w:p>
        </w:tc>
        <w:tc>
          <w:tcPr>
            <w:tcW w:w="1276" w:type="dxa"/>
            <w:shd w:val="clear" w:color="auto" w:fill="8DB3E2" w:themeFill="text2" w:themeFillTint="66"/>
            <w:noWrap/>
            <w:vAlign w:val="center"/>
          </w:tcPr>
          <w:p w14:paraId="64DC79C4" w14:textId="767D694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1,469,234</w:t>
            </w:r>
          </w:p>
        </w:tc>
        <w:tc>
          <w:tcPr>
            <w:tcW w:w="1253" w:type="dxa"/>
            <w:shd w:val="clear" w:color="auto" w:fill="8DB3E2" w:themeFill="text2" w:themeFillTint="66"/>
            <w:noWrap/>
            <w:vAlign w:val="center"/>
          </w:tcPr>
          <w:p w14:paraId="64DC79C5" w14:textId="40525B9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0</w:t>
            </w:r>
          </w:p>
        </w:tc>
        <w:tc>
          <w:tcPr>
            <w:tcW w:w="1192" w:type="dxa"/>
            <w:shd w:val="clear" w:color="auto" w:fill="8DB3E2" w:themeFill="text2" w:themeFillTint="66"/>
            <w:noWrap/>
            <w:vAlign w:val="center"/>
          </w:tcPr>
          <w:p w14:paraId="64DC79C6" w14:textId="46A9E85D" w:rsidR="001B6A00" w:rsidRPr="001B6A00" w:rsidRDefault="001B6A00" w:rsidP="001B6A00">
            <w:pPr>
              <w:spacing w:line="240" w:lineRule="auto"/>
              <w:jc w:val="right"/>
              <w:rPr>
                <w:rFonts w:ascii="Calibri Light" w:hAnsi="Calibri Light" w:cs="Calibri Light"/>
                <w:b/>
                <w:color w:val="000000"/>
                <w:sz w:val="16"/>
                <w:szCs w:val="18"/>
                <w:lang w:val="es-CR"/>
              </w:rPr>
            </w:pPr>
            <w:r w:rsidRPr="001B6A00">
              <w:rPr>
                <w:rFonts w:ascii="Calibri Light" w:hAnsi="Calibri Light" w:cs="Calibri Light"/>
                <w:b/>
                <w:sz w:val="16"/>
                <w:szCs w:val="18"/>
              </w:rPr>
              <w:t>1,469,234</w:t>
            </w:r>
          </w:p>
        </w:tc>
        <w:tc>
          <w:tcPr>
            <w:tcW w:w="957" w:type="dxa"/>
            <w:shd w:val="clear" w:color="auto" w:fill="8DB3E2" w:themeFill="text2" w:themeFillTint="66"/>
            <w:noWrap/>
            <w:vAlign w:val="center"/>
          </w:tcPr>
          <w:p w14:paraId="64DC79C7" w14:textId="730B85C8" w:rsidR="001B6A00" w:rsidRPr="001B6A00" w:rsidRDefault="001B6A00" w:rsidP="001B6A00">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sz w:val="16"/>
                <w:szCs w:val="18"/>
              </w:rPr>
              <w:t>25%</w:t>
            </w:r>
          </w:p>
        </w:tc>
      </w:tr>
    </w:tbl>
    <w:p w14:paraId="6B7C4D2B" w14:textId="4547AD6C" w:rsidR="00D170BB" w:rsidRPr="00787962" w:rsidRDefault="00D170BB">
      <w:pPr>
        <w:spacing w:line="240" w:lineRule="auto"/>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6A030234" w:rsidR="00225437" w:rsidRPr="00473EFF" w:rsidRDefault="002B2D01" w:rsidP="00AD6B46">
      <w:pPr>
        <w:pStyle w:val="Ttulo3"/>
        <w:rPr>
          <w:lang w:val="es-CR"/>
        </w:rPr>
      </w:pPr>
      <w:bookmarkStart w:id="78" w:name="_Toc448815067"/>
      <w:bookmarkStart w:id="79" w:name="_Toc70497977"/>
      <w:bookmarkStart w:id="80" w:name="_Toc131912457"/>
      <w:bookmarkStart w:id="81" w:name="_Toc163371962"/>
      <w:bookmarkStart w:id="82" w:name="_Toc195505395"/>
      <w:bookmarkStart w:id="83" w:name="_Toc226364828"/>
      <w:bookmarkStart w:id="84" w:name="_Toc273448682"/>
      <w:bookmarkStart w:id="85" w:name="_Toc504486233"/>
      <w:r>
        <w:rPr>
          <w:lang w:val="es-CR"/>
        </w:rPr>
        <w:t>2</w:t>
      </w:r>
      <w:r w:rsidR="00473EFF">
        <w:rPr>
          <w:lang w:val="es-CR"/>
        </w:rPr>
        <w:t>.</w:t>
      </w:r>
      <w:r w:rsidR="005D020A">
        <w:rPr>
          <w:lang w:val="es-CR"/>
        </w:rPr>
        <w:t>2</w:t>
      </w:r>
      <w:r w:rsidR="00473EFF">
        <w:rPr>
          <w:lang w:val="es-CR"/>
        </w:rPr>
        <w:t>.5</w:t>
      </w:r>
      <w:r w:rsidR="00473EFF">
        <w:rPr>
          <w:lang w:val="es-CR"/>
        </w:rPr>
        <w:tab/>
      </w:r>
      <w:r w:rsidR="00225437" w:rsidRPr="00473EFF">
        <w:rPr>
          <w:lang w:val="es-CR"/>
        </w:rPr>
        <w:t>Cuenta 6 “TRANSFERENCIAS CORRIENTES”</w:t>
      </w:r>
      <w:bookmarkEnd w:id="78"/>
      <w:bookmarkEnd w:id="79"/>
      <w:bookmarkEnd w:id="80"/>
      <w:bookmarkEnd w:id="81"/>
      <w:bookmarkEnd w:id="82"/>
      <w:bookmarkEnd w:id="83"/>
      <w:bookmarkEnd w:id="84"/>
      <w:bookmarkEnd w:id="85"/>
    </w:p>
    <w:p w14:paraId="64DC79E3" w14:textId="77777777" w:rsidR="00225437" w:rsidRPr="00787962" w:rsidRDefault="00225437" w:rsidP="00225437">
      <w:pPr>
        <w:spacing w:line="240" w:lineRule="auto"/>
        <w:rPr>
          <w:rFonts w:asciiTheme="minorHAnsi" w:hAnsiTheme="minorHAnsi" w:cstheme="minorHAnsi"/>
          <w:sz w:val="24"/>
          <w:szCs w:val="24"/>
          <w:lang w:val="es-CR"/>
        </w:rPr>
      </w:pPr>
    </w:p>
    <w:p w14:paraId="64DC79E4" w14:textId="50A48F31"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Esta cuenta representa las erogaciones que se destinan a satisfacer necesidades públicas de diversa índole, sin que exista una contraprestación de bienes, servicios o derechos a favor de quien transfiere los recursos, los cuales se destinan a personas, entes u órganos de</w:t>
      </w:r>
      <w:r w:rsidR="007F088D">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6549A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ector </w:t>
      </w:r>
      <w:r w:rsidR="006549A0" w:rsidRPr="00787962">
        <w:rPr>
          <w:rFonts w:asciiTheme="minorHAnsi" w:hAnsiTheme="minorHAnsi" w:cstheme="minorHAnsi"/>
          <w:sz w:val="24"/>
          <w:szCs w:val="24"/>
          <w:lang w:val="es-CR"/>
        </w:rPr>
        <w:t>P</w:t>
      </w:r>
      <w:r w:rsidRPr="00787962">
        <w:rPr>
          <w:rFonts w:asciiTheme="minorHAnsi" w:hAnsiTheme="minorHAnsi" w:cstheme="minorHAnsi"/>
          <w:sz w:val="24"/>
          <w:szCs w:val="24"/>
          <w:lang w:val="es-CR"/>
        </w:rPr>
        <w:t>úblico, privado y externo</w:t>
      </w:r>
      <w:r w:rsidR="00B62469">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para financiar fundamentalmente gasto corriente por concepto de donaciones, subsidios, subvenciones, cuotas a organismos internacionales, prestaciones laborales, pensiones, becas, indemnizaciones entre otros. </w:t>
      </w:r>
    </w:p>
    <w:p w14:paraId="7485BA08" w14:textId="77777777" w:rsidR="00086EB2" w:rsidRPr="00787962" w:rsidRDefault="00086EB2" w:rsidP="00225437">
      <w:pPr>
        <w:rPr>
          <w:rFonts w:asciiTheme="minorHAnsi" w:hAnsiTheme="minorHAnsi" w:cstheme="minorHAnsi"/>
          <w:sz w:val="24"/>
          <w:szCs w:val="24"/>
          <w:lang w:val="es-CR"/>
        </w:rPr>
      </w:pPr>
    </w:p>
    <w:p w14:paraId="64DC79E6" w14:textId="4099AE83" w:rsidR="00225437" w:rsidRPr="00787962" w:rsidRDefault="00086EB2" w:rsidP="00086EB2">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256948">
        <w:rPr>
          <w:rFonts w:asciiTheme="minorHAnsi" w:hAnsiTheme="minorHAnsi" w:cstheme="minorHAnsi"/>
          <w:sz w:val="24"/>
          <w:szCs w:val="24"/>
          <w:lang w:val="es-CR"/>
        </w:rPr>
        <w:t>41</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1B6A00">
        <w:rPr>
          <w:rFonts w:asciiTheme="minorHAnsi" w:hAnsiTheme="minorHAnsi" w:cstheme="minorHAnsi"/>
          <w:sz w:val="24"/>
          <w:szCs w:val="24"/>
          <w:lang w:val="es-CR"/>
        </w:rPr>
        <w:t>39,2%</w:t>
      </w:r>
      <w:r w:rsidR="000825BD"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F44D36" w:rsidRPr="00787962">
        <w:rPr>
          <w:rFonts w:asciiTheme="minorHAnsi" w:hAnsiTheme="minorHAnsi" w:cstheme="minorHAnsi"/>
          <w:sz w:val="24"/>
          <w:szCs w:val="24"/>
          <w:lang w:val="es-CR"/>
        </w:rPr>
        <w:t>uadro 1</w:t>
      </w:r>
      <w:r w:rsidR="0040547F">
        <w:rPr>
          <w:rFonts w:asciiTheme="minorHAnsi" w:hAnsiTheme="minorHAnsi" w:cstheme="minorHAnsi"/>
          <w:sz w:val="24"/>
          <w:szCs w:val="24"/>
          <w:lang w:val="es-CR"/>
        </w:rPr>
        <w:t>6</w:t>
      </w:r>
      <w:r w:rsidR="00225437" w:rsidRPr="00787962">
        <w:rPr>
          <w:rFonts w:asciiTheme="minorHAnsi" w:hAnsiTheme="minorHAnsi" w:cstheme="minorHAnsi"/>
          <w:sz w:val="24"/>
          <w:szCs w:val="24"/>
          <w:lang w:val="es-CR"/>
        </w:rPr>
        <w:t>.</w:t>
      </w:r>
    </w:p>
    <w:p w14:paraId="1AA94882" w14:textId="77777777" w:rsidR="003935F8" w:rsidRPr="00787962" w:rsidRDefault="003935F8" w:rsidP="00225437">
      <w:pPr>
        <w:pStyle w:val="Textoindependiente"/>
        <w:numPr>
          <w:ilvl w:val="0"/>
          <w:numId w:val="0"/>
        </w:numPr>
        <w:rPr>
          <w:rFonts w:asciiTheme="minorHAnsi" w:hAnsiTheme="minorHAnsi" w:cstheme="minorHAnsi"/>
          <w:szCs w:val="24"/>
          <w:lang w:val="es-CR"/>
        </w:rPr>
      </w:pPr>
    </w:p>
    <w:p w14:paraId="64DC79EA" w14:textId="77777777" w:rsidR="00225437" w:rsidRPr="00787962" w:rsidRDefault="00225437" w:rsidP="00AD6B46">
      <w:pPr>
        <w:pStyle w:val="Ttulo3"/>
        <w:rPr>
          <w:lang w:val="es-CR"/>
        </w:rPr>
      </w:pPr>
      <w:bookmarkStart w:id="86" w:name="_Toc504486234"/>
      <w:r w:rsidRPr="00787962">
        <w:rPr>
          <w:lang w:val="es-CR"/>
        </w:rPr>
        <w:t>Detalle de la cuenta 6 Transferencias Corriente</w:t>
      </w:r>
      <w:bookmarkEnd w:id="86"/>
    </w:p>
    <w:p w14:paraId="765ED976" w14:textId="77777777" w:rsidR="00A30BB8" w:rsidRPr="0096567B" w:rsidRDefault="00A30BB8" w:rsidP="0096567B">
      <w:pPr>
        <w:pStyle w:val="Textoindependiente"/>
        <w:numPr>
          <w:ilvl w:val="0"/>
          <w:numId w:val="0"/>
        </w:numPr>
        <w:rPr>
          <w:rFonts w:asciiTheme="minorHAnsi" w:hAnsiTheme="minorHAnsi" w:cstheme="minorHAnsi"/>
          <w:szCs w:val="24"/>
          <w:lang w:val="es-CR"/>
        </w:rPr>
      </w:pPr>
    </w:p>
    <w:p w14:paraId="4AD59BF9" w14:textId="7FF48EFF" w:rsidR="00235FFA" w:rsidRPr="0096567B" w:rsidRDefault="00542AE5" w:rsidP="0096567B">
      <w:pPr>
        <w:pStyle w:val="Textoindependiente"/>
        <w:numPr>
          <w:ilvl w:val="0"/>
          <w:numId w:val="0"/>
        </w:numPr>
        <w:spacing w:line="240" w:lineRule="auto"/>
        <w:ind w:left="142"/>
        <w:jc w:val="left"/>
        <w:rPr>
          <w:rFonts w:asciiTheme="minorHAnsi" w:hAnsiTheme="minorHAnsi" w:cstheme="minorHAnsi"/>
          <w:sz w:val="22"/>
          <w:szCs w:val="22"/>
          <w:lang w:val="es-CR"/>
        </w:rPr>
      </w:pPr>
      <w:r w:rsidRPr="0096567B">
        <w:rPr>
          <w:rFonts w:asciiTheme="minorHAnsi" w:hAnsiTheme="minorHAnsi" w:cstheme="minorHAnsi"/>
          <w:sz w:val="22"/>
          <w:szCs w:val="22"/>
          <w:lang w:val="es-CR"/>
        </w:rPr>
        <w:t xml:space="preserve">Cuadro </w:t>
      </w:r>
      <w:r w:rsidR="00F44D36" w:rsidRPr="0096567B">
        <w:rPr>
          <w:rFonts w:asciiTheme="minorHAnsi" w:hAnsiTheme="minorHAnsi" w:cstheme="minorHAnsi"/>
          <w:sz w:val="22"/>
          <w:szCs w:val="22"/>
          <w:lang w:val="es-CR"/>
        </w:rPr>
        <w:t>1</w:t>
      </w:r>
      <w:r w:rsidR="005D020A">
        <w:rPr>
          <w:rFonts w:asciiTheme="minorHAnsi" w:hAnsiTheme="minorHAnsi" w:cstheme="minorHAnsi"/>
          <w:sz w:val="22"/>
          <w:szCs w:val="22"/>
          <w:lang w:val="es-CR"/>
        </w:rPr>
        <w:t>6</w:t>
      </w:r>
      <w:r w:rsidR="00F44D36" w:rsidRPr="0096567B">
        <w:rPr>
          <w:rFonts w:asciiTheme="minorHAnsi" w:hAnsiTheme="minorHAnsi" w:cstheme="minorHAnsi"/>
          <w:sz w:val="22"/>
          <w:szCs w:val="22"/>
          <w:lang w:val="es-CR"/>
        </w:rPr>
        <w:t xml:space="preserve">: </w:t>
      </w:r>
      <w:r w:rsidR="00235FFA" w:rsidRPr="0096567B">
        <w:rPr>
          <w:rFonts w:asciiTheme="minorHAnsi" w:hAnsiTheme="minorHAnsi" w:cstheme="minorHAnsi"/>
          <w:sz w:val="22"/>
          <w:szCs w:val="22"/>
          <w:lang w:val="es-CR"/>
        </w:rPr>
        <w:t>Detalle de ejecución por cuenta</w:t>
      </w:r>
    </w:p>
    <w:p w14:paraId="64DC79EC" w14:textId="22E92822" w:rsidR="00225437" w:rsidRPr="000061DA" w:rsidRDefault="00CF6FA4" w:rsidP="0096567B">
      <w:pPr>
        <w:spacing w:line="240" w:lineRule="auto"/>
        <w:ind w:left="142"/>
        <w:jc w:val="left"/>
        <w:rPr>
          <w:rFonts w:asciiTheme="minorHAnsi" w:hAnsiTheme="minorHAnsi" w:cstheme="minorHAnsi"/>
          <w:sz w:val="18"/>
          <w:szCs w:val="22"/>
          <w:lang w:val="es-CR"/>
        </w:rPr>
      </w:pPr>
      <w:r w:rsidRPr="000061DA">
        <w:rPr>
          <w:rFonts w:asciiTheme="minorHAnsi" w:hAnsiTheme="minorHAnsi" w:cstheme="minorHAnsi"/>
          <w:sz w:val="18"/>
          <w:szCs w:val="22"/>
          <w:lang w:val="es-CR"/>
        </w:rPr>
        <w:t>Montos en C</w:t>
      </w:r>
      <w:r w:rsidR="00225437" w:rsidRPr="000061DA">
        <w:rPr>
          <w:rFonts w:asciiTheme="minorHAnsi" w:hAnsiTheme="minorHAnsi" w:cstheme="minorHAnsi"/>
          <w:sz w:val="18"/>
          <w:szCs w:val="22"/>
          <w:lang w:val="es-CR"/>
        </w:rPr>
        <w:t>olones</w:t>
      </w:r>
    </w:p>
    <w:tbl>
      <w:tblPr>
        <w:tblW w:w="91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623"/>
        <w:gridCol w:w="1276"/>
        <w:gridCol w:w="1197"/>
        <w:gridCol w:w="1128"/>
        <w:gridCol w:w="1219"/>
        <w:gridCol w:w="868"/>
      </w:tblGrid>
      <w:tr w:rsidR="000825BD" w:rsidRPr="001B6A00" w14:paraId="64DC79F4" w14:textId="77777777" w:rsidTr="00EB1450">
        <w:trPr>
          <w:trHeight w:val="405"/>
          <w:tblHeader/>
        </w:trPr>
        <w:tc>
          <w:tcPr>
            <w:tcW w:w="789" w:type="dxa"/>
            <w:vMerge w:val="restart"/>
            <w:shd w:val="clear" w:color="auto" w:fill="C6D9F1" w:themeFill="text2" w:themeFillTint="33"/>
            <w:vAlign w:val="center"/>
          </w:tcPr>
          <w:p w14:paraId="64DC79ED" w14:textId="68D8690A" w:rsidR="000825BD" w:rsidRPr="001B6A00" w:rsidRDefault="000825BD" w:rsidP="001B6A00">
            <w:pPr>
              <w:spacing w:line="240" w:lineRule="auto"/>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CÓDIGO</w:t>
            </w:r>
          </w:p>
        </w:tc>
        <w:tc>
          <w:tcPr>
            <w:tcW w:w="2623" w:type="dxa"/>
            <w:vMerge w:val="restart"/>
            <w:shd w:val="clear" w:color="auto" w:fill="C6D9F1" w:themeFill="text2" w:themeFillTint="33"/>
            <w:vAlign w:val="center"/>
          </w:tcPr>
          <w:p w14:paraId="64DC79EE" w14:textId="0261B272"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DESCRIPCIÓN</w:t>
            </w:r>
          </w:p>
        </w:tc>
        <w:tc>
          <w:tcPr>
            <w:tcW w:w="1276" w:type="dxa"/>
            <w:vMerge w:val="restart"/>
            <w:shd w:val="clear" w:color="auto" w:fill="C6D9F1" w:themeFill="text2" w:themeFillTint="33"/>
            <w:vAlign w:val="center"/>
          </w:tcPr>
          <w:p w14:paraId="64DC79EF" w14:textId="30562968"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PRESUPUESTO</w:t>
            </w:r>
          </w:p>
        </w:tc>
        <w:tc>
          <w:tcPr>
            <w:tcW w:w="1197" w:type="dxa"/>
            <w:vMerge w:val="restart"/>
            <w:shd w:val="clear" w:color="auto" w:fill="C6D9F1" w:themeFill="text2" w:themeFillTint="33"/>
            <w:vAlign w:val="center"/>
          </w:tcPr>
          <w:p w14:paraId="64DC79F0" w14:textId="50858FF9"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GASTO REAL</w:t>
            </w:r>
          </w:p>
        </w:tc>
        <w:tc>
          <w:tcPr>
            <w:tcW w:w="1128" w:type="dxa"/>
            <w:vMerge w:val="restart"/>
            <w:shd w:val="clear" w:color="auto" w:fill="C6D9F1" w:themeFill="text2" w:themeFillTint="33"/>
            <w:vAlign w:val="center"/>
          </w:tcPr>
          <w:p w14:paraId="64DC79F1" w14:textId="72FDBE47"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COMPROMISO</w:t>
            </w:r>
          </w:p>
        </w:tc>
        <w:tc>
          <w:tcPr>
            <w:tcW w:w="1219" w:type="dxa"/>
            <w:vMerge w:val="restart"/>
            <w:shd w:val="clear" w:color="auto" w:fill="C6D9F1" w:themeFill="text2" w:themeFillTint="33"/>
            <w:vAlign w:val="center"/>
          </w:tcPr>
          <w:p w14:paraId="64DC79F2" w14:textId="5F752163" w:rsidR="000825BD" w:rsidRPr="001B6A00" w:rsidRDefault="00461408"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 xml:space="preserve">GASTO </w:t>
            </w:r>
            <w:r w:rsidRPr="001B6A00">
              <w:rPr>
                <w:rFonts w:ascii="Calibri Light" w:hAnsi="Calibri Light" w:cs="Calibri Light"/>
                <w:b/>
                <w:color w:val="000000"/>
                <w:sz w:val="16"/>
                <w:szCs w:val="16"/>
                <w:lang w:val="es-CR"/>
              </w:rPr>
              <w:br/>
            </w:r>
            <w:r w:rsidR="001B6A00" w:rsidRPr="001B6A00">
              <w:rPr>
                <w:rFonts w:ascii="Calibri Light" w:hAnsi="Calibri Light" w:cs="Calibri Light"/>
                <w:b/>
                <w:color w:val="000000"/>
                <w:sz w:val="16"/>
                <w:szCs w:val="16"/>
                <w:lang w:val="es-CR"/>
              </w:rPr>
              <w:t>IV</w:t>
            </w:r>
            <w:r w:rsidR="000825BD" w:rsidRPr="001B6A00">
              <w:rPr>
                <w:rFonts w:ascii="Calibri Light" w:hAnsi="Calibri Light" w:cs="Calibri Light"/>
                <w:b/>
                <w:color w:val="000000"/>
                <w:sz w:val="16"/>
                <w:szCs w:val="16"/>
                <w:lang w:val="es-CR"/>
              </w:rPr>
              <w:t xml:space="preserve"> TRIMESTRE</w:t>
            </w:r>
          </w:p>
        </w:tc>
        <w:tc>
          <w:tcPr>
            <w:tcW w:w="868" w:type="dxa"/>
            <w:vMerge w:val="restart"/>
            <w:shd w:val="clear" w:color="auto" w:fill="C6D9F1" w:themeFill="text2" w:themeFillTint="33"/>
            <w:vAlign w:val="center"/>
          </w:tcPr>
          <w:p w14:paraId="64DC79F3" w14:textId="08064E42"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 xml:space="preserve">% DE EJECUCIÓN REAL </w:t>
            </w:r>
          </w:p>
        </w:tc>
      </w:tr>
      <w:tr w:rsidR="000825BD" w:rsidRPr="00256948" w14:paraId="64DC79FC" w14:textId="77777777" w:rsidTr="001B6A00">
        <w:trPr>
          <w:trHeight w:val="346"/>
          <w:tblHeader/>
        </w:trPr>
        <w:tc>
          <w:tcPr>
            <w:tcW w:w="789" w:type="dxa"/>
            <w:vMerge/>
            <w:shd w:val="clear" w:color="auto" w:fill="C6D9F1" w:themeFill="text2" w:themeFillTint="33"/>
            <w:vAlign w:val="center"/>
          </w:tcPr>
          <w:p w14:paraId="64DC79F5" w14:textId="77777777" w:rsidR="000825BD" w:rsidRPr="00256948" w:rsidRDefault="000825BD" w:rsidP="000825BD">
            <w:pPr>
              <w:spacing w:line="240" w:lineRule="auto"/>
              <w:jc w:val="left"/>
              <w:rPr>
                <w:rFonts w:asciiTheme="minorHAnsi" w:hAnsiTheme="minorHAnsi" w:cstheme="minorHAnsi"/>
                <w:b/>
                <w:bCs/>
                <w:color w:val="000000"/>
                <w:sz w:val="16"/>
                <w:szCs w:val="16"/>
                <w:highlight w:val="yellow"/>
                <w:lang w:val="es-CR"/>
              </w:rPr>
            </w:pPr>
          </w:p>
        </w:tc>
        <w:tc>
          <w:tcPr>
            <w:tcW w:w="2623" w:type="dxa"/>
            <w:vMerge/>
            <w:shd w:val="clear" w:color="auto" w:fill="C6D9F1" w:themeFill="text2" w:themeFillTint="33"/>
            <w:vAlign w:val="center"/>
          </w:tcPr>
          <w:p w14:paraId="64DC79F6" w14:textId="77777777" w:rsidR="000825BD" w:rsidRPr="00256948" w:rsidRDefault="000825BD" w:rsidP="000825BD">
            <w:pPr>
              <w:spacing w:line="240" w:lineRule="auto"/>
              <w:jc w:val="left"/>
              <w:rPr>
                <w:rFonts w:asciiTheme="minorHAnsi" w:hAnsiTheme="minorHAnsi" w:cstheme="minorHAnsi"/>
                <w:b/>
                <w:bCs/>
                <w:color w:val="000000"/>
                <w:sz w:val="16"/>
                <w:szCs w:val="16"/>
                <w:highlight w:val="yellow"/>
                <w:lang w:val="es-CR"/>
              </w:rPr>
            </w:pPr>
          </w:p>
        </w:tc>
        <w:tc>
          <w:tcPr>
            <w:tcW w:w="1276" w:type="dxa"/>
            <w:vMerge/>
            <w:shd w:val="clear" w:color="auto" w:fill="C6D9F1" w:themeFill="text2" w:themeFillTint="33"/>
            <w:vAlign w:val="center"/>
          </w:tcPr>
          <w:p w14:paraId="64DC79F7"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197" w:type="dxa"/>
            <w:vMerge/>
            <w:shd w:val="clear" w:color="auto" w:fill="C6D9F1" w:themeFill="text2" w:themeFillTint="33"/>
            <w:vAlign w:val="center"/>
          </w:tcPr>
          <w:p w14:paraId="64DC79F8"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128" w:type="dxa"/>
            <w:vMerge/>
            <w:shd w:val="clear" w:color="auto" w:fill="C6D9F1" w:themeFill="text2" w:themeFillTint="33"/>
            <w:vAlign w:val="center"/>
          </w:tcPr>
          <w:p w14:paraId="64DC79F9"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219" w:type="dxa"/>
            <w:vMerge/>
            <w:shd w:val="clear" w:color="auto" w:fill="C6D9F1" w:themeFill="text2" w:themeFillTint="33"/>
            <w:vAlign w:val="center"/>
          </w:tcPr>
          <w:p w14:paraId="64DC79FA"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868" w:type="dxa"/>
            <w:vMerge/>
            <w:shd w:val="clear" w:color="auto" w:fill="C6D9F1" w:themeFill="text2" w:themeFillTint="33"/>
            <w:vAlign w:val="center"/>
          </w:tcPr>
          <w:p w14:paraId="64DC79FB"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r>
      <w:tr w:rsidR="001B6A00" w:rsidRPr="001B6A00" w14:paraId="64DC7A04" w14:textId="77777777" w:rsidTr="001B6A00">
        <w:trPr>
          <w:trHeight w:val="480"/>
        </w:trPr>
        <w:tc>
          <w:tcPr>
            <w:tcW w:w="789" w:type="dxa"/>
            <w:shd w:val="clear" w:color="auto" w:fill="auto"/>
            <w:noWrap/>
            <w:vAlign w:val="center"/>
          </w:tcPr>
          <w:p w14:paraId="64DC79FD" w14:textId="70C10A05" w:rsidR="001B6A00" w:rsidRPr="001B6A00" w:rsidRDefault="001B6A00" w:rsidP="001B6A00">
            <w:pPr>
              <w:spacing w:line="240" w:lineRule="auto"/>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6.02.01</w:t>
            </w:r>
          </w:p>
        </w:tc>
        <w:tc>
          <w:tcPr>
            <w:tcW w:w="2623" w:type="dxa"/>
            <w:shd w:val="clear" w:color="auto" w:fill="auto"/>
            <w:noWrap/>
            <w:vAlign w:val="center"/>
          </w:tcPr>
          <w:p w14:paraId="64DC79FE" w14:textId="772C7D6D" w:rsidR="001B6A00" w:rsidRPr="001B6A00" w:rsidRDefault="001B6A00" w:rsidP="001B6A00">
            <w:pPr>
              <w:spacing w:line="240" w:lineRule="auto"/>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Becas a funcionarios</w:t>
            </w:r>
          </w:p>
        </w:tc>
        <w:tc>
          <w:tcPr>
            <w:tcW w:w="1276" w:type="dxa"/>
            <w:shd w:val="clear" w:color="auto" w:fill="auto"/>
            <w:noWrap/>
            <w:vAlign w:val="center"/>
          </w:tcPr>
          <w:p w14:paraId="64DC79FF" w14:textId="7AFC4390"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4,300,000</w:t>
            </w:r>
          </w:p>
        </w:tc>
        <w:tc>
          <w:tcPr>
            <w:tcW w:w="1197" w:type="dxa"/>
            <w:shd w:val="clear" w:color="auto" w:fill="auto"/>
            <w:noWrap/>
            <w:vAlign w:val="center"/>
          </w:tcPr>
          <w:p w14:paraId="64DC7A00" w14:textId="5F7E4EB6"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1,033,610</w:t>
            </w:r>
          </w:p>
        </w:tc>
        <w:tc>
          <w:tcPr>
            <w:tcW w:w="1128" w:type="dxa"/>
            <w:shd w:val="clear" w:color="auto" w:fill="auto"/>
            <w:noWrap/>
            <w:vAlign w:val="center"/>
          </w:tcPr>
          <w:p w14:paraId="64DC7A01" w14:textId="5ADD95A1"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0</w:t>
            </w:r>
          </w:p>
        </w:tc>
        <w:tc>
          <w:tcPr>
            <w:tcW w:w="1219" w:type="dxa"/>
            <w:shd w:val="clear" w:color="auto" w:fill="auto"/>
            <w:noWrap/>
            <w:vAlign w:val="center"/>
          </w:tcPr>
          <w:p w14:paraId="64DC7A02" w14:textId="109080D1"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1,033,610</w:t>
            </w:r>
          </w:p>
        </w:tc>
        <w:tc>
          <w:tcPr>
            <w:tcW w:w="868" w:type="dxa"/>
            <w:shd w:val="clear" w:color="auto" w:fill="auto"/>
            <w:noWrap/>
            <w:vAlign w:val="center"/>
          </w:tcPr>
          <w:p w14:paraId="64DC7A03" w14:textId="351FAE53" w:rsidR="001B6A00" w:rsidRPr="001B6A00" w:rsidRDefault="001B6A00" w:rsidP="001B6A00">
            <w:pPr>
              <w:spacing w:line="240" w:lineRule="auto"/>
              <w:jc w:val="center"/>
              <w:rPr>
                <w:rFonts w:ascii="Calibri Light" w:hAnsi="Calibri Light" w:cs="Calibri Light"/>
                <w:b/>
                <w:bCs/>
                <w:color w:val="000000"/>
                <w:sz w:val="16"/>
                <w:szCs w:val="16"/>
                <w:lang w:val="es-CR"/>
              </w:rPr>
            </w:pPr>
            <w:r w:rsidRPr="001B6A00">
              <w:rPr>
                <w:rFonts w:ascii="Calibri Light" w:hAnsi="Calibri Light" w:cs="Calibri Light"/>
                <w:sz w:val="16"/>
                <w:szCs w:val="16"/>
              </w:rPr>
              <w:t>24%</w:t>
            </w:r>
          </w:p>
        </w:tc>
      </w:tr>
      <w:tr w:rsidR="001B6A00" w:rsidRPr="001B6A00" w14:paraId="64DC7A14" w14:textId="77777777" w:rsidTr="001B6A00">
        <w:trPr>
          <w:trHeight w:val="276"/>
        </w:trPr>
        <w:tc>
          <w:tcPr>
            <w:tcW w:w="789" w:type="dxa"/>
            <w:shd w:val="clear" w:color="auto" w:fill="auto"/>
            <w:noWrap/>
            <w:vAlign w:val="center"/>
          </w:tcPr>
          <w:p w14:paraId="64DC7A0D" w14:textId="1CC52505"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6.03.01</w:t>
            </w:r>
          </w:p>
        </w:tc>
        <w:tc>
          <w:tcPr>
            <w:tcW w:w="2623" w:type="dxa"/>
            <w:shd w:val="clear" w:color="auto" w:fill="auto"/>
            <w:noWrap/>
            <w:vAlign w:val="center"/>
          </w:tcPr>
          <w:p w14:paraId="64DC7A0E" w14:textId="66407C4F" w:rsidR="001B6A00" w:rsidRPr="001B6A00" w:rsidRDefault="003F4F45" w:rsidP="001B6A00">
            <w:pPr>
              <w:spacing w:line="240" w:lineRule="auto"/>
              <w:jc w:val="left"/>
              <w:rPr>
                <w:rFonts w:ascii="Calibri Light" w:hAnsi="Calibri Light" w:cs="Calibri Light"/>
                <w:color w:val="000000"/>
                <w:sz w:val="16"/>
                <w:szCs w:val="16"/>
                <w:lang w:val="es-CR"/>
              </w:rPr>
            </w:pPr>
            <w:r>
              <w:rPr>
                <w:rFonts w:ascii="Calibri Light" w:hAnsi="Calibri Light" w:cs="Calibri Light"/>
                <w:sz w:val="16"/>
                <w:szCs w:val="16"/>
              </w:rPr>
              <w:t>Prestaciones L</w:t>
            </w:r>
            <w:r w:rsidR="001B6A00" w:rsidRPr="001B6A00">
              <w:rPr>
                <w:rFonts w:ascii="Calibri Light" w:hAnsi="Calibri Light" w:cs="Calibri Light"/>
                <w:sz w:val="16"/>
                <w:szCs w:val="16"/>
              </w:rPr>
              <w:t>egales</w:t>
            </w:r>
          </w:p>
        </w:tc>
        <w:tc>
          <w:tcPr>
            <w:tcW w:w="1276" w:type="dxa"/>
            <w:shd w:val="clear" w:color="auto" w:fill="auto"/>
            <w:noWrap/>
            <w:vAlign w:val="center"/>
          </w:tcPr>
          <w:p w14:paraId="64DC7A0F" w14:textId="7F272A5A"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20,000,000</w:t>
            </w:r>
          </w:p>
        </w:tc>
        <w:tc>
          <w:tcPr>
            <w:tcW w:w="1197" w:type="dxa"/>
            <w:shd w:val="clear" w:color="auto" w:fill="auto"/>
            <w:noWrap/>
            <w:vAlign w:val="center"/>
          </w:tcPr>
          <w:p w14:paraId="64DC7A10" w14:textId="78658A6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11,135,998</w:t>
            </w:r>
          </w:p>
        </w:tc>
        <w:tc>
          <w:tcPr>
            <w:tcW w:w="1128" w:type="dxa"/>
            <w:shd w:val="clear" w:color="auto" w:fill="auto"/>
            <w:noWrap/>
            <w:vAlign w:val="center"/>
          </w:tcPr>
          <w:p w14:paraId="64DC7A11" w14:textId="0550F7B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12" w14:textId="07B05DC0"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11,135,998</w:t>
            </w:r>
          </w:p>
        </w:tc>
        <w:tc>
          <w:tcPr>
            <w:tcW w:w="868" w:type="dxa"/>
            <w:shd w:val="clear" w:color="auto" w:fill="auto"/>
            <w:noWrap/>
            <w:vAlign w:val="center"/>
          </w:tcPr>
          <w:p w14:paraId="64DC7A13" w14:textId="45213B81"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56%</w:t>
            </w:r>
          </w:p>
        </w:tc>
      </w:tr>
      <w:tr w:rsidR="001B6A00" w:rsidRPr="001B6A00" w14:paraId="64DC7A1C" w14:textId="77777777" w:rsidTr="001B6A00">
        <w:trPr>
          <w:trHeight w:val="276"/>
        </w:trPr>
        <w:tc>
          <w:tcPr>
            <w:tcW w:w="789" w:type="dxa"/>
            <w:shd w:val="clear" w:color="auto" w:fill="auto"/>
            <w:noWrap/>
            <w:vAlign w:val="center"/>
          </w:tcPr>
          <w:p w14:paraId="64DC7A15" w14:textId="13835AD9"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6.03.99</w:t>
            </w:r>
          </w:p>
        </w:tc>
        <w:tc>
          <w:tcPr>
            <w:tcW w:w="2623" w:type="dxa"/>
            <w:shd w:val="clear" w:color="auto" w:fill="auto"/>
            <w:noWrap/>
            <w:vAlign w:val="center"/>
          </w:tcPr>
          <w:p w14:paraId="64DC7A16" w14:textId="22A607A8"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Otras prestaciones a terceras personas</w:t>
            </w:r>
          </w:p>
        </w:tc>
        <w:tc>
          <w:tcPr>
            <w:tcW w:w="1276" w:type="dxa"/>
            <w:shd w:val="clear" w:color="auto" w:fill="auto"/>
            <w:noWrap/>
            <w:vAlign w:val="center"/>
          </w:tcPr>
          <w:p w14:paraId="64DC7A17" w14:textId="1BDF1B67"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23,000,000</w:t>
            </w:r>
          </w:p>
        </w:tc>
        <w:tc>
          <w:tcPr>
            <w:tcW w:w="1197" w:type="dxa"/>
            <w:shd w:val="clear" w:color="auto" w:fill="auto"/>
            <w:noWrap/>
            <w:vAlign w:val="center"/>
          </w:tcPr>
          <w:p w14:paraId="64DC7A18" w14:textId="639C612D"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7,867,011</w:t>
            </w:r>
          </w:p>
        </w:tc>
        <w:tc>
          <w:tcPr>
            <w:tcW w:w="1128" w:type="dxa"/>
            <w:shd w:val="clear" w:color="auto" w:fill="auto"/>
            <w:noWrap/>
            <w:vAlign w:val="center"/>
          </w:tcPr>
          <w:p w14:paraId="64DC7A19" w14:textId="635AF64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1A" w14:textId="1A9C76B3"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7,867,011</w:t>
            </w:r>
          </w:p>
        </w:tc>
        <w:tc>
          <w:tcPr>
            <w:tcW w:w="868" w:type="dxa"/>
            <w:shd w:val="clear" w:color="auto" w:fill="auto"/>
            <w:noWrap/>
            <w:vAlign w:val="center"/>
          </w:tcPr>
          <w:p w14:paraId="64DC7A1B" w14:textId="4BCBD2B4"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34%</w:t>
            </w:r>
          </w:p>
        </w:tc>
      </w:tr>
      <w:tr w:rsidR="001B6A00" w:rsidRPr="001B6A00" w14:paraId="64DC7A24" w14:textId="77777777" w:rsidTr="001B6A00">
        <w:trPr>
          <w:trHeight w:val="276"/>
        </w:trPr>
        <w:tc>
          <w:tcPr>
            <w:tcW w:w="789" w:type="dxa"/>
            <w:shd w:val="clear" w:color="auto" w:fill="auto"/>
            <w:noWrap/>
            <w:vAlign w:val="center"/>
          </w:tcPr>
          <w:p w14:paraId="64DC7A1D" w14:textId="0C673851"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6.06.01</w:t>
            </w:r>
          </w:p>
        </w:tc>
        <w:tc>
          <w:tcPr>
            <w:tcW w:w="2623" w:type="dxa"/>
            <w:shd w:val="clear" w:color="auto" w:fill="auto"/>
            <w:noWrap/>
            <w:vAlign w:val="center"/>
          </w:tcPr>
          <w:p w14:paraId="64DC7A1E" w14:textId="5D30DC05"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Indemnizaciones</w:t>
            </w:r>
          </w:p>
        </w:tc>
        <w:tc>
          <w:tcPr>
            <w:tcW w:w="1276" w:type="dxa"/>
            <w:shd w:val="clear" w:color="auto" w:fill="auto"/>
            <w:noWrap/>
            <w:vAlign w:val="center"/>
          </w:tcPr>
          <w:p w14:paraId="64DC7A1F" w14:textId="55CECD1E"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25,440,000</w:t>
            </w:r>
          </w:p>
        </w:tc>
        <w:tc>
          <w:tcPr>
            <w:tcW w:w="1197" w:type="dxa"/>
            <w:shd w:val="clear" w:color="auto" w:fill="auto"/>
            <w:noWrap/>
            <w:vAlign w:val="center"/>
          </w:tcPr>
          <w:p w14:paraId="64DC7A20" w14:textId="02525BF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128" w:type="dxa"/>
            <w:shd w:val="clear" w:color="auto" w:fill="auto"/>
            <w:noWrap/>
            <w:vAlign w:val="center"/>
          </w:tcPr>
          <w:p w14:paraId="64DC7A21" w14:textId="3E7D4BAB"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22" w14:textId="327EF6F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868" w:type="dxa"/>
            <w:shd w:val="clear" w:color="auto" w:fill="auto"/>
            <w:noWrap/>
            <w:vAlign w:val="center"/>
          </w:tcPr>
          <w:p w14:paraId="64DC7A23" w14:textId="32C47F77"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0%</w:t>
            </w:r>
          </w:p>
        </w:tc>
      </w:tr>
      <w:tr w:rsidR="001B6A00" w:rsidRPr="001B6A00" w14:paraId="64DC7A2C" w14:textId="77777777" w:rsidTr="00A775D5">
        <w:trPr>
          <w:trHeight w:val="386"/>
        </w:trPr>
        <w:tc>
          <w:tcPr>
            <w:tcW w:w="789" w:type="dxa"/>
            <w:shd w:val="clear" w:color="auto" w:fill="auto"/>
            <w:noWrap/>
            <w:vAlign w:val="center"/>
          </w:tcPr>
          <w:p w14:paraId="64DC7A25" w14:textId="31C9B341"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6.07.01</w:t>
            </w:r>
          </w:p>
        </w:tc>
        <w:tc>
          <w:tcPr>
            <w:tcW w:w="2623" w:type="dxa"/>
            <w:shd w:val="clear" w:color="auto" w:fill="auto"/>
            <w:noWrap/>
            <w:vAlign w:val="center"/>
          </w:tcPr>
          <w:p w14:paraId="64DC7A26" w14:textId="5B472E0B"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Cuotas a Organismos Internacionales</w:t>
            </w:r>
          </w:p>
        </w:tc>
        <w:tc>
          <w:tcPr>
            <w:tcW w:w="1276" w:type="dxa"/>
            <w:shd w:val="clear" w:color="auto" w:fill="auto"/>
            <w:noWrap/>
            <w:vAlign w:val="center"/>
          </w:tcPr>
          <w:p w14:paraId="64DC7A27" w14:textId="215D765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19,901,340</w:t>
            </w:r>
          </w:p>
        </w:tc>
        <w:tc>
          <w:tcPr>
            <w:tcW w:w="1197" w:type="dxa"/>
            <w:shd w:val="clear" w:color="auto" w:fill="auto"/>
            <w:noWrap/>
            <w:vAlign w:val="center"/>
          </w:tcPr>
          <w:p w14:paraId="64DC7A28" w14:textId="66D39EE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18,383,945</w:t>
            </w:r>
          </w:p>
        </w:tc>
        <w:tc>
          <w:tcPr>
            <w:tcW w:w="1128" w:type="dxa"/>
            <w:shd w:val="clear" w:color="auto" w:fill="auto"/>
            <w:noWrap/>
            <w:vAlign w:val="center"/>
          </w:tcPr>
          <w:p w14:paraId="64DC7A29" w14:textId="41FB70ED"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2A" w14:textId="26D4429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18,383,945</w:t>
            </w:r>
          </w:p>
        </w:tc>
        <w:tc>
          <w:tcPr>
            <w:tcW w:w="868" w:type="dxa"/>
            <w:shd w:val="clear" w:color="auto" w:fill="auto"/>
            <w:noWrap/>
            <w:vAlign w:val="center"/>
          </w:tcPr>
          <w:p w14:paraId="64DC7A2B" w14:textId="1A3DBDFE"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92%</w:t>
            </w:r>
          </w:p>
        </w:tc>
      </w:tr>
      <w:tr w:rsidR="001B6A00" w:rsidRPr="001B6A00" w14:paraId="64DC7A44" w14:textId="77777777" w:rsidTr="001B6A00">
        <w:trPr>
          <w:trHeight w:val="338"/>
        </w:trPr>
        <w:tc>
          <w:tcPr>
            <w:tcW w:w="789" w:type="dxa"/>
            <w:shd w:val="clear" w:color="auto" w:fill="auto"/>
            <w:noWrap/>
            <w:vAlign w:val="center"/>
          </w:tcPr>
          <w:p w14:paraId="64DC7A3D" w14:textId="36BCFCDD"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6.02.02</w:t>
            </w:r>
          </w:p>
        </w:tc>
        <w:tc>
          <w:tcPr>
            <w:tcW w:w="2623" w:type="dxa"/>
            <w:shd w:val="clear" w:color="auto" w:fill="auto"/>
            <w:noWrap/>
            <w:vAlign w:val="center"/>
          </w:tcPr>
          <w:p w14:paraId="64DC7A3E" w14:textId="51087C8C"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Becas a terceras personas</w:t>
            </w:r>
          </w:p>
        </w:tc>
        <w:tc>
          <w:tcPr>
            <w:tcW w:w="1276" w:type="dxa"/>
            <w:shd w:val="clear" w:color="auto" w:fill="auto"/>
            <w:noWrap/>
            <w:vAlign w:val="center"/>
          </w:tcPr>
          <w:p w14:paraId="64DC7A3F" w14:textId="650A8E9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3,100,000</w:t>
            </w:r>
          </w:p>
        </w:tc>
        <w:tc>
          <w:tcPr>
            <w:tcW w:w="1197" w:type="dxa"/>
            <w:shd w:val="clear" w:color="auto" w:fill="auto"/>
            <w:noWrap/>
            <w:vAlign w:val="center"/>
          </w:tcPr>
          <w:p w14:paraId="64DC7A40" w14:textId="455609C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758,441</w:t>
            </w:r>
          </w:p>
        </w:tc>
        <w:tc>
          <w:tcPr>
            <w:tcW w:w="1128" w:type="dxa"/>
            <w:shd w:val="clear" w:color="auto" w:fill="auto"/>
            <w:noWrap/>
            <w:vAlign w:val="center"/>
          </w:tcPr>
          <w:p w14:paraId="64DC7A41" w14:textId="6F6E1FB8"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42" w14:textId="67485AF0"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758,441</w:t>
            </w:r>
          </w:p>
        </w:tc>
        <w:tc>
          <w:tcPr>
            <w:tcW w:w="868" w:type="dxa"/>
            <w:shd w:val="clear" w:color="auto" w:fill="auto"/>
            <w:vAlign w:val="center"/>
          </w:tcPr>
          <w:p w14:paraId="64DC7A43" w14:textId="66E1C93E"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24%</w:t>
            </w:r>
          </w:p>
        </w:tc>
      </w:tr>
      <w:tr w:rsidR="001B6A00" w:rsidRPr="001B6A00" w14:paraId="166479A1" w14:textId="77777777" w:rsidTr="001B6A00">
        <w:trPr>
          <w:trHeight w:val="398"/>
        </w:trPr>
        <w:tc>
          <w:tcPr>
            <w:tcW w:w="3412" w:type="dxa"/>
            <w:gridSpan w:val="2"/>
            <w:shd w:val="clear" w:color="auto" w:fill="8DB3E2" w:themeFill="text2" w:themeFillTint="66"/>
            <w:noWrap/>
            <w:vAlign w:val="center"/>
          </w:tcPr>
          <w:p w14:paraId="2BEEFDA2" w14:textId="68EB83DC"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Total general</w:t>
            </w:r>
          </w:p>
        </w:tc>
        <w:tc>
          <w:tcPr>
            <w:tcW w:w="1276" w:type="dxa"/>
            <w:shd w:val="clear" w:color="auto" w:fill="8DB3E2" w:themeFill="text2" w:themeFillTint="66"/>
            <w:noWrap/>
            <w:vAlign w:val="center"/>
          </w:tcPr>
          <w:p w14:paraId="0A84E774" w14:textId="433A7F94"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95,741,340</w:t>
            </w:r>
          </w:p>
        </w:tc>
        <w:tc>
          <w:tcPr>
            <w:tcW w:w="1197" w:type="dxa"/>
            <w:shd w:val="clear" w:color="auto" w:fill="8DB3E2" w:themeFill="text2" w:themeFillTint="66"/>
            <w:noWrap/>
            <w:vAlign w:val="center"/>
          </w:tcPr>
          <w:p w14:paraId="27AFF814" w14:textId="614268E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39,179,005</w:t>
            </w:r>
          </w:p>
        </w:tc>
        <w:tc>
          <w:tcPr>
            <w:tcW w:w="1128" w:type="dxa"/>
            <w:shd w:val="clear" w:color="auto" w:fill="8DB3E2" w:themeFill="text2" w:themeFillTint="66"/>
            <w:noWrap/>
            <w:vAlign w:val="center"/>
          </w:tcPr>
          <w:p w14:paraId="24CCCDD1" w14:textId="6267FE73"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0</w:t>
            </w:r>
          </w:p>
        </w:tc>
        <w:tc>
          <w:tcPr>
            <w:tcW w:w="1219" w:type="dxa"/>
            <w:shd w:val="clear" w:color="auto" w:fill="8DB3E2" w:themeFill="text2" w:themeFillTint="66"/>
            <w:noWrap/>
            <w:vAlign w:val="center"/>
          </w:tcPr>
          <w:p w14:paraId="60008764" w14:textId="7C89DDF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39,179,005</w:t>
            </w:r>
          </w:p>
        </w:tc>
        <w:tc>
          <w:tcPr>
            <w:tcW w:w="868" w:type="dxa"/>
            <w:shd w:val="clear" w:color="auto" w:fill="8DB3E2" w:themeFill="text2" w:themeFillTint="66"/>
            <w:vAlign w:val="center"/>
          </w:tcPr>
          <w:p w14:paraId="0F56F793" w14:textId="50DE0130"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41%</w:t>
            </w:r>
          </w:p>
        </w:tc>
      </w:tr>
    </w:tbl>
    <w:p w14:paraId="64DC7A45" w14:textId="1C7695F0" w:rsidR="00225437" w:rsidRPr="0096567B" w:rsidRDefault="00225437" w:rsidP="0096567B">
      <w:pPr>
        <w:pStyle w:val="Textoindependiente"/>
        <w:numPr>
          <w:ilvl w:val="0"/>
          <w:numId w:val="0"/>
        </w:numPr>
        <w:rPr>
          <w:rFonts w:asciiTheme="minorHAnsi" w:hAnsiTheme="minorHAnsi" w:cstheme="minorHAnsi"/>
          <w:szCs w:val="24"/>
          <w:lang w:val="es-CR"/>
        </w:rPr>
      </w:pPr>
    </w:p>
    <w:p w14:paraId="4D82953F" w14:textId="77777777" w:rsidR="001C2AD6" w:rsidRDefault="001C2AD6" w:rsidP="008E0E63">
      <w:pPr>
        <w:pStyle w:val="Textoindependiente"/>
        <w:numPr>
          <w:ilvl w:val="0"/>
          <w:numId w:val="0"/>
        </w:numPr>
        <w:rPr>
          <w:rFonts w:asciiTheme="minorHAnsi" w:hAnsiTheme="minorHAnsi" w:cstheme="minorHAnsi"/>
          <w:szCs w:val="24"/>
          <w:lang w:val="es-CR"/>
        </w:rPr>
      </w:pPr>
    </w:p>
    <w:p w14:paraId="1CBD1186" w14:textId="38092035" w:rsidR="008E0E63" w:rsidRDefault="00225437"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6549A0" w:rsidRPr="00787962">
        <w:rPr>
          <w:rFonts w:asciiTheme="minorHAnsi" w:hAnsiTheme="minorHAnsi" w:cstheme="minorHAnsi"/>
          <w:szCs w:val="24"/>
          <w:lang w:val="es-CR"/>
        </w:rPr>
        <w:t>c</w:t>
      </w:r>
      <w:r w:rsidR="00B228EC" w:rsidRPr="00787962">
        <w:rPr>
          <w:rFonts w:asciiTheme="minorHAnsi" w:hAnsiTheme="minorHAnsi" w:cstheme="minorHAnsi"/>
          <w:szCs w:val="24"/>
          <w:lang w:val="es-CR"/>
        </w:rPr>
        <w:t xml:space="preserve">apacitación en territorio nacional </w:t>
      </w:r>
      <w:r w:rsidRPr="00787962">
        <w:rPr>
          <w:rFonts w:asciiTheme="minorHAnsi" w:hAnsiTheme="minorHAnsi" w:cstheme="minorHAnsi"/>
          <w:szCs w:val="24"/>
          <w:lang w:val="es-CR"/>
        </w:rPr>
        <w:t xml:space="preserve">(6 02 01) refleja una ejecución del </w:t>
      </w:r>
      <w:r w:rsidR="002002F0">
        <w:rPr>
          <w:rFonts w:asciiTheme="minorHAnsi" w:hAnsiTheme="minorHAnsi" w:cstheme="minorHAnsi"/>
          <w:szCs w:val="24"/>
          <w:lang w:val="es-CR"/>
        </w:rPr>
        <w:t>24</w:t>
      </w:r>
      <w:r w:rsidRPr="00787962">
        <w:rPr>
          <w:rFonts w:asciiTheme="minorHAnsi" w:hAnsiTheme="minorHAnsi" w:cstheme="minorHAnsi"/>
          <w:szCs w:val="24"/>
          <w:lang w:val="es-CR"/>
        </w:rPr>
        <w:t xml:space="preserve">%, y contempla el pago de estudios superiores. </w:t>
      </w:r>
      <w:r w:rsidR="008E0E63" w:rsidRPr="00787962">
        <w:rPr>
          <w:rFonts w:asciiTheme="minorHAnsi" w:hAnsiTheme="minorHAnsi" w:cstheme="minorHAnsi"/>
          <w:szCs w:val="24"/>
          <w:lang w:val="es-CR"/>
        </w:rPr>
        <w:t xml:space="preserve">Durante todo </w:t>
      </w:r>
      <w:r w:rsidR="00EC131E" w:rsidRPr="00787962">
        <w:rPr>
          <w:rFonts w:asciiTheme="minorHAnsi" w:hAnsiTheme="minorHAnsi" w:cstheme="minorHAnsi"/>
          <w:szCs w:val="24"/>
          <w:lang w:val="es-CR"/>
        </w:rPr>
        <w:t xml:space="preserve">el </w:t>
      </w:r>
      <w:r w:rsidR="009E53CA" w:rsidRPr="00787962">
        <w:rPr>
          <w:rFonts w:asciiTheme="minorHAnsi" w:hAnsiTheme="minorHAnsi" w:cstheme="minorHAnsi"/>
          <w:szCs w:val="24"/>
          <w:lang w:val="es-CR"/>
        </w:rPr>
        <w:t>período</w:t>
      </w:r>
      <w:r w:rsidR="00EC131E" w:rsidRPr="00787962">
        <w:rPr>
          <w:rFonts w:asciiTheme="minorHAnsi" w:hAnsiTheme="minorHAnsi" w:cstheme="minorHAnsi"/>
          <w:szCs w:val="24"/>
          <w:lang w:val="es-CR"/>
        </w:rPr>
        <w:t xml:space="preserve"> se </w:t>
      </w:r>
      <w:r w:rsidR="00C64990" w:rsidRPr="00787962">
        <w:rPr>
          <w:rFonts w:asciiTheme="minorHAnsi" w:hAnsiTheme="minorHAnsi" w:cstheme="minorHAnsi"/>
          <w:szCs w:val="24"/>
          <w:lang w:val="es-CR"/>
        </w:rPr>
        <w:t>continúa con el financiamiento de</w:t>
      </w:r>
      <w:r w:rsidR="00EC131E" w:rsidRPr="00787962">
        <w:rPr>
          <w:rFonts w:asciiTheme="minorHAnsi" w:hAnsiTheme="minorHAnsi" w:cstheme="minorHAnsi"/>
          <w:szCs w:val="24"/>
          <w:lang w:val="es-CR"/>
        </w:rPr>
        <w:t xml:space="preserve"> un total de </w:t>
      </w:r>
      <w:r w:rsidR="00545E1A" w:rsidRPr="004C5360">
        <w:rPr>
          <w:rFonts w:asciiTheme="minorHAnsi" w:hAnsiTheme="minorHAnsi" w:cstheme="minorHAnsi"/>
          <w:szCs w:val="24"/>
          <w:lang w:val="es-CR"/>
        </w:rPr>
        <w:t>tres</w:t>
      </w:r>
      <w:r w:rsidR="008E0E63" w:rsidRPr="00787962">
        <w:rPr>
          <w:rFonts w:asciiTheme="minorHAnsi" w:hAnsiTheme="minorHAnsi" w:cstheme="minorHAnsi"/>
          <w:szCs w:val="24"/>
          <w:lang w:val="es-CR"/>
        </w:rPr>
        <w:t xml:space="preserve"> becas. A continuación, se presenta </w:t>
      </w:r>
      <w:r w:rsidR="00545E1A" w:rsidRPr="00787962">
        <w:rPr>
          <w:rFonts w:asciiTheme="minorHAnsi" w:hAnsiTheme="minorHAnsi" w:cstheme="minorHAnsi"/>
          <w:szCs w:val="24"/>
          <w:lang w:val="es-CR"/>
        </w:rPr>
        <w:t>el</w:t>
      </w:r>
      <w:r w:rsidR="008E0E63" w:rsidRPr="00787962">
        <w:rPr>
          <w:rFonts w:asciiTheme="minorHAnsi" w:hAnsiTheme="minorHAnsi" w:cstheme="minorHAnsi"/>
          <w:szCs w:val="24"/>
          <w:lang w:val="es-CR"/>
        </w:rPr>
        <w:t xml:space="preserve"> resumen: </w:t>
      </w:r>
    </w:p>
    <w:p w14:paraId="71D70A2D" w14:textId="77777777" w:rsidR="001C2AD6" w:rsidRDefault="001C2AD6">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18DAE998" w14:textId="65DBC449" w:rsidR="001C2AD6" w:rsidRPr="0096567B" w:rsidRDefault="001C2AD6" w:rsidP="00F53DF5">
      <w:pPr>
        <w:pStyle w:val="Textoindependiente"/>
        <w:numPr>
          <w:ilvl w:val="0"/>
          <w:numId w:val="0"/>
        </w:numPr>
        <w:spacing w:line="240" w:lineRule="auto"/>
        <w:ind w:left="426"/>
        <w:jc w:val="left"/>
        <w:rPr>
          <w:rFonts w:asciiTheme="minorHAnsi" w:hAnsiTheme="minorHAnsi" w:cstheme="minorHAnsi"/>
          <w:sz w:val="22"/>
          <w:szCs w:val="22"/>
          <w:lang w:val="es-CR"/>
        </w:rPr>
      </w:pPr>
      <w:r w:rsidRPr="0096567B">
        <w:rPr>
          <w:rFonts w:asciiTheme="minorHAnsi" w:hAnsiTheme="minorHAnsi" w:cstheme="minorHAnsi"/>
          <w:sz w:val="22"/>
          <w:szCs w:val="22"/>
          <w:lang w:val="es-CR"/>
        </w:rPr>
        <w:t>Cuadro 1</w:t>
      </w:r>
      <w:r w:rsidR="005D020A">
        <w:rPr>
          <w:rFonts w:asciiTheme="minorHAnsi" w:hAnsiTheme="minorHAnsi" w:cstheme="minorHAnsi"/>
          <w:sz w:val="22"/>
          <w:szCs w:val="22"/>
          <w:lang w:val="es-CR"/>
        </w:rPr>
        <w:t>7</w:t>
      </w:r>
      <w:r w:rsidRPr="0096567B">
        <w:rPr>
          <w:rFonts w:asciiTheme="minorHAnsi" w:hAnsiTheme="minorHAnsi" w:cstheme="minorHAnsi"/>
          <w:sz w:val="22"/>
          <w:szCs w:val="22"/>
          <w:lang w:val="es-CR"/>
        </w:rPr>
        <w:t xml:space="preserve">: </w:t>
      </w:r>
      <w:r w:rsidRPr="0096567B">
        <w:rPr>
          <w:rFonts w:asciiTheme="minorHAnsi" w:hAnsiTheme="minorHAnsi" w:cstheme="minorHAnsi"/>
          <w:b/>
          <w:sz w:val="22"/>
          <w:szCs w:val="22"/>
          <w:lang w:val="es-CR"/>
        </w:rPr>
        <w:t xml:space="preserve">Detalle de </w:t>
      </w:r>
      <w:r w:rsidR="003F4F45" w:rsidRPr="0096567B">
        <w:rPr>
          <w:rFonts w:asciiTheme="minorHAnsi" w:hAnsiTheme="minorHAnsi" w:cstheme="minorHAnsi"/>
          <w:b/>
          <w:sz w:val="22"/>
          <w:szCs w:val="22"/>
          <w:lang w:val="es-CR"/>
        </w:rPr>
        <w:t>B</w:t>
      </w:r>
      <w:r w:rsidRPr="0096567B">
        <w:rPr>
          <w:rFonts w:asciiTheme="minorHAnsi" w:hAnsiTheme="minorHAnsi" w:cstheme="minorHAnsi"/>
          <w:b/>
          <w:sz w:val="22"/>
          <w:szCs w:val="22"/>
          <w:lang w:val="es-CR"/>
        </w:rPr>
        <w:t>ecas</w:t>
      </w:r>
    </w:p>
    <w:tbl>
      <w:tblPr>
        <w:tblW w:w="791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2599"/>
        <w:gridCol w:w="1625"/>
      </w:tblGrid>
      <w:tr w:rsidR="00D170BB" w:rsidRPr="00787962" w14:paraId="7DC731A6" w14:textId="77777777" w:rsidTr="0040547F">
        <w:trPr>
          <w:trHeight w:val="480"/>
          <w:tblHeader/>
        </w:trPr>
        <w:tc>
          <w:tcPr>
            <w:tcW w:w="3690" w:type="dxa"/>
            <w:shd w:val="clear" w:color="auto" w:fill="C6D9F1" w:themeFill="text2" w:themeFillTint="33"/>
            <w:tcMar>
              <w:top w:w="0" w:type="dxa"/>
              <w:left w:w="108" w:type="dxa"/>
              <w:bottom w:w="0" w:type="dxa"/>
              <w:right w:w="108" w:type="dxa"/>
            </w:tcMar>
            <w:vAlign w:val="center"/>
            <w:hideMark/>
          </w:tcPr>
          <w:p w14:paraId="0416744B"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Nombre de la carrera</w:t>
            </w:r>
          </w:p>
        </w:tc>
        <w:tc>
          <w:tcPr>
            <w:tcW w:w="2599" w:type="dxa"/>
            <w:shd w:val="clear" w:color="auto" w:fill="C6D9F1" w:themeFill="text2" w:themeFillTint="33"/>
            <w:tcMar>
              <w:top w:w="0" w:type="dxa"/>
              <w:left w:w="108" w:type="dxa"/>
              <w:bottom w:w="0" w:type="dxa"/>
              <w:right w:w="108" w:type="dxa"/>
            </w:tcMar>
            <w:vAlign w:val="center"/>
            <w:hideMark/>
          </w:tcPr>
          <w:p w14:paraId="6C780549"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Proceso</w:t>
            </w:r>
          </w:p>
        </w:tc>
        <w:tc>
          <w:tcPr>
            <w:tcW w:w="1625" w:type="dxa"/>
            <w:shd w:val="clear" w:color="auto" w:fill="C6D9F1" w:themeFill="text2" w:themeFillTint="33"/>
            <w:tcMar>
              <w:top w:w="0" w:type="dxa"/>
              <w:left w:w="108" w:type="dxa"/>
              <w:bottom w:w="0" w:type="dxa"/>
              <w:right w:w="108" w:type="dxa"/>
            </w:tcMar>
            <w:vAlign w:val="center"/>
            <w:hideMark/>
          </w:tcPr>
          <w:p w14:paraId="536FA985"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Cantidad de funcionarios</w:t>
            </w:r>
          </w:p>
        </w:tc>
      </w:tr>
      <w:tr w:rsidR="00545E1A" w:rsidRPr="00787962" w14:paraId="3816C993" w14:textId="77777777" w:rsidTr="0040547F">
        <w:trPr>
          <w:trHeight w:val="657"/>
        </w:trPr>
        <w:tc>
          <w:tcPr>
            <w:tcW w:w="3690" w:type="dxa"/>
            <w:shd w:val="clear" w:color="auto" w:fill="FFFFFF"/>
            <w:tcMar>
              <w:top w:w="0" w:type="dxa"/>
              <w:left w:w="108" w:type="dxa"/>
              <w:bottom w:w="0" w:type="dxa"/>
              <w:right w:w="108" w:type="dxa"/>
            </w:tcMar>
            <w:vAlign w:val="center"/>
            <w:hideMark/>
          </w:tcPr>
          <w:p w14:paraId="0E9D5749" w14:textId="308DD41D"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Auditoría de Tecnologías y Sistemas de Información</w:t>
            </w:r>
          </w:p>
        </w:tc>
        <w:tc>
          <w:tcPr>
            <w:tcW w:w="2599" w:type="dxa"/>
            <w:shd w:val="clear" w:color="auto" w:fill="FFFFFF"/>
            <w:tcMar>
              <w:top w:w="0" w:type="dxa"/>
              <w:left w:w="108" w:type="dxa"/>
              <w:bottom w:w="0" w:type="dxa"/>
              <w:right w:w="108" w:type="dxa"/>
            </w:tcMar>
            <w:vAlign w:val="center"/>
            <w:hideMark/>
          </w:tcPr>
          <w:p w14:paraId="452A40B8" w14:textId="7C5E4CCC"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0101AB57" w14:textId="6890B276"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258FEC20" w14:textId="77777777" w:rsidTr="0040547F">
        <w:trPr>
          <w:trHeight w:val="657"/>
        </w:trPr>
        <w:tc>
          <w:tcPr>
            <w:tcW w:w="3690" w:type="dxa"/>
            <w:shd w:val="clear" w:color="auto" w:fill="FFFFFF"/>
            <w:tcMar>
              <w:top w:w="0" w:type="dxa"/>
              <w:left w:w="108" w:type="dxa"/>
              <w:bottom w:w="0" w:type="dxa"/>
              <w:right w:w="108" w:type="dxa"/>
            </w:tcMar>
            <w:vAlign w:val="center"/>
            <w:hideMark/>
          </w:tcPr>
          <w:p w14:paraId="5D3FE33E" w14:textId="3C1591A7"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Administración de Negocios con énfasis en Banca y Finanzas</w:t>
            </w:r>
          </w:p>
        </w:tc>
        <w:tc>
          <w:tcPr>
            <w:tcW w:w="2599" w:type="dxa"/>
            <w:shd w:val="clear" w:color="auto" w:fill="FFFFFF"/>
            <w:tcMar>
              <w:top w:w="0" w:type="dxa"/>
              <w:left w:w="108" w:type="dxa"/>
              <w:bottom w:w="0" w:type="dxa"/>
              <w:right w:w="108" w:type="dxa"/>
            </w:tcMar>
            <w:vAlign w:val="center"/>
            <w:hideMark/>
          </w:tcPr>
          <w:p w14:paraId="76FDBAD4" w14:textId="60CAD2A1"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7EF55A23" w14:textId="5ED33D5A"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7768F7D5" w14:textId="77777777" w:rsidTr="0040547F">
        <w:trPr>
          <w:trHeight w:val="657"/>
        </w:trPr>
        <w:tc>
          <w:tcPr>
            <w:tcW w:w="3690" w:type="dxa"/>
            <w:shd w:val="clear" w:color="auto" w:fill="FFFFFF"/>
            <w:tcMar>
              <w:top w:w="0" w:type="dxa"/>
              <w:left w:w="108" w:type="dxa"/>
              <w:bottom w:w="0" w:type="dxa"/>
              <w:right w:w="108" w:type="dxa"/>
            </w:tcMar>
            <w:vAlign w:val="center"/>
          </w:tcPr>
          <w:p w14:paraId="0F960E4E" w14:textId="47185F6A"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Maestría en Dirección y Gestión de Planes y Fondos de Pensiones</w:t>
            </w:r>
          </w:p>
        </w:tc>
        <w:tc>
          <w:tcPr>
            <w:tcW w:w="2599" w:type="dxa"/>
            <w:shd w:val="clear" w:color="auto" w:fill="FFFFFF"/>
            <w:tcMar>
              <w:top w:w="0" w:type="dxa"/>
              <w:left w:w="108" w:type="dxa"/>
              <w:bottom w:w="0" w:type="dxa"/>
              <w:right w:w="108" w:type="dxa"/>
            </w:tcMar>
            <w:vAlign w:val="center"/>
          </w:tcPr>
          <w:p w14:paraId="0AAF8714" w14:textId="6C5B8C9C" w:rsidR="00545E1A" w:rsidRPr="00787962" w:rsidRDefault="00545E1A" w:rsidP="0040547F">
            <w:pPr>
              <w:spacing w:line="276" w:lineRule="auto"/>
              <w:jc w:val="left"/>
              <w:rPr>
                <w:rFonts w:asciiTheme="minorHAnsi" w:hAnsiTheme="minorHAnsi" w:cstheme="minorHAnsi"/>
                <w:sz w:val="18"/>
                <w:szCs w:val="18"/>
                <w:lang w:val="es-CR"/>
              </w:rPr>
            </w:pPr>
            <w:r w:rsidRPr="00787962">
              <w:rPr>
                <w:rFonts w:asciiTheme="minorHAnsi" w:hAnsiTheme="minorHAnsi" w:cstheme="minorHAnsi"/>
                <w:sz w:val="18"/>
                <w:szCs w:val="18"/>
                <w:lang w:val="es-CR"/>
              </w:rPr>
              <w:t>Regímenes Colectivos</w:t>
            </w:r>
          </w:p>
        </w:tc>
        <w:tc>
          <w:tcPr>
            <w:tcW w:w="1625" w:type="dxa"/>
            <w:shd w:val="clear" w:color="auto" w:fill="FFFFFF"/>
            <w:tcMar>
              <w:top w:w="0" w:type="dxa"/>
              <w:left w:w="108" w:type="dxa"/>
              <w:bottom w:w="0" w:type="dxa"/>
              <w:right w:w="108" w:type="dxa"/>
            </w:tcMar>
            <w:vAlign w:val="center"/>
          </w:tcPr>
          <w:p w14:paraId="0ADDBB59" w14:textId="7A699FFC"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bl>
    <w:p w14:paraId="065D6444" w14:textId="44414D87" w:rsidR="00D170BB" w:rsidRPr="00787962" w:rsidRDefault="00D170BB" w:rsidP="008E0E63">
      <w:pPr>
        <w:pStyle w:val="Textoindependiente"/>
        <w:numPr>
          <w:ilvl w:val="0"/>
          <w:numId w:val="0"/>
        </w:numPr>
        <w:rPr>
          <w:rFonts w:asciiTheme="minorHAnsi" w:hAnsiTheme="minorHAnsi" w:cstheme="minorHAnsi"/>
          <w:szCs w:val="24"/>
          <w:lang w:val="es-CR"/>
        </w:rPr>
      </w:pPr>
    </w:p>
    <w:p w14:paraId="41ECDC16" w14:textId="3E95873B" w:rsidR="0086235A" w:rsidRPr="00787962" w:rsidRDefault="0086235A" w:rsidP="0086235A">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4801D5">
        <w:rPr>
          <w:rFonts w:asciiTheme="minorHAnsi" w:hAnsiTheme="minorHAnsi" w:cstheme="minorHAnsi"/>
          <w:szCs w:val="24"/>
          <w:lang w:val="es-CR"/>
        </w:rPr>
        <w:t>24</w:t>
      </w:r>
      <w:r w:rsidRPr="00787962">
        <w:rPr>
          <w:rFonts w:asciiTheme="minorHAnsi" w:hAnsiTheme="minorHAnsi" w:cstheme="minorHAnsi"/>
          <w:szCs w:val="24"/>
          <w:lang w:val="es-CR"/>
        </w:rPr>
        <w:t xml:space="preserve">%. </w:t>
      </w:r>
    </w:p>
    <w:p w14:paraId="18481C92" w14:textId="7CEF6556" w:rsidR="0086235A" w:rsidRPr="00787962" w:rsidRDefault="0086235A" w:rsidP="008E0E63">
      <w:pPr>
        <w:pStyle w:val="Textoindependiente"/>
        <w:numPr>
          <w:ilvl w:val="0"/>
          <w:numId w:val="0"/>
        </w:numPr>
        <w:rPr>
          <w:rFonts w:asciiTheme="minorHAnsi" w:hAnsiTheme="minorHAnsi" w:cstheme="minorHAnsi"/>
          <w:szCs w:val="24"/>
          <w:lang w:val="es-CR"/>
        </w:rPr>
      </w:pPr>
    </w:p>
    <w:p w14:paraId="070F9CD7" w14:textId="50A68439" w:rsidR="0086235A" w:rsidRPr="00787962" w:rsidRDefault="0086235A"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Por su parte, la cuenta “Prestaciones legales” (6.03.01) tiene una ejecuci</w:t>
      </w:r>
      <w:r w:rsidR="00B433E0" w:rsidRPr="00787962">
        <w:rPr>
          <w:rFonts w:asciiTheme="minorHAnsi" w:hAnsiTheme="minorHAnsi" w:cstheme="minorHAnsi"/>
          <w:szCs w:val="24"/>
          <w:lang w:val="es-CR"/>
        </w:rPr>
        <w:t xml:space="preserve">ón del </w:t>
      </w:r>
      <w:r w:rsidR="00ED576E">
        <w:rPr>
          <w:rFonts w:asciiTheme="minorHAnsi" w:hAnsiTheme="minorHAnsi" w:cstheme="minorHAnsi"/>
          <w:szCs w:val="24"/>
          <w:lang w:val="es-CR"/>
        </w:rPr>
        <w:t>55</w:t>
      </w:r>
      <w:r w:rsidR="00B433E0" w:rsidRPr="00787962">
        <w:rPr>
          <w:rFonts w:asciiTheme="minorHAnsi" w:hAnsiTheme="minorHAnsi" w:cstheme="minorHAnsi"/>
          <w:szCs w:val="24"/>
          <w:lang w:val="es-CR"/>
        </w:rPr>
        <w:t xml:space="preserve">%, debido a que se </w:t>
      </w:r>
      <w:r w:rsidR="0040547F">
        <w:rPr>
          <w:rFonts w:asciiTheme="minorHAnsi" w:hAnsiTheme="minorHAnsi" w:cstheme="minorHAnsi"/>
          <w:szCs w:val="24"/>
          <w:lang w:val="es-CR"/>
        </w:rPr>
        <w:t>pagaron</w:t>
      </w:r>
      <w:r w:rsidR="00B433E0" w:rsidRPr="00787962">
        <w:rPr>
          <w:rFonts w:asciiTheme="minorHAnsi" w:hAnsiTheme="minorHAnsi" w:cstheme="minorHAnsi"/>
          <w:szCs w:val="24"/>
          <w:lang w:val="es-CR"/>
        </w:rPr>
        <w:t xml:space="preserve"> las obligaciones producto de que </w:t>
      </w:r>
      <w:r w:rsidR="00ED576E">
        <w:rPr>
          <w:rFonts w:asciiTheme="minorHAnsi" w:hAnsiTheme="minorHAnsi" w:cstheme="minorHAnsi"/>
          <w:szCs w:val="24"/>
          <w:lang w:val="es-CR"/>
        </w:rPr>
        <w:t>dos</w:t>
      </w:r>
      <w:r w:rsidR="00B433E0" w:rsidRPr="00787962">
        <w:rPr>
          <w:rFonts w:asciiTheme="minorHAnsi" w:hAnsiTheme="minorHAnsi" w:cstheme="minorHAnsi"/>
          <w:szCs w:val="24"/>
          <w:lang w:val="es-CR"/>
        </w:rPr>
        <w:t xml:space="preserve"> funcionario</w:t>
      </w:r>
      <w:r w:rsidR="00ED576E">
        <w:rPr>
          <w:rFonts w:asciiTheme="minorHAnsi" w:hAnsiTheme="minorHAnsi" w:cstheme="minorHAnsi"/>
          <w:szCs w:val="24"/>
          <w:lang w:val="es-CR"/>
        </w:rPr>
        <w:t>s se acogieron</w:t>
      </w:r>
      <w:r w:rsidR="00B433E0" w:rsidRPr="00787962">
        <w:rPr>
          <w:rFonts w:asciiTheme="minorHAnsi" w:hAnsiTheme="minorHAnsi" w:cstheme="minorHAnsi"/>
          <w:szCs w:val="24"/>
          <w:lang w:val="es-CR"/>
        </w:rPr>
        <w:t xml:space="preserve"> a la pensión por vejez.</w:t>
      </w:r>
    </w:p>
    <w:p w14:paraId="2703D1DC" w14:textId="77777777" w:rsidR="0086235A" w:rsidRPr="00787962" w:rsidRDefault="0086235A" w:rsidP="008E0E63">
      <w:pPr>
        <w:pStyle w:val="Textoindependiente"/>
        <w:numPr>
          <w:ilvl w:val="0"/>
          <w:numId w:val="0"/>
        </w:numPr>
        <w:rPr>
          <w:rFonts w:asciiTheme="minorHAnsi" w:hAnsiTheme="minorHAnsi" w:cstheme="minorHAnsi"/>
          <w:szCs w:val="24"/>
          <w:lang w:val="es-CR"/>
        </w:rPr>
      </w:pPr>
    </w:p>
    <w:p w14:paraId="64DC7A50" w14:textId="2620D941" w:rsidR="00225437" w:rsidRPr="00787962" w:rsidRDefault="00C2126D"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256948">
        <w:rPr>
          <w:rFonts w:asciiTheme="minorHAnsi" w:hAnsiTheme="minorHAnsi" w:cstheme="minorHAnsi"/>
          <w:szCs w:val="24"/>
          <w:lang w:val="es-CR"/>
        </w:rPr>
        <w:t>3</w:t>
      </w:r>
      <w:r w:rsidR="00D26A07">
        <w:rPr>
          <w:rFonts w:asciiTheme="minorHAnsi" w:hAnsiTheme="minorHAnsi" w:cstheme="minorHAnsi"/>
          <w:szCs w:val="24"/>
          <w:lang w:val="es-CR"/>
        </w:rPr>
        <w:t>4</w:t>
      </w:r>
      <w:r w:rsidR="00E37E8A" w:rsidRPr="00787962">
        <w:rPr>
          <w:rFonts w:asciiTheme="minorHAnsi" w:hAnsiTheme="minorHAnsi" w:cstheme="minorHAnsi"/>
          <w:szCs w:val="24"/>
          <w:lang w:val="es-CR"/>
        </w:rPr>
        <w:t>%</w:t>
      </w:r>
      <w:r w:rsidR="003935F8" w:rsidRPr="00787962">
        <w:rPr>
          <w:rFonts w:asciiTheme="minorHAnsi" w:hAnsiTheme="minorHAnsi" w:cstheme="minorHAnsi"/>
          <w:szCs w:val="24"/>
          <w:lang w:val="es-CR"/>
        </w:rPr>
        <w:t>,</w:t>
      </w:r>
      <w:r w:rsidR="00CA2E8C" w:rsidRPr="00787962">
        <w:rPr>
          <w:rFonts w:asciiTheme="minorHAnsi" w:hAnsiTheme="minorHAnsi" w:cstheme="minorHAnsi"/>
          <w:szCs w:val="24"/>
          <w:lang w:val="es-CR"/>
        </w:rPr>
        <w:t xml:space="preserve"> </w:t>
      </w:r>
      <w:r w:rsidR="003E4B52" w:rsidRPr="00787962">
        <w:rPr>
          <w:rFonts w:asciiTheme="minorHAnsi" w:hAnsiTheme="minorHAnsi" w:cstheme="minorHAnsi"/>
          <w:szCs w:val="24"/>
          <w:lang w:val="es-CR"/>
        </w:rPr>
        <w:t xml:space="preserve">que equivale a la suma de </w:t>
      </w:r>
      <w:r w:rsidR="003E4B52" w:rsidRPr="00787962">
        <w:rPr>
          <w:rFonts w:asciiTheme="minorHAnsi" w:hAnsiTheme="minorHAnsi" w:cstheme="minorHAnsi"/>
          <w:szCs w:val="22"/>
          <w:lang w:val="es-CR"/>
        </w:rPr>
        <w:t>¢</w:t>
      </w:r>
      <w:r w:rsidR="00D26A07">
        <w:rPr>
          <w:rFonts w:asciiTheme="minorHAnsi" w:hAnsiTheme="minorHAnsi" w:cstheme="minorHAnsi"/>
          <w:szCs w:val="24"/>
          <w:lang w:val="es-CR"/>
        </w:rPr>
        <w:t>7,9</w:t>
      </w:r>
      <w:r w:rsidR="003E4B52" w:rsidRPr="00787962">
        <w:rPr>
          <w:rFonts w:asciiTheme="minorHAnsi" w:hAnsiTheme="minorHAnsi" w:cstheme="minorHAnsi"/>
          <w:szCs w:val="24"/>
          <w:lang w:val="es-CR"/>
        </w:rPr>
        <w:t xml:space="preserve"> millones.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2" w14:textId="799CB8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787962">
        <w:rPr>
          <w:rFonts w:asciiTheme="minorHAnsi" w:hAnsiTheme="minorHAnsi" w:cstheme="minorHAnsi"/>
          <w:szCs w:val="24"/>
          <w:lang w:val="es-CR"/>
        </w:rPr>
        <w:t xml:space="preserve">tengan en </w:t>
      </w:r>
      <w:r w:rsidRPr="00787962">
        <w:rPr>
          <w:rFonts w:asciiTheme="minorHAnsi" w:hAnsiTheme="minorHAnsi" w:cstheme="minorHAnsi"/>
          <w:szCs w:val="24"/>
          <w:lang w:val="es-CR"/>
        </w:rPr>
        <w:t>ejecución</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4" w14:textId="729ABFB9" w:rsidR="00225437" w:rsidRDefault="00167AE9"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w:t>
      </w:r>
      <w:r w:rsidR="00225437" w:rsidRPr="00787962">
        <w:rPr>
          <w:rFonts w:asciiTheme="minorHAnsi" w:hAnsiTheme="minorHAnsi" w:cstheme="minorHAnsi"/>
          <w:szCs w:val="24"/>
          <w:lang w:val="es-CR"/>
        </w:rPr>
        <w:t>la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35BA107F" w14:textId="77777777" w:rsidR="00E857A2" w:rsidRDefault="00E857A2" w:rsidP="00225437">
      <w:pPr>
        <w:pStyle w:val="Textoindependiente"/>
        <w:numPr>
          <w:ilvl w:val="0"/>
          <w:numId w:val="0"/>
        </w:numPr>
        <w:rPr>
          <w:rFonts w:asciiTheme="minorHAnsi" w:hAnsiTheme="minorHAnsi" w:cstheme="minorHAnsi"/>
          <w:szCs w:val="24"/>
          <w:lang w:val="es-CR"/>
        </w:rPr>
      </w:pPr>
    </w:p>
    <w:p w14:paraId="05CE2F4B" w14:textId="71457159" w:rsidR="008F6A73" w:rsidRDefault="008F6A73">
      <w:pPr>
        <w:spacing w:line="240" w:lineRule="auto"/>
        <w:jc w:val="left"/>
        <w:rPr>
          <w:rFonts w:asciiTheme="minorHAnsi" w:hAnsiTheme="minorHAnsi" w:cstheme="minorHAnsi"/>
          <w:szCs w:val="24"/>
          <w:lang w:val="es-CR"/>
        </w:rPr>
      </w:pPr>
      <w:r>
        <w:rPr>
          <w:rFonts w:asciiTheme="minorHAnsi" w:hAnsiTheme="minorHAnsi" w:cstheme="minorHAnsi"/>
          <w:szCs w:val="24"/>
          <w:lang w:val="es-CR"/>
        </w:rPr>
        <w:br w:type="page"/>
      </w:r>
    </w:p>
    <w:p w14:paraId="101A67A9" w14:textId="77777777" w:rsidR="00E857A2" w:rsidRDefault="00E857A2">
      <w:pPr>
        <w:spacing w:line="240" w:lineRule="auto"/>
        <w:jc w:val="left"/>
        <w:rPr>
          <w:rFonts w:asciiTheme="minorHAnsi" w:hAnsiTheme="minorHAnsi" w:cstheme="minorHAnsi"/>
          <w:sz w:val="24"/>
          <w:szCs w:val="24"/>
          <w:lang w:val="es-CR"/>
        </w:rPr>
      </w:pPr>
    </w:p>
    <w:p w14:paraId="45221829" w14:textId="755F197A" w:rsidR="008F6A73" w:rsidRPr="00787962" w:rsidRDefault="008F6A73" w:rsidP="008F6A73">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87" w:name="_Toc504486235"/>
      <w:r>
        <w:rPr>
          <w:rFonts w:asciiTheme="minorHAnsi" w:hAnsiTheme="minorHAnsi" w:cstheme="minorHAnsi"/>
          <w:sz w:val="28"/>
          <w:szCs w:val="28"/>
          <w:lang w:val="es-CR"/>
        </w:rPr>
        <w:t>CONGRUENCIA DE</w:t>
      </w:r>
      <w:r w:rsidR="00A024E7">
        <w:rPr>
          <w:rFonts w:asciiTheme="minorHAnsi" w:hAnsiTheme="minorHAnsi" w:cstheme="minorHAnsi"/>
          <w:sz w:val="28"/>
          <w:szCs w:val="28"/>
          <w:lang w:val="es-CR"/>
        </w:rPr>
        <w:t xml:space="preserve"> </w:t>
      </w:r>
      <w:r>
        <w:rPr>
          <w:rFonts w:asciiTheme="minorHAnsi" w:hAnsiTheme="minorHAnsi" w:cstheme="minorHAnsi"/>
          <w:sz w:val="28"/>
          <w:szCs w:val="28"/>
          <w:lang w:val="es-CR"/>
        </w:rPr>
        <w:t>L</w:t>
      </w:r>
      <w:r w:rsidR="00A024E7">
        <w:rPr>
          <w:rFonts w:asciiTheme="minorHAnsi" w:hAnsiTheme="minorHAnsi" w:cstheme="minorHAnsi"/>
          <w:sz w:val="28"/>
          <w:szCs w:val="28"/>
          <w:lang w:val="es-CR"/>
        </w:rPr>
        <w:t>OS RESULTADOS CON LOS ESTADOS FINANCIEROS</w:t>
      </w:r>
      <w:bookmarkEnd w:id="87"/>
    </w:p>
    <w:p w14:paraId="3F7C61E8" w14:textId="1B14E986" w:rsidR="008F6A73" w:rsidRDefault="008F6A73" w:rsidP="00225437">
      <w:pPr>
        <w:pStyle w:val="Textoindependiente"/>
        <w:numPr>
          <w:ilvl w:val="0"/>
          <w:numId w:val="0"/>
        </w:numPr>
        <w:rPr>
          <w:rFonts w:asciiTheme="minorHAnsi" w:hAnsiTheme="minorHAnsi" w:cstheme="minorHAnsi"/>
          <w:szCs w:val="24"/>
          <w:lang w:val="es-CR"/>
        </w:rPr>
      </w:pPr>
    </w:p>
    <w:p w14:paraId="459767E0" w14:textId="77777777" w:rsidR="002064DC" w:rsidRDefault="002064DC" w:rsidP="000061DA">
      <w:pPr>
        <w:spacing w:line="360" w:lineRule="auto"/>
        <w:rPr>
          <w:rFonts w:asciiTheme="minorHAnsi" w:hAnsiTheme="minorHAnsi" w:cstheme="minorHAnsi"/>
          <w:sz w:val="24"/>
          <w:szCs w:val="24"/>
          <w:lang w:val="es-CR"/>
        </w:rPr>
      </w:pPr>
    </w:p>
    <w:p w14:paraId="502CA87A" w14:textId="1B111EC0" w:rsidR="000061DA" w:rsidRPr="00787962" w:rsidRDefault="000061DA" w:rsidP="000061DA">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al ser un Órgano de Desconcentración Máxima adscrito al BCCR, no emite estados financieros, esos documentos se incluyen en el legajo </w:t>
      </w:r>
      <w:r w:rsidR="00720381">
        <w:rPr>
          <w:rFonts w:asciiTheme="minorHAnsi" w:hAnsiTheme="minorHAnsi" w:cstheme="minorHAnsi"/>
          <w:sz w:val="24"/>
          <w:szCs w:val="24"/>
          <w:lang w:val="es-CR"/>
        </w:rPr>
        <w:t xml:space="preserve">de documentos </w:t>
      </w:r>
      <w:r>
        <w:rPr>
          <w:rFonts w:asciiTheme="minorHAnsi" w:hAnsiTheme="minorHAnsi" w:cstheme="minorHAnsi"/>
          <w:sz w:val="24"/>
          <w:szCs w:val="24"/>
          <w:lang w:val="es-CR"/>
        </w:rPr>
        <w:t xml:space="preserve">que </w:t>
      </w:r>
      <w:r w:rsidRPr="00787962">
        <w:rPr>
          <w:rFonts w:asciiTheme="minorHAnsi" w:hAnsiTheme="minorHAnsi" w:cstheme="minorHAnsi"/>
          <w:sz w:val="24"/>
          <w:szCs w:val="24"/>
          <w:lang w:val="es-CR"/>
        </w:rPr>
        <w:t>el BCCR</w:t>
      </w:r>
      <w:r>
        <w:rPr>
          <w:rFonts w:asciiTheme="minorHAnsi" w:hAnsiTheme="minorHAnsi" w:cstheme="minorHAnsi"/>
          <w:sz w:val="24"/>
          <w:szCs w:val="24"/>
          <w:lang w:val="es-CR"/>
        </w:rPr>
        <w:t xml:space="preserve"> </w:t>
      </w:r>
      <w:r w:rsidR="009662E4">
        <w:rPr>
          <w:rFonts w:asciiTheme="minorHAnsi" w:hAnsiTheme="minorHAnsi" w:cstheme="minorHAnsi"/>
          <w:sz w:val="24"/>
          <w:szCs w:val="24"/>
          <w:lang w:val="es-CR"/>
        </w:rPr>
        <w:t xml:space="preserve">remite a través del </w:t>
      </w:r>
      <w:r>
        <w:rPr>
          <w:rFonts w:asciiTheme="minorHAnsi" w:hAnsiTheme="minorHAnsi" w:cstheme="minorHAnsi"/>
          <w:sz w:val="24"/>
          <w:szCs w:val="24"/>
          <w:lang w:val="es-CR"/>
        </w:rPr>
        <w:t>sistema de presupuestos públicos de la Contraloría General de la República</w:t>
      </w:r>
      <w:r w:rsidRPr="00787962">
        <w:rPr>
          <w:rFonts w:asciiTheme="minorHAnsi" w:hAnsiTheme="minorHAnsi" w:cstheme="minorHAnsi"/>
          <w:sz w:val="24"/>
          <w:szCs w:val="24"/>
          <w:lang w:val="es-CR"/>
        </w:rPr>
        <w:t xml:space="preserve">, </w:t>
      </w:r>
      <w:r>
        <w:rPr>
          <w:rFonts w:asciiTheme="minorHAnsi" w:hAnsiTheme="minorHAnsi" w:cstheme="minorHAnsi"/>
          <w:sz w:val="24"/>
          <w:szCs w:val="24"/>
          <w:lang w:val="es-CR"/>
        </w:rPr>
        <w:t>por lo tanto</w:t>
      </w:r>
      <w:r w:rsidRPr="00787962">
        <w:rPr>
          <w:rFonts w:asciiTheme="minorHAnsi" w:hAnsiTheme="minorHAnsi" w:cstheme="minorHAnsi"/>
          <w:sz w:val="24"/>
          <w:szCs w:val="24"/>
          <w:lang w:val="es-CR"/>
        </w:rPr>
        <w:t xml:space="preserve">, no se adjunta </w:t>
      </w:r>
      <w:r w:rsidR="00916788">
        <w:rPr>
          <w:rFonts w:asciiTheme="minorHAnsi" w:hAnsiTheme="minorHAnsi" w:cstheme="minorHAnsi"/>
          <w:sz w:val="24"/>
          <w:szCs w:val="24"/>
          <w:lang w:val="es-CR"/>
        </w:rPr>
        <w:t xml:space="preserve">en este </w:t>
      </w:r>
      <w:r w:rsidR="00D922F0">
        <w:rPr>
          <w:rFonts w:asciiTheme="minorHAnsi" w:hAnsiTheme="minorHAnsi" w:cstheme="minorHAnsi"/>
          <w:sz w:val="24"/>
          <w:szCs w:val="24"/>
          <w:lang w:val="es-CR"/>
        </w:rPr>
        <w:t>informe</w:t>
      </w:r>
      <w:r w:rsidR="00916788">
        <w:rPr>
          <w:rFonts w:asciiTheme="minorHAnsi" w:hAnsiTheme="minorHAnsi" w:cstheme="minorHAnsi"/>
          <w:sz w:val="24"/>
          <w:szCs w:val="24"/>
          <w:lang w:val="es-CR"/>
        </w:rPr>
        <w:t xml:space="preserve"> </w:t>
      </w:r>
      <w:r w:rsidR="00F873F7">
        <w:rPr>
          <w:rFonts w:asciiTheme="minorHAnsi" w:hAnsiTheme="minorHAnsi" w:cstheme="minorHAnsi"/>
          <w:sz w:val="24"/>
          <w:szCs w:val="24"/>
          <w:lang w:val="es-CR"/>
        </w:rPr>
        <w:t>los</w:t>
      </w:r>
      <w:r w:rsidRPr="00787962">
        <w:rPr>
          <w:rFonts w:asciiTheme="minorHAnsi" w:hAnsiTheme="minorHAnsi" w:cstheme="minorHAnsi"/>
          <w:sz w:val="24"/>
          <w:szCs w:val="24"/>
          <w:lang w:val="es-CR"/>
        </w:rPr>
        <w:t xml:space="preserve"> </w:t>
      </w:r>
      <w:r>
        <w:rPr>
          <w:rFonts w:asciiTheme="minorHAnsi" w:hAnsiTheme="minorHAnsi" w:cstheme="minorHAnsi"/>
          <w:sz w:val="24"/>
          <w:szCs w:val="24"/>
          <w:lang w:val="es-CR"/>
        </w:rPr>
        <w:t>estado</w:t>
      </w:r>
      <w:r w:rsidR="00F873F7">
        <w:rPr>
          <w:rFonts w:asciiTheme="minorHAnsi" w:hAnsiTheme="minorHAnsi" w:cstheme="minorHAnsi"/>
          <w:sz w:val="24"/>
          <w:szCs w:val="24"/>
          <w:lang w:val="es-CR"/>
        </w:rPr>
        <w:t>s</w:t>
      </w:r>
      <w:r>
        <w:rPr>
          <w:rFonts w:asciiTheme="minorHAnsi" w:hAnsiTheme="minorHAnsi" w:cstheme="minorHAnsi"/>
          <w:sz w:val="24"/>
          <w:szCs w:val="24"/>
          <w:lang w:val="es-CR"/>
        </w:rPr>
        <w:t xml:space="preserve"> financiero</w:t>
      </w:r>
      <w:r w:rsidR="00F873F7">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que demuestre</w:t>
      </w:r>
      <w:r w:rsidR="00F873F7">
        <w:rPr>
          <w:rFonts w:asciiTheme="minorHAnsi" w:hAnsiTheme="minorHAnsi" w:cstheme="minorHAnsi"/>
          <w:sz w:val="24"/>
          <w:szCs w:val="24"/>
          <w:lang w:val="es-CR"/>
        </w:rPr>
        <w:t>n</w:t>
      </w:r>
      <w:r w:rsidRPr="00787962">
        <w:rPr>
          <w:rFonts w:asciiTheme="minorHAnsi" w:hAnsiTheme="minorHAnsi" w:cstheme="minorHAnsi"/>
          <w:sz w:val="24"/>
          <w:szCs w:val="24"/>
          <w:lang w:val="es-CR"/>
        </w:rPr>
        <w:t xml:space="preserve"> la congruencia de los informes de ejecución presupuestaria con los datos de los estados financieros.</w:t>
      </w:r>
    </w:p>
    <w:p w14:paraId="0C4F7D45" w14:textId="05999C92" w:rsidR="00A024E7" w:rsidRDefault="00A024E7" w:rsidP="00225437">
      <w:pPr>
        <w:pStyle w:val="Textoindependiente"/>
        <w:numPr>
          <w:ilvl w:val="0"/>
          <w:numId w:val="0"/>
        </w:numPr>
        <w:rPr>
          <w:rFonts w:asciiTheme="minorHAnsi" w:hAnsiTheme="minorHAnsi" w:cstheme="minorHAnsi"/>
          <w:szCs w:val="24"/>
          <w:lang w:val="es-CR"/>
        </w:rPr>
      </w:pPr>
    </w:p>
    <w:p w14:paraId="7118338D" w14:textId="7ADFB7ED" w:rsidR="000061DA" w:rsidRDefault="000061DA" w:rsidP="00225437">
      <w:pPr>
        <w:pStyle w:val="Textoindependiente"/>
        <w:numPr>
          <w:ilvl w:val="0"/>
          <w:numId w:val="0"/>
        </w:numPr>
        <w:rPr>
          <w:rFonts w:asciiTheme="minorHAnsi" w:hAnsiTheme="minorHAnsi" w:cstheme="minorHAnsi"/>
          <w:szCs w:val="24"/>
          <w:lang w:val="es-CR"/>
        </w:rPr>
      </w:pPr>
    </w:p>
    <w:p w14:paraId="2DE15031" w14:textId="2494D6C9" w:rsidR="0040500F" w:rsidRPr="00787962" w:rsidRDefault="00380AFF" w:rsidP="0040500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88" w:name="_Toc504486236"/>
      <w:r>
        <w:rPr>
          <w:rFonts w:asciiTheme="minorHAnsi" w:hAnsiTheme="minorHAnsi" w:cstheme="minorHAnsi"/>
          <w:sz w:val="28"/>
          <w:szCs w:val="28"/>
          <w:lang w:val="es-CR"/>
        </w:rPr>
        <w:t>ESTADOS FINANCIEROS</w:t>
      </w:r>
      <w:bookmarkEnd w:id="88"/>
    </w:p>
    <w:p w14:paraId="739FECA4" w14:textId="5712E9A0" w:rsidR="0040500F" w:rsidRDefault="0040500F" w:rsidP="00225437">
      <w:pPr>
        <w:pStyle w:val="Textoindependiente"/>
        <w:numPr>
          <w:ilvl w:val="0"/>
          <w:numId w:val="0"/>
        </w:numPr>
        <w:rPr>
          <w:rFonts w:asciiTheme="minorHAnsi" w:hAnsiTheme="minorHAnsi" w:cstheme="minorHAnsi"/>
          <w:szCs w:val="24"/>
          <w:lang w:val="es-CR"/>
        </w:rPr>
      </w:pPr>
    </w:p>
    <w:p w14:paraId="0DC25C5B" w14:textId="77777777" w:rsidR="003F5AD7" w:rsidRDefault="003F5AD7" w:rsidP="003F5AD7">
      <w:pPr>
        <w:pStyle w:val="Textoindependiente"/>
        <w:numPr>
          <w:ilvl w:val="0"/>
          <w:numId w:val="0"/>
        </w:numPr>
        <w:spacing w:line="360" w:lineRule="auto"/>
        <w:rPr>
          <w:rFonts w:asciiTheme="minorHAnsi" w:hAnsiTheme="minorHAnsi" w:cstheme="minorHAnsi"/>
          <w:szCs w:val="24"/>
          <w:lang w:val="es-CR"/>
        </w:rPr>
      </w:pPr>
    </w:p>
    <w:p w14:paraId="0B997645" w14:textId="4D7B4993" w:rsidR="009E21D1" w:rsidRDefault="009E21D1" w:rsidP="003F5AD7">
      <w:pPr>
        <w:pStyle w:val="Textoindependiente"/>
        <w:numPr>
          <w:ilvl w:val="0"/>
          <w:numId w:val="0"/>
        </w:numPr>
        <w:spacing w:line="360" w:lineRule="auto"/>
        <w:rPr>
          <w:rFonts w:asciiTheme="minorHAnsi" w:hAnsiTheme="minorHAnsi" w:cstheme="minorHAnsi"/>
          <w:szCs w:val="24"/>
          <w:lang w:val="es-CR"/>
        </w:rPr>
      </w:pPr>
      <w:r>
        <w:rPr>
          <w:rFonts w:asciiTheme="minorHAnsi" w:hAnsiTheme="minorHAnsi" w:cstheme="minorHAnsi"/>
          <w:szCs w:val="24"/>
          <w:lang w:val="es-CR"/>
        </w:rPr>
        <w:t xml:space="preserve">En esta sección del informe </w:t>
      </w:r>
      <w:r w:rsidR="003F5AD7">
        <w:rPr>
          <w:rFonts w:asciiTheme="minorHAnsi" w:hAnsiTheme="minorHAnsi" w:cstheme="minorHAnsi"/>
          <w:szCs w:val="24"/>
          <w:lang w:val="es-CR"/>
        </w:rPr>
        <w:t xml:space="preserve">corresponde incluir los estados financiero, dados las razones expuestas en el párrafo anterior </w:t>
      </w:r>
      <w:r>
        <w:rPr>
          <w:rFonts w:asciiTheme="minorHAnsi" w:hAnsiTheme="minorHAnsi" w:cstheme="minorHAnsi"/>
          <w:szCs w:val="24"/>
          <w:lang w:val="es-CR"/>
        </w:rPr>
        <w:t xml:space="preserve">no se adjuntan </w:t>
      </w:r>
      <w:r w:rsidR="003F5AD7">
        <w:rPr>
          <w:rFonts w:asciiTheme="minorHAnsi" w:hAnsiTheme="minorHAnsi" w:cstheme="minorHAnsi"/>
          <w:szCs w:val="24"/>
          <w:lang w:val="es-CR"/>
        </w:rPr>
        <w:t>esos documentos</w:t>
      </w:r>
      <w:r>
        <w:rPr>
          <w:rFonts w:asciiTheme="minorHAnsi" w:hAnsiTheme="minorHAnsi" w:cstheme="minorHAnsi"/>
          <w:szCs w:val="24"/>
          <w:lang w:val="es-CR"/>
        </w:rPr>
        <w:t>.</w:t>
      </w:r>
      <w:r w:rsidR="00D922F0">
        <w:rPr>
          <w:rFonts w:asciiTheme="minorHAnsi" w:hAnsiTheme="minorHAnsi" w:cstheme="minorHAnsi"/>
          <w:szCs w:val="24"/>
          <w:lang w:val="es-CR"/>
        </w:rPr>
        <w:t xml:space="preserve"> </w:t>
      </w:r>
    </w:p>
    <w:p w14:paraId="4DF3BBCB" w14:textId="77777777" w:rsidR="009E21D1" w:rsidRPr="00787962" w:rsidRDefault="009E21D1" w:rsidP="00225437">
      <w:pPr>
        <w:pStyle w:val="Textoindependiente"/>
        <w:numPr>
          <w:ilvl w:val="0"/>
          <w:numId w:val="0"/>
        </w:numPr>
        <w:rPr>
          <w:rFonts w:asciiTheme="minorHAnsi" w:hAnsiTheme="minorHAnsi" w:cstheme="minorHAnsi"/>
          <w:szCs w:val="24"/>
          <w:lang w:val="es-CR"/>
        </w:rPr>
      </w:pPr>
    </w:p>
    <w:p w14:paraId="64DC7A56" w14:textId="0B8EF97C" w:rsidR="00225437" w:rsidRPr="00DA5F9A" w:rsidRDefault="00225437" w:rsidP="00D922F0">
      <w:pPr>
        <w:pStyle w:val="Ttulo2"/>
      </w:pPr>
      <w:r w:rsidRPr="00787962">
        <w:br w:type="page"/>
      </w:r>
      <w:bookmarkStart w:id="89" w:name="_Toc23842389"/>
      <w:bookmarkStart w:id="90" w:name="_Toc109179114"/>
      <w:bookmarkStart w:id="91" w:name="_Toc131912458"/>
      <w:bookmarkStart w:id="92" w:name="_Toc163371963"/>
      <w:bookmarkStart w:id="93" w:name="_Toc195505396"/>
      <w:bookmarkStart w:id="94" w:name="_Toc226364829"/>
      <w:bookmarkStart w:id="95" w:name="_Toc273448684"/>
      <w:bookmarkStart w:id="96" w:name="_Toc504486237"/>
      <w:bookmarkEnd w:id="24"/>
      <w:bookmarkEnd w:id="25"/>
      <w:r w:rsidRPr="00DA5F9A">
        <w:t>Resumen</w:t>
      </w:r>
      <w:bookmarkEnd w:id="89"/>
      <w:bookmarkEnd w:id="90"/>
      <w:bookmarkEnd w:id="91"/>
      <w:bookmarkEnd w:id="92"/>
      <w:bookmarkEnd w:id="93"/>
      <w:bookmarkEnd w:id="94"/>
      <w:bookmarkEnd w:id="95"/>
      <w:bookmarkEnd w:id="96"/>
    </w:p>
    <w:p w14:paraId="64DC7A57" w14:textId="77777777" w:rsidR="00225437" w:rsidRPr="00787962" w:rsidRDefault="00225437" w:rsidP="00225437">
      <w:pPr>
        <w:spacing w:line="288" w:lineRule="auto"/>
        <w:rPr>
          <w:rFonts w:asciiTheme="minorHAnsi" w:hAnsiTheme="minorHAnsi" w:cstheme="minorHAnsi"/>
          <w:sz w:val="24"/>
          <w:szCs w:val="24"/>
          <w:lang w:val="es-CR"/>
        </w:rPr>
      </w:pPr>
    </w:p>
    <w:p w14:paraId="64DC7A58" w14:textId="01ECCEE4"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alcanzó una ejecución de ¢</w:t>
      </w:r>
      <w:r w:rsidR="00D26A07">
        <w:rPr>
          <w:rFonts w:asciiTheme="minorHAnsi" w:hAnsiTheme="minorHAnsi" w:cstheme="minorHAnsi"/>
          <w:sz w:val="24"/>
          <w:szCs w:val="24"/>
          <w:lang w:val="es-CR"/>
        </w:rPr>
        <w:t>4.392,5</w:t>
      </w:r>
      <w:r w:rsidR="000465E7">
        <w:rPr>
          <w:rFonts w:asciiTheme="minorHAnsi" w:hAnsiTheme="minorHAnsi" w:cstheme="minorHAnsi"/>
          <w:sz w:val="24"/>
          <w:szCs w:val="24"/>
          <w:lang w:val="es-CR"/>
        </w:rPr>
        <w:t xml:space="preserve"> millones</w:t>
      </w:r>
      <w:r w:rsidR="00A7628B"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suma que equivale al </w:t>
      </w:r>
      <w:r w:rsidR="00D26A07">
        <w:rPr>
          <w:rFonts w:asciiTheme="minorHAnsi" w:hAnsiTheme="minorHAnsi" w:cstheme="minorHAnsi"/>
          <w:sz w:val="24"/>
          <w:szCs w:val="24"/>
          <w:lang w:val="es-CR"/>
        </w:rPr>
        <w:t>84</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225437">
      <w:pPr>
        <w:rPr>
          <w:rFonts w:asciiTheme="minorHAnsi" w:hAnsiTheme="minorHAnsi" w:cstheme="minorHAnsi"/>
          <w:sz w:val="24"/>
          <w:szCs w:val="24"/>
          <w:lang w:val="es-CR"/>
        </w:rPr>
      </w:pPr>
    </w:p>
    <w:p w14:paraId="64DC7A5A" w14:textId="6D4DA85B" w:rsidR="00225437" w:rsidRPr="00787962" w:rsidRDefault="006549A0"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E857A2">
        <w:rPr>
          <w:rFonts w:asciiTheme="minorHAnsi" w:hAnsiTheme="minorHAnsi" w:cstheme="minorHAnsi"/>
          <w:sz w:val="24"/>
          <w:szCs w:val="24"/>
          <w:lang w:val="es-CR"/>
        </w:rPr>
        <w:t>2</w:t>
      </w:r>
      <w:r w:rsidR="00B66F4B" w:rsidRPr="00787962">
        <w:rPr>
          <w:rFonts w:asciiTheme="minorHAnsi" w:hAnsiTheme="minorHAnsi" w:cstheme="minorHAnsi"/>
          <w:sz w:val="24"/>
          <w:szCs w:val="24"/>
          <w:lang w:val="es-CR"/>
        </w:rPr>
        <w:t xml:space="preserve">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64DC7A5B" w14:textId="1E80149E" w:rsidR="00225437" w:rsidRDefault="00225437" w:rsidP="003E01E1">
      <w:pPr>
        <w:ind w:left="1276" w:hanging="1"/>
        <w:jc w:val="left"/>
        <w:rPr>
          <w:rFonts w:asciiTheme="minorHAnsi" w:hAnsiTheme="minorHAnsi" w:cstheme="minorHAnsi"/>
          <w:sz w:val="24"/>
          <w:szCs w:val="24"/>
          <w:lang w:val="es-CR" w:eastAsia="es-CR"/>
        </w:rPr>
      </w:pPr>
    </w:p>
    <w:p w14:paraId="76240E31" w14:textId="17B22F84" w:rsidR="003E01E1" w:rsidRPr="003E01E1" w:rsidRDefault="003E01E1" w:rsidP="004E480B">
      <w:pPr>
        <w:spacing w:line="240" w:lineRule="auto"/>
        <w:ind w:left="1560" w:hanging="1"/>
        <w:jc w:val="left"/>
        <w:rPr>
          <w:rFonts w:asciiTheme="minorHAnsi" w:hAnsiTheme="minorHAnsi" w:cstheme="minorHAnsi"/>
          <w:szCs w:val="24"/>
          <w:lang w:val="es-CR" w:eastAsia="es-CR"/>
        </w:rPr>
      </w:pPr>
      <w:r w:rsidRPr="003E01E1">
        <w:rPr>
          <w:rFonts w:asciiTheme="minorHAnsi" w:hAnsiTheme="minorHAnsi" w:cstheme="minorHAnsi"/>
          <w:szCs w:val="24"/>
          <w:lang w:val="es-CR" w:eastAsia="es-CR"/>
        </w:rPr>
        <w:t xml:space="preserve">Gráfico 2: </w:t>
      </w:r>
      <w:r w:rsidR="00E857A2">
        <w:rPr>
          <w:rFonts w:asciiTheme="minorHAnsi" w:hAnsiTheme="minorHAnsi" w:cstheme="minorHAnsi"/>
          <w:b/>
          <w:szCs w:val="24"/>
          <w:lang w:val="es-CR" w:eastAsia="es-CR"/>
        </w:rPr>
        <w:t>Conformación del presupuesto</w:t>
      </w:r>
    </w:p>
    <w:p w14:paraId="604151FA" w14:textId="77777777" w:rsidR="003E01E1" w:rsidRPr="003E01E1" w:rsidRDefault="003E01E1" w:rsidP="004E480B">
      <w:pPr>
        <w:spacing w:line="240" w:lineRule="auto"/>
        <w:ind w:left="1560" w:hanging="1"/>
        <w:jc w:val="left"/>
        <w:rPr>
          <w:rFonts w:asciiTheme="minorHAnsi" w:hAnsiTheme="minorHAnsi" w:cstheme="minorHAnsi"/>
          <w:sz w:val="20"/>
          <w:szCs w:val="24"/>
          <w:lang w:val="es-CR" w:eastAsia="es-CR"/>
        </w:rPr>
      </w:pPr>
      <w:r w:rsidRPr="003E01E1">
        <w:rPr>
          <w:rFonts w:asciiTheme="minorHAnsi" w:hAnsiTheme="minorHAnsi" w:cstheme="minorHAnsi"/>
          <w:sz w:val="20"/>
          <w:szCs w:val="24"/>
          <w:lang w:val="es-CR" w:eastAsia="es-CR"/>
        </w:rPr>
        <w:t>31 de diciembre de 2017</w:t>
      </w:r>
    </w:p>
    <w:p w14:paraId="7D607326" w14:textId="6255B125" w:rsidR="00A50419" w:rsidRPr="00787962" w:rsidRDefault="00BF6F5D" w:rsidP="00545E1A">
      <w:pPr>
        <w:ind w:firstLine="708"/>
        <w:jc w:val="center"/>
        <w:rPr>
          <w:rFonts w:asciiTheme="minorHAnsi" w:hAnsiTheme="minorHAnsi" w:cstheme="minorHAnsi"/>
          <w:sz w:val="24"/>
          <w:szCs w:val="24"/>
          <w:lang w:val="es-CR" w:eastAsia="es-CR"/>
        </w:rPr>
      </w:pPr>
      <w:r>
        <w:rPr>
          <w:rFonts w:asciiTheme="minorHAnsi" w:hAnsiTheme="minorHAnsi" w:cstheme="minorHAnsi"/>
          <w:noProof/>
          <w:sz w:val="24"/>
          <w:szCs w:val="24"/>
          <w:lang w:val="es-CR" w:eastAsia="es-CR"/>
        </w:rPr>
        <w:drawing>
          <wp:inline distT="0" distB="0" distL="0" distR="0" wp14:anchorId="4A4AE14A" wp14:editId="6432E520">
            <wp:extent cx="4186610" cy="2585748"/>
            <wp:effectExtent l="0" t="0" r="444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4133" cy="2596571"/>
                    </a:xfrm>
                    <a:prstGeom prst="rect">
                      <a:avLst/>
                    </a:prstGeom>
                    <a:noFill/>
                  </pic:spPr>
                </pic:pic>
              </a:graphicData>
            </a:graphic>
          </wp:inline>
        </w:drawing>
      </w:r>
    </w:p>
    <w:p w14:paraId="382A8341" w14:textId="52647C3A" w:rsidR="00E553FA" w:rsidRPr="00787962" w:rsidRDefault="00E553FA" w:rsidP="00E857A2">
      <w:pPr>
        <w:jc w:val="center"/>
        <w:rPr>
          <w:rFonts w:asciiTheme="minorHAnsi" w:hAnsiTheme="minorHAnsi" w:cstheme="minorHAnsi"/>
          <w:sz w:val="24"/>
          <w:szCs w:val="24"/>
          <w:lang w:val="es-CR"/>
        </w:rPr>
      </w:pPr>
    </w:p>
    <w:p w14:paraId="64DC7A60" w14:textId="680A6DFE" w:rsidR="00225437" w:rsidRPr="00787962"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787962" w:rsidRDefault="00225437" w:rsidP="00225437">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51F880BD" w:rsidR="00225437" w:rsidRPr="00DA5F9A" w:rsidRDefault="00225437" w:rsidP="00DA5F9A">
      <w:pPr>
        <w:pStyle w:val="Ttulo2"/>
      </w:pPr>
      <w:bookmarkStart w:id="97" w:name="_Toc23842390"/>
      <w:bookmarkStart w:id="98" w:name="_Toc109179115"/>
      <w:bookmarkStart w:id="99" w:name="_Toc131912459"/>
      <w:bookmarkStart w:id="100" w:name="_Toc163371964"/>
      <w:bookmarkStart w:id="101" w:name="_Toc195505397"/>
      <w:bookmarkStart w:id="102" w:name="_Toc226364830"/>
      <w:bookmarkStart w:id="103" w:name="_Toc273448685"/>
      <w:bookmarkStart w:id="104" w:name="_Toc504486238"/>
      <w:r w:rsidRPr="00DA5F9A">
        <w:t>Conclusión</w:t>
      </w:r>
      <w:bookmarkEnd w:id="97"/>
      <w:bookmarkEnd w:id="98"/>
      <w:bookmarkEnd w:id="99"/>
      <w:bookmarkEnd w:id="100"/>
      <w:bookmarkEnd w:id="101"/>
      <w:bookmarkEnd w:id="102"/>
      <w:bookmarkEnd w:id="103"/>
      <w:bookmarkEnd w:id="104"/>
    </w:p>
    <w:p w14:paraId="64DC7A64" w14:textId="77777777" w:rsidR="00225437" w:rsidRPr="00E857A2" w:rsidRDefault="00225437" w:rsidP="00E857A2">
      <w:pPr>
        <w:rPr>
          <w:rFonts w:asciiTheme="minorHAnsi" w:hAnsiTheme="minorHAnsi" w:cstheme="minorHAnsi"/>
          <w:sz w:val="24"/>
          <w:szCs w:val="24"/>
          <w:lang w:val="es-CR"/>
        </w:rPr>
      </w:pPr>
    </w:p>
    <w:p w14:paraId="64DC7A66" w14:textId="798700F7"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545E1A"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225437">
      <w:pPr>
        <w:rPr>
          <w:rFonts w:asciiTheme="minorHAnsi" w:hAnsiTheme="minorHAnsi" w:cstheme="minorHAnsi"/>
          <w:sz w:val="24"/>
          <w:szCs w:val="24"/>
          <w:lang w:val="es-CR"/>
        </w:rPr>
      </w:pPr>
    </w:p>
    <w:p w14:paraId="64DC7A69" w14:textId="3C4BFAEA" w:rsidR="00225437" w:rsidRPr="00787962" w:rsidRDefault="00AD563E"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0465E7">
        <w:rPr>
          <w:rFonts w:asciiTheme="minorHAnsi" w:hAnsiTheme="minorHAnsi" w:cstheme="minorHAnsi"/>
          <w:sz w:val="24"/>
          <w:szCs w:val="24"/>
          <w:lang w:val="es-CR"/>
        </w:rPr>
        <w:t>84</w:t>
      </w:r>
      <w:r w:rsidR="00225437" w:rsidRPr="00787962">
        <w:rPr>
          <w:rFonts w:asciiTheme="minorHAnsi" w:hAnsiTheme="minorHAnsi" w:cstheme="minorHAnsi"/>
          <w:sz w:val="24"/>
          <w:szCs w:val="24"/>
          <w:lang w:val="es-CR"/>
        </w:rPr>
        <w:t>%.</w:t>
      </w:r>
    </w:p>
    <w:p w14:paraId="64DC7A6A" w14:textId="77777777" w:rsidR="001470A8" w:rsidRPr="00787962" w:rsidRDefault="001470A8" w:rsidP="001470A8">
      <w:pPr>
        <w:rPr>
          <w:rFonts w:asciiTheme="minorHAnsi" w:hAnsiTheme="minorHAnsi" w:cstheme="minorHAnsi"/>
          <w:sz w:val="16"/>
          <w:szCs w:val="16"/>
          <w:lang w:val="es-CR"/>
        </w:rPr>
      </w:pPr>
    </w:p>
    <w:p w14:paraId="64DC7A6D" w14:textId="21A29CB5" w:rsidR="001470A8" w:rsidRPr="00787962" w:rsidRDefault="000F57EC" w:rsidP="001470A8">
      <w:pPr>
        <w:rPr>
          <w:rFonts w:asciiTheme="minorHAnsi" w:hAnsiTheme="minorHAnsi" w:cstheme="minorHAnsi"/>
          <w:sz w:val="24"/>
          <w:szCs w:val="24"/>
          <w:lang w:val="es-CR"/>
        </w:rPr>
      </w:pPr>
      <w:r w:rsidRPr="00CB5A3C">
        <w:rPr>
          <w:rFonts w:asciiTheme="minorHAnsi" w:hAnsiTheme="minorHAnsi" w:cstheme="minorHAnsi"/>
          <w:sz w:val="24"/>
          <w:szCs w:val="24"/>
          <w:lang w:val="es-CR"/>
        </w:rPr>
        <w:t>En el G</w:t>
      </w:r>
      <w:r w:rsidR="00E857A2">
        <w:rPr>
          <w:rFonts w:asciiTheme="minorHAnsi" w:hAnsiTheme="minorHAnsi" w:cstheme="minorHAnsi"/>
          <w:sz w:val="24"/>
          <w:szCs w:val="24"/>
          <w:lang w:val="es-CR"/>
        </w:rPr>
        <w:t>ráfico 3</w:t>
      </w:r>
      <w:r w:rsidRPr="00CB5A3C">
        <w:rPr>
          <w:rFonts w:asciiTheme="minorHAnsi" w:hAnsiTheme="minorHAnsi" w:cstheme="minorHAnsi"/>
          <w:sz w:val="24"/>
          <w:szCs w:val="24"/>
          <w:lang w:val="es-CR"/>
        </w:rPr>
        <w:t xml:space="preserve"> </w:t>
      </w:r>
      <w:r w:rsidR="004E5F7F" w:rsidRPr="00CB5A3C">
        <w:rPr>
          <w:rFonts w:asciiTheme="minorHAnsi" w:hAnsiTheme="minorHAnsi" w:cstheme="minorHAnsi"/>
          <w:sz w:val="24"/>
          <w:szCs w:val="24"/>
          <w:lang w:val="es-CR"/>
        </w:rPr>
        <w:t>muestra</w:t>
      </w:r>
      <w:r w:rsidRPr="00CB5A3C">
        <w:rPr>
          <w:rFonts w:asciiTheme="minorHAnsi" w:hAnsiTheme="minorHAnsi" w:cstheme="minorHAnsi"/>
          <w:sz w:val="24"/>
          <w:szCs w:val="24"/>
          <w:lang w:val="es-CR"/>
        </w:rPr>
        <w:t xml:space="preserve"> </w:t>
      </w:r>
      <w:r w:rsidR="00B66F4B" w:rsidRPr="00CB5A3C">
        <w:rPr>
          <w:rFonts w:asciiTheme="minorHAnsi" w:hAnsiTheme="minorHAnsi" w:cstheme="minorHAnsi"/>
          <w:sz w:val="24"/>
          <w:szCs w:val="24"/>
          <w:lang w:val="es-CR"/>
        </w:rPr>
        <w:t>el porcentaje de ejecución alcanzado por cada partida del presupuesto</w:t>
      </w:r>
      <w:r w:rsidR="00E1201E" w:rsidRPr="00CB5A3C">
        <w:rPr>
          <w:rFonts w:asciiTheme="minorHAnsi" w:hAnsiTheme="minorHAnsi" w:cstheme="minorHAnsi"/>
          <w:sz w:val="24"/>
          <w:szCs w:val="24"/>
          <w:lang w:val="es-CR"/>
        </w:rPr>
        <w:t xml:space="preserve"> a nivel mayor</w:t>
      </w:r>
      <w:r w:rsidR="00B66F4B" w:rsidRPr="00CB5A3C">
        <w:rPr>
          <w:rFonts w:asciiTheme="minorHAnsi" w:hAnsiTheme="minorHAnsi" w:cstheme="minorHAnsi"/>
          <w:sz w:val="24"/>
          <w:szCs w:val="24"/>
          <w:lang w:val="es-CR"/>
        </w:rPr>
        <w:t>.</w:t>
      </w:r>
    </w:p>
    <w:p w14:paraId="71794C8C" w14:textId="53622594" w:rsidR="00B66F4B" w:rsidRDefault="00B66F4B" w:rsidP="003E01E1">
      <w:pPr>
        <w:jc w:val="left"/>
        <w:rPr>
          <w:rFonts w:asciiTheme="minorHAnsi" w:hAnsiTheme="minorHAnsi" w:cstheme="minorHAnsi"/>
          <w:szCs w:val="22"/>
          <w:lang w:val="es-CR"/>
        </w:rPr>
      </w:pPr>
    </w:p>
    <w:p w14:paraId="6731FC46" w14:textId="5F9185F3" w:rsidR="003E01E1" w:rsidRPr="003E01E1" w:rsidRDefault="003E01E1" w:rsidP="003E01E1">
      <w:pPr>
        <w:spacing w:line="240" w:lineRule="auto"/>
        <w:ind w:left="1276"/>
        <w:jc w:val="left"/>
        <w:rPr>
          <w:rFonts w:asciiTheme="minorHAnsi" w:hAnsiTheme="minorHAnsi" w:cstheme="minorHAnsi"/>
          <w:szCs w:val="22"/>
          <w:lang w:val="es-CR"/>
        </w:rPr>
      </w:pPr>
      <w:r>
        <w:rPr>
          <w:rFonts w:asciiTheme="minorHAnsi" w:hAnsiTheme="minorHAnsi" w:cstheme="minorHAnsi"/>
          <w:szCs w:val="22"/>
          <w:lang w:val="es-CR"/>
        </w:rPr>
        <w:t xml:space="preserve">Gráfico 3: </w:t>
      </w:r>
      <w:r w:rsidRPr="003E01E1">
        <w:rPr>
          <w:rFonts w:asciiTheme="minorHAnsi" w:hAnsiTheme="minorHAnsi" w:cstheme="minorHAnsi"/>
          <w:b/>
          <w:szCs w:val="22"/>
          <w:lang w:val="es-CR"/>
        </w:rPr>
        <w:t>Ejecución de Presupuesto por Partida</w:t>
      </w:r>
    </w:p>
    <w:p w14:paraId="03A8055D" w14:textId="77777777" w:rsidR="003E01E1" w:rsidRPr="003E01E1" w:rsidRDefault="003E01E1" w:rsidP="003E01E1">
      <w:pPr>
        <w:spacing w:line="240" w:lineRule="auto"/>
        <w:ind w:left="1276"/>
        <w:jc w:val="left"/>
        <w:rPr>
          <w:rFonts w:asciiTheme="minorHAnsi" w:hAnsiTheme="minorHAnsi" w:cstheme="minorHAnsi"/>
          <w:sz w:val="20"/>
          <w:szCs w:val="22"/>
          <w:lang w:val="es-CR"/>
        </w:rPr>
      </w:pPr>
      <w:r w:rsidRPr="003E01E1">
        <w:rPr>
          <w:rFonts w:asciiTheme="minorHAnsi" w:hAnsiTheme="minorHAnsi" w:cstheme="minorHAnsi"/>
          <w:sz w:val="20"/>
          <w:szCs w:val="22"/>
          <w:lang w:val="es-CR"/>
        </w:rPr>
        <w:t>31 de diciembre de 2017</w:t>
      </w:r>
    </w:p>
    <w:p w14:paraId="7748935A" w14:textId="5FE284E5" w:rsidR="003E01E1" w:rsidRPr="003E01E1" w:rsidRDefault="003E01E1" w:rsidP="003E01E1">
      <w:pPr>
        <w:spacing w:line="240" w:lineRule="auto"/>
        <w:ind w:left="1276"/>
        <w:jc w:val="left"/>
        <w:rPr>
          <w:rFonts w:asciiTheme="minorHAnsi" w:hAnsiTheme="minorHAnsi" w:cstheme="minorHAnsi"/>
          <w:sz w:val="18"/>
          <w:szCs w:val="22"/>
          <w:lang w:val="es-CR"/>
        </w:rPr>
      </w:pPr>
      <w:r w:rsidRPr="003E01E1">
        <w:rPr>
          <w:rFonts w:asciiTheme="minorHAnsi" w:hAnsiTheme="minorHAnsi" w:cstheme="minorHAnsi"/>
          <w:sz w:val="18"/>
          <w:szCs w:val="22"/>
          <w:lang w:val="es-CR"/>
        </w:rPr>
        <w:t>En millones de colones</w:t>
      </w:r>
    </w:p>
    <w:p w14:paraId="44A60420" w14:textId="4FCAD6D6" w:rsidR="00B66F4B" w:rsidRDefault="003E01E1" w:rsidP="00E01F01">
      <w:pPr>
        <w:jc w:val="center"/>
        <w:rPr>
          <w:rFonts w:asciiTheme="minorHAnsi" w:hAnsiTheme="minorHAnsi" w:cstheme="minorHAnsi"/>
          <w:szCs w:val="22"/>
          <w:lang w:val="es-CR"/>
        </w:rPr>
      </w:pPr>
      <w:r w:rsidRPr="003E01E1">
        <w:rPr>
          <w:noProof/>
        </w:rPr>
        <w:drawing>
          <wp:inline distT="0" distB="0" distL="0" distR="0" wp14:anchorId="1B4BC34B" wp14:editId="45FE5091">
            <wp:extent cx="4120603" cy="18488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4217" cy="1855005"/>
                    </a:xfrm>
                    <a:prstGeom prst="rect">
                      <a:avLst/>
                    </a:prstGeom>
                    <a:noFill/>
                    <a:ln>
                      <a:noFill/>
                    </a:ln>
                  </pic:spPr>
                </pic:pic>
              </a:graphicData>
            </a:graphic>
          </wp:inline>
        </w:drawing>
      </w:r>
    </w:p>
    <w:p w14:paraId="49942D41" w14:textId="77777777" w:rsidR="00473EFF" w:rsidRPr="00787962" w:rsidRDefault="00473EFF" w:rsidP="003E01E1">
      <w:pPr>
        <w:jc w:val="left"/>
        <w:rPr>
          <w:rFonts w:asciiTheme="minorHAnsi" w:hAnsiTheme="minorHAnsi" w:cstheme="minorHAnsi"/>
          <w:szCs w:val="22"/>
          <w:lang w:val="es-CR"/>
        </w:rPr>
      </w:pPr>
    </w:p>
    <w:p w14:paraId="12D53DDE" w14:textId="16645B72" w:rsidR="00B66F4B" w:rsidRDefault="00B66F4B" w:rsidP="003E01E1">
      <w:pPr>
        <w:jc w:val="left"/>
        <w:rPr>
          <w:rFonts w:asciiTheme="minorHAnsi" w:hAnsiTheme="minorHAnsi" w:cstheme="minorHAnsi"/>
          <w:szCs w:val="22"/>
          <w:lang w:val="es-CR"/>
        </w:rPr>
      </w:pPr>
    </w:p>
    <w:p w14:paraId="2314F052" w14:textId="77777777" w:rsidR="003E01E1" w:rsidRPr="00787962" w:rsidRDefault="003E01E1" w:rsidP="003E01E1">
      <w:pPr>
        <w:jc w:val="left"/>
        <w:rPr>
          <w:rFonts w:asciiTheme="minorHAnsi" w:hAnsiTheme="minorHAnsi" w:cstheme="minorHAnsi"/>
          <w:szCs w:val="22"/>
          <w:lang w:val="es-CR"/>
        </w:rPr>
        <w:sectPr w:rsidR="003E01E1" w:rsidRPr="00787962" w:rsidSect="004243F3">
          <w:headerReference w:type="default" r:id="rId19"/>
          <w:pgSz w:w="12242" w:h="15842" w:code="1"/>
          <w:pgMar w:top="1417" w:right="1701" w:bottom="1417" w:left="1701" w:header="720" w:footer="913" w:gutter="0"/>
          <w:cols w:space="720"/>
          <w:docGrid w:linePitch="299"/>
        </w:sectPr>
      </w:pPr>
    </w:p>
    <w:p w14:paraId="64DC7A6F" w14:textId="77777777" w:rsidR="001470A8" w:rsidRPr="00787962" w:rsidRDefault="001470A8" w:rsidP="001470A8">
      <w:pPr>
        <w:rPr>
          <w:rFonts w:asciiTheme="minorHAnsi" w:hAnsiTheme="minorHAnsi" w:cstheme="minorHAnsi"/>
          <w:szCs w:val="22"/>
          <w:lang w:val="es-CR"/>
        </w:rPr>
      </w:pPr>
    </w:p>
    <w:p w14:paraId="64DC7A70" w14:textId="77777777" w:rsidR="001470A8" w:rsidRPr="00787962" w:rsidRDefault="001470A8" w:rsidP="001470A8">
      <w:pPr>
        <w:rPr>
          <w:rFonts w:asciiTheme="minorHAnsi" w:hAnsiTheme="minorHAnsi" w:cstheme="minorHAnsi"/>
          <w:szCs w:val="22"/>
          <w:lang w:val="es-CR"/>
        </w:rPr>
      </w:pPr>
    </w:p>
    <w:p w14:paraId="64DC7A71" w14:textId="77777777" w:rsidR="001470A8" w:rsidRPr="00787962" w:rsidRDefault="001470A8" w:rsidP="001470A8">
      <w:pPr>
        <w:rPr>
          <w:rFonts w:asciiTheme="minorHAnsi" w:hAnsiTheme="minorHAnsi" w:cstheme="minorHAnsi"/>
          <w:szCs w:val="22"/>
          <w:lang w:val="es-CR"/>
        </w:rPr>
      </w:pPr>
    </w:p>
    <w:p w14:paraId="64DC7A72" w14:textId="23023F0C" w:rsidR="001470A8" w:rsidRPr="00787962" w:rsidRDefault="001470A8" w:rsidP="001470A8">
      <w:pPr>
        <w:rPr>
          <w:rFonts w:asciiTheme="minorHAnsi" w:hAnsiTheme="minorHAnsi" w:cstheme="minorHAnsi"/>
          <w:szCs w:val="22"/>
          <w:lang w:val="es-CR"/>
        </w:rPr>
      </w:pPr>
    </w:p>
    <w:p w14:paraId="64DC7A73" w14:textId="77777777" w:rsidR="001470A8" w:rsidRPr="00787962" w:rsidRDefault="001470A8" w:rsidP="001470A8">
      <w:pPr>
        <w:rPr>
          <w:rFonts w:asciiTheme="minorHAnsi" w:hAnsiTheme="minorHAnsi" w:cstheme="minorHAnsi"/>
          <w:szCs w:val="22"/>
          <w:lang w:val="es-CR"/>
        </w:rPr>
      </w:pPr>
    </w:p>
    <w:p w14:paraId="64DC7A74" w14:textId="77777777" w:rsidR="001470A8" w:rsidRPr="00787962" w:rsidRDefault="001470A8" w:rsidP="001470A8">
      <w:pPr>
        <w:rPr>
          <w:rFonts w:asciiTheme="minorHAnsi" w:hAnsiTheme="minorHAnsi" w:cstheme="minorHAnsi"/>
          <w:szCs w:val="22"/>
          <w:lang w:val="es-CR"/>
        </w:rPr>
      </w:pPr>
    </w:p>
    <w:p w14:paraId="64DC7A75" w14:textId="77777777" w:rsidR="001470A8" w:rsidRPr="00787962" w:rsidRDefault="001470A8" w:rsidP="001470A8">
      <w:pPr>
        <w:rPr>
          <w:rFonts w:asciiTheme="minorHAnsi" w:hAnsiTheme="minorHAnsi" w:cstheme="minorHAnsi"/>
          <w:szCs w:val="22"/>
          <w:lang w:val="es-CR"/>
        </w:rPr>
      </w:pPr>
    </w:p>
    <w:p w14:paraId="64DC7A76" w14:textId="77777777" w:rsidR="001470A8" w:rsidRPr="00787962" w:rsidRDefault="001470A8" w:rsidP="001470A8">
      <w:pPr>
        <w:rPr>
          <w:rFonts w:asciiTheme="minorHAnsi" w:hAnsiTheme="minorHAnsi" w:cstheme="minorHAnsi"/>
          <w:szCs w:val="22"/>
          <w:lang w:val="es-CR"/>
        </w:rPr>
      </w:pPr>
    </w:p>
    <w:p w14:paraId="64DC7A77" w14:textId="77777777" w:rsidR="001470A8" w:rsidRPr="00787962" w:rsidRDefault="001470A8" w:rsidP="001470A8">
      <w:pPr>
        <w:rPr>
          <w:rFonts w:asciiTheme="minorHAnsi" w:hAnsiTheme="minorHAnsi" w:cstheme="minorHAnsi"/>
          <w:szCs w:val="22"/>
          <w:lang w:val="es-CR"/>
        </w:rPr>
      </w:pPr>
    </w:p>
    <w:p w14:paraId="64DC7A78" w14:textId="77777777" w:rsidR="001470A8" w:rsidRPr="00787962" w:rsidRDefault="00743102" w:rsidP="001470A8">
      <w:pPr>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1470A8">
      <w:pPr>
        <w:rPr>
          <w:rFonts w:asciiTheme="minorHAnsi" w:hAnsiTheme="minorHAnsi" w:cstheme="minorHAnsi"/>
          <w:szCs w:val="22"/>
          <w:lang w:val="es-CR"/>
        </w:rPr>
      </w:pPr>
    </w:p>
    <w:p w14:paraId="64DC7A7A" w14:textId="77777777" w:rsidR="00743102" w:rsidRPr="00787962" w:rsidRDefault="00743102" w:rsidP="001470A8">
      <w:pPr>
        <w:rPr>
          <w:rFonts w:asciiTheme="minorHAnsi" w:hAnsiTheme="minorHAnsi" w:cstheme="minorHAnsi"/>
          <w:szCs w:val="22"/>
          <w:lang w:val="es-CR"/>
        </w:rPr>
      </w:pPr>
    </w:p>
    <w:p w14:paraId="64DC7A7B" w14:textId="728C1953" w:rsidR="00743102" w:rsidRPr="00E50B4B" w:rsidRDefault="00743102" w:rsidP="00E50B4B">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105" w:name="_Toc504486239"/>
      <w:r w:rsidRPr="00E50B4B">
        <w:rPr>
          <w:rFonts w:asciiTheme="minorHAnsi" w:hAnsiTheme="minorHAnsi" w:cstheme="minorHAnsi"/>
          <w:sz w:val="28"/>
          <w:szCs w:val="28"/>
          <w:lang w:val="es-CR"/>
        </w:rPr>
        <w:t>Informes de Ejecución Presupuestaria</w:t>
      </w:r>
      <w:bookmarkEnd w:id="105"/>
    </w:p>
    <w:p w14:paraId="64DC7A7C" w14:textId="2CB404D1" w:rsidR="00C2329A" w:rsidRDefault="00C2329A"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pPr>
    </w:p>
    <w:p w14:paraId="11299773" w14:textId="77777777" w:rsidR="00032A03" w:rsidRPr="00032A03" w:rsidRDefault="00032A03" w:rsidP="00032A03">
      <w:pPr>
        <w:rPr>
          <w:lang w:val="es-CR"/>
        </w:rPr>
        <w:sectPr w:rsidR="00032A03" w:rsidRPr="00032A03" w:rsidSect="001470A8">
          <w:footerReference w:type="default" r:id="rId20"/>
          <w:pgSz w:w="12242" w:h="15842" w:code="1"/>
          <w:pgMar w:top="1417" w:right="1701" w:bottom="1417" w:left="1701" w:header="720" w:footer="913" w:gutter="0"/>
          <w:cols w:space="720"/>
          <w:docGrid w:linePitch="299"/>
        </w:sectPr>
      </w:pPr>
    </w:p>
    <w:p w14:paraId="64DC7A7D" w14:textId="7002CA00" w:rsidR="00C2329A" w:rsidRPr="00787962" w:rsidRDefault="00E75F11" w:rsidP="00AD6B46">
      <w:pPr>
        <w:pStyle w:val="Ttulo3"/>
        <w:rPr>
          <w:lang w:val="es-CR"/>
        </w:rPr>
      </w:pPr>
      <w:bookmarkStart w:id="106" w:name="_Toc504486240"/>
      <w:r w:rsidRPr="00787962">
        <w:rPr>
          <w:lang w:val="es-CR"/>
        </w:rPr>
        <w:t>Cuadro 1</w:t>
      </w:r>
      <w:r w:rsidR="005D020A">
        <w:rPr>
          <w:lang w:val="es-CR"/>
        </w:rPr>
        <w:t>8</w:t>
      </w:r>
      <w:r w:rsidRPr="00787962">
        <w:rPr>
          <w:lang w:val="es-CR"/>
        </w:rPr>
        <w:t>: Informe de Ejecución Presupuestaria a nivel de Cuenta de Gasto</w:t>
      </w:r>
      <w:bookmarkEnd w:id="106"/>
    </w:p>
    <w:p w14:paraId="64DC7A7E" w14:textId="77777777" w:rsidR="00E75F11" w:rsidRPr="00787962" w:rsidRDefault="00E75F11">
      <w:pPr>
        <w:spacing w:line="240" w:lineRule="auto"/>
        <w:jc w:val="left"/>
        <w:rPr>
          <w:rFonts w:asciiTheme="minorHAnsi" w:hAnsiTheme="minorHAnsi" w:cstheme="minorHAnsi"/>
          <w:szCs w:val="22"/>
          <w:lang w:val="es-CR"/>
        </w:rPr>
      </w:pPr>
    </w:p>
    <w:p w14:paraId="51DB7567" w14:textId="777BC4D2" w:rsidR="005E7C36" w:rsidRPr="00787962" w:rsidRDefault="00E86965">
      <w:pPr>
        <w:spacing w:line="240" w:lineRule="auto"/>
        <w:jc w:val="left"/>
        <w:rPr>
          <w:rFonts w:asciiTheme="minorHAnsi" w:hAnsiTheme="minorHAnsi" w:cstheme="minorHAnsi"/>
          <w:szCs w:val="22"/>
          <w:lang w:val="es-CR"/>
        </w:rPr>
      </w:pPr>
      <w:r w:rsidRPr="00E86965">
        <w:rPr>
          <w:noProof/>
        </w:rPr>
        <w:drawing>
          <wp:inline distT="0" distB="0" distL="0" distR="0" wp14:anchorId="261853D1" wp14:editId="4EC17FED">
            <wp:extent cx="8260080" cy="2471755"/>
            <wp:effectExtent l="0" t="0" r="762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60080" cy="2471755"/>
                    </a:xfrm>
                    <a:prstGeom prst="rect">
                      <a:avLst/>
                    </a:prstGeom>
                    <a:noFill/>
                    <a:ln>
                      <a:noFill/>
                    </a:ln>
                  </pic:spPr>
                </pic:pic>
              </a:graphicData>
            </a:graphic>
          </wp:inline>
        </w:drawing>
      </w:r>
    </w:p>
    <w:p w14:paraId="5921D533" w14:textId="31296665" w:rsidR="00B7105F" w:rsidRPr="00787962" w:rsidRDefault="00B7105F">
      <w:pPr>
        <w:spacing w:line="240" w:lineRule="auto"/>
        <w:jc w:val="left"/>
        <w:rPr>
          <w:rFonts w:asciiTheme="minorHAnsi" w:hAnsiTheme="minorHAnsi" w:cstheme="minorHAnsi"/>
          <w:szCs w:val="22"/>
          <w:lang w:val="es-CR"/>
        </w:rPr>
      </w:pPr>
    </w:p>
    <w:p w14:paraId="64DC7A80" w14:textId="77777777" w:rsidR="00C2329A" w:rsidRPr="00787962" w:rsidRDefault="00C2329A">
      <w:pPr>
        <w:spacing w:line="240" w:lineRule="auto"/>
        <w:jc w:val="left"/>
        <w:rPr>
          <w:rFonts w:asciiTheme="minorHAnsi" w:hAnsiTheme="minorHAnsi" w:cstheme="minorHAnsi"/>
          <w:szCs w:val="22"/>
          <w:lang w:val="es-CR"/>
        </w:rPr>
      </w:pPr>
    </w:p>
    <w:p w14:paraId="64DC7A81" w14:textId="77777777" w:rsidR="00C2329A" w:rsidRPr="00787962" w:rsidRDefault="00C2329A">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7F50B12D" w:rsidR="00044ECA" w:rsidRPr="00787962" w:rsidRDefault="00E75F11" w:rsidP="00AD6B46">
      <w:pPr>
        <w:pStyle w:val="Ttulo3"/>
        <w:rPr>
          <w:lang w:val="es-CR"/>
        </w:rPr>
      </w:pPr>
      <w:bookmarkStart w:id="107" w:name="_Toc504486241"/>
      <w:r w:rsidRPr="00787962">
        <w:rPr>
          <w:lang w:val="es-CR"/>
        </w:rPr>
        <w:t xml:space="preserve">Cuadro </w:t>
      </w:r>
      <w:r w:rsidR="005D020A">
        <w:rPr>
          <w:lang w:val="es-CR"/>
        </w:rPr>
        <w:t>19</w:t>
      </w:r>
      <w:r w:rsidRPr="00787962">
        <w:rPr>
          <w:lang w:val="es-CR"/>
        </w:rPr>
        <w:t>: Informe de Ejecución Presupuestaria por sub-cuenta</w:t>
      </w:r>
      <w:bookmarkEnd w:id="107"/>
    </w:p>
    <w:p w14:paraId="64DC7A90" w14:textId="45F93C20" w:rsidR="00D748D7" w:rsidRPr="00787962" w:rsidRDefault="00D748D7" w:rsidP="00687707">
      <w:pPr>
        <w:spacing w:line="240" w:lineRule="auto"/>
        <w:jc w:val="left"/>
        <w:rPr>
          <w:rFonts w:asciiTheme="minorHAnsi" w:hAnsiTheme="minorHAnsi" w:cstheme="minorHAnsi"/>
          <w:lang w:val="es-CR"/>
        </w:rPr>
      </w:pPr>
    </w:p>
    <w:p w14:paraId="6D1DBD79" w14:textId="2DD51423" w:rsidR="00687707" w:rsidRPr="00787962" w:rsidRDefault="00E86965" w:rsidP="002D533C">
      <w:pPr>
        <w:spacing w:line="240" w:lineRule="auto"/>
        <w:jc w:val="center"/>
        <w:rPr>
          <w:rFonts w:asciiTheme="minorHAnsi" w:hAnsiTheme="minorHAnsi" w:cstheme="minorHAnsi"/>
          <w:lang w:val="es-CR"/>
        </w:rPr>
      </w:pPr>
      <w:r w:rsidRPr="00E86965">
        <w:rPr>
          <w:noProof/>
        </w:rPr>
        <w:drawing>
          <wp:inline distT="0" distB="0" distL="0" distR="0" wp14:anchorId="1BE121C9" wp14:editId="6B9248EA">
            <wp:extent cx="8260080" cy="4568733"/>
            <wp:effectExtent l="0" t="0" r="762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0080" cy="4568733"/>
                    </a:xfrm>
                    <a:prstGeom prst="rect">
                      <a:avLst/>
                    </a:prstGeom>
                    <a:noFill/>
                    <a:ln>
                      <a:noFill/>
                    </a:ln>
                  </pic:spPr>
                </pic:pic>
              </a:graphicData>
            </a:graphic>
          </wp:inline>
        </w:drawing>
      </w:r>
    </w:p>
    <w:p w14:paraId="28FAAD44" w14:textId="1C7EB82F" w:rsidR="00687707" w:rsidRDefault="00687707" w:rsidP="00687707">
      <w:pPr>
        <w:spacing w:line="240" w:lineRule="auto"/>
        <w:jc w:val="left"/>
        <w:rPr>
          <w:rFonts w:asciiTheme="minorHAnsi" w:hAnsiTheme="minorHAnsi" w:cstheme="minorHAnsi"/>
          <w:lang w:val="es-CR"/>
        </w:rPr>
      </w:pPr>
    </w:p>
    <w:p w14:paraId="446CA3E3" w14:textId="48271A07" w:rsidR="00256570" w:rsidRDefault="00256570" w:rsidP="00687707">
      <w:pPr>
        <w:spacing w:line="240" w:lineRule="auto"/>
        <w:jc w:val="left"/>
        <w:rPr>
          <w:rFonts w:asciiTheme="minorHAnsi" w:hAnsiTheme="minorHAnsi" w:cstheme="minorHAnsi"/>
          <w:lang w:val="es-CR"/>
        </w:rPr>
      </w:pPr>
    </w:p>
    <w:p w14:paraId="1F1E5E14" w14:textId="77777777" w:rsidR="00256570" w:rsidRDefault="00256570">
      <w:pPr>
        <w:spacing w:line="240" w:lineRule="auto"/>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687707">
      <w:pPr>
        <w:spacing w:line="240" w:lineRule="auto"/>
        <w:jc w:val="left"/>
        <w:rPr>
          <w:rFonts w:asciiTheme="minorHAnsi" w:hAnsiTheme="minorHAnsi" w:cstheme="minorHAnsi"/>
          <w:lang w:val="es-CR"/>
        </w:rPr>
      </w:pPr>
    </w:p>
    <w:p w14:paraId="3EF42E06" w14:textId="37577E9C" w:rsidR="00256570" w:rsidRPr="00787962" w:rsidRDefault="00BA6811" w:rsidP="00687707">
      <w:pPr>
        <w:spacing w:line="240" w:lineRule="auto"/>
        <w:jc w:val="left"/>
        <w:rPr>
          <w:rFonts w:asciiTheme="minorHAnsi" w:hAnsiTheme="minorHAnsi" w:cstheme="minorHAnsi"/>
          <w:lang w:val="es-CR"/>
        </w:rPr>
      </w:pPr>
      <w:r w:rsidRPr="00BA6811">
        <w:rPr>
          <w:noProof/>
        </w:rPr>
        <w:drawing>
          <wp:inline distT="0" distB="0" distL="0" distR="0" wp14:anchorId="797D085B" wp14:editId="16A74521">
            <wp:extent cx="8260080" cy="4568733"/>
            <wp:effectExtent l="0" t="0" r="762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4568733"/>
                    </a:xfrm>
                    <a:prstGeom prst="rect">
                      <a:avLst/>
                    </a:prstGeom>
                    <a:noFill/>
                    <a:ln>
                      <a:noFill/>
                    </a:ln>
                  </pic:spPr>
                </pic:pic>
              </a:graphicData>
            </a:graphic>
          </wp:inline>
        </w:drawing>
      </w:r>
    </w:p>
    <w:p w14:paraId="3309ADB6" w14:textId="6B9E12CC" w:rsidR="00687707" w:rsidRPr="00787962" w:rsidRDefault="00687707" w:rsidP="00687707">
      <w:pPr>
        <w:spacing w:line="240" w:lineRule="auto"/>
        <w:jc w:val="left"/>
        <w:rPr>
          <w:rFonts w:asciiTheme="minorHAnsi" w:hAnsiTheme="minorHAnsi" w:cstheme="minorHAnsi"/>
          <w:lang w:val="es-CR"/>
        </w:rPr>
      </w:pPr>
    </w:p>
    <w:p w14:paraId="0332B426" w14:textId="47145318" w:rsidR="00C35693" w:rsidRPr="00787962" w:rsidRDefault="00C35693">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687707">
      <w:pPr>
        <w:spacing w:line="240" w:lineRule="auto"/>
        <w:jc w:val="left"/>
        <w:rPr>
          <w:rFonts w:asciiTheme="minorHAnsi" w:hAnsiTheme="minorHAnsi" w:cstheme="minorHAnsi"/>
          <w:lang w:val="es-CR"/>
        </w:rPr>
      </w:pPr>
    </w:p>
    <w:p w14:paraId="1D7E8A80" w14:textId="7A024842" w:rsidR="00256570" w:rsidRPr="00787962" w:rsidRDefault="00BA6811" w:rsidP="00687707">
      <w:pPr>
        <w:spacing w:line="240" w:lineRule="auto"/>
        <w:jc w:val="left"/>
        <w:rPr>
          <w:rFonts w:asciiTheme="minorHAnsi" w:hAnsiTheme="minorHAnsi" w:cstheme="minorHAnsi"/>
          <w:lang w:val="es-CR"/>
        </w:rPr>
      </w:pPr>
      <w:r w:rsidRPr="00BA6811">
        <w:rPr>
          <w:noProof/>
        </w:rPr>
        <w:drawing>
          <wp:inline distT="0" distB="0" distL="0" distR="0" wp14:anchorId="14C188FD" wp14:editId="62126DA0">
            <wp:extent cx="8260080" cy="417652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60080" cy="4176525"/>
                    </a:xfrm>
                    <a:prstGeom prst="rect">
                      <a:avLst/>
                    </a:prstGeom>
                    <a:noFill/>
                    <a:ln>
                      <a:noFill/>
                    </a:ln>
                  </pic:spPr>
                </pic:pic>
              </a:graphicData>
            </a:graphic>
          </wp:inline>
        </w:drawing>
      </w:r>
    </w:p>
    <w:p w14:paraId="2B440E64" w14:textId="77777777" w:rsidR="005C0768" w:rsidRPr="00787962" w:rsidRDefault="005C0768" w:rsidP="00687707">
      <w:pPr>
        <w:spacing w:line="240" w:lineRule="auto"/>
        <w:jc w:val="left"/>
        <w:rPr>
          <w:rFonts w:asciiTheme="minorHAnsi" w:hAnsiTheme="minorHAnsi" w:cstheme="minorHAnsi"/>
          <w:lang w:val="es-CR"/>
        </w:rPr>
      </w:pPr>
    </w:p>
    <w:p w14:paraId="64DC7A91" w14:textId="77777777" w:rsidR="00E75F11" w:rsidRPr="00787962" w:rsidRDefault="00E75F11">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4C7963A5" w:rsidR="00E75F11" w:rsidRPr="00787962" w:rsidRDefault="00E75F11" w:rsidP="00AD6B46">
      <w:pPr>
        <w:pStyle w:val="Ttulo3"/>
        <w:rPr>
          <w:lang w:val="es-CR"/>
        </w:rPr>
      </w:pPr>
      <w:bookmarkStart w:id="108" w:name="_Toc504486242"/>
      <w:r w:rsidRPr="00787962">
        <w:rPr>
          <w:lang w:val="es-CR"/>
        </w:rPr>
        <w:t xml:space="preserve">Cuadro </w:t>
      </w:r>
      <w:r w:rsidR="005D020A">
        <w:rPr>
          <w:lang w:val="es-CR"/>
        </w:rPr>
        <w:t>20</w:t>
      </w:r>
      <w:r w:rsidRPr="00787962">
        <w:rPr>
          <w:lang w:val="es-CR"/>
        </w:rPr>
        <w:t>: Presupuesto Ordinario y Modificaciones</w:t>
      </w:r>
      <w:bookmarkEnd w:id="108"/>
    </w:p>
    <w:p w14:paraId="64DC7A93" w14:textId="2B41C2B2" w:rsidR="00E75F11" w:rsidRPr="00787962" w:rsidRDefault="00E75F11" w:rsidP="00E75F11">
      <w:pPr>
        <w:rPr>
          <w:rFonts w:asciiTheme="minorHAnsi" w:hAnsiTheme="minorHAnsi" w:cstheme="minorHAnsi"/>
          <w:lang w:val="es-CR"/>
        </w:rPr>
      </w:pPr>
    </w:p>
    <w:p w14:paraId="12477F92" w14:textId="4515968C" w:rsidR="00573EBD" w:rsidRDefault="00544561" w:rsidP="00E75F11">
      <w:pPr>
        <w:rPr>
          <w:rFonts w:asciiTheme="minorHAnsi" w:hAnsiTheme="minorHAnsi" w:cstheme="minorHAnsi"/>
          <w:lang w:val="es-CR"/>
        </w:rPr>
      </w:pPr>
      <w:r w:rsidRPr="00544561">
        <w:rPr>
          <w:noProof/>
        </w:rPr>
        <w:drawing>
          <wp:inline distT="0" distB="0" distL="0" distR="0" wp14:anchorId="7422B68C" wp14:editId="386C3F5F">
            <wp:extent cx="8260080" cy="2987232"/>
            <wp:effectExtent l="0" t="0" r="762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60080" cy="2987232"/>
                    </a:xfrm>
                    <a:prstGeom prst="rect">
                      <a:avLst/>
                    </a:prstGeom>
                    <a:noFill/>
                    <a:ln>
                      <a:noFill/>
                    </a:ln>
                  </pic:spPr>
                </pic:pic>
              </a:graphicData>
            </a:graphic>
          </wp:inline>
        </w:drawing>
      </w:r>
    </w:p>
    <w:p w14:paraId="683D61D5" w14:textId="77777777" w:rsidR="00544561" w:rsidRPr="00787962" w:rsidRDefault="00544561" w:rsidP="00E75F11">
      <w:pPr>
        <w:rPr>
          <w:rFonts w:asciiTheme="minorHAnsi" w:hAnsiTheme="minorHAnsi" w:cstheme="minorHAnsi"/>
          <w:lang w:val="es-CR"/>
        </w:rPr>
      </w:pPr>
    </w:p>
    <w:p w14:paraId="64DC7A94" w14:textId="77777777" w:rsidR="00703D9F" w:rsidRPr="00787962" w:rsidRDefault="00703D9F">
      <w:pPr>
        <w:spacing w:line="240" w:lineRule="auto"/>
        <w:jc w:val="left"/>
        <w:rPr>
          <w:rFonts w:asciiTheme="minorHAnsi" w:hAnsiTheme="minorHAnsi" w:cstheme="minorHAnsi"/>
          <w:lang w:val="es-CR"/>
        </w:rPr>
      </w:pPr>
    </w:p>
    <w:p w14:paraId="0221381C" w14:textId="77777777" w:rsidR="00C35693" w:rsidRPr="00787962" w:rsidRDefault="00C35693">
      <w:pPr>
        <w:spacing w:line="240" w:lineRule="auto"/>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5900CB6F" w:rsidR="00E75F11" w:rsidRPr="00787962" w:rsidRDefault="00E75F11" w:rsidP="00AD6B46">
      <w:pPr>
        <w:pStyle w:val="Ttulo3"/>
        <w:rPr>
          <w:lang w:val="es-CR"/>
        </w:rPr>
      </w:pPr>
      <w:bookmarkStart w:id="109" w:name="_Toc504486243"/>
      <w:r w:rsidRPr="00787962">
        <w:rPr>
          <w:lang w:val="es-CR"/>
        </w:rPr>
        <w:t xml:space="preserve">Cuadro </w:t>
      </w:r>
      <w:r w:rsidR="005D020A">
        <w:rPr>
          <w:lang w:val="es-CR"/>
        </w:rPr>
        <w:t>21</w:t>
      </w:r>
      <w:r w:rsidRPr="00787962">
        <w:rPr>
          <w:lang w:val="es-CR"/>
        </w:rPr>
        <w:t>: Ingresos y Egresos</w:t>
      </w:r>
      <w:r w:rsidR="008B3E43" w:rsidRPr="00787962">
        <w:rPr>
          <w:lang w:val="es-CR"/>
        </w:rPr>
        <w:t xml:space="preserve"> Ejecutados</w:t>
      </w:r>
      <w:bookmarkEnd w:id="109"/>
    </w:p>
    <w:p w14:paraId="64DC7A96" w14:textId="3D5F928F" w:rsidR="005B01A0" w:rsidRPr="00787962" w:rsidRDefault="005B01A0" w:rsidP="005B01A0">
      <w:pPr>
        <w:rPr>
          <w:rFonts w:asciiTheme="minorHAnsi" w:hAnsiTheme="minorHAnsi" w:cstheme="minorHAnsi"/>
          <w:lang w:val="es-CR" w:eastAsia="es-CR"/>
        </w:rPr>
      </w:pPr>
    </w:p>
    <w:p w14:paraId="16864474" w14:textId="4AD951F6" w:rsidR="00902A22" w:rsidRPr="00787962" w:rsidRDefault="00544561" w:rsidP="00902A22">
      <w:pPr>
        <w:jc w:val="center"/>
        <w:rPr>
          <w:rFonts w:asciiTheme="minorHAnsi" w:hAnsiTheme="minorHAnsi" w:cstheme="minorHAnsi"/>
          <w:lang w:val="es-CR" w:eastAsia="es-CR"/>
        </w:rPr>
      </w:pPr>
      <w:r w:rsidRPr="00544561">
        <w:rPr>
          <w:noProof/>
        </w:rPr>
        <w:drawing>
          <wp:inline distT="0" distB="0" distL="0" distR="0" wp14:anchorId="6F1B990F" wp14:editId="4E1587B1">
            <wp:extent cx="4843570" cy="3977359"/>
            <wp:effectExtent l="0" t="0" r="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2434" cy="3984638"/>
                    </a:xfrm>
                    <a:prstGeom prst="rect">
                      <a:avLst/>
                    </a:prstGeom>
                    <a:noFill/>
                    <a:ln>
                      <a:noFill/>
                    </a:ln>
                  </pic:spPr>
                </pic:pic>
              </a:graphicData>
            </a:graphic>
          </wp:inline>
        </w:drawing>
      </w:r>
    </w:p>
    <w:p w14:paraId="2EAB56D0" w14:textId="414F0537" w:rsidR="00902A22" w:rsidRDefault="00902A22" w:rsidP="005B01A0">
      <w:pPr>
        <w:rPr>
          <w:rFonts w:asciiTheme="minorHAnsi" w:hAnsiTheme="minorHAnsi" w:cstheme="minorHAnsi"/>
          <w:lang w:val="es-CR" w:eastAsia="es-CR"/>
        </w:rPr>
      </w:pPr>
    </w:p>
    <w:p w14:paraId="44C79E74" w14:textId="1F3FC7B7" w:rsidR="001C2AD6" w:rsidRPr="00787962" w:rsidRDefault="001C2AD6" w:rsidP="00AD6B46">
      <w:pPr>
        <w:pStyle w:val="Ttulo3"/>
        <w:rPr>
          <w:lang w:val="es-CR"/>
        </w:rPr>
      </w:pPr>
      <w:bookmarkStart w:id="110" w:name="_Toc504486244"/>
      <w:r w:rsidRPr="00787962">
        <w:rPr>
          <w:lang w:val="es-CR"/>
        </w:rPr>
        <w:t xml:space="preserve">Cuadro </w:t>
      </w:r>
      <w:r w:rsidR="005D020A">
        <w:rPr>
          <w:lang w:val="es-CR"/>
        </w:rPr>
        <w:t>22</w:t>
      </w:r>
      <w:r w:rsidRPr="00787962">
        <w:rPr>
          <w:lang w:val="es-CR"/>
        </w:rPr>
        <w:t xml:space="preserve">: </w:t>
      </w:r>
      <w:r>
        <w:rPr>
          <w:lang w:val="es-CR"/>
        </w:rPr>
        <w:t xml:space="preserve">Comparativo de </w:t>
      </w:r>
      <w:r w:rsidRPr="00787962">
        <w:rPr>
          <w:lang w:val="es-CR"/>
        </w:rPr>
        <w:t>Ingresos y Egresos Ejecutados</w:t>
      </w:r>
      <w:bookmarkEnd w:id="110"/>
    </w:p>
    <w:p w14:paraId="0F87E214" w14:textId="77777777" w:rsidR="001C2AD6" w:rsidRPr="00787962" w:rsidRDefault="001C2AD6" w:rsidP="005B01A0">
      <w:pPr>
        <w:rPr>
          <w:rFonts w:asciiTheme="minorHAnsi" w:hAnsiTheme="minorHAnsi" w:cstheme="minorHAnsi"/>
          <w:lang w:val="es-CR" w:eastAsia="es-CR"/>
        </w:rPr>
      </w:pPr>
    </w:p>
    <w:p w14:paraId="1E8C722B" w14:textId="060A666A" w:rsidR="00687707" w:rsidRPr="00787962" w:rsidRDefault="00544561" w:rsidP="00902A22">
      <w:pPr>
        <w:jc w:val="center"/>
        <w:rPr>
          <w:rFonts w:asciiTheme="minorHAnsi" w:hAnsiTheme="minorHAnsi" w:cstheme="minorHAnsi"/>
          <w:lang w:val="es-CR" w:eastAsia="es-CR"/>
        </w:rPr>
      </w:pPr>
      <w:r w:rsidRPr="00544561">
        <w:rPr>
          <w:noProof/>
        </w:rPr>
        <w:drawing>
          <wp:inline distT="0" distB="0" distL="0" distR="0" wp14:anchorId="7F644615" wp14:editId="4E55613F">
            <wp:extent cx="4678587" cy="2750752"/>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5448" cy="2754786"/>
                    </a:xfrm>
                    <a:prstGeom prst="rect">
                      <a:avLst/>
                    </a:prstGeom>
                    <a:noFill/>
                    <a:ln>
                      <a:noFill/>
                    </a:ln>
                  </pic:spPr>
                </pic:pic>
              </a:graphicData>
            </a:graphic>
          </wp:inline>
        </w:drawing>
      </w:r>
    </w:p>
    <w:p w14:paraId="126CAD81" w14:textId="28BB04E3" w:rsidR="00544561" w:rsidRDefault="00544561" w:rsidP="005B01A0">
      <w:pPr>
        <w:rPr>
          <w:rFonts w:asciiTheme="minorHAnsi" w:hAnsiTheme="minorHAnsi" w:cstheme="minorHAnsi"/>
          <w:lang w:val="es-CR"/>
        </w:rPr>
      </w:pPr>
    </w:p>
    <w:p w14:paraId="043BF04E" w14:textId="38E6522D" w:rsidR="00544561" w:rsidRPr="00787962" w:rsidRDefault="00544561" w:rsidP="00AD6B46">
      <w:pPr>
        <w:pStyle w:val="Ttulo3"/>
        <w:rPr>
          <w:lang w:val="es-CR"/>
        </w:rPr>
      </w:pPr>
      <w:bookmarkStart w:id="111" w:name="_Toc504486245"/>
      <w:r>
        <w:rPr>
          <w:lang w:val="es-CR"/>
        </w:rPr>
        <w:t xml:space="preserve">Cuadro </w:t>
      </w:r>
      <w:r w:rsidR="005D020A">
        <w:rPr>
          <w:lang w:val="es-CR"/>
        </w:rPr>
        <w:t>23</w:t>
      </w:r>
      <w:r w:rsidRPr="00787962">
        <w:rPr>
          <w:lang w:val="es-CR"/>
        </w:rPr>
        <w:t xml:space="preserve">: </w:t>
      </w:r>
      <w:r>
        <w:rPr>
          <w:lang w:val="es-CR"/>
        </w:rPr>
        <w:t>Liquidación del Presupuesto de Ingresos y Egresos</w:t>
      </w:r>
      <w:bookmarkEnd w:id="111"/>
    </w:p>
    <w:p w14:paraId="29B737EE" w14:textId="04A6E8A0" w:rsidR="00544561" w:rsidRDefault="00544561" w:rsidP="005B01A0">
      <w:pPr>
        <w:rPr>
          <w:rFonts w:asciiTheme="minorHAnsi" w:hAnsiTheme="minorHAnsi" w:cstheme="minorHAnsi"/>
          <w:lang w:val="es-CR"/>
        </w:rPr>
      </w:pPr>
    </w:p>
    <w:p w14:paraId="1236FE38" w14:textId="49DE7B85" w:rsidR="00544561" w:rsidRPr="00787962" w:rsidRDefault="00544561" w:rsidP="00544561">
      <w:pPr>
        <w:jc w:val="center"/>
        <w:rPr>
          <w:rFonts w:asciiTheme="minorHAnsi" w:hAnsiTheme="minorHAnsi" w:cstheme="minorHAnsi"/>
          <w:lang w:val="es-CR"/>
        </w:rPr>
      </w:pPr>
      <w:r w:rsidRPr="00544561">
        <w:rPr>
          <w:noProof/>
        </w:rPr>
        <w:drawing>
          <wp:inline distT="0" distB="0" distL="0" distR="0" wp14:anchorId="0DA0AD52" wp14:editId="3ECBF32E">
            <wp:extent cx="4166870" cy="4190533"/>
            <wp:effectExtent l="0" t="0" r="508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78871" cy="4202602"/>
                    </a:xfrm>
                    <a:prstGeom prst="rect">
                      <a:avLst/>
                    </a:prstGeom>
                    <a:noFill/>
                    <a:ln>
                      <a:noFill/>
                    </a:ln>
                  </pic:spPr>
                </pic:pic>
              </a:graphicData>
            </a:graphic>
          </wp:inline>
        </w:drawing>
      </w:r>
    </w:p>
    <w:p w14:paraId="64DC7A98" w14:textId="77777777" w:rsidR="00703D9F" w:rsidRPr="00787962" w:rsidRDefault="00703D9F" w:rsidP="005B01A0">
      <w:pPr>
        <w:rPr>
          <w:rFonts w:asciiTheme="minorHAnsi" w:hAnsiTheme="minorHAnsi" w:cstheme="minorHAnsi"/>
          <w:lang w:val="es-CR"/>
        </w:rPr>
      </w:pPr>
    </w:p>
    <w:p w14:paraId="64DC7A99" w14:textId="77777777" w:rsidR="00703D9F" w:rsidRPr="00787962" w:rsidRDefault="00703D9F">
      <w:pPr>
        <w:spacing w:line="240" w:lineRule="auto"/>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1D2F035B" w:rsidR="005B01A0" w:rsidRPr="00787962" w:rsidRDefault="00544561" w:rsidP="00AD6B46">
      <w:pPr>
        <w:pStyle w:val="Ttulo3"/>
        <w:rPr>
          <w:lang w:val="es-CR"/>
        </w:rPr>
      </w:pPr>
      <w:bookmarkStart w:id="112" w:name="_Toc504486246"/>
      <w:r>
        <w:rPr>
          <w:lang w:val="es-CR"/>
        </w:rPr>
        <w:t xml:space="preserve">Cuadro </w:t>
      </w:r>
      <w:r w:rsidR="005D020A">
        <w:rPr>
          <w:lang w:val="es-CR"/>
        </w:rPr>
        <w:t>24</w:t>
      </w:r>
      <w:r w:rsidR="005B01A0" w:rsidRPr="00787962">
        <w:rPr>
          <w:lang w:val="es-CR"/>
        </w:rPr>
        <w:t>: Ejecución Presupuestaria a Nivel de Cuenta de Ingreso</w:t>
      </w:r>
      <w:bookmarkEnd w:id="112"/>
    </w:p>
    <w:p w14:paraId="64DC7A9B" w14:textId="77777777" w:rsidR="00833363" w:rsidRPr="00787962" w:rsidRDefault="00833363" w:rsidP="00833363">
      <w:pPr>
        <w:rPr>
          <w:rFonts w:asciiTheme="minorHAnsi" w:hAnsiTheme="minorHAnsi" w:cstheme="minorHAnsi"/>
          <w:lang w:val="es-CR"/>
        </w:rPr>
      </w:pPr>
    </w:p>
    <w:p w14:paraId="4FF316E1" w14:textId="36823779" w:rsidR="00C5679C" w:rsidRPr="00787962" w:rsidRDefault="00C5679C" w:rsidP="00833363">
      <w:pPr>
        <w:rPr>
          <w:rFonts w:asciiTheme="minorHAnsi" w:hAnsiTheme="minorHAnsi" w:cstheme="minorHAnsi"/>
          <w:lang w:val="es-CR"/>
        </w:rPr>
      </w:pPr>
    </w:p>
    <w:p w14:paraId="6E206446" w14:textId="7FE3E76E" w:rsidR="009A4ED1" w:rsidRPr="00787962" w:rsidRDefault="00544561" w:rsidP="00833363">
      <w:pPr>
        <w:rPr>
          <w:rFonts w:asciiTheme="minorHAnsi" w:hAnsiTheme="minorHAnsi" w:cstheme="minorHAnsi"/>
          <w:lang w:val="es-CR"/>
        </w:rPr>
      </w:pPr>
      <w:r w:rsidRPr="00544561">
        <w:rPr>
          <w:noProof/>
        </w:rPr>
        <w:drawing>
          <wp:inline distT="0" distB="0" distL="0" distR="0" wp14:anchorId="687F1D9D" wp14:editId="770E4C28">
            <wp:extent cx="8260080" cy="2508663"/>
            <wp:effectExtent l="0" t="0" r="762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60080" cy="2508663"/>
                    </a:xfrm>
                    <a:prstGeom prst="rect">
                      <a:avLst/>
                    </a:prstGeom>
                    <a:noFill/>
                    <a:ln>
                      <a:noFill/>
                    </a:ln>
                  </pic:spPr>
                </pic:pic>
              </a:graphicData>
            </a:graphic>
          </wp:inline>
        </w:drawing>
      </w:r>
    </w:p>
    <w:p w14:paraId="64DC7A9C" w14:textId="5FCFEFDD" w:rsidR="00ED37DC" w:rsidRPr="00787962" w:rsidRDefault="00ED37DC" w:rsidP="00833363">
      <w:pPr>
        <w:rPr>
          <w:rFonts w:asciiTheme="minorHAnsi" w:hAnsiTheme="minorHAnsi" w:cstheme="minorHAnsi"/>
          <w:lang w:val="es-CR"/>
        </w:rPr>
      </w:pPr>
    </w:p>
    <w:p w14:paraId="64DC7A9D" w14:textId="77777777" w:rsidR="005B01A0" w:rsidRPr="00787962" w:rsidRDefault="005B01A0" w:rsidP="005B01A0">
      <w:pPr>
        <w:rPr>
          <w:rFonts w:asciiTheme="minorHAnsi" w:hAnsiTheme="minorHAnsi" w:cstheme="minorHAnsi"/>
          <w:lang w:val="es-CR"/>
        </w:rPr>
      </w:pPr>
    </w:p>
    <w:p w14:paraId="64DC7A9E" w14:textId="77777777" w:rsidR="00D1352C" w:rsidRPr="00787962" w:rsidRDefault="00D1352C">
      <w:pPr>
        <w:spacing w:line="240" w:lineRule="auto"/>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7A2E283D" w:rsidR="005B01A0" w:rsidRPr="00787962" w:rsidRDefault="00544561" w:rsidP="00AD6B46">
      <w:pPr>
        <w:pStyle w:val="Ttulo3"/>
        <w:rPr>
          <w:lang w:val="es-CR"/>
        </w:rPr>
      </w:pPr>
      <w:bookmarkStart w:id="113" w:name="_Toc504486247"/>
      <w:r>
        <w:rPr>
          <w:lang w:val="es-CR"/>
        </w:rPr>
        <w:t xml:space="preserve">Cuadro </w:t>
      </w:r>
      <w:r w:rsidR="005D020A">
        <w:rPr>
          <w:lang w:val="es-CR"/>
        </w:rPr>
        <w:t>25</w:t>
      </w:r>
      <w:r w:rsidR="003F046A" w:rsidRPr="00787962">
        <w:rPr>
          <w:lang w:val="es-CR"/>
        </w:rPr>
        <w:t xml:space="preserve">: </w:t>
      </w:r>
      <w:r w:rsidR="00393C53" w:rsidRPr="00787962">
        <w:rPr>
          <w:lang w:val="es-CR"/>
        </w:rPr>
        <w:t>R</w:t>
      </w:r>
      <w:r w:rsidR="002C1511" w:rsidRPr="00787962">
        <w:rPr>
          <w:lang w:val="es-CR"/>
        </w:rPr>
        <w:t>esumen</w:t>
      </w:r>
      <w:r w:rsidR="00A67E1F" w:rsidRPr="00787962">
        <w:rPr>
          <w:lang w:val="es-CR"/>
        </w:rPr>
        <w:t xml:space="preserve"> de</w:t>
      </w:r>
      <w:r w:rsidR="00393C53" w:rsidRPr="00787962">
        <w:rPr>
          <w:lang w:val="es-CR"/>
        </w:rPr>
        <w:t xml:space="preserve"> </w:t>
      </w:r>
      <w:r w:rsidR="002C1511" w:rsidRPr="00787962">
        <w:rPr>
          <w:lang w:val="es-CR"/>
        </w:rPr>
        <w:t>l</w:t>
      </w:r>
      <w:r w:rsidR="00393C53" w:rsidRPr="00787962">
        <w:rPr>
          <w:lang w:val="es-CR"/>
        </w:rPr>
        <w:t>a composición del presupuesto por p</w:t>
      </w:r>
      <w:r w:rsidR="00A67E1F" w:rsidRPr="00787962">
        <w:rPr>
          <w:lang w:val="es-CR"/>
        </w:rPr>
        <w:t>artida</w:t>
      </w:r>
      <w:bookmarkEnd w:id="113"/>
    </w:p>
    <w:p w14:paraId="375A7E50" w14:textId="5BACB1F9" w:rsidR="007652AA" w:rsidRDefault="007652AA" w:rsidP="007652AA">
      <w:pPr>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4889"/>
        <w:gridCol w:w="2024"/>
        <w:gridCol w:w="1787"/>
      </w:tblGrid>
      <w:tr w:rsidR="00EE2ACA" w:rsidRPr="00EE2ACA" w14:paraId="0A559427" w14:textId="77777777" w:rsidTr="00EE2ACA">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40A162BC" w14:textId="77777777" w:rsidR="00EE2ACA" w:rsidRPr="00EE2ACA" w:rsidRDefault="00EE2ACA">
            <w:pPr>
              <w:spacing w:line="240" w:lineRule="auto"/>
              <w:jc w:val="center"/>
              <w:rPr>
                <w:rFonts w:ascii="Calibri Light" w:hAnsi="Calibri Light" w:cs="Calibri Light"/>
                <w:b/>
                <w:bCs/>
                <w:color w:val="000000"/>
                <w:sz w:val="20"/>
                <w:lang w:val="es-CR" w:eastAsia="es-CR"/>
              </w:rPr>
            </w:pPr>
            <w:r w:rsidRPr="00EE2ACA">
              <w:rPr>
                <w:rFonts w:ascii="Calibri Light" w:hAnsi="Calibri Light" w:cs="Calibri Light"/>
                <w:b/>
                <w:bCs/>
                <w:color w:val="000000"/>
                <w:sz w:val="20"/>
                <w:lang w:val="es-CR" w:eastAsia="es-CR"/>
              </w:rPr>
              <w:t>DETALLE DEL PRESUPUESTO POR PARTIDA</w:t>
            </w:r>
          </w:p>
        </w:tc>
      </w:tr>
      <w:tr w:rsidR="00EE2ACA" w:rsidRPr="00EE2ACA" w14:paraId="6763F0D9" w14:textId="77777777" w:rsidTr="00EE2ACA">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10214515" w14:textId="6D595010" w:rsidR="00EE2ACA" w:rsidRPr="00EE2ACA" w:rsidRDefault="00EE2ACA" w:rsidP="00EE2ACA">
            <w:pPr>
              <w:spacing w:line="240" w:lineRule="auto"/>
              <w:jc w:val="center"/>
              <w:rPr>
                <w:rFonts w:ascii="Calibri Light" w:hAnsi="Calibri Light" w:cs="Calibri Light"/>
                <w:b/>
                <w:bCs/>
                <w:i/>
                <w:iCs/>
                <w:color w:val="000000"/>
                <w:sz w:val="20"/>
                <w:lang w:val="es-CR" w:eastAsia="es-CR"/>
              </w:rPr>
            </w:pPr>
            <w:r w:rsidRPr="00EE2ACA">
              <w:rPr>
                <w:rFonts w:ascii="Calibri Light" w:hAnsi="Calibri Light" w:cs="Calibri Light"/>
                <w:b/>
                <w:bCs/>
                <w:i/>
                <w:iCs/>
                <w:color w:val="000000"/>
                <w:sz w:val="20"/>
                <w:lang w:val="es-CR" w:eastAsia="es-CR"/>
              </w:rPr>
              <w:t>al 3</w:t>
            </w:r>
            <w:r w:rsidR="00C34B3B">
              <w:rPr>
                <w:rFonts w:ascii="Calibri Light" w:hAnsi="Calibri Light" w:cs="Calibri Light"/>
                <w:b/>
                <w:bCs/>
                <w:i/>
                <w:iCs/>
                <w:color w:val="000000"/>
                <w:sz w:val="20"/>
                <w:lang w:val="es-CR" w:eastAsia="es-CR"/>
              </w:rPr>
              <w:t>1</w:t>
            </w:r>
            <w:r w:rsidRPr="00EE2ACA">
              <w:rPr>
                <w:rFonts w:ascii="Calibri Light" w:hAnsi="Calibri Light" w:cs="Calibri Light"/>
                <w:b/>
                <w:bCs/>
                <w:i/>
                <w:iCs/>
                <w:color w:val="000000"/>
                <w:sz w:val="20"/>
                <w:lang w:val="es-CR" w:eastAsia="es-CR"/>
              </w:rPr>
              <w:t xml:space="preserve"> de </w:t>
            </w:r>
            <w:r w:rsidR="00C34B3B">
              <w:rPr>
                <w:rFonts w:ascii="Calibri Light" w:hAnsi="Calibri Light" w:cs="Calibri Light"/>
                <w:b/>
                <w:bCs/>
                <w:i/>
                <w:iCs/>
                <w:color w:val="000000"/>
                <w:sz w:val="20"/>
                <w:lang w:val="es-CR" w:eastAsia="es-CR"/>
              </w:rPr>
              <w:t>diciembre</w:t>
            </w:r>
            <w:r w:rsidRPr="00EE2ACA">
              <w:rPr>
                <w:rFonts w:ascii="Calibri Light" w:hAnsi="Calibri Light" w:cs="Calibri Light"/>
                <w:b/>
                <w:bCs/>
                <w:i/>
                <w:iCs/>
                <w:color w:val="000000"/>
                <w:sz w:val="20"/>
                <w:lang w:val="es-CR" w:eastAsia="es-CR"/>
              </w:rPr>
              <w:t xml:space="preserve"> de 2017</w:t>
            </w:r>
          </w:p>
        </w:tc>
      </w:tr>
      <w:tr w:rsidR="00EE2ACA" w:rsidRPr="00EE2ACA" w14:paraId="3D03853C" w14:textId="77777777" w:rsidTr="00EE2ACA">
        <w:trPr>
          <w:trHeight w:val="255"/>
        </w:trPr>
        <w:tc>
          <w:tcPr>
            <w:tcW w:w="8700" w:type="dxa"/>
            <w:gridSpan w:val="3"/>
            <w:tcBorders>
              <w:top w:val="nil"/>
              <w:left w:val="nil"/>
              <w:bottom w:val="nil"/>
              <w:right w:val="nil"/>
            </w:tcBorders>
            <w:shd w:val="clear" w:color="auto" w:fill="auto"/>
            <w:noWrap/>
            <w:vAlign w:val="center"/>
            <w:hideMark/>
          </w:tcPr>
          <w:p w14:paraId="001B93D8" w14:textId="77777777" w:rsidR="00EE2ACA" w:rsidRPr="00EE2ACA" w:rsidRDefault="00EE2ACA" w:rsidP="00EE2ACA">
            <w:pPr>
              <w:spacing w:line="240" w:lineRule="auto"/>
              <w:jc w:val="center"/>
              <w:rPr>
                <w:rFonts w:ascii="Calibri Light" w:hAnsi="Calibri Light" w:cs="Calibri Light"/>
                <w:b/>
                <w:bCs/>
                <w:i/>
                <w:iCs/>
                <w:color w:val="000000"/>
                <w:sz w:val="20"/>
                <w:lang w:val="es-CR" w:eastAsia="es-CR"/>
              </w:rPr>
            </w:pPr>
          </w:p>
        </w:tc>
      </w:tr>
      <w:tr w:rsidR="00EE2ACA" w:rsidRPr="00EE2ACA" w14:paraId="10ECCDCB" w14:textId="77777777" w:rsidTr="00EE2ACA">
        <w:trPr>
          <w:trHeight w:val="405"/>
        </w:trPr>
        <w:tc>
          <w:tcPr>
            <w:tcW w:w="4889" w:type="dxa"/>
            <w:tcBorders>
              <w:top w:val="nil"/>
              <w:left w:val="nil"/>
              <w:bottom w:val="nil"/>
              <w:right w:val="nil"/>
            </w:tcBorders>
            <w:shd w:val="clear" w:color="auto" w:fill="auto"/>
            <w:noWrap/>
            <w:vAlign w:val="center"/>
            <w:hideMark/>
          </w:tcPr>
          <w:p w14:paraId="4B1B1861"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Cuenta presupuestaria</w:t>
            </w:r>
          </w:p>
        </w:tc>
        <w:tc>
          <w:tcPr>
            <w:tcW w:w="2024" w:type="dxa"/>
            <w:tcBorders>
              <w:top w:val="nil"/>
              <w:left w:val="nil"/>
              <w:bottom w:val="nil"/>
              <w:right w:val="nil"/>
            </w:tcBorders>
            <w:shd w:val="clear" w:color="auto" w:fill="auto"/>
            <w:noWrap/>
            <w:vAlign w:val="center"/>
            <w:hideMark/>
          </w:tcPr>
          <w:p w14:paraId="69831156"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Presupuesto</w:t>
            </w:r>
          </w:p>
        </w:tc>
        <w:tc>
          <w:tcPr>
            <w:tcW w:w="1787" w:type="dxa"/>
            <w:tcBorders>
              <w:top w:val="nil"/>
              <w:left w:val="nil"/>
              <w:bottom w:val="nil"/>
              <w:right w:val="nil"/>
            </w:tcBorders>
            <w:shd w:val="clear" w:color="auto" w:fill="auto"/>
            <w:noWrap/>
            <w:vAlign w:val="center"/>
            <w:hideMark/>
          </w:tcPr>
          <w:p w14:paraId="643CF0BF"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Porcentaje</w:t>
            </w:r>
          </w:p>
        </w:tc>
      </w:tr>
      <w:tr w:rsidR="00EE2ACA" w:rsidRPr="00EE2ACA" w14:paraId="007B5920" w14:textId="77777777" w:rsidTr="00EE2ACA">
        <w:trPr>
          <w:trHeight w:val="375"/>
        </w:trPr>
        <w:tc>
          <w:tcPr>
            <w:tcW w:w="4889" w:type="dxa"/>
            <w:tcBorders>
              <w:top w:val="nil"/>
              <w:left w:val="nil"/>
              <w:bottom w:val="nil"/>
              <w:right w:val="nil"/>
            </w:tcBorders>
            <w:shd w:val="clear" w:color="auto" w:fill="auto"/>
            <w:noWrap/>
            <w:vAlign w:val="center"/>
            <w:hideMark/>
          </w:tcPr>
          <w:p w14:paraId="679FA8A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REMUNERACIONES</w:t>
            </w:r>
          </w:p>
        </w:tc>
        <w:tc>
          <w:tcPr>
            <w:tcW w:w="2024" w:type="dxa"/>
            <w:tcBorders>
              <w:top w:val="nil"/>
              <w:left w:val="nil"/>
              <w:bottom w:val="nil"/>
              <w:right w:val="nil"/>
            </w:tcBorders>
            <w:shd w:val="clear" w:color="auto" w:fill="auto"/>
            <w:noWrap/>
            <w:vAlign w:val="center"/>
            <w:hideMark/>
          </w:tcPr>
          <w:p w14:paraId="7315180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3,149,867,726</w:t>
            </w:r>
          </w:p>
        </w:tc>
        <w:tc>
          <w:tcPr>
            <w:tcW w:w="1787" w:type="dxa"/>
            <w:tcBorders>
              <w:top w:val="nil"/>
              <w:left w:val="nil"/>
              <w:bottom w:val="nil"/>
              <w:right w:val="nil"/>
            </w:tcBorders>
            <w:shd w:val="clear" w:color="auto" w:fill="auto"/>
            <w:noWrap/>
            <w:vAlign w:val="center"/>
            <w:hideMark/>
          </w:tcPr>
          <w:p w14:paraId="0B48BCB0"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60.7%</w:t>
            </w:r>
          </w:p>
        </w:tc>
      </w:tr>
      <w:tr w:rsidR="00EE2ACA" w:rsidRPr="00EE2ACA" w14:paraId="0FA36B5B" w14:textId="77777777" w:rsidTr="00EE2ACA">
        <w:trPr>
          <w:trHeight w:val="375"/>
        </w:trPr>
        <w:tc>
          <w:tcPr>
            <w:tcW w:w="4889" w:type="dxa"/>
            <w:tcBorders>
              <w:top w:val="nil"/>
              <w:left w:val="nil"/>
              <w:bottom w:val="nil"/>
              <w:right w:val="nil"/>
            </w:tcBorders>
            <w:shd w:val="clear" w:color="auto" w:fill="auto"/>
            <w:noWrap/>
            <w:vAlign w:val="center"/>
            <w:hideMark/>
          </w:tcPr>
          <w:p w14:paraId="1716C20C"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SERVICIOS</w:t>
            </w:r>
          </w:p>
        </w:tc>
        <w:tc>
          <w:tcPr>
            <w:tcW w:w="2024" w:type="dxa"/>
            <w:tcBorders>
              <w:top w:val="nil"/>
              <w:left w:val="nil"/>
              <w:bottom w:val="nil"/>
              <w:right w:val="nil"/>
            </w:tcBorders>
            <w:shd w:val="clear" w:color="auto" w:fill="auto"/>
            <w:noWrap/>
            <w:vAlign w:val="center"/>
            <w:hideMark/>
          </w:tcPr>
          <w:p w14:paraId="5F1EFA49"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1,920,098,919</w:t>
            </w:r>
          </w:p>
        </w:tc>
        <w:tc>
          <w:tcPr>
            <w:tcW w:w="1787" w:type="dxa"/>
            <w:tcBorders>
              <w:top w:val="nil"/>
              <w:left w:val="nil"/>
              <w:bottom w:val="nil"/>
              <w:right w:val="nil"/>
            </w:tcBorders>
            <w:shd w:val="clear" w:color="auto" w:fill="auto"/>
            <w:noWrap/>
            <w:vAlign w:val="center"/>
            <w:hideMark/>
          </w:tcPr>
          <w:p w14:paraId="4274A324"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37.0%</w:t>
            </w:r>
          </w:p>
        </w:tc>
      </w:tr>
      <w:tr w:rsidR="00EE2ACA" w:rsidRPr="00EE2ACA" w14:paraId="3D828186" w14:textId="77777777" w:rsidTr="00EE2ACA">
        <w:trPr>
          <w:trHeight w:val="375"/>
        </w:trPr>
        <w:tc>
          <w:tcPr>
            <w:tcW w:w="4889" w:type="dxa"/>
            <w:tcBorders>
              <w:top w:val="nil"/>
              <w:left w:val="nil"/>
              <w:bottom w:val="nil"/>
              <w:right w:val="nil"/>
            </w:tcBorders>
            <w:shd w:val="clear" w:color="auto" w:fill="auto"/>
            <w:noWrap/>
            <w:vAlign w:val="center"/>
            <w:hideMark/>
          </w:tcPr>
          <w:p w14:paraId="0B5A3C4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BIENES DURADEROS</w:t>
            </w:r>
          </w:p>
        </w:tc>
        <w:tc>
          <w:tcPr>
            <w:tcW w:w="2024" w:type="dxa"/>
            <w:tcBorders>
              <w:top w:val="nil"/>
              <w:left w:val="nil"/>
              <w:bottom w:val="nil"/>
              <w:right w:val="nil"/>
            </w:tcBorders>
            <w:shd w:val="clear" w:color="auto" w:fill="auto"/>
            <w:noWrap/>
            <w:vAlign w:val="center"/>
            <w:hideMark/>
          </w:tcPr>
          <w:p w14:paraId="1FC74EC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5,898,828</w:t>
            </w:r>
          </w:p>
        </w:tc>
        <w:tc>
          <w:tcPr>
            <w:tcW w:w="1787" w:type="dxa"/>
            <w:tcBorders>
              <w:top w:val="nil"/>
              <w:left w:val="nil"/>
              <w:bottom w:val="nil"/>
              <w:right w:val="nil"/>
            </w:tcBorders>
            <w:shd w:val="clear" w:color="auto" w:fill="auto"/>
            <w:noWrap/>
            <w:vAlign w:val="center"/>
            <w:hideMark/>
          </w:tcPr>
          <w:p w14:paraId="3C26F49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0.1%</w:t>
            </w:r>
          </w:p>
        </w:tc>
      </w:tr>
      <w:tr w:rsidR="00EE2ACA" w:rsidRPr="00EE2ACA" w14:paraId="37DEA3B9" w14:textId="77777777" w:rsidTr="00EE2ACA">
        <w:trPr>
          <w:trHeight w:val="375"/>
        </w:trPr>
        <w:tc>
          <w:tcPr>
            <w:tcW w:w="4889" w:type="dxa"/>
            <w:tcBorders>
              <w:top w:val="nil"/>
              <w:left w:val="nil"/>
              <w:bottom w:val="nil"/>
              <w:right w:val="nil"/>
            </w:tcBorders>
            <w:shd w:val="clear" w:color="auto" w:fill="auto"/>
            <w:noWrap/>
            <w:vAlign w:val="center"/>
            <w:hideMark/>
          </w:tcPr>
          <w:p w14:paraId="52AFD9C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TRANSFERENCIAS CORRIENTES</w:t>
            </w:r>
          </w:p>
        </w:tc>
        <w:tc>
          <w:tcPr>
            <w:tcW w:w="2024" w:type="dxa"/>
            <w:tcBorders>
              <w:top w:val="nil"/>
              <w:left w:val="nil"/>
              <w:bottom w:val="nil"/>
              <w:right w:val="nil"/>
            </w:tcBorders>
            <w:shd w:val="clear" w:color="auto" w:fill="auto"/>
            <w:noWrap/>
            <w:vAlign w:val="center"/>
            <w:hideMark/>
          </w:tcPr>
          <w:p w14:paraId="3F41A66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95,741,340</w:t>
            </w:r>
          </w:p>
        </w:tc>
        <w:tc>
          <w:tcPr>
            <w:tcW w:w="1787" w:type="dxa"/>
            <w:tcBorders>
              <w:top w:val="nil"/>
              <w:left w:val="nil"/>
              <w:bottom w:val="nil"/>
              <w:right w:val="nil"/>
            </w:tcBorders>
            <w:shd w:val="clear" w:color="auto" w:fill="auto"/>
            <w:noWrap/>
            <w:vAlign w:val="center"/>
            <w:hideMark/>
          </w:tcPr>
          <w:p w14:paraId="549A2086"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1.8%</w:t>
            </w:r>
          </w:p>
        </w:tc>
      </w:tr>
      <w:tr w:rsidR="00EE2ACA" w:rsidRPr="00EE2ACA" w14:paraId="274C41B5" w14:textId="77777777" w:rsidTr="00EE2ACA">
        <w:trPr>
          <w:trHeight w:val="375"/>
        </w:trPr>
        <w:tc>
          <w:tcPr>
            <w:tcW w:w="4889" w:type="dxa"/>
            <w:tcBorders>
              <w:top w:val="nil"/>
              <w:left w:val="nil"/>
              <w:bottom w:val="nil"/>
              <w:right w:val="nil"/>
            </w:tcBorders>
            <w:shd w:val="clear" w:color="auto" w:fill="auto"/>
            <w:noWrap/>
            <w:vAlign w:val="center"/>
            <w:hideMark/>
          </w:tcPr>
          <w:p w14:paraId="733BD163"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MATERIALES Y SUMINISTROS</w:t>
            </w:r>
          </w:p>
        </w:tc>
        <w:tc>
          <w:tcPr>
            <w:tcW w:w="2024" w:type="dxa"/>
            <w:tcBorders>
              <w:top w:val="nil"/>
              <w:left w:val="nil"/>
              <w:bottom w:val="nil"/>
              <w:right w:val="nil"/>
            </w:tcBorders>
            <w:shd w:val="clear" w:color="auto" w:fill="auto"/>
            <w:noWrap/>
            <w:vAlign w:val="center"/>
            <w:hideMark/>
          </w:tcPr>
          <w:p w14:paraId="58DCB35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20,030,000</w:t>
            </w:r>
          </w:p>
        </w:tc>
        <w:tc>
          <w:tcPr>
            <w:tcW w:w="1787" w:type="dxa"/>
            <w:tcBorders>
              <w:top w:val="nil"/>
              <w:left w:val="nil"/>
              <w:bottom w:val="nil"/>
              <w:right w:val="nil"/>
            </w:tcBorders>
            <w:shd w:val="clear" w:color="auto" w:fill="auto"/>
            <w:noWrap/>
            <w:vAlign w:val="center"/>
            <w:hideMark/>
          </w:tcPr>
          <w:p w14:paraId="25D99595"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0.4%</w:t>
            </w:r>
          </w:p>
        </w:tc>
      </w:tr>
      <w:tr w:rsidR="00EE2ACA" w:rsidRPr="00EE2ACA" w14:paraId="6F31A6DA" w14:textId="77777777" w:rsidTr="00EE2ACA">
        <w:trPr>
          <w:trHeight w:val="180"/>
        </w:trPr>
        <w:tc>
          <w:tcPr>
            <w:tcW w:w="4889" w:type="dxa"/>
            <w:tcBorders>
              <w:top w:val="nil"/>
              <w:left w:val="nil"/>
              <w:bottom w:val="nil"/>
              <w:right w:val="nil"/>
            </w:tcBorders>
            <w:shd w:val="clear" w:color="auto" w:fill="auto"/>
            <w:noWrap/>
            <w:vAlign w:val="bottom"/>
            <w:hideMark/>
          </w:tcPr>
          <w:p w14:paraId="338188A8" w14:textId="77777777" w:rsidR="00EE2ACA" w:rsidRPr="00EE2ACA" w:rsidRDefault="00EE2ACA" w:rsidP="00EE2ACA">
            <w:pPr>
              <w:spacing w:line="240" w:lineRule="auto"/>
              <w:jc w:val="center"/>
              <w:rPr>
                <w:rFonts w:ascii="Calibri Light" w:hAnsi="Calibri Light" w:cs="Calibri Light"/>
                <w:color w:val="000000"/>
                <w:sz w:val="20"/>
                <w:lang w:val="es-CR" w:eastAsia="es-CR"/>
              </w:rPr>
            </w:pPr>
          </w:p>
        </w:tc>
        <w:tc>
          <w:tcPr>
            <w:tcW w:w="2024" w:type="dxa"/>
            <w:tcBorders>
              <w:top w:val="nil"/>
              <w:left w:val="nil"/>
              <w:bottom w:val="nil"/>
              <w:right w:val="nil"/>
            </w:tcBorders>
            <w:shd w:val="clear" w:color="auto" w:fill="auto"/>
            <w:noWrap/>
            <w:vAlign w:val="bottom"/>
            <w:hideMark/>
          </w:tcPr>
          <w:p w14:paraId="0B646EF3" w14:textId="77777777" w:rsidR="00EE2ACA" w:rsidRPr="00EE2ACA" w:rsidRDefault="00EE2ACA" w:rsidP="00EE2ACA">
            <w:pPr>
              <w:spacing w:line="240" w:lineRule="auto"/>
              <w:jc w:val="left"/>
              <w:rPr>
                <w:rFonts w:ascii="Calibri Light" w:hAnsi="Calibri Light" w:cs="Calibri Light"/>
                <w:sz w:val="20"/>
                <w:lang w:val="es-CR" w:eastAsia="es-CR"/>
              </w:rPr>
            </w:pPr>
          </w:p>
        </w:tc>
        <w:tc>
          <w:tcPr>
            <w:tcW w:w="1787" w:type="dxa"/>
            <w:tcBorders>
              <w:top w:val="nil"/>
              <w:left w:val="nil"/>
              <w:bottom w:val="nil"/>
              <w:right w:val="nil"/>
            </w:tcBorders>
            <w:shd w:val="clear" w:color="auto" w:fill="auto"/>
            <w:noWrap/>
            <w:vAlign w:val="bottom"/>
            <w:hideMark/>
          </w:tcPr>
          <w:p w14:paraId="2701128E" w14:textId="77777777" w:rsidR="00EE2ACA" w:rsidRPr="00EE2ACA" w:rsidRDefault="00EE2ACA" w:rsidP="00EE2ACA">
            <w:pPr>
              <w:spacing w:line="240" w:lineRule="auto"/>
              <w:jc w:val="left"/>
              <w:rPr>
                <w:rFonts w:ascii="Calibri Light" w:hAnsi="Calibri Light" w:cs="Calibri Light"/>
                <w:sz w:val="20"/>
                <w:lang w:val="es-CR" w:eastAsia="es-CR"/>
              </w:rPr>
            </w:pPr>
          </w:p>
        </w:tc>
      </w:tr>
      <w:tr w:rsidR="00EE2ACA" w:rsidRPr="00EE2ACA" w14:paraId="19ED3612" w14:textId="77777777" w:rsidTr="00EE2ACA">
        <w:trPr>
          <w:trHeight w:val="420"/>
        </w:trPr>
        <w:tc>
          <w:tcPr>
            <w:tcW w:w="4889" w:type="dxa"/>
            <w:tcBorders>
              <w:top w:val="single" w:sz="4" w:space="0" w:color="auto"/>
              <w:left w:val="single" w:sz="4" w:space="0" w:color="auto"/>
              <w:bottom w:val="single" w:sz="4" w:space="0" w:color="auto"/>
              <w:right w:val="nil"/>
            </w:tcBorders>
            <w:shd w:val="clear" w:color="auto" w:fill="auto"/>
            <w:noWrap/>
            <w:vAlign w:val="center"/>
            <w:hideMark/>
          </w:tcPr>
          <w:p w14:paraId="5EDAEE2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 xml:space="preserve">TOTAL </w:t>
            </w:r>
          </w:p>
        </w:tc>
        <w:tc>
          <w:tcPr>
            <w:tcW w:w="2024" w:type="dxa"/>
            <w:tcBorders>
              <w:top w:val="single" w:sz="4" w:space="0" w:color="auto"/>
              <w:left w:val="nil"/>
              <w:bottom w:val="single" w:sz="4" w:space="0" w:color="auto"/>
              <w:right w:val="nil"/>
            </w:tcBorders>
            <w:shd w:val="clear" w:color="auto" w:fill="auto"/>
            <w:noWrap/>
            <w:vAlign w:val="center"/>
            <w:hideMark/>
          </w:tcPr>
          <w:p w14:paraId="0FEF6334"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5,191,636,813</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6DBD803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100%</w:t>
            </w:r>
          </w:p>
        </w:tc>
      </w:tr>
    </w:tbl>
    <w:p w14:paraId="7F869342" w14:textId="0F16A8CC" w:rsidR="00EE2ACA" w:rsidRDefault="00EE2ACA" w:rsidP="007652AA">
      <w:pPr>
        <w:rPr>
          <w:rFonts w:asciiTheme="minorHAnsi" w:hAnsiTheme="minorHAnsi" w:cstheme="minorHAnsi"/>
          <w:lang w:val="es-CR"/>
        </w:rPr>
      </w:pPr>
    </w:p>
    <w:p w14:paraId="73565FA4" w14:textId="77777777" w:rsidR="00EE2ACA" w:rsidRPr="00787962" w:rsidRDefault="00EE2ACA" w:rsidP="007652AA">
      <w:pPr>
        <w:rPr>
          <w:rFonts w:asciiTheme="minorHAnsi" w:hAnsiTheme="minorHAnsi" w:cstheme="minorHAnsi"/>
          <w:lang w:val="es-CR"/>
        </w:rPr>
      </w:pPr>
    </w:p>
    <w:p w14:paraId="64DC7AA0" w14:textId="670D0BDC" w:rsidR="005B01A0" w:rsidRPr="00787962" w:rsidRDefault="005B01A0" w:rsidP="00D91A86">
      <w:pPr>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67797A18" w:rsidR="005B01A0" w:rsidRPr="00787962" w:rsidRDefault="004F2D47" w:rsidP="00AD6B46">
      <w:pPr>
        <w:pStyle w:val="Ttulo3"/>
        <w:rPr>
          <w:lang w:val="es-CR"/>
        </w:rPr>
      </w:pPr>
      <w:bookmarkStart w:id="114" w:name="_Toc504486248"/>
      <w:r>
        <w:rPr>
          <w:lang w:val="es-CR"/>
        </w:rPr>
        <w:t>Gráfico 4</w:t>
      </w:r>
      <w:r w:rsidR="005B01A0" w:rsidRPr="00787962">
        <w:rPr>
          <w:lang w:val="es-CR"/>
        </w:rPr>
        <w:t>: Detalle de Porcentaje de Ejecución</w:t>
      </w:r>
      <w:bookmarkEnd w:id="114"/>
    </w:p>
    <w:p w14:paraId="64DC7AA2" w14:textId="0DC6BA41" w:rsidR="00D91A86" w:rsidRPr="00787962" w:rsidRDefault="00D91A86" w:rsidP="00D91A86">
      <w:pPr>
        <w:rPr>
          <w:rFonts w:asciiTheme="minorHAnsi" w:hAnsiTheme="minorHAnsi" w:cstheme="minorHAnsi"/>
          <w:lang w:val="es-CR"/>
        </w:rPr>
      </w:pPr>
    </w:p>
    <w:p w14:paraId="169C05A6" w14:textId="17E7393B" w:rsidR="00C35693" w:rsidRPr="00787962" w:rsidRDefault="00F75787" w:rsidP="00544561">
      <w:pPr>
        <w:jc w:val="center"/>
        <w:rPr>
          <w:rFonts w:asciiTheme="minorHAnsi" w:hAnsiTheme="minorHAnsi" w:cstheme="minorHAnsi"/>
          <w:lang w:val="es-CR"/>
        </w:rPr>
      </w:pPr>
      <w:r w:rsidRPr="00F75787">
        <w:rPr>
          <w:noProof/>
        </w:rPr>
        <w:drawing>
          <wp:inline distT="0" distB="0" distL="0" distR="0" wp14:anchorId="45C1A76A" wp14:editId="1261854C">
            <wp:extent cx="4199834" cy="4068718"/>
            <wp:effectExtent l="0" t="0" r="0"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8295" cy="4076915"/>
                    </a:xfrm>
                    <a:prstGeom prst="rect">
                      <a:avLst/>
                    </a:prstGeom>
                    <a:noFill/>
                    <a:ln>
                      <a:noFill/>
                    </a:ln>
                  </pic:spPr>
                </pic:pic>
              </a:graphicData>
            </a:graphic>
          </wp:inline>
        </w:drawing>
      </w:r>
    </w:p>
    <w:p w14:paraId="64DC7AA3" w14:textId="2124D2A8" w:rsidR="005B01A0" w:rsidRPr="00787962" w:rsidRDefault="005B01A0" w:rsidP="00D91A86">
      <w:pPr>
        <w:jc w:val="center"/>
        <w:rPr>
          <w:rFonts w:asciiTheme="minorHAnsi" w:hAnsiTheme="minorHAnsi" w:cstheme="minorHAnsi"/>
          <w:lang w:val="es-CR"/>
        </w:rPr>
      </w:pPr>
    </w:p>
    <w:p w14:paraId="2C95BD85" w14:textId="77777777" w:rsidR="00B01C13" w:rsidRPr="00787962" w:rsidRDefault="00B01C13" w:rsidP="00D91A86">
      <w:pPr>
        <w:jc w:val="center"/>
        <w:rPr>
          <w:rFonts w:asciiTheme="minorHAnsi" w:hAnsiTheme="minorHAnsi" w:cstheme="minorHAnsi"/>
          <w:lang w:val="es-CR"/>
        </w:rPr>
      </w:pPr>
    </w:p>
    <w:p w14:paraId="64DC7AA4" w14:textId="77777777" w:rsidR="005B01A0" w:rsidRPr="00787962" w:rsidRDefault="005B01A0">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1EABB0A5" w:rsidR="005B01A0" w:rsidRPr="00787962" w:rsidRDefault="005B01A0" w:rsidP="00AD6B46">
      <w:pPr>
        <w:pStyle w:val="Ttulo3"/>
        <w:rPr>
          <w:lang w:val="es-CR"/>
        </w:rPr>
      </w:pPr>
      <w:bookmarkStart w:id="115" w:name="_Toc504486249"/>
      <w:r w:rsidRPr="00787962">
        <w:rPr>
          <w:lang w:val="es-CR"/>
        </w:rPr>
        <w:t xml:space="preserve">Gráfico </w:t>
      </w:r>
      <w:r w:rsidR="004F2D47">
        <w:rPr>
          <w:lang w:val="es-CR"/>
        </w:rPr>
        <w:t>5</w:t>
      </w:r>
      <w:r w:rsidRPr="00787962">
        <w:rPr>
          <w:lang w:val="es-CR"/>
        </w:rPr>
        <w:t>: Porcentaje de Ejecución por Cuenta</w:t>
      </w:r>
      <w:bookmarkEnd w:id="115"/>
    </w:p>
    <w:p w14:paraId="64DC7AA6" w14:textId="77777777" w:rsidR="005B01A0" w:rsidRPr="00787962" w:rsidRDefault="005B01A0" w:rsidP="005B01A0">
      <w:pPr>
        <w:rPr>
          <w:rFonts w:asciiTheme="minorHAnsi" w:hAnsiTheme="minorHAnsi" w:cstheme="minorHAnsi"/>
          <w:lang w:val="es-CR"/>
        </w:rPr>
      </w:pPr>
    </w:p>
    <w:p w14:paraId="2BD64469" w14:textId="3DB2A5FA" w:rsidR="002D01EB" w:rsidRPr="00787962" w:rsidRDefault="004A098C" w:rsidP="002D01EB">
      <w:pPr>
        <w:jc w:val="center"/>
        <w:rPr>
          <w:rFonts w:asciiTheme="minorHAnsi" w:hAnsiTheme="minorHAnsi" w:cstheme="minorHAnsi"/>
          <w:lang w:val="es-CR"/>
        </w:rPr>
      </w:pPr>
      <w:r w:rsidRPr="004A098C">
        <w:rPr>
          <w:noProof/>
        </w:rPr>
        <w:drawing>
          <wp:inline distT="0" distB="0" distL="0" distR="0" wp14:anchorId="2ABF805E" wp14:editId="284933EF">
            <wp:extent cx="4279161" cy="4859211"/>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665" cy="4867732"/>
                    </a:xfrm>
                    <a:prstGeom prst="rect">
                      <a:avLst/>
                    </a:prstGeom>
                    <a:noFill/>
                    <a:ln>
                      <a:noFill/>
                    </a:ln>
                  </pic:spPr>
                </pic:pic>
              </a:graphicData>
            </a:graphic>
          </wp:inline>
        </w:drawing>
      </w:r>
    </w:p>
    <w:p w14:paraId="64DC7AA7" w14:textId="101542E1" w:rsidR="00E75F11" w:rsidRPr="00787962" w:rsidRDefault="00E75F11" w:rsidP="00B01C13">
      <w:pPr>
        <w:jc w:val="center"/>
        <w:rPr>
          <w:rFonts w:asciiTheme="minorHAnsi" w:hAnsiTheme="minorHAnsi" w:cstheme="minorHAnsi"/>
          <w:lang w:val="es-CR"/>
        </w:rPr>
      </w:pPr>
    </w:p>
    <w:p w14:paraId="64DC7AD2" w14:textId="74853805" w:rsidR="008703EC" w:rsidRPr="00787962" w:rsidRDefault="008703EC" w:rsidP="00A91DD1">
      <w:pPr>
        <w:spacing w:line="240" w:lineRule="auto"/>
        <w:jc w:val="left"/>
        <w:rPr>
          <w:rFonts w:asciiTheme="minorHAnsi" w:hAnsiTheme="minorHAnsi" w:cstheme="minorHAnsi"/>
          <w:szCs w:val="22"/>
          <w:lang w:val="es-CR"/>
        </w:rPr>
      </w:pPr>
    </w:p>
    <w:sectPr w:rsidR="008703EC" w:rsidRPr="00787962" w:rsidSect="001470A8">
      <w:footerReference w:type="default" r:id="rId32"/>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169E3" w14:textId="77777777" w:rsidR="00F7361B" w:rsidRDefault="00F7361B">
      <w:r>
        <w:separator/>
      </w:r>
    </w:p>
  </w:endnote>
  <w:endnote w:type="continuationSeparator" w:id="0">
    <w:p w14:paraId="72A53380" w14:textId="77777777" w:rsidR="00F7361B" w:rsidRDefault="00F7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0950D263" w:rsidR="00F7361B" w:rsidRPr="00FB4339" w:rsidRDefault="00F7361B">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AD5E21">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24FE84D2" w:rsidR="00F7361B" w:rsidRPr="000B4E56" w:rsidRDefault="00F7361B">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9662E4">
          <w:rPr>
            <w:rFonts w:ascii="Bookman Old Style" w:hAnsi="Bookman Old Style"/>
            <w:i/>
            <w:noProof/>
            <w:snapToGrid w:val="0"/>
            <w:color w:val="0000FF"/>
            <w:sz w:val="18"/>
            <w:szCs w:val="18"/>
          </w:rPr>
          <w:t>40</w:t>
        </w:r>
        <w:r w:rsidRPr="000B4E56">
          <w:rPr>
            <w:rFonts w:ascii="Bookman Old Style" w:hAnsi="Bookman Old Style"/>
            <w:i/>
            <w:noProof/>
            <w:snapToGrid w:val="0"/>
            <w:color w:val="0000FF"/>
            <w:sz w:val="18"/>
            <w:szCs w:val="18"/>
          </w:rPr>
          <w:fldChar w:fldCharType="end"/>
        </w:r>
      </w:p>
    </w:sdtContent>
  </w:sdt>
  <w:p w14:paraId="64DC7B42" w14:textId="77777777" w:rsidR="00F7361B" w:rsidRPr="009D44B3" w:rsidRDefault="00F7361B"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49788DE7" w:rsidR="00F7361B" w:rsidRDefault="00F7361B">
        <w:pPr>
          <w:pStyle w:val="Piedepgina"/>
          <w:jc w:val="right"/>
        </w:pPr>
        <w:r>
          <w:fldChar w:fldCharType="begin"/>
        </w:r>
        <w:r>
          <w:instrText>PAGE   \* MERGEFORMAT</w:instrText>
        </w:r>
        <w:r>
          <w:fldChar w:fldCharType="separate"/>
        </w:r>
        <w:r w:rsidR="009662E4" w:rsidRPr="009662E4">
          <w:rPr>
            <w:rFonts w:ascii="Bookman Old Style" w:hAnsi="Bookman Old Style"/>
            <w:i/>
            <w:noProof/>
            <w:snapToGrid w:val="0"/>
            <w:color w:val="0000FF"/>
            <w:sz w:val="18"/>
            <w:szCs w:val="18"/>
          </w:rPr>
          <w:t>44</w:t>
        </w:r>
        <w:r>
          <w:fldChar w:fldCharType="end"/>
        </w:r>
      </w:p>
    </w:sdtContent>
  </w:sdt>
  <w:p w14:paraId="64DC7B44" w14:textId="77777777" w:rsidR="00F7361B" w:rsidRPr="009D44B3" w:rsidRDefault="00F7361B"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5339" w14:textId="77777777" w:rsidR="00F7361B" w:rsidRDefault="00F7361B">
      <w:r>
        <w:separator/>
      </w:r>
    </w:p>
  </w:footnote>
  <w:footnote w:type="continuationSeparator" w:id="0">
    <w:p w14:paraId="24FE20F2" w14:textId="77777777" w:rsidR="00F7361B" w:rsidRDefault="00F7361B">
      <w:r>
        <w:continuationSeparator/>
      </w:r>
    </w:p>
  </w:footnote>
  <w:footnote w:id="1">
    <w:p w14:paraId="64DC7B47" w14:textId="77777777" w:rsidR="00F7361B" w:rsidRPr="002B0820" w:rsidRDefault="00F7361B"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2">
    <w:p w14:paraId="64DC7B49" w14:textId="45D2D356" w:rsidR="00F7361B" w:rsidRPr="00471167" w:rsidRDefault="00F7361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72C2948" w:rsidR="00F7361B" w:rsidRPr="004E57DE" w:rsidRDefault="00F7361B"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14:paraId="4141394F" w14:textId="77777777" w:rsidR="00F7361B" w:rsidRDefault="00F7361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F7361B" w:rsidRPr="00673A4E" w:rsidRDefault="00F7361B"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0CEC61FE" w:rsidR="00F7361B" w:rsidRPr="004E57DE" w:rsidRDefault="00F7361B"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60288" behindDoc="1" locked="0" layoutInCell="1" allowOverlap="1" wp14:anchorId="1B386EC3" wp14:editId="5EFDF8F1">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Pr>
        <w:rFonts w:ascii="Bookman Old Style" w:hAnsi="Bookman Old Style"/>
        <w:b/>
        <w:i/>
        <w:color w:val="000000" w:themeColor="text1"/>
        <w:sz w:val="18"/>
      </w:rPr>
      <w:t xml:space="preserve">Liquidación Presupuestaria </w:t>
    </w:r>
    <w:r w:rsidRPr="004E57DE">
      <w:rPr>
        <w:rFonts w:ascii="Bookman Old Style" w:hAnsi="Bookman Old Style"/>
        <w:b/>
        <w:i/>
        <w:color w:val="000000" w:themeColor="text1"/>
        <w:sz w:val="18"/>
      </w:rPr>
      <w:t>201</w:t>
    </w:r>
    <w:r>
      <w:rPr>
        <w:rFonts w:ascii="Bookman Old Style" w:hAnsi="Bookman Old Style"/>
        <w:b/>
        <w:i/>
        <w:color w:val="000000" w:themeColor="text1"/>
        <w:sz w:val="18"/>
      </w:rPr>
      <w:t>7</w:t>
    </w:r>
  </w:p>
  <w:p w14:paraId="091DA3E5" w14:textId="77777777" w:rsidR="00F7361B" w:rsidRDefault="00F7361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F7361B" w:rsidRPr="00673A4E" w:rsidRDefault="00F7361B"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DE4"/>
    <w:multiLevelType w:val="multilevel"/>
    <w:tmpl w:val="96EC5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asciiTheme="minorHAnsi" w:hAnsiTheme="minorHAnsi" w:cstheme="minorHAnsi" w:hint="default"/>
      </w:rPr>
    </w:lvl>
    <w:lvl w:ilvl="4">
      <w:start w:val="1"/>
      <w:numFmt w:val="decimal"/>
      <w:isLgl/>
      <w:lvlText w:val="%1.%2.%3.%4.%5"/>
      <w:lvlJc w:val="left"/>
      <w:pPr>
        <w:ind w:left="1800" w:hanging="1440"/>
      </w:pPr>
      <w:rPr>
        <w:rFonts w:asciiTheme="minorHAnsi" w:hAnsiTheme="minorHAnsi" w:cstheme="minorHAnsi" w:hint="default"/>
      </w:rPr>
    </w:lvl>
    <w:lvl w:ilvl="5">
      <w:start w:val="1"/>
      <w:numFmt w:val="decimal"/>
      <w:isLgl/>
      <w:lvlText w:val="%1.%2.%3.%4.%5.%6"/>
      <w:lvlJc w:val="left"/>
      <w:pPr>
        <w:ind w:left="1800" w:hanging="1440"/>
      </w:pPr>
      <w:rPr>
        <w:rFonts w:asciiTheme="minorHAnsi" w:hAnsiTheme="minorHAnsi" w:cstheme="minorHAnsi" w:hint="default"/>
      </w:rPr>
    </w:lvl>
    <w:lvl w:ilvl="6">
      <w:start w:val="1"/>
      <w:numFmt w:val="decimal"/>
      <w:isLgl/>
      <w:lvlText w:val="%1.%2.%3.%4.%5.%6.%7"/>
      <w:lvlJc w:val="left"/>
      <w:pPr>
        <w:ind w:left="2160" w:hanging="1800"/>
      </w:pPr>
      <w:rPr>
        <w:rFonts w:asciiTheme="minorHAnsi" w:hAnsiTheme="minorHAnsi" w:cstheme="minorHAnsi" w:hint="default"/>
      </w:rPr>
    </w:lvl>
    <w:lvl w:ilvl="7">
      <w:start w:val="1"/>
      <w:numFmt w:val="decimal"/>
      <w:isLgl/>
      <w:lvlText w:val="%1.%2.%3.%4.%5.%6.%7.%8"/>
      <w:lvlJc w:val="left"/>
      <w:pPr>
        <w:ind w:left="2160" w:hanging="1800"/>
      </w:pPr>
      <w:rPr>
        <w:rFonts w:asciiTheme="minorHAnsi" w:hAnsiTheme="minorHAnsi" w:cstheme="minorHAnsi" w:hint="default"/>
      </w:rPr>
    </w:lvl>
    <w:lvl w:ilvl="8">
      <w:start w:val="1"/>
      <w:numFmt w:val="decimal"/>
      <w:isLgl/>
      <w:lvlText w:val="%1.%2.%3.%4.%5.%6.%7.%8.%9"/>
      <w:lvlJc w:val="left"/>
      <w:pPr>
        <w:ind w:left="2520" w:hanging="2160"/>
      </w:pPr>
      <w:rPr>
        <w:rFonts w:asciiTheme="minorHAnsi" w:hAnsiTheme="minorHAnsi" w:cstheme="minorHAnsi" w:hint="default"/>
      </w:rPr>
    </w:lvl>
  </w:abstractNum>
  <w:abstractNum w:abstractNumId="1" w15:restartNumberingAfterBreak="0">
    <w:nsid w:val="0F9273D4"/>
    <w:multiLevelType w:val="multilevel"/>
    <w:tmpl w:val="D262866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6C0441"/>
    <w:multiLevelType w:val="hybridMultilevel"/>
    <w:tmpl w:val="A306C6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CB96766"/>
    <w:multiLevelType w:val="multilevel"/>
    <w:tmpl w:val="96EC5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asciiTheme="minorHAnsi" w:hAnsiTheme="minorHAnsi" w:cstheme="minorHAnsi" w:hint="default"/>
      </w:rPr>
    </w:lvl>
    <w:lvl w:ilvl="4">
      <w:start w:val="1"/>
      <w:numFmt w:val="decimal"/>
      <w:isLgl/>
      <w:lvlText w:val="%1.%2.%3.%4.%5"/>
      <w:lvlJc w:val="left"/>
      <w:pPr>
        <w:ind w:left="1800" w:hanging="1440"/>
      </w:pPr>
      <w:rPr>
        <w:rFonts w:asciiTheme="minorHAnsi" w:hAnsiTheme="minorHAnsi" w:cstheme="minorHAnsi" w:hint="default"/>
      </w:rPr>
    </w:lvl>
    <w:lvl w:ilvl="5">
      <w:start w:val="1"/>
      <w:numFmt w:val="decimal"/>
      <w:isLgl/>
      <w:lvlText w:val="%1.%2.%3.%4.%5.%6"/>
      <w:lvlJc w:val="left"/>
      <w:pPr>
        <w:ind w:left="1800" w:hanging="1440"/>
      </w:pPr>
      <w:rPr>
        <w:rFonts w:asciiTheme="minorHAnsi" w:hAnsiTheme="minorHAnsi" w:cstheme="minorHAnsi" w:hint="default"/>
      </w:rPr>
    </w:lvl>
    <w:lvl w:ilvl="6">
      <w:start w:val="1"/>
      <w:numFmt w:val="decimal"/>
      <w:isLgl/>
      <w:lvlText w:val="%1.%2.%3.%4.%5.%6.%7"/>
      <w:lvlJc w:val="left"/>
      <w:pPr>
        <w:ind w:left="2160" w:hanging="1800"/>
      </w:pPr>
      <w:rPr>
        <w:rFonts w:asciiTheme="minorHAnsi" w:hAnsiTheme="minorHAnsi" w:cstheme="minorHAnsi" w:hint="default"/>
      </w:rPr>
    </w:lvl>
    <w:lvl w:ilvl="7">
      <w:start w:val="1"/>
      <w:numFmt w:val="decimal"/>
      <w:isLgl/>
      <w:lvlText w:val="%1.%2.%3.%4.%5.%6.%7.%8"/>
      <w:lvlJc w:val="left"/>
      <w:pPr>
        <w:ind w:left="2160" w:hanging="1800"/>
      </w:pPr>
      <w:rPr>
        <w:rFonts w:asciiTheme="minorHAnsi" w:hAnsiTheme="minorHAnsi" w:cstheme="minorHAnsi" w:hint="default"/>
      </w:rPr>
    </w:lvl>
    <w:lvl w:ilvl="8">
      <w:start w:val="1"/>
      <w:numFmt w:val="decimal"/>
      <w:isLgl/>
      <w:lvlText w:val="%1.%2.%3.%4.%5.%6.%7.%8.%9"/>
      <w:lvlJc w:val="left"/>
      <w:pPr>
        <w:ind w:left="2520" w:hanging="2160"/>
      </w:pPr>
      <w:rPr>
        <w:rFonts w:asciiTheme="minorHAnsi" w:hAnsiTheme="minorHAnsi" w:cstheme="minorHAnsi" w:hint="default"/>
      </w:rPr>
    </w:lvl>
  </w:abstractNum>
  <w:abstractNum w:abstractNumId="5" w15:restartNumberingAfterBreak="0">
    <w:nsid w:val="2DD90EE0"/>
    <w:multiLevelType w:val="multilevel"/>
    <w:tmpl w:val="8E6C71C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90FD2"/>
    <w:multiLevelType w:val="multilevel"/>
    <w:tmpl w:val="96EC5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asciiTheme="minorHAnsi" w:hAnsiTheme="minorHAnsi" w:cstheme="minorHAnsi" w:hint="default"/>
      </w:rPr>
    </w:lvl>
    <w:lvl w:ilvl="4">
      <w:start w:val="1"/>
      <w:numFmt w:val="decimal"/>
      <w:isLgl/>
      <w:lvlText w:val="%1.%2.%3.%4.%5"/>
      <w:lvlJc w:val="left"/>
      <w:pPr>
        <w:ind w:left="1800" w:hanging="1440"/>
      </w:pPr>
      <w:rPr>
        <w:rFonts w:asciiTheme="minorHAnsi" w:hAnsiTheme="minorHAnsi" w:cstheme="minorHAnsi" w:hint="default"/>
      </w:rPr>
    </w:lvl>
    <w:lvl w:ilvl="5">
      <w:start w:val="1"/>
      <w:numFmt w:val="decimal"/>
      <w:isLgl/>
      <w:lvlText w:val="%1.%2.%3.%4.%5.%6"/>
      <w:lvlJc w:val="left"/>
      <w:pPr>
        <w:ind w:left="1800" w:hanging="1440"/>
      </w:pPr>
      <w:rPr>
        <w:rFonts w:asciiTheme="minorHAnsi" w:hAnsiTheme="minorHAnsi" w:cstheme="minorHAnsi" w:hint="default"/>
      </w:rPr>
    </w:lvl>
    <w:lvl w:ilvl="6">
      <w:start w:val="1"/>
      <w:numFmt w:val="decimal"/>
      <w:isLgl/>
      <w:lvlText w:val="%1.%2.%3.%4.%5.%6.%7"/>
      <w:lvlJc w:val="left"/>
      <w:pPr>
        <w:ind w:left="2160" w:hanging="1800"/>
      </w:pPr>
      <w:rPr>
        <w:rFonts w:asciiTheme="minorHAnsi" w:hAnsiTheme="minorHAnsi" w:cstheme="minorHAnsi" w:hint="default"/>
      </w:rPr>
    </w:lvl>
    <w:lvl w:ilvl="7">
      <w:start w:val="1"/>
      <w:numFmt w:val="decimal"/>
      <w:isLgl/>
      <w:lvlText w:val="%1.%2.%3.%4.%5.%6.%7.%8"/>
      <w:lvlJc w:val="left"/>
      <w:pPr>
        <w:ind w:left="2160" w:hanging="1800"/>
      </w:pPr>
      <w:rPr>
        <w:rFonts w:asciiTheme="minorHAnsi" w:hAnsiTheme="minorHAnsi" w:cstheme="minorHAnsi" w:hint="default"/>
      </w:rPr>
    </w:lvl>
    <w:lvl w:ilvl="8">
      <w:start w:val="1"/>
      <w:numFmt w:val="decimal"/>
      <w:isLgl/>
      <w:lvlText w:val="%1.%2.%3.%4.%5.%6.%7.%8.%9"/>
      <w:lvlJc w:val="left"/>
      <w:pPr>
        <w:ind w:left="2520" w:hanging="2160"/>
      </w:pPr>
      <w:rPr>
        <w:rFonts w:asciiTheme="minorHAnsi" w:hAnsiTheme="minorHAnsi" w:cstheme="minorHAnsi" w:hint="default"/>
      </w:rPr>
    </w:lvl>
  </w:abstractNum>
  <w:abstractNum w:abstractNumId="9" w15:restartNumberingAfterBreak="0">
    <w:nsid w:val="3EE34D84"/>
    <w:multiLevelType w:val="multilevel"/>
    <w:tmpl w:val="B88450F0"/>
    <w:lvl w:ilvl="0">
      <w:start w:val="2"/>
      <w:numFmt w:val="lowerLetter"/>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asciiTheme="minorHAnsi" w:hAnsiTheme="minorHAnsi" w:cstheme="minorHAnsi" w:hint="default"/>
      </w:rPr>
    </w:lvl>
    <w:lvl w:ilvl="4">
      <w:start w:val="1"/>
      <w:numFmt w:val="decimal"/>
      <w:isLgl/>
      <w:lvlText w:val="%1.%2.%3.%4.%5"/>
      <w:lvlJc w:val="left"/>
      <w:pPr>
        <w:ind w:left="1800" w:hanging="1440"/>
      </w:pPr>
      <w:rPr>
        <w:rFonts w:asciiTheme="minorHAnsi" w:hAnsiTheme="minorHAnsi" w:cstheme="minorHAnsi" w:hint="default"/>
      </w:rPr>
    </w:lvl>
    <w:lvl w:ilvl="5">
      <w:start w:val="1"/>
      <w:numFmt w:val="decimal"/>
      <w:isLgl/>
      <w:lvlText w:val="%1.%2.%3.%4.%5.%6"/>
      <w:lvlJc w:val="left"/>
      <w:pPr>
        <w:ind w:left="1800" w:hanging="1440"/>
      </w:pPr>
      <w:rPr>
        <w:rFonts w:asciiTheme="minorHAnsi" w:hAnsiTheme="minorHAnsi" w:cstheme="minorHAnsi" w:hint="default"/>
      </w:rPr>
    </w:lvl>
    <w:lvl w:ilvl="6">
      <w:start w:val="1"/>
      <w:numFmt w:val="decimal"/>
      <w:isLgl/>
      <w:lvlText w:val="%1.%2.%3.%4.%5.%6.%7"/>
      <w:lvlJc w:val="left"/>
      <w:pPr>
        <w:ind w:left="2160" w:hanging="1800"/>
      </w:pPr>
      <w:rPr>
        <w:rFonts w:asciiTheme="minorHAnsi" w:hAnsiTheme="minorHAnsi" w:cstheme="minorHAnsi" w:hint="default"/>
      </w:rPr>
    </w:lvl>
    <w:lvl w:ilvl="7">
      <w:start w:val="1"/>
      <w:numFmt w:val="decimal"/>
      <w:isLgl/>
      <w:lvlText w:val="%1.%2.%3.%4.%5.%6.%7.%8"/>
      <w:lvlJc w:val="left"/>
      <w:pPr>
        <w:ind w:left="2160" w:hanging="1800"/>
      </w:pPr>
      <w:rPr>
        <w:rFonts w:asciiTheme="minorHAnsi" w:hAnsiTheme="minorHAnsi" w:cstheme="minorHAnsi" w:hint="default"/>
      </w:rPr>
    </w:lvl>
    <w:lvl w:ilvl="8">
      <w:start w:val="1"/>
      <w:numFmt w:val="decimal"/>
      <w:isLgl/>
      <w:lvlText w:val="%1.%2.%3.%4.%5.%6.%7.%8.%9"/>
      <w:lvlJc w:val="left"/>
      <w:pPr>
        <w:ind w:left="2520" w:hanging="2160"/>
      </w:pPr>
      <w:rPr>
        <w:rFonts w:asciiTheme="minorHAnsi" w:hAnsiTheme="minorHAnsi" w:cstheme="minorHAnsi" w:hint="default"/>
      </w:rPr>
    </w:lvl>
  </w:abstractNum>
  <w:abstractNum w:abstractNumId="10"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48232FAD"/>
    <w:multiLevelType w:val="multilevel"/>
    <w:tmpl w:val="7DA6E63A"/>
    <w:lvl w:ilvl="0">
      <w:start w:val="1"/>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3"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7"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8" w15:restartNumberingAfterBreak="0">
    <w:nsid w:val="724D39C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6"/>
  </w:num>
  <w:num w:numId="4">
    <w:abstractNumId w:val="7"/>
  </w:num>
  <w:num w:numId="5">
    <w:abstractNumId w:val="13"/>
  </w:num>
  <w:num w:numId="6">
    <w:abstractNumId w:val="2"/>
  </w:num>
  <w:num w:numId="7">
    <w:abstractNumId w:val="20"/>
  </w:num>
  <w:num w:numId="8">
    <w:abstractNumId w:val="16"/>
  </w:num>
  <w:num w:numId="9">
    <w:abstractNumId w:val="15"/>
  </w:num>
  <w:num w:numId="10">
    <w:abstractNumId w:val="13"/>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9"/>
  </w:num>
  <w:num w:numId="18">
    <w:abstractNumId w:val="8"/>
  </w:num>
  <w:num w:numId="19">
    <w:abstractNumId w:val="0"/>
  </w:num>
  <w:num w:numId="20">
    <w:abstractNumId w:val="4"/>
  </w:num>
  <w:num w:numId="21">
    <w:abstractNumId w:val="9"/>
  </w:num>
  <w:num w:numId="22">
    <w:abstractNumId w:val="9"/>
    <w:lvlOverride w:ilvl="0">
      <w:startOverride w:val="2"/>
    </w:lvlOverride>
    <w:lvlOverride w:ilvl="1">
      <w:startOverride w:val="1"/>
    </w:lvlOverride>
  </w:num>
  <w:num w:numId="23">
    <w:abstractNumId w:val="9"/>
    <w:lvlOverride w:ilvl="0">
      <w:startOverride w:val="2"/>
    </w:lvlOverride>
    <w:lvlOverride w:ilvl="1">
      <w:startOverride w:val="1"/>
    </w:lvlOverride>
  </w:num>
  <w:num w:numId="24">
    <w:abstractNumId w:val="9"/>
    <w:lvlOverride w:ilvl="0">
      <w:startOverride w:val="1"/>
    </w:lvlOverride>
    <w:lvlOverride w:ilvl="1">
      <w:startOverride w:val="1"/>
    </w:lvlOverride>
  </w:num>
  <w:num w:numId="25">
    <w:abstractNumId w:val="9"/>
  </w:num>
  <w:num w:numId="26">
    <w:abstractNumId w:val="9"/>
  </w:num>
  <w:num w:numId="27">
    <w:abstractNumId w:val="9"/>
  </w:num>
  <w:num w:numId="28">
    <w:abstractNumId w:val="9"/>
  </w:num>
  <w:num w:numId="29">
    <w:abstractNumId w:val="9"/>
    <w:lvlOverride w:ilvl="0">
      <w:startOverride w:val="2"/>
    </w:lvlOverride>
    <w:lvlOverride w:ilvl="1">
      <w:startOverride w:val="1"/>
    </w:lvlOverride>
  </w:num>
  <w:num w:numId="30">
    <w:abstractNumId w:val="9"/>
    <w:lvlOverride w:ilvl="0">
      <w:startOverride w:val="2"/>
    </w:lvlOverride>
    <w:lvlOverride w:ilvl="1">
      <w:startOverride w:val="1"/>
    </w:lvlOverride>
  </w:num>
  <w:num w:numId="31">
    <w:abstractNumId w:val="9"/>
    <w:lvlOverride w:ilvl="0">
      <w:startOverride w:val="2"/>
    </w:lvlOverride>
    <w:lvlOverride w:ilvl="1">
      <w:startOverride w:val="1"/>
    </w:lvlOverride>
  </w:num>
  <w:num w:numId="32">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5"/>
  </w:num>
  <w:num w:numId="35">
    <w:abstractNumId w:val="9"/>
  </w:num>
  <w:num w:numId="36">
    <w:abstractNumId w:val="9"/>
  </w:num>
  <w:num w:numId="37">
    <w:abstractNumId w:val="9"/>
  </w:num>
  <w:num w:numId="38">
    <w:abstractNumId w:val="9"/>
  </w:num>
  <w:num w:numId="39">
    <w:abstractNumId w:val="12"/>
  </w:num>
  <w:num w:numId="40">
    <w:abstractNumId w:val="9"/>
  </w:num>
  <w:num w:numId="41">
    <w:abstractNumId w:val="9"/>
  </w:num>
  <w:num w:numId="42">
    <w:abstractNumId w:val="9"/>
  </w:num>
  <w:num w:numId="43">
    <w:abstractNumId w:val="9"/>
  </w:num>
  <w:num w:numId="44">
    <w:abstractNumId w:val="17"/>
  </w:num>
  <w:num w:numId="45">
    <w:abstractNumId w:val="17"/>
  </w:num>
  <w:num w:numId="46">
    <w:abstractNumId w:val="17"/>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54273">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61DA"/>
    <w:rsid w:val="000078DF"/>
    <w:rsid w:val="00011178"/>
    <w:rsid w:val="00012551"/>
    <w:rsid w:val="00012761"/>
    <w:rsid w:val="000131F9"/>
    <w:rsid w:val="00013D6E"/>
    <w:rsid w:val="00013D96"/>
    <w:rsid w:val="00016238"/>
    <w:rsid w:val="00016241"/>
    <w:rsid w:val="00016C3A"/>
    <w:rsid w:val="0001779E"/>
    <w:rsid w:val="00017F51"/>
    <w:rsid w:val="00020063"/>
    <w:rsid w:val="000201AA"/>
    <w:rsid w:val="000204E5"/>
    <w:rsid w:val="00022DEE"/>
    <w:rsid w:val="0002305B"/>
    <w:rsid w:val="000241CB"/>
    <w:rsid w:val="00024825"/>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400E1"/>
    <w:rsid w:val="00041B4F"/>
    <w:rsid w:val="0004307F"/>
    <w:rsid w:val="00044510"/>
    <w:rsid w:val="00044ECA"/>
    <w:rsid w:val="000452D4"/>
    <w:rsid w:val="0004538E"/>
    <w:rsid w:val="000453A0"/>
    <w:rsid w:val="000455C9"/>
    <w:rsid w:val="000465E7"/>
    <w:rsid w:val="00046A19"/>
    <w:rsid w:val="00046F3C"/>
    <w:rsid w:val="00047166"/>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4A"/>
    <w:rsid w:val="0006167C"/>
    <w:rsid w:val="000619CF"/>
    <w:rsid w:val="0006216B"/>
    <w:rsid w:val="00062F8C"/>
    <w:rsid w:val="00063183"/>
    <w:rsid w:val="000632C7"/>
    <w:rsid w:val="000632D4"/>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388"/>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1848"/>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38E8"/>
    <w:rsid w:val="00104446"/>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60B8E"/>
    <w:rsid w:val="001615D3"/>
    <w:rsid w:val="001620D8"/>
    <w:rsid w:val="00162816"/>
    <w:rsid w:val="00162A43"/>
    <w:rsid w:val="00162A99"/>
    <w:rsid w:val="00163587"/>
    <w:rsid w:val="00165C22"/>
    <w:rsid w:val="00165D77"/>
    <w:rsid w:val="00166123"/>
    <w:rsid w:val="00166563"/>
    <w:rsid w:val="00166A2E"/>
    <w:rsid w:val="00166EF1"/>
    <w:rsid w:val="001673A4"/>
    <w:rsid w:val="001678BF"/>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40F7"/>
    <w:rsid w:val="001B4287"/>
    <w:rsid w:val="001B4D51"/>
    <w:rsid w:val="001B53BA"/>
    <w:rsid w:val="001B5AF3"/>
    <w:rsid w:val="001B6A00"/>
    <w:rsid w:val="001B7AE0"/>
    <w:rsid w:val="001B7BE8"/>
    <w:rsid w:val="001C1A65"/>
    <w:rsid w:val="001C2147"/>
    <w:rsid w:val="001C240D"/>
    <w:rsid w:val="001C2904"/>
    <w:rsid w:val="001C2AD6"/>
    <w:rsid w:val="001C36F2"/>
    <w:rsid w:val="001C3783"/>
    <w:rsid w:val="001C47F7"/>
    <w:rsid w:val="001C6F46"/>
    <w:rsid w:val="001C724E"/>
    <w:rsid w:val="001C7548"/>
    <w:rsid w:val="001C7589"/>
    <w:rsid w:val="001D0BB3"/>
    <w:rsid w:val="001D187A"/>
    <w:rsid w:val="001D1A58"/>
    <w:rsid w:val="001D3B57"/>
    <w:rsid w:val="001D41FA"/>
    <w:rsid w:val="001D48E5"/>
    <w:rsid w:val="001D491D"/>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64DC"/>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D26"/>
    <w:rsid w:val="00222E4B"/>
    <w:rsid w:val="00222EB0"/>
    <w:rsid w:val="0022396D"/>
    <w:rsid w:val="00224F37"/>
    <w:rsid w:val="00225437"/>
    <w:rsid w:val="0022632E"/>
    <w:rsid w:val="002267AE"/>
    <w:rsid w:val="002271D1"/>
    <w:rsid w:val="00230160"/>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CAE"/>
    <w:rsid w:val="00254D09"/>
    <w:rsid w:val="00256570"/>
    <w:rsid w:val="00256948"/>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C71"/>
    <w:rsid w:val="00282F78"/>
    <w:rsid w:val="002831B7"/>
    <w:rsid w:val="00283404"/>
    <w:rsid w:val="002842C3"/>
    <w:rsid w:val="00287194"/>
    <w:rsid w:val="00292DE9"/>
    <w:rsid w:val="00293493"/>
    <w:rsid w:val="00293537"/>
    <w:rsid w:val="00294D73"/>
    <w:rsid w:val="0029520A"/>
    <w:rsid w:val="002959E6"/>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A38"/>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4B17"/>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4F45"/>
    <w:rsid w:val="003F520E"/>
    <w:rsid w:val="003F5288"/>
    <w:rsid w:val="003F5AD7"/>
    <w:rsid w:val="003F6C98"/>
    <w:rsid w:val="003F7190"/>
    <w:rsid w:val="00400CC5"/>
    <w:rsid w:val="00402F1C"/>
    <w:rsid w:val="00402FC4"/>
    <w:rsid w:val="0040424A"/>
    <w:rsid w:val="0040500F"/>
    <w:rsid w:val="00405421"/>
    <w:rsid w:val="0040544A"/>
    <w:rsid w:val="0040547F"/>
    <w:rsid w:val="00406024"/>
    <w:rsid w:val="00406492"/>
    <w:rsid w:val="0040798D"/>
    <w:rsid w:val="00410D26"/>
    <w:rsid w:val="00411165"/>
    <w:rsid w:val="00411F65"/>
    <w:rsid w:val="00413A27"/>
    <w:rsid w:val="004151AA"/>
    <w:rsid w:val="004155A7"/>
    <w:rsid w:val="0041649A"/>
    <w:rsid w:val="00416A8E"/>
    <w:rsid w:val="00417926"/>
    <w:rsid w:val="00417B59"/>
    <w:rsid w:val="00420213"/>
    <w:rsid w:val="00420D9A"/>
    <w:rsid w:val="00422F3B"/>
    <w:rsid w:val="00423073"/>
    <w:rsid w:val="00423B31"/>
    <w:rsid w:val="00424155"/>
    <w:rsid w:val="004243F3"/>
    <w:rsid w:val="00424459"/>
    <w:rsid w:val="004259C2"/>
    <w:rsid w:val="00426547"/>
    <w:rsid w:val="00426FAB"/>
    <w:rsid w:val="0042746E"/>
    <w:rsid w:val="004308ED"/>
    <w:rsid w:val="00431056"/>
    <w:rsid w:val="004317A0"/>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311B"/>
    <w:rsid w:val="00483310"/>
    <w:rsid w:val="004843D8"/>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98C"/>
    <w:rsid w:val="004A0B94"/>
    <w:rsid w:val="004A16B6"/>
    <w:rsid w:val="004A2427"/>
    <w:rsid w:val="004A24FF"/>
    <w:rsid w:val="004A2908"/>
    <w:rsid w:val="004A3087"/>
    <w:rsid w:val="004A31BA"/>
    <w:rsid w:val="004A3F86"/>
    <w:rsid w:val="004A4E3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480B"/>
    <w:rsid w:val="004E57DE"/>
    <w:rsid w:val="004E5AB1"/>
    <w:rsid w:val="004E5F7F"/>
    <w:rsid w:val="004E665D"/>
    <w:rsid w:val="004F00DD"/>
    <w:rsid w:val="004F14E2"/>
    <w:rsid w:val="004F2D47"/>
    <w:rsid w:val="004F2DAA"/>
    <w:rsid w:val="004F4944"/>
    <w:rsid w:val="004F502F"/>
    <w:rsid w:val="004F629C"/>
    <w:rsid w:val="004F6933"/>
    <w:rsid w:val="00500765"/>
    <w:rsid w:val="005018FF"/>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12E"/>
    <w:rsid w:val="00515B6E"/>
    <w:rsid w:val="00517047"/>
    <w:rsid w:val="005173E2"/>
    <w:rsid w:val="00521702"/>
    <w:rsid w:val="00522267"/>
    <w:rsid w:val="00522E08"/>
    <w:rsid w:val="00523797"/>
    <w:rsid w:val="00523BA0"/>
    <w:rsid w:val="00523C40"/>
    <w:rsid w:val="00524341"/>
    <w:rsid w:val="00524E23"/>
    <w:rsid w:val="00524FAC"/>
    <w:rsid w:val="00526685"/>
    <w:rsid w:val="0052763F"/>
    <w:rsid w:val="00527FF3"/>
    <w:rsid w:val="005306BE"/>
    <w:rsid w:val="00530CEB"/>
    <w:rsid w:val="0053124A"/>
    <w:rsid w:val="00532DE5"/>
    <w:rsid w:val="0053316D"/>
    <w:rsid w:val="0053373E"/>
    <w:rsid w:val="00534505"/>
    <w:rsid w:val="0053455C"/>
    <w:rsid w:val="00534727"/>
    <w:rsid w:val="00535808"/>
    <w:rsid w:val="00535AC8"/>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5E42"/>
    <w:rsid w:val="0063042E"/>
    <w:rsid w:val="00630CC3"/>
    <w:rsid w:val="006310F8"/>
    <w:rsid w:val="00631182"/>
    <w:rsid w:val="006319FE"/>
    <w:rsid w:val="00632654"/>
    <w:rsid w:val="0063319D"/>
    <w:rsid w:val="006334DE"/>
    <w:rsid w:val="00633D0D"/>
    <w:rsid w:val="00633D52"/>
    <w:rsid w:val="00634A8F"/>
    <w:rsid w:val="00634DCF"/>
    <w:rsid w:val="006355A1"/>
    <w:rsid w:val="00635D23"/>
    <w:rsid w:val="00635EEE"/>
    <w:rsid w:val="0063664A"/>
    <w:rsid w:val="0063740F"/>
    <w:rsid w:val="0063744E"/>
    <w:rsid w:val="006378AB"/>
    <w:rsid w:val="00641131"/>
    <w:rsid w:val="0064414C"/>
    <w:rsid w:val="00644887"/>
    <w:rsid w:val="00644A79"/>
    <w:rsid w:val="00644EC1"/>
    <w:rsid w:val="0064598C"/>
    <w:rsid w:val="00646B8F"/>
    <w:rsid w:val="006473E5"/>
    <w:rsid w:val="00650E11"/>
    <w:rsid w:val="006514B5"/>
    <w:rsid w:val="006536F8"/>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60C"/>
    <w:rsid w:val="00682FB7"/>
    <w:rsid w:val="00685821"/>
    <w:rsid w:val="006865F9"/>
    <w:rsid w:val="006868A3"/>
    <w:rsid w:val="0068750C"/>
    <w:rsid w:val="00687707"/>
    <w:rsid w:val="00687A1E"/>
    <w:rsid w:val="00690695"/>
    <w:rsid w:val="00691D7F"/>
    <w:rsid w:val="0069217B"/>
    <w:rsid w:val="0069219D"/>
    <w:rsid w:val="006923AB"/>
    <w:rsid w:val="00693DB8"/>
    <w:rsid w:val="0069654C"/>
    <w:rsid w:val="00696965"/>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849"/>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BD7"/>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53E5"/>
    <w:rsid w:val="007157C6"/>
    <w:rsid w:val="00716E8B"/>
    <w:rsid w:val="00717C0A"/>
    <w:rsid w:val="00720201"/>
    <w:rsid w:val="0072038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BFC"/>
    <w:rsid w:val="0073724F"/>
    <w:rsid w:val="00737AD7"/>
    <w:rsid w:val="00740139"/>
    <w:rsid w:val="00741DF5"/>
    <w:rsid w:val="00743102"/>
    <w:rsid w:val="0074317A"/>
    <w:rsid w:val="00746AE5"/>
    <w:rsid w:val="007477BF"/>
    <w:rsid w:val="007502BF"/>
    <w:rsid w:val="00750666"/>
    <w:rsid w:val="007508AF"/>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E33"/>
    <w:rsid w:val="00786C20"/>
    <w:rsid w:val="00786E9E"/>
    <w:rsid w:val="00786F40"/>
    <w:rsid w:val="00787962"/>
    <w:rsid w:val="00787995"/>
    <w:rsid w:val="00790166"/>
    <w:rsid w:val="00791032"/>
    <w:rsid w:val="00792A0F"/>
    <w:rsid w:val="0079312F"/>
    <w:rsid w:val="00793499"/>
    <w:rsid w:val="007935F7"/>
    <w:rsid w:val="007943BD"/>
    <w:rsid w:val="007955EB"/>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008"/>
    <w:rsid w:val="007E42FE"/>
    <w:rsid w:val="007E4F46"/>
    <w:rsid w:val="007E6720"/>
    <w:rsid w:val="007E705D"/>
    <w:rsid w:val="007E7F77"/>
    <w:rsid w:val="007F0677"/>
    <w:rsid w:val="007F088D"/>
    <w:rsid w:val="007F099D"/>
    <w:rsid w:val="007F1198"/>
    <w:rsid w:val="007F1FA4"/>
    <w:rsid w:val="007F3EFC"/>
    <w:rsid w:val="007F4B40"/>
    <w:rsid w:val="007F5D93"/>
    <w:rsid w:val="007F6007"/>
    <w:rsid w:val="007F65A1"/>
    <w:rsid w:val="007F6892"/>
    <w:rsid w:val="007F68D4"/>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0A0"/>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2629"/>
    <w:rsid w:val="008428D6"/>
    <w:rsid w:val="00843B0B"/>
    <w:rsid w:val="00843E3F"/>
    <w:rsid w:val="00843FB3"/>
    <w:rsid w:val="00846A05"/>
    <w:rsid w:val="00846F8F"/>
    <w:rsid w:val="008478B1"/>
    <w:rsid w:val="008512B3"/>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601"/>
    <w:rsid w:val="00867D55"/>
    <w:rsid w:val="008703EC"/>
    <w:rsid w:val="0087154F"/>
    <w:rsid w:val="0087187C"/>
    <w:rsid w:val="008728D7"/>
    <w:rsid w:val="00872988"/>
    <w:rsid w:val="00873CE7"/>
    <w:rsid w:val="008742A2"/>
    <w:rsid w:val="00874335"/>
    <w:rsid w:val="00875754"/>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3F7"/>
    <w:rsid w:val="00893B74"/>
    <w:rsid w:val="00894FBE"/>
    <w:rsid w:val="00895F4F"/>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62A7"/>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788"/>
    <w:rsid w:val="00916C6D"/>
    <w:rsid w:val="00920ABE"/>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2E4"/>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781"/>
    <w:rsid w:val="00995D19"/>
    <w:rsid w:val="00995E9A"/>
    <w:rsid w:val="00996BB7"/>
    <w:rsid w:val="009A1D8A"/>
    <w:rsid w:val="009A22E9"/>
    <w:rsid w:val="009A2697"/>
    <w:rsid w:val="009A3D9A"/>
    <w:rsid w:val="009A4C97"/>
    <w:rsid w:val="009A4ED1"/>
    <w:rsid w:val="009A563F"/>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3DFD"/>
    <w:rsid w:val="009F592C"/>
    <w:rsid w:val="009F6843"/>
    <w:rsid w:val="009F7839"/>
    <w:rsid w:val="009F7D61"/>
    <w:rsid w:val="009F7D78"/>
    <w:rsid w:val="00A007F8"/>
    <w:rsid w:val="00A01CBC"/>
    <w:rsid w:val="00A022FC"/>
    <w:rsid w:val="00A024E7"/>
    <w:rsid w:val="00A02872"/>
    <w:rsid w:val="00A02EB2"/>
    <w:rsid w:val="00A035EF"/>
    <w:rsid w:val="00A05648"/>
    <w:rsid w:val="00A05A51"/>
    <w:rsid w:val="00A05B74"/>
    <w:rsid w:val="00A05E78"/>
    <w:rsid w:val="00A0671B"/>
    <w:rsid w:val="00A06D37"/>
    <w:rsid w:val="00A06E82"/>
    <w:rsid w:val="00A105F4"/>
    <w:rsid w:val="00A1087A"/>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1674"/>
    <w:rsid w:val="00A21BD3"/>
    <w:rsid w:val="00A21D03"/>
    <w:rsid w:val="00A21D85"/>
    <w:rsid w:val="00A23A81"/>
    <w:rsid w:val="00A23F3C"/>
    <w:rsid w:val="00A24CD6"/>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319"/>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2AE6"/>
    <w:rsid w:val="00A53655"/>
    <w:rsid w:val="00A542F4"/>
    <w:rsid w:val="00A545D0"/>
    <w:rsid w:val="00A55891"/>
    <w:rsid w:val="00A559CF"/>
    <w:rsid w:val="00A55E29"/>
    <w:rsid w:val="00A56923"/>
    <w:rsid w:val="00A6011C"/>
    <w:rsid w:val="00A6023A"/>
    <w:rsid w:val="00A61435"/>
    <w:rsid w:val="00A6185C"/>
    <w:rsid w:val="00A618BF"/>
    <w:rsid w:val="00A61C30"/>
    <w:rsid w:val="00A624FD"/>
    <w:rsid w:val="00A63448"/>
    <w:rsid w:val="00A64027"/>
    <w:rsid w:val="00A6585E"/>
    <w:rsid w:val="00A67E1F"/>
    <w:rsid w:val="00A705AE"/>
    <w:rsid w:val="00A72D70"/>
    <w:rsid w:val="00A73847"/>
    <w:rsid w:val="00A749CD"/>
    <w:rsid w:val="00A751CD"/>
    <w:rsid w:val="00A75791"/>
    <w:rsid w:val="00A75F9E"/>
    <w:rsid w:val="00A7628B"/>
    <w:rsid w:val="00A77127"/>
    <w:rsid w:val="00A775D5"/>
    <w:rsid w:val="00A800D3"/>
    <w:rsid w:val="00A8234C"/>
    <w:rsid w:val="00A8284A"/>
    <w:rsid w:val="00A8351C"/>
    <w:rsid w:val="00A83731"/>
    <w:rsid w:val="00A8582A"/>
    <w:rsid w:val="00A87425"/>
    <w:rsid w:val="00A90AA7"/>
    <w:rsid w:val="00A91DD1"/>
    <w:rsid w:val="00A9524C"/>
    <w:rsid w:val="00A9637F"/>
    <w:rsid w:val="00A96F98"/>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C0D0E"/>
    <w:rsid w:val="00AC0F1F"/>
    <w:rsid w:val="00AC4838"/>
    <w:rsid w:val="00AC4B1A"/>
    <w:rsid w:val="00AC5909"/>
    <w:rsid w:val="00AC6BEA"/>
    <w:rsid w:val="00AC71C3"/>
    <w:rsid w:val="00AC74FA"/>
    <w:rsid w:val="00AC7AB7"/>
    <w:rsid w:val="00AC7DE6"/>
    <w:rsid w:val="00AD044D"/>
    <w:rsid w:val="00AD1007"/>
    <w:rsid w:val="00AD1268"/>
    <w:rsid w:val="00AD1A2F"/>
    <w:rsid w:val="00AD1FDE"/>
    <w:rsid w:val="00AD34D9"/>
    <w:rsid w:val="00AD406E"/>
    <w:rsid w:val="00AD4B2B"/>
    <w:rsid w:val="00AD563E"/>
    <w:rsid w:val="00AD5874"/>
    <w:rsid w:val="00AD5CAF"/>
    <w:rsid w:val="00AD5E21"/>
    <w:rsid w:val="00AD6547"/>
    <w:rsid w:val="00AD6B46"/>
    <w:rsid w:val="00AD783D"/>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D"/>
    <w:rsid w:val="00B05385"/>
    <w:rsid w:val="00B0579E"/>
    <w:rsid w:val="00B05E9E"/>
    <w:rsid w:val="00B060D1"/>
    <w:rsid w:val="00B0640B"/>
    <w:rsid w:val="00B06787"/>
    <w:rsid w:val="00B10EC9"/>
    <w:rsid w:val="00B116B6"/>
    <w:rsid w:val="00B123B8"/>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989"/>
    <w:rsid w:val="00B31A9A"/>
    <w:rsid w:val="00B33CB4"/>
    <w:rsid w:val="00B33FCA"/>
    <w:rsid w:val="00B348CB"/>
    <w:rsid w:val="00B349CB"/>
    <w:rsid w:val="00B35D7A"/>
    <w:rsid w:val="00B35D88"/>
    <w:rsid w:val="00B36718"/>
    <w:rsid w:val="00B36EE4"/>
    <w:rsid w:val="00B370E5"/>
    <w:rsid w:val="00B41163"/>
    <w:rsid w:val="00B42828"/>
    <w:rsid w:val="00B428E8"/>
    <w:rsid w:val="00B42B3D"/>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4A4"/>
    <w:rsid w:val="00B57691"/>
    <w:rsid w:val="00B61CA0"/>
    <w:rsid w:val="00B62469"/>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A9E"/>
    <w:rsid w:val="00BA107E"/>
    <w:rsid w:val="00BA14C0"/>
    <w:rsid w:val="00BA14EA"/>
    <w:rsid w:val="00BA18FB"/>
    <w:rsid w:val="00BA20F0"/>
    <w:rsid w:val="00BA4F7F"/>
    <w:rsid w:val="00BA523F"/>
    <w:rsid w:val="00BA6128"/>
    <w:rsid w:val="00BA6811"/>
    <w:rsid w:val="00BA744A"/>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5CB5"/>
    <w:rsid w:val="00BC6407"/>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B9B"/>
    <w:rsid w:val="00BF1BE7"/>
    <w:rsid w:val="00BF2A6E"/>
    <w:rsid w:val="00BF3914"/>
    <w:rsid w:val="00BF3D5E"/>
    <w:rsid w:val="00BF483A"/>
    <w:rsid w:val="00BF4D43"/>
    <w:rsid w:val="00BF5AC1"/>
    <w:rsid w:val="00BF64F3"/>
    <w:rsid w:val="00BF6F5D"/>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07A2"/>
    <w:rsid w:val="00C3472C"/>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C67"/>
    <w:rsid w:val="00C667B7"/>
    <w:rsid w:val="00C668CE"/>
    <w:rsid w:val="00C66B8F"/>
    <w:rsid w:val="00C6703C"/>
    <w:rsid w:val="00C6760E"/>
    <w:rsid w:val="00C67B7F"/>
    <w:rsid w:val="00C70AC1"/>
    <w:rsid w:val="00C712A3"/>
    <w:rsid w:val="00C712B8"/>
    <w:rsid w:val="00C720A1"/>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973"/>
    <w:rsid w:val="00CB21D3"/>
    <w:rsid w:val="00CB295D"/>
    <w:rsid w:val="00CB50CD"/>
    <w:rsid w:val="00CB5143"/>
    <w:rsid w:val="00CB5A3C"/>
    <w:rsid w:val="00CB6B4F"/>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6A07"/>
    <w:rsid w:val="00D27347"/>
    <w:rsid w:val="00D301B8"/>
    <w:rsid w:val="00D30B57"/>
    <w:rsid w:val="00D3182A"/>
    <w:rsid w:val="00D31CBE"/>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668DE"/>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22F0"/>
    <w:rsid w:val="00D9314B"/>
    <w:rsid w:val="00D936CC"/>
    <w:rsid w:val="00D9411A"/>
    <w:rsid w:val="00D953EB"/>
    <w:rsid w:val="00D95892"/>
    <w:rsid w:val="00D96252"/>
    <w:rsid w:val="00D96944"/>
    <w:rsid w:val="00D97C2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463C"/>
    <w:rsid w:val="00DE6267"/>
    <w:rsid w:val="00DE7691"/>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C"/>
    <w:rsid w:val="00E20E4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D0C"/>
    <w:rsid w:val="00E36244"/>
    <w:rsid w:val="00E370A4"/>
    <w:rsid w:val="00E37E8A"/>
    <w:rsid w:val="00E40B0D"/>
    <w:rsid w:val="00E40F0E"/>
    <w:rsid w:val="00E4177C"/>
    <w:rsid w:val="00E424E3"/>
    <w:rsid w:val="00E4287F"/>
    <w:rsid w:val="00E44B45"/>
    <w:rsid w:val="00E455F9"/>
    <w:rsid w:val="00E4623D"/>
    <w:rsid w:val="00E46502"/>
    <w:rsid w:val="00E471F0"/>
    <w:rsid w:val="00E47859"/>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263A"/>
    <w:rsid w:val="00E62AAC"/>
    <w:rsid w:val="00E63E83"/>
    <w:rsid w:val="00E646D4"/>
    <w:rsid w:val="00E662C8"/>
    <w:rsid w:val="00E6739E"/>
    <w:rsid w:val="00E67DA4"/>
    <w:rsid w:val="00E67DDC"/>
    <w:rsid w:val="00E67FF3"/>
    <w:rsid w:val="00E715E5"/>
    <w:rsid w:val="00E71DA4"/>
    <w:rsid w:val="00E72429"/>
    <w:rsid w:val="00E72CBD"/>
    <w:rsid w:val="00E73463"/>
    <w:rsid w:val="00E75F11"/>
    <w:rsid w:val="00E76881"/>
    <w:rsid w:val="00E76FE1"/>
    <w:rsid w:val="00E77394"/>
    <w:rsid w:val="00E779C5"/>
    <w:rsid w:val="00E77B15"/>
    <w:rsid w:val="00E77EE6"/>
    <w:rsid w:val="00E807B4"/>
    <w:rsid w:val="00E807F8"/>
    <w:rsid w:val="00E80C7A"/>
    <w:rsid w:val="00E819EB"/>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257F"/>
    <w:rsid w:val="00E925C8"/>
    <w:rsid w:val="00E932DE"/>
    <w:rsid w:val="00E935CF"/>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C6F01"/>
    <w:rsid w:val="00ED0088"/>
    <w:rsid w:val="00ED05E5"/>
    <w:rsid w:val="00ED1619"/>
    <w:rsid w:val="00ED37DC"/>
    <w:rsid w:val="00ED4B90"/>
    <w:rsid w:val="00ED576E"/>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1FF7"/>
    <w:rsid w:val="00EF2793"/>
    <w:rsid w:val="00EF3C54"/>
    <w:rsid w:val="00EF538F"/>
    <w:rsid w:val="00EF5698"/>
    <w:rsid w:val="00EF588D"/>
    <w:rsid w:val="00EF6390"/>
    <w:rsid w:val="00F001D5"/>
    <w:rsid w:val="00F017D8"/>
    <w:rsid w:val="00F02F02"/>
    <w:rsid w:val="00F05D3A"/>
    <w:rsid w:val="00F06520"/>
    <w:rsid w:val="00F06B3B"/>
    <w:rsid w:val="00F1037D"/>
    <w:rsid w:val="00F10908"/>
    <w:rsid w:val="00F10E26"/>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59BF"/>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46B28"/>
    <w:rsid w:val="00F5044D"/>
    <w:rsid w:val="00F51E22"/>
    <w:rsid w:val="00F52C82"/>
    <w:rsid w:val="00F53A43"/>
    <w:rsid w:val="00F53DF5"/>
    <w:rsid w:val="00F551A6"/>
    <w:rsid w:val="00F55FDD"/>
    <w:rsid w:val="00F564ED"/>
    <w:rsid w:val="00F570C2"/>
    <w:rsid w:val="00F6030A"/>
    <w:rsid w:val="00F6037E"/>
    <w:rsid w:val="00F606F7"/>
    <w:rsid w:val="00F60CCC"/>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FB"/>
    <w:rsid w:val="00F67A77"/>
    <w:rsid w:val="00F67D59"/>
    <w:rsid w:val="00F710B4"/>
    <w:rsid w:val="00F72E19"/>
    <w:rsid w:val="00F7361B"/>
    <w:rsid w:val="00F736DC"/>
    <w:rsid w:val="00F737D4"/>
    <w:rsid w:val="00F75787"/>
    <w:rsid w:val="00F8006E"/>
    <w:rsid w:val="00F8068E"/>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13F8"/>
    <w:rsid w:val="00F9144E"/>
    <w:rsid w:val="00F92053"/>
    <w:rsid w:val="00F92B95"/>
    <w:rsid w:val="00F94C38"/>
    <w:rsid w:val="00F95151"/>
    <w:rsid w:val="00F97CF9"/>
    <w:rsid w:val="00FA132B"/>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79D"/>
    <w:rsid w:val="00FD3840"/>
    <w:rsid w:val="00FD577A"/>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954"/>
    <w:rsid w:val="00FF0CF3"/>
    <w:rsid w:val="00FF0D37"/>
    <w:rsid w:val="00FF38A2"/>
    <w:rsid w:val="00FF4F57"/>
    <w:rsid w:val="00FF50B4"/>
    <w:rsid w:val="00FF548A"/>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DA5F9A"/>
    <w:pPr>
      <w:keepNext/>
      <w:spacing w:after="60" w:line="276" w:lineRule="auto"/>
      <w:ind w:left="426"/>
      <w:outlineLvl w:val="1"/>
    </w:pPr>
    <w:rPr>
      <w:rFonts w:asciiTheme="minorHAnsi" w:hAnsiTheme="minorHAnsi" w:cstheme="minorHAnsi"/>
      <w:b/>
      <w:color w:val="000080"/>
      <w:sz w:val="24"/>
      <w:szCs w:val="24"/>
      <w:lang w:val="es-CR"/>
    </w:rPr>
  </w:style>
  <w:style w:type="paragraph" w:styleId="Ttulo3">
    <w:name w:val="heading 3"/>
    <w:basedOn w:val="Normal"/>
    <w:next w:val="Normal"/>
    <w:autoRedefine/>
    <w:qFormat/>
    <w:rsid w:val="00AD6B46"/>
    <w:pPr>
      <w:keepNext/>
      <w:spacing w:line="288" w:lineRule="auto"/>
      <w:ind w:left="1701" w:hanging="993"/>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vento xmlns="b54fad7e-1319-40d0-a36c-64ee330d2bd0">
      <Url>https://si.supen.fi.cr/Tramites/Tram_Detalle_Evento.aspx?evento=2018024263&amp;op=3</Url>
      <Description>2018024263</Description>
    </Ev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0" ma:contentTypeDescription="Crear nuevo documento." ma:contentTypeScope="" ma:versionID="ad50ae21419c782b179b57888c218d4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ba256b3c6ebdc29a95089f501143d02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59edb153-39ed-4056-b12b-5a6ee259c2e4"/>
    <ds:schemaRef ds:uri="http://purl.org/dc/terms/"/>
    <ds:schemaRef ds:uri="http://schemas.microsoft.com/office/infopath/2007/PartnerControls"/>
    <ds:schemaRef ds:uri="b54fad7e-1319-40d0-a36c-64ee330d2bd0"/>
  </ds:schemaRefs>
</ds:datastoreItem>
</file>

<file path=customXml/itemProps2.xml><?xml version="1.0" encoding="utf-8"?>
<ds:datastoreItem xmlns:ds="http://schemas.openxmlformats.org/officeDocument/2006/customXml" ds:itemID="{74925B1C-9DF7-458A-8F9E-965BD0BC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3805E107-E56F-4C43-8ABA-54A32DE0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8867</Words>
  <Characters>48772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SUPEN Informe LIQUIDACION presupuestaria 2017.docx</vt:lpstr>
    </vt:vector>
  </TitlesOfParts>
  <Company>sugef</Company>
  <LinksUpToDate>false</LinksUpToDate>
  <CharactersWithSpaces>57524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2017.docx</dc:title>
  <dc:subject/>
  <dc:creator>sugef</dc:creator>
  <cp:keywords/>
  <dc:description/>
  <cp:lastModifiedBy>ARIAS GONZALEZ JOSE EZEQUIEL</cp:lastModifiedBy>
  <cp:revision>2</cp:revision>
  <cp:lastPrinted>2017-10-17T16:01:00Z</cp:lastPrinted>
  <dcterms:created xsi:type="dcterms:W3CDTF">2018-01-31T15:39:00Z</dcterms:created>
  <dcterms:modified xsi:type="dcterms:W3CDTF">2018-01-31T15:39:00Z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