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639" w:rsidRPr="007F441A" w:rsidRDefault="00E46502" w:rsidP="00366EFA">
      <w:pPr>
        <w:pStyle w:val="Encabezado"/>
        <w:tabs>
          <w:tab w:val="left" w:pos="9214"/>
        </w:tabs>
        <w:spacing w:line="288" w:lineRule="auto"/>
        <w:ind w:left="-426" w:right="618"/>
        <w:jc w:val="center"/>
        <w:rPr>
          <w:rFonts w:asciiTheme="minorHAnsi" w:hAnsiTheme="minorHAnsi" w:cstheme="minorHAnsi"/>
          <w:b/>
          <w:sz w:val="28"/>
          <w:lang w:val="es-CR"/>
        </w:rPr>
      </w:pPr>
      <w:r w:rsidRPr="007F441A">
        <w:rPr>
          <w:rFonts w:asciiTheme="minorHAnsi" w:hAnsiTheme="minorHAnsi" w:cstheme="minorHAnsi"/>
          <w:b/>
          <w:noProof/>
          <w:sz w:val="32"/>
          <w:lang w:val="es-CR" w:eastAsia="es-CR"/>
        </w:rPr>
        <mc:AlternateContent>
          <mc:Choice Requires="wps">
            <w:drawing>
              <wp:anchor distT="0" distB="0" distL="114300" distR="114300" simplePos="0" relativeHeight="25165568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86C2D" id="Rectangle 2" o:spid="_x0000_s1026" style="position:absolute;margin-left:26pt;margin-top:9.2pt;width:468pt;height:58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rsidR="004E57DE" w:rsidRPr="007F441A" w:rsidRDefault="004E57DE" w:rsidP="007304F9">
      <w:pPr>
        <w:ind w:left="567"/>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rsidR="00C756F7" w:rsidRPr="007F441A" w:rsidRDefault="00C756F7" w:rsidP="0075610E">
      <w:pPr>
        <w:pStyle w:val="Textoindependiente2"/>
        <w:spacing w:line="288" w:lineRule="auto"/>
        <w:ind w:left="567" w:right="-34" w:firstLine="2"/>
        <w:jc w:val="center"/>
        <w:rPr>
          <w:rFonts w:asciiTheme="minorHAnsi" w:hAnsiTheme="minorHAnsi" w:cstheme="minorHAnsi"/>
          <w:b/>
          <w:i/>
          <w:color w:val="000080"/>
          <w:sz w:val="48"/>
          <w:szCs w:val="40"/>
          <w:lang w:val="es-CR"/>
        </w:rPr>
      </w:pPr>
      <w:r w:rsidRPr="007F441A">
        <w:rPr>
          <w:rFonts w:asciiTheme="minorHAnsi" w:hAnsiTheme="minorHAnsi" w:cstheme="minorHAnsi"/>
          <w:b/>
          <w:i/>
          <w:color w:val="000080"/>
          <w:sz w:val="48"/>
          <w:szCs w:val="40"/>
          <w:lang w:val="es-CR"/>
        </w:rPr>
        <w:t xml:space="preserve">Superintendencia </w:t>
      </w:r>
      <w:r w:rsidR="00673A4E" w:rsidRPr="007F441A">
        <w:rPr>
          <w:rFonts w:asciiTheme="minorHAnsi" w:hAnsiTheme="minorHAnsi" w:cstheme="minorHAnsi"/>
          <w:b/>
          <w:i/>
          <w:color w:val="000080"/>
          <w:sz w:val="48"/>
          <w:szCs w:val="40"/>
          <w:lang w:val="es-CR"/>
        </w:rPr>
        <w:t>de Pensiones</w:t>
      </w:r>
      <w:bookmarkEnd w:id="0"/>
      <w:bookmarkEnd w:id="1"/>
    </w:p>
    <w:p w:rsidR="00C756F7" w:rsidRPr="007F441A" w:rsidRDefault="00C756F7" w:rsidP="0075610E">
      <w:pPr>
        <w:pStyle w:val="Encabezado"/>
        <w:spacing w:line="288" w:lineRule="auto"/>
        <w:ind w:left="567" w:right="618" w:firstLine="2"/>
        <w:rPr>
          <w:rFonts w:asciiTheme="minorHAnsi" w:hAnsiTheme="minorHAnsi" w:cstheme="minorHAnsi"/>
          <w:sz w:val="24"/>
          <w:lang w:val="es-CR"/>
        </w:rPr>
      </w:pPr>
    </w:p>
    <w:p w:rsidR="00C756F7" w:rsidRPr="007F441A" w:rsidRDefault="00C756F7" w:rsidP="0075610E">
      <w:pPr>
        <w:pStyle w:val="Encabezado"/>
        <w:spacing w:line="288" w:lineRule="auto"/>
        <w:ind w:left="567" w:right="618" w:firstLine="2"/>
        <w:rPr>
          <w:rFonts w:asciiTheme="minorHAnsi" w:hAnsiTheme="minorHAnsi" w:cstheme="minorHAnsi"/>
          <w:sz w:val="24"/>
          <w:lang w:val="es-CR"/>
        </w:rPr>
      </w:pPr>
    </w:p>
    <w:p w:rsidR="001C1A65" w:rsidRPr="007F441A" w:rsidRDefault="001C1A65" w:rsidP="0075610E">
      <w:pPr>
        <w:spacing w:line="288" w:lineRule="auto"/>
        <w:ind w:left="567" w:right="618" w:firstLine="2"/>
        <w:rPr>
          <w:rFonts w:asciiTheme="minorHAnsi" w:hAnsiTheme="minorHAnsi" w:cstheme="minorHAnsi"/>
          <w:lang w:val="es-CR"/>
        </w:rPr>
      </w:pPr>
    </w:p>
    <w:p w:rsidR="00250EE1" w:rsidRPr="007F441A" w:rsidRDefault="00250EE1" w:rsidP="0075610E">
      <w:pPr>
        <w:spacing w:line="288" w:lineRule="auto"/>
        <w:ind w:left="567" w:right="618" w:firstLine="2"/>
        <w:rPr>
          <w:rFonts w:asciiTheme="minorHAnsi" w:hAnsiTheme="minorHAnsi" w:cstheme="minorHAnsi"/>
          <w:lang w:val="es-CR"/>
        </w:rPr>
      </w:pPr>
    </w:p>
    <w:p w:rsidR="001C1A65" w:rsidRPr="007F441A" w:rsidRDefault="001C1A65" w:rsidP="0075610E">
      <w:pPr>
        <w:spacing w:line="288" w:lineRule="auto"/>
        <w:ind w:left="567" w:right="618" w:firstLine="2"/>
        <w:rPr>
          <w:rFonts w:asciiTheme="minorHAnsi" w:hAnsiTheme="minorHAnsi" w:cstheme="minorHAnsi"/>
          <w:lang w:val="es-CR"/>
        </w:rPr>
      </w:pPr>
    </w:p>
    <w:p w:rsidR="00C756F7" w:rsidRPr="007F441A" w:rsidRDefault="00C756F7" w:rsidP="0075610E">
      <w:pPr>
        <w:pStyle w:val="Textoindependiente2"/>
        <w:spacing w:line="288" w:lineRule="auto"/>
        <w:ind w:left="567" w:right="618" w:firstLine="2"/>
        <w:jc w:val="center"/>
        <w:rPr>
          <w:rFonts w:asciiTheme="minorHAnsi" w:hAnsiTheme="minorHAnsi" w:cstheme="minorHAnsi"/>
          <w:lang w:val="es-CR"/>
        </w:rPr>
      </w:pPr>
    </w:p>
    <w:p w:rsidR="004E57DE" w:rsidRPr="007F441A" w:rsidRDefault="004E57DE" w:rsidP="0075610E">
      <w:pPr>
        <w:pStyle w:val="Textoindependiente2"/>
        <w:spacing w:line="288" w:lineRule="auto"/>
        <w:ind w:left="567" w:right="618" w:firstLine="2"/>
        <w:jc w:val="center"/>
        <w:rPr>
          <w:rFonts w:asciiTheme="minorHAnsi" w:hAnsiTheme="minorHAnsi" w:cstheme="minorHAnsi"/>
          <w:lang w:val="es-CR"/>
        </w:rPr>
      </w:pPr>
    </w:p>
    <w:p w:rsidR="00D47BAD" w:rsidRPr="007F441A" w:rsidRDefault="00D47BAD" w:rsidP="0075610E">
      <w:pPr>
        <w:pStyle w:val="Textoindependiente2"/>
        <w:spacing w:line="288" w:lineRule="auto"/>
        <w:ind w:left="567" w:right="618" w:firstLine="2"/>
        <w:jc w:val="center"/>
        <w:rPr>
          <w:rFonts w:asciiTheme="minorHAnsi" w:hAnsiTheme="minorHAnsi" w:cstheme="minorHAnsi"/>
          <w:lang w:val="es-CR"/>
        </w:rPr>
      </w:pPr>
    </w:p>
    <w:p w:rsidR="00E47859" w:rsidRPr="007F441A" w:rsidRDefault="00E47859" w:rsidP="002F2009">
      <w:pPr>
        <w:pStyle w:val="Textoindependiente2"/>
        <w:spacing w:line="288" w:lineRule="auto"/>
        <w:ind w:left="567" w:right="-34" w:firstLine="2"/>
        <w:jc w:val="center"/>
        <w:rPr>
          <w:rFonts w:asciiTheme="minorHAnsi" w:hAnsiTheme="minorHAnsi" w:cstheme="minorHAnsi"/>
          <w:b/>
          <w:color w:val="000080"/>
          <w:sz w:val="56"/>
          <w:szCs w:val="52"/>
          <w:lang w:val="es-CR"/>
        </w:rPr>
      </w:pPr>
      <w:r w:rsidRPr="007F441A">
        <w:rPr>
          <w:rFonts w:asciiTheme="minorHAnsi" w:hAnsiTheme="minorHAnsi" w:cstheme="minorHAnsi"/>
          <w:b/>
          <w:color w:val="000080"/>
          <w:sz w:val="72"/>
          <w:szCs w:val="52"/>
          <w:lang w:val="es-CR"/>
        </w:rPr>
        <w:t xml:space="preserve">INFORME DE </w:t>
      </w:r>
      <w:r w:rsidR="002F2009" w:rsidRPr="007F441A">
        <w:rPr>
          <w:rFonts w:asciiTheme="minorHAnsi" w:hAnsiTheme="minorHAnsi" w:cstheme="minorHAnsi"/>
          <w:b/>
          <w:color w:val="000080"/>
          <w:sz w:val="72"/>
          <w:szCs w:val="52"/>
          <w:lang w:val="es-CR"/>
        </w:rPr>
        <w:t>EVALUACIÓN</w:t>
      </w:r>
    </w:p>
    <w:p w:rsidR="00D47BAD" w:rsidRPr="007F441A" w:rsidRDefault="00912C15"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r w:rsidRPr="007F441A">
        <w:rPr>
          <w:rFonts w:asciiTheme="minorHAnsi" w:hAnsiTheme="minorHAnsi" w:cstheme="minorHAnsi"/>
          <w:b/>
          <w:color w:val="000080"/>
          <w:sz w:val="48"/>
          <w:szCs w:val="48"/>
          <w:lang w:val="es-CR"/>
        </w:rPr>
        <w:t>Primer Semestre</w:t>
      </w:r>
    </w:p>
    <w:p w:rsidR="00912C15" w:rsidRPr="007F441A" w:rsidRDefault="00912C15"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rsidR="00C756F7" w:rsidRPr="007F441A" w:rsidRDefault="00C756F7" w:rsidP="0075610E">
      <w:pPr>
        <w:pStyle w:val="Textoindependiente2"/>
        <w:spacing w:line="288" w:lineRule="auto"/>
        <w:ind w:left="567" w:right="108" w:firstLine="2"/>
        <w:jc w:val="center"/>
        <w:rPr>
          <w:rFonts w:asciiTheme="minorHAnsi" w:hAnsiTheme="minorHAnsi" w:cstheme="minorHAnsi"/>
          <w:b/>
          <w:smallCaps/>
          <w:color w:val="000080"/>
          <w:sz w:val="56"/>
          <w:szCs w:val="52"/>
          <w:lang w:val="es-CR"/>
        </w:rPr>
      </w:pPr>
      <w:r w:rsidRPr="007F441A">
        <w:rPr>
          <w:rFonts w:asciiTheme="minorHAnsi" w:hAnsiTheme="minorHAnsi" w:cstheme="minorHAnsi"/>
          <w:b/>
          <w:smallCaps/>
          <w:color w:val="000080"/>
          <w:sz w:val="96"/>
          <w:szCs w:val="52"/>
          <w:lang w:val="es-CR"/>
        </w:rPr>
        <w:t>20</w:t>
      </w:r>
      <w:r w:rsidR="00EC142B" w:rsidRPr="007F441A">
        <w:rPr>
          <w:rFonts w:asciiTheme="minorHAnsi" w:hAnsiTheme="minorHAnsi" w:cstheme="minorHAnsi"/>
          <w:b/>
          <w:smallCaps/>
          <w:color w:val="000080"/>
          <w:sz w:val="96"/>
          <w:szCs w:val="52"/>
          <w:lang w:val="es-CR"/>
        </w:rPr>
        <w:t>1</w:t>
      </w:r>
      <w:r w:rsidR="00912C15" w:rsidRPr="007F441A">
        <w:rPr>
          <w:rFonts w:asciiTheme="minorHAnsi" w:hAnsiTheme="minorHAnsi" w:cstheme="minorHAnsi"/>
          <w:b/>
          <w:smallCaps/>
          <w:color w:val="000080"/>
          <w:sz w:val="96"/>
          <w:szCs w:val="52"/>
          <w:lang w:val="es-CR"/>
        </w:rPr>
        <w:t>8</w:t>
      </w:r>
    </w:p>
    <w:p w:rsidR="00026DC4" w:rsidRPr="007F441A"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rsidR="00026DC4" w:rsidRDefault="00026DC4" w:rsidP="0075610E">
      <w:pPr>
        <w:pStyle w:val="Textoindependiente2"/>
        <w:spacing w:line="288" w:lineRule="auto"/>
        <w:ind w:left="567" w:right="-34" w:firstLine="2"/>
        <w:jc w:val="center"/>
        <w:rPr>
          <w:rFonts w:asciiTheme="minorHAnsi" w:hAnsiTheme="minorHAnsi" w:cstheme="minorHAnsi"/>
          <w:b/>
          <w:sz w:val="32"/>
          <w:lang w:val="es-CR"/>
        </w:rPr>
      </w:pPr>
    </w:p>
    <w:p w:rsidR="00212978" w:rsidRPr="007F441A" w:rsidRDefault="00212978" w:rsidP="0075610E">
      <w:pPr>
        <w:pStyle w:val="Textoindependiente2"/>
        <w:spacing w:line="288" w:lineRule="auto"/>
        <w:ind w:left="567" w:right="-34" w:firstLine="2"/>
        <w:jc w:val="center"/>
        <w:rPr>
          <w:rFonts w:asciiTheme="minorHAnsi" w:hAnsiTheme="minorHAnsi" w:cstheme="minorHAnsi"/>
          <w:b/>
          <w:sz w:val="32"/>
          <w:lang w:val="es-CR"/>
        </w:rPr>
      </w:pPr>
    </w:p>
    <w:p w:rsidR="004E57DE" w:rsidRDefault="004E57DE" w:rsidP="0075610E">
      <w:pPr>
        <w:pStyle w:val="Textoindependiente2"/>
        <w:spacing w:line="288" w:lineRule="auto"/>
        <w:ind w:left="567" w:right="-34" w:firstLine="2"/>
        <w:jc w:val="center"/>
        <w:rPr>
          <w:rFonts w:asciiTheme="minorHAnsi" w:hAnsiTheme="minorHAnsi" w:cstheme="minorHAnsi"/>
          <w:b/>
          <w:sz w:val="32"/>
          <w:lang w:val="es-CR"/>
        </w:rPr>
      </w:pPr>
    </w:p>
    <w:p w:rsidR="00212978" w:rsidRPr="007F441A" w:rsidRDefault="00212978" w:rsidP="0075610E">
      <w:pPr>
        <w:pStyle w:val="Textoindependiente2"/>
        <w:spacing w:line="288" w:lineRule="auto"/>
        <w:ind w:left="567" w:right="-34" w:firstLine="2"/>
        <w:jc w:val="center"/>
        <w:rPr>
          <w:rFonts w:asciiTheme="minorHAnsi" w:hAnsiTheme="minorHAnsi" w:cstheme="minorHAnsi"/>
          <w:b/>
          <w:sz w:val="32"/>
          <w:lang w:val="es-CR"/>
        </w:rPr>
      </w:pPr>
    </w:p>
    <w:p w:rsidR="004E57DE" w:rsidRPr="007F441A"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p>
    <w:p w:rsidR="00A2684C" w:rsidRPr="007F441A" w:rsidRDefault="00912C15" w:rsidP="0075610E">
      <w:pPr>
        <w:pStyle w:val="Textoindependiente2"/>
        <w:spacing w:line="288" w:lineRule="auto"/>
        <w:ind w:left="567" w:right="-34" w:firstLine="2"/>
        <w:jc w:val="center"/>
        <w:rPr>
          <w:rFonts w:asciiTheme="minorHAnsi" w:hAnsiTheme="minorHAnsi" w:cstheme="minorHAnsi"/>
          <w:color w:val="000080"/>
          <w:sz w:val="36"/>
          <w:szCs w:val="36"/>
          <w:lang w:val="es-CR"/>
        </w:rPr>
        <w:sectPr w:rsidR="00A2684C" w:rsidRPr="007F441A" w:rsidSect="004243F3">
          <w:headerReference w:type="default" r:id="rId11"/>
          <w:footerReference w:type="default" r:id="rId12"/>
          <w:pgSz w:w="12242" w:h="15842" w:code="1"/>
          <w:pgMar w:top="794" w:right="1134" w:bottom="1021" w:left="1361" w:header="720" w:footer="913" w:gutter="0"/>
          <w:cols w:space="720"/>
        </w:sectPr>
      </w:pPr>
      <w:r w:rsidRPr="007F441A">
        <w:rPr>
          <w:rFonts w:asciiTheme="minorHAnsi" w:hAnsiTheme="minorHAnsi" w:cstheme="minorHAnsi"/>
          <w:color w:val="000080"/>
          <w:sz w:val="36"/>
          <w:szCs w:val="36"/>
          <w:lang w:val="es-CR"/>
        </w:rPr>
        <w:t>Julio</w:t>
      </w:r>
      <w:r w:rsidR="0046461B" w:rsidRPr="007F441A">
        <w:rPr>
          <w:rFonts w:asciiTheme="minorHAnsi" w:hAnsiTheme="minorHAnsi" w:cstheme="minorHAnsi"/>
          <w:color w:val="000080"/>
          <w:sz w:val="36"/>
          <w:szCs w:val="36"/>
          <w:lang w:val="es-CR"/>
        </w:rPr>
        <w:t xml:space="preserve"> -</w:t>
      </w:r>
      <w:r w:rsidR="00F84E0F" w:rsidRPr="007F441A">
        <w:rPr>
          <w:rFonts w:asciiTheme="minorHAnsi" w:hAnsiTheme="minorHAnsi" w:cstheme="minorHAnsi"/>
          <w:color w:val="000080"/>
          <w:sz w:val="36"/>
          <w:szCs w:val="36"/>
          <w:lang w:val="es-CR"/>
        </w:rPr>
        <w:t xml:space="preserve"> 201</w:t>
      </w:r>
      <w:r w:rsidR="00635D23" w:rsidRPr="007F441A">
        <w:rPr>
          <w:rFonts w:asciiTheme="minorHAnsi" w:hAnsiTheme="minorHAnsi" w:cstheme="minorHAnsi"/>
          <w:color w:val="000080"/>
          <w:sz w:val="36"/>
          <w:szCs w:val="36"/>
          <w:lang w:val="es-CR"/>
        </w:rPr>
        <w:t>8</w:t>
      </w:r>
    </w:p>
    <w:p w:rsidR="00E47859" w:rsidRPr="007F441A" w:rsidRDefault="00E47859" w:rsidP="00E47859">
      <w:pPr>
        <w:spacing w:line="288" w:lineRule="auto"/>
        <w:jc w:val="center"/>
        <w:rPr>
          <w:rFonts w:asciiTheme="minorHAnsi" w:hAnsiTheme="minorHAnsi" w:cstheme="minorHAnsi"/>
          <w:b/>
          <w:sz w:val="32"/>
          <w:lang w:val="es-CR"/>
        </w:rPr>
      </w:pPr>
      <w:r w:rsidRPr="007F441A">
        <w:rPr>
          <w:rFonts w:asciiTheme="minorHAnsi" w:hAnsiTheme="minorHAnsi" w:cstheme="minorHAnsi"/>
          <w:b/>
          <w:sz w:val="32"/>
          <w:lang w:val="es-CR"/>
        </w:rPr>
        <w:t>ÍNDICE</w:t>
      </w:r>
    </w:p>
    <w:p w:rsidR="00E46832" w:rsidRDefault="00A33FC2">
      <w:pPr>
        <w:pStyle w:val="TDC1"/>
        <w:rPr>
          <w:rFonts w:asciiTheme="minorHAnsi" w:eastAsiaTheme="minorEastAsia" w:hAnsiTheme="minorHAnsi" w:cstheme="minorBidi"/>
          <w:b w:val="0"/>
          <w:bCs w:val="0"/>
          <w:caps w:val="0"/>
          <w:noProof/>
          <w:sz w:val="22"/>
          <w:szCs w:val="22"/>
          <w:lang w:val="es-CR" w:eastAsia="es-CR"/>
        </w:rPr>
      </w:pPr>
      <w:r w:rsidRPr="007F441A">
        <w:rPr>
          <w:rFonts w:asciiTheme="minorHAnsi" w:hAnsiTheme="minorHAnsi" w:cstheme="minorHAnsi"/>
          <w:lang w:val="es-CR"/>
        </w:rPr>
        <w:fldChar w:fldCharType="begin"/>
      </w:r>
      <w:r w:rsidR="00E47859" w:rsidRPr="007F441A">
        <w:rPr>
          <w:rFonts w:asciiTheme="minorHAnsi" w:hAnsiTheme="minorHAnsi" w:cstheme="minorHAnsi"/>
          <w:lang w:val="es-CR"/>
        </w:rPr>
        <w:instrText xml:space="preserve"> TOC \o "1-6" \h \z \u </w:instrText>
      </w:r>
      <w:r w:rsidRPr="007F441A">
        <w:rPr>
          <w:rFonts w:asciiTheme="minorHAnsi" w:hAnsiTheme="minorHAnsi" w:cstheme="minorHAnsi"/>
          <w:lang w:val="es-CR"/>
        </w:rPr>
        <w:fldChar w:fldCharType="separate"/>
      </w:r>
      <w:hyperlink w:anchor="_Toc519073088" w:history="1">
        <w:r w:rsidR="00E46832" w:rsidRPr="00066471">
          <w:rPr>
            <w:rStyle w:val="Hipervnculo"/>
            <w:rFonts w:cstheme="minorHAnsi"/>
            <w:noProof/>
            <w:lang w:val="es-CR"/>
          </w:rPr>
          <w:t>PRESENTACIÓN</w:t>
        </w:r>
        <w:r w:rsidR="00E46832">
          <w:rPr>
            <w:noProof/>
            <w:webHidden/>
          </w:rPr>
          <w:tab/>
        </w:r>
        <w:r w:rsidR="00E46832">
          <w:rPr>
            <w:noProof/>
            <w:webHidden/>
          </w:rPr>
          <w:fldChar w:fldCharType="begin"/>
        </w:r>
        <w:r w:rsidR="00E46832">
          <w:rPr>
            <w:noProof/>
            <w:webHidden/>
          </w:rPr>
          <w:instrText xml:space="preserve"> PAGEREF _Toc519073088 \h </w:instrText>
        </w:r>
        <w:r w:rsidR="00E46832">
          <w:rPr>
            <w:noProof/>
            <w:webHidden/>
          </w:rPr>
        </w:r>
        <w:r w:rsidR="00E46832">
          <w:rPr>
            <w:noProof/>
            <w:webHidden/>
          </w:rPr>
          <w:fldChar w:fldCharType="separate"/>
        </w:r>
        <w:r w:rsidR="00E46832">
          <w:rPr>
            <w:noProof/>
            <w:webHidden/>
          </w:rPr>
          <w:t>3</w:t>
        </w:r>
        <w:r w:rsidR="00E46832">
          <w:rPr>
            <w:noProof/>
            <w:webHidden/>
          </w:rPr>
          <w:fldChar w:fldCharType="end"/>
        </w:r>
      </w:hyperlink>
    </w:p>
    <w:p w:rsidR="00E46832" w:rsidRDefault="000C5BF1">
      <w:pPr>
        <w:pStyle w:val="TDC1"/>
        <w:rPr>
          <w:rFonts w:asciiTheme="minorHAnsi" w:eastAsiaTheme="minorEastAsia" w:hAnsiTheme="minorHAnsi" w:cstheme="minorBidi"/>
          <w:b w:val="0"/>
          <w:bCs w:val="0"/>
          <w:caps w:val="0"/>
          <w:noProof/>
          <w:sz w:val="22"/>
          <w:szCs w:val="22"/>
          <w:lang w:val="es-CR" w:eastAsia="es-CR"/>
        </w:rPr>
      </w:pPr>
      <w:hyperlink w:anchor="_Toc519073089" w:history="1">
        <w:r w:rsidR="00E46832" w:rsidRPr="00066471">
          <w:rPr>
            <w:rStyle w:val="Hipervnculo"/>
            <w:rFonts w:cstheme="minorHAnsi"/>
            <w:noProof/>
            <w:lang w:val="es-CR"/>
          </w:rPr>
          <w:t>1.</w:t>
        </w:r>
        <w:r w:rsidR="00E46832">
          <w:rPr>
            <w:rFonts w:asciiTheme="minorHAnsi" w:eastAsiaTheme="minorEastAsia" w:hAnsiTheme="minorHAnsi" w:cstheme="minorBidi"/>
            <w:b w:val="0"/>
            <w:bCs w:val="0"/>
            <w:caps w:val="0"/>
            <w:noProof/>
            <w:sz w:val="22"/>
            <w:szCs w:val="22"/>
            <w:lang w:val="es-CR" w:eastAsia="es-CR"/>
          </w:rPr>
          <w:tab/>
        </w:r>
        <w:r w:rsidR="00E46832" w:rsidRPr="00066471">
          <w:rPr>
            <w:rStyle w:val="Hipervnculo"/>
            <w:rFonts w:cstheme="minorHAnsi"/>
            <w:noProof/>
            <w:lang w:val="es-CR"/>
          </w:rPr>
          <w:t>EJECUCIÓN DE LOS INGRESOS Y GASTOS MÁS IMPORTANTES (4.5.6 b. i)</w:t>
        </w:r>
        <w:r w:rsidR="00E46832">
          <w:rPr>
            <w:noProof/>
            <w:webHidden/>
          </w:rPr>
          <w:tab/>
        </w:r>
        <w:r w:rsidR="00E46832">
          <w:rPr>
            <w:noProof/>
            <w:webHidden/>
          </w:rPr>
          <w:fldChar w:fldCharType="begin"/>
        </w:r>
        <w:r w:rsidR="00E46832">
          <w:rPr>
            <w:noProof/>
            <w:webHidden/>
          </w:rPr>
          <w:instrText xml:space="preserve"> PAGEREF _Toc519073089 \h </w:instrText>
        </w:r>
        <w:r w:rsidR="00E46832">
          <w:rPr>
            <w:noProof/>
            <w:webHidden/>
          </w:rPr>
        </w:r>
        <w:r w:rsidR="00E46832">
          <w:rPr>
            <w:noProof/>
            <w:webHidden/>
          </w:rPr>
          <w:fldChar w:fldCharType="separate"/>
        </w:r>
        <w:r w:rsidR="00E46832">
          <w:rPr>
            <w:noProof/>
            <w:webHidden/>
          </w:rPr>
          <w:t>4</w:t>
        </w:r>
        <w:r w:rsidR="00E46832">
          <w:rPr>
            <w:noProof/>
            <w:webHidden/>
          </w:rPr>
          <w:fldChar w:fldCharType="end"/>
        </w:r>
      </w:hyperlink>
    </w:p>
    <w:p w:rsidR="00E46832" w:rsidRDefault="000C5BF1">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19073090" w:history="1">
        <w:r w:rsidR="00E46832" w:rsidRPr="00066471">
          <w:rPr>
            <w:rStyle w:val="Hipervnculo"/>
            <w:noProof/>
          </w:rPr>
          <w:t>1.1.</w:t>
        </w:r>
        <w:r w:rsidR="00E46832">
          <w:rPr>
            <w:rFonts w:asciiTheme="minorHAnsi" w:eastAsiaTheme="minorEastAsia" w:hAnsiTheme="minorHAnsi" w:cstheme="minorBidi"/>
            <w:smallCaps w:val="0"/>
            <w:noProof/>
            <w:sz w:val="22"/>
            <w:szCs w:val="22"/>
            <w:lang w:val="es-CR" w:eastAsia="es-CR"/>
          </w:rPr>
          <w:tab/>
        </w:r>
        <w:r w:rsidR="00E46832" w:rsidRPr="00066471">
          <w:rPr>
            <w:rStyle w:val="Hipervnculo"/>
            <w:noProof/>
          </w:rPr>
          <w:t>Comportamiento de la ejecución de ingresos</w:t>
        </w:r>
        <w:r w:rsidR="00E46832">
          <w:rPr>
            <w:noProof/>
            <w:webHidden/>
          </w:rPr>
          <w:tab/>
        </w:r>
        <w:r w:rsidR="00E46832">
          <w:rPr>
            <w:noProof/>
            <w:webHidden/>
          </w:rPr>
          <w:fldChar w:fldCharType="begin"/>
        </w:r>
        <w:r w:rsidR="00E46832">
          <w:rPr>
            <w:noProof/>
            <w:webHidden/>
          </w:rPr>
          <w:instrText xml:space="preserve"> PAGEREF _Toc519073090 \h </w:instrText>
        </w:r>
        <w:r w:rsidR="00E46832">
          <w:rPr>
            <w:noProof/>
            <w:webHidden/>
          </w:rPr>
        </w:r>
        <w:r w:rsidR="00E46832">
          <w:rPr>
            <w:noProof/>
            <w:webHidden/>
          </w:rPr>
          <w:fldChar w:fldCharType="separate"/>
        </w:r>
        <w:r w:rsidR="00E46832">
          <w:rPr>
            <w:noProof/>
            <w:webHidden/>
          </w:rPr>
          <w:t>4</w:t>
        </w:r>
        <w:r w:rsidR="00E46832">
          <w:rPr>
            <w:noProof/>
            <w:webHidden/>
          </w:rPr>
          <w:fldChar w:fldCharType="end"/>
        </w:r>
      </w:hyperlink>
    </w:p>
    <w:p w:rsidR="00E46832" w:rsidRDefault="000C5BF1">
      <w:pPr>
        <w:pStyle w:val="TDC2"/>
        <w:tabs>
          <w:tab w:val="left" w:pos="880"/>
          <w:tab w:val="right" w:leader="dot" w:pos="8830"/>
        </w:tabs>
        <w:rPr>
          <w:rFonts w:asciiTheme="minorHAnsi" w:eastAsiaTheme="minorEastAsia" w:hAnsiTheme="minorHAnsi" w:cstheme="minorBidi"/>
          <w:smallCaps w:val="0"/>
          <w:noProof/>
          <w:sz w:val="22"/>
          <w:szCs w:val="22"/>
          <w:lang w:val="es-CR" w:eastAsia="es-CR"/>
        </w:rPr>
      </w:pPr>
      <w:hyperlink w:anchor="_Toc519073091" w:history="1">
        <w:r w:rsidR="00E46832" w:rsidRPr="00066471">
          <w:rPr>
            <w:rStyle w:val="Hipervnculo"/>
            <w:noProof/>
          </w:rPr>
          <w:t>1.2.</w:t>
        </w:r>
        <w:r w:rsidR="00E46832">
          <w:rPr>
            <w:rFonts w:asciiTheme="minorHAnsi" w:eastAsiaTheme="minorEastAsia" w:hAnsiTheme="minorHAnsi" w:cstheme="minorBidi"/>
            <w:smallCaps w:val="0"/>
            <w:noProof/>
            <w:sz w:val="22"/>
            <w:szCs w:val="22"/>
            <w:lang w:val="es-CR" w:eastAsia="es-CR"/>
          </w:rPr>
          <w:tab/>
        </w:r>
        <w:r w:rsidR="00E46832" w:rsidRPr="00066471">
          <w:rPr>
            <w:rStyle w:val="Hipervnculo"/>
            <w:noProof/>
          </w:rPr>
          <w:t>Comportamiento de la ejecución de los gastos</w:t>
        </w:r>
        <w:r w:rsidR="00E46832">
          <w:rPr>
            <w:noProof/>
            <w:webHidden/>
          </w:rPr>
          <w:tab/>
        </w:r>
        <w:r w:rsidR="00E46832">
          <w:rPr>
            <w:noProof/>
            <w:webHidden/>
          </w:rPr>
          <w:fldChar w:fldCharType="begin"/>
        </w:r>
        <w:r w:rsidR="00E46832">
          <w:rPr>
            <w:noProof/>
            <w:webHidden/>
          </w:rPr>
          <w:instrText xml:space="preserve"> PAGEREF _Toc519073091 \h </w:instrText>
        </w:r>
        <w:r w:rsidR="00E46832">
          <w:rPr>
            <w:noProof/>
            <w:webHidden/>
          </w:rPr>
        </w:r>
        <w:r w:rsidR="00E46832">
          <w:rPr>
            <w:noProof/>
            <w:webHidden/>
          </w:rPr>
          <w:fldChar w:fldCharType="separate"/>
        </w:r>
        <w:r w:rsidR="00E46832">
          <w:rPr>
            <w:noProof/>
            <w:webHidden/>
          </w:rPr>
          <w:t>4</w:t>
        </w:r>
        <w:r w:rsidR="00E46832">
          <w:rPr>
            <w:noProof/>
            <w:webHidden/>
          </w:rPr>
          <w:fldChar w:fldCharType="end"/>
        </w:r>
      </w:hyperlink>
    </w:p>
    <w:p w:rsidR="00E46832" w:rsidRDefault="000C5BF1">
      <w:pPr>
        <w:pStyle w:val="TDC1"/>
        <w:rPr>
          <w:rFonts w:asciiTheme="minorHAnsi" w:eastAsiaTheme="minorEastAsia" w:hAnsiTheme="minorHAnsi" w:cstheme="minorBidi"/>
          <w:b w:val="0"/>
          <w:bCs w:val="0"/>
          <w:caps w:val="0"/>
          <w:noProof/>
          <w:sz w:val="22"/>
          <w:szCs w:val="22"/>
          <w:lang w:val="es-CR" w:eastAsia="es-CR"/>
        </w:rPr>
      </w:pPr>
      <w:hyperlink w:anchor="_Toc519073092" w:history="1">
        <w:r w:rsidR="00E46832" w:rsidRPr="00066471">
          <w:rPr>
            <w:rStyle w:val="Hipervnculo"/>
            <w:rFonts w:cstheme="minorHAnsi"/>
            <w:noProof/>
            <w:lang w:val="es-CR"/>
          </w:rPr>
          <w:t>2.</w:t>
        </w:r>
        <w:r w:rsidR="00E46832">
          <w:rPr>
            <w:rFonts w:asciiTheme="minorHAnsi" w:eastAsiaTheme="minorEastAsia" w:hAnsiTheme="minorHAnsi" w:cstheme="minorBidi"/>
            <w:b w:val="0"/>
            <w:bCs w:val="0"/>
            <w:caps w:val="0"/>
            <w:noProof/>
            <w:sz w:val="22"/>
            <w:szCs w:val="22"/>
            <w:lang w:val="es-CR" w:eastAsia="es-CR"/>
          </w:rPr>
          <w:tab/>
        </w:r>
        <w:r w:rsidR="00E46832" w:rsidRPr="00066471">
          <w:rPr>
            <w:rStyle w:val="Hipervnculo"/>
            <w:rFonts w:cstheme="minorHAnsi"/>
            <w:noProof/>
            <w:lang w:val="es-CR"/>
          </w:rPr>
          <w:t>RESULTADO DE LA EJECUCIÓN -SUPERÁVIT O DÉFICIT- (4.5.6 b. ii)</w:t>
        </w:r>
        <w:r w:rsidR="00E46832">
          <w:rPr>
            <w:noProof/>
            <w:webHidden/>
          </w:rPr>
          <w:tab/>
        </w:r>
        <w:r w:rsidR="00E46832">
          <w:rPr>
            <w:noProof/>
            <w:webHidden/>
          </w:rPr>
          <w:fldChar w:fldCharType="begin"/>
        </w:r>
        <w:r w:rsidR="00E46832">
          <w:rPr>
            <w:noProof/>
            <w:webHidden/>
          </w:rPr>
          <w:instrText xml:space="preserve"> PAGEREF _Toc519073092 \h </w:instrText>
        </w:r>
        <w:r w:rsidR="00E46832">
          <w:rPr>
            <w:noProof/>
            <w:webHidden/>
          </w:rPr>
        </w:r>
        <w:r w:rsidR="00E46832">
          <w:rPr>
            <w:noProof/>
            <w:webHidden/>
          </w:rPr>
          <w:fldChar w:fldCharType="separate"/>
        </w:r>
        <w:r w:rsidR="00E46832">
          <w:rPr>
            <w:noProof/>
            <w:webHidden/>
          </w:rPr>
          <w:t>6</w:t>
        </w:r>
        <w:r w:rsidR="00E46832">
          <w:rPr>
            <w:noProof/>
            <w:webHidden/>
          </w:rPr>
          <w:fldChar w:fldCharType="end"/>
        </w:r>
      </w:hyperlink>
    </w:p>
    <w:p w:rsidR="00E46832" w:rsidRDefault="000C5BF1">
      <w:pPr>
        <w:pStyle w:val="TDC1"/>
        <w:rPr>
          <w:rFonts w:asciiTheme="minorHAnsi" w:eastAsiaTheme="minorEastAsia" w:hAnsiTheme="minorHAnsi" w:cstheme="minorBidi"/>
          <w:b w:val="0"/>
          <w:bCs w:val="0"/>
          <w:caps w:val="0"/>
          <w:noProof/>
          <w:sz w:val="22"/>
          <w:szCs w:val="22"/>
          <w:lang w:val="es-CR" w:eastAsia="es-CR"/>
        </w:rPr>
      </w:pPr>
      <w:hyperlink w:anchor="_Toc519073093" w:history="1">
        <w:r w:rsidR="00E46832" w:rsidRPr="00066471">
          <w:rPr>
            <w:rStyle w:val="Hipervnculo"/>
            <w:rFonts w:cstheme="minorHAnsi"/>
            <w:noProof/>
            <w:lang w:val="es-CR"/>
          </w:rPr>
          <w:t>3.</w:t>
        </w:r>
        <w:r w:rsidR="00E46832">
          <w:rPr>
            <w:rFonts w:asciiTheme="minorHAnsi" w:eastAsiaTheme="minorEastAsia" w:hAnsiTheme="minorHAnsi" w:cstheme="minorBidi"/>
            <w:b w:val="0"/>
            <w:bCs w:val="0"/>
            <w:caps w:val="0"/>
            <w:noProof/>
            <w:sz w:val="22"/>
            <w:szCs w:val="22"/>
            <w:lang w:val="es-CR" w:eastAsia="es-CR"/>
          </w:rPr>
          <w:tab/>
        </w:r>
        <w:r w:rsidR="00E46832" w:rsidRPr="00066471">
          <w:rPr>
            <w:rStyle w:val="Hipervnculo"/>
            <w:rFonts w:cstheme="minorHAnsi"/>
            <w:noProof/>
            <w:lang w:val="es-CR"/>
          </w:rPr>
          <w:t>ANÁLISIS DE DESVIACIONES DE MAYOR RELEVANCIA (4.5.6 b. iii)</w:t>
        </w:r>
        <w:r w:rsidR="00E46832">
          <w:rPr>
            <w:noProof/>
            <w:webHidden/>
          </w:rPr>
          <w:tab/>
        </w:r>
        <w:r w:rsidR="00E46832">
          <w:rPr>
            <w:noProof/>
            <w:webHidden/>
          </w:rPr>
          <w:fldChar w:fldCharType="begin"/>
        </w:r>
        <w:r w:rsidR="00E46832">
          <w:rPr>
            <w:noProof/>
            <w:webHidden/>
          </w:rPr>
          <w:instrText xml:space="preserve"> PAGEREF _Toc519073093 \h </w:instrText>
        </w:r>
        <w:r w:rsidR="00E46832">
          <w:rPr>
            <w:noProof/>
            <w:webHidden/>
          </w:rPr>
        </w:r>
        <w:r w:rsidR="00E46832">
          <w:rPr>
            <w:noProof/>
            <w:webHidden/>
          </w:rPr>
          <w:fldChar w:fldCharType="separate"/>
        </w:r>
        <w:r w:rsidR="00E46832">
          <w:rPr>
            <w:noProof/>
            <w:webHidden/>
          </w:rPr>
          <w:t>7</w:t>
        </w:r>
        <w:r w:rsidR="00E46832">
          <w:rPr>
            <w:noProof/>
            <w:webHidden/>
          </w:rPr>
          <w:fldChar w:fldCharType="end"/>
        </w:r>
      </w:hyperlink>
    </w:p>
    <w:p w:rsidR="00E46832" w:rsidRDefault="000C5BF1">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9073094" w:history="1">
        <w:r w:rsidR="00E46832" w:rsidRPr="00066471">
          <w:rPr>
            <w:rStyle w:val="Hipervnculo"/>
            <w:noProof/>
          </w:rPr>
          <w:t>3.1 Centro de Costo y el Gasto Asociado</w:t>
        </w:r>
        <w:r w:rsidR="00E46832">
          <w:rPr>
            <w:noProof/>
            <w:webHidden/>
          </w:rPr>
          <w:tab/>
        </w:r>
        <w:r w:rsidR="00E46832">
          <w:rPr>
            <w:noProof/>
            <w:webHidden/>
          </w:rPr>
          <w:fldChar w:fldCharType="begin"/>
        </w:r>
        <w:r w:rsidR="00E46832">
          <w:rPr>
            <w:noProof/>
            <w:webHidden/>
          </w:rPr>
          <w:instrText xml:space="preserve"> PAGEREF _Toc519073094 \h </w:instrText>
        </w:r>
        <w:r w:rsidR="00E46832">
          <w:rPr>
            <w:noProof/>
            <w:webHidden/>
          </w:rPr>
        </w:r>
        <w:r w:rsidR="00E46832">
          <w:rPr>
            <w:noProof/>
            <w:webHidden/>
          </w:rPr>
          <w:fldChar w:fldCharType="separate"/>
        </w:r>
        <w:r w:rsidR="00E46832">
          <w:rPr>
            <w:noProof/>
            <w:webHidden/>
          </w:rPr>
          <w:t>7</w:t>
        </w:r>
        <w:r w:rsidR="00E46832">
          <w:rPr>
            <w:noProof/>
            <w:webHidden/>
          </w:rPr>
          <w:fldChar w:fldCharType="end"/>
        </w:r>
      </w:hyperlink>
    </w:p>
    <w:p w:rsidR="00E46832" w:rsidRDefault="000C5BF1">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9073095" w:history="1">
        <w:r w:rsidR="00E46832" w:rsidRPr="00066471">
          <w:rPr>
            <w:rStyle w:val="Hipervnculo"/>
            <w:noProof/>
          </w:rPr>
          <w:t>3.2 Indicador de desviación presupuestaria</w:t>
        </w:r>
        <w:r w:rsidR="00E46832">
          <w:rPr>
            <w:noProof/>
            <w:webHidden/>
          </w:rPr>
          <w:tab/>
        </w:r>
        <w:r w:rsidR="00E46832">
          <w:rPr>
            <w:noProof/>
            <w:webHidden/>
          </w:rPr>
          <w:fldChar w:fldCharType="begin"/>
        </w:r>
        <w:r w:rsidR="00E46832">
          <w:rPr>
            <w:noProof/>
            <w:webHidden/>
          </w:rPr>
          <w:instrText xml:space="preserve"> PAGEREF _Toc519073095 \h </w:instrText>
        </w:r>
        <w:r w:rsidR="00E46832">
          <w:rPr>
            <w:noProof/>
            <w:webHidden/>
          </w:rPr>
        </w:r>
        <w:r w:rsidR="00E46832">
          <w:rPr>
            <w:noProof/>
            <w:webHidden/>
          </w:rPr>
          <w:fldChar w:fldCharType="separate"/>
        </w:r>
        <w:r w:rsidR="00E46832">
          <w:rPr>
            <w:noProof/>
            <w:webHidden/>
          </w:rPr>
          <w:t>9</w:t>
        </w:r>
        <w:r w:rsidR="00E46832">
          <w:rPr>
            <w:noProof/>
            <w:webHidden/>
          </w:rPr>
          <w:fldChar w:fldCharType="end"/>
        </w:r>
      </w:hyperlink>
    </w:p>
    <w:p w:rsidR="00E46832" w:rsidRDefault="000C5BF1">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9073096" w:history="1">
        <w:r w:rsidR="00E46832" w:rsidRPr="00066471">
          <w:rPr>
            <w:rStyle w:val="Hipervnculo"/>
            <w:noProof/>
          </w:rPr>
          <w:t>3.3 Indicadores operativos</w:t>
        </w:r>
        <w:r w:rsidR="00E46832">
          <w:rPr>
            <w:noProof/>
            <w:webHidden/>
          </w:rPr>
          <w:tab/>
        </w:r>
        <w:r w:rsidR="00E46832">
          <w:rPr>
            <w:noProof/>
            <w:webHidden/>
          </w:rPr>
          <w:fldChar w:fldCharType="begin"/>
        </w:r>
        <w:r w:rsidR="00E46832">
          <w:rPr>
            <w:noProof/>
            <w:webHidden/>
          </w:rPr>
          <w:instrText xml:space="preserve"> PAGEREF _Toc519073096 \h </w:instrText>
        </w:r>
        <w:r w:rsidR="00E46832">
          <w:rPr>
            <w:noProof/>
            <w:webHidden/>
          </w:rPr>
        </w:r>
        <w:r w:rsidR="00E46832">
          <w:rPr>
            <w:noProof/>
            <w:webHidden/>
          </w:rPr>
          <w:fldChar w:fldCharType="separate"/>
        </w:r>
        <w:r w:rsidR="00E46832">
          <w:rPr>
            <w:noProof/>
            <w:webHidden/>
          </w:rPr>
          <w:t>10</w:t>
        </w:r>
        <w:r w:rsidR="00E46832">
          <w:rPr>
            <w:noProof/>
            <w:webHidden/>
          </w:rPr>
          <w:fldChar w:fldCharType="end"/>
        </w:r>
      </w:hyperlink>
    </w:p>
    <w:p w:rsidR="00E46832" w:rsidRDefault="000C5BF1">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9073097" w:history="1">
        <w:r w:rsidR="00E46832" w:rsidRPr="00066471">
          <w:rPr>
            <w:rStyle w:val="Hipervnculo"/>
            <w:noProof/>
          </w:rPr>
          <w:t>3.4 Proyectos estratégicos</w:t>
        </w:r>
        <w:r w:rsidR="00E46832">
          <w:rPr>
            <w:noProof/>
            <w:webHidden/>
          </w:rPr>
          <w:tab/>
        </w:r>
        <w:r w:rsidR="00E46832">
          <w:rPr>
            <w:noProof/>
            <w:webHidden/>
          </w:rPr>
          <w:fldChar w:fldCharType="begin"/>
        </w:r>
        <w:r w:rsidR="00E46832">
          <w:rPr>
            <w:noProof/>
            <w:webHidden/>
          </w:rPr>
          <w:instrText xml:space="preserve"> PAGEREF _Toc519073097 \h </w:instrText>
        </w:r>
        <w:r w:rsidR="00E46832">
          <w:rPr>
            <w:noProof/>
            <w:webHidden/>
          </w:rPr>
        </w:r>
        <w:r w:rsidR="00E46832">
          <w:rPr>
            <w:noProof/>
            <w:webHidden/>
          </w:rPr>
          <w:fldChar w:fldCharType="separate"/>
        </w:r>
        <w:r w:rsidR="00E46832">
          <w:rPr>
            <w:noProof/>
            <w:webHidden/>
          </w:rPr>
          <w:t>12</w:t>
        </w:r>
        <w:r w:rsidR="00E46832">
          <w:rPr>
            <w:noProof/>
            <w:webHidden/>
          </w:rPr>
          <w:fldChar w:fldCharType="end"/>
        </w:r>
      </w:hyperlink>
    </w:p>
    <w:p w:rsidR="00E46832" w:rsidRDefault="000C5BF1">
      <w:pPr>
        <w:pStyle w:val="TDC1"/>
        <w:rPr>
          <w:rFonts w:asciiTheme="minorHAnsi" w:eastAsiaTheme="minorEastAsia" w:hAnsiTheme="minorHAnsi" w:cstheme="minorBidi"/>
          <w:b w:val="0"/>
          <w:bCs w:val="0"/>
          <w:caps w:val="0"/>
          <w:noProof/>
          <w:sz w:val="22"/>
          <w:szCs w:val="22"/>
          <w:lang w:val="es-CR" w:eastAsia="es-CR"/>
        </w:rPr>
      </w:pPr>
      <w:hyperlink w:anchor="_Toc519073098" w:history="1">
        <w:r w:rsidR="00E46832" w:rsidRPr="00066471">
          <w:rPr>
            <w:rStyle w:val="Hipervnculo"/>
            <w:rFonts w:cstheme="minorHAnsi"/>
            <w:noProof/>
            <w:lang w:val="es-CR"/>
          </w:rPr>
          <w:t>4.</w:t>
        </w:r>
        <w:r w:rsidR="00E46832">
          <w:rPr>
            <w:rFonts w:asciiTheme="minorHAnsi" w:eastAsiaTheme="minorEastAsia" w:hAnsiTheme="minorHAnsi" w:cstheme="minorBidi"/>
            <w:b w:val="0"/>
            <w:bCs w:val="0"/>
            <w:caps w:val="0"/>
            <w:noProof/>
            <w:sz w:val="22"/>
            <w:szCs w:val="22"/>
            <w:lang w:val="es-CR" w:eastAsia="es-CR"/>
          </w:rPr>
          <w:tab/>
        </w:r>
        <w:r w:rsidR="00E46832" w:rsidRPr="00066471">
          <w:rPr>
            <w:rStyle w:val="Hipervnculo"/>
            <w:rFonts w:cstheme="minorHAnsi"/>
            <w:noProof/>
            <w:lang w:val="es-CR"/>
          </w:rPr>
          <w:t>DESEMPEÑO INSTITUCIONAL Y PROGRAMÁTICO (4.5.6 b. iv)</w:t>
        </w:r>
        <w:r w:rsidR="00E46832">
          <w:rPr>
            <w:noProof/>
            <w:webHidden/>
          </w:rPr>
          <w:tab/>
        </w:r>
        <w:r w:rsidR="00E46832">
          <w:rPr>
            <w:noProof/>
            <w:webHidden/>
          </w:rPr>
          <w:fldChar w:fldCharType="begin"/>
        </w:r>
        <w:r w:rsidR="00E46832">
          <w:rPr>
            <w:noProof/>
            <w:webHidden/>
          </w:rPr>
          <w:instrText xml:space="preserve"> PAGEREF _Toc519073098 \h </w:instrText>
        </w:r>
        <w:r w:rsidR="00E46832">
          <w:rPr>
            <w:noProof/>
            <w:webHidden/>
          </w:rPr>
        </w:r>
        <w:r w:rsidR="00E46832">
          <w:rPr>
            <w:noProof/>
            <w:webHidden/>
          </w:rPr>
          <w:fldChar w:fldCharType="separate"/>
        </w:r>
        <w:r w:rsidR="00E46832">
          <w:rPr>
            <w:noProof/>
            <w:webHidden/>
          </w:rPr>
          <w:t>13</w:t>
        </w:r>
        <w:r w:rsidR="00E46832">
          <w:rPr>
            <w:noProof/>
            <w:webHidden/>
          </w:rPr>
          <w:fldChar w:fldCharType="end"/>
        </w:r>
      </w:hyperlink>
    </w:p>
    <w:p w:rsidR="00E46832" w:rsidRDefault="000C5BF1">
      <w:pPr>
        <w:pStyle w:val="TDC1"/>
        <w:rPr>
          <w:rFonts w:asciiTheme="minorHAnsi" w:eastAsiaTheme="minorEastAsia" w:hAnsiTheme="minorHAnsi" w:cstheme="minorBidi"/>
          <w:b w:val="0"/>
          <w:bCs w:val="0"/>
          <w:caps w:val="0"/>
          <w:noProof/>
          <w:sz w:val="22"/>
          <w:szCs w:val="22"/>
          <w:lang w:val="es-CR" w:eastAsia="es-CR"/>
        </w:rPr>
      </w:pPr>
      <w:hyperlink w:anchor="_Toc519073099" w:history="1">
        <w:r w:rsidR="00E46832" w:rsidRPr="00066471">
          <w:rPr>
            <w:rStyle w:val="Hipervnculo"/>
            <w:rFonts w:cstheme="minorHAnsi"/>
            <w:noProof/>
            <w:lang w:val="es-CR"/>
          </w:rPr>
          <w:t>5.</w:t>
        </w:r>
        <w:r w:rsidR="00E46832">
          <w:rPr>
            <w:rFonts w:asciiTheme="minorHAnsi" w:eastAsiaTheme="minorEastAsia" w:hAnsiTheme="minorHAnsi" w:cstheme="minorBidi"/>
            <w:b w:val="0"/>
            <w:bCs w:val="0"/>
            <w:caps w:val="0"/>
            <w:noProof/>
            <w:sz w:val="22"/>
            <w:szCs w:val="22"/>
            <w:lang w:val="es-CR" w:eastAsia="es-CR"/>
          </w:rPr>
          <w:tab/>
        </w:r>
        <w:r w:rsidR="00E46832" w:rsidRPr="00066471">
          <w:rPr>
            <w:rStyle w:val="Hipervnculo"/>
            <w:rFonts w:cstheme="minorHAnsi"/>
            <w:noProof/>
            <w:lang w:val="es-CR"/>
          </w:rPr>
          <w:t>SITUACIÓN ECONÓMICA-FINANCIERA GLOBAL (4.5.6 b. v)</w:t>
        </w:r>
        <w:r w:rsidR="00E46832">
          <w:rPr>
            <w:noProof/>
            <w:webHidden/>
          </w:rPr>
          <w:tab/>
        </w:r>
        <w:r w:rsidR="00E46832">
          <w:rPr>
            <w:noProof/>
            <w:webHidden/>
          </w:rPr>
          <w:fldChar w:fldCharType="begin"/>
        </w:r>
        <w:r w:rsidR="00E46832">
          <w:rPr>
            <w:noProof/>
            <w:webHidden/>
          </w:rPr>
          <w:instrText xml:space="preserve"> PAGEREF _Toc519073099 \h </w:instrText>
        </w:r>
        <w:r w:rsidR="00E46832">
          <w:rPr>
            <w:noProof/>
            <w:webHidden/>
          </w:rPr>
        </w:r>
        <w:r w:rsidR="00E46832">
          <w:rPr>
            <w:noProof/>
            <w:webHidden/>
          </w:rPr>
          <w:fldChar w:fldCharType="separate"/>
        </w:r>
        <w:r w:rsidR="00E46832">
          <w:rPr>
            <w:noProof/>
            <w:webHidden/>
          </w:rPr>
          <w:t>15</w:t>
        </w:r>
        <w:r w:rsidR="00E46832">
          <w:rPr>
            <w:noProof/>
            <w:webHidden/>
          </w:rPr>
          <w:fldChar w:fldCharType="end"/>
        </w:r>
      </w:hyperlink>
    </w:p>
    <w:p w:rsidR="00E46832" w:rsidRDefault="000C5BF1">
      <w:pPr>
        <w:pStyle w:val="TDC1"/>
        <w:rPr>
          <w:rFonts w:asciiTheme="minorHAnsi" w:eastAsiaTheme="minorEastAsia" w:hAnsiTheme="minorHAnsi" w:cstheme="minorBidi"/>
          <w:b w:val="0"/>
          <w:bCs w:val="0"/>
          <w:caps w:val="0"/>
          <w:noProof/>
          <w:sz w:val="22"/>
          <w:szCs w:val="22"/>
          <w:lang w:val="es-CR" w:eastAsia="es-CR"/>
        </w:rPr>
      </w:pPr>
      <w:hyperlink w:anchor="_Toc519073100" w:history="1">
        <w:r w:rsidR="00E46832" w:rsidRPr="00066471">
          <w:rPr>
            <w:rStyle w:val="Hipervnculo"/>
            <w:rFonts w:cstheme="minorHAnsi"/>
            <w:noProof/>
            <w:lang w:val="es-CR"/>
          </w:rPr>
          <w:t>6.</w:t>
        </w:r>
        <w:r w:rsidR="00E46832">
          <w:rPr>
            <w:rFonts w:asciiTheme="minorHAnsi" w:eastAsiaTheme="minorEastAsia" w:hAnsiTheme="minorHAnsi" w:cstheme="minorBidi"/>
            <w:b w:val="0"/>
            <w:bCs w:val="0"/>
            <w:caps w:val="0"/>
            <w:noProof/>
            <w:sz w:val="22"/>
            <w:szCs w:val="22"/>
            <w:lang w:val="es-CR" w:eastAsia="es-CR"/>
          </w:rPr>
          <w:tab/>
        </w:r>
        <w:r w:rsidR="00E46832" w:rsidRPr="00066471">
          <w:rPr>
            <w:rStyle w:val="Hipervnculo"/>
            <w:rFonts w:cstheme="minorHAnsi"/>
            <w:noProof/>
            <w:lang w:val="es-CR"/>
          </w:rPr>
          <w:t>MEDIDAS CORRECTIVAS Y ACCIONES PARA LA MEJORA CONTÍNUA (4.5.6 b. vi)</w:t>
        </w:r>
        <w:r w:rsidR="00E46832">
          <w:rPr>
            <w:noProof/>
            <w:webHidden/>
          </w:rPr>
          <w:tab/>
        </w:r>
        <w:r w:rsidR="00E46832">
          <w:rPr>
            <w:noProof/>
            <w:webHidden/>
          </w:rPr>
          <w:fldChar w:fldCharType="begin"/>
        </w:r>
        <w:r w:rsidR="00E46832">
          <w:rPr>
            <w:noProof/>
            <w:webHidden/>
          </w:rPr>
          <w:instrText xml:space="preserve"> PAGEREF _Toc519073100 \h </w:instrText>
        </w:r>
        <w:r w:rsidR="00E46832">
          <w:rPr>
            <w:noProof/>
            <w:webHidden/>
          </w:rPr>
        </w:r>
        <w:r w:rsidR="00E46832">
          <w:rPr>
            <w:noProof/>
            <w:webHidden/>
          </w:rPr>
          <w:fldChar w:fldCharType="separate"/>
        </w:r>
        <w:r w:rsidR="00E46832">
          <w:rPr>
            <w:noProof/>
            <w:webHidden/>
          </w:rPr>
          <w:t>15</w:t>
        </w:r>
        <w:r w:rsidR="00E46832">
          <w:rPr>
            <w:noProof/>
            <w:webHidden/>
          </w:rPr>
          <w:fldChar w:fldCharType="end"/>
        </w:r>
      </w:hyperlink>
    </w:p>
    <w:p w:rsidR="00E46832" w:rsidRDefault="000C5BF1">
      <w:pPr>
        <w:pStyle w:val="TDC1"/>
        <w:rPr>
          <w:rFonts w:asciiTheme="minorHAnsi" w:eastAsiaTheme="minorEastAsia" w:hAnsiTheme="minorHAnsi" w:cstheme="minorBidi"/>
          <w:b w:val="0"/>
          <w:bCs w:val="0"/>
          <w:caps w:val="0"/>
          <w:noProof/>
          <w:sz w:val="22"/>
          <w:szCs w:val="22"/>
          <w:lang w:val="es-CR" w:eastAsia="es-CR"/>
        </w:rPr>
      </w:pPr>
      <w:hyperlink w:anchor="_Toc519073101" w:history="1">
        <w:r w:rsidR="00E46832" w:rsidRPr="00066471">
          <w:rPr>
            <w:rStyle w:val="Hipervnculo"/>
            <w:rFonts w:cstheme="minorHAnsi"/>
            <w:noProof/>
            <w:lang w:val="es-CR"/>
          </w:rPr>
          <w:t>7.</w:t>
        </w:r>
        <w:r w:rsidR="00E46832">
          <w:rPr>
            <w:rFonts w:asciiTheme="minorHAnsi" w:eastAsiaTheme="minorEastAsia" w:hAnsiTheme="minorHAnsi" w:cstheme="minorBidi"/>
            <w:b w:val="0"/>
            <w:bCs w:val="0"/>
            <w:caps w:val="0"/>
            <w:noProof/>
            <w:sz w:val="22"/>
            <w:szCs w:val="22"/>
            <w:lang w:val="es-CR" w:eastAsia="es-CR"/>
          </w:rPr>
          <w:tab/>
        </w:r>
        <w:r w:rsidR="00E46832" w:rsidRPr="00066471">
          <w:rPr>
            <w:rStyle w:val="Hipervnculo"/>
            <w:rFonts w:cstheme="minorHAnsi"/>
            <w:noProof/>
            <w:lang w:val="es-CR"/>
          </w:rPr>
          <w:t>RESULTADOS DE POI POR PROGRAMA</w:t>
        </w:r>
        <w:r w:rsidR="00E46832">
          <w:rPr>
            <w:noProof/>
            <w:webHidden/>
          </w:rPr>
          <w:tab/>
        </w:r>
        <w:r w:rsidR="00E46832">
          <w:rPr>
            <w:noProof/>
            <w:webHidden/>
          </w:rPr>
          <w:fldChar w:fldCharType="begin"/>
        </w:r>
        <w:r w:rsidR="00E46832">
          <w:rPr>
            <w:noProof/>
            <w:webHidden/>
          </w:rPr>
          <w:instrText xml:space="preserve"> PAGEREF _Toc519073101 \h </w:instrText>
        </w:r>
        <w:r w:rsidR="00E46832">
          <w:rPr>
            <w:noProof/>
            <w:webHidden/>
          </w:rPr>
        </w:r>
        <w:r w:rsidR="00E46832">
          <w:rPr>
            <w:noProof/>
            <w:webHidden/>
          </w:rPr>
          <w:fldChar w:fldCharType="separate"/>
        </w:r>
        <w:r w:rsidR="00E46832">
          <w:rPr>
            <w:noProof/>
            <w:webHidden/>
          </w:rPr>
          <w:t>17</w:t>
        </w:r>
        <w:r w:rsidR="00E46832">
          <w:rPr>
            <w:noProof/>
            <w:webHidden/>
          </w:rPr>
          <w:fldChar w:fldCharType="end"/>
        </w:r>
      </w:hyperlink>
    </w:p>
    <w:p w:rsidR="00E46832" w:rsidRDefault="000C5BF1">
      <w:pPr>
        <w:pStyle w:val="TDC3"/>
        <w:rPr>
          <w:rFonts w:asciiTheme="minorHAnsi" w:eastAsiaTheme="minorEastAsia" w:hAnsiTheme="minorHAnsi" w:cstheme="minorBidi"/>
          <w:i w:val="0"/>
          <w:iCs w:val="0"/>
          <w:sz w:val="22"/>
          <w:szCs w:val="22"/>
          <w:lang w:val="es-CR" w:eastAsia="es-CR"/>
        </w:rPr>
      </w:pPr>
      <w:hyperlink w:anchor="_Toc519073102" w:history="1">
        <w:r w:rsidR="00E46832" w:rsidRPr="00066471">
          <w:rPr>
            <w:rStyle w:val="Hipervnculo"/>
            <w:lang w:val="es-CR"/>
          </w:rPr>
          <w:t>Cuadro 8: POI Despacho</w:t>
        </w:r>
        <w:r w:rsidR="00E46832">
          <w:rPr>
            <w:webHidden/>
          </w:rPr>
          <w:tab/>
        </w:r>
        <w:r w:rsidR="00E46832">
          <w:rPr>
            <w:webHidden/>
          </w:rPr>
          <w:fldChar w:fldCharType="begin"/>
        </w:r>
        <w:r w:rsidR="00E46832">
          <w:rPr>
            <w:webHidden/>
          </w:rPr>
          <w:instrText xml:space="preserve"> PAGEREF _Toc519073102 \h </w:instrText>
        </w:r>
        <w:r w:rsidR="00E46832">
          <w:rPr>
            <w:webHidden/>
          </w:rPr>
        </w:r>
        <w:r w:rsidR="00E46832">
          <w:rPr>
            <w:webHidden/>
          </w:rPr>
          <w:fldChar w:fldCharType="separate"/>
        </w:r>
        <w:r w:rsidR="00E46832">
          <w:rPr>
            <w:webHidden/>
          </w:rPr>
          <w:t>18</w:t>
        </w:r>
        <w:r w:rsidR="00E46832">
          <w:rPr>
            <w:webHidden/>
          </w:rPr>
          <w:fldChar w:fldCharType="end"/>
        </w:r>
      </w:hyperlink>
    </w:p>
    <w:p w:rsidR="00E46832" w:rsidRDefault="000C5BF1">
      <w:pPr>
        <w:pStyle w:val="TDC3"/>
        <w:rPr>
          <w:rFonts w:asciiTheme="minorHAnsi" w:eastAsiaTheme="minorEastAsia" w:hAnsiTheme="minorHAnsi" w:cstheme="minorBidi"/>
          <w:i w:val="0"/>
          <w:iCs w:val="0"/>
          <w:sz w:val="22"/>
          <w:szCs w:val="22"/>
          <w:lang w:val="es-CR" w:eastAsia="es-CR"/>
        </w:rPr>
      </w:pPr>
      <w:hyperlink w:anchor="_Toc519073103" w:history="1">
        <w:r w:rsidR="00E46832" w:rsidRPr="00066471">
          <w:rPr>
            <w:rStyle w:val="Hipervnculo"/>
            <w:lang w:val="es-CR"/>
          </w:rPr>
          <w:t>Cuadro 9: POI Comunicación y servicios</w:t>
        </w:r>
        <w:r w:rsidR="00E46832">
          <w:rPr>
            <w:webHidden/>
          </w:rPr>
          <w:tab/>
        </w:r>
        <w:r w:rsidR="00E46832">
          <w:rPr>
            <w:webHidden/>
          </w:rPr>
          <w:fldChar w:fldCharType="begin"/>
        </w:r>
        <w:r w:rsidR="00E46832">
          <w:rPr>
            <w:webHidden/>
          </w:rPr>
          <w:instrText xml:space="preserve"> PAGEREF _Toc519073103 \h </w:instrText>
        </w:r>
        <w:r w:rsidR="00E46832">
          <w:rPr>
            <w:webHidden/>
          </w:rPr>
        </w:r>
        <w:r w:rsidR="00E46832">
          <w:rPr>
            <w:webHidden/>
          </w:rPr>
          <w:fldChar w:fldCharType="separate"/>
        </w:r>
        <w:r w:rsidR="00E46832">
          <w:rPr>
            <w:webHidden/>
          </w:rPr>
          <w:t>19</w:t>
        </w:r>
        <w:r w:rsidR="00E46832">
          <w:rPr>
            <w:webHidden/>
          </w:rPr>
          <w:fldChar w:fldCharType="end"/>
        </w:r>
      </w:hyperlink>
    </w:p>
    <w:p w:rsidR="00E46832" w:rsidRDefault="000C5BF1">
      <w:pPr>
        <w:pStyle w:val="TDC3"/>
        <w:rPr>
          <w:rFonts w:asciiTheme="minorHAnsi" w:eastAsiaTheme="minorEastAsia" w:hAnsiTheme="minorHAnsi" w:cstheme="minorBidi"/>
          <w:i w:val="0"/>
          <w:iCs w:val="0"/>
          <w:sz w:val="22"/>
          <w:szCs w:val="22"/>
          <w:lang w:val="es-CR" w:eastAsia="es-CR"/>
        </w:rPr>
      </w:pPr>
      <w:hyperlink w:anchor="_Toc519073104" w:history="1">
        <w:r w:rsidR="00E46832" w:rsidRPr="00066471">
          <w:rPr>
            <w:rStyle w:val="Hipervnculo"/>
            <w:lang w:val="es-CR"/>
          </w:rPr>
          <w:t>Cuadro 10: POI División de Planificación y Normativa</w:t>
        </w:r>
        <w:r w:rsidR="00E46832">
          <w:rPr>
            <w:webHidden/>
          </w:rPr>
          <w:tab/>
        </w:r>
        <w:r w:rsidR="00E46832">
          <w:rPr>
            <w:webHidden/>
          </w:rPr>
          <w:fldChar w:fldCharType="begin"/>
        </w:r>
        <w:r w:rsidR="00E46832">
          <w:rPr>
            <w:webHidden/>
          </w:rPr>
          <w:instrText xml:space="preserve"> PAGEREF _Toc519073104 \h </w:instrText>
        </w:r>
        <w:r w:rsidR="00E46832">
          <w:rPr>
            <w:webHidden/>
          </w:rPr>
        </w:r>
        <w:r w:rsidR="00E46832">
          <w:rPr>
            <w:webHidden/>
          </w:rPr>
          <w:fldChar w:fldCharType="separate"/>
        </w:r>
        <w:r w:rsidR="00E46832">
          <w:rPr>
            <w:webHidden/>
          </w:rPr>
          <w:t>20</w:t>
        </w:r>
        <w:r w:rsidR="00E46832">
          <w:rPr>
            <w:webHidden/>
          </w:rPr>
          <w:fldChar w:fldCharType="end"/>
        </w:r>
      </w:hyperlink>
    </w:p>
    <w:p w:rsidR="00E46832" w:rsidRDefault="000C5BF1">
      <w:pPr>
        <w:pStyle w:val="TDC3"/>
        <w:rPr>
          <w:rFonts w:asciiTheme="minorHAnsi" w:eastAsiaTheme="minorEastAsia" w:hAnsiTheme="minorHAnsi" w:cstheme="minorBidi"/>
          <w:i w:val="0"/>
          <w:iCs w:val="0"/>
          <w:sz w:val="22"/>
          <w:szCs w:val="22"/>
          <w:lang w:val="es-CR" w:eastAsia="es-CR"/>
        </w:rPr>
      </w:pPr>
      <w:hyperlink w:anchor="_Toc519073105" w:history="1">
        <w:r w:rsidR="00E46832" w:rsidRPr="00066471">
          <w:rPr>
            <w:rStyle w:val="Hipervnculo"/>
            <w:lang w:val="es-CR"/>
          </w:rPr>
          <w:t>Cuadro 11: División Jurídica</w:t>
        </w:r>
        <w:r w:rsidR="00E46832">
          <w:rPr>
            <w:webHidden/>
          </w:rPr>
          <w:tab/>
        </w:r>
        <w:r w:rsidR="00E46832">
          <w:rPr>
            <w:webHidden/>
          </w:rPr>
          <w:fldChar w:fldCharType="begin"/>
        </w:r>
        <w:r w:rsidR="00E46832">
          <w:rPr>
            <w:webHidden/>
          </w:rPr>
          <w:instrText xml:space="preserve"> PAGEREF _Toc519073105 \h </w:instrText>
        </w:r>
        <w:r w:rsidR="00E46832">
          <w:rPr>
            <w:webHidden/>
          </w:rPr>
        </w:r>
        <w:r w:rsidR="00E46832">
          <w:rPr>
            <w:webHidden/>
          </w:rPr>
          <w:fldChar w:fldCharType="separate"/>
        </w:r>
        <w:r w:rsidR="00E46832">
          <w:rPr>
            <w:webHidden/>
          </w:rPr>
          <w:t>21</w:t>
        </w:r>
        <w:r w:rsidR="00E46832">
          <w:rPr>
            <w:webHidden/>
          </w:rPr>
          <w:fldChar w:fldCharType="end"/>
        </w:r>
      </w:hyperlink>
    </w:p>
    <w:p w:rsidR="00E46832" w:rsidRDefault="000C5BF1">
      <w:pPr>
        <w:pStyle w:val="TDC3"/>
        <w:rPr>
          <w:rFonts w:asciiTheme="minorHAnsi" w:eastAsiaTheme="minorEastAsia" w:hAnsiTheme="minorHAnsi" w:cstheme="minorBidi"/>
          <w:i w:val="0"/>
          <w:iCs w:val="0"/>
          <w:sz w:val="22"/>
          <w:szCs w:val="22"/>
          <w:lang w:val="es-CR" w:eastAsia="es-CR"/>
        </w:rPr>
      </w:pPr>
      <w:hyperlink w:anchor="_Toc519073106" w:history="1">
        <w:r w:rsidR="00E46832" w:rsidRPr="00066471">
          <w:rPr>
            <w:rStyle w:val="Hipervnculo"/>
            <w:lang w:val="es-CR"/>
          </w:rPr>
          <w:t>Cuadro 11: POI REGÍMENES DE CAPITALIZACIÓN INDIVIDUAL</w:t>
        </w:r>
        <w:r w:rsidR="00E46832">
          <w:rPr>
            <w:webHidden/>
          </w:rPr>
          <w:tab/>
        </w:r>
        <w:r w:rsidR="00E46832">
          <w:rPr>
            <w:webHidden/>
          </w:rPr>
          <w:fldChar w:fldCharType="begin"/>
        </w:r>
        <w:r w:rsidR="00E46832">
          <w:rPr>
            <w:webHidden/>
          </w:rPr>
          <w:instrText xml:space="preserve"> PAGEREF _Toc519073106 \h </w:instrText>
        </w:r>
        <w:r w:rsidR="00E46832">
          <w:rPr>
            <w:webHidden/>
          </w:rPr>
        </w:r>
        <w:r w:rsidR="00E46832">
          <w:rPr>
            <w:webHidden/>
          </w:rPr>
          <w:fldChar w:fldCharType="separate"/>
        </w:r>
        <w:r w:rsidR="00E46832">
          <w:rPr>
            <w:webHidden/>
          </w:rPr>
          <w:t>22</w:t>
        </w:r>
        <w:r w:rsidR="00E46832">
          <w:rPr>
            <w:webHidden/>
          </w:rPr>
          <w:fldChar w:fldCharType="end"/>
        </w:r>
      </w:hyperlink>
    </w:p>
    <w:p w:rsidR="00E46832" w:rsidRDefault="000C5BF1">
      <w:pPr>
        <w:pStyle w:val="TDC3"/>
        <w:rPr>
          <w:rFonts w:asciiTheme="minorHAnsi" w:eastAsiaTheme="minorEastAsia" w:hAnsiTheme="minorHAnsi" w:cstheme="minorBidi"/>
          <w:i w:val="0"/>
          <w:iCs w:val="0"/>
          <w:sz w:val="22"/>
          <w:szCs w:val="22"/>
          <w:lang w:val="es-CR" w:eastAsia="es-CR"/>
        </w:rPr>
      </w:pPr>
      <w:hyperlink w:anchor="_Toc519073107" w:history="1">
        <w:r w:rsidR="00E46832" w:rsidRPr="00066471">
          <w:rPr>
            <w:rStyle w:val="Hipervnculo"/>
            <w:lang w:val="es-CR"/>
          </w:rPr>
          <w:t>Cuadro 12: POI REGÍMENES COLECTIVOS</w:t>
        </w:r>
        <w:r w:rsidR="00E46832">
          <w:rPr>
            <w:webHidden/>
          </w:rPr>
          <w:tab/>
        </w:r>
        <w:r w:rsidR="00E46832">
          <w:rPr>
            <w:webHidden/>
          </w:rPr>
          <w:fldChar w:fldCharType="begin"/>
        </w:r>
        <w:r w:rsidR="00E46832">
          <w:rPr>
            <w:webHidden/>
          </w:rPr>
          <w:instrText xml:space="preserve"> PAGEREF _Toc519073107 \h </w:instrText>
        </w:r>
        <w:r w:rsidR="00E46832">
          <w:rPr>
            <w:webHidden/>
          </w:rPr>
        </w:r>
        <w:r w:rsidR="00E46832">
          <w:rPr>
            <w:webHidden/>
          </w:rPr>
          <w:fldChar w:fldCharType="separate"/>
        </w:r>
        <w:r w:rsidR="00E46832">
          <w:rPr>
            <w:webHidden/>
          </w:rPr>
          <w:t>23</w:t>
        </w:r>
        <w:r w:rsidR="00E46832">
          <w:rPr>
            <w:webHidden/>
          </w:rPr>
          <w:fldChar w:fldCharType="end"/>
        </w:r>
      </w:hyperlink>
    </w:p>
    <w:p w:rsidR="00E46832" w:rsidRDefault="000C5BF1">
      <w:pPr>
        <w:pStyle w:val="TDC1"/>
        <w:rPr>
          <w:rFonts w:asciiTheme="minorHAnsi" w:eastAsiaTheme="minorEastAsia" w:hAnsiTheme="minorHAnsi" w:cstheme="minorBidi"/>
          <w:b w:val="0"/>
          <w:bCs w:val="0"/>
          <w:caps w:val="0"/>
          <w:noProof/>
          <w:sz w:val="22"/>
          <w:szCs w:val="22"/>
          <w:lang w:val="es-CR" w:eastAsia="es-CR"/>
        </w:rPr>
      </w:pPr>
      <w:hyperlink w:anchor="_Toc519073108" w:history="1">
        <w:r w:rsidR="00E46832" w:rsidRPr="00066471">
          <w:rPr>
            <w:rStyle w:val="Hipervnculo"/>
            <w:rFonts w:cstheme="minorHAnsi"/>
            <w:noProof/>
            <w:lang w:val="es-CR"/>
          </w:rPr>
          <w:t>8.</w:t>
        </w:r>
        <w:r w:rsidR="00E46832">
          <w:rPr>
            <w:rFonts w:asciiTheme="minorHAnsi" w:eastAsiaTheme="minorEastAsia" w:hAnsiTheme="minorHAnsi" w:cstheme="minorBidi"/>
            <w:b w:val="0"/>
            <w:bCs w:val="0"/>
            <w:caps w:val="0"/>
            <w:noProof/>
            <w:sz w:val="22"/>
            <w:szCs w:val="22"/>
            <w:lang w:val="es-CR" w:eastAsia="es-CR"/>
          </w:rPr>
          <w:tab/>
        </w:r>
        <w:r w:rsidR="00E46832" w:rsidRPr="00066471">
          <w:rPr>
            <w:rStyle w:val="Hipervnculo"/>
            <w:rFonts w:cstheme="minorHAnsi"/>
            <w:noProof/>
            <w:lang w:val="es-CR"/>
          </w:rPr>
          <w:t>ANEXO RESPALDO DE LOS RESULTADOS DE POI POR PROGRAMA</w:t>
        </w:r>
        <w:r w:rsidR="00E46832">
          <w:rPr>
            <w:noProof/>
            <w:webHidden/>
          </w:rPr>
          <w:tab/>
        </w:r>
        <w:r w:rsidR="00E46832">
          <w:rPr>
            <w:noProof/>
            <w:webHidden/>
          </w:rPr>
          <w:fldChar w:fldCharType="begin"/>
        </w:r>
        <w:r w:rsidR="00E46832">
          <w:rPr>
            <w:noProof/>
            <w:webHidden/>
          </w:rPr>
          <w:instrText xml:space="preserve"> PAGEREF _Toc519073108 \h </w:instrText>
        </w:r>
        <w:r w:rsidR="00E46832">
          <w:rPr>
            <w:noProof/>
            <w:webHidden/>
          </w:rPr>
        </w:r>
        <w:r w:rsidR="00E46832">
          <w:rPr>
            <w:noProof/>
            <w:webHidden/>
          </w:rPr>
          <w:fldChar w:fldCharType="separate"/>
        </w:r>
        <w:r w:rsidR="00E46832">
          <w:rPr>
            <w:noProof/>
            <w:webHidden/>
          </w:rPr>
          <w:t>24</w:t>
        </w:r>
        <w:r w:rsidR="00E46832">
          <w:rPr>
            <w:noProof/>
            <w:webHidden/>
          </w:rPr>
          <w:fldChar w:fldCharType="end"/>
        </w:r>
      </w:hyperlink>
    </w:p>
    <w:p w:rsidR="00E47859" w:rsidRPr="007F441A" w:rsidRDefault="00A33FC2" w:rsidP="0075610E">
      <w:pPr>
        <w:pStyle w:val="TDC1"/>
        <w:rPr>
          <w:lang w:val="es-CR"/>
        </w:rPr>
      </w:pPr>
      <w:r w:rsidRPr="007F441A">
        <w:rPr>
          <w:lang w:val="es-CR"/>
        </w:rPr>
        <w:fldChar w:fldCharType="end"/>
      </w:r>
      <w:r w:rsidR="00D47086" w:rsidRPr="007F441A">
        <w:rPr>
          <w:lang w:val="es-CR"/>
        </w:rPr>
        <w:br w:type="page"/>
      </w:r>
    </w:p>
    <w:p w:rsidR="00D47086" w:rsidRPr="007F441A" w:rsidRDefault="00D47086" w:rsidP="005E7FC9">
      <w:pPr>
        <w:tabs>
          <w:tab w:val="left" w:pos="1560"/>
        </w:tabs>
        <w:spacing w:line="288" w:lineRule="auto"/>
        <w:jc w:val="left"/>
        <w:rPr>
          <w:rFonts w:asciiTheme="minorHAnsi" w:hAnsiTheme="minorHAnsi" w:cstheme="minorHAnsi"/>
          <w:lang w:val="es-CR"/>
        </w:rPr>
      </w:pPr>
    </w:p>
    <w:p w:rsidR="00A87425" w:rsidRPr="007F441A" w:rsidRDefault="00E06125" w:rsidP="00254CAE">
      <w:pPr>
        <w:pStyle w:val="Ttulo1"/>
        <w:rPr>
          <w:rFonts w:cstheme="minorHAnsi"/>
          <w:lang w:val="es-CR"/>
        </w:rPr>
      </w:pPr>
      <w:bookmarkStart w:id="2" w:name="_Toc195505386"/>
      <w:bookmarkStart w:id="3" w:name="_Toc203492087"/>
      <w:bookmarkStart w:id="4" w:name="_Toc519073088"/>
      <w:r w:rsidRPr="007F441A">
        <w:rPr>
          <w:rFonts w:cstheme="minorHAnsi"/>
          <w:lang w:val="es-CR"/>
        </w:rPr>
        <w:t>PRESENTACIÓN</w:t>
      </w:r>
      <w:bookmarkEnd w:id="2"/>
      <w:bookmarkEnd w:id="3"/>
      <w:bookmarkEnd w:id="4"/>
    </w:p>
    <w:p w:rsidR="00A87425" w:rsidRPr="007F441A" w:rsidRDefault="00A87425" w:rsidP="00A87425">
      <w:pPr>
        <w:rPr>
          <w:rFonts w:asciiTheme="minorHAnsi" w:hAnsiTheme="minorHAnsi" w:cstheme="minorHAnsi"/>
          <w:sz w:val="24"/>
          <w:szCs w:val="24"/>
          <w:lang w:val="es-CR"/>
        </w:rPr>
      </w:pPr>
    </w:p>
    <w:p w:rsidR="00503858" w:rsidRPr="007F441A" w:rsidRDefault="00503858" w:rsidP="00503858">
      <w:pPr>
        <w:rPr>
          <w:rFonts w:asciiTheme="minorHAnsi" w:hAnsiTheme="minorHAnsi" w:cstheme="minorHAnsi"/>
          <w:sz w:val="24"/>
          <w:szCs w:val="24"/>
          <w:lang w:val="es-CR"/>
        </w:rPr>
      </w:pPr>
    </w:p>
    <w:p w:rsidR="002F2009" w:rsidRPr="007F441A" w:rsidRDefault="00C44392" w:rsidP="000D22E0">
      <w:pPr>
        <w:ind w:right="51"/>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En cumplimiento con la normativa vigente y las disposiciones de la Contraloría General de la República, se presenta el siguiente informe, el cual corresponde al detalle de </w:t>
      </w:r>
      <w:r w:rsidR="002F2009" w:rsidRPr="007F441A">
        <w:rPr>
          <w:rFonts w:asciiTheme="minorHAnsi" w:hAnsiTheme="minorHAnsi" w:cstheme="minorHAnsi"/>
          <w:sz w:val="24"/>
          <w:szCs w:val="24"/>
          <w:lang w:val="es-CR"/>
        </w:rPr>
        <w:t>evaluación</w:t>
      </w:r>
      <w:r w:rsidRPr="007F441A">
        <w:rPr>
          <w:rFonts w:asciiTheme="minorHAnsi" w:hAnsiTheme="minorHAnsi" w:cstheme="minorHAnsi"/>
          <w:sz w:val="24"/>
          <w:szCs w:val="24"/>
          <w:lang w:val="es-CR"/>
        </w:rPr>
        <w:t xml:space="preserve"> presupuestaria</w:t>
      </w:r>
      <w:r w:rsidR="001A7F97" w:rsidRPr="007F441A">
        <w:rPr>
          <w:rFonts w:asciiTheme="minorHAnsi" w:hAnsiTheme="minorHAnsi" w:cstheme="minorHAnsi"/>
          <w:sz w:val="24"/>
          <w:szCs w:val="24"/>
          <w:lang w:val="es-CR"/>
        </w:rPr>
        <w:t xml:space="preserve"> de</w:t>
      </w:r>
      <w:r w:rsidR="00912C15" w:rsidRPr="007F441A">
        <w:rPr>
          <w:rFonts w:asciiTheme="minorHAnsi" w:hAnsiTheme="minorHAnsi" w:cstheme="minorHAnsi"/>
          <w:sz w:val="24"/>
          <w:szCs w:val="24"/>
          <w:lang w:val="es-CR"/>
        </w:rPr>
        <w:t>l primer semestre</w:t>
      </w:r>
      <w:r w:rsidR="001A7F97" w:rsidRPr="007F441A">
        <w:rPr>
          <w:rFonts w:asciiTheme="minorHAnsi" w:hAnsiTheme="minorHAnsi" w:cstheme="minorHAnsi"/>
          <w:sz w:val="24"/>
          <w:szCs w:val="24"/>
          <w:lang w:val="es-CR"/>
        </w:rPr>
        <w:t xml:space="preserve"> 201</w:t>
      </w:r>
      <w:r w:rsidR="00912C15" w:rsidRPr="007F441A">
        <w:rPr>
          <w:rFonts w:asciiTheme="minorHAnsi" w:hAnsiTheme="minorHAnsi" w:cstheme="minorHAnsi"/>
          <w:sz w:val="24"/>
          <w:szCs w:val="24"/>
          <w:lang w:val="es-CR"/>
        </w:rPr>
        <w:t>8</w:t>
      </w:r>
      <w:r w:rsidR="009B7870" w:rsidRPr="007F441A">
        <w:rPr>
          <w:rFonts w:asciiTheme="minorHAnsi" w:hAnsiTheme="minorHAnsi" w:cstheme="minorHAnsi"/>
          <w:sz w:val="24"/>
          <w:szCs w:val="24"/>
          <w:lang w:val="es-CR"/>
        </w:rPr>
        <w:t>.</w:t>
      </w:r>
    </w:p>
    <w:p w:rsidR="002F2009" w:rsidRPr="007F441A" w:rsidRDefault="002F2009" w:rsidP="000D22E0">
      <w:pPr>
        <w:ind w:right="51"/>
        <w:rPr>
          <w:rFonts w:asciiTheme="minorHAnsi" w:hAnsiTheme="minorHAnsi" w:cstheme="minorHAnsi"/>
          <w:sz w:val="24"/>
          <w:szCs w:val="24"/>
          <w:lang w:val="es-CR"/>
        </w:rPr>
      </w:pPr>
    </w:p>
    <w:p w:rsidR="00503858" w:rsidRPr="007F441A" w:rsidRDefault="009B7870" w:rsidP="000D22E0">
      <w:pPr>
        <w:ind w:right="51"/>
        <w:rPr>
          <w:rFonts w:asciiTheme="minorHAnsi" w:hAnsiTheme="minorHAnsi" w:cstheme="minorHAnsi"/>
          <w:sz w:val="24"/>
          <w:szCs w:val="24"/>
          <w:lang w:val="es-CR"/>
        </w:rPr>
      </w:pPr>
      <w:r w:rsidRPr="007F441A">
        <w:rPr>
          <w:rFonts w:asciiTheme="minorHAnsi" w:hAnsiTheme="minorHAnsi" w:cstheme="minorHAnsi"/>
          <w:sz w:val="24"/>
          <w:szCs w:val="24"/>
          <w:lang w:val="es-CR"/>
        </w:rPr>
        <w:t>E</w:t>
      </w:r>
      <w:r w:rsidR="001A7F97" w:rsidRPr="007F441A">
        <w:rPr>
          <w:rFonts w:asciiTheme="minorHAnsi" w:hAnsiTheme="minorHAnsi" w:cstheme="minorHAnsi"/>
          <w:sz w:val="24"/>
          <w:szCs w:val="24"/>
          <w:lang w:val="es-CR"/>
        </w:rPr>
        <w:t>ste informe</w:t>
      </w:r>
      <w:r w:rsidR="00C44392" w:rsidRPr="007F441A">
        <w:rPr>
          <w:rFonts w:asciiTheme="minorHAnsi" w:hAnsiTheme="minorHAnsi" w:cstheme="minorHAnsi"/>
          <w:sz w:val="24"/>
          <w:szCs w:val="24"/>
          <w:lang w:val="es-CR"/>
        </w:rPr>
        <w:t xml:space="preserve"> tiene como </w:t>
      </w:r>
      <w:r w:rsidR="00005B1A" w:rsidRPr="007F441A">
        <w:rPr>
          <w:rFonts w:asciiTheme="minorHAnsi" w:hAnsiTheme="minorHAnsi" w:cstheme="minorHAnsi"/>
          <w:sz w:val="24"/>
          <w:szCs w:val="24"/>
          <w:lang w:val="es-CR"/>
        </w:rPr>
        <w:t>propósito</w:t>
      </w:r>
      <w:r w:rsidR="00C44392" w:rsidRPr="007F441A">
        <w:rPr>
          <w:rFonts w:asciiTheme="minorHAnsi" w:hAnsiTheme="minorHAnsi" w:cstheme="minorHAnsi"/>
          <w:sz w:val="24"/>
          <w:szCs w:val="24"/>
          <w:lang w:val="es-CR"/>
        </w:rPr>
        <w:t xml:space="preserve"> brindar al Consejo Nacional de Supervisión del Sistema Financiero </w:t>
      </w:r>
      <w:r w:rsidR="00240B0C" w:rsidRPr="007F441A">
        <w:rPr>
          <w:rFonts w:asciiTheme="minorHAnsi" w:hAnsiTheme="minorHAnsi" w:cstheme="minorHAnsi"/>
          <w:sz w:val="24"/>
          <w:szCs w:val="24"/>
          <w:lang w:val="es-CR"/>
        </w:rPr>
        <w:t>(</w:t>
      </w:r>
      <w:r w:rsidR="00AC7DE6" w:rsidRPr="007F441A">
        <w:rPr>
          <w:rFonts w:asciiTheme="minorHAnsi" w:hAnsiTheme="minorHAnsi" w:cstheme="minorHAnsi"/>
          <w:sz w:val="24"/>
          <w:szCs w:val="24"/>
          <w:lang w:val="es-CR"/>
        </w:rPr>
        <w:t>CONASSIF</w:t>
      </w:r>
      <w:r w:rsidR="00240B0C" w:rsidRPr="007F441A">
        <w:rPr>
          <w:rFonts w:asciiTheme="minorHAnsi" w:hAnsiTheme="minorHAnsi" w:cstheme="minorHAnsi"/>
          <w:sz w:val="24"/>
          <w:szCs w:val="24"/>
          <w:lang w:val="es-CR"/>
        </w:rPr>
        <w:t>)</w:t>
      </w:r>
      <w:r w:rsidR="00C05E03" w:rsidRPr="007F441A">
        <w:rPr>
          <w:rFonts w:asciiTheme="minorHAnsi" w:hAnsiTheme="minorHAnsi" w:cstheme="minorHAnsi"/>
          <w:sz w:val="24"/>
          <w:szCs w:val="24"/>
          <w:lang w:val="es-CR"/>
        </w:rPr>
        <w:t xml:space="preserve"> </w:t>
      </w:r>
      <w:r w:rsidR="00C44392" w:rsidRPr="007F441A">
        <w:rPr>
          <w:rFonts w:asciiTheme="minorHAnsi" w:hAnsiTheme="minorHAnsi" w:cstheme="minorHAnsi"/>
          <w:sz w:val="24"/>
          <w:szCs w:val="24"/>
          <w:lang w:val="es-CR"/>
        </w:rPr>
        <w:t>y a la Contraloría General de la República</w:t>
      </w:r>
      <w:r w:rsidR="00240B0C" w:rsidRPr="007F441A">
        <w:rPr>
          <w:rFonts w:asciiTheme="minorHAnsi" w:hAnsiTheme="minorHAnsi" w:cstheme="minorHAnsi"/>
          <w:sz w:val="24"/>
          <w:szCs w:val="24"/>
          <w:lang w:val="es-CR"/>
        </w:rPr>
        <w:t xml:space="preserve"> (CGR)</w:t>
      </w:r>
      <w:r w:rsidR="00C44392" w:rsidRPr="007F441A">
        <w:rPr>
          <w:rFonts w:asciiTheme="minorHAnsi" w:hAnsiTheme="minorHAnsi" w:cstheme="minorHAnsi"/>
          <w:sz w:val="24"/>
          <w:szCs w:val="24"/>
          <w:lang w:val="es-CR"/>
        </w:rPr>
        <w:t xml:space="preserve">, la información relacionada con la ejecución económica del presupuesto </w:t>
      </w:r>
      <w:r w:rsidR="00A57C70" w:rsidRPr="007F441A">
        <w:rPr>
          <w:rFonts w:asciiTheme="minorHAnsi" w:hAnsiTheme="minorHAnsi" w:cstheme="minorHAnsi"/>
          <w:sz w:val="24"/>
          <w:szCs w:val="24"/>
          <w:lang w:val="es-CR"/>
        </w:rPr>
        <w:t xml:space="preserve">y la consecución de las metas propuestas por los diferentes procesos que conforman </w:t>
      </w:r>
      <w:r w:rsidR="00C44392" w:rsidRPr="007F441A">
        <w:rPr>
          <w:rFonts w:asciiTheme="minorHAnsi" w:hAnsiTheme="minorHAnsi" w:cstheme="minorHAnsi"/>
          <w:sz w:val="24"/>
          <w:szCs w:val="24"/>
          <w:lang w:val="es-CR"/>
        </w:rPr>
        <w:t>la Superintendencia</w:t>
      </w:r>
      <w:r w:rsidR="00103674" w:rsidRPr="007F441A">
        <w:rPr>
          <w:rFonts w:asciiTheme="minorHAnsi" w:hAnsiTheme="minorHAnsi" w:cstheme="minorHAnsi"/>
          <w:sz w:val="24"/>
          <w:szCs w:val="24"/>
          <w:lang w:val="es-CR"/>
        </w:rPr>
        <w:t xml:space="preserve"> de Pensiones</w:t>
      </w:r>
      <w:r w:rsidR="000828FC" w:rsidRPr="007F441A">
        <w:rPr>
          <w:rFonts w:asciiTheme="minorHAnsi" w:hAnsiTheme="minorHAnsi" w:cstheme="minorHAnsi"/>
          <w:sz w:val="24"/>
          <w:szCs w:val="24"/>
          <w:lang w:val="es-CR"/>
        </w:rPr>
        <w:t xml:space="preserve"> (</w:t>
      </w:r>
      <w:r w:rsidR="000D22E0" w:rsidRPr="007F441A">
        <w:rPr>
          <w:rFonts w:asciiTheme="minorHAnsi" w:hAnsiTheme="minorHAnsi" w:cstheme="minorHAnsi"/>
          <w:sz w:val="24"/>
          <w:szCs w:val="24"/>
          <w:lang w:val="es-CR"/>
        </w:rPr>
        <w:t>SUPEN</w:t>
      </w:r>
      <w:r w:rsidR="000828FC" w:rsidRPr="007F441A">
        <w:rPr>
          <w:rFonts w:asciiTheme="minorHAnsi" w:hAnsiTheme="minorHAnsi" w:cstheme="minorHAnsi"/>
          <w:sz w:val="24"/>
          <w:szCs w:val="24"/>
          <w:lang w:val="es-CR"/>
        </w:rPr>
        <w:t>)</w:t>
      </w:r>
      <w:r w:rsidR="00C44392" w:rsidRPr="007F441A">
        <w:rPr>
          <w:rFonts w:asciiTheme="minorHAnsi" w:hAnsiTheme="minorHAnsi" w:cstheme="minorHAnsi"/>
          <w:sz w:val="24"/>
          <w:szCs w:val="24"/>
          <w:lang w:val="es-CR"/>
        </w:rPr>
        <w:t xml:space="preserve">, </w:t>
      </w:r>
      <w:r w:rsidR="00A57C70" w:rsidRPr="007F441A">
        <w:rPr>
          <w:rFonts w:asciiTheme="minorHAnsi" w:hAnsiTheme="minorHAnsi" w:cstheme="minorHAnsi"/>
          <w:sz w:val="24"/>
          <w:szCs w:val="24"/>
          <w:lang w:val="es-CR"/>
        </w:rPr>
        <w:t xml:space="preserve">todo </w:t>
      </w:r>
      <w:r w:rsidR="00C44392" w:rsidRPr="007F441A">
        <w:rPr>
          <w:rFonts w:asciiTheme="minorHAnsi" w:hAnsiTheme="minorHAnsi" w:cstheme="minorHAnsi"/>
          <w:sz w:val="24"/>
          <w:szCs w:val="24"/>
          <w:lang w:val="es-CR"/>
        </w:rPr>
        <w:t xml:space="preserve">de conformidad con los lineamientos </w:t>
      </w:r>
      <w:r w:rsidR="00BC781D" w:rsidRPr="007F441A">
        <w:rPr>
          <w:rFonts w:asciiTheme="minorHAnsi" w:hAnsiTheme="minorHAnsi" w:cstheme="minorHAnsi"/>
          <w:sz w:val="24"/>
          <w:szCs w:val="24"/>
          <w:lang w:val="es-CR"/>
        </w:rPr>
        <w:t xml:space="preserve">presupuestarios </w:t>
      </w:r>
      <w:r w:rsidR="00C44392" w:rsidRPr="007F441A">
        <w:rPr>
          <w:rFonts w:asciiTheme="minorHAnsi" w:hAnsiTheme="minorHAnsi" w:cstheme="minorHAnsi"/>
          <w:sz w:val="24"/>
          <w:szCs w:val="24"/>
          <w:lang w:val="es-CR"/>
        </w:rPr>
        <w:t xml:space="preserve">previamente establecidos por la Junta Directiva del Banco Central de Costa Rica </w:t>
      </w:r>
      <w:r w:rsidR="00240B0C" w:rsidRPr="007F441A">
        <w:rPr>
          <w:rFonts w:asciiTheme="minorHAnsi" w:hAnsiTheme="minorHAnsi" w:cstheme="minorHAnsi"/>
          <w:sz w:val="24"/>
          <w:szCs w:val="24"/>
          <w:lang w:val="es-CR"/>
        </w:rPr>
        <w:t>(BCCR)</w:t>
      </w:r>
      <w:r w:rsidR="007B12FD" w:rsidRPr="007F441A">
        <w:rPr>
          <w:rFonts w:asciiTheme="minorHAnsi" w:hAnsiTheme="minorHAnsi" w:cstheme="minorHAnsi"/>
          <w:sz w:val="24"/>
          <w:szCs w:val="24"/>
          <w:lang w:val="es-CR"/>
        </w:rPr>
        <w:t xml:space="preserve"> </w:t>
      </w:r>
      <w:r w:rsidR="00C44392" w:rsidRPr="007F441A">
        <w:rPr>
          <w:rFonts w:asciiTheme="minorHAnsi" w:hAnsiTheme="minorHAnsi" w:cstheme="minorHAnsi"/>
          <w:sz w:val="24"/>
          <w:szCs w:val="24"/>
          <w:lang w:val="es-CR"/>
        </w:rPr>
        <w:t xml:space="preserve">y por el </w:t>
      </w:r>
      <w:r w:rsidR="00AC7DE6" w:rsidRPr="007F441A">
        <w:rPr>
          <w:rFonts w:asciiTheme="minorHAnsi" w:hAnsiTheme="minorHAnsi" w:cstheme="minorHAnsi"/>
          <w:sz w:val="24"/>
          <w:szCs w:val="24"/>
          <w:lang w:val="es-CR"/>
        </w:rPr>
        <w:t>CONASSIF</w:t>
      </w:r>
      <w:r w:rsidR="00240B0C" w:rsidRPr="007F441A">
        <w:rPr>
          <w:rFonts w:asciiTheme="minorHAnsi" w:hAnsiTheme="minorHAnsi" w:cstheme="minorHAnsi"/>
          <w:sz w:val="24"/>
          <w:szCs w:val="24"/>
          <w:lang w:val="es-CR"/>
        </w:rPr>
        <w:t>.</w:t>
      </w:r>
    </w:p>
    <w:p w:rsidR="00A57C70" w:rsidRPr="007F441A" w:rsidRDefault="00E47859" w:rsidP="00A45E19">
      <w:pPr>
        <w:pStyle w:val="Ttulo2"/>
      </w:pPr>
      <w:r w:rsidRPr="007F441A">
        <w:br w:type="page"/>
      </w:r>
    </w:p>
    <w:p w:rsidR="00A06D37" w:rsidRPr="000F5AC7" w:rsidRDefault="002F2009" w:rsidP="00A06D37">
      <w:pPr>
        <w:pStyle w:val="Ttulo1"/>
        <w:numPr>
          <w:ilvl w:val="0"/>
          <w:numId w:val="2"/>
        </w:numPr>
        <w:shd w:val="clear" w:color="auto" w:fill="DBE5F1" w:themeFill="accent1" w:themeFillTint="33"/>
        <w:spacing w:line="288" w:lineRule="auto"/>
        <w:rPr>
          <w:rFonts w:asciiTheme="minorHAnsi" w:hAnsiTheme="minorHAnsi" w:cstheme="minorHAnsi"/>
          <w:szCs w:val="28"/>
          <w:lang w:val="es-CR"/>
        </w:rPr>
      </w:pPr>
      <w:bookmarkStart w:id="5" w:name="_Toc519073089"/>
      <w:r w:rsidRPr="007F441A">
        <w:rPr>
          <w:rFonts w:asciiTheme="minorHAnsi" w:hAnsiTheme="minorHAnsi" w:cstheme="minorHAnsi"/>
          <w:sz w:val="28"/>
          <w:szCs w:val="28"/>
          <w:lang w:val="es-CR"/>
        </w:rPr>
        <w:t>EJECUCIÓN DE LOS INGRESOS Y GASTOS MÁS IMPORTANTES</w:t>
      </w:r>
      <w:r w:rsidR="00AD0001">
        <w:rPr>
          <w:rFonts w:asciiTheme="minorHAnsi" w:hAnsiTheme="minorHAnsi" w:cstheme="minorHAnsi"/>
          <w:sz w:val="28"/>
          <w:szCs w:val="28"/>
          <w:lang w:val="es-CR"/>
        </w:rPr>
        <w:t xml:space="preserve"> </w:t>
      </w:r>
      <w:r w:rsidR="00AD0001" w:rsidRPr="000F5AC7">
        <w:rPr>
          <w:rFonts w:asciiTheme="minorHAnsi" w:hAnsiTheme="minorHAnsi" w:cstheme="minorHAnsi"/>
          <w:b w:val="0"/>
          <w:sz w:val="16"/>
          <w:szCs w:val="28"/>
          <w:lang w:val="es-CR"/>
        </w:rPr>
        <w:t>(4.5.6 b. i)</w:t>
      </w:r>
      <w:bookmarkEnd w:id="5"/>
    </w:p>
    <w:p w:rsidR="00A06D37" w:rsidRPr="007F441A" w:rsidRDefault="00A06D37" w:rsidP="00225437">
      <w:pPr>
        <w:spacing w:line="288" w:lineRule="auto"/>
        <w:rPr>
          <w:rFonts w:asciiTheme="minorHAnsi" w:hAnsiTheme="minorHAnsi" w:cstheme="minorHAnsi"/>
          <w:sz w:val="24"/>
          <w:szCs w:val="24"/>
          <w:lang w:val="es-CR"/>
        </w:rPr>
      </w:pPr>
    </w:p>
    <w:p w:rsidR="00225437" w:rsidRPr="007F441A" w:rsidRDefault="002F2009" w:rsidP="00A45E19">
      <w:pPr>
        <w:pStyle w:val="Ttulo2"/>
        <w:numPr>
          <w:ilvl w:val="1"/>
          <w:numId w:val="2"/>
        </w:numPr>
        <w:rPr>
          <w:rStyle w:val="nfasisintenso"/>
          <w:b/>
          <w:color w:val="auto"/>
          <w:szCs w:val="28"/>
        </w:rPr>
      </w:pPr>
      <w:bookmarkStart w:id="6" w:name="_Toc519073090"/>
      <w:bookmarkStart w:id="7" w:name="_Toc514582661"/>
      <w:bookmarkStart w:id="8" w:name="_Toc16481527"/>
      <w:r w:rsidRPr="007F441A">
        <w:rPr>
          <w:rStyle w:val="nfasisintenso"/>
          <w:b/>
          <w:color w:val="auto"/>
          <w:szCs w:val="28"/>
        </w:rPr>
        <w:t>Comportamiento de la ejecución de ingresos</w:t>
      </w:r>
      <w:bookmarkEnd w:id="6"/>
    </w:p>
    <w:p w:rsidR="00D668DE" w:rsidRPr="007F441A" w:rsidRDefault="00D668DE" w:rsidP="00225437">
      <w:pPr>
        <w:rPr>
          <w:rFonts w:asciiTheme="minorHAnsi" w:hAnsiTheme="minorHAnsi" w:cstheme="minorHAnsi"/>
          <w:sz w:val="24"/>
          <w:szCs w:val="24"/>
          <w:lang w:val="es-CR"/>
        </w:rPr>
      </w:pPr>
    </w:p>
    <w:p w:rsidR="002F2009" w:rsidRPr="007F441A" w:rsidRDefault="001B4CE3" w:rsidP="002F2009">
      <w:pPr>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Por la manera en que está financiado el presupuesto, </w:t>
      </w:r>
      <w:r w:rsidR="00176E40" w:rsidRPr="007F441A">
        <w:rPr>
          <w:rFonts w:asciiTheme="minorHAnsi" w:hAnsiTheme="minorHAnsi" w:cstheme="minorHAnsi"/>
          <w:sz w:val="24"/>
          <w:szCs w:val="24"/>
          <w:lang w:val="es-CR"/>
        </w:rPr>
        <w:t xml:space="preserve">según está determinado </w:t>
      </w:r>
      <w:r w:rsidR="003E6110" w:rsidRPr="007F441A">
        <w:rPr>
          <w:rFonts w:asciiTheme="minorHAnsi" w:hAnsiTheme="minorHAnsi" w:cstheme="minorHAnsi"/>
          <w:sz w:val="24"/>
          <w:szCs w:val="24"/>
          <w:lang w:val="es-CR"/>
        </w:rPr>
        <w:t>por</w:t>
      </w:r>
      <w:r w:rsidR="00176E40" w:rsidRPr="007F441A">
        <w:rPr>
          <w:rFonts w:asciiTheme="minorHAnsi" w:hAnsiTheme="minorHAnsi" w:cstheme="minorHAnsi"/>
          <w:sz w:val="24"/>
          <w:szCs w:val="24"/>
          <w:lang w:val="es-CR"/>
        </w:rPr>
        <w:t xml:space="preserve"> la Ley Regu</w:t>
      </w:r>
      <w:r w:rsidR="00AC2C75" w:rsidRPr="007F441A">
        <w:rPr>
          <w:rFonts w:asciiTheme="minorHAnsi" w:hAnsiTheme="minorHAnsi" w:cstheme="minorHAnsi"/>
          <w:sz w:val="24"/>
          <w:szCs w:val="24"/>
          <w:lang w:val="es-CR"/>
        </w:rPr>
        <w:t>ladora del Mercado de Valores N</w:t>
      </w:r>
      <w:r w:rsidR="00176E40" w:rsidRPr="007F441A">
        <w:rPr>
          <w:rFonts w:asciiTheme="minorHAnsi" w:hAnsiTheme="minorHAnsi" w:cstheme="minorHAnsi"/>
          <w:sz w:val="24"/>
          <w:szCs w:val="24"/>
          <w:lang w:val="es-CR"/>
        </w:rPr>
        <w:t xml:space="preserve">°7732, </w:t>
      </w:r>
      <w:r w:rsidRPr="007F441A">
        <w:rPr>
          <w:rFonts w:asciiTheme="minorHAnsi" w:hAnsiTheme="minorHAnsi" w:cstheme="minorHAnsi"/>
          <w:sz w:val="24"/>
          <w:szCs w:val="24"/>
          <w:lang w:val="es-CR"/>
        </w:rPr>
        <w:t>l</w:t>
      </w:r>
      <w:r w:rsidR="002F2009" w:rsidRPr="007F441A">
        <w:rPr>
          <w:rFonts w:asciiTheme="minorHAnsi" w:hAnsiTheme="minorHAnsi" w:cstheme="minorHAnsi"/>
          <w:sz w:val="24"/>
          <w:szCs w:val="24"/>
          <w:lang w:val="es-CR"/>
        </w:rPr>
        <w:t xml:space="preserve">os ingresos devengados dependen de la ejecución efectiva de los egresos, </w:t>
      </w:r>
      <w:r w:rsidR="003E6110" w:rsidRPr="007F441A">
        <w:rPr>
          <w:rFonts w:asciiTheme="minorHAnsi" w:hAnsiTheme="minorHAnsi" w:cstheme="minorHAnsi"/>
          <w:sz w:val="24"/>
          <w:szCs w:val="24"/>
          <w:lang w:val="es-CR"/>
        </w:rPr>
        <w:t xml:space="preserve">por lo que no hay limitaciones </w:t>
      </w:r>
      <w:r w:rsidR="002A3896" w:rsidRPr="007F441A">
        <w:rPr>
          <w:rFonts w:asciiTheme="minorHAnsi" w:hAnsiTheme="minorHAnsi" w:cstheme="minorHAnsi"/>
          <w:sz w:val="24"/>
          <w:szCs w:val="24"/>
          <w:lang w:val="es-CR"/>
        </w:rPr>
        <w:t xml:space="preserve">presentadas </w:t>
      </w:r>
      <w:r w:rsidR="008F4B27">
        <w:rPr>
          <w:rFonts w:asciiTheme="minorHAnsi" w:hAnsiTheme="minorHAnsi" w:cstheme="minorHAnsi"/>
          <w:sz w:val="24"/>
          <w:szCs w:val="24"/>
          <w:lang w:val="es-CR"/>
        </w:rPr>
        <w:t>que</w:t>
      </w:r>
      <w:r w:rsidR="00AC2C75" w:rsidRPr="007F441A">
        <w:rPr>
          <w:rFonts w:asciiTheme="minorHAnsi" w:hAnsiTheme="minorHAnsi" w:cstheme="minorHAnsi"/>
          <w:sz w:val="24"/>
          <w:szCs w:val="24"/>
          <w:lang w:val="es-CR"/>
        </w:rPr>
        <w:t xml:space="preserve"> enmarca</w:t>
      </w:r>
      <w:r w:rsidR="00B3477C" w:rsidRPr="007F441A">
        <w:rPr>
          <w:rFonts w:asciiTheme="minorHAnsi" w:hAnsiTheme="minorHAnsi" w:cstheme="minorHAnsi"/>
          <w:sz w:val="24"/>
          <w:szCs w:val="24"/>
          <w:lang w:val="es-CR"/>
        </w:rPr>
        <w:t>r</w:t>
      </w:r>
      <w:r w:rsidR="003E6110" w:rsidRPr="007F441A">
        <w:rPr>
          <w:rFonts w:asciiTheme="minorHAnsi" w:hAnsiTheme="minorHAnsi" w:cstheme="minorHAnsi"/>
          <w:sz w:val="24"/>
          <w:szCs w:val="24"/>
          <w:lang w:val="es-CR"/>
        </w:rPr>
        <w:t xml:space="preserve"> en materia de </w:t>
      </w:r>
      <w:r w:rsidR="008F4B27">
        <w:rPr>
          <w:rFonts w:asciiTheme="minorHAnsi" w:hAnsiTheme="minorHAnsi" w:cstheme="minorHAnsi"/>
          <w:sz w:val="24"/>
          <w:szCs w:val="24"/>
          <w:lang w:val="es-CR"/>
        </w:rPr>
        <w:t xml:space="preserve">generar </w:t>
      </w:r>
      <w:r w:rsidR="003E6110" w:rsidRPr="007F441A">
        <w:rPr>
          <w:rFonts w:asciiTheme="minorHAnsi" w:hAnsiTheme="minorHAnsi" w:cstheme="minorHAnsi"/>
          <w:sz w:val="24"/>
          <w:szCs w:val="24"/>
          <w:lang w:val="es-CR"/>
        </w:rPr>
        <w:t>los ingresos</w:t>
      </w:r>
      <w:r w:rsidR="004C218A">
        <w:rPr>
          <w:rFonts w:asciiTheme="minorHAnsi" w:hAnsiTheme="minorHAnsi" w:cstheme="minorHAnsi"/>
          <w:sz w:val="24"/>
          <w:szCs w:val="24"/>
          <w:lang w:val="es-CR"/>
        </w:rPr>
        <w:t>. E</w:t>
      </w:r>
      <w:r w:rsidR="002F2009" w:rsidRPr="007F441A">
        <w:rPr>
          <w:rFonts w:asciiTheme="minorHAnsi" w:hAnsiTheme="minorHAnsi" w:cstheme="minorHAnsi"/>
          <w:sz w:val="24"/>
          <w:szCs w:val="24"/>
          <w:lang w:val="es-CR"/>
        </w:rPr>
        <w:t>l siguiente cuadro detalla el total de ingresos del p</w:t>
      </w:r>
      <w:r w:rsidR="003E6110" w:rsidRPr="007F441A">
        <w:rPr>
          <w:rFonts w:asciiTheme="minorHAnsi" w:hAnsiTheme="minorHAnsi" w:cstheme="minorHAnsi"/>
          <w:sz w:val="24"/>
          <w:szCs w:val="24"/>
          <w:lang w:val="es-CR"/>
        </w:rPr>
        <w:t>eríodo.</w:t>
      </w:r>
    </w:p>
    <w:p w:rsidR="002F2009" w:rsidRPr="007F441A" w:rsidRDefault="002F2009" w:rsidP="002F2009">
      <w:pPr>
        <w:rPr>
          <w:rFonts w:asciiTheme="minorHAnsi" w:hAnsiTheme="minorHAnsi" w:cstheme="minorHAnsi"/>
          <w:lang w:val="es-CR"/>
        </w:rPr>
      </w:pPr>
    </w:p>
    <w:p w:rsidR="002F2009" w:rsidRDefault="00CE11B8" w:rsidP="002F2009">
      <w:pPr>
        <w:spacing w:line="240" w:lineRule="auto"/>
        <w:ind w:left="284"/>
        <w:jc w:val="left"/>
        <w:rPr>
          <w:rFonts w:asciiTheme="minorHAnsi" w:hAnsiTheme="minorHAnsi" w:cstheme="minorHAnsi"/>
          <w:b/>
          <w:szCs w:val="22"/>
          <w:lang w:val="es-CR"/>
        </w:rPr>
      </w:pPr>
      <w:r w:rsidRPr="007F441A">
        <w:rPr>
          <w:rFonts w:asciiTheme="minorHAnsi" w:hAnsiTheme="minorHAnsi" w:cstheme="minorHAnsi"/>
          <w:szCs w:val="22"/>
          <w:lang w:val="es-CR"/>
        </w:rPr>
        <w:t>Cuadro 1</w:t>
      </w:r>
      <w:r w:rsidR="002F2009" w:rsidRPr="007F441A">
        <w:rPr>
          <w:rFonts w:asciiTheme="minorHAnsi" w:hAnsiTheme="minorHAnsi" w:cstheme="minorHAnsi"/>
          <w:szCs w:val="22"/>
          <w:lang w:val="es-CR"/>
        </w:rPr>
        <w:t xml:space="preserve">: </w:t>
      </w:r>
      <w:r w:rsidR="002F2009" w:rsidRPr="007F441A">
        <w:rPr>
          <w:rFonts w:asciiTheme="minorHAnsi" w:hAnsiTheme="minorHAnsi" w:cstheme="minorHAnsi"/>
          <w:b/>
          <w:szCs w:val="22"/>
          <w:lang w:val="es-CR"/>
        </w:rPr>
        <w:t xml:space="preserve">Detalle de ingresos </w:t>
      </w:r>
    </w:p>
    <w:p w:rsidR="008F4B27" w:rsidRPr="008F4B27" w:rsidRDefault="008F4B27" w:rsidP="002F2009">
      <w:pPr>
        <w:spacing w:line="240" w:lineRule="auto"/>
        <w:ind w:left="284"/>
        <w:jc w:val="left"/>
        <w:rPr>
          <w:rFonts w:asciiTheme="minorHAnsi" w:hAnsiTheme="minorHAnsi" w:cstheme="minorHAnsi"/>
          <w:sz w:val="18"/>
          <w:szCs w:val="22"/>
          <w:lang w:val="es-CR"/>
        </w:rPr>
      </w:pPr>
      <w:r w:rsidRPr="008F4B27">
        <w:rPr>
          <w:rFonts w:asciiTheme="minorHAnsi" w:hAnsiTheme="minorHAnsi" w:cstheme="minorHAnsi"/>
          <w:sz w:val="18"/>
          <w:szCs w:val="22"/>
          <w:lang w:val="es-CR"/>
        </w:rPr>
        <w:t>30 de junio de 2018</w:t>
      </w:r>
    </w:p>
    <w:p w:rsidR="002F2009" w:rsidRPr="007F441A" w:rsidRDefault="000A773F" w:rsidP="002F2009">
      <w:pPr>
        <w:rPr>
          <w:rFonts w:asciiTheme="minorHAnsi" w:hAnsiTheme="minorHAnsi" w:cstheme="minorHAnsi"/>
          <w:lang w:val="es-CR"/>
        </w:rPr>
      </w:pPr>
      <w:r w:rsidRPr="007F441A">
        <w:rPr>
          <w:noProof/>
          <w:lang w:val="es-CR"/>
        </w:rPr>
        <w:drawing>
          <wp:inline distT="0" distB="0" distL="0" distR="0" wp14:anchorId="7A4716E9" wp14:editId="1B8108AF">
            <wp:extent cx="5613400" cy="1387799"/>
            <wp:effectExtent l="0" t="0" r="635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400" cy="1387799"/>
                    </a:xfrm>
                    <a:prstGeom prst="rect">
                      <a:avLst/>
                    </a:prstGeom>
                    <a:noFill/>
                    <a:ln>
                      <a:noFill/>
                    </a:ln>
                  </pic:spPr>
                </pic:pic>
              </a:graphicData>
            </a:graphic>
          </wp:inline>
        </w:drawing>
      </w:r>
    </w:p>
    <w:p w:rsidR="002F2009" w:rsidRPr="007F441A" w:rsidRDefault="002F2009" w:rsidP="002F2009">
      <w:pPr>
        <w:rPr>
          <w:rFonts w:asciiTheme="minorHAnsi" w:hAnsiTheme="minorHAnsi" w:cstheme="minorHAnsi"/>
          <w:lang w:val="es-CR"/>
        </w:rPr>
      </w:pPr>
    </w:p>
    <w:p w:rsidR="002F2009" w:rsidRPr="007F441A" w:rsidRDefault="002F2009" w:rsidP="00225437">
      <w:pPr>
        <w:rPr>
          <w:rFonts w:asciiTheme="minorHAnsi" w:hAnsiTheme="minorHAnsi" w:cstheme="minorHAnsi"/>
          <w:lang w:val="es-CR"/>
        </w:rPr>
      </w:pPr>
    </w:p>
    <w:p w:rsidR="0050400F" w:rsidRPr="007F441A" w:rsidRDefault="002F2009" w:rsidP="00A45E19">
      <w:pPr>
        <w:pStyle w:val="Ttulo2"/>
        <w:numPr>
          <w:ilvl w:val="1"/>
          <w:numId w:val="2"/>
        </w:numPr>
        <w:rPr>
          <w:rStyle w:val="nfasisintenso"/>
          <w:b/>
          <w:color w:val="auto"/>
          <w:szCs w:val="28"/>
        </w:rPr>
      </w:pPr>
      <w:bookmarkStart w:id="9" w:name="_Toc519073091"/>
      <w:r w:rsidRPr="007F441A">
        <w:rPr>
          <w:rStyle w:val="nfasisintenso"/>
          <w:b/>
          <w:color w:val="auto"/>
          <w:szCs w:val="28"/>
        </w:rPr>
        <w:t>Comportamiento de la ejecución de</w:t>
      </w:r>
      <w:r w:rsidR="00BC04CE">
        <w:rPr>
          <w:rStyle w:val="nfasisintenso"/>
          <w:b/>
          <w:color w:val="auto"/>
          <w:szCs w:val="28"/>
        </w:rPr>
        <w:t xml:space="preserve"> los</w:t>
      </w:r>
      <w:r w:rsidRPr="007F441A">
        <w:rPr>
          <w:rStyle w:val="nfasisintenso"/>
          <w:b/>
          <w:color w:val="auto"/>
          <w:szCs w:val="28"/>
        </w:rPr>
        <w:t xml:space="preserve"> gastos</w:t>
      </w:r>
      <w:bookmarkEnd w:id="9"/>
    </w:p>
    <w:p w:rsidR="0050400F" w:rsidRPr="007F441A" w:rsidRDefault="0050400F" w:rsidP="00225437">
      <w:pPr>
        <w:rPr>
          <w:rFonts w:asciiTheme="minorHAnsi" w:hAnsiTheme="minorHAnsi" w:cstheme="minorHAnsi"/>
          <w:sz w:val="24"/>
          <w:szCs w:val="24"/>
          <w:lang w:val="es-CR"/>
        </w:rPr>
      </w:pPr>
    </w:p>
    <w:p w:rsidR="000A773F" w:rsidRPr="007F441A" w:rsidRDefault="005815B2" w:rsidP="00225437">
      <w:pPr>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El presupuesto </w:t>
      </w:r>
      <w:r w:rsidR="000A773F" w:rsidRPr="007F441A">
        <w:rPr>
          <w:rFonts w:asciiTheme="minorHAnsi" w:hAnsiTheme="minorHAnsi" w:cstheme="minorHAnsi"/>
          <w:sz w:val="24"/>
          <w:szCs w:val="24"/>
          <w:lang w:val="es-CR"/>
        </w:rPr>
        <w:t>de egresos fue aprobado por el CONASSIF en el numeral II del artículo 7 del acta de la sesión 1361-2017, celebrada el 26 de setiembre de 2017, por un monto de ¢5.122.6 millones, que luego fue refrendado por la CGR según oficio número DFOE-EC-0847 del 11 de diciembre de 2017.</w:t>
      </w:r>
    </w:p>
    <w:p w:rsidR="000A773F" w:rsidRPr="007F441A" w:rsidRDefault="000A773F" w:rsidP="00225437">
      <w:pPr>
        <w:rPr>
          <w:rFonts w:asciiTheme="minorHAnsi" w:hAnsiTheme="minorHAnsi" w:cstheme="minorHAnsi"/>
          <w:sz w:val="24"/>
          <w:szCs w:val="24"/>
          <w:lang w:val="es-CR"/>
        </w:rPr>
      </w:pPr>
    </w:p>
    <w:p w:rsidR="000A773F" w:rsidRPr="007F441A" w:rsidRDefault="000A773F" w:rsidP="000A773F">
      <w:pPr>
        <w:rPr>
          <w:rFonts w:asciiTheme="minorHAnsi" w:hAnsiTheme="minorHAnsi" w:cstheme="minorHAnsi"/>
          <w:sz w:val="24"/>
          <w:szCs w:val="24"/>
          <w:lang w:val="es-CR"/>
        </w:rPr>
      </w:pPr>
      <w:r w:rsidRPr="007F441A">
        <w:rPr>
          <w:rFonts w:asciiTheme="minorHAnsi" w:hAnsiTheme="minorHAnsi" w:cstheme="minorHAnsi"/>
          <w:sz w:val="24"/>
          <w:szCs w:val="24"/>
          <w:lang w:val="es-CR"/>
        </w:rPr>
        <w:t>A la fecha de este informe, la ejecución real del presupuesto fue de 42,7%, lo cual representa un gasto de ¢ 2.187,5 millones en términos absolutos.</w:t>
      </w:r>
    </w:p>
    <w:p w:rsidR="000A773F" w:rsidRPr="007F441A" w:rsidRDefault="000A773F" w:rsidP="000A773F">
      <w:pPr>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  </w:t>
      </w:r>
    </w:p>
    <w:p w:rsidR="000A773F" w:rsidRPr="007F441A" w:rsidRDefault="000A773F" w:rsidP="000A773F">
      <w:pPr>
        <w:rPr>
          <w:rFonts w:asciiTheme="minorHAnsi" w:hAnsiTheme="minorHAnsi" w:cstheme="minorHAnsi"/>
          <w:sz w:val="24"/>
          <w:szCs w:val="24"/>
          <w:lang w:val="es-CR"/>
        </w:rPr>
      </w:pPr>
      <w:r w:rsidRPr="007F441A">
        <w:rPr>
          <w:rFonts w:asciiTheme="minorHAnsi" w:hAnsiTheme="minorHAnsi" w:cstheme="minorHAnsi"/>
          <w:sz w:val="24"/>
          <w:szCs w:val="24"/>
          <w:lang w:val="es-CR"/>
        </w:rPr>
        <w:t>La ejecución del presupuesto de egresos se realiza en apego del compromiso adquirido, en cumplimiento de las políticas de austeridad dictadas por las autoridades superiores, procurando que estas disposiciones no menoscaben la consecución de las metas y el desempeño de las responsabilidades propias de la institución.</w:t>
      </w:r>
    </w:p>
    <w:p w:rsidR="000A773F" w:rsidRPr="007F441A" w:rsidRDefault="000A773F" w:rsidP="000A773F">
      <w:pPr>
        <w:rPr>
          <w:rFonts w:asciiTheme="minorHAnsi" w:hAnsiTheme="minorHAnsi" w:cstheme="minorHAnsi"/>
          <w:sz w:val="24"/>
          <w:szCs w:val="24"/>
          <w:lang w:val="es-CR"/>
        </w:rPr>
      </w:pPr>
    </w:p>
    <w:p w:rsidR="005815B2" w:rsidRPr="007F441A" w:rsidRDefault="005815B2" w:rsidP="00225437">
      <w:pPr>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El siguiente cuadro </w:t>
      </w:r>
      <w:r w:rsidR="008F4B27">
        <w:rPr>
          <w:rFonts w:asciiTheme="minorHAnsi" w:hAnsiTheme="minorHAnsi" w:cstheme="minorHAnsi"/>
          <w:sz w:val="24"/>
          <w:szCs w:val="24"/>
          <w:lang w:val="es-CR"/>
        </w:rPr>
        <w:t>resume</w:t>
      </w:r>
      <w:r w:rsidRPr="007F441A">
        <w:rPr>
          <w:rFonts w:asciiTheme="minorHAnsi" w:hAnsiTheme="minorHAnsi" w:cstheme="minorHAnsi"/>
          <w:sz w:val="24"/>
          <w:szCs w:val="24"/>
          <w:lang w:val="es-CR"/>
        </w:rPr>
        <w:t xml:space="preserve"> a nivel de cuentas mayores la conformación del </w:t>
      </w:r>
      <w:r w:rsidR="00C322FC" w:rsidRPr="007F441A">
        <w:rPr>
          <w:rFonts w:asciiTheme="minorHAnsi" w:hAnsiTheme="minorHAnsi" w:cstheme="minorHAnsi"/>
          <w:sz w:val="24"/>
          <w:szCs w:val="24"/>
          <w:lang w:val="es-CR"/>
        </w:rPr>
        <w:t>presupuesto,</w:t>
      </w:r>
      <w:r w:rsidR="00CA2419" w:rsidRPr="007F441A">
        <w:rPr>
          <w:rFonts w:asciiTheme="minorHAnsi" w:hAnsiTheme="minorHAnsi" w:cstheme="minorHAnsi"/>
          <w:sz w:val="24"/>
          <w:szCs w:val="24"/>
          <w:lang w:val="es-CR"/>
        </w:rPr>
        <w:t xml:space="preserve"> así como los montos ejecutados</w:t>
      </w:r>
      <w:r w:rsidR="008F4B27">
        <w:rPr>
          <w:rFonts w:asciiTheme="minorHAnsi" w:hAnsiTheme="minorHAnsi" w:cstheme="minorHAnsi"/>
          <w:sz w:val="24"/>
          <w:szCs w:val="24"/>
          <w:lang w:val="es-CR"/>
        </w:rPr>
        <w:t xml:space="preserve"> y los porcentajes equivalentes para cada una de ellas</w:t>
      </w:r>
      <w:r w:rsidRPr="007F441A">
        <w:rPr>
          <w:rFonts w:asciiTheme="minorHAnsi" w:hAnsiTheme="minorHAnsi" w:cstheme="minorHAnsi"/>
          <w:sz w:val="24"/>
          <w:szCs w:val="24"/>
          <w:lang w:val="es-CR"/>
        </w:rPr>
        <w:t>.</w:t>
      </w:r>
    </w:p>
    <w:p w:rsidR="002A3896" w:rsidRPr="007F441A" w:rsidRDefault="002A3896" w:rsidP="00225437">
      <w:pPr>
        <w:rPr>
          <w:rFonts w:asciiTheme="minorHAnsi" w:hAnsiTheme="minorHAnsi" w:cstheme="minorHAnsi"/>
          <w:sz w:val="24"/>
          <w:szCs w:val="24"/>
          <w:lang w:val="es-CR"/>
        </w:rPr>
      </w:pPr>
    </w:p>
    <w:p w:rsidR="0041579B" w:rsidRPr="007F441A" w:rsidRDefault="0041579B" w:rsidP="00BE5043">
      <w:pPr>
        <w:spacing w:line="240" w:lineRule="auto"/>
        <w:ind w:left="284"/>
        <w:jc w:val="left"/>
        <w:rPr>
          <w:rFonts w:asciiTheme="minorHAnsi" w:hAnsiTheme="minorHAnsi" w:cstheme="minorHAnsi"/>
          <w:b/>
          <w:szCs w:val="22"/>
          <w:lang w:val="es-CR"/>
        </w:rPr>
      </w:pPr>
      <w:r w:rsidRPr="007F441A">
        <w:rPr>
          <w:rFonts w:asciiTheme="minorHAnsi" w:hAnsiTheme="minorHAnsi" w:cstheme="minorHAnsi"/>
          <w:szCs w:val="22"/>
          <w:lang w:val="es-CR"/>
        </w:rPr>
        <w:t xml:space="preserve">Cuadro 2: </w:t>
      </w:r>
      <w:r w:rsidRPr="007F441A">
        <w:rPr>
          <w:rFonts w:asciiTheme="minorHAnsi" w:hAnsiTheme="minorHAnsi" w:cstheme="minorHAnsi"/>
          <w:b/>
          <w:szCs w:val="22"/>
          <w:lang w:val="es-CR"/>
        </w:rPr>
        <w:t xml:space="preserve">Detalle de egresos </w:t>
      </w:r>
    </w:p>
    <w:p w:rsidR="005C2FB5" w:rsidRPr="007F441A" w:rsidRDefault="005C2FB5" w:rsidP="00BE5043">
      <w:pPr>
        <w:spacing w:line="240" w:lineRule="auto"/>
        <w:ind w:left="284"/>
        <w:jc w:val="left"/>
        <w:rPr>
          <w:rFonts w:asciiTheme="minorHAnsi" w:hAnsiTheme="minorHAnsi" w:cstheme="minorHAnsi"/>
          <w:sz w:val="20"/>
          <w:szCs w:val="22"/>
          <w:lang w:val="es-CR"/>
        </w:rPr>
      </w:pPr>
      <w:r w:rsidRPr="007F441A">
        <w:rPr>
          <w:rFonts w:asciiTheme="minorHAnsi" w:hAnsiTheme="minorHAnsi" w:cstheme="minorHAnsi"/>
          <w:sz w:val="20"/>
          <w:szCs w:val="22"/>
          <w:lang w:val="es-CR"/>
        </w:rPr>
        <w:t>30 de junio de 2018</w:t>
      </w:r>
    </w:p>
    <w:p w:rsidR="003E6110" w:rsidRPr="007F441A" w:rsidRDefault="001E0A6E" w:rsidP="00BE5043">
      <w:pPr>
        <w:jc w:val="center"/>
        <w:rPr>
          <w:rFonts w:asciiTheme="minorHAnsi" w:hAnsiTheme="minorHAnsi" w:cstheme="minorHAnsi"/>
          <w:sz w:val="24"/>
          <w:szCs w:val="24"/>
          <w:lang w:val="es-CR"/>
        </w:rPr>
      </w:pPr>
      <w:r w:rsidRPr="007F441A">
        <w:rPr>
          <w:noProof/>
          <w:lang w:val="es-CR"/>
        </w:rPr>
        <w:drawing>
          <wp:inline distT="0" distB="0" distL="0" distR="0" wp14:anchorId="2EF93C74" wp14:editId="1ADE7839">
            <wp:extent cx="5300332" cy="1692087"/>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8428" cy="1701056"/>
                    </a:xfrm>
                    <a:prstGeom prst="rect">
                      <a:avLst/>
                    </a:prstGeom>
                    <a:noFill/>
                    <a:ln>
                      <a:noFill/>
                    </a:ln>
                  </pic:spPr>
                </pic:pic>
              </a:graphicData>
            </a:graphic>
          </wp:inline>
        </w:drawing>
      </w:r>
    </w:p>
    <w:p w:rsidR="0043566D" w:rsidRPr="007F441A" w:rsidRDefault="0043566D" w:rsidP="0043566D">
      <w:pPr>
        <w:pStyle w:val="Textoindependiente"/>
        <w:numPr>
          <w:ilvl w:val="0"/>
          <w:numId w:val="0"/>
        </w:numPr>
        <w:rPr>
          <w:rFonts w:asciiTheme="minorHAnsi" w:hAnsiTheme="minorHAnsi" w:cstheme="minorHAnsi"/>
          <w:szCs w:val="24"/>
          <w:lang w:val="es-CR"/>
        </w:rPr>
      </w:pPr>
    </w:p>
    <w:p w:rsidR="0025570E" w:rsidRPr="007F441A" w:rsidRDefault="00B3477C" w:rsidP="0043566D">
      <w:pPr>
        <w:pStyle w:val="Textoindependiente"/>
        <w:numPr>
          <w:ilvl w:val="0"/>
          <w:numId w:val="0"/>
        </w:numPr>
        <w:rPr>
          <w:rFonts w:asciiTheme="minorHAnsi" w:hAnsiTheme="minorHAnsi" w:cstheme="minorHAnsi"/>
          <w:szCs w:val="24"/>
          <w:lang w:val="es-CR"/>
        </w:rPr>
      </w:pPr>
      <w:r w:rsidRPr="007F441A">
        <w:rPr>
          <w:rFonts w:asciiTheme="minorHAnsi" w:hAnsiTheme="minorHAnsi" w:cstheme="minorHAnsi"/>
          <w:szCs w:val="24"/>
          <w:lang w:val="es-CR"/>
        </w:rPr>
        <w:t xml:space="preserve">Al estar </w:t>
      </w:r>
      <w:r w:rsidR="005C2FB5" w:rsidRPr="007F441A">
        <w:rPr>
          <w:rFonts w:asciiTheme="minorHAnsi" w:hAnsiTheme="minorHAnsi" w:cstheme="minorHAnsi"/>
          <w:szCs w:val="24"/>
          <w:lang w:val="es-CR"/>
        </w:rPr>
        <w:t>determinad</w:t>
      </w:r>
      <w:r w:rsidR="004C218A">
        <w:rPr>
          <w:rFonts w:asciiTheme="minorHAnsi" w:hAnsiTheme="minorHAnsi" w:cstheme="minorHAnsi"/>
          <w:szCs w:val="24"/>
          <w:lang w:val="es-CR"/>
        </w:rPr>
        <w:t>a</w:t>
      </w:r>
      <w:r w:rsidRPr="007F441A">
        <w:rPr>
          <w:rFonts w:asciiTheme="minorHAnsi" w:hAnsiTheme="minorHAnsi" w:cstheme="minorHAnsi"/>
          <w:szCs w:val="24"/>
          <w:lang w:val="es-CR"/>
        </w:rPr>
        <w:t xml:space="preserve"> </w:t>
      </w:r>
      <w:r w:rsidR="008F4B27">
        <w:rPr>
          <w:rFonts w:asciiTheme="minorHAnsi" w:hAnsiTheme="minorHAnsi" w:cstheme="minorHAnsi"/>
          <w:szCs w:val="24"/>
          <w:lang w:val="es-CR"/>
        </w:rPr>
        <w:t xml:space="preserve">por Ley </w:t>
      </w:r>
      <w:r w:rsidRPr="007F441A">
        <w:rPr>
          <w:rFonts w:asciiTheme="minorHAnsi" w:hAnsiTheme="minorHAnsi" w:cstheme="minorHAnsi"/>
          <w:szCs w:val="24"/>
          <w:lang w:val="es-CR"/>
        </w:rPr>
        <w:t xml:space="preserve">la manera de recibir los </w:t>
      </w:r>
      <w:r w:rsidR="005C2FB5" w:rsidRPr="007F441A">
        <w:rPr>
          <w:rFonts w:asciiTheme="minorHAnsi" w:hAnsiTheme="minorHAnsi" w:cstheme="minorHAnsi"/>
          <w:szCs w:val="24"/>
          <w:lang w:val="es-CR"/>
        </w:rPr>
        <w:t>ingresos</w:t>
      </w:r>
      <w:r w:rsidRPr="007F441A">
        <w:rPr>
          <w:rFonts w:asciiTheme="minorHAnsi" w:hAnsiTheme="minorHAnsi" w:cstheme="minorHAnsi"/>
          <w:szCs w:val="24"/>
          <w:lang w:val="es-CR"/>
        </w:rPr>
        <w:t xml:space="preserve"> </w:t>
      </w:r>
      <w:r w:rsidR="00195489" w:rsidRPr="007F441A">
        <w:rPr>
          <w:rFonts w:asciiTheme="minorHAnsi" w:hAnsiTheme="minorHAnsi" w:cstheme="minorHAnsi"/>
          <w:szCs w:val="24"/>
          <w:lang w:val="es-CR"/>
        </w:rPr>
        <w:t xml:space="preserve">incide </w:t>
      </w:r>
      <w:r w:rsidRPr="007F441A">
        <w:rPr>
          <w:rFonts w:asciiTheme="minorHAnsi" w:hAnsiTheme="minorHAnsi" w:cstheme="minorHAnsi"/>
          <w:szCs w:val="24"/>
          <w:lang w:val="es-CR"/>
        </w:rPr>
        <w:t xml:space="preserve">de una forma directa en que no </w:t>
      </w:r>
      <w:r w:rsidR="00045BCD" w:rsidRPr="007F441A">
        <w:rPr>
          <w:rFonts w:asciiTheme="minorHAnsi" w:hAnsiTheme="minorHAnsi" w:cstheme="minorHAnsi"/>
          <w:szCs w:val="24"/>
          <w:lang w:val="es-CR"/>
        </w:rPr>
        <w:t>haya</w:t>
      </w:r>
      <w:r w:rsidRPr="007F441A">
        <w:rPr>
          <w:rFonts w:asciiTheme="minorHAnsi" w:hAnsiTheme="minorHAnsi" w:cstheme="minorHAnsi"/>
          <w:szCs w:val="24"/>
          <w:lang w:val="es-CR"/>
        </w:rPr>
        <w:t xml:space="preserve"> limitaciones</w:t>
      </w:r>
      <w:r w:rsidR="00195489" w:rsidRPr="007F441A">
        <w:rPr>
          <w:rFonts w:asciiTheme="minorHAnsi" w:hAnsiTheme="minorHAnsi" w:cstheme="minorHAnsi"/>
          <w:szCs w:val="24"/>
          <w:lang w:val="es-CR"/>
        </w:rPr>
        <w:t xml:space="preserve"> </w:t>
      </w:r>
      <w:r w:rsidR="001757C4" w:rsidRPr="007F441A">
        <w:rPr>
          <w:rFonts w:asciiTheme="minorHAnsi" w:hAnsiTheme="minorHAnsi" w:cstheme="minorHAnsi"/>
          <w:szCs w:val="24"/>
          <w:lang w:val="es-CR"/>
        </w:rPr>
        <w:t xml:space="preserve">económicas </w:t>
      </w:r>
      <w:r w:rsidR="00195489" w:rsidRPr="007F441A">
        <w:rPr>
          <w:rFonts w:asciiTheme="minorHAnsi" w:hAnsiTheme="minorHAnsi" w:cstheme="minorHAnsi"/>
          <w:szCs w:val="24"/>
          <w:lang w:val="es-CR"/>
        </w:rPr>
        <w:t>en cuant</w:t>
      </w:r>
      <w:r w:rsidR="001757C4" w:rsidRPr="007F441A">
        <w:rPr>
          <w:rFonts w:asciiTheme="minorHAnsi" w:hAnsiTheme="minorHAnsi" w:cstheme="minorHAnsi"/>
          <w:szCs w:val="24"/>
          <w:lang w:val="es-CR"/>
        </w:rPr>
        <w:t>o</w:t>
      </w:r>
      <w:r w:rsidR="00195489" w:rsidRPr="007F441A">
        <w:rPr>
          <w:rFonts w:asciiTheme="minorHAnsi" w:hAnsiTheme="minorHAnsi" w:cstheme="minorHAnsi"/>
          <w:szCs w:val="24"/>
          <w:lang w:val="es-CR"/>
        </w:rPr>
        <w:t xml:space="preserve"> a </w:t>
      </w:r>
      <w:r w:rsidR="001757C4" w:rsidRPr="007F441A">
        <w:rPr>
          <w:rFonts w:asciiTheme="minorHAnsi" w:hAnsiTheme="minorHAnsi" w:cstheme="minorHAnsi"/>
          <w:szCs w:val="24"/>
          <w:lang w:val="es-CR"/>
        </w:rPr>
        <w:t xml:space="preserve">la ejecución de los gastos programados, razón por la cual </w:t>
      </w:r>
      <w:r w:rsidRPr="007F441A">
        <w:rPr>
          <w:rFonts w:asciiTheme="minorHAnsi" w:hAnsiTheme="minorHAnsi" w:cstheme="minorHAnsi"/>
          <w:szCs w:val="24"/>
          <w:lang w:val="es-CR"/>
        </w:rPr>
        <w:t xml:space="preserve">no hay </w:t>
      </w:r>
      <w:r w:rsidR="001757C4" w:rsidRPr="007F441A">
        <w:rPr>
          <w:rFonts w:asciiTheme="minorHAnsi" w:hAnsiTheme="minorHAnsi" w:cstheme="minorHAnsi"/>
          <w:szCs w:val="24"/>
          <w:lang w:val="es-CR"/>
        </w:rPr>
        <w:t>restricciones que enumerar en este apartado.</w:t>
      </w:r>
      <w:r w:rsidRPr="007F441A">
        <w:rPr>
          <w:rFonts w:asciiTheme="minorHAnsi" w:hAnsiTheme="minorHAnsi" w:cstheme="minorHAnsi"/>
          <w:szCs w:val="24"/>
          <w:lang w:val="es-CR"/>
        </w:rPr>
        <w:t xml:space="preserve"> </w:t>
      </w:r>
    </w:p>
    <w:p w:rsidR="000A5E7E" w:rsidRPr="007F441A" w:rsidRDefault="000A5E7E">
      <w:pPr>
        <w:spacing w:line="240" w:lineRule="auto"/>
        <w:jc w:val="left"/>
        <w:rPr>
          <w:rFonts w:asciiTheme="minorHAnsi" w:hAnsiTheme="minorHAnsi" w:cstheme="minorHAnsi"/>
          <w:sz w:val="24"/>
          <w:szCs w:val="24"/>
          <w:lang w:val="es-CR"/>
        </w:rPr>
      </w:pPr>
      <w:r w:rsidRPr="007F441A">
        <w:rPr>
          <w:rFonts w:asciiTheme="minorHAnsi" w:hAnsiTheme="minorHAnsi" w:cstheme="minorHAnsi"/>
          <w:sz w:val="24"/>
          <w:szCs w:val="24"/>
          <w:lang w:val="es-CR"/>
        </w:rPr>
        <w:br w:type="page"/>
      </w:r>
    </w:p>
    <w:p w:rsidR="002F2009" w:rsidRPr="000F5AC7" w:rsidRDefault="002F2009" w:rsidP="002F2009">
      <w:pPr>
        <w:pStyle w:val="Ttulo1"/>
        <w:numPr>
          <w:ilvl w:val="0"/>
          <w:numId w:val="2"/>
        </w:numPr>
        <w:shd w:val="clear" w:color="auto" w:fill="DBE5F1" w:themeFill="accent1" w:themeFillTint="33"/>
        <w:spacing w:line="288" w:lineRule="auto"/>
        <w:rPr>
          <w:rFonts w:asciiTheme="minorHAnsi" w:hAnsiTheme="minorHAnsi" w:cstheme="minorHAnsi"/>
          <w:szCs w:val="28"/>
          <w:lang w:val="es-CR"/>
        </w:rPr>
      </w:pPr>
      <w:bookmarkStart w:id="10" w:name="_Toc519073092"/>
      <w:r w:rsidRPr="007F441A">
        <w:rPr>
          <w:rFonts w:asciiTheme="minorHAnsi" w:hAnsiTheme="minorHAnsi" w:cstheme="minorHAnsi"/>
          <w:sz w:val="28"/>
          <w:szCs w:val="28"/>
          <w:lang w:val="es-CR"/>
        </w:rPr>
        <w:t>RESULTADO DE LA EJECUCI</w:t>
      </w:r>
      <w:r w:rsidR="00A93F11" w:rsidRPr="007F441A">
        <w:rPr>
          <w:rFonts w:asciiTheme="minorHAnsi" w:hAnsiTheme="minorHAnsi" w:cstheme="minorHAnsi"/>
          <w:sz w:val="28"/>
          <w:szCs w:val="28"/>
          <w:lang w:val="es-CR"/>
        </w:rPr>
        <w:t xml:space="preserve">ÓN </w:t>
      </w:r>
      <w:r w:rsidRPr="007F441A">
        <w:rPr>
          <w:rFonts w:asciiTheme="minorHAnsi" w:hAnsiTheme="minorHAnsi" w:cstheme="minorHAnsi"/>
          <w:sz w:val="28"/>
          <w:szCs w:val="28"/>
          <w:lang w:val="es-CR"/>
        </w:rPr>
        <w:t>-SUPERÁVIT O DÉFICIT-</w:t>
      </w:r>
      <w:r w:rsidR="00AD0001">
        <w:rPr>
          <w:rFonts w:asciiTheme="minorHAnsi" w:hAnsiTheme="minorHAnsi" w:cstheme="minorHAnsi"/>
          <w:sz w:val="28"/>
          <w:szCs w:val="28"/>
          <w:lang w:val="es-CR"/>
        </w:rPr>
        <w:t xml:space="preserve"> </w:t>
      </w:r>
      <w:r w:rsidR="00AD0001" w:rsidRPr="000F5AC7">
        <w:rPr>
          <w:rFonts w:asciiTheme="minorHAnsi" w:hAnsiTheme="minorHAnsi" w:cstheme="minorHAnsi"/>
          <w:b w:val="0"/>
          <w:sz w:val="16"/>
          <w:szCs w:val="28"/>
          <w:lang w:val="es-CR"/>
        </w:rPr>
        <w:t>(4.5.6 b. ii)</w:t>
      </w:r>
      <w:bookmarkEnd w:id="10"/>
    </w:p>
    <w:p w:rsidR="002F2009" w:rsidRPr="007F441A" w:rsidRDefault="002F2009" w:rsidP="00225437">
      <w:pPr>
        <w:rPr>
          <w:rFonts w:asciiTheme="minorHAnsi" w:hAnsiTheme="minorHAnsi" w:cstheme="minorHAnsi"/>
          <w:sz w:val="24"/>
          <w:szCs w:val="24"/>
          <w:lang w:val="es-CR"/>
        </w:rPr>
      </w:pPr>
    </w:p>
    <w:p w:rsidR="0050400F" w:rsidRPr="007F441A" w:rsidRDefault="0050400F" w:rsidP="00225437">
      <w:pPr>
        <w:rPr>
          <w:rFonts w:asciiTheme="minorHAnsi" w:hAnsiTheme="minorHAnsi" w:cstheme="minorHAnsi"/>
          <w:sz w:val="24"/>
          <w:szCs w:val="24"/>
          <w:lang w:val="es-CR"/>
        </w:rPr>
      </w:pPr>
      <w:r w:rsidRPr="007F441A">
        <w:rPr>
          <w:rFonts w:asciiTheme="minorHAnsi" w:hAnsiTheme="minorHAnsi" w:cstheme="minorHAnsi"/>
          <w:sz w:val="24"/>
          <w:szCs w:val="24"/>
          <w:lang w:val="es-CR"/>
        </w:rPr>
        <w:t>El financiamiento del presupuesto de la SUPEN está determinado en la Ley Regu</w:t>
      </w:r>
      <w:r w:rsidR="00FD32CF" w:rsidRPr="007F441A">
        <w:rPr>
          <w:rFonts w:asciiTheme="minorHAnsi" w:hAnsiTheme="minorHAnsi" w:cstheme="minorHAnsi"/>
          <w:sz w:val="24"/>
          <w:szCs w:val="24"/>
          <w:lang w:val="es-CR"/>
        </w:rPr>
        <w:t>ladora del Mercado de Valores N</w:t>
      </w:r>
      <w:r w:rsidRPr="007F441A">
        <w:rPr>
          <w:rFonts w:asciiTheme="minorHAnsi" w:hAnsiTheme="minorHAnsi" w:cstheme="minorHAnsi"/>
          <w:sz w:val="24"/>
          <w:szCs w:val="24"/>
          <w:lang w:val="es-CR"/>
        </w:rPr>
        <w:t xml:space="preserve">°7732, en la que establece que, del presupuesto ejecutado un 80% es aportado por el </w:t>
      </w:r>
      <w:r w:rsidR="007E5C75">
        <w:rPr>
          <w:rFonts w:asciiTheme="minorHAnsi" w:hAnsiTheme="minorHAnsi" w:cstheme="minorHAnsi"/>
          <w:sz w:val="24"/>
          <w:szCs w:val="24"/>
          <w:lang w:val="es-CR"/>
        </w:rPr>
        <w:t>BCCR</w:t>
      </w:r>
      <w:r w:rsidRPr="007F441A">
        <w:rPr>
          <w:rFonts w:asciiTheme="minorHAnsi" w:hAnsiTheme="minorHAnsi" w:cstheme="minorHAnsi"/>
          <w:sz w:val="24"/>
          <w:szCs w:val="24"/>
          <w:lang w:val="es-CR"/>
        </w:rPr>
        <w:t xml:space="preserve"> y el restante 20% es contribuido </w:t>
      </w:r>
      <w:r w:rsidR="00073388" w:rsidRPr="007F441A">
        <w:rPr>
          <w:rFonts w:asciiTheme="minorHAnsi" w:hAnsiTheme="minorHAnsi" w:cstheme="minorHAnsi"/>
          <w:sz w:val="24"/>
          <w:szCs w:val="24"/>
          <w:lang w:val="es-CR"/>
        </w:rPr>
        <w:t xml:space="preserve">de manera proporcional </w:t>
      </w:r>
      <w:r w:rsidRPr="007F441A">
        <w:rPr>
          <w:rFonts w:asciiTheme="minorHAnsi" w:hAnsiTheme="minorHAnsi" w:cstheme="minorHAnsi"/>
          <w:sz w:val="24"/>
          <w:szCs w:val="24"/>
          <w:lang w:val="es-CR"/>
        </w:rPr>
        <w:t>por los sujetos supervisados.</w:t>
      </w:r>
    </w:p>
    <w:p w:rsidR="0050400F" w:rsidRPr="007F441A" w:rsidRDefault="0050400F" w:rsidP="00225437">
      <w:pPr>
        <w:rPr>
          <w:rFonts w:asciiTheme="minorHAnsi" w:hAnsiTheme="minorHAnsi" w:cstheme="minorHAnsi"/>
          <w:sz w:val="24"/>
          <w:szCs w:val="24"/>
          <w:lang w:val="es-CR"/>
        </w:rPr>
      </w:pPr>
    </w:p>
    <w:p w:rsidR="0050400F" w:rsidRPr="007F441A" w:rsidRDefault="007E5C75" w:rsidP="00225437">
      <w:pPr>
        <w:rPr>
          <w:rFonts w:asciiTheme="minorHAnsi" w:hAnsiTheme="minorHAnsi" w:cstheme="minorHAnsi"/>
          <w:sz w:val="24"/>
          <w:szCs w:val="24"/>
          <w:lang w:val="es-CR"/>
        </w:rPr>
      </w:pPr>
      <w:r>
        <w:rPr>
          <w:rFonts w:asciiTheme="minorHAnsi" w:hAnsiTheme="minorHAnsi" w:cstheme="minorHAnsi"/>
          <w:sz w:val="24"/>
          <w:szCs w:val="24"/>
          <w:lang w:val="es-CR"/>
        </w:rPr>
        <w:t>En e</w:t>
      </w:r>
      <w:r w:rsidR="00631054" w:rsidRPr="007F441A">
        <w:rPr>
          <w:rFonts w:asciiTheme="minorHAnsi" w:hAnsiTheme="minorHAnsi" w:cstheme="minorHAnsi"/>
          <w:sz w:val="24"/>
          <w:szCs w:val="24"/>
          <w:lang w:val="es-CR"/>
        </w:rPr>
        <w:t xml:space="preserve">l siguiente cuadro </w:t>
      </w:r>
      <w:r>
        <w:rPr>
          <w:rFonts w:asciiTheme="minorHAnsi" w:hAnsiTheme="minorHAnsi" w:cstheme="minorHAnsi"/>
          <w:sz w:val="24"/>
          <w:szCs w:val="24"/>
          <w:lang w:val="es-CR"/>
        </w:rPr>
        <w:t xml:space="preserve">se </w:t>
      </w:r>
      <w:r w:rsidR="00631054" w:rsidRPr="007F441A">
        <w:rPr>
          <w:rFonts w:asciiTheme="minorHAnsi" w:hAnsiTheme="minorHAnsi" w:cstheme="minorHAnsi"/>
          <w:sz w:val="24"/>
          <w:szCs w:val="24"/>
          <w:lang w:val="es-CR"/>
        </w:rPr>
        <w:t xml:space="preserve">representa </w:t>
      </w:r>
      <w:r w:rsidR="004C218A">
        <w:rPr>
          <w:rFonts w:asciiTheme="minorHAnsi" w:hAnsiTheme="minorHAnsi" w:cstheme="minorHAnsi"/>
          <w:sz w:val="24"/>
          <w:szCs w:val="24"/>
          <w:lang w:val="es-CR"/>
        </w:rPr>
        <w:t>el comportamiento de</w:t>
      </w:r>
      <w:r w:rsidR="00631054" w:rsidRPr="007F441A">
        <w:rPr>
          <w:rFonts w:asciiTheme="minorHAnsi" w:hAnsiTheme="minorHAnsi" w:cstheme="minorHAnsi"/>
          <w:sz w:val="24"/>
          <w:szCs w:val="24"/>
          <w:lang w:val="es-CR"/>
        </w:rPr>
        <w:t xml:space="preserve"> los ingresos en </w:t>
      </w:r>
      <w:r w:rsidR="00B7728D" w:rsidRPr="007F441A">
        <w:rPr>
          <w:rFonts w:asciiTheme="minorHAnsi" w:hAnsiTheme="minorHAnsi" w:cstheme="minorHAnsi"/>
          <w:sz w:val="24"/>
          <w:szCs w:val="24"/>
          <w:lang w:val="es-CR"/>
        </w:rPr>
        <w:t>relación con los egresos</w:t>
      </w:r>
      <w:r w:rsidR="004C218A">
        <w:rPr>
          <w:rFonts w:asciiTheme="minorHAnsi" w:hAnsiTheme="minorHAnsi" w:cstheme="minorHAnsi"/>
          <w:sz w:val="24"/>
          <w:szCs w:val="24"/>
          <w:lang w:val="es-CR"/>
        </w:rPr>
        <w:t>, para el</w:t>
      </w:r>
      <w:r>
        <w:rPr>
          <w:rFonts w:asciiTheme="minorHAnsi" w:hAnsiTheme="minorHAnsi" w:cstheme="minorHAnsi"/>
          <w:sz w:val="24"/>
          <w:szCs w:val="24"/>
          <w:lang w:val="es-CR"/>
        </w:rPr>
        <w:t xml:space="preserve"> primer semestre</w:t>
      </w:r>
      <w:r w:rsidR="00A1087A" w:rsidRPr="007F441A">
        <w:rPr>
          <w:rFonts w:asciiTheme="minorHAnsi" w:hAnsiTheme="minorHAnsi" w:cstheme="minorHAnsi"/>
          <w:sz w:val="24"/>
          <w:szCs w:val="24"/>
          <w:lang w:val="es-CR"/>
        </w:rPr>
        <w:t>.</w:t>
      </w:r>
    </w:p>
    <w:p w:rsidR="0050400F" w:rsidRPr="007F441A" w:rsidRDefault="0050400F" w:rsidP="00225437">
      <w:pPr>
        <w:rPr>
          <w:rFonts w:asciiTheme="minorHAnsi" w:hAnsiTheme="minorHAnsi" w:cstheme="minorHAnsi"/>
          <w:sz w:val="24"/>
          <w:szCs w:val="24"/>
          <w:lang w:val="es-CR"/>
        </w:rPr>
      </w:pPr>
    </w:p>
    <w:p w:rsidR="00A93F11" w:rsidRPr="007F441A" w:rsidRDefault="005C2FB5" w:rsidP="00BE5043">
      <w:pPr>
        <w:spacing w:line="240" w:lineRule="auto"/>
        <w:ind w:left="1418"/>
        <w:rPr>
          <w:rFonts w:asciiTheme="minorHAnsi" w:hAnsiTheme="minorHAnsi" w:cstheme="minorHAnsi"/>
          <w:lang w:val="es-CR"/>
        </w:rPr>
      </w:pPr>
      <w:r w:rsidRPr="007F441A">
        <w:rPr>
          <w:rFonts w:asciiTheme="minorHAnsi" w:hAnsiTheme="minorHAnsi" w:cstheme="minorHAnsi"/>
          <w:lang w:val="es-CR"/>
        </w:rPr>
        <w:t>Cuadro 3</w:t>
      </w:r>
      <w:r w:rsidR="00A93F11" w:rsidRPr="007F441A">
        <w:rPr>
          <w:rFonts w:asciiTheme="minorHAnsi" w:hAnsiTheme="minorHAnsi" w:cstheme="minorHAnsi"/>
          <w:lang w:val="es-CR"/>
        </w:rPr>
        <w:t xml:space="preserve">: </w:t>
      </w:r>
      <w:r w:rsidR="00A93F11" w:rsidRPr="007F441A">
        <w:rPr>
          <w:rFonts w:asciiTheme="minorHAnsi" w:hAnsiTheme="minorHAnsi" w:cstheme="minorHAnsi"/>
          <w:b/>
          <w:lang w:val="es-CR"/>
        </w:rPr>
        <w:t>Informe de superávit o déficit</w:t>
      </w:r>
    </w:p>
    <w:p w:rsidR="00A93F11" w:rsidRPr="007F441A" w:rsidRDefault="00A93F11" w:rsidP="00BE5043">
      <w:pPr>
        <w:spacing w:line="240" w:lineRule="auto"/>
        <w:ind w:left="1418"/>
        <w:rPr>
          <w:rFonts w:asciiTheme="minorHAnsi" w:hAnsiTheme="minorHAnsi" w:cstheme="minorHAnsi"/>
          <w:sz w:val="20"/>
          <w:lang w:val="es-CR"/>
        </w:rPr>
      </w:pPr>
      <w:r w:rsidRPr="007F441A">
        <w:rPr>
          <w:rFonts w:asciiTheme="minorHAnsi" w:hAnsiTheme="minorHAnsi" w:cstheme="minorHAnsi"/>
          <w:sz w:val="20"/>
          <w:lang w:val="es-CR"/>
        </w:rPr>
        <w:t>3</w:t>
      </w:r>
      <w:r w:rsidR="005C2FB5" w:rsidRPr="007F441A">
        <w:rPr>
          <w:rFonts w:asciiTheme="minorHAnsi" w:hAnsiTheme="minorHAnsi" w:cstheme="minorHAnsi"/>
          <w:sz w:val="20"/>
          <w:lang w:val="es-CR"/>
        </w:rPr>
        <w:t>0</w:t>
      </w:r>
      <w:r w:rsidRPr="007F441A">
        <w:rPr>
          <w:rFonts w:asciiTheme="minorHAnsi" w:hAnsiTheme="minorHAnsi" w:cstheme="minorHAnsi"/>
          <w:sz w:val="20"/>
          <w:lang w:val="es-CR"/>
        </w:rPr>
        <w:t xml:space="preserve"> de </w:t>
      </w:r>
      <w:r w:rsidR="005C2FB5" w:rsidRPr="007F441A">
        <w:rPr>
          <w:rFonts w:asciiTheme="minorHAnsi" w:hAnsiTheme="minorHAnsi" w:cstheme="minorHAnsi"/>
          <w:sz w:val="20"/>
          <w:lang w:val="es-CR"/>
        </w:rPr>
        <w:t>junio de 2018</w:t>
      </w:r>
    </w:p>
    <w:p w:rsidR="00A93F11" w:rsidRPr="007F441A" w:rsidRDefault="007A2976" w:rsidP="00BE5043">
      <w:pPr>
        <w:ind w:right="51"/>
        <w:jc w:val="center"/>
        <w:rPr>
          <w:rFonts w:asciiTheme="minorHAnsi" w:hAnsiTheme="minorHAnsi" w:cstheme="minorHAnsi"/>
          <w:lang w:val="es-CR"/>
        </w:rPr>
      </w:pPr>
      <w:r w:rsidRPr="007F441A">
        <w:rPr>
          <w:noProof/>
          <w:lang w:val="es-CR"/>
        </w:rPr>
        <w:drawing>
          <wp:inline distT="0" distB="0" distL="0" distR="0" wp14:anchorId="5DAA88DB" wp14:editId="75AF40D6">
            <wp:extent cx="3808675" cy="3255105"/>
            <wp:effectExtent l="0" t="0" r="1905"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1384" cy="3257421"/>
                    </a:xfrm>
                    <a:prstGeom prst="rect">
                      <a:avLst/>
                    </a:prstGeom>
                    <a:noFill/>
                    <a:ln>
                      <a:noFill/>
                    </a:ln>
                  </pic:spPr>
                </pic:pic>
              </a:graphicData>
            </a:graphic>
          </wp:inline>
        </w:drawing>
      </w:r>
    </w:p>
    <w:p w:rsidR="00A93F11" w:rsidRPr="007F441A" w:rsidRDefault="00A93F11" w:rsidP="00A93F11">
      <w:pPr>
        <w:rPr>
          <w:rFonts w:asciiTheme="minorHAnsi" w:hAnsiTheme="minorHAnsi" w:cstheme="minorHAnsi"/>
          <w:lang w:val="es-CR"/>
        </w:rPr>
      </w:pPr>
    </w:p>
    <w:p w:rsidR="00611864" w:rsidRPr="007F441A" w:rsidRDefault="00611864" w:rsidP="00611864">
      <w:pPr>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Dada </w:t>
      </w:r>
      <w:r>
        <w:rPr>
          <w:rFonts w:asciiTheme="minorHAnsi" w:hAnsiTheme="minorHAnsi" w:cstheme="minorHAnsi"/>
          <w:sz w:val="24"/>
          <w:szCs w:val="24"/>
          <w:lang w:val="es-CR"/>
        </w:rPr>
        <w:t>la</w:t>
      </w:r>
      <w:r w:rsidRPr="007F441A">
        <w:rPr>
          <w:rFonts w:asciiTheme="minorHAnsi" w:hAnsiTheme="minorHAnsi" w:cstheme="minorHAnsi"/>
          <w:sz w:val="24"/>
          <w:szCs w:val="24"/>
          <w:lang w:val="es-CR"/>
        </w:rPr>
        <w:t xml:space="preserve"> normativa</w:t>
      </w:r>
      <w:r>
        <w:rPr>
          <w:rFonts w:asciiTheme="minorHAnsi" w:hAnsiTheme="minorHAnsi" w:cstheme="minorHAnsi"/>
          <w:sz w:val="24"/>
          <w:szCs w:val="24"/>
          <w:lang w:val="es-CR"/>
        </w:rPr>
        <w:t xml:space="preserve"> aplicable para el caso de financiamiento del presupuesto</w:t>
      </w:r>
      <w:r w:rsidRPr="007F441A">
        <w:rPr>
          <w:rFonts w:asciiTheme="minorHAnsi" w:hAnsiTheme="minorHAnsi" w:cstheme="minorHAnsi"/>
          <w:sz w:val="24"/>
          <w:szCs w:val="24"/>
          <w:lang w:val="es-CR"/>
        </w:rPr>
        <w:t xml:space="preserve">, la SUPEN no refleja ningún tipo de superávit o déficit, por lo tanto, </w:t>
      </w:r>
      <w:r w:rsidR="00E617C8">
        <w:rPr>
          <w:rFonts w:asciiTheme="minorHAnsi" w:hAnsiTheme="minorHAnsi" w:cstheme="minorHAnsi"/>
          <w:sz w:val="24"/>
          <w:szCs w:val="24"/>
          <w:lang w:val="es-CR"/>
        </w:rPr>
        <w:t>de conformidad con lo establecido en la Norma 4.5.6 b) ii</w:t>
      </w:r>
      <w:r w:rsidR="00BE5043">
        <w:rPr>
          <w:rFonts w:asciiTheme="minorHAnsi" w:hAnsiTheme="minorHAnsi" w:cstheme="minorHAnsi"/>
          <w:sz w:val="24"/>
          <w:szCs w:val="24"/>
          <w:lang w:val="es-CR"/>
        </w:rPr>
        <w:t xml:space="preserve">, </w:t>
      </w:r>
      <w:r w:rsidRPr="007F441A">
        <w:rPr>
          <w:rFonts w:asciiTheme="minorHAnsi" w:hAnsiTheme="minorHAnsi" w:cstheme="minorHAnsi"/>
          <w:sz w:val="24"/>
          <w:szCs w:val="24"/>
          <w:lang w:val="es-CR"/>
        </w:rPr>
        <w:t>no se presenta ningún plan de amortización</w:t>
      </w:r>
      <w:r>
        <w:rPr>
          <w:rFonts w:asciiTheme="minorHAnsi" w:hAnsiTheme="minorHAnsi" w:cstheme="minorHAnsi"/>
          <w:sz w:val="24"/>
          <w:szCs w:val="24"/>
          <w:lang w:val="es-CR"/>
        </w:rPr>
        <w:t xml:space="preserve"> del déficit</w:t>
      </w:r>
      <w:r w:rsidRPr="007F441A">
        <w:rPr>
          <w:rFonts w:asciiTheme="minorHAnsi" w:hAnsiTheme="minorHAnsi" w:cstheme="minorHAnsi"/>
          <w:sz w:val="24"/>
          <w:szCs w:val="24"/>
          <w:lang w:val="es-CR"/>
        </w:rPr>
        <w:t xml:space="preserve">, </w:t>
      </w:r>
      <w:r>
        <w:rPr>
          <w:rFonts w:asciiTheme="minorHAnsi" w:hAnsiTheme="minorHAnsi" w:cstheme="minorHAnsi"/>
          <w:sz w:val="24"/>
          <w:szCs w:val="24"/>
          <w:lang w:val="es-CR"/>
        </w:rPr>
        <w:t xml:space="preserve">en consecuencia, tampoco un </w:t>
      </w:r>
      <w:r w:rsidRPr="007F441A">
        <w:rPr>
          <w:rFonts w:asciiTheme="minorHAnsi" w:hAnsiTheme="minorHAnsi" w:cstheme="minorHAnsi"/>
          <w:sz w:val="24"/>
          <w:szCs w:val="24"/>
          <w:lang w:val="es-CR"/>
        </w:rPr>
        <w:t xml:space="preserve">acuerdo de aprobación </w:t>
      </w:r>
      <w:r>
        <w:rPr>
          <w:rFonts w:asciiTheme="minorHAnsi" w:hAnsiTheme="minorHAnsi" w:cstheme="minorHAnsi"/>
          <w:sz w:val="24"/>
          <w:szCs w:val="24"/>
          <w:lang w:val="es-CR"/>
        </w:rPr>
        <w:t xml:space="preserve">del plan </w:t>
      </w:r>
      <w:r w:rsidRPr="007F441A">
        <w:rPr>
          <w:rFonts w:asciiTheme="minorHAnsi" w:hAnsiTheme="minorHAnsi" w:cstheme="minorHAnsi"/>
          <w:sz w:val="24"/>
          <w:szCs w:val="24"/>
          <w:lang w:val="es-CR"/>
        </w:rPr>
        <w:t xml:space="preserve">por parte del jerarca. </w:t>
      </w:r>
    </w:p>
    <w:p w:rsidR="007A2976" w:rsidRPr="007F441A" w:rsidRDefault="007A2976">
      <w:pPr>
        <w:spacing w:line="240" w:lineRule="auto"/>
        <w:jc w:val="left"/>
        <w:rPr>
          <w:rFonts w:asciiTheme="minorHAnsi" w:hAnsiTheme="minorHAnsi" w:cstheme="minorHAnsi"/>
          <w:sz w:val="24"/>
          <w:szCs w:val="24"/>
          <w:lang w:val="es-CR"/>
        </w:rPr>
      </w:pPr>
      <w:r w:rsidRPr="007F441A">
        <w:rPr>
          <w:rFonts w:asciiTheme="minorHAnsi" w:hAnsiTheme="minorHAnsi" w:cstheme="minorHAnsi"/>
          <w:sz w:val="24"/>
          <w:szCs w:val="24"/>
          <w:lang w:val="es-CR"/>
        </w:rPr>
        <w:br w:type="page"/>
      </w:r>
    </w:p>
    <w:p w:rsidR="00A93F11" w:rsidRPr="000F5AC7" w:rsidRDefault="006E10D4" w:rsidP="00A93F11">
      <w:pPr>
        <w:pStyle w:val="Ttulo1"/>
        <w:numPr>
          <w:ilvl w:val="0"/>
          <w:numId w:val="2"/>
        </w:numPr>
        <w:shd w:val="clear" w:color="auto" w:fill="DBE5F1" w:themeFill="accent1" w:themeFillTint="33"/>
        <w:spacing w:line="288" w:lineRule="auto"/>
        <w:rPr>
          <w:rFonts w:asciiTheme="minorHAnsi" w:hAnsiTheme="minorHAnsi" w:cstheme="minorHAnsi"/>
          <w:szCs w:val="28"/>
          <w:lang w:val="es-CR"/>
        </w:rPr>
      </w:pPr>
      <w:bookmarkStart w:id="11" w:name="_Toc519073093"/>
      <w:r w:rsidRPr="007F441A">
        <w:rPr>
          <w:rFonts w:asciiTheme="minorHAnsi" w:hAnsiTheme="minorHAnsi" w:cstheme="minorHAnsi"/>
          <w:sz w:val="28"/>
          <w:szCs w:val="28"/>
          <w:lang w:val="es-CR"/>
        </w:rPr>
        <w:t xml:space="preserve">ANÁLISIS </w:t>
      </w:r>
      <w:r w:rsidR="00A149B1">
        <w:rPr>
          <w:rFonts w:asciiTheme="minorHAnsi" w:hAnsiTheme="minorHAnsi" w:cstheme="minorHAnsi"/>
          <w:sz w:val="28"/>
          <w:szCs w:val="28"/>
          <w:lang w:val="es-CR"/>
        </w:rPr>
        <w:t>DE DESVIACIONES DE MAYOR RELEVANCIA</w:t>
      </w:r>
      <w:r w:rsidR="00212978">
        <w:rPr>
          <w:rFonts w:asciiTheme="minorHAnsi" w:hAnsiTheme="minorHAnsi" w:cstheme="minorHAnsi"/>
          <w:sz w:val="28"/>
          <w:szCs w:val="28"/>
          <w:lang w:val="es-CR"/>
        </w:rPr>
        <w:t xml:space="preserve"> </w:t>
      </w:r>
      <w:r w:rsidR="00212978" w:rsidRPr="000F5AC7">
        <w:rPr>
          <w:rFonts w:asciiTheme="minorHAnsi" w:hAnsiTheme="minorHAnsi" w:cstheme="minorHAnsi"/>
          <w:b w:val="0"/>
          <w:sz w:val="16"/>
          <w:szCs w:val="28"/>
          <w:lang w:val="es-CR"/>
        </w:rPr>
        <w:t>(4.5.6 b. iii)</w:t>
      </w:r>
      <w:bookmarkEnd w:id="11"/>
    </w:p>
    <w:p w:rsidR="00B45046" w:rsidRDefault="00B45046" w:rsidP="00225437">
      <w:pPr>
        <w:rPr>
          <w:rFonts w:asciiTheme="minorHAnsi" w:hAnsiTheme="minorHAnsi" w:cstheme="minorHAnsi"/>
          <w:sz w:val="24"/>
          <w:szCs w:val="24"/>
          <w:lang w:val="es-CR"/>
        </w:rPr>
      </w:pPr>
    </w:p>
    <w:p w:rsidR="00A45E19" w:rsidRPr="007F441A" w:rsidRDefault="00D8636B" w:rsidP="00A45E19">
      <w:pPr>
        <w:pStyle w:val="Ttulo2"/>
      </w:pPr>
      <w:bookmarkStart w:id="12" w:name="_Toc519073094"/>
      <w:r>
        <w:t>3.1</w:t>
      </w:r>
      <w:r w:rsidR="00A45E19" w:rsidRPr="007F441A">
        <w:t xml:space="preserve"> Centro de Costo y el Gasto Asociado</w:t>
      </w:r>
      <w:bookmarkEnd w:id="12"/>
      <w:r w:rsidR="004C218A">
        <w:t xml:space="preserve"> por M</w:t>
      </w:r>
      <w:r w:rsidR="00BE6BEF">
        <w:t>eta</w:t>
      </w:r>
    </w:p>
    <w:p w:rsidR="00A45E19" w:rsidRPr="007F441A" w:rsidRDefault="00A45E19" w:rsidP="00225437">
      <w:pPr>
        <w:rPr>
          <w:rFonts w:asciiTheme="minorHAnsi" w:hAnsiTheme="minorHAnsi" w:cstheme="minorHAnsi"/>
          <w:sz w:val="24"/>
          <w:szCs w:val="24"/>
          <w:lang w:val="es-CR"/>
        </w:rPr>
      </w:pPr>
    </w:p>
    <w:p w:rsidR="006536F8" w:rsidRPr="007F441A" w:rsidRDefault="00DE2936" w:rsidP="00225437">
      <w:pPr>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La SUPEN está conformada por </w:t>
      </w:r>
      <w:r w:rsidR="002959E6" w:rsidRPr="007F441A">
        <w:rPr>
          <w:rFonts w:asciiTheme="minorHAnsi" w:hAnsiTheme="minorHAnsi" w:cstheme="minorHAnsi"/>
          <w:sz w:val="24"/>
          <w:szCs w:val="24"/>
          <w:lang w:val="es-CR"/>
        </w:rPr>
        <w:t>cinco programas</w:t>
      </w:r>
      <w:r w:rsidRPr="007F441A">
        <w:rPr>
          <w:rFonts w:asciiTheme="minorHAnsi" w:hAnsiTheme="minorHAnsi" w:cstheme="minorHAnsi"/>
          <w:sz w:val="24"/>
          <w:szCs w:val="24"/>
          <w:lang w:val="es-CR"/>
        </w:rPr>
        <w:t xml:space="preserve">, cada uno de ellos </w:t>
      </w:r>
      <w:r w:rsidR="002959E6" w:rsidRPr="007F441A">
        <w:rPr>
          <w:rFonts w:asciiTheme="minorHAnsi" w:hAnsiTheme="minorHAnsi" w:cstheme="minorHAnsi"/>
          <w:sz w:val="24"/>
          <w:szCs w:val="24"/>
          <w:lang w:val="es-CR"/>
        </w:rPr>
        <w:t>establece una serie de objetivos y metas</w:t>
      </w:r>
      <w:r w:rsidR="00544F06" w:rsidRPr="007F441A">
        <w:rPr>
          <w:rFonts w:asciiTheme="minorHAnsi" w:hAnsiTheme="minorHAnsi" w:cstheme="minorHAnsi"/>
          <w:sz w:val="24"/>
          <w:szCs w:val="24"/>
          <w:lang w:val="es-CR"/>
        </w:rPr>
        <w:t xml:space="preserve"> que contribuyen al propósito de la organización</w:t>
      </w:r>
      <w:r w:rsidRPr="007F441A">
        <w:rPr>
          <w:rFonts w:asciiTheme="minorHAnsi" w:hAnsiTheme="minorHAnsi" w:cstheme="minorHAnsi"/>
          <w:sz w:val="24"/>
          <w:szCs w:val="24"/>
          <w:lang w:val="es-CR"/>
        </w:rPr>
        <w:t>;</w:t>
      </w:r>
      <w:r w:rsidR="002959E6" w:rsidRPr="007F441A">
        <w:rPr>
          <w:rFonts w:asciiTheme="minorHAnsi" w:hAnsiTheme="minorHAnsi" w:cstheme="minorHAnsi"/>
          <w:sz w:val="24"/>
          <w:szCs w:val="24"/>
          <w:lang w:val="es-CR"/>
        </w:rPr>
        <w:t xml:space="preserve"> el siguiente </w:t>
      </w:r>
      <w:r w:rsidR="00675237" w:rsidRPr="007F441A">
        <w:rPr>
          <w:rFonts w:asciiTheme="minorHAnsi" w:hAnsiTheme="minorHAnsi" w:cstheme="minorHAnsi"/>
          <w:sz w:val="24"/>
          <w:szCs w:val="24"/>
          <w:lang w:val="es-CR"/>
        </w:rPr>
        <w:t>cuadro</w:t>
      </w:r>
      <w:r w:rsidR="002959E6" w:rsidRPr="007F441A">
        <w:rPr>
          <w:rFonts w:asciiTheme="minorHAnsi" w:hAnsiTheme="minorHAnsi" w:cstheme="minorHAnsi"/>
          <w:sz w:val="24"/>
          <w:szCs w:val="24"/>
          <w:lang w:val="es-CR"/>
        </w:rPr>
        <w:t xml:space="preserve"> </w:t>
      </w:r>
      <w:r w:rsidR="00D57519">
        <w:rPr>
          <w:rFonts w:asciiTheme="minorHAnsi" w:hAnsiTheme="minorHAnsi" w:cstheme="minorHAnsi"/>
          <w:sz w:val="24"/>
          <w:szCs w:val="24"/>
          <w:lang w:val="es-CR"/>
        </w:rPr>
        <w:t>representa</w:t>
      </w:r>
      <w:r w:rsidR="002959E6" w:rsidRPr="007F441A">
        <w:rPr>
          <w:rFonts w:asciiTheme="minorHAnsi" w:hAnsiTheme="minorHAnsi" w:cstheme="minorHAnsi"/>
          <w:sz w:val="24"/>
          <w:szCs w:val="24"/>
          <w:lang w:val="es-CR"/>
        </w:rPr>
        <w:t xml:space="preserve"> </w:t>
      </w:r>
      <w:r w:rsidR="00516ACB">
        <w:rPr>
          <w:rFonts w:asciiTheme="minorHAnsi" w:hAnsiTheme="minorHAnsi" w:cstheme="minorHAnsi"/>
          <w:sz w:val="24"/>
          <w:szCs w:val="24"/>
          <w:lang w:val="es-CR"/>
        </w:rPr>
        <w:t>el presupuesto asignado por meta y la ejecución lograda en</w:t>
      </w:r>
      <w:r w:rsidR="002959E6" w:rsidRPr="007F441A">
        <w:rPr>
          <w:rFonts w:asciiTheme="minorHAnsi" w:hAnsiTheme="minorHAnsi" w:cstheme="minorHAnsi"/>
          <w:sz w:val="24"/>
          <w:szCs w:val="24"/>
          <w:lang w:val="es-CR"/>
        </w:rPr>
        <w:t xml:space="preserve"> cada </w:t>
      </w:r>
      <w:r w:rsidR="00E4177C" w:rsidRPr="007F441A">
        <w:rPr>
          <w:rFonts w:asciiTheme="minorHAnsi" w:hAnsiTheme="minorHAnsi" w:cstheme="minorHAnsi"/>
          <w:sz w:val="24"/>
          <w:szCs w:val="24"/>
          <w:lang w:val="es-CR"/>
        </w:rPr>
        <w:t xml:space="preserve">uno de los </w:t>
      </w:r>
      <w:r w:rsidR="002959E6" w:rsidRPr="007F441A">
        <w:rPr>
          <w:rFonts w:asciiTheme="minorHAnsi" w:hAnsiTheme="minorHAnsi" w:cstheme="minorHAnsi"/>
          <w:sz w:val="24"/>
          <w:szCs w:val="24"/>
          <w:lang w:val="es-CR"/>
        </w:rPr>
        <w:t>programa</w:t>
      </w:r>
      <w:r w:rsidR="009D77EF" w:rsidRPr="007F441A">
        <w:rPr>
          <w:rFonts w:asciiTheme="minorHAnsi" w:hAnsiTheme="minorHAnsi" w:cstheme="minorHAnsi"/>
          <w:sz w:val="24"/>
          <w:szCs w:val="24"/>
          <w:lang w:val="es-CR"/>
        </w:rPr>
        <w:t>s</w:t>
      </w:r>
      <w:r w:rsidR="00B7728D" w:rsidRPr="007F441A">
        <w:rPr>
          <w:rFonts w:asciiTheme="minorHAnsi" w:hAnsiTheme="minorHAnsi" w:cstheme="minorHAnsi"/>
          <w:sz w:val="24"/>
          <w:szCs w:val="24"/>
          <w:lang w:val="es-CR"/>
        </w:rPr>
        <w:t>.</w:t>
      </w:r>
    </w:p>
    <w:p w:rsidR="00675237" w:rsidRPr="007F441A" w:rsidRDefault="00675237" w:rsidP="00225437">
      <w:pPr>
        <w:rPr>
          <w:rFonts w:asciiTheme="minorHAnsi" w:hAnsiTheme="minorHAnsi" w:cstheme="minorHAnsi"/>
          <w:sz w:val="24"/>
          <w:szCs w:val="24"/>
          <w:lang w:val="es-CR"/>
        </w:rPr>
      </w:pPr>
    </w:p>
    <w:p w:rsidR="007A6F7B" w:rsidRPr="007F441A" w:rsidRDefault="007A6F7B" w:rsidP="007A6F7B">
      <w:pPr>
        <w:rPr>
          <w:rFonts w:ascii="Calibri" w:hAnsi="Calibri"/>
          <w:b/>
          <w:sz w:val="24"/>
          <w:szCs w:val="24"/>
          <w:lang w:val="es-CR"/>
        </w:rPr>
      </w:pPr>
      <w:bookmarkStart w:id="13" w:name="_Toc109179104"/>
      <w:bookmarkStart w:id="14" w:name="_Toc131912449"/>
      <w:bookmarkStart w:id="15" w:name="_Toc163371954"/>
      <w:bookmarkStart w:id="16" w:name="_Toc195505387"/>
      <w:r w:rsidRPr="007F441A">
        <w:rPr>
          <w:rFonts w:ascii="Calibri" w:hAnsi="Calibri"/>
          <w:sz w:val="24"/>
          <w:szCs w:val="24"/>
          <w:lang w:val="es-CR"/>
        </w:rPr>
        <w:t xml:space="preserve">Cuadro </w:t>
      </w:r>
      <w:r w:rsidR="00675237" w:rsidRPr="007F441A">
        <w:rPr>
          <w:rFonts w:ascii="Calibri" w:hAnsi="Calibri"/>
          <w:sz w:val="24"/>
          <w:szCs w:val="24"/>
          <w:lang w:val="es-CR"/>
        </w:rPr>
        <w:t>4</w:t>
      </w:r>
      <w:r w:rsidRPr="007F441A">
        <w:rPr>
          <w:rFonts w:ascii="Calibri" w:hAnsi="Calibri"/>
          <w:sz w:val="24"/>
          <w:szCs w:val="24"/>
          <w:lang w:val="es-CR"/>
        </w:rPr>
        <w:t xml:space="preserve">: </w:t>
      </w:r>
      <w:r w:rsidR="00D57519" w:rsidRPr="00D57519">
        <w:rPr>
          <w:rFonts w:ascii="Calibri" w:hAnsi="Calibri"/>
          <w:b/>
          <w:sz w:val="24"/>
          <w:szCs w:val="24"/>
          <w:lang w:val="es-CR"/>
        </w:rPr>
        <w:t>Presupuesto ordinario de egresos por programa y por meta</w:t>
      </w:r>
    </w:p>
    <w:tbl>
      <w:tblPr>
        <w:tblW w:w="9776" w:type="dxa"/>
        <w:tblLayout w:type="fixed"/>
        <w:tblCellMar>
          <w:left w:w="70" w:type="dxa"/>
          <w:right w:w="70" w:type="dxa"/>
        </w:tblCellMar>
        <w:tblLook w:val="04A0" w:firstRow="1" w:lastRow="0" w:firstColumn="1" w:lastColumn="0" w:noHBand="0" w:noVBand="1"/>
      </w:tblPr>
      <w:tblGrid>
        <w:gridCol w:w="1129"/>
        <w:gridCol w:w="675"/>
        <w:gridCol w:w="2412"/>
        <w:gridCol w:w="1024"/>
        <w:gridCol w:w="990"/>
        <w:gridCol w:w="1422"/>
        <w:gridCol w:w="1307"/>
        <w:gridCol w:w="817"/>
      </w:tblGrid>
      <w:tr w:rsidR="006F115E" w:rsidRPr="002A13FF" w:rsidTr="00484F9E">
        <w:trPr>
          <w:trHeight w:val="255"/>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bookmarkEnd w:id="13"/>
          <w:bookmarkEnd w:id="14"/>
          <w:bookmarkEnd w:id="15"/>
          <w:bookmarkEnd w:id="16"/>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DEPENDENCIA</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 META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ENUNCIADO</w:t>
            </w:r>
          </w:p>
        </w:tc>
        <w:tc>
          <w:tcPr>
            <w:tcW w:w="1024"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Cantidad de funcionarios</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Cantidad de horas</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6F115E"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P</w:t>
            </w:r>
            <w:r w:rsidR="002A13FF" w:rsidRPr="006F115E">
              <w:rPr>
                <w:rFonts w:ascii="Calibri Light" w:hAnsi="Calibri Light" w:cs="Calibri Light"/>
                <w:b/>
                <w:bCs/>
                <w:sz w:val="16"/>
                <w:szCs w:val="16"/>
                <w:lang w:val="es-CR" w:eastAsia="es-CR"/>
              </w:rPr>
              <w:t>resupuesto por meta</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Ejecutado por meta</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6F115E"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w:t>
            </w:r>
            <w:r w:rsidR="002A13FF" w:rsidRPr="006F115E">
              <w:rPr>
                <w:rFonts w:ascii="Calibri Light" w:hAnsi="Calibri Light" w:cs="Calibri Light"/>
                <w:b/>
                <w:bCs/>
                <w:sz w:val="16"/>
                <w:szCs w:val="16"/>
                <w:lang w:val="es-CR" w:eastAsia="es-CR"/>
              </w:rPr>
              <w:t xml:space="preserve"> Ejecución</w:t>
            </w:r>
          </w:p>
        </w:tc>
      </w:tr>
      <w:tr w:rsidR="006F115E" w:rsidRPr="002A13FF" w:rsidTr="00484F9E">
        <w:trPr>
          <w:trHeight w:val="450"/>
        </w:trPr>
        <w:tc>
          <w:tcPr>
            <w:tcW w:w="112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241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1024"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990" w:type="dxa"/>
            <w:vMerge/>
            <w:tcBorders>
              <w:top w:val="single" w:sz="4" w:space="0" w:color="auto"/>
              <w:left w:val="single" w:sz="4" w:space="0" w:color="auto"/>
              <w:bottom w:val="single" w:sz="4" w:space="0" w:color="000000"/>
              <w:right w:val="single" w:sz="4" w:space="0" w:color="auto"/>
            </w:tcBorders>
            <w:shd w:val="clear" w:color="auto" w:fill="C6D9F1" w:themeFill="text2" w:themeFillTint="33"/>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p>
        </w:tc>
        <w:tc>
          <w:tcPr>
            <w:tcW w:w="142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p>
        </w:tc>
        <w:tc>
          <w:tcPr>
            <w:tcW w:w="1307"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p>
        </w:tc>
        <w:tc>
          <w:tcPr>
            <w:tcW w:w="817"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p>
        </w:tc>
      </w:tr>
      <w:tr w:rsidR="002A13FF" w:rsidRPr="002A13FF" w:rsidTr="00484F9E">
        <w:trPr>
          <w:trHeight w:val="315"/>
        </w:trPr>
        <w:tc>
          <w:tcPr>
            <w:tcW w:w="42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DESPACHO</w:t>
            </w:r>
          </w:p>
        </w:tc>
        <w:tc>
          <w:tcPr>
            <w:tcW w:w="1024"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3</w:t>
            </w:r>
          </w:p>
        </w:tc>
        <w:tc>
          <w:tcPr>
            <w:tcW w:w="990"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2,928 </w:t>
            </w:r>
          </w:p>
        </w:tc>
        <w:tc>
          <w:tcPr>
            <w:tcW w:w="1422"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160,956,576 </w:t>
            </w:r>
          </w:p>
        </w:tc>
        <w:tc>
          <w:tcPr>
            <w:tcW w:w="130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59,851,669 </w:t>
            </w:r>
          </w:p>
        </w:tc>
        <w:tc>
          <w:tcPr>
            <w:tcW w:w="81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37%</w:t>
            </w:r>
          </w:p>
        </w:tc>
      </w:tr>
      <w:tr w:rsidR="002A13FF" w:rsidRPr="002A13FF" w:rsidTr="006F115E">
        <w:trPr>
          <w:trHeight w:val="69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Tener, en promedio, los indicadores de cumplimiento de metas de toda la Superintendencia con nota superior al 85%.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2,928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160,956,576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59,851,669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37%</w:t>
            </w:r>
          </w:p>
        </w:tc>
      </w:tr>
      <w:tr w:rsidR="002A13FF" w:rsidRPr="002A13FF" w:rsidTr="00484F9E">
        <w:trPr>
          <w:trHeight w:val="315"/>
        </w:trPr>
        <w:tc>
          <w:tcPr>
            <w:tcW w:w="42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DIVISIÓN JURÍDICA</w:t>
            </w:r>
          </w:p>
        </w:tc>
        <w:tc>
          <w:tcPr>
            <w:tcW w:w="1024"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8</w:t>
            </w:r>
          </w:p>
        </w:tc>
        <w:tc>
          <w:tcPr>
            <w:tcW w:w="990"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7,756 </w:t>
            </w:r>
          </w:p>
        </w:tc>
        <w:tc>
          <w:tcPr>
            <w:tcW w:w="1422"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512,164,765 </w:t>
            </w:r>
          </w:p>
        </w:tc>
        <w:tc>
          <w:tcPr>
            <w:tcW w:w="130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233,888,232 </w:t>
            </w:r>
          </w:p>
        </w:tc>
        <w:tc>
          <w:tcPr>
            <w:tcW w:w="81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46%</w:t>
            </w:r>
          </w:p>
        </w:tc>
      </w:tr>
      <w:tr w:rsidR="001B1477" w:rsidRPr="002A13FF" w:rsidTr="001B1477">
        <w:trPr>
          <w:trHeight w:val="792"/>
        </w:trPr>
        <w:tc>
          <w:tcPr>
            <w:tcW w:w="112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B1477" w:rsidRPr="006F115E" w:rsidRDefault="001B1477" w:rsidP="001B1477">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w:t>
            </w:r>
          </w:p>
        </w:tc>
        <w:tc>
          <w:tcPr>
            <w:tcW w:w="2412"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Tramitar en tiempo las solicitudes de asesoría jurídica, denuncias y/o consultas jurídicas; las denuncias y/o consultas de los afiliados y los trámites judiciales</w:t>
            </w:r>
          </w:p>
        </w:tc>
        <w:tc>
          <w:tcPr>
            <w:tcW w:w="1024"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right"/>
              <w:rPr>
                <w:rFonts w:ascii="Calibri Light" w:hAnsi="Calibri Light" w:cs="Calibri Light"/>
                <w:sz w:val="16"/>
                <w:szCs w:val="16"/>
                <w:lang w:val="es-CR" w:eastAsia="es-CR"/>
              </w:rPr>
            </w:pPr>
            <w:r>
              <w:rPr>
                <w:rFonts w:ascii="Calibri Light" w:hAnsi="Calibri Light" w:cs="Calibri Light"/>
                <w:sz w:val="16"/>
                <w:szCs w:val="16"/>
                <w:lang w:val="es-CR" w:eastAsia="es-CR"/>
              </w:rPr>
              <w:t>6,2</w:t>
            </w:r>
            <w:r w:rsidRPr="006F115E">
              <w:rPr>
                <w:rFonts w:ascii="Calibri Light" w:hAnsi="Calibri Light" w:cs="Calibri Light"/>
                <w:sz w:val="16"/>
                <w:szCs w:val="16"/>
                <w:lang w:val="es-CR" w:eastAsia="es-CR"/>
              </w:rPr>
              <w:t xml:space="preserve">97 </w:t>
            </w:r>
          </w:p>
        </w:tc>
        <w:tc>
          <w:tcPr>
            <w:tcW w:w="1422"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338,460,611 </w:t>
            </w:r>
          </w:p>
        </w:tc>
        <w:tc>
          <w:tcPr>
            <w:tcW w:w="1307"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right"/>
              <w:rPr>
                <w:rFonts w:ascii="Calibri Light" w:hAnsi="Calibri Light" w:cs="Calibri Light"/>
                <w:sz w:val="16"/>
                <w:szCs w:val="16"/>
                <w:lang w:val="es-CR" w:eastAsia="es-CR"/>
              </w:rPr>
            </w:pPr>
            <w:r w:rsidRPr="001B1477">
              <w:rPr>
                <w:rFonts w:ascii="Calibri Light" w:hAnsi="Calibri Light" w:cs="Calibri Light"/>
                <w:sz w:val="16"/>
                <w:szCs w:val="16"/>
                <w:lang w:val="es-CR" w:eastAsia="es-CR"/>
              </w:rPr>
              <w:t xml:space="preserve"> 189,890,949 </w:t>
            </w:r>
          </w:p>
        </w:tc>
        <w:tc>
          <w:tcPr>
            <w:tcW w:w="817"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center"/>
              <w:rPr>
                <w:rFonts w:ascii="Calibri Light" w:hAnsi="Calibri Light" w:cs="Calibri Light"/>
                <w:sz w:val="16"/>
                <w:szCs w:val="16"/>
                <w:lang w:val="es-CR" w:eastAsia="es-CR"/>
              </w:rPr>
            </w:pPr>
            <w:r>
              <w:rPr>
                <w:rFonts w:ascii="Calibri Light" w:hAnsi="Calibri Light" w:cs="Calibri Light"/>
                <w:sz w:val="16"/>
                <w:szCs w:val="16"/>
                <w:lang w:val="es-CR" w:eastAsia="es-CR"/>
              </w:rPr>
              <w:t>56</w:t>
            </w:r>
            <w:r w:rsidRPr="006F115E">
              <w:rPr>
                <w:rFonts w:ascii="Calibri Light" w:hAnsi="Calibri Light" w:cs="Calibri Light"/>
                <w:sz w:val="16"/>
                <w:szCs w:val="16"/>
                <w:lang w:val="es-CR" w:eastAsia="es-CR"/>
              </w:rPr>
              <w:t>%</w:t>
            </w:r>
          </w:p>
        </w:tc>
      </w:tr>
      <w:tr w:rsidR="001B1477" w:rsidRPr="002A13FF" w:rsidTr="001B1477">
        <w:trPr>
          <w:trHeight w:val="878"/>
        </w:trPr>
        <w:tc>
          <w:tcPr>
            <w:tcW w:w="1129" w:type="dxa"/>
            <w:vMerge/>
            <w:tcBorders>
              <w:top w:val="nil"/>
              <w:left w:val="single" w:sz="4" w:space="0" w:color="auto"/>
              <w:bottom w:val="single" w:sz="4" w:space="0" w:color="000000"/>
              <w:right w:val="single" w:sz="4" w:space="0" w:color="auto"/>
            </w:tcBorders>
            <w:vAlign w:val="center"/>
            <w:hideMark/>
          </w:tcPr>
          <w:p w:rsidR="001B1477" w:rsidRPr="006F115E" w:rsidRDefault="001B1477" w:rsidP="001B1477">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3</w:t>
            </w:r>
          </w:p>
        </w:tc>
        <w:tc>
          <w:tcPr>
            <w:tcW w:w="2412"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Tramitar en un tiempo promedio no superior de </w:t>
            </w:r>
            <w:r w:rsidR="00882DC0">
              <w:rPr>
                <w:rFonts w:ascii="Calibri Light" w:hAnsi="Calibri Light" w:cs="Calibri Light"/>
                <w:sz w:val="16"/>
                <w:szCs w:val="16"/>
                <w:lang w:val="es-CR" w:eastAsia="es-CR"/>
              </w:rPr>
              <w:t>doce</w:t>
            </w:r>
            <w:r w:rsidRPr="006F115E">
              <w:rPr>
                <w:rFonts w:ascii="Calibri Light" w:hAnsi="Calibri Light" w:cs="Calibri Light"/>
                <w:sz w:val="16"/>
                <w:szCs w:val="16"/>
                <w:lang w:val="es-CR" w:eastAsia="es-CR"/>
              </w:rPr>
              <w:t xml:space="preserve"> meses calendario los procedimientos administrativos iniciados por la Superintendencia de Pensiones</w:t>
            </w:r>
          </w:p>
        </w:tc>
        <w:tc>
          <w:tcPr>
            <w:tcW w:w="1024"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right"/>
              <w:rPr>
                <w:rFonts w:ascii="Calibri Light" w:hAnsi="Calibri Light" w:cs="Calibri Light"/>
                <w:sz w:val="16"/>
                <w:szCs w:val="16"/>
                <w:lang w:val="es-CR" w:eastAsia="es-CR"/>
              </w:rPr>
            </w:pPr>
            <w:r>
              <w:rPr>
                <w:rFonts w:ascii="Calibri Light" w:hAnsi="Calibri Light" w:cs="Calibri Light"/>
                <w:sz w:val="16"/>
                <w:szCs w:val="16"/>
                <w:lang w:val="es-CR" w:eastAsia="es-CR"/>
              </w:rPr>
              <w:t>300</w:t>
            </w:r>
          </w:p>
        </w:tc>
        <w:tc>
          <w:tcPr>
            <w:tcW w:w="1422"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78,251,063 </w:t>
            </w:r>
          </w:p>
        </w:tc>
        <w:tc>
          <w:tcPr>
            <w:tcW w:w="1307"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right"/>
              <w:rPr>
                <w:rFonts w:ascii="Calibri Light" w:hAnsi="Calibri Light" w:cs="Calibri Light"/>
                <w:sz w:val="16"/>
                <w:szCs w:val="16"/>
                <w:lang w:val="es-CR" w:eastAsia="es-CR"/>
              </w:rPr>
            </w:pPr>
            <w:r w:rsidRPr="001B1477">
              <w:rPr>
                <w:rFonts w:ascii="Calibri Light" w:hAnsi="Calibri Light" w:cs="Calibri Light"/>
                <w:sz w:val="16"/>
                <w:szCs w:val="16"/>
                <w:lang w:val="es-CR" w:eastAsia="es-CR"/>
              </w:rPr>
              <w:t xml:space="preserve"> 9,046,734 </w:t>
            </w:r>
          </w:p>
        </w:tc>
        <w:tc>
          <w:tcPr>
            <w:tcW w:w="817" w:type="dxa"/>
            <w:tcBorders>
              <w:top w:val="nil"/>
              <w:left w:val="nil"/>
              <w:bottom w:val="single" w:sz="4" w:space="0" w:color="auto"/>
              <w:right w:val="single" w:sz="4" w:space="0" w:color="auto"/>
            </w:tcBorders>
            <w:shd w:val="clear" w:color="auto" w:fill="auto"/>
            <w:vAlign w:val="center"/>
            <w:hideMark/>
          </w:tcPr>
          <w:p w:rsidR="001B1477" w:rsidRPr="006F115E" w:rsidRDefault="001B1477" w:rsidP="001B1477">
            <w:pPr>
              <w:spacing w:line="240" w:lineRule="auto"/>
              <w:jc w:val="center"/>
              <w:rPr>
                <w:rFonts w:ascii="Calibri Light" w:hAnsi="Calibri Light" w:cs="Calibri Light"/>
                <w:sz w:val="16"/>
                <w:szCs w:val="16"/>
                <w:lang w:val="es-CR" w:eastAsia="es-CR"/>
              </w:rPr>
            </w:pPr>
            <w:r>
              <w:rPr>
                <w:rFonts w:ascii="Calibri Light" w:hAnsi="Calibri Light" w:cs="Calibri Light"/>
                <w:sz w:val="16"/>
                <w:szCs w:val="16"/>
                <w:lang w:val="es-CR" w:eastAsia="es-CR"/>
              </w:rPr>
              <w:t>12</w:t>
            </w:r>
            <w:r w:rsidRPr="006F115E">
              <w:rPr>
                <w:rFonts w:ascii="Calibri Light" w:hAnsi="Calibri Light" w:cs="Calibri Light"/>
                <w:sz w:val="16"/>
                <w:szCs w:val="16"/>
                <w:lang w:val="es-CR" w:eastAsia="es-CR"/>
              </w:rPr>
              <w:t>%</w:t>
            </w:r>
          </w:p>
        </w:tc>
      </w:tr>
      <w:tr w:rsidR="002A13FF" w:rsidRPr="002A13FF" w:rsidTr="006F115E">
        <w:trPr>
          <w:trHeight w:val="878"/>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4</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labores de capacitación programadas, dentro de la jornada laboral.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220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14,032,364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6,634,272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47%</w:t>
            </w:r>
          </w:p>
        </w:tc>
      </w:tr>
      <w:tr w:rsidR="002A13FF" w:rsidRPr="002A13FF" w:rsidTr="006F115E">
        <w:trPr>
          <w:trHeight w:val="878"/>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5</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6F115E"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w:t>
            </w:r>
            <w:r w:rsidR="002A13FF" w:rsidRPr="006F115E">
              <w:rPr>
                <w:rFonts w:ascii="Calibri Light" w:hAnsi="Calibri Light" w:cs="Calibri Light"/>
                <w:sz w:val="16"/>
                <w:szCs w:val="16"/>
                <w:lang w:val="es-CR" w:eastAsia="es-CR"/>
              </w:rPr>
              <w:t xml:space="preserve">los requerimientos relacionados con la mejora continua (SGC-Riesgos-PGAI)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58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3,830,010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1,749,035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46%</w:t>
            </w:r>
          </w:p>
        </w:tc>
      </w:tr>
      <w:tr w:rsidR="002A13FF" w:rsidRPr="002A13FF" w:rsidTr="006F115E">
        <w:trPr>
          <w:trHeight w:val="878"/>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6</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actividades relacionadas con proyectos institucionales.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881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77,590,717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26,567,242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34%</w:t>
            </w:r>
          </w:p>
        </w:tc>
      </w:tr>
      <w:tr w:rsidR="002A13FF" w:rsidRPr="002A13FF" w:rsidTr="00484F9E">
        <w:trPr>
          <w:trHeight w:val="360"/>
        </w:trPr>
        <w:tc>
          <w:tcPr>
            <w:tcW w:w="42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DIVISIÓN DE PLANIFICACIÓN Y NORMATIVA</w:t>
            </w:r>
          </w:p>
        </w:tc>
        <w:tc>
          <w:tcPr>
            <w:tcW w:w="1024"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9</w:t>
            </w:r>
          </w:p>
        </w:tc>
        <w:tc>
          <w:tcPr>
            <w:tcW w:w="990"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8,724 </w:t>
            </w:r>
          </w:p>
        </w:tc>
        <w:tc>
          <w:tcPr>
            <w:tcW w:w="1422"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657,896,829 </w:t>
            </w:r>
          </w:p>
        </w:tc>
        <w:tc>
          <w:tcPr>
            <w:tcW w:w="130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300,099,065 </w:t>
            </w:r>
          </w:p>
        </w:tc>
        <w:tc>
          <w:tcPr>
            <w:tcW w:w="81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46%</w:t>
            </w:r>
          </w:p>
        </w:tc>
      </w:tr>
      <w:tr w:rsidR="002A13FF" w:rsidRPr="002A13FF" w:rsidTr="006F115E">
        <w:trPr>
          <w:trHeight w:val="45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7</w:t>
            </w:r>
          </w:p>
        </w:tc>
        <w:tc>
          <w:tcPr>
            <w:tcW w:w="2412"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Tener la planificación estratégica actualizada y alineada a los requerimientos institucionales. </w:t>
            </w:r>
          </w:p>
        </w:tc>
        <w:tc>
          <w:tcPr>
            <w:tcW w:w="1024"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158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11,915,142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5,435,082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46%</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8</w:t>
            </w:r>
          </w:p>
        </w:tc>
        <w:tc>
          <w:tcPr>
            <w:tcW w:w="2412"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Cumplir con las entregas de los proyectos en el plazo planificado. </w:t>
            </w:r>
          </w:p>
        </w:tc>
        <w:tc>
          <w:tcPr>
            <w:tcW w:w="1024"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1,112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86,045,424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38,251,967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44%</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9</w:t>
            </w:r>
          </w:p>
        </w:tc>
        <w:tc>
          <w:tcPr>
            <w:tcW w:w="2412"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Presentar estudios que cumplan con los requisitos del producto.</w:t>
            </w:r>
          </w:p>
        </w:tc>
        <w:tc>
          <w:tcPr>
            <w:tcW w:w="1024"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1,053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79,409,143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36,222,411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46%</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10</w:t>
            </w:r>
          </w:p>
        </w:tc>
        <w:tc>
          <w:tcPr>
            <w:tcW w:w="2412"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Utilizar, en PYN, el 65% del plazo declarado en la publicación realizada en La Gaceta por la SUPEN. </w:t>
            </w:r>
          </w:p>
        </w:tc>
        <w:tc>
          <w:tcPr>
            <w:tcW w:w="1024"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393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29,637,030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13,518,906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46%</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11</w:t>
            </w:r>
          </w:p>
        </w:tc>
        <w:tc>
          <w:tcPr>
            <w:tcW w:w="2412"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Cumplir el 100% del cronograma de revisión de normativa al menos cada tres años. </w:t>
            </w:r>
          </w:p>
        </w:tc>
        <w:tc>
          <w:tcPr>
            <w:tcW w:w="1024"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1,169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103,201,721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40,212,724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39%</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12</w:t>
            </w:r>
          </w:p>
        </w:tc>
        <w:tc>
          <w:tcPr>
            <w:tcW w:w="2412"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labores de capacitación programadas, dentro de la jornada laboral. </w:t>
            </w:r>
          </w:p>
        </w:tc>
        <w:tc>
          <w:tcPr>
            <w:tcW w:w="1024"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253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19,041,604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8,685,811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46%</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13</w:t>
            </w:r>
          </w:p>
        </w:tc>
        <w:tc>
          <w:tcPr>
            <w:tcW w:w="2412" w:type="dxa"/>
            <w:tcBorders>
              <w:top w:val="nil"/>
              <w:left w:val="nil"/>
              <w:bottom w:val="single" w:sz="4" w:space="0" w:color="auto"/>
              <w:right w:val="single" w:sz="4" w:space="0" w:color="auto"/>
            </w:tcBorders>
            <w:shd w:val="clear" w:color="000000" w:fill="FFFFFF"/>
            <w:vAlign w:val="center"/>
            <w:hideMark/>
          </w:tcPr>
          <w:p w:rsidR="002A13FF" w:rsidRPr="006F115E" w:rsidRDefault="006F115E"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w:t>
            </w:r>
            <w:r w:rsidR="002A13FF" w:rsidRPr="006F115E">
              <w:rPr>
                <w:rFonts w:ascii="Calibri Light" w:hAnsi="Calibri Light" w:cs="Calibri Light"/>
                <w:sz w:val="16"/>
                <w:szCs w:val="16"/>
                <w:lang w:val="es-CR" w:eastAsia="es-CR"/>
              </w:rPr>
              <w:t xml:space="preserve">los requerimientos relacionados con la mejora continua (SGC-Riesgos-PGAI) </w:t>
            </w:r>
          </w:p>
        </w:tc>
        <w:tc>
          <w:tcPr>
            <w:tcW w:w="1024"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58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4,373,913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1,995,157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46%</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14</w:t>
            </w:r>
          </w:p>
        </w:tc>
        <w:tc>
          <w:tcPr>
            <w:tcW w:w="2412"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actividades relacionadas con proyectos institucionales. </w:t>
            </w:r>
          </w:p>
        </w:tc>
        <w:tc>
          <w:tcPr>
            <w:tcW w:w="1024" w:type="dxa"/>
            <w:tcBorders>
              <w:top w:val="nil"/>
              <w:left w:val="nil"/>
              <w:bottom w:val="single" w:sz="4" w:space="0" w:color="auto"/>
              <w:right w:val="single" w:sz="4" w:space="0" w:color="auto"/>
            </w:tcBorders>
            <w:shd w:val="clear" w:color="000000" w:fill="FFFFFF"/>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4,529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324,272,852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155,777,008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48%</w:t>
            </w:r>
          </w:p>
        </w:tc>
      </w:tr>
      <w:tr w:rsidR="002A13FF" w:rsidRPr="002A13FF" w:rsidTr="00484F9E">
        <w:trPr>
          <w:trHeight w:val="330"/>
        </w:trPr>
        <w:tc>
          <w:tcPr>
            <w:tcW w:w="42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DIVISIÓN SUPERVISIÓN DEL RÉGIMENES COLECTIVOS</w:t>
            </w:r>
          </w:p>
        </w:tc>
        <w:tc>
          <w:tcPr>
            <w:tcW w:w="1024"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20</w:t>
            </w:r>
          </w:p>
        </w:tc>
        <w:tc>
          <w:tcPr>
            <w:tcW w:w="990"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19,372 </w:t>
            </w:r>
          </w:p>
        </w:tc>
        <w:tc>
          <w:tcPr>
            <w:tcW w:w="1422"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1,336,720,308 </w:t>
            </w:r>
          </w:p>
        </w:tc>
        <w:tc>
          <w:tcPr>
            <w:tcW w:w="130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562,903,974 </w:t>
            </w:r>
          </w:p>
        </w:tc>
        <w:tc>
          <w:tcPr>
            <w:tcW w:w="81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42%</w:t>
            </w:r>
          </w:p>
        </w:tc>
      </w:tr>
      <w:tr w:rsidR="002A13FF" w:rsidRPr="002A13FF" w:rsidTr="006F115E">
        <w:trPr>
          <w:trHeight w:val="855"/>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15</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Ejecutar la supervisión de los regímenes colectivos del Sistema Nacional de Pensiones.</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15,519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1,070,852,904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450,945,012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42%</w:t>
            </w:r>
          </w:p>
        </w:tc>
      </w:tr>
      <w:tr w:rsidR="002A13FF" w:rsidRPr="002A13FF" w:rsidTr="006F115E">
        <w:trPr>
          <w:trHeight w:val="855"/>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16</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labores de capacitación programadas, dentro de la jornada laboral.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286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61,757,417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8,310,476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13%</w:t>
            </w:r>
          </w:p>
        </w:tc>
      </w:tr>
      <w:tr w:rsidR="002A13FF" w:rsidRPr="002A13FF" w:rsidTr="006F115E">
        <w:trPr>
          <w:trHeight w:val="855"/>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17</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6F115E"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Atender el 100% de</w:t>
            </w:r>
            <w:r w:rsidR="002A13FF" w:rsidRPr="006F115E">
              <w:rPr>
                <w:rFonts w:ascii="Calibri Light" w:hAnsi="Calibri Light" w:cs="Calibri Light"/>
                <w:sz w:val="16"/>
                <w:szCs w:val="16"/>
                <w:lang w:val="es-CR" w:eastAsia="es-CR"/>
              </w:rPr>
              <w:t xml:space="preserve"> los requerimientos relacionados con la mejora continua (SGC-Riesgos-PGAI)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58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4,002,157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1,685,341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42%</w:t>
            </w:r>
          </w:p>
        </w:tc>
      </w:tr>
      <w:tr w:rsidR="002A13FF" w:rsidRPr="002A13FF" w:rsidTr="006F115E">
        <w:trPr>
          <w:trHeight w:val="855"/>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18</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actividades relacionadas con proyectos institucionales.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3,509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200,107,831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101,963,145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51%</w:t>
            </w:r>
          </w:p>
        </w:tc>
      </w:tr>
      <w:tr w:rsidR="002A13FF" w:rsidRPr="002A13FF" w:rsidTr="00484F9E">
        <w:trPr>
          <w:trHeight w:val="315"/>
        </w:trPr>
        <w:tc>
          <w:tcPr>
            <w:tcW w:w="42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DIVISIÓN SUPERVISIÓN DEL RÉGIMEN DE CAPITALIZACIÓN INDIVIDUAL</w:t>
            </w:r>
          </w:p>
        </w:tc>
        <w:tc>
          <w:tcPr>
            <w:tcW w:w="1024"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23</w:t>
            </w:r>
          </w:p>
        </w:tc>
        <w:tc>
          <w:tcPr>
            <w:tcW w:w="990"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22,276 </w:t>
            </w:r>
          </w:p>
        </w:tc>
        <w:tc>
          <w:tcPr>
            <w:tcW w:w="1422"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1,433,485,369 </w:t>
            </w:r>
          </w:p>
        </w:tc>
        <w:tc>
          <w:tcPr>
            <w:tcW w:w="130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650,691,148 </w:t>
            </w:r>
          </w:p>
        </w:tc>
        <w:tc>
          <w:tcPr>
            <w:tcW w:w="81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45%</w:t>
            </w:r>
          </w:p>
        </w:tc>
      </w:tr>
      <w:tr w:rsidR="002A13FF" w:rsidRPr="002A13FF" w:rsidTr="006F115E">
        <w:trPr>
          <w:trHeight w:val="90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19</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Fiscalizar y supervisar el cumplimiento de la normativa vigente y el proceso de identificación, medición, control y seguimiento de los riesgos identificados en las entidades supervisadas y en los fondos administrados.</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18,623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1,153,525,856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543,985,511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47%</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20</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labores de capacitación programadas, dentro de la jornada laboral.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445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73,521,145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12,998,634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18%</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21</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6F115E"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Atender el 100% de</w:t>
            </w:r>
            <w:r w:rsidR="002A13FF" w:rsidRPr="006F115E">
              <w:rPr>
                <w:rFonts w:ascii="Calibri Light" w:hAnsi="Calibri Light" w:cs="Calibri Light"/>
                <w:sz w:val="16"/>
                <w:szCs w:val="16"/>
                <w:lang w:val="es-CR" w:eastAsia="es-CR"/>
              </w:rPr>
              <w:t xml:space="preserve"> los requerimientos relacionados con la mejora continua (SGC-Riesgos-PGAI)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58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3,732,364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1,694,204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45%</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22</w:t>
            </w:r>
          </w:p>
        </w:tc>
        <w:tc>
          <w:tcPr>
            <w:tcW w:w="2412" w:type="dxa"/>
            <w:tcBorders>
              <w:top w:val="nil"/>
              <w:left w:val="nil"/>
              <w:bottom w:val="single" w:sz="4" w:space="0" w:color="auto"/>
              <w:right w:val="single" w:sz="4" w:space="0" w:color="auto"/>
            </w:tcBorders>
            <w:shd w:val="clear" w:color="auto" w:fill="auto"/>
            <w:vAlign w:val="center"/>
            <w:hideMark/>
          </w:tcPr>
          <w:p w:rsidR="005F359C" w:rsidRDefault="005F359C" w:rsidP="002A13FF">
            <w:pPr>
              <w:spacing w:line="240" w:lineRule="auto"/>
              <w:jc w:val="left"/>
              <w:rPr>
                <w:rFonts w:ascii="Calibri Light" w:hAnsi="Calibri Light" w:cs="Calibri Light"/>
                <w:sz w:val="16"/>
                <w:szCs w:val="16"/>
                <w:lang w:val="es-CR" w:eastAsia="es-CR"/>
              </w:rPr>
            </w:pPr>
          </w:p>
          <w:p w:rsidR="002A13FF"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actividades relacionadas con proyectos institucionales. </w:t>
            </w:r>
          </w:p>
          <w:p w:rsidR="00A35DD8" w:rsidRDefault="00A35DD8" w:rsidP="002A13FF">
            <w:pPr>
              <w:spacing w:line="240" w:lineRule="auto"/>
              <w:jc w:val="left"/>
              <w:rPr>
                <w:rFonts w:ascii="Calibri Light" w:hAnsi="Calibri Light" w:cs="Calibri Light"/>
                <w:sz w:val="16"/>
                <w:szCs w:val="16"/>
                <w:lang w:val="es-CR" w:eastAsia="es-CR"/>
              </w:rPr>
            </w:pPr>
          </w:p>
          <w:p w:rsidR="00721E6D" w:rsidRDefault="00721E6D" w:rsidP="002A13FF">
            <w:pPr>
              <w:spacing w:line="240" w:lineRule="auto"/>
              <w:jc w:val="left"/>
              <w:rPr>
                <w:rFonts w:ascii="Calibri Light" w:hAnsi="Calibri Light" w:cs="Calibri Light"/>
                <w:sz w:val="16"/>
                <w:szCs w:val="16"/>
                <w:lang w:val="es-CR" w:eastAsia="es-CR"/>
              </w:rPr>
            </w:pPr>
          </w:p>
          <w:p w:rsidR="00721E6D" w:rsidRPr="006F115E" w:rsidRDefault="00721E6D" w:rsidP="002A13FF">
            <w:pPr>
              <w:spacing w:line="240" w:lineRule="auto"/>
              <w:jc w:val="left"/>
              <w:rPr>
                <w:rFonts w:ascii="Calibri Light" w:hAnsi="Calibri Light" w:cs="Calibri Light"/>
                <w:sz w:val="16"/>
                <w:szCs w:val="16"/>
                <w:lang w:val="es-CR" w:eastAsia="es-CR"/>
              </w:rPr>
            </w:pP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3,150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202,706,002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92,012,799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45%</w:t>
            </w:r>
          </w:p>
        </w:tc>
      </w:tr>
      <w:tr w:rsidR="002A13FF" w:rsidRPr="002A13FF" w:rsidTr="00484F9E">
        <w:trPr>
          <w:trHeight w:val="285"/>
        </w:trPr>
        <w:tc>
          <w:tcPr>
            <w:tcW w:w="42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ÁREA COMUNICACIÓN Y SERVICIOS</w:t>
            </w:r>
          </w:p>
        </w:tc>
        <w:tc>
          <w:tcPr>
            <w:tcW w:w="1024"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16</w:t>
            </w:r>
          </w:p>
        </w:tc>
        <w:tc>
          <w:tcPr>
            <w:tcW w:w="990"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16,468 </w:t>
            </w:r>
          </w:p>
        </w:tc>
        <w:tc>
          <w:tcPr>
            <w:tcW w:w="1422"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1,021,438,496 </w:t>
            </w:r>
          </w:p>
        </w:tc>
        <w:tc>
          <w:tcPr>
            <w:tcW w:w="130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  379,821,690 </w:t>
            </w:r>
          </w:p>
        </w:tc>
        <w:tc>
          <w:tcPr>
            <w:tcW w:w="817" w:type="dxa"/>
            <w:tcBorders>
              <w:top w:val="nil"/>
              <w:left w:val="nil"/>
              <w:bottom w:val="single" w:sz="4" w:space="0" w:color="auto"/>
              <w:right w:val="single" w:sz="4" w:space="0" w:color="auto"/>
            </w:tcBorders>
            <w:shd w:val="clear" w:color="auto" w:fill="F2F2F2" w:themeFill="background1" w:themeFillShade="F2"/>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37%</w:t>
            </w:r>
          </w:p>
        </w:tc>
      </w:tr>
      <w:tr w:rsidR="002A13FF" w:rsidRPr="002A13FF" w:rsidTr="006F115E">
        <w:trPr>
          <w:trHeight w:val="675"/>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w:t>
            </w: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23</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Ejecutar el 100% de las labores programadas en el plan de comunicación y en la aplicación de herramientas relacionadas (encuesta, quejas)</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2,969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148,086,253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68,477,690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46%</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24</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los </w:t>
            </w:r>
            <w:r w:rsidR="006F115E" w:rsidRPr="006F115E">
              <w:rPr>
                <w:rFonts w:ascii="Calibri Light" w:hAnsi="Calibri Light" w:cs="Calibri Light"/>
                <w:sz w:val="16"/>
                <w:szCs w:val="16"/>
                <w:lang w:val="es-CR" w:eastAsia="es-CR"/>
              </w:rPr>
              <w:t xml:space="preserve">requerimientos en </w:t>
            </w:r>
            <w:r w:rsidRPr="006F115E">
              <w:rPr>
                <w:rFonts w:ascii="Calibri Light" w:hAnsi="Calibri Light" w:cs="Calibri Light"/>
                <w:sz w:val="16"/>
                <w:szCs w:val="16"/>
                <w:lang w:val="es-CR" w:eastAsia="es-CR"/>
              </w:rPr>
              <w:t xml:space="preserve">gestión de recursos.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6,471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401,368,017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149,248,613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37%</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25</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los requerimientos del sistema de gestión de la calidad.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5,889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401,337,004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135,825,233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34%</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26</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labores de capacitación programadas, dentro de la jornada laboral.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223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13,800,708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5,131,791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37%</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27</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los requerimientos relacionados con la mejora continua (SGC-Riesgos-PGAI)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67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4,124,706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1,533,771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37%</w:t>
            </w:r>
          </w:p>
        </w:tc>
      </w:tr>
      <w:tr w:rsidR="002A13FF" w:rsidRPr="002A13FF" w:rsidTr="006F115E">
        <w:trPr>
          <w:trHeight w:val="450"/>
        </w:trPr>
        <w:tc>
          <w:tcPr>
            <w:tcW w:w="1129" w:type="dxa"/>
            <w:vMerge/>
            <w:tcBorders>
              <w:top w:val="nil"/>
              <w:left w:val="single" w:sz="4" w:space="0" w:color="auto"/>
              <w:bottom w:val="single" w:sz="4" w:space="0" w:color="000000"/>
              <w:right w:val="single" w:sz="4" w:space="0" w:color="auto"/>
            </w:tcBorders>
            <w:vAlign w:val="center"/>
            <w:hideMark/>
          </w:tcPr>
          <w:p w:rsidR="002A13FF" w:rsidRPr="006F115E" w:rsidRDefault="002A13FF" w:rsidP="002A13FF">
            <w:pPr>
              <w:spacing w:line="240" w:lineRule="auto"/>
              <w:jc w:val="left"/>
              <w:rPr>
                <w:rFonts w:ascii="Calibri Light" w:hAnsi="Calibri Light" w:cs="Calibri Light"/>
                <w:b/>
                <w:bCs/>
                <w:sz w:val="16"/>
                <w:szCs w:val="16"/>
                <w:lang w:val="es-CR" w:eastAsia="es-CR"/>
              </w:rPr>
            </w:pPr>
          </w:p>
        </w:tc>
        <w:tc>
          <w:tcPr>
            <w:tcW w:w="675"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28</w:t>
            </w:r>
          </w:p>
        </w:tc>
        <w:tc>
          <w:tcPr>
            <w:tcW w:w="241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Atender el 100% de las actividades relacionadas con proyectos institucionales. </w:t>
            </w:r>
          </w:p>
        </w:tc>
        <w:tc>
          <w:tcPr>
            <w:tcW w:w="1024"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2A13FF">
            <w:pPr>
              <w:spacing w:line="240" w:lineRule="auto"/>
              <w:jc w:val="lef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w:t>
            </w:r>
          </w:p>
        </w:tc>
        <w:tc>
          <w:tcPr>
            <w:tcW w:w="990"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850 </w:t>
            </w:r>
          </w:p>
        </w:tc>
        <w:tc>
          <w:tcPr>
            <w:tcW w:w="1422"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52,721,807 </w:t>
            </w:r>
          </w:p>
        </w:tc>
        <w:tc>
          <w:tcPr>
            <w:tcW w:w="130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right"/>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 xml:space="preserve"> 19,604,593 </w:t>
            </w:r>
          </w:p>
        </w:tc>
        <w:tc>
          <w:tcPr>
            <w:tcW w:w="817" w:type="dxa"/>
            <w:tcBorders>
              <w:top w:val="nil"/>
              <w:left w:val="nil"/>
              <w:bottom w:val="single" w:sz="4" w:space="0" w:color="auto"/>
              <w:right w:val="single" w:sz="4" w:space="0" w:color="auto"/>
            </w:tcBorders>
            <w:shd w:val="clear" w:color="auto" w:fill="auto"/>
            <w:vAlign w:val="center"/>
            <w:hideMark/>
          </w:tcPr>
          <w:p w:rsidR="002A13FF" w:rsidRPr="006F115E" w:rsidRDefault="002A13FF" w:rsidP="006F115E">
            <w:pPr>
              <w:spacing w:line="240" w:lineRule="auto"/>
              <w:jc w:val="center"/>
              <w:rPr>
                <w:rFonts w:ascii="Calibri Light" w:hAnsi="Calibri Light" w:cs="Calibri Light"/>
                <w:sz w:val="16"/>
                <w:szCs w:val="16"/>
                <w:lang w:val="es-CR" w:eastAsia="es-CR"/>
              </w:rPr>
            </w:pPr>
            <w:r w:rsidRPr="006F115E">
              <w:rPr>
                <w:rFonts w:ascii="Calibri Light" w:hAnsi="Calibri Light" w:cs="Calibri Light"/>
                <w:sz w:val="16"/>
                <w:szCs w:val="16"/>
                <w:lang w:val="es-CR" w:eastAsia="es-CR"/>
              </w:rPr>
              <w:t>37%</w:t>
            </w:r>
          </w:p>
        </w:tc>
      </w:tr>
      <w:tr w:rsidR="002A13FF" w:rsidRPr="002A13FF" w:rsidTr="00484F9E">
        <w:trPr>
          <w:trHeight w:val="435"/>
        </w:trPr>
        <w:tc>
          <w:tcPr>
            <w:tcW w:w="421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TOTAL</w:t>
            </w:r>
          </w:p>
        </w:tc>
        <w:tc>
          <w:tcPr>
            <w:tcW w:w="1024" w:type="dxa"/>
            <w:tcBorders>
              <w:top w:val="nil"/>
              <w:left w:val="nil"/>
              <w:bottom w:val="single" w:sz="4" w:space="0" w:color="auto"/>
              <w:right w:val="single" w:sz="4" w:space="0" w:color="auto"/>
            </w:tcBorders>
            <w:shd w:val="clear" w:color="auto" w:fill="C6D9F1" w:themeFill="text2" w:themeFillTint="33"/>
            <w:vAlign w:val="center"/>
            <w:hideMark/>
          </w:tcPr>
          <w:p w:rsidR="002A13FF" w:rsidRPr="006F115E" w:rsidRDefault="002A13FF" w:rsidP="002A13FF">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79</w:t>
            </w:r>
          </w:p>
        </w:tc>
        <w:tc>
          <w:tcPr>
            <w:tcW w:w="990" w:type="dxa"/>
            <w:tcBorders>
              <w:top w:val="nil"/>
              <w:left w:val="nil"/>
              <w:bottom w:val="single" w:sz="4" w:space="0" w:color="auto"/>
              <w:right w:val="single" w:sz="4" w:space="0" w:color="auto"/>
            </w:tcBorders>
            <w:shd w:val="clear" w:color="auto" w:fill="C6D9F1" w:themeFill="text2" w:themeFillTint="33"/>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77,524 </w:t>
            </w:r>
          </w:p>
        </w:tc>
        <w:tc>
          <w:tcPr>
            <w:tcW w:w="1422" w:type="dxa"/>
            <w:tcBorders>
              <w:top w:val="nil"/>
              <w:left w:val="nil"/>
              <w:bottom w:val="single" w:sz="4" w:space="0" w:color="auto"/>
              <w:right w:val="single" w:sz="4" w:space="0" w:color="auto"/>
            </w:tcBorders>
            <w:shd w:val="clear" w:color="auto" w:fill="C6D9F1" w:themeFill="text2" w:themeFillTint="33"/>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5,122,662,342 </w:t>
            </w:r>
          </w:p>
        </w:tc>
        <w:tc>
          <w:tcPr>
            <w:tcW w:w="1307" w:type="dxa"/>
            <w:tcBorders>
              <w:top w:val="nil"/>
              <w:left w:val="nil"/>
              <w:bottom w:val="single" w:sz="4" w:space="0" w:color="auto"/>
              <w:right w:val="single" w:sz="4" w:space="0" w:color="auto"/>
            </w:tcBorders>
            <w:shd w:val="clear" w:color="auto" w:fill="C6D9F1" w:themeFill="text2" w:themeFillTint="33"/>
            <w:vAlign w:val="center"/>
            <w:hideMark/>
          </w:tcPr>
          <w:p w:rsidR="002A13FF" w:rsidRPr="006F115E" w:rsidRDefault="002A13FF" w:rsidP="006F115E">
            <w:pPr>
              <w:spacing w:line="240" w:lineRule="auto"/>
              <w:jc w:val="right"/>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 xml:space="preserve">2,187,255,778 </w:t>
            </w:r>
          </w:p>
        </w:tc>
        <w:tc>
          <w:tcPr>
            <w:tcW w:w="817" w:type="dxa"/>
            <w:tcBorders>
              <w:top w:val="nil"/>
              <w:left w:val="nil"/>
              <w:bottom w:val="single" w:sz="4" w:space="0" w:color="auto"/>
              <w:right w:val="single" w:sz="4" w:space="0" w:color="auto"/>
            </w:tcBorders>
            <w:shd w:val="clear" w:color="auto" w:fill="C6D9F1" w:themeFill="text2" w:themeFillTint="33"/>
            <w:vAlign w:val="center"/>
            <w:hideMark/>
          </w:tcPr>
          <w:p w:rsidR="002A13FF" w:rsidRPr="006F115E" w:rsidRDefault="002A13FF" w:rsidP="006F115E">
            <w:pPr>
              <w:spacing w:line="240" w:lineRule="auto"/>
              <w:jc w:val="center"/>
              <w:rPr>
                <w:rFonts w:ascii="Calibri Light" w:hAnsi="Calibri Light" w:cs="Calibri Light"/>
                <w:b/>
                <w:bCs/>
                <w:sz w:val="16"/>
                <w:szCs w:val="16"/>
                <w:lang w:val="es-CR" w:eastAsia="es-CR"/>
              </w:rPr>
            </w:pPr>
            <w:r w:rsidRPr="006F115E">
              <w:rPr>
                <w:rFonts w:ascii="Calibri Light" w:hAnsi="Calibri Light" w:cs="Calibri Light"/>
                <w:b/>
                <w:bCs/>
                <w:sz w:val="16"/>
                <w:szCs w:val="16"/>
                <w:lang w:val="es-CR" w:eastAsia="es-CR"/>
              </w:rPr>
              <w:t>43%</w:t>
            </w:r>
          </w:p>
        </w:tc>
      </w:tr>
    </w:tbl>
    <w:p w:rsidR="009B4D4A" w:rsidRDefault="009B4D4A" w:rsidP="00225437">
      <w:pPr>
        <w:rPr>
          <w:rFonts w:asciiTheme="minorHAnsi" w:hAnsiTheme="minorHAnsi" w:cstheme="minorHAnsi"/>
          <w:lang w:val="es-CR"/>
        </w:rPr>
      </w:pPr>
    </w:p>
    <w:p w:rsidR="00516ACB" w:rsidRDefault="00516ACB" w:rsidP="00225437">
      <w:pPr>
        <w:rPr>
          <w:rFonts w:asciiTheme="minorHAnsi" w:hAnsiTheme="minorHAnsi" w:cstheme="minorHAnsi"/>
          <w:lang w:val="es-CR"/>
        </w:rPr>
      </w:pPr>
    </w:p>
    <w:p w:rsidR="006F115E" w:rsidRDefault="006F115E" w:rsidP="00225437">
      <w:pPr>
        <w:rPr>
          <w:rFonts w:asciiTheme="minorHAnsi" w:hAnsiTheme="minorHAnsi" w:cstheme="minorHAnsi"/>
          <w:lang w:val="es-CR"/>
        </w:rPr>
      </w:pPr>
    </w:p>
    <w:p w:rsidR="00675237" w:rsidRPr="007F441A" w:rsidRDefault="00D8636B" w:rsidP="00675237">
      <w:pPr>
        <w:pStyle w:val="Ttulo2"/>
      </w:pPr>
      <w:bookmarkStart w:id="17" w:name="_Toc519073095"/>
      <w:r>
        <w:t>3.2</w:t>
      </w:r>
      <w:r w:rsidR="00675237" w:rsidRPr="007F441A">
        <w:t xml:space="preserve"> Indicador de desviación presupuestaria</w:t>
      </w:r>
      <w:bookmarkEnd w:id="17"/>
    </w:p>
    <w:p w:rsidR="00E17925" w:rsidRPr="007F441A" w:rsidRDefault="00E17925" w:rsidP="00225437">
      <w:pPr>
        <w:rPr>
          <w:rFonts w:asciiTheme="minorHAnsi" w:hAnsiTheme="minorHAnsi" w:cstheme="minorHAnsi"/>
          <w:sz w:val="24"/>
          <w:szCs w:val="24"/>
          <w:lang w:val="es-CR"/>
        </w:rPr>
      </w:pPr>
    </w:p>
    <w:p w:rsidR="00E02759" w:rsidRDefault="00E17925" w:rsidP="00225437">
      <w:pPr>
        <w:rPr>
          <w:rFonts w:asciiTheme="minorHAnsi" w:hAnsiTheme="minorHAnsi" w:cstheme="minorHAnsi"/>
          <w:sz w:val="24"/>
          <w:szCs w:val="24"/>
          <w:lang w:val="es-CR"/>
        </w:rPr>
      </w:pPr>
      <w:r w:rsidRPr="007F441A">
        <w:rPr>
          <w:rFonts w:asciiTheme="minorHAnsi" w:hAnsiTheme="minorHAnsi" w:cstheme="minorHAnsi"/>
          <w:sz w:val="24"/>
          <w:szCs w:val="24"/>
          <w:lang w:val="es-CR"/>
        </w:rPr>
        <w:t>Con el objeto de unificar</w:t>
      </w:r>
      <w:r w:rsidR="005F359C">
        <w:rPr>
          <w:rFonts w:asciiTheme="minorHAnsi" w:hAnsiTheme="minorHAnsi" w:cstheme="minorHAnsi"/>
          <w:sz w:val="24"/>
          <w:szCs w:val="24"/>
          <w:lang w:val="es-CR"/>
        </w:rPr>
        <w:t xml:space="preserve"> la presentación de resultados y</w:t>
      </w:r>
      <w:r w:rsidR="000C0BD0" w:rsidRPr="007F441A">
        <w:rPr>
          <w:rFonts w:asciiTheme="minorHAnsi" w:hAnsiTheme="minorHAnsi" w:cstheme="minorHAnsi"/>
          <w:sz w:val="24"/>
          <w:szCs w:val="24"/>
          <w:lang w:val="es-CR"/>
        </w:rPr>
        <w:t xml:space="preserve"> </w:t>
      </w:r>
      <w:r w:rsidRPr="007F441A">
        <w:rPr>
          <w:rFonts w:asciiTheme="minorHAnsi" w:hAnsiTheme="minorHAnsi" w:cstheme="minorHAnsi"/>
          <w:sz w:val="24"/>
          <w:szCs w:val="24"/>
          <w:lang w:val="es-CR"/>
        </w:rPr>
        <w:t>criterios de medición se estableció</w:t>
      </w:r>
      <w:r w:rsidR="005F359C">
        <w:rPr>
          <w:rFonts w:asciiTheme="minorHAnsi" w:hAnsiTheme="minorHAnsi" w:cstheme="minorHAnsi"/>
          <w:sz w:val="24"/>
          <w:szCs w:val="24"/>
          <w:lang w:val="es-CR"/>
        </w:rPr>
        <w:t>, para todas las Superintendencias,</w:t>
      </w:r>
      <w:r w:rsidRPr="007F441A">
        <w:rPr>
          <w:rFonts w:asciiTheme="minorHAnsi" w:hAnsiTheme="minorHAnsi" w:cstheme="minorHAnsi"/>
          <w:sz w:val="24"/>
          <w:szCs w:val="24"/>
          <w:lang w:val="es-CR"/>
        </w:rPr>
        <w:t xml:space="preserve"> un parámetro para medir </w:t>
      </w:r>
      <w:r w:rsidR="000C0BD0" w:rsidRPr="007F441A">
        <w:rPr>
          <w:rFonts w:asciiTheme="minorHAnsi" w:hAnsiTheme="minorHAnsi" w:cstheme="minorHAnsi"/>
          <w:sz w:val="24"/>
          <w:szCs w:val="24"/>
          <w:lang w:val="es-CR"/>
        </w:rPr>
        <w:t xml:space="preserve">la desviación porcentual entre </w:t>
      </w:r>
      <w:r w:rsidR="003F356E">
        <w:rPr>
          <w:rFonts w:asciiTheme="minorHAnsi" w:hAnsiTheme="minorHAnsi" w:cstheme="minorHAnsi"/>
          <w:sz w:val="24"/>
          <w:szCs w:val="24"/>
          <w:lang w:val="es-CR"/>
        </w:rPr>
        <w:t>lo</w:t>
      </w:r>
      <w:r w:rsidR="000C0BD0" w:rsidRPr="007F441A">
        <w:rPr>
          <w:rFonts w:asciiTheme="minorHAnsi" w:hAnsiTheme="minorHAnsi" w:cstheme="minorHAnsi"/>
          <w:sz w:val="24"/>
          <w:szCs w:val="24"/>
          <w:lang w:val="es-CR"/>
        </w:rPr>
        <w:t xml:space="preserve"> ejecutado y el presupuesto para el logro de las metas y proyectos propuestos</w:t>
      </w:r>
      <w:r w:rsidR="003F356E">
        <w:rPr>
          <w:rFonts w:asciiTheme="minorHAnsi" w:hAnsiTheme="minorHAnsi" w:cstheme="minorHAnsi"/>
          <w:sz w:val="24"/>
          <w:szCs w:val="24"/>
          <w:lang w:val="es-CR"/>
        </w:rPr>
        <w:t>.</w:t>
      </w:r>
      <w:r w:rsidR="000C0BD0" w:rsidRPr="007F441A">
        <w:rPr>
          <w:rFonts w:asciiTheme="minorHAnsi" w:hAnsiTheme="minorHAnsi" w:cstheme="minorHAnsi"/>
          <w:sz w:val="24"/>
          <w:szCs w:val="24"/>
          <w:lang w:val="es-CR"/>
        </w:rPr>
        <w:t xml:space="preserve"> </w:t>
      </w:r>
    </w:p>
    <w:p w:rsidR="003F356E" w:rsidRDefault="003F356E" w:rsidP="00225437">
      <w:pPr>
        <w:rPr>
          <w:rFonts w:asciiTheme="minorHAnsi" w:hAnsiTheme="minorHAnsi" w:cstheme="minorHAnsi"/>
          <w:sz w:val="24"/>
          <w:szCs w:val="24"/>
          <w:lang w:val="es-CR"/>
        </w:rPr>
      </w:pPr>
    </w:p>
    <w:p w:rsidR="003F356E" w:rsidRPr="00617096" w:rsidRDefault="003F356E" w:rsidP="003F356E">
      <w:pPr>
        <w:rPr>
          <w:rFonts w:asciiTheme="minorHAnsi" w:hAnsiTheme="minorHAnsi"/>
          <w:sz w:val="24"/>
          <w:szCs w:val="24"/>
          <w:lang w:val="es-CR"/>
        </w:rPr>
      </w:pPr>
      <w:r w:rsidRPr="00517EEC">
        <w:rPr>
          <w:rFonts w:asciiTheme="minorHAnsi" w:hAnsiTheme="minorHAnsi"/>
          <w:sz w:val="24"/>
          <w:szCs w:val="24"/>
          <w:lang w:val="es-CR"/>
        </w:rPr>
        <w:t>El resultado de la desviación en el uso de los recursos para el primer semestre de 201</w:t>
      </w:r>
      <w:r>
        <w:rPr>
          <w:rFonts w:asciiTheme="minorHAnsi" w:hAnsiTheme="minorHAnsi"/>
          <w:sz w:val="24"/>
          <w:szCs w:val="24"/>
          <w:lang w:val="es-CR"/>
        </w:rPr>
        <w:t xml:space="preserve">8 fue del </w:t>
      </w:r>
      <w:r w:rsidRPr="00517EEC">
        <w:rPr>
          <w:rFonts w:asciiTheme="minorHAnsi" w:hAnsiTheme="minorHAnsi"/>
          <w:sz w:val="24"/>
          <w:szCs w:val="24"/>
          <w:lang w:val="es-CR"/>
        </w:rPr>
        <w:t>7</w:t>
      </w:r>
      <w:r>
        <w:rPr>
          <w:rFonts w:asciiTheme="minorHAnsi" w:hAnsiTheme="minorHAnsi"/>
          <w:sz w:val="24"/>
          <w:szCs w:val="24"/>
          <w:lang w:val="es-CR"/>
        </w:rPr>
        <w:t>,3</w:t>
      </w:r>
      <w:r w:rsidRPr="00517EEC">
        <w:rPr>
          <w:rFonts w:asciiTheme="minorHAnsi" w:hAnsiTheme="minorHAnsi"/>
          <w:sz w:val="24"/>
          <w:szCs w:val="24"/>
          <w:lang w:val="es-CR"/>
        </w:rPr>
        <w:t>%. Dicho resultado se cataloga, de acuerdo con los parámetros establecidos, en la categoría de “</w:t>
      </w:r>
      <w:r>
        <w:rPr>
          <w:rFonts w:asciiTheme="minorHAnsi" w:hAnsiTheme="minorHAnsi"/>
          <w:sz w:val="24"/>
          <w:szCs w:val="24"/>
          <w:lang w:val="es-CR"/>
        </w:rPr>
        <w:t>Muy Bueno</w:t>
      </w:r>
      <w:r w:rsidRPr="00517EEC">
        <w:rPr>
          <w:rFonts w:asciiTheme="minorHAnsi" w:hAnsiTheme="minorHAnsi"/>
          <w:sz w:val="24"/>
          <w:szCs w:val="24"/>
          <w:lang w:val="es-CR"/>
        </w:rPr>
        <w:t>”.</w:t>
      </w:r>
    </w:p>
    <w:p w:rsidR="003F356E" w:rsidRDefault="003F356E" w:rsidP="00225437">
      <w:pPr>
        <w:rPr>
          <w:rFonts w:asciiTheme="minorHAnsi" w:hAnsiTheme="minorHAnsi" w:cstheme="minorHAnsi"/>
          <w:sz w:val="24"/>
          <w:szCs w:val="24"/>
          <w:lang w:val="es-CR"/>
        </w:rPr>
      </w:pPr>
    </w:p>
    <w:p w:rsidR="003F356E" w:rsidRPr="007F441A" w:rsidRDefault="003F356E" w:rsidP="00225437">
      <w:pPr>
        <w:rPr>
          <w:rFonts w:asciiTheme="minorHAnsi" w:hAnsiTheme="minorHAnsi" w:cstheme="minorHAnsi"/>
          <w:sz w:val="24"/>
          <w:szCs w:val="24"/>
          <w:lang w:val="es-CR"/>
        </w:rPr>
      </w:pPr>
      <w:r>
        <w:rPr>
          <w:rFonts w:asciiTheme="minorHAnsi" w:hAnsiTheme="minorHAnsi" w:cstheme="minorHAnsi"/>
          <w:sz w:val="24"/>
          <w:szCs w:val="24"/>
          <w:lang w:val="es-CR"/>
        </w:rPr>
        <w:t xml:space="preserve">El siguiente cuadro muestra los resultados obtenidos para este primer semestre. </w:t>
      </w:r>
    </w:p>
    <w:p w:rsidR="006F115E" w:rsidRDefault="006F115E">
      <w:pPr>
        <w:spacing w:line="240" w:lineRule="auto"/>
        <w:jc w:val="left"/>
        <w:rPr>
          <w:rFonts w:asciiTheme="minorHAnsi" w:hAnsiTheme="minorHAnsi" w:cstheme="minorHAnsi"/>
          <w:sz w:val="24"/>
          <w:szCs w:val="24"/>
          <w:lang w:val="es-CR"/>
        </w:rPr>
      </w:pPr>
      <w:r>
        <w:rPr>
          <w:rFonts w:asciiTheme="minorHAnsi" w:hAnsiTheme="minorHAnsi" w:cstheme="minorHAnsi"/>
          <w:sz w:val="24"/>
          <w:szCs w:val="24"/>
          <w:lang w:val="es-CR"/>
        </w:rPr>
        <w:br w:type="page"/>
      </w:r>
    </w:p>
    <w:p w:rsidR="00E17925" w:rsidRPr="007F441A" w:rsidRDefault="00E17925" w:rsidP="00225437">
      <w:pPr>
        <w:rPr>
          <w:rFonts w:asciiTheme="minorHAnsi" w:hAnsiTheme="minorHAnsi" w:cstheme="minorHAnsi"/>
          <w:sz w:val="24"/>
          <w:szCs w:val="24"/>
          <w:lang w:val="es-CR"/>
        </w:rPr>
      </w:pPr>
    </w:p>
    <w:p w:rsidR="003F356E" w:rsidRPr="007F441A" w:rsidRDefault="003F356E" w:rsidP="003F356E">
      <w:pPr>
        <w:rPr>
          <w:rFonts w:ascii="Calibri" w:hAnsi="Calibri"/>
          <w:b/>
          <w:sz w:val="24"/>
          <w:szCs w:val="24"/>
          <w:lang w:val="es-CR"/>
        </w:rPr>
      </w:pPr>
      <w:r w:rsidRPr="007F441A">
        <w:rPr>
          <w:rFonts w:ascii="Calibri" w:hAnsi="Calibri"/>
          <w:sz w:val="24"/>
          <w:szCs w:val="24"/>
          <w:lang w:val="es-CR"/>
        </w:rPr>
        <w:t xml:space="preserve">Cuadro </w:t>
      </w:r>
      <w:r>
        <w:rPr>
          <w:rFonts w:ascii="Calibri" w:hAnsi="Calibri"/>
          <w:sz w:val="24"/>
          <w:szCs w:val="24"/>
          <w:lang w:val="es-CR"/>
        </w:rPr>
        <w:t>5</w:t>
      </w:r>
      <w:r w:rsidRPr="007F441A">
        <w:rPr>
          <w:rFonts w:ascii="Calibri" w:hAnsi="Calibri"/>
          <w:sz w:val="24"/>
          <w:szCs w:val="24"/>
          <w:lang w:val="es-CR"/>
        </w:rPr>
        <w:t xml:space="preserve">: </w:t>
      </w:r>
      <w:r>
        <w:rPr>
          <w:rFonts w:ascii="Calibri" w:hAnsi="Calibri"/>
          <w:b/>
          <w:sz w:val="24"/>
          <w:szCs w:val="24"/>
          <w:lang w:val="es-CR"/>
        </w:rPr>
        <w:t>Desviación porcentual</w:t>
      </w:r>
      <w:r w:rsidRPr="007F441A">
        <w:rPr>
          <w:rFonts w:ascii="Calibri" w:hAnsi="Calibri"/>
          <w:b/>
          <w:sz w:val="24"/>
          <w:szCs w:val="24"/>
          <w:lang w:val="es-CR"/>
        </w:rPr>
        <w:t xml:space="preserve"> </w:t>
      </w:r>
    </w:p>
    <w:p w:rsidR="00E17925" w:rsidRPr="007F441A" w:rsidRDefault="00E17925" w:rsidP="00225437">
      <w:pPr>
        <w:rPr>
          <w:rFonts w:asciiTheme="minorHAnsi" w:hAnsiTheme="minorHAnsi" w:cstheme="minorHAnsi"/>
          <w:lang w:val="es-CR"/>
        </w:rPr>
      </w:pPr>
      <w:r w:rsidRPr="00E17925">
        <w:rPr>
          <w:rFonts w:cs="Arial"/>
          <w:b/>
          <w:bCs/>
          <w:i/>
          <w:iCs/>
          <w:szCs w:val="22"/>
          <w:lang w:val="es-CR" w:eastAsia="es-CR"/>
        </w:rPr>
        <w:t>Parámetros</w:t>
      </w:r>
      <w:r w:rsidRPr="00E17925">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2"/>
        <w:gridCol w:w="1133"/>
      </w:tblGrid>
      <w:tr w:rsidR="00E17925" w:rsidRPr="00E17925" w:rsidTr="000C0BD0">
        <w:trPr>
          <w:trHeight w:val="240"/>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E17925" w:rsidRPr="00E17925" w:rsidRDefault="000C0BD0" w:rsidP="00800582">
            <w:pPr>
              <w:spacing w:line="240" w:lineRule="auto"/>
              <w:jc w:val="center"/>
              <w:rPr>
                <w:rFonts w:cs="Arial"/>
                <w:b/>
                <w:bCs/>
                <w:sz w:val="16"/>
                <w:szCs w:val="16"/>
                <w:lang w:val="es-CR" w:eastAsia="es-CR"/>
              </w:rPr>
            </w:pPr>
            <w:r w:rsidRPr="007F441A">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000000" w:fill="DBE5F1"/>
            <w:vAlign w:val="center"/>
            <w:hideMark/>
          </w:tcPr>
          <w:p w:rsidR="00E17925" w:rsidRPr="00E17925" w:rsidRDefault="00E17925" w:rsidP="00800582">
            <w:pPr>
              <w:spacing w:line="240" w:lineRule="auto"/>
              <w:jc w:val="center"/>
              <w:rPr>
                <w:rFonts w:cs="Arial"/>
                <w:b/>
                <w:bCs/>
                <w:sz w:val="16"/>
                <w:szCs w:val="16"/>
                <w:lang w:val="es-CR" w:eastAsia="es-CR"/>
              </w:rPr>
            </w:pPr>
            <w:r w:rsidRPr="00E17925">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000000" w:fill="DBE5F1"/>
            <w:vAlign w:val="center"/>
            <w:hideMark/>
          </w:tcPr>
          <w:p w:rsidR="00E17925" w:rsidRPr="00E17925" w:rsidRDefault="00E17925" w:rsidP="00800582">
            <w:pPr>
              <w:spacing w:line="240" w:lineRule="auto"/>
              <w:jc w:val="center"/>
              <w:rPr>
                <w:rFonts w:cs="Arial"/>
                <w:b/>
                <w:bCs/>
                <w:sz w:val="16"/>
                <w:szCs w:val="16"/>
                <w:lang w:val="es-CR" w:eastAsia="es-CR"/>
              </w:rPr>
            </w:pPr>
            <w:r w:rsidRPr="00E17925">
              <w:rPr>
                <w:rFonts w:cs="Arial"/>
                <w:b/>
                <w:bCs/>
                <w:sz w:val="16"/>
                <w:szCs w:val="16"/>
                <w:lang w:val="es-CR" w:eastAsia="es-CR"/>
              </w:rPr>
              <w:t>PARÁMETROS</w:t>
            </w:r>
          </w:p>
        </w:tc>
      </w:tr>
      <w:tr w:rsidR="00E17925" w:rsidRPr="00E17925" w:rsidTr="000C0BD0">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rsidR="00E17925" w:rsidRPr="00E17925" w:rsidRDefault="00E17925" w:rsidP="00800582">
            <w:pPr>
              <w:spacing w:line="240" w:lineRule="auto"/>
              <w:jc w:val="center"/>
              <w:rPr>
                <w:rFonts w:cs="Arial"/>
                <w:b/>
                <w:bCs/>
                <w:sz w:val="16"/>
                <w:szCs w:val="16"/>
                <w:lang w:val="es-CR" w:eastAsia="es-CR"/>
              </w:rPr>
            </w:pPr>
            <w:r w:rsidRPr="00E17925">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000000" w:fill="00B0F0"/>
            <w:vAlign w:val="center"/>
            <w:hideMark/>
          </w:tcPr>
          <w:p w:rsidR="00E17925" w:rsidRPr="00E17925" w:rsidRDefault="00E17925" w:rsidP="00800582">
            <w:pPr>
              <w:spacing w:line="240" w:lineRule="auto"/>
              <w:jc w:val="center"/>
              <w:rPr>
                <w:rFonts w:cs="Arial"/>
                <w:b/>
                <w:bCs/>
                <w:sz w:val="12"/>
                <w:szCs w:val="12"/>
                <w:lang w:val="es-CR" w:eastAsia="es-CR"/>
              </w:rPr>
            </w:pPr>
            <w:r w:rsidRPr="00E17925">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000000" w:fill="00FF00"/>
            <w:vAlign w:val="center"/>
            <w:hideMark/>
          </w:tcPr>
          <w:p w:rsidR="00E17925" w:rsidRPr="00E17925" w:rsidRDefault="00E17925" w:rsidP="00800582">
            <w:pPr>
              <w:spacing w:line="240" w:lineRule="auto"/>
              <w:jc w:val="center"/>
              <w:rPr>
                <w:rFonts w:cs="Arial"/>
                <w:b/>
                <w:bCs/>
                <w:sz w:val="12"/>
                <w:szCs w:val="12"/>
                <w:lang w:val="es-CR" w:eastAsia="es-CR"/>
              </w:rPr>
            </w:pPr>
            <w:r w:rsidRPr="00E17925">
              <w:rPr>
                <w:rFonts w:cs="Arial"/>
                <w:b/>
                <w:bCs/>
                <w:sz w:val="12"/>
                <w:szCs w:val="12"/>
                <w:lang w:val="es-CR" w:eastAsia="es-CR"/>
              </w:rPr>
              <w:t>Muy Bueno</w:t>
            </w:r>
          </w:p>
        </w:tc>
        <w:tc>
          <w:tcPr>
            <w:tcW w:w="1352" w:type="dxa"/>
            <w:tcBorders>
              <w:top w:val="nil"/>
              <w:left w:val="nil"/>
              <w:bottom w:val="single" w:sz="8" w:space="0" w:color="auto"/>
              <w:right w:val="single" w:sz="8" w:space="0" w:color="auto"/>
            </w:tcBorders>
            <w:shd w:val="clear" w:color="000000" w:fill="FFFF00"/>
            <w:vAlign w:val="center"/>
            <w:hideMark/>
          </w:tcPr>
          <w:p w:rsidR="00E17925" w:rsidRPr="00E17925" w:rsidRDefault="00E17925" w:rsidP="00800582">
            <w:pPr>
              <w:spacing w:line="240" w:lineRule="auto"/>
              <w:jc w:val="center"/>
              <w:rPr>
                <w:rFonts w:cs="Arial"/>
                <w:b/>
                <w:bCs/>
                <w:sz w:val="12"/>
                <w:szCs w:val="12"/>
                <w:lang w:val="es-CR" w:eastAsia="es-CR"/>
              </w:rPr>
            </w:pPr>
            <w:r w:rsidRPr="00E17925">
              <w:rPr>
                <w:rFonts w:cs="Arial"/>
                <w:b/>
                <w:bCs/>
                <w:sz w:val="12"/>
                <w:szCs w:val="12"/>
                <w:lang w:val="es-CR" w:eastAsia="es-CR"/>
              </w:rPr>
              <w:t>Bueno</w:t>
            </w:r>
          </w:p>
        </w:tc>
        <w:tc>
          <w:tcPr>
            <w:tcW w:w="1133" w:type="dxa"/>
            <w:tcBorders>
              <w:top w:val="nil"/>
              <w:left w:val="nil"/>
              <w:bottom w:val="single" w:sz="8" w:space="0" w:color="auto"/>
              <w:right w:val="single" w:sz="8" w:space="0" w:color="auto"/>
            </w:tcBorders>
            <w:shd w:val="clear" w:color="000000" w:fill="FF0000"/>
            <w:vAlign w:val="center"/>
            <w:hideMark/>
          </w:tcPr>
          <w:p w:rsidR="00E17925" w:rsidRPr="00E17925" w:rsidRDefault="00E17925" w:rsidP="00800582">
            <w:pPr>
              <w:spacing w:line="240" w:lineRule="auto"/>
              <w:jc w:val="center"/>
              <w:rPr>
                <w:rFonts w:cs="Arial"/>
                <w:b/>
                <w:bCs/>
                <w:sz w:val="12"/>
                <w:szCs w:val="12"/>
                <w:lang w:val="es-CR" w:eastAsia="es-CR"/>
              </w:rPr>
            </w:pPr>
            <w:r w:rsidRPr="00E17925">
              <w:rPr>
                <w:rFonts w:cs="Arial"/>
                <w:b/>
                <w:bCs/>
                <w:sz w:val="12"/>
                <w:szCs w:val="12"/>
                <w:lang w:val="es-CR" w:eastAsia="es-CR"/>
              </w:rPr>
              <w:t>Malo</w:t>
            </w:r>
          </w:p>
        </w:tc>
      </w:tr>
      <w:tr w:rsidR="00E17925" w:rsidRPr="00E17925" w:rsidTr="000C0BD0">
        <w:trPr>
          <w:trHeight w:val="39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cs="Arial"/>
                <w:sz w:val="16"/>
                <w:szCs w:val="16"/>
                <w:lang w:val="es-CR" w:eastAsia="es-CR"/>
              </w:rPr>
            </w:pPr>
            <w:r w:rsidRPr="00E17925">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rsidR="00E17925" w:rsidRPr="00E17925" w:rsidRDefault="00E17925" w:rsidP="00800582">
            <w:pPr>
              <w:spacing w:line="240" w:lineRule="auto"/>
              <w:jc w:val="center"/>
              <w:rPr>
                <w:rFonts w:cs="Arial"/>
                <w:color w:val="000000"/>
                <w:sz w:val="15"/>
                <w:szCs w:val="15"/>
                <w:u w:val="single"/>
                <w:lang w:val="es-CR" w:eastAsia="es-CR"/>
              </w:rPr>
            </w:pPr>
            <w:r w:rsidRPr="00E17925">
              <w:rPr>
                <w:rFonts w:cs="Arial"/>
                <w:color w:val="000000"/>
                <w:sz w:val="15"/>
                <w:szCs w:val="15"/>
                <w:u w:val="single"/>
                <w:lang w:val="es-CR" w:eastAsia="es-CR"/>
              </w:rPr>
              <w:t xml:space="preserve">Gasto Real del período </w:t>
            </w:r>
            <w:r w:rsidRPr="00E17925">
              <w:rPr>
                <w:rFonts w:cs="Arial"/>
                <w:color w:val="000000"/>
                <w:sz w:val="15"/>
                <w:szCs w:val="15"/>
                <w:lang w:val="es-CR" w:eastAsia="es-CR"/>
              </w:rPr>
              <w:t>– 0.5 * 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cs="Arial"/>
                <w:sz w:val="16"/>
                <w:szCs w:val="16"/>
                <w:lang w:val="es-CR" w:eastAsia="es-CR"/>
              </w:rPr>
            </w:pPr>
            <w:r w:rsidRPr="00E17925">
              <w:rPr>
                <w:rFonts w:cs="Arial"/>
                <w:sz w:val="16"/>
                <w:szCs w:val="16"/>
                <w:lang w:val="es-CR" w:eastAsia="es-CR"/>
              </w:rPr>
              <w:t>˂ 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ascii="Symbol" w:hAnsi="Symbol" w:cs="Arial"/>
                <w:sz w:val="16"/>
                <w:szCs w:val="16"/>
                <w:lang w:val="es-CR" w:eastAsia="es-CR"/>
              </w:rPr>
            </w:pPr>
            <w:r w:rsidRPr="00E17925">
              <w:rPr>
                <w:rFonts w:ascii="Calibri" w:hAnsi="Calibri" w:cs="Calibri"/>
                <w:sz w:val="16"/>
                <w:szCs w:val="16"/>
                <w:lang w:val="es-CR" w:eastAsia="es-CR"/>
              </w:rPr>
              <w:t>≥</w:t>
            </w:r>
            <w:r w:rsidRPr="00E17925">
              <w:rPr>
                <w:rFonts w:cs="Arial"/>
                <w:sz w:val="16"/>
                <w:szCs w:val="16"/>
                <w:lang w:val="es-CR" w:eastAsia="es-CR"/>
              </w:rPr>
              <w:t>5 &lt;15%</w:t>
            </w:r>
          </w:p>
        </w:tc>
        <w:tc>
          <w:tcPr>
            <w:tcW w:w="1352"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ascii="Symbol" w:hAnsi="Symbol" w:cs="Arial"/>
                <w:sz w:val="16"/>
                <w:szCs w:val="16"/>
                <w:lang w:val="es-CR" w:eastAsia="es-CR"/>
              </w:rPr>
            </w:pPr>
            <w:r w:rsidRPr="00E17925">
              <w:rPr>
                <w:rFonts w:ascii="Calibri" w:hAnsi="Calibri" w:cs="Calibri"/>
                <w:sz w:val="16"/>
                <w:szCs w:val="16"/>
                <w:lang w:val="es-CR" w:eastAsia="es-CR"/>
              </w:rPr>
              <w:t>≥</w:t>
            </w:r>
            <w:r w:rsidRPr="00E17925">
              <w:rPr>
                <w:rFonts w:cs="Arial"/>
                <w:sz w:val="16"/>
                <w:szCs w:val="16"/>
                <w:lang w:val="es-CR" w:eastAsia="es-CR"/>
              </w:rPr>
              <w:t>15% &lt; 25%</w:t>
            </w:r>
          </w:p>
        </w:tc>
        <w:tc>
          <w:tcPr>
            <w:tcW w:w="1133"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cs="Arial"/>
                <w:sz w:val="16"/>
                <w:szCs w:val="16"/>
                <w:lang w:val="es-CR" w:eastAsia="es-CR"/>
              </w:rPr>
            </w:pPr>
            <w:r w:rsidRPr="00E17925">
              <w:rPr>
                <w:rFonts w:cs="Arial"/>
                <w:sz w:val="16"/>
                <w:szCs w:val="16"/>
                <w:lang w:val="es-CR" w:eastAsia="es-CR"/>
              </w:rPr>
              <w:t>&gt;25%</w:t>
            </w:r>
          </w:p>
        </w:tc>
      </w:tr>
      <w:tr w:rsidR="00E17925" w:rsidRPr="00E17925" w:rsidTr="000C0BD0">
        <w:trPr>
          <w:trHeight w:val="240"/>
        </w:trPr>
        <w:tc>
          <w:tcPr>
            <w:tcW w:w="1720"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rsidR="00E17925" w:rsidRPr="00E17925" w:rsidRDefault="000C0BD0" w:rsidP="000C0BD0">
            <w:pPr>
              <w:spacing w:line="240" w:lineRule="auto"/>
              <w:rPr>
                <w:rFonts w:cs="Arial"/>
                <w:color w:val="000000"/>
                <w:sz w:val="15"/>
                <w:szCs w:val="15"/>
                <w:lang w:val="es-CR" w:eastAsia="es-CR"/>
              </w:rPr>
            </w:pPr>
            <w:r w:rsidRPr="007F441A">
              <w:rPr>
                <w:rFonts w:cs="Arial"/>
                <w:color w:val="000000"/>
                <w:sz w:val="15"/>
                <w:szCs w:val="15"/>
                <w:lang w:val="es-CR" w:eastAsia="es-CR"/>
              </w:rPr>
              <w:t xml:space="preserve">  </w:t>
            </w:r>
            <w:r w:rsidR="00E17925" w:rsidRPr="00E17925">
              <w:rPr>
                <w:rFonts w:cs="Arial"/>
                <w:color w:val="000000"/>
                <w:sz w:val="15"/>
                <w:szCs w:val="15"/>
                <w:lang w:val="es-CR" w:eastAsia="es-CR"/>
              </w:rPr>
              <w:t>Gasto Presupuestado</w:t>
            </w:r>
          </w:p>
        </w:tc>
        <w:tc>
          <w:tcPr>
            <w:tcW w:w="1134"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ascii="Symbol" w:hAnsi="Symbol" w:cs="Arial"/>
                <w:sz w:val="16"/>
                <w:szCs w:val="16"/>
                <w:lang w:val="es-CR" w:eastAsia="es-CR"/>
              </w:rPr>
            </w:pPr>
          </w:p>
        </w:tc>
        <w:tc>
          <w:tcPr>
            <w:tcW w:w="1352"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ascii="Symbol" w:hAnsi="Symbol" w:cs="Arial"/>
                <w:sz w:val="16"/>
                <w:szCs w:val="16"/>
                <w:lang w:val="es-CR" w:eastAsia="es-CR"/>
              </w:rPr>
            </w:pPr>
          </w:p>
        </w:tc>
        <w:tc>
          <w:tcPr>
            <w:tcW w:w="1133"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sz w:val="16"/>
                <w:szCs w:val="16"/>
                <w:lang w:val="es-CR" w:eastAsia="es-CR"/>
              </w:rPr>
            </w:pPr>
          </w:p>
        </w:tc>
      </w:tr>
    </w:tbl>
    <w:p w:rsidR="00E17925" w:rsidRDefault="00E17925" w:rsidP="00225437">
      <w:pPr>
        <w:rPr>
          <w:rFonts w:asciiTheme="minorHAnsi" w:hAnsiTheme="minorHAnsi" w:cstheme="minorHAnsi"/>
          <w:lang w:val="es-CR"/>
        </w:rPr>
      </w:pPr>
    </w:p>
    <w:p w:rsidR="00E17925" w:rsidRPr="007F441A" w:rsidRDefault="00E17925" w:rsidP="00225437">
      <w:pPr>
        <w:rPr>
          <w:rFonts w:asciiTheme="minorHAnsi" w:hAnsiTheme="minorHAnsi" w:cstheme="minorHAnsi"/>
          <w:lang w:val="es-CR"/>
        </w:rPr>
      </w:pPr>
      <w:r w:rsidRPr="00E17925">
        <w:rPr>
          <w:rFonts w:cs="Arial"/>
          <w:b/>
          <w:bCs/>
          <w:i/>
          <w:iCs/>
          <w:szCs w:val="22"/>
          <w:lang w:val="es-CR" w:eastAsia="es-CR"/>
        </w:rPr>
        <w:t>Resultados</w:t>
      </w:r>
      <w:r w:rsidRPr="00E17925">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1"/>
        <w:gridCol w:w="1134"/>
      </w:tblGrid>
      <w:tr w:rsidR="00E17925" w:rsidRPr="00E17925" w:rsidTr="00B05DC4">
        <w:trPr>
          <w:trHeight w:val="240"/>
        </w:trPr>
        <w:tc>
          <w:tcPr>
            <w:tcW w:w="172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rsidR="00E17925" w:rsidRPr="00E17925" w:rsidRDefault="000C0BD0" w:rsidP="00800582">
            <w:pPr>
              <w:spacing w:line="240" w:lineRule="auto"/>
              <w:jc w:val="center"/>
              <w:rPr>
                <w:rFonts w:cs="Arial"/>
                <w:b/>
                <w:bCs/>
                <w:sz w:val="16"/>
                <w:szCs w:val="16"/>
                <w:lang w:val="es-CR" w:eastAsia="es-CR"/>
              </w:rPr>
            </w:pPr>
            <w:r w:rsidRPr="007F441A">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auto" w:fill="DBE5F1" w:themeFill="accent1" w:themeFillTint="33"/>
            <w:vAlign w:val="center"/>
            <w:hideMark/>
          </w:tcPr>
          <w:p w:rsidR="00E17925" w:rsidRPr="00E17925" w:rsidRDefault="00E17925" w:rsidP="00800582">
            <w:pPr>
              <w:spacing w:line="240" w:lineRule="auto"/>
              <w:jc w:val="center"/>
              <w:rPr>
                <w:rFonts w:cs="Arial"/>
                <w:b/>
                <w:bCs/>
                <w:sz w:val="16"/>
                <w:szCs w:val="16"/>
                <w:lang w:val="es-CR" w:eastAsia="es-CR"/>
              </w:rPr>
            </w:pPr>
            <w:r w:rsidRPr="00E17925">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auto" w:fill="DBE5F1" w:themeFill="accent1" w:themeFillTint="33"/>
            <w:vAlign w:val="center"/>
            <w:hideMark/>
          </w:tcPr>
          <w:p w:rsidR="00E17925" w:rsidRPr="00E17925" w:rsidRDefault="00E17925" w:rsidP="00800582">
            <w:pPr>
              <w:spacing w:line="240" w:lineRule="auto"/>
              <w:jc w:val="center"/>
              <w:rPr>
                <w:rFonts w:cs="Arial"/>
                <w:b/>
                <w:bCs/>
                <w:sz w:val="16"/>
                <w:szCs w:val="16"/>
                <w:lang w:val="es-CR" w:eastAsia="es-CR"/>
              </w:rPr>
            </w:pPr>
            <w:r w:rsidRPr="00E17925">
              <w:rPr>
                <w:rFonts w:cs="Arial"/>
                <w:b/>
                <w:bCs/>
                <w:sz w:val="16"/>
                <w:szCs w:val="16"/>
                <w:lang w:val="es-CR" w:eastAsia="es-CR"/>
              </w:rPr>
              <w:t>PARÁMETROS</w:t>
            </w:r>
          </w:p>
        </w:tc>
      </w:tr>
      <w:tr w:rsidR="00E17925" w:rsidRPr="00E17925" w:rsidTr="000C0BD0">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rsidR="00E17925" w:rsidRPr="00E17925" w:rsidRDefault="00E17925" w:rsidP="00800582">
            <w:pPr>
              <w:spacing w:line="240" w:lineRule="auto"/>
              <w:jc w:val="center"/>
              <w:rPr>
                <w:rFonts w:cs="Arial"/>
                <w:b/>
                <w:bCs/>
                <w:sz w:val="16"/>
                <w:szCs w:val="16"/>
                <w:lang w:val="es-CR" w:eastAsia="es-CR"/>
              </w:rPr>
            </w:pPr>
            <w:r w:rsidRPr="00E17925">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000000" w:fill="00B0F0"/>
            <w:vAlign w:val="center"/>
            <w:hideMark/>
          </w:tcPr>
          <w:p w:rsidR="00E17925" w:rsidRPr="00E17925" w:rsidRDefault="00E17925" w:rsidP="00800582">
            <w:pPr>
              <w:spacing w:line="240" w:lineRule="auto"/>
              <w:jc w:val="center"/>
              <w:rPr>
                <w:rFonts w:cs="Arial"/>
                <w:b/>
                <w:bCs/>
                <w:sz w:val="12"/>
                <w:szCs w:val="12"/>
                <w:lang w:val="es-CR" w:eastAsia="es-CR"/>
              </w:rPr>
            </w:pPr>
            <w:r w:rsidRPr="00E17925">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000000" w:fill="00FF00"/>
            <w:vAlign w:val="center"/>
            <w:hideMark/>
          </w:tcPr>
          <w:p w:rsidR="00E17925" w:rsidRPr="00E17925" w:rsidRDefault="00E17925" w:rsidP="00800582">
            <w:pPr>
              <w:spacing w:line="240" w:lineRule="auto"/>
              <w:jc w:val="center"/>
              <w:rPr>
                <w:rFonts w:cs="Arial"/>
                <w:b/>
                <w:bCs/>
                <w:sz w:val="12"/>
                <w:szCs w:val="12"/>
                <w:lang w:val="es-CR" w:eastAsia="es-CR"/>
              </w:rPr>
            </w:pPr>
            <w:r w:rsidRPr="00E17925">
              <w:rPr>
                <w:rFonts w:cs="Arial"/>
                <w:b/>
                <w:bCs/>
                <w:sz w:val="12"/>
                <w:szCs w:val="12"/>
                <w:lang w:val="es-CR" w:eastAsia="es-CR"/>
              </w:rPr>
              <w:t>Muy Bueno</w:t>
            </w:r>
          </w:p>
        </w:tc>
        <w:tc>
          <w:tcPr>
            <w:tcW w:w="1351" w:type="dxa"/>
            <w:tcBorders>
              <w:top w:val="nil"/>
              <w:left w:val="nil"/>
              <w:bottom w:val="single" w:sz="8" w:space="0" w:color="auto"/>
              <w:right w:val="single" w:sz="8" w:space="0" w:color="auto"/>
            </w:tcBorders>
            <w:shd w:val="clear" w:color="000000" w:fill="FFFF00"/>
            <w:vAlign w:val="center"/>
            <w:hideMark/>
          </w:tcPr>
          <w:p w:rsidR="00E17925" w:rsidRPr="00E17925" w:rsidRDefault="00E17925" w:rsidP="00800582">
            <w:pPr>
              <w:spacing w:line="240" w:lineRule="auto"/>
              <w:jc w:val="center"/>
              <w:rPr>
                <w:rFonts w:cs="Arial"/>
                <w:b/>
                <w:bCs/>
                <w:sz w:val="12"/>
                <w:szCs w:val="12"/>
                <w:lang w:val="es-CR" w:eastAsia="es-CR"/>
              </w:rPr>
            </w:pPr>
            <w:r w:rsidRPr="00E17925">
              <w:rPr>
                <w:rFonts w:cs="Arial"/>
                <w:b/>
                <w:bCs/>
                <w:sz w:val="12"/>
                <w:szCs w:val="12"/>
                <w:lang w:val="es-CR" w:eastAsia="es-CR"/>
              </w:rPr>
              <w:t>Bueno</w:t>
            </w:r>
          </w:p>
        </w:tc>
        <w:tc>
          <w:tcPr>
            <w:tcW w:w="1134" w:type="dxa"/>
            <w:tcBorders>
              <w:top w:val="nil"/>
              <w:left w:val="nil"/>
              <w:bottom w:val="single" w:sz="8" w:space="0" w:color="auto"/>
              <w:right w:val="single" w:sz="8" w:space="0" w:color="auto"/>
            </w:tcBorders>
            <w:shd w:val="clear" w:color="000000" w:fill="FF0000"/>
            <w:vAlign w:val="center"/>
            <w:hideMark/>
          </w:tcPr>
          <w:p w:rsidR="00E17925" w:rsidRPr="00E17925" w:rsidRDefault="00E17925" w:rsidP="00800582">
            <w:pPr>
              <w:spacing w:line="240" w:lineRule="auto"/>
              <w:jc w:val="center"/>
              <w:rPr>
                <w:rFonts w:cs="Arial"/>
                <w:b/>
                <w:bCs/>
                <w:sz w:val="12"/>
                <w:szCs w:val="12"/>
                <w:lang w:val="es-CR" w:eastAsia="es-CR"/>
              </w:rPr>
            </w:pPr>
            <w:r w:rsidRPr="00E17925">
              <w:rPr>
                <w:rFonts w:cs="Arial"/>
                <w:b/>
                <w:bCs/>
                <w:sz w:val="12"/>
                <w:szCs w:val="12"/>
                <w:lang w:val="es-CR" w:eastAsia="es-CR"/>
              </w:rPr>
              <w:t>Malo</w:t>
            </w:r>
          </w:p>
        </w:tc>
      </w:tr>
      <w:tr w:rsidR="00E17925" w:rsidRPr="00E17925" w:rsidTr="000C0BD0">
        <w:trPr>
          <w:trHeight w:val="45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cs="Arial"/>
                <w:sz w:val="16"/>
                <w:szCs w:val="16"/>
                <w:lang w:val="es-CR" w:eastAsia="es-CR"/>
              </w:rPr>
            </w:pPr>
            <w:r w:rsidRPr="00E17925">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rsidR="00E17925" w:rsidRPr="00E17925" w:rsidRDefault="00E17925" w:rsidP="00800582">
            <w:pPr>
              <w:spacing w:line="240" w:lineRule="auto"/>
              <w:jc w:val="center"/>
              <w:rPr>
                <w:rFonts w:cs="Arial"/>
                <w:color w:val="000000"/>
                <w:sz w:val="16"/>
                <w:szCs w:val="16"/>
                <w:u w:val="single"/>
                <w:lang w:val="es-CR" w:eastAsia="es-CR"/>
              </w:rPr>
            </w:pPr>
            <w:r w:rsidRPr="00E17925">
              <w:rPr>
                <w:rFonts w:cs="Arial"/>
                <w:color w:val="000000"/>
                <w:sz w:val="16"/>
                <w:szCs w:val="16"/>
                <w:u w:val="single"/>
                <w:lang w:val="es-CR" w:eastAsia="es-CR"/>
              </w:rPr>
              <w:t xml:space="preserve">5.122.662.342 </w:t>
            </w:r>
            <w:r w:rsidRPr="00E17925">
              <w:rPr>
                <w:rFonts w:cs="Arial"/>
                <w:color w:val="000000"/>
                <w:sz w:val="16"/>
                <w:szCs w:val="16"/>
                <w:lang w:val="es-CR" w:eastAsia="es-CR"/>
              </w:rPr>
              <w:t xml:space="preserve">  - 0.5 * 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cs="Arial"/>
                <w:sz w:val="16"/>
                <w:szCs w:val="16"/>
                <w:lang w:val="es-CR" w:eastAsia="es-CR"/>
              </w:rPr>
            </w:pPr>
            <w:r w:rsidRPr="00E17925">
              <w:rPr>
                <w:rFonts w:cs="Arial"/>
                <w:sz w:val="16"/>
                <w:szCs w:val="16"/>
                <w:lang w:val="es-CR" w:eastAsia="es-CR"/>
              </w:rPr>
              <w:t>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cs="Arial"/>
                <w:sz w:val="16"/>
                <w:szCs w:val="16"/>
                <w:lang w:val="es-CR" w:eastAsia="es-CR"/>
              </w:rPr>
            </w:pPr>
            <w:r w:rsidRPr="00E17925">
              <w:rPr>
                <w:rFonts w:cs="Arial"/>
                <w:sz w:val="16"/>
                <w:szCs w:val="16"/>
                <w:lang w:val="es-CR" w:eastAsia="es-CR"/>
              </w:rPr>
              <w:t>7.3%</w:t>
            </w:r>
          </w:p>
        </w:tc>
        <w:tc>
          <w:tcPr>
            <w:tcW w:w="1351"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cs="Arial"/>
                <w:sz w:val="16"/>
                <w:szCs w:val="16"/>
                <w:lang w:val="es-CR" w:eastAsia="es-CR"/>
              </w:rPr>
            </w:pPr>
            <w:r w:rsidRPr="00E17925">
              <w:rPr>
                <w:rFonts w:cs="Arial"/>
                <w:sz w:val="16"/>
                <w:szCs w:val="16"/>
                <w:lang w:val="es-CR" w:eastAsia="es-CR"/>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E17925" w:rsidRPr="00E17925" w:rsidRDefault="00E17925" w:rsidP="00800582">
            <w:pPr>
              <w:spacing w:line="240" w:lineRule="auto"/>
              <w:jc w:val="center"/>
              <w:rPr>
                <w:rFonts w:cs="Arial"/>
                <w:sz w:val="16"/>
                <w:szCs w:val="16"/>
                <w:lang w:val="es-CR" w:eastAsia="es-CR"/>
              </w:rPr>
            </w:pPr>
            <w:r w:rsidRPr="00E17925">
              <w:rPr>
                <w:rFonts w:cs="Arial"/>
                <w:sz w:val="16"/>
                <w:szCs w:val="16"/>
                <w:lang w:val="es-CR" w:eastAsia="es-CR"/>
              </w:rPr>
              <w:t> </w:t>
            </w:r>
          </w:p>
        </w:tc>
      </w:tr>
      <w:tr w:rsidR="00E17925" w:rsidRPr="00E17925" w:rsidTr="000C0BD0">
        <w:trPr>
          <w:trHeight w:val="240"/>
        </w:trPr>
        <w:tc>
          <w:tcPr>
            <w:tcW w:w="1720"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rsidR="00E17925" w:rsidRPr="00E17925" w:rsidRDefault="000C0BD0" w:rsidP="000C0BD0">
            <w:pPr>
              <w:spacing w:line="240" w:lineRule="auto"/>
              <w:rPr>
                <w:rFonts w:cs="Arial"/>
                <w:color w:val="000000"/>
                <w:sz w:val="16"/>
                <w:szCs w:val="16"/>
                <w:lang w:val="es-CR" w:eastAsia="es-CR"/>
              </w:rPr>
            </w:pPr>
            <w:r w:rsidRPr="007F441A">
              <w:rPr>
                <w:rFonts w:cs="Arial"/>
                <w:color w:val="000000"/>
                <w:sz w:val="16"/>
                <w:szCs w:val="16"/>
                <w:lang w:val="es-CR" w:eastAsia="es-CR"/>
              </w:rPr>
              <w:t xml:space="preserve">      </w:t>
            </w:r>
            <w:r w:rsidR="00E17925" w:rsidRPr="00E17925">
              <w:rPr>
                <w:rFonts w:cs="Arial"/>
                <w:color w:val="000000"/>
                <w:sz w:val="16"/>
                <w:szCs w:val="16"/>
                <w:lang w:val="es-CR" w:eastAsia="es-CR"/>
              </w:rPr>
              <w:t>2.187.553.377</w:t>
            </w:r>
          </w:p>
        </w:tc>
        <w:tc>
          <w:tcPr>
            <w:tcW w:w="1134"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sz w:val="16"/>
                <w:szCs w:val="16"/>
                <w:lang w:val="es-CR" w:eastAsia="es-CR"/>
              </w:rPr>
            </w:pPr>
          </w:p>
        </w:tc>
        <w:tc>
          <w:tcPr>
            <w:tcW w:w="1351"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sz w:val="16"/>
                <w:szCs w:val="16"/>
                <w:lang w:val="es-CR" w:eastAsia="es-CR"/>
              </w:rPr>
            </w:pPr>
          </w:p>
        </w:tc>
        <w:tc>
          <w:tcPr>
            <w:tcW w:w="1134" w:type="dxa"/>
            <w:vMerge/>
            <w:tcBorders>
              <w:top w:val="nil"/>
              <w:left w:val="single" w:sz="8" w:space="0" w:color="auto"/>
              <w:bottom w:val="single" w:sz="8" w:space="0" w:color="000000"/>
              <w:right w:val="single" w:sz="8" w:space="0" w:color="auto"/>
            </w:tcBorders>
            <w:vAlign w:val="center"/>
            <w:hideMark/>
          </w:tcPr>
          <w:p w:rsidR="00E17925" w:rsidRPr="00E17925" w:rsidRDefault="00E17925" w:rsidP="00800582">
            <w:pPr>
              <w:spacing w:line="240" w:lineRule="auto"/>
              <w:jc w:val="left"/>
              <w:rPr>
                <w:rFonts w:cs="Arial"/>
                <w:sz w:val="16"/>
                <w:szCs w:val="16"/>
                <w:lang w:val="es-CR" w:eastAsia="es-CR"/>
              </w:rPr>
            </w:pPr>
          </w:p>
        </w:tc>
      </w:tr>
    </w:tbl>
    <w:p w:rsidR="00E17925" w:rsidRDefault="00E17925" w:rsidP="00225437">
      <w:pPr>
        <w:rPr>
          <w:rFonts w:asciiTheme="minorHAnsi" w:hAnsiTheme="minorHAnsi" w:cstheme="minorHAnsi"/>
          <w:lang w:val="es-CR"/>
        </w:rPr>
      </w:pPr>
    </w:p>
    <w:p w:rsidR="003F356E" w:rsidRPr="00516ACB" w:rsidRDefault="003F356E" w:rsidP="003F356E">
      <w:pPr>
        <w:rPr>
          <w:rFonts w:cs="Arial"/>
          <w:b/>
          <w:bCs/>
          <w:i/>
          <w:iCs/>
          <w:szCs w:val="22"/>
          <w:lang w:val="es-CR" w:eastAsia="es-CR"/>
        </w:rPr>
      </w:pPr>
      <w:bookmarkStart w:id="18" w:name="_Toc392691450"/>
      <w:bookmarkStart w:id="19" w:name="_Toc441843718"/>
      <w:r w:rsidRPr="00516ACB">
        <w:rPr>
          <w:rFonts w:cs="Arial"/>
          <w:b/>
          <w:bCs/>
          <w:i/>
          <w:iCs/>
          <w:szCs w:val="22"/>
          <w:lang w:val="es-CR" w:eastAsia="es-CR"/>
        </w:rPr>
        <w:t>Porcentajes de Ejecución y de Desviación</w:t>
      </w:r>
      <w:bookmarkEnd w:id="18"/>
      <w:bookmarkEnd w:id="19"/>
    </w:p>
    <w:tbl>
      <w:tblPr>
        <w:tblW w:w="8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826"/>
        <w:gridCol w:w="1701"/>
        <w:gridCol w:w="1165"/>
        <w:gridCol w:w="1195"/>
      </w:tblGrid>
      <w:tr w:rsidR="003F356E" w:rsidRPr="00617096" w:rsidTr="00B05DC4">
        <w:trPr>
          <w:trHeight w:val="651"/>
        </w:trPr>
        <w:tc>
          <w:tcPr>
            <w:tcW w:w="2225" w:type="dxa"/>
            <w:shd w:val="clear" w:color="auto" w:fill="DBE5F1" w:themeFill="accent1" w:themeFillTint="33"/>
            <w:vAlign w:val="center"/>
          </w:tcPr>
          <w:p w:rsidR="003F356E" w:rsidRPr="00617096" w:rsidRDefault="003F356E" w:rsidP="00800582">
            <w:pPr>
              <w:spacing w:line="240" w:lineRule="auto"/>
              <w:jc w:val="center"/>
              <w:rPr>
                <w:rFonts w:cs="Arial"/>
                <w:sz w:val="20"/>
                <w:lang w:val="es-CR"/>
              </w:rPr>
            </w:pPr>
            <w:r w:rsidRPr="00617096">
              <w:rPr>
                <w:rFonts w:cs="Arial"/>
                <w:sz w:val="20"/>
                <w:lang w:val="es-CR"/>
              </w:rPr>
              <w:t>Detalle</w:t>
            </w:r>
          </w:p>
        </w:tc>
        <w:tc>
          <w:tcPr>
            <w:tcW w:w="1826" w:type="dxa"/>
            <w:shd w:val="clear" w:color="auto" w:fill="DBE5F1" w:themeFill="accent1" w:themeFillTint="33"/>
            <w:vAlign w:val="center"/>
          </w:tcPr>
          <w:p w:rsidR="003F356E" w:rsidRPr="00617096" w:rsidRDefault="003F356E" w:rsidP="00800582">
            <w:pPr>
              <w:spacing w:line="240" w:lineRule="auto"/>
              <w:jc w:val="center"/>
              <w:rPr>
                <w:rFonts w:cs="Arial"/>
                <w:sz w:val="20"/>
                <w:lang w:val="es-CR"/>
              </w:rPr>
            </w:pPr>
            <w:r w:rsidRPr="00617096">
              <w:rPr>
                <w:rFonts w:cs="Arial"/>
                <w:sz w:val="20"/>
                <w:lang w:val="es-CR"/>
              </w:rPr>
              <w:t>Presupuesto</w:t>
            </w:r>
          </w:p>
        </w:tc>
        <w:tc>
          <w:tcPr>
            <w:tcW w:w="1701" w:type="dxa"/>
            <w:shd w:val="clear" w:color="auto" w:fill="DBE5F1" w:themeFill="accent1" w:themeFillTint="33"/>
            <w:vAlign w:val="center"/>
          </w:tcPr>
          <w:p w:rsidR="003F356E" w:rsidRPr="00617096" w:rsidRDefault="003F356E" w:rsidP="00800582">
            <w:pPr>
              <w:spacing w:line="240" w:lineRule="auto"/>
              <w:jc w:val="center"/>
              <w:rPr>
                <w:rFonts w:cs="Arial"/>
                <w:sz w:val="20"/>
                <w:lang w:val="es-CR"/>
              </w:rPr>
            </w:pPr>
            <w:r w:rsidRPr="00617096">
              <w:rPr>
                <w:rFonts w:cs="Arial"/>
                <w:sz w:val="20"/>
                <w:lang w:val="es-CR"/>
              </w:rPr>
              <w:t>Ejecutado Efectivo</w:t>
            </w:r>
          </w:p>
        </w:tc>
        <w:tc>
          <w:tcPr>
            <w:tcW w:w="1165" w:type="dxa"/>
            <w:shd w:val="clear" w:color="auto" w:fill="DBE5F1" w:themeFill="accent1" w:themeFillTint="33"/>
            <w:vAlign w:val="center"/>
          </w:tcPr>
          <w:p w:rsidR="003F356E" w:rsidRPr="00617096" w:rsidRDefault="003F356E" w:rsidP="00800582">
            <w:pPr>
              <w:spacing w:line="240" w:lineRule="auto"/>
              <w:jc w:val="center"/>
              <w:rPr>
                <w:rFonts w:cs="Arial"/>
                <w:sz w:val="20"/>
                <w:lang w:val="es-CR"/>
              </w:rPr>
            </w:pPr>
            <w:r w:rsidRPr="00617096">
              <w:rPr>
                <w:rFonts w:cs="Arial"/>
                <w:sz w:val="20"/>
                <w:lang w:val="es-CR"/>
              </w:rPr>
              <w:t>%</w:t>
            </w:r>
          </w:p>
          <w:p w:rsidR="003F356E" w:rsidRPr="00617096" w:rsidRDefault="003F356E" w:rsidP="00800582">
            <w:pPr>
              <w:spacing w:line="240" w:lineRule="auto"/>
              <w:jc w:val="center"/>
              <w:rPr>
                <w:rFonts w:cs="Arial"/>
                <w:sz w:val="20"/>
                <w:lang w:val="es-CR"/>
              </w:rPr>
            </w:pPr>
            <w:r w:rsidRPr="00617096">
              <w:rPr>
                <w:rFonts w:cs="Arial"/>
                <w:sz w:val="20"/>
                <w:lang w:val="es-CR"/>
              </w:rPr>
              <w:t>Ejecución</w:t>
            </w:r>
          </w:p>
        </w:tc>
        <w:tc>
          <w:tcPr>
            <w:tcW w:w="1195" w:type="dxa"/>
            <w:shd w:val="clear" w:color="auto" w:fill="DBE5F1" w:themeFill="accent1" w:themeFillTint="33"/>
            <w:vAlign w:val="center"/>
          </w:tcPr>
          <w:p w:rsidR="003F356E" w:rsidRPr="00617096" w:rsidRDefault="003F356E" w:rsidP="00800582">
            <w:pPr>
              <w:spacing w:line="240" w:lineRule="auto"/>
              <w:jc w:val="center"/>
              <w:rPr>
                <w:rFonts w:cs="Arial"/>
                <w:sz w:val="20"/>
                <w:lang w:val="es-CR"/>
              </w:rPr>
            </w:pPr>
            <w:r w:rsidRPr="00617096">
              <w:rPr>
                <w:rFonts w:cs="Arial"/>
                <w:sz w:val="20"/>
                <w:lang w:val="es-CR"/>
              </w:rPr>
              <w:t>% Desviación</w:t>
            </w:r>
          </w:p>
        </w:tc>
      </w:tr>
      <w:tr w:rsidR="003F356E" w:rsidRPr="00617096" w:rsidTr="003F356E">
        <w:trPr>
          <w:trHeight w:val="504"/>
        </w:trPr>
        <w:tc>
          <w:tcPr>
            <w:tcW w:w="2225" w:type="dxa"/>
            <w:vAlign w:val="center"/>
          </w:tcPr>
          <w:p w:rsidR="003F356E" w:rsidRPr="00617096" w:rsidRDefault="003F356E" w:rsidP="00800582">
            <w:pPr>
              <w:spacing w:line="240" w:lineRule="auto"/>
              <w:jc w:val="center"/>
              <w:rPr>
                <w:rFonts w:cs="Arial"/>
                <w:sz w:val="18"/>
                <w:szCs w:val="18"/>
                <w:lang w:val="es-CR"/>
              </w:rPr>
            </w:pPr>
            <w:r w:rsidRPr="00617096">
              <w:rPr>
                <w:rFonts w:cs="Arial"/>
                <w:sz w:val="18"/>
                <w:szCs w:val="18"/>
                <w:lang w:val="es-CR"/>
              </w:rPr>
              <w:t>Presupuesto</w:t>
            </w:r>
          </w:p>
        </w:tc>
        <w:tc>
          <w:tcPr>
            <w:tcW w:w="1826" w:type="dxa"/>
            <w:vAlign w:val="center"/>
          </w:tcPr>
          <w:p w:rsidR="003F356E" w:rsidRPr="00AB5FB1" w:rsidRDefault="003F356E" w:rsidP="00800582">
            <w:pPr>
              <w:jc w:val="center"/>
              <w:rPr>
                <w:rFonts w:cs="Arial"/>
                <w:color w:val="000000"/>
                <w:sz w:val="18"/>
                <w:szCs w:val="18"/>
                <w:highlight w:val="yellow"/>
                <w:lang w:val="es-CR"/>
              </w:rPr>
            </w:pPr>
            <w:r>
              <w:rPr>
                <w:rFonts w:cs="Arial"/>
                <w:color w:val="000000"/>
                <w:sz w:val="18"/>
                <w:szCs w:val="18"/>
                <w:lang w:val="es-CR"/>
              </w:rPr>
              <w:t>₵</w:t>
            </w:r>
            <w:r w:rsidRPr="003F356E">
              <w:rPr>
                <w:rFonts w:cs="Arial"/>
                <w:color w:val="000000"/>
                <w:sz w:val="18"/>
                <w:szCs w:val="18"/>
                <w:lang w:val="es-CR"/>
              </w:rPr>
              <w:t xml:space="preserve">5.122.662.342   </w:t>
            </w:r>
          </w:p>
        </w:tc>
        <w:tc>
          <w:tcPr>
            <w:tcW w:w="1701" w:type="dxa"/>
            <w:vAlign w:val="center"/>
          </w:tcPr>
          <w:p w:rsidR="003F356E" w:rsidRPr="00AB5FB1" w:rsidRDefault="003F356E" w:rsidP="00800582">
            <w:pPr>
              <w:jc w:val="right"/>
              <w:rPr>
                <w:rFonts w:cs="Arial"/>
                <w:color w:val="000000"/>
                <w:sz w:val="18"/>
                <w:szCs w:val="18"/>
                <w:highlight w:val="yellow"/>
                <w:lang w:val="es-CR"/>
              </w:rPr>
            </w:pPr>
            <w:r>
              <w:rPr>
                <w:rFonts w:cs="Arial"/>
                <w:color w:val="000000"/>
                <w:sz w:val="18"/>
                <w:szCs w:val="18"/>
                <w:lang w:val="es-CR"/>
              </w:rPr>
              <w:t>₵</w:t>
            </w:r>
            <w:r w:rsidRPr="003F356E">
              <w:rPr>
                <w:rFonts w:cs="Arial"/>
                <w:color w:val="000000"/>
                <w:sz w:val="18"/>
                <w:szCs w:val="18"/>
                <w:lang w:val="es-CR"/>
              </w:rPr>
              <w:t>2.187.553.377</w:t>
            </w:r>
          </w:p>
        </w:tc>
        <w:tc>
          <w:tcPr>
            <w:tcW w:w="1165" w:type="dxa"/>
            <w:vAlign w:val="center"/>
          </w:tcPr>
          <w:p w:rsidR="003F356E" w:rsidRPr="00B73899" w:rsidRDefault="003F356E" w:rsidP="00800582">
            <w:pPr>
              <w:spacing w:line="240" w:lineRule="auto"/>
              <w:jc w:val="center"/>
              <w:rPr>
                <w:rFonts w:cs="Arial"/>
                <w:sz w:val="18"/>
                <w:szCs w:val="18"/>
                <w:lang w:val="es-CR"/>
              </w:rPr>
            </w:pPr>
            <w:r>
              <w:rPr>
                <w:rFonts w:cs="Arial"/>
                <w:sz w:val="18"/>
                <w:szCs w:val="18"/>
                <w:lang w:val="es-CR"/>
              </w:rPr>
              <w:t>42,7</w:t>
            </w:r>
            <w:r w:rsidRPr="00B73899">
              <w:rPr>
                <w:rFonts w:cs="Arial"/>
                <w:sz w:val="18"/>
                <w:szCs w:val="18"/>
                <w:lang w:val="es-CR"/>
              </w:rPr>
              <w:t>%</w:t>
            </w:r>
          </w:p>
        </w:tc>
        <w:tc>
          <w:tcPr>
            <w:tcW w:w="1195" w:type="dxa"/>
            <w:vAlign w:val="center"/>
          </w:tcPr>
          <w:p w:rsidR="003F356E" w:rsidRPr="00B73899" w:rsidRDefault="003F356E" w:rsidP="00800582">
            <w:pPr>
              <w:spacing w:line="240" w:lineRule="auto"/>
              <w:jc w:val="center"/>
              <w:rPr>
                <w:rFonts w:cs="Arial"/>
                <w:sz w:val="18"/>
                <w:szCs w:val="18"/>
                <w:lang w:val="es-CR"/>
              </w:rPr>
            </w:pPr>
            <w:r w:rsidRPr="00B73899">
              <w:rPr>
                <w:rFonts w:cs="Arial"/>
                <w:sz w:val="18"/>
                <w:szCs w:val="18"/>
                <w:lang w:val="es-CR"/>
              </w:rPr>
              <w:t>7</w:t>
            </w:r>
            <w:r>
              <w:rPr>
                <w:rFonts w:cs="Arial"/>
                <w:sz w:val="18"/>
                <w:szCs w:val="18"/>
                <w:lang w:val="es-CR"/>
              </w:rPr>
              <w:t>,3</w:t>
            </w:r>
            <w:r w:rsidRPr="00B73899">
              <w:rPr>
                <w:rFonts w:cs="Arial"/>
                <w:sz w:val="18"/>
                <w:szCs w:val="18"/>
                <w:lang w:val="es-CR"/>
              </w:rPr>
              <w:t>%</w:t>
            </w:r>
          </w:p>
        </w:tc>
      </w:tr>
    </w:tbl>
    <w:p w:rsidR="003F356E" w:rsidRPr="00617096" w:rsidRDefault="003F356E" w:rsidP="003F356E">
      <w:pPr>
        <w:rPr>
          <w:rFonts w:asciiTheme="minorHAnsi" w:hAnsiTheme="minorHAnsi"/>
          <w:sz w:val="24"/>
          <w:szCs w:val="24"/>
          <w:lang w:val="es-CR"/>
        </w:rPr>
      </w:pPr>
    </w:p>
    <w:p w:rsidR="00675237" w:rsidRDefault="00675237" w:rsidP="00225437">
      <w:pPr>
        <w:rPr>
          <w:rFonts w:asciiTheme="minorHAnsi" w:hAnsiTheme="minorHAnsi" w:cstheme="minorHAnsi"/>
          <w:lang w:val="es-CR"/>
        </w:rPr>
      </w:pPr>
    </w:p>
    <w:p w:rsidR="003464FE" w:rsidRDefault="003464FE" w:rsidP="00225437">
      <w:pPr>
        <w:rPr>
          <w:rFonts w:asciiTheme="minorHAnsi" w:hAnsiTheme="minorHAnsi" w:cstheme="minorHAnsi"/>
          <w:lang w:val="es-CR"/>
        </w:rPr>
      </w:pPr>
    </w:p>
    <w:p w:rsidR="00042589" w:rsidRPr="007F441A" w:rsidRDefault="0072159B" w:rsidP="00042589">
      <w:pPr>
        <w:pStyle w:val="Ttulo2"/>
      </w:pPr>
      <w:bookmarkStart w:id="20" w:name="_Toc519073096"/>
      <w:r>
        <w:t>3.3</w:t>
      </w:r>
      <w:r w:rsidR="00675237" w:rsidRPr="007F441A">
        <w:t xml:space="preserve"> </w:t>
      </w:r>
      <w:r w:rsidR="00042589" w:rsidRPr="007F441A">
        <w:t>Indicadores operativos</w:t>
      </w:r>
      <w:bookmarkEnd w:id="20"/>
    </w:p>
    <w:p w:rsidR="00675237" w:rsidRPr="002E1352" w:rsidRDefault="00675237" w:rsidP="00225437">
      <w:pPr>
        <w:rPr>
          <w:rFonts w:asciiTheme="minorHAnsi" w:hAnsiTheme="minorHAnsi" w:cstheme="minorHAnsi"/>
          <w:sz w:val="24"/>
          <w:lang w:val="es-CR"/>
        </w:rPr>
      </w:pPr>
    </w:p>
    <w:p w:rsidR="00A93F11" w:rsidRDefault="00920553" w:rsidP="00225437">
      <w:pPr>
        <w:rPr>
          <w:rFonts w:asciiTheme="minorHAnsi" w:hAnsiTheme="minorHAnsi" w:cstheme="minorHAnsi"/>
          <w:sz w:val="24"/>
          <w:lang w:val="es-CR"/>
        </w:rPr>
      </w:pPr>
      <w:r w:rsidRPr="00920553">
        <w:rPr>
          <w:rFonts w:asciiTheme="minorHAnsi" w:hAnsiTheme="minorHAnsi" w:cstheme="minorHAnsi"/>
          <w:sz w:val="24"/>
          <w:lang w:val="es-CR"/>
        </w:rPr>
        <w:t xml:space="preserve">La evaluación general de la SUPEN resulta del promedio de las notas obtenidas por los </w:t>
      </w:r>
      <w:r w:rsidR="00A35DD8">
        <w:rPr>
          <w:rFonts w:asciiTheme="minorHAnsi" w:hAnsiTheme="minorHAnsi" w:cstheme="minorHAnsi"/>
          <w:sz w:val="24"/>
          <w:lang w:val="es-CR"/>
        </w:rPr>
        <w:t xml:space="preserve">cinco </w:t>
      </w:r>
      <w:r w:rsidRPr="00920553">
        <w:rPr>
          <w:rFonts w:asciiTheme="minorHAnsi" w:hAnsiTheme="minorHAnsi" w:cstheme="minorHAnsi"/>
          <w:sz w:val="24"/>
          <w:lang w:val="es-CR"/>
        </w:rPr>
        <w:t xml:space="preserve">procesos que conforman la organización, según se </w:t>
      </w:r>
      <w:r w:rsidR="00516ACB" w:rsidRPr="002E1352">
        <w:rPr>
          <w:rFonts w:asciiTheme="minorHAnsi" w:hAnsiTheme="minorHAnsi" w:cstheme="minorHAnsi"/>
          <w:sz w:val="24"/>
          <w:lang w:val="es-CR"/>
        </w:rPr>
        <w:t>detallan para este período, de conformidad con los indicadores previamente declarados.</w:t>
      </w:r>
    </w:p>
    <w:p w:rsidR="00323431" w:rsidRDefault="00323431" w:rsidP="00225437">
      <w:pPr>
        <w:rPr>
          <w:rFonts w:asciiTheme="minorHAnsi" w:hAnsiTheme="minorHAnsi" w:cstheme="minorHAnsi"/>
          <w:sz w:val="24"/>
          <w:lang w:val="es-CR"/>
        </w:rPr>
      </w:pPr>
    </w:p>
    <w:p w:rsidR="00323431" w:rsidRDefault="00323431" w:rsidP="00225437">
      <w:pPr>
        <w:rPr>
          <w:rFonts w:asciiTheme="minorHAnsi" w:hAnsiTheme="minorHAnsi" w:cstheme="minorHAnsi"/>
          <w:sz w:val="24"/>
          <w:lang w:val="es-CR"/>
        </w:rPr>
      </w:pPr>
      <w:r>
        <w:rPr>
          <w:rFonts w:asciiTheme="minorHAnsi" w:hAnsiTheme="minorHAnsi" w:cstheme="minorHAnsi"/>
          <w:sz w:val="24"/>
          <w:lang w:val="es-CR"/>
        </w:rPr>
        <w:t xml:space="preserve">Se observa que la SUPEN obtuvo </w:t>
      </w:r>
      <w:r w:rsidR="004A5DB6">
        <w:rPr>
          <w:rFonts w:asciiTheme="minorHAnsi" w:hAnsiTheme="minorHAnsi" w:cstheme="minorHAnsi"/>
          <w:sz w:val="24"/>
          <w:lang w:val="es-CR"/>
        </w:rPr>
        <w:t>89</w:t>
      </w:r>
      <w:r>
        <w:rPr>
          <w:rFonts w:asciiTheme="minorHAnsi" w:hAnsiTheme="minorHAnsi" w:cstheme="minorHAnsi"/>
          <w:sz w:val="24"/>
          <w:lang w:val="es-CR"/>
        </w:rPr>
        <w:t xml:space="preserve">% como resultado de los trabajos programados realizados </w:t>
      </w:r>
      <w:r w:rsidR="00B61C95">
        <w:rPr>
          <w:rFonts w:asciiTheme="minorHAnsi" w:hAnsiTheme="minorHAnsi" w:cstheme="minorHAnsi"/>
          <w:sz w:val="24"/>
          <w:lang w:val="es-CR"/>
        </w:rPr>
        <w:t>en proporción con</w:t>
      </w:r>
      <w:r>
        <w:rPr>
          <w:rFonts w:asciiTheme="minorHAnsi" w:hAnsiTheme="minorHAnsi" w:cstheme="minorHAnsi"/>
          <w:sz w:val="24"/>
          <w:lang w:val="es-CR"/>
        </w:rPr>
        <w:t xml:space="preserve"> los trabajos programados, lo que </w:t>
      </w:r>
      <w:r w:rsidR="00B61C95">
        <w:rPr>
          <w:rFonts w:asciiTheme="minorHAnsi" w:hAnsiTheme="minorHAnsi" w:cstheme="minorHAnsi"/>
          <w:sz w:val="24"/>
          <w:lang w:val="es-CR"/>
        </w:rPr>
        <w:t>se califica como excelente. En lo que se refiere a la d</w:t>
      </w:r>
      <w:r w:rsidR="00B61C95" w:rsidRPr="00B61C95">
        <w:rPr>
          <w:rFonts w:asciiTheme="minorHAnsi" w:hAnsiTheme="minorHAnsi" w:cstheme="minorHAnsi"/>
          <w:sz w:val="24"/>
          <w:lang w:val="es-CR"/>
        </w:rPr>
        <w:t>esviación del porcentaje de realización del trabajo con respecto al programado</w:t>
      </w:r>
      <w:r w:rsidR="00B61C95">
        <w:rPr>
          <w:rFonts w:asciiTheme="minorHAnsi" w:hAnsiTheme="minorHAnsi" w:cstheme="minorHAnsi"/>
          <w:sz w:val="24"/>
          <w:lang w:val="es-CR"/>
        </w:rPr>
        <w:t>, se obtuvo un resultado del 11%, que de conformidad con los parámetros es catalogado como excelente.</w:t>
      </w:r>
    </w:p>
    <w:p w:rsidR="00B61C95" w:rsidRDefault="00B61C95" w:rsidP="00225437">
      <w:pPr>
        <w:rPr>
          <w:rFonts w:asciiTheme="minorHAnsi" w:hAnsiTheme="minorHAnsi" w:cstheme="minorHAnsi"/>
          <w:sz w:val="24"/>
          <w:lang w:val="es-CR"/>
        </w:rPr>
      </w:pPr>
    </w:p>
    <w:p w:rsidR="003464FE" w:rsidRDefault="003464FE" w:rsidP="00225437">
      <w:pPr>
        <w:rPr>
          <w:rFonts w:asciiTheme="minorHAnsi" w:hAnsiTheme="minorHAnsi" w:cstheme="minorHAnsi"/>
          <w:sz w:val="24"/>
          <w:lang w:val="es-CR"/>
        </w:rPr>
      </w:pPr>
    </w:p>
    <w:p w:rsidR="00B61C95" w:rsidRPr="002E1352" w:rsidRDefault="00B61C95" w:rsidP="00225437">
      <w:pPr>
        <w:rPr>
          <w:rFonts w:asciiTheme="minorHAnsi" w:hAnsiTheme="minorHAnsi" w:cstheme="minorHAnsi"/>
          <w:sz w:val="24"/>
          <w:lang w:val="es-CR"/>
        </w:rPr>
      </w:pPr>
      <w:r>
        <w:rPr>
          <w:rFonts w:asciiTheme="minorHAnsi" w:hAnsiTheme="minorHAnsi" w:cstheme="minorHAnsi"/>
          <w:sz w:val="24"/>
          <w:lang w:val="es-CR"/>
        </w:rPr>
        <w:t>El siguiente cuadro representa los resultados de manera general.</w:t>
      </w:r>
    </w:p>
    <w:p w:rsidR="00516ACB" w:rsidRPr="007F441A" w:rsidRDefault="00516ACB" w:rsidP="00516ACB">
      <w:pPr>
        <w:rPr>
          <w:rFonts w:ascii="Calibri" w:hAnsi="Calibri"/>
          <w:b/>
          <w:sz w:val="24"/>
          <w:szCs w:val="24"/>
          <w:lang w:val="es-CR"/>
        </w:rPr>
      </w:pPr>
      <w:r w:rsidRPr="007F441A">
        <w:rPr>
          <w:rFonts w:ascii="Calibri" w:hAnsi="Calibri"/>
          <w:sz w:val="24"/>
          <w:szCs w:val="24"/>
          <w:lang w:val="es-CR"/>
        </w:rPr>
        <w:t xml:space="preserve">Cuadro </w:t>
      </w:r>
      <w:r>
        <w:rPr>
          <w:rFonts w:ascii="Calibri" w:hAnsi="Calibri"/>
          <w:sz w:val="24"/>
          <w:szCs w:val="24"/>
          <w:lang w:val="es-CR"/>
        </w:rPr>
        <w:t>6</w:t>
      </w:r>
      <w:r w:rsidRPr="007F441A">
        <w:rPr>
          <w:rFonts w:ascii="Calibri" w:hAnsi="Calibri"/>
          <w:sz w:val="24"/>
          <w:szCs w:val="24"/>
          <w:lang w:val="es-CR"/>
        </w:rPr>
        <w:t xml:space="preserve">: </w:t>
      </w:r>
      <w:r w:rsidR="009A09BD">
        <w:rPr>
          <w:rFonts w:ascii="Calibri" w:hAnsi="Calibri"/>
          <w:b/>
          <w:sz w:val="24"/>
          <w:szCs w:val="24"/>
          <w:lang w:val="es-CR"/>
        </w:rPr>
        <w:t>Resumen de trabajo programados</w:t>
      </w:r>
      <w:r w:rsidRPr="007F441A">
        <w:rPr>
          <w:rFonts w:ascii="Calibri" w:hAnsi="Calibri"/>
          <w:b/>
          <w:sz w:val="24"/>
          <w:szCs w:val="24"/>
          <w:lang w:val="es-CR"/>
        </w:rPr>
        <w:t xml:space="preserve"> </w:t>
      </w:r>
    </w:p>
    <w:tbl>
      <w:tblPr>
        <w:tblW w:w="9030" w:type="dxa"/>
        <w:tblCellMar>
          <w:left w:w="70" w:type="dxa"/>
          <w:right w:w="70" w:type="dxa"/>
        </w:tblCellMar>
        <w:tblLook w:val="04A0" w:firstRow="1" w:lastRow="0" w:firstColumn="1" w:lastColumn="0" w:noHBand="0" w:noVBand="1"/>
      </w:tblPr>
      <w:tblGrid>
        <w:gridCol w:w="1549"/>
        <w:gridCol w:w="1843"/>
        <w:gridCol w:w="992"/>
        <w:gridCol w:w="1134"/>
        <w:gridCol w:w="1122"/>
        <w:gridCol w:w="1127"/>
        <w:gridCol w:w="1263"/>
      </w:tblGrid>
      <w:tr w:rsidR="002E1352" w:rsidRPr="002E1352" w:rsidTr="00920553">
        <w:trPr>
          <w:trHeight w:val="442"/>
          <w:tblHeader/>
        </w:trPr>
        <w:tc>
          <w:tcPr>
            <w:tcW w:w="154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E1352" w:rsidRPr="002E1352" w:rsidRDefault="002E1352" w:rsidP="002E1352">
            <w:pPr>
              <w:spacing w:line="240" w:lineRule="auto"/>
              <w:jc w:val="center"/>
              <w:rPr>
                <w:rFonts w:ascii="Calibri Light" w:hAnsi="Calibri Light" w:cs="Calibri Light"/>
                <w:b/>
                <w:bCs/>
                <w:color w:val="000000"/>
                <w:sz w:val="20"/>
                <w:lang w:val="es-CR" w:eastAsia="es-CR"/>
              </w:rPr>
            </w:pPr>
            <w:r w:rsidRPr="002E1352">
              <w:rPr>
                <w:rFonts w:ascii="Calibri Light" w:hAnsi="Calibri Light" w:cs="Calibri Light"/>
                <w:b/>
                <w:bCs/>
                <w:color w:val="000000"/>
                <w:sz w:val="20"/>
                <w:lang w:val="es-CR" w:eastAsia="es-CR"/>
              </w:rPr>
              <w:t>INTERPRETACION</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E1352" w:rsidRPr="002E1352" w:rsidRDefault="002E1352" w:rsidP="002E1352">
            <w:pPr>
              <w:spacing w:line="240" w:lineRule="auto"/>
              <w:jc w:val="center"/>
              <w:rPr>
                <w:rFonts w:ascii="Calibri Light" w:hAnsi="Calibri Light" w:cs="Calibri Light"/>
                <w:b/>
                <w:bCs/>
                <w:color w:val="000000"/>
                <w:sz w:val="20"/>
                <w:lang w:val="es-CR" w:eastAsia="es-CR"/>
              </w:rPr>
            </w:pPr>
            <w:r w:rsidRPr="002E1352">
              <w:rPr>
                <w:rFonts w:ascii="Calibri Light" w:hAnsi="Calibri Light" w:cs="Calibri Light"/>
                <w:b/>
                <w:bCs/>
                <w:color w:val="000000"/>
                <w:sz w:val="20"/>
                <w:lang w:val="es-CR" w:eastAsia="es-CR"/>
              </w:rPr>
              <w:t>INDICADORES OPERATIVOS</w:t>
            </w:r>
          </w:p>
        </w:tc>
        <w:tc>
          <w:tcPr>
            <w:tcW w:w="437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E1352" w:rsidRPr="002E1352" w:rsidRDefault="002E1352" w:rsidP="002E1352">
            <w:pPr>
              <w:spacing w:line="240" w:lineRule="auto"/>
              <w:jc w:val="center"/>
              <w:rPr>
                <w:rFonts w:ascii="Calibri Light" w:hAnsi="Calibri Light" w:cs="Calibri Light"/>
                <w:b/>
                <w:bCs/>
                <w:color w:val="000000"/>
                <w:sz w:val="20"/>
                <w:lang w:val="es-CR" w:eastAsia="es-CR"/>
              </w:rPr>
            </w:pPr>
            <w:r w:rsidRPr="002E1352">
              <w:rPr>
                <w:rFonts w:ascii="Calibri Light" w:hAnsi="Calibri Light" w:cs="Calibri Light"/>
                <w:b/>
                <w:bCs/>
                <w:color w:val="000000"/>
                <w:sz w:val="20"/>
                <w:lang w:val="es-CR" w:eastAsia="es-CR"/>
              </w:rPr>
              <w:t>PARÁMETROS</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E1352" w:rsidRPr="002E1352" w:rsidRDefault="002E1352" w:rsidP="002E1352">
            <w:pPr>
              <w:spacing w:line="240" w:lineRule="auto"/>
              <w:jc w:val="center"/>
              <w:rPr>
                <w:rFonts w:ascii="Calibri Light" w:hAnsi="Calibri Light" w:cs="Calibri Light"/>
                <w:b/>
                <w:bCs/>
                <w:color w:val="000000"/>
                <w:sz w:val="20"/>
                <w:lang w:val="es-CR" w:eastAsia="es-CR"/>
              </w:rPr>
            </w:pPr>
            <w:r w:rsidRPr="002E1352">
              <w:rPr>
                <w:rFonts w:ascii="Calibri Light" w:hAnsi="Calibri Light" w:cs="Calibri Light"/>
                <w:b/>
                <w:bCs/>
                <w:color w:val="000000"/>
                <w:sz w:val="20"/>
                <w:lang w:val="es-CR" w:eastAsia="es-CR"/>
              </w:rPr>
              <w:t xml:space="preserve">RESULTADOS </w:t>
            </w:r>
          </w:p>
        </w:tc>
      </w:tr>
      <w:tr w:rsidR="002E1352" w:rsidRPr="002E1352" w:rsidTr="00AD0001">
        <w:trPr>
          <w:trHeight w:val="525"/>
          <w:tblHead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2E1352" w:rsidRPr="002E1352" w:rsidRDefault="002E1352" w:rsidP="002E1352">
            <w:pPr>
              <w:spacing w:line="240" w:lineRule="auto"/>
              <w:jc w:val="left"/>
              <w:rPr>
                <w:rFonts w:ascii="Calibri Light" w:hAnsi="Calibri Light" w:cs="Calibri Light"/>
                <w:b/>
                <w:bCs/>
                <w:color w:val="000000"/>
                <w:sz w:val="20"/>
                <w:lang w:val="es-CR" w:eastAsia="es-CR"/>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E1352" w:rsidRPr="002E1352" w:rsidRDefault="002E1352" w:rsidP="002E1352">
            <w:pPr>
              <w:spacing w:line="240" w:lineRule="auto"/>
              <w:jc w:val="center"/>
              <w:rPr>
                <w:rFonts w:ascii="Calibri Light" w:hAnsi="Calibri Light" w:cs="Calibri Light"/>
                <w:b/>
                <w:bCs/>
                <w:color w:val="000000"/>
                <w:sz w:val="20"/>
                <w:lang w:val="es-CR" w:eastAsia="es-CR"/>
              </w:rPr>
            </w:pPr>
            <w:r w:rsidRPr="002E1352">
              <w:rPr>
                <w:rFonts w:ascii="Calibri Light" w:hAnsi="Calibri Light" w:cs="Calibri Light"/>
                <w:b/>
                <w:bCs/>
                <w:color w:val="000000"/>
                <w:sz w:val="20"/>
                <w:lang w:val="es-CR" w:eastAsia="es-CR"/>
              </w:rPr>
              <w:t>(</w:t>
            </w:r>
            <w:r w:rsidRPr="006F115E">
              <w:rPr>
                <w:rFonts w:ascii="Calibri Light" w:hAnsi="Calibri Light" w:cs="Calibri Light"/>
                <w:b/>
                <w:bCs/>
                <w:color w:val="000000"/>
                <w:sz w:val="20"/>
                <w:shd w:val="clear" w:color="auto" w:fill="DBE5F1" w:themeFill="accent1" w:themeFillTint="33"/>
                <w:lang w:val="es-CR" w:eastAsia="es-CR"/>
              </w:rPr>
              <w:t>institucionales</w:t>
            </w:r>
            <w:r w:rsidRPr="002E1352">
              <w:rPr>
                <w:rFonts w:ascii="Calibri Light" w:hAnsi="Calibri Light" w:cs="Calibri Light"/>
                <w:b/>
                <w:bCs/>
                <w:color w:val="000000"/>
                <w:sz w:val="20"/>
                <w:lang w:val="es-CR" w:eastAsia="es-CR"/>
              </w:rPr>
              <w:t xml:space="preserve"> y por meta)</w:t>
            </w:r>
          </w:p>
        </w:tc>
        <w:tc>
          <w:tcPr>
            <w:tcW w:w="992" w:type="dxa"/>
            <w:tcBorders>
              <w:top w:val="single" w:sz="4" w:space="0" w:color="auto"/>
              <w:left w:val="single" w:sz="4" w:space="0" w:color="auto"/>
              <w:bottom w:val="single" w:sz="4" w:space="0" w:color="auto"/>
              <w:right w:val="single" w:sz="4" w:space="0" w:color="auto"/>
            </w:tcBorders>
            <w:shd w:val="clear" w:color="000000" w:fill="00FFFF"/>
            <w:vAlign w:val="center"/>
            <w:hideMark/>
          </w:tcPr>
          <w:p w:rsidR="002E1352" w:rsidRPr="002E1352" w:rsidRDefault="002E1352" w:rsidP="002E1352">
            <w:pPr>
              <w:spacing w:line="240" w:lineRule="auto"/>
              <w:jc w:val="center"/>
              <w:rPr>
                <w:rFonts w:ascii="Calibri Light" w:hAnsi="Calibri Light" w:cs="Calibri Light"/>
                <w:b/>
                <w:bCs/>
                <w:color w:val="000000"/>
                <w:sz w:val="20"/>
                <w:lang w:val="es-CR" w:eastAsia="es-CR"/>
              </w:rPr>
            </w:pPr>
            <w:r w:rsidRPr="002E1352">
              <w:rPr>
                <w:rFonts w:ascii="Calibri Light" w:hAnsi="Calibri Light" w:cs="Calibri Light"/>
                <w:b/>
                <w:bCs/>
                <w:color w:val="000000"/>
                <w:sz w:val="20"/>
                <w:lang w:val="es-CR" w:eastAsia="es-CR"/>
              </w:rPr>
              <w:t>E</w:t>
            </w:r>
          </w:p>
        </w:tc>
        <w:tc>
          <w:tcPr>
            <w:tcW w:w="1134" w:type="dxa"/>
            <w:tcBorders>
              <w:top w:val="single" w:sz="4" w:space="0" w:color="auto"/>
              <w:left w:val="single" w:sz="4" w:space="0" w:color="auto"/>
              <w:bottom w:val="single" w:sz="4" w:space="0" w:color="auto"/>
              <w:right w:val="single" w:sz="4" w:space="0" w:color="auto"/>
            </w:tcBorders>
            <w:shd w:val="clear" w:color="000000" w:fill="00FF00"/>
            <w:vAlign w:val="center"/>
            <w:hideMark/>
          </w:tcPr>
          <w:p w:rsidR="002E1352" w:rsidRPr="002E1352" w:rsidRDefault="002E1352" w:rsidP="002E1352">
            <w:pPr>
              <w:spacing w:line="240" w:lineRule="auto"/>
              <w:jc w:val="center"/>
              <w:rPr>
                <w:rFonts w:ascii="Calibri Light" w:hAnsi="Calibri Light" w:cs="Calibri Light"/>
                <w:b/>
                <w:bCs/>
                <w:color w:val="000000"/>
                <w:sz w:val="20"/>
                <w:lang w:val="es-CR" w:eastAsia="es-CR"/>
              </w:rPr>
            </w:pPr>
            <w:r w:rsidRPr="002E1352">
              <w:rPr>
                <w:rFonts w:ascii="Calibri Light" w:hAnsi="Calibri Light" w:cs="Calibri Light"/>
                <w:b/>
                <w:bCs/>
                <w:color w:val="000000"/>
                <w:sz w:val="20"/>
                <w:lang w:val="es-CR" w:eastAsia="es-CR"/>
              </w:rPr>
              <w:t>MB</w:t>
            </w:r>
          </w:p>
        </w:tc>
        <w:tc>
          <w:tcPr>
            <w:tcW w:w="112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E1352" w:rsidRPr="002E1352" w:rsidRDefault="002E1352" w:rsidP="002E1352">
            <w:pPr>
              <w:spacing w:line="240" w:lineRule="auto"/>
              <w:jc w:val="center"/>
              <w:rPr>
                <w:rFonts w:ascii="Calibri Light" w:hAnsi="Calibri Light" w:cs="Calibri Light"/>
                <w:b/>
                <w:bCs/>
                <w:color w:val="000000"/>
                <w:sz w:val="20"/>
                <w:lang w:val="es-CR" w:eastAsia="es-CR"/>
              </w:rPr>
            </w:pPr>
            <w:r w:rsidRPr="002E1352">
              <w:rPr>
                <w:rFonts w:ascii="Calibri Light" w:hAnsi="Calibri Light" w:cs="Calibri Light"/>
                <w:b/>
                <w:bCs/>
                <w:color w:val="000000"/>
                <w:sz w:val="20"/>
                <w:lang w:val="es-CR" w:eastAsia="es-CR"/>
              </w:rPr>
              <w:t>B</w:t>
            </w:r>
          </w:p>
        </w:tc>
        <w:tc>
          <w:tcPr>
            <w:tcW w:w="112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E1352" w:rsidRPr="002E1352" w:rsidRDefault="002E1352" w:rsidP="002E1352">
            <w:pPr>
              <w:spacing w:line="240" w:lineRule="auto"/>
              <w:jc w:val="center"/>
              <w:rPr>
                <w:rFonts w:ascii="Calibri Light" w:hAnsi="Calibri Light" w:cs="Calibri Light"/>
                <w:b/>
                <w:bCs/>
                <w:color w:val="000000"/>
                <w:sz w:val="20"/>
                <w:lang w:val="es-CR" w:eastAsia="es-CR"/>
              </w:rPr>
            </w:pPr>
            <w:r w:rsidRPr="002E1352">
              <w:rPr>
                <w:rFonts w:ascii="Calibri Light" w:hAnsi="Calibri Light" w:cs="Calibri Light"/>
                <w:b/>
                <w:bCs/>
                <w:color w:val="000000"/>
                <w:sz w:val="20"/>
                <w:lang w:val="es-CR" w:eastAsia="es-CR"/>
              </w:rPr>
              <w:t>M</w:t>
            </w: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E1352" w:rsidRPr="002E1352" w:rsidRDefault="002E1352" w:rsidP="002E1352">
            <w:pPr>
              <w:spacing w:line="240" w:lineRule="auto"/>
              <w:jc w:val="left"/>
              <w:rPr>
                <w:rFonts w:ascii="Calibri Light" w:hAnsi="Calibri Light" w:cs="Calibri Light"/>
                <w:b/>
                <w:bCs/>
                <w:color w:val="000000"/>
                <w:sz w:val="20"/>
                <w:lang w:val="es-CR" w:eastAsia="es-CR"/>
              </w:rPr>
            </w:pPr>
          </w:p>
        </w:tc>
      </w:tr>
      <w:tr w:rsidR="002E1352" w:rsidRPr="002E1352" w:rsidTr="00D4147B">
        <w:trPr>
          <w:trHeight w:val="1284"/>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left"/>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Porcentaje de trabajos programado</w:t>
            </w:r>
            <w:r w:rsidR="00554313">
              <w:rPr>
                <w:rFonts w:ascii="Calibri Light" w:hAnsi="Calibri Light" w:cs="Calibri Light"/>
                <w:color w:val="000000"/>
                <w:sz w:val="18"/>
                <w:lang w:val="es-CR" w:eastAsia="es-CR"/>
              </w:rPr>
              <w:t xml:space="preserve">s que se realizaron, por meta </w:t>
            </w:r>
            <w:r w:rsidRPr="002E1352">
              <w:rPr>
                <w:rFonts w:ascii="Calibri Light" w:hAnsi="Calibri Light" w:cs="Calibri Light"/>
                <w:color w:val="000000"/>
                <w:sz w:val="18"/>
                <w:lang w:val="es-CR" w:eastAsia="es-CR"/>
              </w:rPr>
              <w:t xml:space="preserve">institucional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left"/>
              <w:rPr>
                <w:rFonts w:ascii="Calibri Light" w:hAnsi="Calibri Light" w:cs="Calibri Light"/>
                <w:color w:val="000000"/>
                <w:sz w:val="18"/>
                <w:u w:val="single"/>
                <w:lang w:val="es-CR" w:eastAsia="es-CR"/>
              </w:rPr>
            </w:pPr>
            <w:r w:rsidRPr="002E1352">
              <w:rPr>
                <w:rFonts w:ascii="Calibri Light" w:hAnsi="Calibri Light" w:cs="Calibri Light"/>
                <w:color w:val="000000"/>
                <w:sz w:val="18"/>
                <w:lang w:val="es-CR" w:eastAsia="es-CR"/>
              </w:rPr>
              <w:t xml:space="preserve">(Trabajos planificados realizados) / </w:t>
            </w:r>
            <w:r>
              <w:rPr>
                <w:rFonts w:ascii="Calibri Light" w:hAnsi="Calibri Light" w:cs="Calibri Light"/>
                <w:color w:val="000000"/>
                <w:sz w:val="18"/>
                <w:lang w:val="es-CR" w:eastAsia="es-CR"/>
              </w:rPr>
              <w:t>(</w:t>
            </w:r>
            <w:r w:rsidRPr="002E1352">
              <w:rPr>
                <w:rFonts w:ascii="Calibri Light" w:hAnsi="Calibri Light" w:cs="Calibri Light"/>
                <w:color w:val="000000"/>
                <w:sz w:val="18"/>
                <w:lang w:val="es-CR" w:eastAsia="es-CR"/>
              </w:rPr>
              <w:t>Trabajos planificados</w:t>
            </w:r>
            <w:r>
              <w:rPr>
                <w:rFonts w:ascii="Calibri Light" w:hAnsi="Calibri Light" w:cs="Calibri Light"/>
                <w:color w:val="000000"/>
                <w:sz w:val="18"/>
                <w:lang w:val="es-CR" w:eastAsia="es-CR"/>
              </w:rPr>
              <w:t xml:space="preserve">) </w:t>
            </w:r>
            <w:r w:rsidRPr="002E1352">
              <w:rPr>
                <w:rFonts w:ascii="Calibri Light" w:hAnsi="Calibri Light" w:cs="Calibri Light"/>
                <w:color w:val="000000"/>
                <w:sz w:val="18"/>
                <w:u w:val="single"/>
                <w:lang w:val="es-CR" w:eastAsia="es-CR"/>
              </w:rPr>
              <w:t>x 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 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80% ≤ 85/%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Pr>
                <w:rFonts w:ascii="Calibri Light" w:hAnsi="Calibri Light" w:cs="Calibri Light"/>
                <w:color w:val="000000"/>
                <w:sz w:val="18"/>
                <w:lang w:val="es-CR" w:eastAsia="es-CR"/>
              </w:rPr>
              <w:t xml:space="preserve">75% ≤ </w:t>
            </w:r>
            <w:r w:rsidRPr="002E1352">
              <w:rPr>
                <w:rFonts w:ascii="Calibri Light" w:hAnsi="Calibri Light" w:cs="Calibri Light"/>
                <w:color w:val="000000"/>
                <w:sz w:val="18"/>
                <w:lang w:val="es-CR" w:eastAsia="es-CR"/>
              </w:rPr>
              <w:t>80%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Pr>
                <w:rFonts w:ascii="Calibri Light" w:hAnsi="Calibri Light" w:cs="Calibri Light"/>
                <w:color w:val="000000"/>
                <w:sz w:val="18"/>
                <w:lang w:val="es-CR" w:eastAsia="es-CR"/>
              </w:rPr>
              <w:t>&lt; 75</w:t>
            </w:r>
            <w:r w:rsidRPr="002E1352">
              <w:rPr>
                <w:rFonts w:ascii="Calibri Light" w:hAnsi="Calibri Light" w:cs="Calibri Light"/>
                <w:color w:val="000000"/>
                <w:sz w:val="18"/>
                <w:lang w:val="es-CR" w:eastAsia="es-CR"/>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4A5DB6" w:rsidP="002E1352">
            <w:pPr>
              <w:spacing w:line="240" w:lineRule="auto"/>
              <w:jc w:val="center"/>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lang w:val="es-CR" w:eastAsia="es-CR"/>
              </w:rPr>
              <w:t>89</w:t>
            </w:r>
            <w:r w:rsidR="00554313">
              <w:rPr>
                <w:rFonts w:ascii="Calibri Light" w:hAnsi="Calibri Light" w:cs="Calibri Light"/>
                <w:b/>
                <w:bCs/>
                <w:color w:val="000000"/>
                <w:sz w:val="18"/>
                <w:szCs w:val="18"/>
                <w:lang w:val="es-CR" w:eastAsia="es-CR"/>
              </w:rPr>
              <w:t>%</w:t>
            </w:r>
          </w:p>
        </w:tc>
      </w:tr>
      <w:tr w:rsidR="002E1352" w:rsidRPr="002E1352" w:rsidTr="00D4147B">
        <w:trPr>
          <w:trHeight w:val="1685"/>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left"/>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Porcentaje de trabajos realizados (programados y no programados) con respecto a los programados planificados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left"/>
              <w:rPr>
                <w:rFonts w:ascii="Calibri Light" w:hAnsi="Calibri Light" w:cs="Calibri Light"/>
                <w:color w:val="000000"/>
                <w:sz w:val="18"/>
                <w:lang w:val="es-CR" w:eastAsia="es-CR"/>
              </w:rPr>
            </w:pPr>
            <w:r>
              <w:rPr>
                <w:rFonts w:ascii="Calibri Light" w:hAnsi="Calibri Light" w:cs="Calibri Light"/>
                <w:color w:val="000000"/>
                <w:sz w:val="18"/>
                <w:lang w:val="es-CR" w:eastAsia="es-CR"/>
              </w:rPr>
              <w:t>(</w:t>
            </w:r>
            <w:r w:rsidRPr="002E1352">
              <w:rPr>
                <w:rFonts w:ascii="Calibri Light" w:hAnsi="Calibri Light" w:cs="Calibri Light"/>
                <w:color w:val="000000"/>
                <w:sz w:val="18"/>
                <w:lang w:val="es-CR" w:eastAsia="es-CR"/>
              </w:rPr>
              <w:t>Q Trabajos realizados</w:t>
            </w:r>
            <w:r>
              <w:rPr>
                <w:rFonts w:ascii="Calibri Light" w:hAnsi="Calibri Light" w:cs="Calibri Light"/>
                <w:color w:val="000000"/>
                <w:sz w:val="18"/>
                <w:lang w:val="es-CR" w:eastAsia="es-CR"/>
              </w:rPr>
              <w:t>) / (</w:t>
            </w:r>
            <w:r w:rsidRPr="002E1352">
              <w:rPr>
                <w:rFonts w:ascii="Calibri Light" w:hAnsi="Calibri Light" w:cs="Calibri Light"/>
                <w:color w:val="000000"/>
                <w:sz w:val="18"/>
                <w:lang w:val="es-CR" w:eastAsia="es-CR"/>
              </w:rPr>
              <w:t>Q Trabajos planificados</w:t>
            </w:r>
            <w:r>
              <w:rPr>
                <w:rFonts w:ascii="Calibri Light" w:hAnsi="Calibri Light" w:cs="Calibri Light"/>
                <w:color w:val="000000"/>
                <w:sz w:val="18"/>
                <w:lang w:val="es-CR" w:eastAsia="es-CR"/>
              </w:rPr>
              <w:t xml:space="preserve">) </w:t>
            </w:r>
            <w:r w:rsidRPr="002E1352">
              <w:rPr>
                <w:rFonts w:ascii="Calibri Light" w:hAnsi="Calibri Light" w:cs="Calibri Light"/>
                <w:color w:val="000000"/>
                <w:sz w:val="18"/>
                <w:lang w:val="es-CR" w:eastAsia="es-CR"/>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Pr>
                <w:rFonts w:ascii="Calibri Light" w:hAnsi="Calibri Light" w:cs="Calibri Light"/>
                <w:color w:val="000000"/>
                <w:sz w:val="18"/>
                <w:lang w:val="es-CR" w:eastAsia="es-CR"/>
              </w:rPr>
              <w:t xml:space="preserve">90% </w:t>
            </w:r>
            <w:r w:rsidRPr="002E1352">
              <w:rPr>
                <w:rFonts w:ascii="Calibri Light" w:hAnsi="Calibri Light" w:cs="Calibri Light"/>
                <w:color w:val="000000"/>
                <w:sz w:val="18"/>
                <w:lang w:val="es-CR" w:eastAsia="es-CR"/>
              </w:rPr>
              <w:t>≤ 100%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Pr>
                <w:rFonts w:ascii="Calibri Light" w:hAnsi="Calibri Light" w:cs="Calibri Light"/>
                <w:color w:val="000000"/>
                <w:sz w:val="18"/>
                <w:lang w:val="es-CR" w:eastAsia="es-CR"/>
              </w:rPr>
              <w:t xml:space="preserve">80% ≤ </w:t>
            </w:r>
            <w:r w:rsidRPr="002E1352">
              <w:rPr>
                <w:rFonts w:ascii="Calibri Light" w:hAnsi="Calibri Light" w:cs="Calibri Light"/>
                <w:color w:val="000000"/>
                <w:sz w:val="18"/>
                <w:lang w:val="es-CR" w:eastAsia="es-CR"/>
              </w:rPr>
              <w:t>90%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&lt;80%</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4A5DB6" w:rsidP="002E1352">
            <w:pPr>
              <w:spacing w:line="240" w:lineRule="auto"/>
              <w:jc w:val="center"/>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lang w:val="es-CR" w:eastAsia="es-CR"/>
              </w:rPr>
              <w:t>89</w:t>
            </w:r>
            <w:r w:rsidR="00554313">
              <w:rPr>
                <w:rFonts w:ascii="Calibri Light" w:hAnsi="Calibri Light" w:cs="Calibri Light"/>
                <w:b/>
                <w:bCs/>
                <w:color w:val="000000"/>
                <w:sz w:val="18"/>
                <w:szCs w:val="18"/>
                <w:lang w:val="es-CR" w:eastAsia="es-CR"/>
              </w:rPr>
              <w:t>%</w:t>
            </w:r>
          </w:p>
        </w:tc>
      </w:tr>
      <w:tr w:rsidR="002E1352" w:rsidRPr="002E1352" w:rsidTr="00D4147B">
        <w:trPr>
          <w:trHeight w:val="1426"/>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left"/>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 xml:space="preserve">Desviación del porcentaje de realización del trabajo con respecto al programado.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left"/>
              <w:rPr>
                <w:rFonts w:ascii="Calibri Light" w:hAnsi="Calibri Light" w:cs="Calibri Light"/>
                <w:color w:val="000000"/>
                <w:sz w:val="18"/>
                <w:lang w:val="es-CR" w:eastAsia="es-CR"/>
              </w:rPr>
            </w:pPr>
            <w:r>
              <w:rPr>
                <w:rFonts w:ascii="Calibri Light" w:hAnsi="Calibri Light" w:cs="Calibri Light"/>
                <w:color w:val="000000"/>
                <w:sz w:val="18"/>
                <w:lang w:val="es-CR" w:eastAsia="es-CR"/>
              </w:rPr>
              <w:t>(</w:t>
            </w:r>
            <w:r w:rsidRPr="002E1352">
              <w:rPr>
                <w:rFonts w:ascii="Calibri Light" w:hAnsi="Calibri Light" w:cs="Calibri Light"/>
                <w:color w:val="000000"/>
                <w:sz w:val="18"/>
                <w:lang w:val="es-CR" w:eastAsia="es-CR"/>
              </w:rPr>
              <w:t>Porcentaje de ejecución planificada del trabajo</w:t>
            </w:r>
            <w:r>
              <w:rPr>
                <w:rFonts w:ascii="Calibri Light" w:hAnsi="Calibri Light" w:cs="Calibri Light"/>
                <w:color w:val="000000"/>
                <w:sz w:val="18"/>
                <w:lang w:val="es-CR" w:eastAsia="es-CR"/>
              </w:rPr>
              <w:t>)</w:t>
            </w:r>
            <w:r w:rsidRPr="002E1352">
              <w:rPr>
                <w:rFonts w:ascii="Calibri Light" w:hAnsi="Calibri Light" w:cs="Calibri Light"/>
                <w:color w:val="000000"/>
                <w:sz w:val="18"/>
                <w:lang w:val="es-CR" w:eastAsia="es-CR"/>
              </w:rPr>
              <w:t xml:space="preserve"> – </w:t>
            </w:r>
            <w:r>
              <w:rPr>
                <w:rFonts w:ascii="Calibri Light" w:hAnsi="Calibri Light" w:cs="Calibri Light"/>
                <w:color w:val="000000"/>
                <w:sz w:val="18"/>
                <w:lang w:val="es-CR" w:eastAsia="es-CR"/>
              </w:rPr>
              <w:t>(</w:t>
            </w:r>
            <w:r w:rsidRPr="002E1352">
              <w:rPr>
                <w:rFonts w:ascii="Calibri Light" w:hAnsi="Calibri Light" w:cs="Calibri Light"/>
                <w:color w:val="000000"/>
                <w:sz w:val="18"/>
                <w:lang w:val="es-CR" w:eastAsia="es-CR"/>
              </w:rPr>
              <w:t>Porcentaje de ejecución real del trabajo</w:t>
            </w:r>
            <w:r>
              <w:rPr>
                <w:rFonts w:ascii="Calibri Light" w:hAnsi="Calibri Light" w:cs="Calibri Light"/>
                <w:color w:val="000000"/>
                <w:sz w:val="18"/>
                <w:lang w:val="es-CR" w:eastAsia="es-CR"/>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&lt;15%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15% ≤ 25%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25% ≤ 35%</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&lt;35%</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323431" w:rsidP="002E1352">
            <w:pPr>
              <w:spacing w:line="240" w:lineRule="auto"/>
              <w:jc w:val="center"/>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lang w:val="es-CR" w:eastAsia="es-CR"/>
              </w:rPr>
              <w:t>11</w:t>
            </w:r>
            <w:r w:rsidR="00A11076">
              <w:rPr>
                <w:rFonts w:ascii="Calibri Light" w:hAnsi="Calibri Light" w:cs="Calibri Light"/>
                <w:b/>
                <w:bCs/>
                <w:color w:val="000000"/>
                <w:sz w:val="18"/>
                <w:szCs w:val="18"/>
                <w:lang w:val="es-CR" w:eastAsia="es-CR"/>
              </w:rPr>
              <w:t>%</w:t>
            </w:r>
          </w:p>
        </w:tc>
      </w:tr>
      <w:tr w:rsidR="002E1352" w:rsidRPr="002E1352" w:rsidTr="00AD0001">
        <w:trPr>
          <w:trHeight w:val="780"/>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left"/>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Trabajos no programables realizados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left"/>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 de trab</w:t>
            </w:r>
            <w:r>
              <w:rPr>
                <w:rFonts w:ascii="Calibri Light" w:hAnsi="Calibri Light" w:cs="Calibri Light"/>
                <w:color w:val="000000"/>
                <w:sz w:val="18"/>
                <w:lang w:val="es-CR" w:eastAsia="es-CR"/>
              </w:rPr>
              <w:t>ajos</w:t>
            </w:r>
            <w:r w:rsidRPr="002E1352">
              <w:rPr>
                <w:rFonts w:ascii="Calibri Light" w:hAnsi="Calibri Light" w:cs="Calibri Light"/>
                <w:color w:val="000000"/>
                <w:sz w:val="18"/>
                <w:lang w:val="es-CR" w:eastAsia="es-CR"/>
              </w:rPr>
              <w:t xml:space="preserve"> </w:t>
            </w:r>
            <w:r>
              <w:rPr>
                <w:rFonts w:ascii="Calibri Light" w:hAnsi="Calibri Light" w:cs="Calibri Light"/>
                <w:color w:val="000000"/>
                <w:sz w:val="18"/>
                <w:lang w:val="es-CR" w:eastAsia="es-CR"/>
              </w:rPr>
              <w:t>n</w:t>
            </w:r>
            <w:r w:rsidRPr="002E1352">
              <w:rPr>
                <w:rFonts w:ascii="Calibri Light" w:hAnsi="Calibri Light" w:cs="Calibri Light"/>
                <w:color w:val="000000"/>
                <w:sz w:val="18"/>
                <w:lang w:val="es-CR" w:eastAsia="es-CR"/>
              </w:rPr>
              <w:t>o programables realizados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2E1352" w:rsidP="002E1352">
            <w:pPr>
              <w:spacing w:line="240" w:lineRule="auto"/>
              <w:jc w:val="center"/>
              <w:rPr>
                <w:rFonts w:ascii="Calibri Light" w:hAnsi="Calibri Light" w:cs="Calibri Light"/>
                <w:color w:val="000000"/>
                <w:sz w:val="18"/>
                <w:lang w:val="es-CR" w:eastAsia="es-CR"/>
              </w:rPr>
            </w:pPr>
            <w:r w:rsidRPr="002E1352">
              <w:rPr>
                <w:rFonts w:ascii="Calibri Light" w:hAnsi="Calibri Light" w:cs="Calibri Light"/>
                <w:color w:val="000000"/>
                <w:sz w:val="18"/>
                <w:lang w:val="es-CR" w:eastAsia="es-CR"/>
              </w:rPr>
              <w:t>N/A</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352" w:rsidRPr="002E1352" w:rsidRDefault="00A11076" w:rsidP="002E1352">
            <w:pPr>
              <w:spacing w:line="240" w:lineRule="auto"/>
              <w:jc w:val="center"/>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lang w:val="es-CR" w:eastAsia="es-CR"/>
              </w:rPr>
              <w:t>0%</w:t>
            </w:r>
          </w:p>
        </w:tc>
      </w:tr>
    </w:tbl>
    <w:p w:rsidR="00516ACB" w:rsidRDefault="00516ACB" w:rsidP="00225437">
      <w:pPr>
        <w:rPr>
          <w:rFonts w:ascii="Calibri Light" w:hAnsi="Calibri Light" w:cs="Calibri Light"/>
          <w:lang w:val="es-CR"/>
        </w:rPr>
      </w:pPr>
    </w:p>
    <w:p w:rsidR="00920553" w:rsidRPr="00920553" w:rsidRDefault="00920553" w:rsidP="00920553">
      <w:pPr>
        <w:spacing w:line="240" w:lineRule="auto"/>
        <w:rPr>
          <w:rFonts w:ascii="Calibri Light" w:hAnsi="Calibri Light" w:cs="Calibri Light"/>
          <w:lang w:val="es-CR"/>
        </w:rPr>
      </w:pPr>
      <w:r w:rsidRPr="00920553">
        <w:rPr>
          <w:rFonts w:ascii="Calibri Light" w:hAnsi="Calibri Light" w:cs="Calibri Light"/>
          <w:b/>
          <w:lang w:val="es-CR"/>
        </w:rPr>
        <w:t>Gráfico 1:</w:t>
      </w:r>
      <w:r w:rsidRPr="00920553">
        <w:rPr>
          <w:rFonts w:ascii="Calibri Light" w:hAnsi="Calibri Light" w:cs="Calibri Light"/>
          <w:lang w:val="es-CR"/>
        </w:rPr>
        <w:t xml:space="preserve"> Evaluación de </w:t>
      </w:r>
      <w:r w:rsidR="003464FE">
        <w:rPr>
          <w:rFonts w:ascii="Calibri Light" w:hAnsi="Calibri Light" w:cs="Calibri Light"/>
          <w:lang w:val="es-CR"/>
        </w:rPr>
        <w:t>SUPEN General y por P</w:t>
      </w:r>
      <w:r w:rsidR="00D4147B">
        <w:rPr>
          <w:rFonts w:ascii="Calibri Light" w:hAnsi="Calibri Light" w:cs="Calibri Light"/>
          <w:lang w:val="es-CR"/>
        </w:rPr>
        <w:t>roceso</w:t>
      </w:r>
    </w:p>
    <w:p w:rsidR="00920553" w:rsidRDefault="003464FE" w:rsidP="00920553">
      <w:pPr>
        <w:spacing w:line="240" w:lineRule="auto"/>
        <w:rPr>
          <w:rFonts w:ascii="Calibri Light" w:hAnsi="Calibri Light" w:cs="Calibri Light"/>
          <w:lang w:val="es-CR"/>
        </w:rPr>
      </w:pPr>
      <w:r>
        <w:rPr>
          <w:rFonts w:ascii="Calibri Light" w:hAnsi="Calibri Light" w:cs="Calibri Light"/>
          <w:lang w:val="es-CR"/>
        </w:rPr>
        <w:t>I S</w:t>
      </w:r>
      <w:r w:rsidR="00D4147B">
        <w:rPr>
          <w:rFonts w:ascii="Calibri Light" w:hAnsi="Calibri Light" w:cs="Calibri Light"/>
          <w:lang w:val="es-CR"/>
        </w:rPr>
        <w:t>emestre de 2018</w:t>
      </w:r>
    </w:p>
    <w:p w:rsidR="00920553" w:rsidRDefault="00D4147B" w:rsidP="00D4147B">
      <w:pPr>
        <w:spacing w:line="240" w:lineRule="auto"/>
        <w:rPr>
          <w:rFonts w:ascii="Calibri Light" w:hAnsi="Calibri Light" w:cs="Calibri Light"/>
          <w:lang w:val="es-CR"/>
        </w:rPr>
      </w:pPr>
      <w:r w:rsidRPr="00D4147B">
        <w:rPr>
          <w:rFonts w:ascii="Calibri Light" w:hAnsi="Calibri Light" w:cs="Calibri Light"/>
          <w:noProof/>
          <w:lang w:val="es-CR"/>
        </w:rPr>
        <w:drawing>
          <wp:inline distT="0" distB="0" distL="0" distR="0" wp14:anchorId="4955A1AC" wp14:editId="4322168B">
            <wp:extent cx="4415477" cy="2831332"/>
            <wp:effectExtent l="0" t="0" r="4445"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7424" cy="2851818"/>
                    </a:xfrm>
                    <a:prstGeom prst="rect">
                      <a:avLst/>
                    </a:prstGeom>
                    <a:noFill/>
                    <a:ln>
                      <a:noFill/>
                    </a:ln>
                  </pic:spPr>
                </pic:pic>
              </a:graphicData>
            </a:graphic>
          </wp:inline>
        </w:drawing>
      </w:r>
    </w:p>
    <w:p w:rsidR="00D4147B" w:rsidRDefault="00D4147B" w:rsidP="00225437">
      <w:pPr>
        <w:rPr>
          <w:rFonts w:ascii="Calibri Light" w:hAnsi="Calibri Light" w:cs="Calibri Light"/>
          <w:sz w:val="18"/>
          <w:lang w:val="es-CR"/>
        </w:rPr>
      </w:pPr>
      <w:r w:rsidRPr="00D4147B">
        <w:rPr>
          <w:rFonts w:ascii="Calibri Light" w:hAnsi="Calibri Light" w:cs="Calibri Light"/>
          <w:sz w:val="18"/>
          <w:lang w:val="es-CR"/>
        </w:rPr>
        <w:t>Fuente: F PYC 01.0.</w:t>
      </w:r>
      <w:r w:rsidR="003464FE">
        <w:rPr>
          <w:rFonts w:ascii="Calibri Light" w:hAnsi="Calibri Light" w:cs="Calibri Light"/>
          <w:sz w:val="18"/>
          <w:lang w:val="es-CR"/>
        </w:rPr>
        <w:t>3 Planes operativos por proceso</w:t>
      </w:r>
    </w:p>
    <w:p w:rsidR="00042589" w:rsidRPr="007F441A" w:rsidRDefault="009F7755" w:rsidP="00042589">
      <w:pPr>
        <w:pStyle w:val="Ttulo2"/>
      </w:pPr>
      <w:bookmarkStart w:id="21" w:name="_Toc519073097"/>
      <w:r>
        <w:t>3.4</w:t>
      </w:r>
      <w:r w:rsidR="00042589" w:rsidRPr="007F441A">
        <w:t xml:space="preserve"> Proyectos </w:t>
      </w:r>
      <w:r w:rsidR="00800582">
        <w:t>estratégicos</w:t>
      </w:r>
      <w:bookmarkEnd w:id="21"/>
    </w:p>
    <w:p w:rsidR="0014215D" w:rsidRPr="0014215D" w:rsidRDefault="0014215D" w:rsidP="0014215D">
      <w:pPr>
        <w:ind w:left="-142"/>
      </w:pPr>
    </w:p>
    <w:p w:rsidR="0014215D" w:rsidRPr="0014215D" w:rsidRDefault="00484F9E" w:rsidP="0014215D">
      <w:pPr>
        <w:ind w:left="-142"/>
        <w:rPr>
          <w:rFonts w:asciiTheme="minorHAnsi" w:hAnsiTheme="minorHAnsi" w:cstheme="minorHAnsi"/>
          <w:sz w:val="24"/>
        </w:rPr>
      </w:pPr>
      <w:r w:rsidRPr="007F441A">
        <w:rPr>
          <w:rFonts w:ascii="Calibri" w:hAnsi="Calibri"/>
          <w:sz w:val="24"/>
          <w:szCs w:val="24"/>
          <w:lang w:val="es-CR"/>
        </w:rPr>
        <w:t xml:space="preserve">Cuadro </w:t>
      </w:r>
      <w:r>
        <w:rPr>
          <w:rFonts w:ascii="Calibri" w:hAnsi="Calibri"/>
          <w:sz w:val="24"/>
          <w:szCs w:val="24"/>
          <w:lang w:val="es-CR"/>
        </w:rPr>
        <w:t>7</w:t>
      </w:r>
      <w:r w:rsidRPr="007F441A">
        <w:rPr>
          <w:rFonts w:ascii="Calibri" w:hAnsi="Calibri"/>
          <w:sz w:val="24"/>
          <w:szCs w:val="24"/>
          <w:lang w:val="es-CR"/>
        </w:rPr>
        <w:t xml:space="preserve">: </w:t>
      </w:r>
      <w:r w:rsidR="0014215D" w:rsidRPr="0014215D">
        <w:rPr>
          <w:rFonts w:asciiTheme="minorHAnsi" w:hAnsiTheme="minorHAnsi" w:cstheme="minorHAnsi"/>
          <w:sz w:val="24"/>
        </w:rPr>
        <w:t xml:space="preserve">Avance en proyectos estratégicos </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529"/>
        <w:gridCol w:w="2025"/>
        <w:gridCol w:w="607"/>
        <w:gridCol w:w="2347"/>
      </w:tblGrid>
      <w:tr w:rsidR="0014215D" w:rsidRPr="00A92E70" w:rsidTr="0014215D">
        <w:trPr>
          <w:trHeight w:val="300"/>
          <w:tblHeader/>
          <w:jc w:val="center"/>
        </w:trPr>
        <w:tc>
          <w:tcPr>
            <w:tcW w:w="2547" w:type="dxa"/>
            <w:shd w:val="clear" w:color="auto" w:fill="DBE5F1" w:themeFill="accent1" w:themeFillTint="33"/>
            <w:vAlign w:val="center"/>
          </w:tcPr>
          <w:p w:rsidR="0014215D" w:rsidRPr="0014215D" w:rsidRDefault="0014215D" w:rsidP="0014215D">
            <w:pPr>
              <w:spacing w:line="240" w:lineRule="auto"/>
              <w:jc w:val="center"/>
              <w:rPr>
                <w:rFonts w:ascii="Calibri Light" w:hAnsi="Calibri Light" w:cs="Calibri Light"/>
                <w:b/>
                <w:sz w:val="18"/>
                <w:szCs w:val="18"/>
              </w:rPr>
            </w:pPr>
            <w:r w:rsidRPr="0014215D">
              <w:rPr>
                <w:rFonts w:ascii="Calibri Light" w:hAnsi="Calibri Light" w:cs="Calibri Light"/>
                <w:b/>
                <w:sz w:val="18"/>
                <w:szCs w:val="18"/>
              </w:rPr>
              <w:t>Objetivo del proyecto</w:t>
            </w:r>
          </w:p>
        </w:tc>
        <w:tc>
          <w:tcPr>
            <w:tcW w:w="0" w:type="auto"/>
            <w:shd w:val="clear" w:color="auto" w:fill="DBE5F1" w:themeFill="accent1" w:themeFillTint="33"/>
            <w:vAlign w:val="center"/>
          </w:tcPr>
          <w:p w:rsidR="0014215D" w:rsidRPr="0014215D" w:rsidRDefault="0014215D" w:rsidP="0014215D">
            <w:pPr>
              <w:spacing w:line="240" w:lineRule="auto"/>
              <w:jc w:val="center"/>
              <w:rPr>
                <w:rFonts w:ascii="Calibri Light" w:hAnsi="Calibri Light" w:cs="Calibri Light"/>
                <w:b/>
                <w:sz w:val="18"/>
                <w:szCs w:val="18"/>
              </w:rPr>
            </w:pPr>
            <w:r w:rsidRPr="0014215D">
              <w:rPr>
                <w:rFonts w:ascii="Calibri Light" w:hAnsi="Calibri Light" w:cs="Calibri Light"/>
                <w:b/>
                <w:sz w:val="18"/>
                <w:szCs w:val="18"/>
              </w:rPr>
              <w:t>Nombre del Proyecto / director</w:t>
            </w:r>
          </w:p>
        </w:tc>
        <w:tc>
          <w:tcPr>
            <w:tcW w:w="2025" w:type="dxa"/>
            <w:shd w:val="clear" w:color="auto" w:fill="DBE5F1" w:themeFill="accent1" w:themeFillTint="33"/>
            <w:vAlign w:val="center"/>
          </w:tcPr>
          <w:p w:rsidR="0014215D" w:rsidRPr="0014215D" w:rsidRDefault="0014215D" w:rsidP="0014215D">
            <w:pPr>
              <w:spacing w:line="240" w:lineRule="auto"/>
              <w:jc w:val="center"/>
              <w:rPr>
                <w:rFonts w:ascii="Calibri Light" w:hAnsi="Calibri Light" w:cs="Calibri Light"/>
                <w:b/>
                <w:sz w:val="18"/>
                <w:szCs w:val="18"/>
              </w:rPr>
            </w:pPr>
            <w:r w:rsidRPr="0014215D">
              <w:rPr>
                <w:rFonts w:ascii="Calibri Light" w:hAnsi="Calibri Light" w:cs="Calibri Light"/>
                <w:b/>
                <w:sz w:val="18"/>
                <w:szCs w:val="18"/>
              </w:rPr>
              <w:t>Fase actual</w:t>
            </w:r>
          </w:p>
        </w:tc>
        <w:tc>
          <w:tcPr>
            <w:tcW w:w="0" w:type="auto"/>
            <w:shd w:val="clear" w:color="auto" w:fill="DBE5F1" w:themeFill="accent1" w:themeFillTint="33"/>
            <w:vAlign w:val="center"/>
          </w:tcPr>
          <w:p w:rsidR="0014215D" w:rsidRPr="00B61C95" w:rsidRDefault="0014215D" w:rsidP="0014215D">
            <w:pPr>
              <w:spacing w:line="240" w:lineRule="auto"/>
              <w:jc w:val="center"/>
              <w:rPr>
                <w:rFonts w:ascii="Calibri Light" w:hAnsi="Calibri Light" w:cs="Calibri Light"/>
                <w:b/>
                <w:sz w:val="16"/>
                <w:szCs w:val="18"/>
              </w:rPr>
            </w:pPr>
            <w:r w:rsidRPr="00B61C95">
              <w:rPr>
                <w:rFonts w:ascii="Calibri Light" w:hAnsi="Calibri Light" w:cs="Calibri Light"/>
                <w:b/>
                <w:sz w:val="16"/>
                <w:szCs w:val="18"/>
              </w:rPr>
              <w:t>Avance</w:t>
            </w:r>
          </w:p>
          <w:p w:rsidR="0014215D" w:rsidRPr="0014215D" w:rsidRDefault="0014215D" w:rsidP="0014215D">
            <w:pPr>
              <w:spacing w:line="240" w:lineRule="auto"/>
              <w:jc w:val="center"/>
              <w:rPr>
                <w:rFonts w:ascii="Calibri Light" w:hAnsi="Calibri Light" w:cs="Calibri Light"/>
                <w:b/>
                <w:sz w:val="18"/>
                <w:szCs w:val="18"/>
              </w:rPr>
            </w:pPr>
            <w:r w:rsidRPr="0014215D">
              <w:rPr>
                <w:rFonts w:ascii="Calibri Light" w:hAnsi="Calibri Light" w:cs="Calibri Light"/>
                <w:b/>
                <w:sz w:val="18"/>
                <w:szCs w:val="18"/>
              </w:rPr>
              <w:t>(R/P)</w:t>
            </w:r>
          </w:p>
        </w:tc>
        <w:tc>
          <w:tcPr>
            <w:tcW w:w="0" w:type="auto"/>
            <w:shd w:val="clear" w:color="auto" w:fill="DBE5F1" w:themeFill="accent1" w:themeFillTint="33"/>
            <w:vAlign w:val="center"/>
          </w:tcPr>
          <w:p w:rsidR="0014215D" w:rsidRPr="0014215D" w:rsidRDefault="0014215D" w:rsidP="0014215D">
            <w:pPr>
              <w:spacing w:line="240" w:lineRule="auto"/>
              <w:jc w:val="center"/>
              <w:rPr>
                <w:rFonts w:ascii="Calibri Light" w:hAnsi="Calibri Light" w:cs="Calibri Light"/>
                <w:b/>
                <w:sz w:val="18"/>
                <w:szCs w:val="18"/>
              </w:rPr>
            </w:pPr>
            <w:r w:rsidRPr="0014215D">
              <w:rPr>
                <w:rFonts w:ascii="Calibri Light" w:hAnsi="Calibri Light" w:cs="Calibri Light"/>
                <w:b/>
                <w:sz w:val="18"/>
                <w:szCs w:val="18"/>
              </w:rPr>
              <w:t>Observaciones</w:t>
            </w:r>
          </w:p>
        </w:tc>
      </w:tr>
      <w:tr w:rsidR="0014215D" w:rsidRPr="000A678F" w:rsidTr="0014215D">
        <w:trPr>
          <w:trHeight w:val="300"/>
          <w:jc w:val="center"/>
        </w:trPr>
        <w:tc>
          <w:tcPr>
            <w:tcW w:w="2547" w:type="dxa"/>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Fortalecer y actualizar el enfoque de supervisión orientado a la gestión de los riesgos, así como brindar un marco para la gestión y evaluación de riesgos de las entidades reguladas de acuerdo con sanas prácticas.</w:t>
            </w:r>
          </w:p>
        </w:tc>
        <w:tc>
          <w:tcPr>
            <w:tcW w:w="0" w:type="auto"/>
          </w:tcPr>
          <w:p w:rsidR="00A2579F"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Implementación del nuevo Modelo de Supervisión Basado en Riesgos</w:t>
            </w:r>
          </w:p>
          <w:p w:rsidR="0014215D" w:rsidRPr="0014215D" w:rsidRDefault="00A2579F" w:rsidP="0014215D">
            <w:pPr>
              <w:spacing w:line="240" w:lineRule="auto"/>
              <w:jc w:val="left"/>
              <w:rPr>
                <w:rFonts w:ascii="Calibri Light" w:hAnsi="Calibri Light" w:cs="Calibri Light"/>
                <w:sz w:val="18"/>
                <w:szCs w:val="18"/>
              </w:rPr>
            </w:pPr>
            <w:r>
              <w:rPr>
                <w:rFonts w:ascii="Calibri Light" w:hAnsi="Calibri Light" w:cs="Calibri Light"/>
                <w:sz w:val="18"/>
                <w:szCs w:val="18"/>
              </w:rPr>
              <w:t>MSBR</w:t>
            </w:r>
            <w:r w:rsidR="0014215D" w:rsidRPr="0014215D">
              <w:rPr>
                <w:rFonts w:ascii="Calibri Light" w:hAnsi="Calibri Light" w:cs="Calibri Light"/>
                <w:sz w:val="18"/>
                <w:szCs w:val="18"/>
              </w:rPr>
              <w:t xml:space="preserve"> </w:t>
            </w:r>
          </w:p>
          <w:p w:rsidR="00E77665" w:rsidRDefault="00E77665" w:rsidP="0014215D">
            <w:pPr>
              <w:spacing w:line="240" w:lineRule="auto"/>
              <w:jc w:val="left"/>
              <w:rPr>
                <w:rFonts w:ascii="Calibri Light" w:hAnsi="Calibri Light" w:cs="Calibri Light"/>
                <w:sz w:val="18"/>
                <w:szCs w:val="18"/>
              </w:rPr>
            </w:pPr>
          </w:p>
          <w:p w:rsidR="0014215D" w:rsidRPr="0014215D"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Responsable: Carlos Arias</w:t>
            </w:r>
          </w:p>
        </w:tc>
        <w:tc>
          <w:tcPr>
            <w:tcW w:w="2025" w:type="dxa"/>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 xml:space="preserve">Segundo trimestre 2018: </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-Planes piloto en las entidades</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-Guías internas de supervisión</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-Criterios de evaluación</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-Marco de supervisión</w:t>
            </w:r>
          </w:p>
        </w:tc>
        <w:tc>
          <w:tcPr>
            <w:tcW w:w="0" w:type="auto"/>
            <w:vAlign w:val="center"/>
          </w:tcPr>
          <w:p w:rsidR="0014215D" w:rsidRPr="0014215D" w:rsidRDefault="0014215D" w:rsidP="0014215D">
            <w:pPr>
              <w:spacing w:line="240" w:lineRule="auto"/>
              <w:jc w:val="center"/>
              <w:rPr>
                <w:rFonts w:ascii="Calibri Light" w:hAnsi="Calibri Light" w:cs="Calibri Light"/>
                <w:b/>
                <w:sz w:val="18"/>
                <w:szCs w:val="18"/>
              </w:rPr>
            </w:pPr>
            <w:r w:rsidRPr="0014215D">
              <w:rPr>
                <w:rFonts w:ascii="Calibri Light" w:hAnsi="Calibri Light" w:cs="Calibri Light"/>
                <w:b/>
                <w:sz w:val="18"/>
                <w:szCs w:val="18"/>
              </w:rPr>
              <w:t>100%</w:t>
            </w:r>
          </w:p>
        </w:tc>
        <w:tc>
          <w:tcPr>
            <w:tcW w:w="0" w:type="auto"/>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En Ejecución:</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La Superintendencia de Pensiones está llevando a cabo planes piloto de aplicación del nuevo MSBR, en las cuales se están aplicando las nuevas metodologías desarrolladas.</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 xml:space="preserve">Las pruebas finalizarán en el 2018. </w:t>
            </w:r>
          </w:p>
          <w:p w:rsid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Actualmente se está trabajando en la elaboración de los nuevos procedimientos de trabajo, según lo acordado en el cronograma con el Toronto Center.</w:t>
            </w:r>
          </w:p>
          <w:p w:rsidR="00DC41EC" w:rsidRPr="0014215D" w:rsidRDefault="00DC41EC" w:rsidP="0014215D">
            <w:pPr>
              <w:spacing w:line="240" w:lineRule="auto"/>
              <w:rPr>
                <w:rFonts w:ascii="Calibri Light" w:hAnsi="Calibri Light" w:cs="Calibri Light"/>
                <w:sz w:val="18"/>
                <w:szCs w:val="18"/>
              </w:rPr>
            </w:pPr>
          </w:p>
        </w:tc>
      </w:tr>
      <w:tr w:rsidR="0014215D" w:rsidRPr="000A678F" w:rsidTr="0014215D">
        <w:trPr>
          <w:trHeight w:val="1041"/>
          <w:jc w:val="center"/>
        </w:trPr>
        <w:tc>
          <w:tcPr>
            <w:tcW w:w="2547" w:type="dxa"/>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Brindar un marco regulatorio claro y congruente sobre los productos que pueden ofrecer las operadoras a los afiliados que requieran la aprobación del supervisor.</w:t>
            </w:r>
          </w:p>
        </w:tc>
        <w:tc>
          <w:tcPr>
            <w:tcW w:w="0" w:type="auto"/>
          </w:tcPr>
          <w:p w:rsidR="0014215D" w:rsidRPr="0014215D"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Reglamento de Autorizaciones</w:t>
            </w:r>
          </w:p>
          <w:p w:rsidR="00E77665" w:rsidRDefault="00E77665" w:rsidP="0014215D">
            <w:pPr>
              <w:spacing w:line="240" w:lineRule="auto"/>
              <w:jc w:val="left"/>
              <w:rPr>
                <w:rFonts w:ascii="Calibri Light" w:hAnsi="Calibri Light" w:cs="Calibri Light"/>
                <w:sz w:val="18"/>
                <w:szCs w:val="18"/>
              </w:rPr>
            </w:pPr>
          </w:p>
          <w:p w:rsidR="0014215D" w:rsidRPr="0014215D"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Responsable: Gianfranco Rodríguez</w:t>
            </w:r>
          </w:p>
        </w:tc>
        <w:tc>
          <w:tcPr>
            <w:tcW w:w="2025" w:type="dxa"/>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Segundo trimestre 2018</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-Presentación al CONASSIF con la propuesta de Reglamento de Autorizaciones y reformas reglamentarias sobre los productos y servicios que pueden ofrecer</w:t>
            </w:r>
            <w:r w:rsidR="00A2579F">
              <w:rPr>
                <w:rFonts w:ascii="Calibri Light" w:hAnsi="Calibri Light" w:cs="Calibri Light"/>
                <w:sz w:val="18"/>
                <w:szCs w:val="18"/>
              </w:rPr>
              <w:t>.</w:t>
            </w:r>
          </w:p>
        </w:tc>
        <w:tc>
          <w:tcPr>
            <w:tcW w:w="0" w:type="auto"/>
            <w:vAlign w:val="center"/>
          </w:tcPr>
          <w:p w:rsidR="0014215D" w:rsidRPr="0014215D" w:rsidRDefault="0014215D" w:rsidP="0014215D">
            <w:pPr>
              <w:spacing w:line="240" w:lineRule="auto"/>
              <w:jc w:val="center"/>
              <w:rPr>
                <w:rFonts w:ascii="Calibri Light" w:hAnsi="Calibri Light" w:cs="Calibri Light"/>
                <w:b/>
                <w:sz w:val="18"/>
                <w:szCs w:val="18"/>
              </w:rPr>
            </w:pPr>
            <w:r w:rsidRPr="0014215D">
              <w:rPr>
                <w:rFonts w:ascii="Calibri Light" w:hAnsi="Calibri Light" w:cs="Calibri Light"/>
                <w:b/>
                <w:sz w:val="18"/>
                <w:szCs w:val="18"/>
              </w:rPr>
              <w:t>60%</w:t>
            </w:r>
          </w:p>
        </w:tc>
        <w:tc>
          <w:tcPr>
            <w:tcW w:w="0" w:type="auto"/>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En Ejecución:</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Este proyecto presenta un atraso en la ejecución, producto de las discusiones técnicas asociadas con la redacción final.</w:t>
            </w:r>
          </w:p>
          <w:p w:rsidR="0014215D" w:rsidRDefault="0014215D" w:rsidP="0014215D">
            <w:pPr>
              <w:spacing w:line="240" w:lineRule="auto"/>
              <w:rPr>
                <w:rFonts w:ascii="Calibri Light" w:hAnsi="Calibri Light" w:cs="Calibri Light"/>
                <w:sz w:val="18"/>
                <w:szCs w:val="18"/>
              </w:rPr>
            </w:pPr>
            <w:r w:rsidRPr="0014215D">
              <w:rPr>
                <w:rFonts w:ascii="Calibri Light" w:hAnsi="Calibri Light" w:cs="Calibri Light"/>
                <w:b/>
                <w:sz w:val="18"/>
                <w:szCs w:val="18"/>
              </w:rPr>
              <w:t>Medidas correctivas:</w:t>
            </w:r>
            <w:r w:rsidRPr="0014215D">
              <w:rPr>
                <w:rFonts w:ascii="Calibri Light" w:hAnsi="Calibri Light" w:cs="Calibri Light"/>
                <w:sz w:val="18"/>
                <w:szCs w:val="18"/>
              </w:rPr>
              <w:t xml:space="preserve"> El Comité de Proyectos de la SUPEN está dando prioridad al análisis de las divergencias técnicas asociadas a esta regulación, con el propósito de poder presentarlo al CONASSIF en el tercer trimestre del año.</w:t>
            </w:r>
          </w:p>
          <w:p w:rsidR="00DC41EC" w:rsidRPr="0014215D" w:rsidRDefault="00DC41EC" w:rsidP="0014215D">
            <w:pPr>
              <w:spacing w:line="240" w:lineRule="auto"/>
              <w:rPr>
                <w:rFonts w:ascii="Calibri Light" w:hAnsi="Calibri Light" w:cs="Calibri Light"/>
                <w:sz w:val="18"/>
                <w:szCs w:val="18"/>
              </w:rPr>
            </w:pPr>
          </w:p>
        </w:tc>
      </w:tr>
      <w:tr w:rsidR="0014215D" w:rsidRPr="000A678F" w:rsidTr="00D4147B">
        <w:trPr>
          <w:trHeight w:val="4248"/>
          <w:jc w:val="center"/>
        </w:trPr>
        <w:tc>
          <w:tcPr>
            <w:tcW w:w="2547" w:type="dxa"/>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Elaborar un Reglamento de Disciplina de Mercado, que regule la relación entre los afiliados y pensionados, entidades supervisadas y la SUPEN, donde se establezca un marco para la  atención de consultas,  denuncias y quejas de los afiliados, indique la regulación, definición y alcance de la publicidad, comunicación e información (incluido el cálculo de los rendimientos) dirigida al afiliado y pensionado,  que plantee  el accionar de los agentes promotores como asesores de los afiliados y pensionados</w:t>
            </w:r>
          </w:p>
        </w:tc>
        <w:tc>
          <w:tcPr>
            <w:tcW w:w="0" w:type="auto"/>
          </w:tcPr>
          <w:p w:rsidR="0014215D" w:rsidRPr="0014215D"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Reglamento de Disciplina de Mercado</w:t>
            </w:r>
          </w:p>
          <w:p w:rsidR="00E77665" w:rsidRDefault="00E77665" w:rsidP="0014215D">
            <w:pPr>
              <w:spacing w:line="240" w:lineRule="auto"/>
              <w:jc w:val="left"/>
              <w:rPr>
                <w:rFonts w:ascii="Calibri Light" w:hAnsi="Calibri Light" w:cs="Calibri Light"/>
                <w:sz w:val="18"/>
                <w:szCs w:val="18"/>
              </w:rPr>
            </w:pPr>
          </w:p>
          <w:p w:rsidR="0014215D" w:rsidRPr="0014215D"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Responsable: Rolando Alvarado</w:t>
            </w:r>
          </w:p>
        </w:tc>
        <w:tc>
          <w:tcPr>
            <w:tcW w:w="2025" w:type="dxa"/>
            <w:vAlign w:val="center"/>
          </w:tcPr>
          <w:p w:rsidR="0014215D" w:rsidRPr="00C140C1" w:rsidRDefault="0014215D" w:rsidP="0014215D">
            <w:pPr>
              <w:spacing w:line="240" w:lineRule="auto"/>
              <w:rPr>
                <w:rFonts w:ascii="Calibri Light" w:hAnsi="Calibri Light" w:cs="Calibri Light"/>
                <w:sz w:val="18"/>
                <w:szCs w:val="18"/>
              </w:rPr>
            </w:pPr>
            <w:r w:rsidRPr="00C140C1">
              <w:rPr>
                <w:rFonts w:ascii="Calibri Light" w:hAnsi="Calibri Light" w:cs="Calibri Light"/>
                <w:sz w:val="18"/>
                <w:szCs w:val="18"/>
              </w:rPr>
              <w:t>Primer trimestre 2018:</w:t>
            </w:r>
          </w:p>
          <w:p w:rsidR="0014215D" w:rsidRPr="0014215D" w:rsidRDefault="0014215D" w:rsidP="0014215D">
            <w:pPr>
              <w:spacing w:line="240" w:lineRule="auto"/>
              <w:rPr>
                <w:rFonts w:ascii="Calibri Light" w:hAnsi="Calibri Light" w:cs="Calibri Light"/>
                <w:sz w:val="18"/>
                <w:szCs w:val="18"/>
              </w:rPr>
            </w:pPr>
            <w:r w:rsidRPr="00C140C1">
              <w:rPr>
                <w:rFonts w:ascii="Calibri Light" w:hAnsi="Calibri Light" w:cs="Calibri Light"/>
                <w:sz w:val="18"/>
                <w:szCs w:val="18"/>
              </w:rPr>
              <w:t>-</w:t>
            </w:r>
            <w:r w:rsidR="00C140C1" w:rsidRPr="00C140C1">
              <w:rPr>
                <w:rFonts w:ascii="Calibri Light" w:hAnsi="Calibri Light" w:cs="Calibri Light"/>
                <w:sz w:val="18"/>
                <w:szCs w:val="18"/>
              </w:rPr>
              <w:t xml:space="preserve">Promulgación de los </w:t>
            </w:r>
            <w:r w:rsidRPr="00C140C1">
              <w:rPr>
                <w:rFonts w:ascii="Calibri Light" w:hAnsi="Calibri Light" w:cs="Calibri Light"/>
                <w:sz w:val="18"/>
                <w:szCs w:val="18"/>
              </w:rPr>
              <w:t>Acuerdos sobre Rentabilidad e Información para el Estado de Cuenta</w:t>
            </w:r>
            <w:r w:rsidR="00DC41EC" w:rsidRPr="00C140C1">
              <w:rPr>
                <w:rFonts w:ascii="Calibri Light" w:hAnsi="Calibri Light" w:cs="Calibri Light"/>
                <w:sz w:val="18"/>
                <w:szCs w:val="18"/>
              </w:rPr>
              <w:t>.</w:t>
            </w:r>
          </w:p>
        </w:tc>
        <w:tc>
          <w:tcPr>
            <w:tcW w:w="0" w:type="auto"/>
            <w:vAlign w:val="center"/>
          </w:tcPr>
          <w:p w:rsidR="0014215D" w:rsidRPr="0014215D" w:rsidRDefault="0014215D" w:rsidP="0014215D">
            <w:pPr>
              <w:spacing w:line="240" w:lineRule="auto"/>
              <w:rPr>
                <w:rFonts w:ascii="Calibri Light" w:hAnsi="Calibri Light" w:cs="Calibri Light"/>
                <w:b/>
                <w:sz w:val="18"/>
                <w:szCs w:val="18"/>
              </w:rPr>
            </w:pPr>
          </w:p>
        </w:tc>
        <w:tc>
          <w:tcPr>
            <w:tcW w:w="0" w:type="auto"/>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Detenido:</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El trámite del texto de Reglamento se ha detenido para dar prioridad al Reglamento de Autorizaciones, y se está trabajando en un proyecto asociado al Registro de Beneficiarios en los planes privados de pensión.</w:t>
            </w:r>
          </w:p>
        </w:tc>
      </w:tr>
      <w:tr w:rsidR="0014215D" w:rsidRPr="000A678F" w:rsidTr="0014215D">
        <w:trPr>
          <w:trHeight w:val="300"/>
          <w:jc w:val="center"/>
        </w:trPr>
        <w:tc>
          <w:tcPr>
            <w:tcW w:w="2547" w:type="dxa"/>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Generar un marco regulatorio para la gestión de activos que, acorde con lo estipulado en leyes, las normas vigentes y en principios internacionales, permita a los entes supervisados realizar una sana administración de los recursos en beneficio de los afiliados</w:t>
            </w:r>
          </w:p>
        </w:tc>
        <w:tc>
          <w:tcPr>
            <w:tcW w:w="0" w:type="auto"/>
          </w:tcPr>
          <w:p w:rsidR="0014215D" w:rsidRPr="0014215D"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Reglamento de Gestión de Activos</w:t>
            </w:r>
          </w:p>
          <w:p w:rsidR="00E77665" w:rsidRDefault="00E77665" w:rsidP="0014215D">
            <w:pPr>
              <w:spacing w:line="240" w:lineRule="auto"/>
              <w:jc w:val="left"/>
              <w:rPr>
                <w:rFonts w:ascii="Calibri Light" w:hAnsi="Calibri Light" w:cs="Calibri Light"/>
                <w:sz w:val="18"/>
                <w:szCs w:val="18"/>
              </w:rPr>
            </w:pPr>
          </w:p>
          <w:p w:rsidR="0014215D" w:rsidRPr="0014215D"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Responsable: Daisy Céspedes</w:t>
            </w:r>
          </w:p>
        </w:tc>
        <w:tc>
          <w:tcPr>
            <w:tcW w:w="2025" w:type="dxa"/>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Segundo trimestre 2018:</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Aprobación de texto Reglamento</w:t>
            </w:r>
          </w:p>
        </w:tc>
        <w:tc>
          <w:tcPr>
            <w:tcW w:w="0" w:type="auto"/>
            <w:vAlign w:val="center"/>
          </w:tcPr>
          <w:p w:rsidR="0014215D" w:rsidRPr="0014215D" w:rsidRDefault="0014215D" w:rsidP="0014215D">
            <w:pPr>
              <w:spacing w:line="240" w:lineRule="auto"/>
              <w:jc w:val="center"/>
              <w:rPr>
                <w:rFonts w:ascii="Calibri Light" w:hAnsi="Calibri Light" w:cs="Calibri Light"/>
                <w:b/>
                <w:sz w:val="18"/>
                <w:szCs w:val="18"/>
              </w:rPr>
            </w:pPr>
            <w:r w:rsidRPr="0014215D">
              <w:rPr>
                <w:rFonts w:ascii="Calibri Light" w:hAnsi="Calibri Light" w:cs="Calibri Light"/>
                <w:b/>
                <w:sz w:val="18"/>
                <w:szCs w:val="18"/>
              </w:rPr>
              <w:t>100%</w:t>
            </w:r>
          </w:p>
        </w:tc>
        <w:tc>
          <w:tcPr>
            <w:tcW w:w="0" w:type="auto"/>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En Ejecución:</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Actualmente el texto se encuentra en consulta al medio.</w:t>
            </w:r>
          </w:p>
        </w:tc>
      </w:tr>
      <w:tr w:rsidR="0014215D" w:rsidRPr="000A678F" w:rsidTr="0014215D">
        <w:trPr>
          <w:trHeight w:val="1273"/>
          <w:jc w:val="center"/>
        </w:trPr>
        <w:tc>
          <w:tcPr>
            <w:tcW w:w="2547" w:type="dxa"/>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Confeccionar una aplicación de la página web de la SUPEN mediante la cual, un afiliado activo del Sistema Nacional de Pensiones Costarricense pueda consolidar información acerca de su participación en los diferentes productos, mostrando para cada caso la información pertinente de cara a una futura pensión.</w:t>
            </w:r>
          </w:p>
        </w:tc>
        <w:tc>
          <w:tcPr>
            <w:tcW w:w="0" w:type="auto"/>
          </w:tcPr>
          <w:p w:rsidR="0014215D" w:rsidRPr="0014215D"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Expediente Previsional</w:t>
            </w:r>
          </w:p>
          <w:p w:rsidR="00E77665" w:rsidRDefault="00E77665" w:rsidP="0014215D">
            <w:pPr>
              <w:spacing w:line="240" w:lineRule="auto"/>
              <w:jc w:val="left"/>
              <w:rPr>
                <w:rFonts w:ascii="Calibri Light" w:hAnsi="Calibri Light" w:cs="Calibri Light"/>
                <w:sz w:val="18"/>
                <w:szCs w:val="18"/>
              </w:rPr>
            </w:pPr>
          </w:p>
          <w:p w:rsidR="0014215D" w:rsidRPr="0014215D" w:rsidRDefault="0014215D" w:rsidP="0014215D">
            <w:pPr>
              <w:spacing w:line="240" w:lineRule="auto"/>
              <w:jc w:val="left"/>
              <w:rPr>
                <w:rFonts w:ascii="Calibri Light" w:hAnsi="Calibri Light" w:cs="Calibri Light"/>
                <w:sz w:val="18"/>
                <w:szCs w:val="18"/>
              </w:rPr>
            </w:pPr>
            <w:r w:rsidRPr="0014215D">
              <w:rPr>
                <w:rFonts w:ascii="Calibri Light" w:hAnsi="Calibri Light" w:cs="Calibri Light"/>
                <w:sz w:val="18"/>
                <w:szCs w:val="18"/>
              </w:rPr>
              <w:t>Responsable: Adrián Hernandez</w:t>
            </w:r>
          </w:p>
        </w:tc>
        <w:tc>
          <w:tcPr>
            <w:tcW w:w="2025" w:type="dxa"/>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Segundo trimestre 2018:</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-Programación de la funcionalidad de acceso a la aplicación y aceptación de términos de uso.</w:t>
            </w:r>
          </w:p>
        </w:tc>
        <w:tc>
          <w:tcPr>
            <w:tcW w:w="0" w:type="auto"/>
            <w:vAlign w:val="center"/>
          </w:tcPr>
          <w:p w:rsidR="0014215D" w:rsidRPr="0014215D" w:rsidRDefault="0014215D" w:rsidP="0014215D">
            <w:pPr>
              <w:spacing w:line="240" w:lineRule="auto"/>
              <w:jc w:val="center"/>
              <w:rPr>
                <w:rFonts w:ascii="Calibri Light" w:hAnsi="Calibri Light" w:cs="Calibri Light"/>
                <w:b/>
                <w:sz w:val="18"/>
                <w:szCs w:val="18"/>
              </w:rPr>
            </w:pPr>
            <w:r w:rsidRPr="0014215D">
              <w:rPr>
                <w:rFonts w:ascii="Calibri Light" w:hAnsi="Calibri Light" w:cs="Calibri Light"/>
                <w:b/>
                <w:sz w:val="18"/>
                <w:szCs w:val="18"/>
              </w:rPr>
              <w:t>50%</w:t>
            </w:r>
          </w:p>
        </w:tc>
        <w:tc>
          <w:tcPr>
            <w:tcW w:w="0" w:type="auto"/>
            <w:vAlign w:val="center"/>
          </w:tcPr>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En Ejecución:</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sz w:val="18"/>
                <w:szCs w:val="18"/>
              </w:rPr>
              <w:t>La SUPEN ha desarrollado un sistema que permite al afiliado consolidar sus productos previsionales. Actualmente está elaborando los manuales y términos de uso para ponerlo en operación, además de la programación de funcionalidades con firma digital.</w:t>
            </w:r>
          </w:p>
          <w:p w:rsidR="0014215D" w:rsidRPr="0014215D" w:rsidRDefault="0014215D" w:rsidP="0014215D">
            <w:pPr>
              <w:spacing w:line="240" w:lineRule="auto"/>
              <w:rPr>
                <w:rFonts w:ascii="Calibri Light" w:hAnsi="Calibri Light" w:cs="Calibri Light"/>
                <w:sz w:val="18"/>
                <w:szCs w:val="18"/>
              </w:rPr>
            </w:pPr>
            <w:r w:rsidRPr="0014215D">
              <w:rPr>
                <w:rFonts w:ascii="Calibri Light" w:hAnsi="Calibri Light" w:cs="Calibri Light"/>
                <w:b/>
                <w:sz w:val="18"/>
                <w:szCs w:val="18"/>
              </w:rPr>
              <w:t>Medidas Correctivas:</w:t>
            </w:r>
            <w:r w:rsidRPr="0014215D">
              <w:rPr>
                <w:rFonts w:ascii="Calibri Light" w:hAnsi="Calibri Light" w:cs="Calibri Light"/>
                <w:sz w:val="18"/>
                <w:szCs w:val="18"/>
              </w:rPr>
              <w:t xml:space="preserve"> Se está nombrando en el mes de julio un recurso del proceso de tecnologías de información para que en un plazo de dos meses complete las labores pendientes, de tal manera que se normalice el calendario de entregas</w:t>
            </w:r>
          </w:p>
        </w:tc>
      </w:tr>
    </w:tbl>
    <w:p w:rsidR="0014215D" w:rsidRPr="0014215D" w:rsidRDefault="0014215D" w:rsidP="0014215D">
      <w:pPr>
        <w:rPr>
          <w:rFonts w:ascii="Calibri Light" w:hAnsi="Calibri Light" w:cs="Calibri Light"/>
          <w:sz w:val="18"/>
        </w:rPr>
      </w:pPr>
      <w:r w:rsidRPr="0014215D">
        <w:rPr>
          <w:rFonts w:ascii="Calibri Light" w:hAnsi="Calibri Light" w:cs="Calibri Light"/>
          <w:sz w:val="18"/>
        </w:rPr>
        <w:t>Fuente: Investigación y Desarrollo.</w:t>
      </w:r>
    </w:p>
    <w:p w:rsidR="00042589" w:rsidRPr="007F441A" w:rsidRDefault="00042589" w:rsidP="00225437">
      <w:pPr>
        <w:rPr>
          <w:rFonts w:asciiTheme="minorHAnsi" w:hAnsiTheme="minorHAnsi" w:cstheme="minorHAnsi"/>
          <w:lang w:val="es-CR"/>
        </w:rPr>
      </w:pPr>
    </w:p>
    <w:p w:rsidR="00675237" w:rsidRPr="007F441A" w:rsidRDefault="00675237" w:rsidP="00225437">
      <w:pPr>
        <w:rPr>
          <w:rFonts w:asciiTheme="minorHAnsi" w:hAnsiTheme="minorHAnsi" w:cstheme="minorHAnsi"/>
          <w:lang w:val="es-CR"/>
        </w:rPr>
      </w:pPr>
    </w:p>
    <w:p w:rsidR="00282C71" w:rsidRPr="000F5AC7" w:rsidRDefault="001A4D24" w:rsidP="00282C71">
      <w:pPr>
        <w:pStyle w:val="Ttulo1"/>
        <w:numPr>
          <w:ilvl w:val="0"/>
          <w:numId w:val="2"/>
        </w:numPr>
        <w:shd w:val="clear" w:color="auto" w:fill="DBE5F1" w:themeFill="accent1" w:themeFillTint="33"/>
        <w:spacing w:line="288" w:lineRule="auto"/>
        <w:rPr>
          <w:rFonts w:asciiTheme="minorHAnsi" w:hAnsiTheme="minorHAnsi" w:cstheme="minorHAnsi"/>
          <w:szCs w:val="28"/>
          <w:lang w:val="es-CR"/>
        </w:rPr>
      </w:pPr>
      <w:bookmarkStart w:id="22" w:name="_Toc519073098"/>
      <w:r w:rsidRPr="007F441A">
        <w:rPr>
          <w:rFonts w:asciiTheme="minorHAnsi" w:hAnsiTheme="minorHAnsi" w:cstheme="minorHAnsi"/>
          <w:sz w:val="28"/>
          <w:szCs w:val="28"/>
          <w:lang w:val="es-CR"/>
        </w:rPr>
        <w:t>DESEMPEÑO INSTITUCIONAL Y PROGRAMÁTICO</w:t>
      </w:r>
      <w:r w:rsidR="00282C71" w:rsidRPr="007F441A">
        <w:rPr>
          <w:rFonts w:asciiTheme="minorHAnsi" w:hAnsiTheme="minorHAnsi" w:cstheme="minorHAnsi"/>
          <w:sz w:val="28"/>
          <w:szCs w:val="28"/>
          <w:lang w:val="es-CR"/>
        </w:rPr>
        <w:t xml:space="preserve"> </w:t>
      </w:r>
      <w:r w:rsidR="00212978" w:rsidRPr="000F5AC7">
        <w:rPr>
          <w:rFonts w:asciiTheme="minorHAnsi" w:hAnsiTheme="minorHAnsi" w:cstheme="minorHAnsi"/>
          <w:b w:val="0"/>
          <w:sz w:val="16"/>
          <w:szCs w:val="28"/>
          <w:lang w:val="es-CR"/>
        </w:rPr>
        <w:t>(4.5.6 b. iv)</w:t>
      </w:r>
      <w:bookmarkEnd w:id="22"/>
    </w:p>
    <w:p w:rsidR="00282C71" w:rsidRPr="007F441A" w:rsidRDefault="00282C71" w:rsidP="003F7B6F">
      <w:pPr>
        <w:spacing w:line="360" w:lineRule="auto"/>
        <w:rPr>
          <w:rFonts w:asciiTheme="minorHAnsi" w:hAnsiTheme="minorHAnsi" w:cstheme="minorHAnsi"/>
          <w:sz w:val="24"/>
          <w:szCs w:val="24"/>
          <w:lang w:val="es-CR"/>
        </w:rPr>
      </w:pPr>
    </w:p>
    <w:p w:rsidR="00C61E79" w:rsidRPr="007F441A" w:rsidRDefault="00D8636B" w:rsidP="00C61E79">
      <w:pPr>
        <w:spacing w:line="360" w:lineRule="auto"/>
        <w:rPr>
          <w:rFonts w:asciiTheme="minorHAnsi" w:hAnsiTheme="minorHAnsi" w:cstheme="minorHAnsi"/>
          <w:sz w:val="24"/>
          <w:szCs w:val="24"/>
          <w:lang w:val="es-CR"/>
        </w:rPr>
      </w:pPr>
      <w:r>
        <w:rPr>
          <w:rFonts w:asciiTheme="minorHAnsi" w:hAnsiTheme="minorHAnsi" w:cstheme="minorHAnsi"/>
          <w:sz w:val="24"/>
          <w:szCs w:val="24"/>
          <w:lang w:val="es-CR"/>
        </w:rPr>
        <w:t>Para el primer semestre se</w:t>
      </w:r>
      <w:r w:rsidR="00C61E79" w:rsidRPr="007F441A">
        <w:rPr>
          <w:rFonts w:asciiTheme="minorHAnsi" w:hAnsiTheme="minorHAnsi" w:cstheme="minorHAnsi"/>
          <w:sz w:val="24"/>
          <w:szCs w:val="24"/>
          <w:lang w:val="es-CR"/>
        </w:rPr>
        <w:t xml:space="preserve"> mostr</w:t>
      </w:r>
      <w:r>
        <w:rPr>
          <w:rFonts w:asciiTheme="minorHAnsi" w:hAnsiTheme="minorHAnsi" w:cstheme="minorHAnsi"/>
          <w:sz w:val="24"/>
          <w:szCs w:val="24"/>
          <w:lang w:val="es-CR"/>
        </w:rPr>
        <w:t>aron</w:t>
      </w:r>
      <w:r w:rsidR="00C61E79" w:rsidRPr="007F441A">
        <w:rPr>
          <w:rFonts w:asciiTheme="minorHAnsi" w:hAnsiTheme="minorHAnsi" w:cstheme="minorHAnsi"/>
          <w:sz w:val="24"/>
          <w:szCs w:val="24"/>
          <w:lang w:val="es-CR"/>
        </w:rPr>
        <w:t xml:space="preserve"> resultados satisfactorios, en términos de eficiencia, eficacia, economía y calidad en el uso de los recursos asignados a</w:t>
      </w:r>
      <w:r w:rsidR="00C140C1">
        <w:rPr>
          <w:rFonts w:asciiTheme="minorHAnsi" w:hAnsiTheme="minorHAnsi" w:cstheme="minorHAnsi"/>
          <w:sz w:val="24"/>
          <w:szCs w:val="24"/>
          <w:lang w:val="es-CR"/>
        </w:rPr>
        <w:t xml:space="preserve"> la SUPEN</w:t>
      </w:r>
      <w:r w:rsidR="00C61E79" w:rsidRPr="007F441A">
        <w:rPr>
          <w:rFonts w:asciiTheme="minorHAnsi" w:hAnsiTheme="minorHAnsi" w:cstheme="minorHAnsi"/>
          <w:sz w:val="24"/>
          <w:szCs w:val="24"/>
          <w:lang w:val="es-CR"/>
        </w:rPr>
        <w:t>. Para el período en estudio, el presupuesto aprobado por la Contraloría General de la República ascendió a ¢</w:t>
      </w:r>
      <w:r>
        <w:rPr>
          <w:rFonts w:asciiTheme="minorHAnsi" w:hAnsiTheme="minorHAnsi" w:cstheme="minorHAnsi"/>
          <w:sz w:val="24"/>
          <w:szCs w:val="24"/>
          <w:lang w:val="es-CR"/>
        </w:rPr>
        <w:t>5.122.662.342</w:t>
      </w:r>
      <w:r w:rsidR="00C61E79" w:rsidRPr="007F441A">
        <w:rPr>
          <w:rFonts w:asciiTheme="minorHAnsi" w:hAnsiTheme="minorHAnsi" w:cstheme="minorHAnsi"/>
          <w:sz w:val="24"/>
          <w:szCs w:val="24"/>
          <w:lang w:val="es-CR"/>
        </w:rPr>
        <w:t>, de los cuales se ejecutaron ¢</w:t>
      </w:r>
      <w:r>
        <w:rPr>
          <w:rFonts w:asciiTheme="minorHAnsi" w:hAnsiTheme="minorHAnsi" w:cstheme="minorHAnsi"/>
          <w:sz w:val="24"/>
          <w:szCs w:val="24"/>
          <w:lang w:val="es-CR"/>
        </w:rPr>
        <w:t>2.</w:t>
      </w:r>
      <w:r w:rsidR="00331454">
        <w:rPr>
          <w:rFonts w:asciiTheme="minorHAnsi" w:hAnsiTheme="minorHAnsi" w:cstheme="minorHAnsi"/>
          <w:sz w:val="24"/>
          <w:szCs w:val="24"/>
          <w:lang w:val="es-CR"/>
        </w:rPr>
        <w:t>1</w:t>
      </w:r>
      <w:r>
        <w:rPr>
          <w:rFonts w:asciiTheme="minorHAnsi" w:hAnsiTheme="minorHAnsi" w:cstheme="minorHAnsi"/>
          <w:sz w:val="24"/>
          <w:szCs w:val="24"/>
          <w:lang w:val="es-CR"/>
        </w:rPr>
        <w:t>87.</w:t>
      </w:r>
      <w:r w:rsidR="009F7755">
        <w:rPr>
          <w:rFonts w:asciiTheme="minorHAnsi" w:hAnsiTheme="minorHAnsi" w:cstheme="minorHAnsi"/>
          <w:sz w:val="24"/>
          <w:szCs w:val="24"/>
          <w:lang w:val="es-CR"/>
        </w:rPr>
        <w:t>255.778</w:t>
      </w:r>
      <w:r w:rsidR="00C61E79" w:rsidRPr="007F441A">
        <w:rPr>
          <w:rFonts w:asciiTheme="minorHAnsi" w:hAnsiTheme="minorHAnsi" w:cstheme="minorHAnsi"/>
          <w:sz w:val="24"/>
          <w:szCs w:val="24"/>
          <w:lang w:val="es-CR"/>
        </w:rPr>
        <w:t xml:space="preserve">, dando como resultado una erogación del </w:t>
      </w:r>
      <w:r>
        <w:rPr>
          <w:rFonts w:asciiTheme="minorHAnsi" w:hAnsiTheme="minorHAnsi" w:cstheme="minorHAnsi"/>
          <w:sz w:val="24"/>
          <w:szCs w:val="24"/>
          <w:lang w:val="es-CR"/>
        </w:rPr>
        <w:t>42,7</w:t>
      </w:r>
      <w:r w:rsidR="00C61E79" w:rsidRPr="007F441A">
        <w:rPr>
          <w:rFonts w:asciiTheme="minorHAnsi" w:hAnsiTheme="minorHAnsi" w:cstheme="minorHAnsi"/>
          <w:sz w:val="24"/>
          <w:szCs w:val="24"/>
          <w:lang w:val="es-CR"/>
        </w:rPr>
        <w:t>%.</w:t>
      </w:r>
    </w:p>
    <w:p w:rsidR="00C61E79" w:rsidRPr="007F441A" w:rsidRDefault="00C61E79" w:rsidP="00C61E79">
      <w:pPr>
        <w:spacing w:line="360" w:lineRule="auto"/>
        <w:rPr>
          <w:rFonts w:asciiTheme="minorHAnsi" w:hAnsiTheme="minorHAnsi" w:cstheme="minorHAnsi"/>
          <w:sz w:val="24"/>
          <w:szCs w:val="24"/>
          <w:lang w:val="es-CR"/>
        </w:rPr>
      </w:pPr>
    </w:p>
    <w:p w:rsidR="00C61E79" w:rsidRPr="007F441A" w:rsidRDefault="00C61E79" w:rsidP="00C61E79">
      <w:pPr>
        <w:spacing w:line="360" w:lineRule="auto"/>
        <w:rPr>
          <w:rFonts w:asciiTheme="minorHAnsi" w:hAnsiTheme="minorHAnsi" w:cstheme="minorHAnsi"/>
          <w:sz w:val="24"/>
          <w:szCs w:val="24"/>
          <w:lang w:val="es-CR"/>
        </w:rPr>
      </w:pPr>
      <w:r w:rsidRPr="007F441A">
        <w:rPr>
          <w:rFonts w:asciiTheme="minorHAnsi" w:hAnsiTheme="minorHAnsi" w:cstheme="minorHAnsi"/>
          <w:sz w:val="24"/>
          <w:szCs w:val="24"/>
          <w:lang w:val="es-CR"/>
        </w:rPr>
        <w:t>A nivel de resultados, se destaca que en el primer semestre del 201</w:t>
      </w:r>
      <w:r w:rsidR="00331454">
        <w:rPr>
          <w:rFonts w:asciiTheme="minorHAnsi" w:hAnsiTheme="minorHAnsi" w:cstheme="minorHAnsi"/>
          <w:sz w:val="24"/>
          <w:szCs w:val="24"/>
          <w:lang w:val="es-CR"/>
        </w:rPr>
        <w:t>8</w:t>
      </w:r>
      <w:r w:rsidRPr="007F441A">
        <w:rPr>
          <w:rFonts w:asciiTheme="minorHAnsi" w:hAnsiTheme="minorHAnsi" w:cstheme="minorHAnsi"/>
          <w:sz w:val="24"/>
          <w:szCs w:val="24"/>
          <w:lang w:val="es-CR"/>
        </w:rPr>
        <w:t xml:space="preserve"> se logró que el </w:t>
      </w:r>
      <w:r w:rsidR="00DC41EC">
        <w:rPr>
          <w:rFonts w:asciiTheme="minorHAnsi" w:hAnsiTheme="minorHAnsi" w:cstheme="minorHAnsi"/>
          <w:sz w:val="24"/>
          <w:szCs w:val="24"/>
          <w:lang w:val="es-CR"/>
        </w:rPr>
        <w:t>89</w:t>
      </w:r>
      <w:r w:rsidRPr="007F441A">
        <w:rPr>
          <w:rFonts w:asciiTheme="minorHAnsi" w:hAnsiTheme="minorHAnsi" w:cstheme="minorHAnsi"/>
          <w:sz w:val="24"/>
          <w:szCs w:val="24"/>
          <w:lang w:val="es-CR"/>
        </w:rPr>
        <w:t xml:space="preserve">% de los indicadores de desempeño de la </w:t>
      </w:r>
      <w:r w:rsidR="00331454">
        <w:rPr>
          <w:rFonts w:asciiTheme="minorHAnsi" w:hAnsiTheme="minorHAnsi" w:cstheme="minorHAnsi"/>
          <w:sz w:val="24"/>
          <w:szCs w:val="24"/>
          <w:lang w:val="es-CR"/>
        </w:rPr>
        <w:t xml:space="preserve">SUPEN se ubiquen en zona verde, </w:t>
      </w:r>
      <w:r w:rsidRPr="007F441A">
        <w:rPr>
          <w:rFonts w:asciiTheme="minorHAnsi" w:hAnsiTheme="minorHAnsi" w:cstheme="minorHAnsi"/>
          <w:sz w:val="24"/>
          <w:szCs w:val="24"/>
          <w:lang w:val="es-CR"/>
        </w:rPr>
        <w:t xml:space="preserve">lo cual denota un alto grado de efectividad durante todo el período. </w:t>
      </w:r>
    </w:p>
    <w:p w:rsidR="00C61E79" w:rsidRPr="007F441A" w:rsidRDefault="00C61E79" w:rsidP="00C61E79">
      <w:pPr>
        <w:spacing w:line="360" w:lineRule="auto"/>
        <w:rPr>
          <w:rFonts w:asciiTheme="minorHAnsi" w:hAnsiTheme="minorHAnsi" w:cstheme="minorHAnsi"/>
          <w:sz w:val="24"/>
          <w:szCs w:val="24"/>
          <w:lang w:val="es-CR"/>
        </w:rPr>
      </w:pPr>
    </w:p>
    <w:p w:rsidR="00C61E79" w:rsidRDefault="00C61E79" w:rsidP="00C61E79">
      <w:pPr>
        <w:spacing w:line="360" w:lineRule="auto"/>
        <w:rPr>
          <w:rFonts w:asciiTheme="minorHAnsi" w:hAnsiTheme="minorHAnsi" w:cstheme="minorHAnsi"/>
          <w:sz w:val="24"/>
          <w:szCs w:val="24"/>
          <w:lang w:val="es-CR"/>
        </w:rPr>
      </w:pPr>
      <w:r w:rsidRPr="007F441A">
        <w:rPr>
          <w:rFonts w:asciiTheme="minorHAnsi" w:hAnsiTheme="minorHAnsi" w:cstheme="minorHAnsi"/>
          <w:sz w:val="24"/>
          <w:szCs w:val="24"/>
          <w:lang w:val="es-CR"/>
        </w:rPr>
        <w:t>Por tanto, se observa que las metas</w:t>
      </w:r>
      <w:r w:rsidR="009F7755">
        <w:rPr>
          <w:rFonts w:asciiTheme="minorHAnsi" w:hAnsiTheme="minorHAnsi" w:cstheme="minorHAnsi"/>
          <w:sz w:val="24"/>
          <w:szCs w:val="24"/>
          <w:lang w:val="es-CR"/>
        </w:rPr>
        <w:t xml:space="preserve"> se están cumpliendo conforme a lo programado</w:t>
      </w:r>
      <w:r w:rsidRPr="007F441A">
        <w:rPr>
          <w:rFonts w:asciiTheme="minorHAnsi" w:hAnsiTheme="minorHAnsi" w:cstheme="minorHAnsi"/>
          <w:sz w:val="24"/>
          <w:szCs w:val="24"/>
          <w:lang w:val="es-CR"/>
        </w:rPr>
        <w:t xml:space="preserve">, con resultados de desempeño significativos y con el uso del </w:t>
      </w:r>
      <w:r w:rsidR="009F7755">
        <w:rPr>
          <w:rFonts w:asciiTheme="minorHAnsi" w:hAnsiTheme="minorHAnsi" w:cstheme="minorHAnsi"/>
          <w:sz w:val="24"/>
          <w:szCs w:val="24"/>
          <w:lang w:val="es-CR"/>
        </w:rPr>
        <w:t>42,7</w:t>
      </w:r>
      <w:r w:rsidRPr="007F441A">
        <w:rPr>
          <w:rFonts w:asciiTheme="minorHAnsi" w:hAnsiTheme="minorHAnsi" w:cstheme="minorHAnsi"/>
          <w:sz w:val="24"/>
          <w:szCs w:val="24"/>
          <w:lang w:val="es-CR"/>
        </w:rPr>
        <w:t xml:space="preserve">% de los recursos presupuestarios asignados. </w:t>
      </w:r>
    </w:p>
    <w:p w:rsidR="00124F06" w:rsidRPr="007F441A" w:rsidRDefault="00124F06" w:rsidP="00C61E79">
      <w:pPr>
        <w:spacing w:line="360" w:lineRule="auto"/>
        <w:rPr>
          <w:rFonts w:asciiTheme="minorHAnsi" w:hAnsiTheme="minorHAnsi" w:cstheme="minorHAnsi"/>
          <w:sz w:val="24"/>
          <w:szCs w:val="24"/>
          <w:lang w:val="es-CR"/>
        </w:rPr>
      </w:pPr>
    </w:p>
    <w:p w:rsidR="00C61E79" w:rsidRPr="007F441A" w:rsidRDefault="00C61E79" w:rsidP="00C61E79">
      <w:pPr>
        <w:spacing w:line="360" w:lineRule="auto"/>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Por lo expuesto, </w:t>
      </w:r>
      <w:r w:rsidR="009F7755">
        <w:rPr>
          <w:rFonts w:asciiTheme="minorHAnsi" w:hAnsiTheme="minorHAnsi" w:cstheme="minorHAnsi"/>
          <w:sz w:val="24"/>
          <w:szCs w:val="24"/>
          <w:lang w:val="es-CR"/>
        </w:rPr>
        <w:t>se puede indicar</w:t>
      </w:r>
      <w:r w:rsidRPr="007F441A">
        <w:rPr>
          <w:rFonts w:asciiTheme="minorHAnsi" w:hAnsiTheme="minorHAnsi" w:cstheme="minorHAnsi"/>
          <w:sz w:val="24"/>
          <w:szCs w:val="24"/>
          <w:lang w:val="es-CR"/>
        </w:rPr>
        <w:t xml:space="preserve"> que la SUPEN mostró un desempeño positivo a nivel de toda la organización, logrando así cumplir con los objetivos estratégicos y operativos que se trazó para el </w:t>
      </w:r>
      <w:r w:rsidR="00331454">
        <w:rPr>
          <w:rFonts w:asciiTheme="minorHAnsi" w:hAnsiTheme="minorHAnsi" w:cstheme="minorHAnsi"/>
          <w:sz w:val="24"/>
          <w:szCs w:val="24"/>
          <w:lang w:val="es-CR"/>
        </w:rPr>
        <w:t>período</w:t>
      </w:r>
      <w:r w:rsidRPr="007F441A">
        <w:rPr>
          <w:rFonts w:asciiTheme="minorHAnsi" w:hAnsiTheme="minorHAnsi" w:cstheme="minorHAnsi"/>
          <w:sz w:val="24"/>
          <w:szCs w:val="24"/>
          <w:lang w:val="es-CR"/>
        </w:rPr>
        <w:t xml:space="preserve"> recién concluido. </w:t>
      </w:r>
    </w:p>
    <w:p w:rsidR="00C61E79" w:rsidRPr="007F441A" w:rsidRDefault="00C61E79" w:rsidP="00C61E79">
      <w:pPr>
        <w:spacing w:line="360" w:lineRule="auto"/>
        <w:rPr>
          <w:rFonts w:asciiTheme="minorHAnsi" w:hAnsiTheme="minorHAnsi" w:cstheme="minorHAnsi"/>
          <w:sz w:val="24"/>
          <w:szCs w:val="24"/>
          <w:lang w:val="es-CR"/>
        </w:rPr>
      </w:pPr>
    </w:p>
    <w:p w:rsidR="000C48A8" w:rsidRPr="007F441A" w:rsidRDefault="0020012A" w:rsidP="003F7B6F">
      <w:pPr>
        <w:spacing w:line="360" w:lineRule="auto"/>
        <w:rPr>
          <w:rFonts w:asciiTheme="minorHAnsi" w:hAnsiTheme="minorHAnsi" w:cstheme="minorHAnsi"/>
          <w:sz w:val="24"/>
          <w:szCs w:val="24"/>
          <w:lang w:val="es-CR"/>
        </w:rPr>
      </w:pPr>
      <w:r w:rsidRPr="007F441A">
        <w:rPr>
          <w:rFonts w:asciiTheme="minorHAnsi" w:hAnsiTheme="minorHAnsi" w:cstheme="minorHAnsi"/>
          <w:sz w:val="24"/>
          <w:szCs w:val="24"/>
          <w:lang w:val="es-CR"/>
        </w:rPr>
        <w:t>En cua</w:t>
      </w:r>
      <w:r w:rsidR="000C48A8" w:rsidRPr="007F441A">
        <w:rPr>
          <w:rFonts w:asciiTheme="minorHAnsi" w:hAnsiTheme="minorHAnsi" w:cstheme="minorHAnsi"/>
          <w:sz w:val="24"/>
          <w:szCs w:val="24"/>
          <w:lang w:val="es-CR"/>
        </w:rPr>
        <w:t xml:space="preserve">nto a la cantidad de usuarios o personas que se ven beneficiadas por los servicios brindados por la SUPEN, se puede afirmar que </w:t>
      </w:r>
      <w:r w:rsidR="0078459F" w:rsidRPr="007F441A">
        <w:rPr>
          <w:rFonts w:asciiTheme="minorHAnsi" w:hAnsiTheme="minorHAnsi" w:cstheme="minorHAnsi"/>
          <w:sz w:val="24"/>
          <w:szCs w:val="24"/>
          <w:lang w:val="es-CR"/>
        </w:rPr>
        <w:t xml:space="preserve">producto de las labores </w:t>
      </w:r>
      <w:r w:rsidR="00A451D6" w:rsidRPr="007F441A">
        <w:rPr>
          <w:rFonts w:asciiTheme="minorHAnsi" w:hAnsiTheme="minorHAnsi" w:cstheme="minorHAnsi"/>
          <w:sz w:val="24"/>
          <w:szCs w:val="24"/>
          <w:lang w:val="es-CR"/>
        </w:rPr>
        <w:t>están favorecida</w:t>
      </w:r>
      <w:r w:rsidR="000C48A8" w:rsidRPr="007F441A">
        <w:rPr>
          <w:rFonts w:asciiTheme="minorHAnsi" w:hAnsiTheme="minorHAnsi" w:cstheme="minorHAnsi"/>
          <w:sz w:val="24"/>
          <w:szCs w:val="24"/>
          <w:lang w:val="es-CR"/>
        </w:rPr>
        <w:t xml:space="preserve">s todas las personas que participan </w:t>
      </w:r>
      <w:r w:rsidR="00A451D6" w:rsidRPr="007F441A">
        <w:rPr>
          <w:rFonts w:asciiTheme="minorHAnsi" w:hAnsiTheme="minorHAnsi" w:cstheme="minorHAnsi"/>
          <w:sz w:val="24"/>
          <w:szCs w:val="24"/>
          <w:lang w:val="es-CR"/>
        </w:rPr>
        <w:t xml:space="preserve">directa o indirectamente </w:t>
      </w:r>
      <w:r w:rsidR="000C48A8" w:rsidRPr="007F441A">
        <w:rPr>
          <w:rFonts w:asciiTheme="minorHAnsi" w:hAnsiTheme="minorHAnsi" w:cstheme="minorHAnsi"/>
          <w:sz w:val="24"/>
          <w:szCs w:val="24"/>
          <w:lang w:val="es-CR"/>
        </w:rPr>
        <w:t xml:space="preserve">del Sistema Nacional de Pensiones. </w:t>
      </w:r>
      <w:r w:rsidR="00DC41EC">
        <w:rPr>
          <w:rFonts w:asciiTheme="minorHAnsi" w:hAnsiTheme="minorHAnsi" w:cstheme="minorHAnsi"/>
          <w:sz w:val="24"/>
          <w:szCs w:val="24"/>
          <w:lang w:val="es-CR"/>
        </w:rPr>
        <w:t>Se puede</w:t>
      </w:r>
      <w:r w:rsidR="000C48A8" w:rsidRPr="007F441A">
        <w:rPr>
          <w:rFonts w:asciiTheme="minorHAnsi" w:hAnsiTheme="minorHAnsi" w:cstheme="minorHAnsi"/>
          <w:sz w:val="24"/>
          <w:szCs w:val="24"/>
          <w:lang w:val="es-CR"/>
        </w:rPr>
        <w:t xml:space="preserve"> indicar que la SUPEN ayuda a la población mayor de 15 años que representa alrededor de 3,8 millones de personas, </w:t>
      </w:r>
      <w:r w:rsidR="00E617C8">
        <w:rPr>
          <w:rFonts w:asciiTheme="minorHAnsi" w:hAnsiTheme="minorHAnsi" w:cstheme="minorHAnsi"/>
          <w:sz w:val="24"/>
          <w:szCs w:val="24"/>
          <w:lang w:val="es-CR"/>
        </w:rPr>
        <w:t xml:space="preserve">en la que se encuentra la población económicamente activa, </w:t>
      </w:r>
      <w:r w:rsidR="00A451D6" w:rsidRPr="007F441A">
        <w:rPr>
          <w:rFonts w:asciiTheme="minorHAnsi" w:hAnsiTheme="minorHAnsi" w:cstheme="minorHAnsi"/>
          <w:sz w:val="24"/>
          <w:szCs w:val="24"/>
          <w:lang w:val="es-CR"/>
        </w:rPr>
        <w:t>a</w:t>
      </w:r>
      <w:r w:rsidR="000C48A8" w:rsidRPr="007F441A">
        <w:rPr>
          <w:rFonts w:asciiTheme="minorHAnsi" w:hAnsiTheme="minorHAnsi" w:cstheme="minorHAnsi"/>
          <w:sz w:val="24"/>
          <w:szCs w:val="24"/>
          <w:lang w:val="es-CR"/>
        </w:rPr>
        <w:t xml:space="preserve"> la mayoría de ellos les supervisa la cuenta ind</w:t>
      </w:r>
      <w:r w:rsidR="00331454">
        <w:rPr>
          <w:rFonts w:asciiTheme="minorHAnsi" w:hAnsiTheme="minorHAnsi" w:cstheme="minorHAnsi"/>
          <w:sz w:val="24"/>
          <w:szCs w:val="24"/>
          <w:lang w:val="es-CR"/>
        </w:rPr>
        <w:t>ividual</w:t>
      </w:r>
      <w:r w:rsidR="000C48A8" w:rsidRPr="007F441A">
        <w:rPr>
          <w:rFonts w:asciiTheme="minorHAnsi" w:hAnsiTheme="minorHAnsi" w:cstheme="minorHAnsi"/>
          <w:sz w:val="24"/>
          <w:szCs w:val="24"/>
          <w:lang w:val="es-CR"/>
        </w:rPr>
        <w:t xml:space="preserve"> y a los otros los motiva</w:t>
      </w:r>
      <w:r w:rsidR="00E617C8">
        <w:rPr>
          <w:rFonts w:asciiTheme="minorHAnsi" w:hAnsiTheme="minorHAnsi" w:cstheme="minorHAnsi"/>
          <w:sz w:val="24"/>
          <w:szCs w:val="24"/>
          <w:lang w:val="es-CR"/>
        </w:rPr>
        <w:t>, a través de</w:t>
      </w:r>
      <w:r w:rsidR="00DC41EC">
        <w:rPr>
          <w:rFonts w:asciiTheme="minorHAnsi" w:hAnsiTheme="minorHAnsi" w:cstheme="minorHAnsi"/>
          <w:sz w:val="24"/>
          <w:szCs w:val="24"/>
          <w:lang w:val="es-CR"/>
        </w:rPr>
        <w:t xml:space="preserve"> la divulgación de</w:t>
      </w:r>
      <w:r w:rsidR="00E617C8">
        <w:rPr>
          <w:rFonts w:asciiTheme="minorHAnsi" w:hAnsiTheme="minorHAnsi" w:cstheme="minorHAnsi"/>
          <w:sz w:val="24"/>
          <w:szCs w:val="24"/>
          <w:lang w:val="es-CR"/>
        </w:rPr>
        <w:t xml:space="preserve"> información, </w:t>
      </w:r>
      <w:r w:rsidR="000C48A8" w:rsidRPr="007F441A">
        <w:rPr>
          <w:rFonts w:asciiTheme="minorHAnsi" w:hAnsiTheme="minorHAnsi" w:cstheme="minorHAnsi"/>
          <w:sz w:val="24"/>
          <w:szCs w:val="24"/>
          <w:lang w:val="es-CR"/>
        </w:rPr>
        <w:t>a entrar a la formalidad del sistema</w:t>
      </w:r>
      <w:r w:rsidR="00736619" w:rsidRPr="007F441A">
        <w:rPr>
          <w:rFonts w:asciiTheme="minorHAnsi" w:hAnsiTheme="minorHAnsi" w:cstheme="minorHAnsi"/>
          <w:sz w:val="24"/>
          <w:szCs w:val="24"/>
          <w:lang w:val="es-CR"/>
        </w:rPr>
        <w:t>, para que tengan al final de edad productiva una pensión digna que les ayude a sobrellevar la vejez</w:t>
      </w:r>
      <w:r w:rsidR="000C48A8" w:rsidRPr="007F441A">
        <w:rPr>
          <w:rFonts w:asciiTheme="minorHAnsi" w:hAnsiTheme="minorHAnsi" w:cstheme="minorHAnsi"/>
          <w:sz w:val="24"/>
          <w:szCs w:val="24"/>
          <w:lang w:val="es-CR"/>
        </w:rPr>
        <w:t>.</w:t>
      </w:r>
    </w:p>
    <w:p w:rsidR="008F6A73" w:rsidRDefault="008F6A73">
      <w:pPr>
        <w:spacing w:line="240" w:lineRule="auto"/>
        <w:jc w:val="left"/>
        <w:rPr>
          <w:rFonts w:asciiTheme="minorHAnsi" w:hAnsiTheme="minorHAnsi" w:cstheme="minorHAnsi"/>
          <w:szCs w:val="24"/>
          <w:lang w:val="es-CR"/>
        </w:rPr>
      </w:pPr>
    </w:p>
    <w:p w:rsidR="00C140C1" w:rsidRDefault="00C140C1">
      <w:pPr>
        <w:spacing w:line="240" w:lineRule="auto"/>
        <w:jc w:val="left"/>
        <w:rPr>
          <w:rFonts w:asciiTheme="minorHAnsi" w:hAnsiTheme="minorHAnsi" w:cstheme="minorHAnsi"/>
          <w:szCs w:val="24"/>
          <w:lang w:val="es-CR"/>
        </w:rPr>
      </w:pPr>
    </w:p>
    <w:p w:rsidR="00C140C1" w:rsidRPr="007F441A" w:rsidRDefault="00C140C1">
      <w:pPr>
        <w:spacing w:line="240" w:lineRule="auto"/>
        <w:jc w:val="left"/>
        <w:rPr>
          <w:rFonts w:asciiTheme="minorHAnsi" w:hAnsiTheme="minorHAnsi" w:cstheme="minorHAnsi"/>
          <w:szCs w:val="24"/>
          <w:lang w:val="es-CR"/>
        </w:rPr>
      </w:pPr>
    </w:p>
    <w:p w:rsidR="008F6A73" w:rsidRPr="000F5AC7" w:rsidRDefault="00341453" w:rsidP="008F6A73">
      <w:pPr>
        <w:pStyle w:val="Ttulo1"/>
        <w:numPr>
          <w:ilvl w:val="0"/>
          <w:numId w:val="2"/>
        </w:numPr>
        <w:shd w:val="clear" w:color="auto" w:fill="DBE5F1" w:themeFill="accent1" w:themeFillTint="33"/>
        <w:spacing w:line="288" w:lineRule="auto"/>
        <w:rPr>
          <w:rFonts w:asciiTheme="minorHAnsi" w:hAnsiTheme="minorHAnsi" w:cstheme="minorHAnsi"/>
          <w:szCs w:val="28"/>
          <w:lang w:val="es-CR"/>
        </w:rPr>
      </w:pPr>
      <w:bookmarkStart w:id="23" w:name="_Toc519073099"/>
      <w:r w:rsidRPr="007F441A">
        <w:rPr>
          <w:rFonts w:asciiTheme="minorHAnsi" w:hAnsiTheme="minorHAnsi" w:cstheme="minorHAnsi"/>
          <w:sz w:val="28"/>
          <w:szCs w:val="28"/>
          <w:lang w:val="es-CR"/>
        </w:rPr>
        <w:t xml:space="preserve">SITUACIÓN </w:t>
      </w:r>
      <w:r w:rsidR="006C512B" w:rsidRPr="007F441A">
        <w:rPr>
          <w:rFonts w:asciiTheme="minorHAnsi" w:hAnsiTheme="minorHAnsi" w:cstheme="minorHAnsi"/>
          <w:sz w:val="28"/>
          <w:szCs w:val="28"/>
          <w:lang w:val="es-CR"/>
        </w:rPr>
        <w:t xml:space="preserve">ECONÓMICA-FINANCIERA GLOBAL </w:t>
      </w:r>
      <w:r w:rsidR="000F5AC7" w:rsidRPr="000F5AC7">
        <w:rPr>
          <w:rFonts w:asciiTheme="minorHAnsi" w:hAnsiTheme="minorHAnsi" w:cstheme="minorHAnsi"/>
          <w:b w:val="0"/>
          <w:sz w:val="16"/>
          <w:szCs w:val="28"/>
          <w:lang w:val="es-CR"/>
        </w:rPr>
        <w:t>(4.5.6 b. v</w:t>
      </w:r>
      <w:r w:rsidR="00D41EEF" w:rsidRPr="000F5AC7">
        <w:rPr>
          <w:rFonts w:asciiTheme="minorHAnsi" w:hAnsiTheme="minorHAnsi" w:cstheme="minorHAnsi"/>
          <w:b w:val="0"/>
          <w:sz w:val="16"/>
          <w:szCs w:val="28"/>
          <w:lang w:val="es-CR"/>
        </w:rPr>
        <w:t>)</w:t>
      </w:r>
      <w:bookmarkEnd w:id="23"/>
    </w:p>
    <w:p w:rsidR="008F6A73" w:rsidRPr="007F441A" w:rsidRDefault="008F6A73" w:rsidP="00225437">
      <w:pPr>
        <w:pStyle w:val="Textoindependiente"/>
        <w:numPr>
          <w:ilvl w:val="0"/>
          <w:numId w:val="0"/>
        </w:numPr>
        <w:rPr>
          <w:rFonts w:asciiTheme="minorHAnsi" w:hAnsiTheme="minorHAnsi" w:cstheme="minorHAnsi"/>
          <w:szCs w:val="24"/>
          <w:lang w:val="es-CR"/>
        </w:rPr>
      </w:pPr>
    </w:p>
    <w:p w:rsidR="009855D4" w:rsidRPr="007F441A" w:rsidRDefault="000061DA" w:rsidP="000061DA">
      <w:pPr>
        <w:spacing w:line="360" w:lineRule="auto"/>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La SUPEN al ser un Órgano de Desconcentración Máxima adscrito al BCCR, no emite estados financieros, esos documentos se incluyen en el legajo que el BCCR </w:t>
      </w:r>
      <w:r w:rsidR="009855D4" w:rsidRPr="007F441A">
        <w:rPr>
          <w:rFonts w:asciiTheme="minorHAnsi" w:hAnsiTheme="minorHAnsi" w:cstheme="minorHAnsi"/>
          <w:sz w:val="24"/>
          <w:szCs w:val="24"/>
          <w:lang w:val="es-CR"/>
        </w:rPr>
        <w:t xml:space="preserve">remite a través del </w:t>
      </w:r>
      <w:r w:rsidRPr="007F441A">
        <w:rPr>
          <w:rFonts w:asciiTheme="minorHAnsi" w:hAnsiTheme="minorHAnsi" w:cstheme="minorHAnsi"/>
          <w:sz w:val="24"/>
          <w:szCs w:val="24"/>
          <w:lang w:val="es-CR"/>
        </w:rPr>
        <w:t>sistema de presupuestos públicos de la Contraloría General de la República</w:t>
      </w:r>
      <w:r w:rsidR="009855D4" w:rsidRPr="007F441A">
        <w:rPr>
          <w:rFonts w:asciiTheme="minorHAnsi" w:hAnsiTheme="minorHAnsi" w:cstheme="minorHAnsi"/>
          <w:sz w:val="24"/>
          <w:szCs w:val="24"/>
          <w:lang w:val="es-CR"/>
        </w:rPr>
        <w:t>.</w:t>
      </w:r>
    </w:p>
    <w:p w:rsidR="009855D4" w:rsidRPr="007F441A" w:rsidRDefault="009855D4" w:rsidP="000061DA">
      <w:pPr>
        <w:spacing w:line="360" w:lineRule="auto"/>
        <w:rPr>
          <w:rFonts w:asciiTheme="minorHAnsi" w:hAnsiTheme="minorHAnsi" w:cstheme="minorHAnsi"/>
          <w:sz w:val="24"/>
          <w:szCs w:val="24"/>
          <w:lang w:val="es-CR"/>
        </w:rPr>
      </w:pPr>
    </w:p>
    <w:p w:rsidR="000061DA" w:rsidRPr="007F441A" w:rsidRDefault="009855D4" w:rsidP="000061DA">
      <w:pPr>
        <w:spacing w:line="360" w:lineRule="auto"/>
        <w:rPr>
          <w:rFonts w:asciiTheme="minorHAnsi" w:hAnsiTheme="minorHAnsi" w:cstheme="minorHAnsi"/>
          <w:sz w:val="24"/>
          <w:szCs w:val="24"/>
          <w:lang w:val="es-CR"/>
        </w:rPr>
      </w:pPr>
      <w:r w:rsidRPr="007F441A">
        <w:rPr>
          <w:rFonts w:asciiTheme="minorHAnsi" w:hAnsiTheme="minorHAnsi" w:cstheme="minorHAnsi"/>
          <w:sz w:val="24"/>
          <w:szCs w:val="24"/>
          <w:lang w:val="es-CR"/>
        </w:rPr>
        <w:t xml:space="preserve">Dado lo anterior, </w:t>
      </w:r>
      <w:r w:rsidR="000061DA" w:rsidRPr="007F441A">
        <w:rPr>
          <w:rFonts w:asciiTheme="minorHAnsi" w:hAnsiTheme="minorHAnsi" w:cstheme="minorHAnsi"/>
          <w:sz w:val="24"/>
          <w:szCs w:val="24"/>
          <w:lang w:val="es-CR"/>
        </w:rPr>
        <w:t xml:space="preserve">no se adjunta </w:t>
      </w:r>
      <w:r w:rsidR="00916788" w:rsidRPr="007F441A">
        <w:rPr>
          <w:rFonts w:asciiTheme="minorHAnsi" w:hAnsiTheme="minorHAnsi" w:cstheme="minorHAnsi"/>
          <w:sz w:val="24"/>
          <w:szCs w:val="24"/>
          <w:lang w:val="es-CR"/>
        </w:rPr>
        <w:t xml:space="preserve">en este </w:t>
      </w:r>
      <w:r w:rsidR="00D922F0" w:rsidRPr="007F441A">
        <w:rPr>
          <w:rFonts w:asciiTheme="minorHAnsi" w:hAnsiTheme="minorHAnsi" w:cstheme="minorHAnsi"/>
          <w:sz w:val="24"/>
          <w:szCs w:val="24"/>
          <w:lang w:val="es-CR"/>
        </w:rPr>
        <w:t>informe</w:t>
      </w:r>
      <w:r w:rsidR="00916788" w:rsidRPr="007F441A">
        <w:rPr>
          <w:rFonts w:asciiTheme="minorHAnsi" w:hAnsiTheme="minorHAnsi" w:cstheme="minorHAnsi"/>
          <w:sz w:val="24"/>
          <w:szCs w:val="24"/>
          <w:lang w:val="es-CR"/>
        </w:rPr>
        <w:t xml:space="preserve"> </w:t>
      </w:r>
      <w:r w:rsidRPr="007F441A">
        <w:rPr>
          <w:rFonts w:asciiTheme="minorHAnsi" w:hAnsiTheme="minorHAnsi" w:cstheme="minorHAnsi"/>
          <w:sz w:val="24"/>
          <w:szCs w:val="24"/>
          <w:lang w:val="es-CR"/>
        </w:rPr>
        <w:t xml:space="preserve">un análisis de la situación económica-financiera global de la SUPEN respaldada con los </w:t>
      </w:r>
      <w:r w:rsidR="000061DA" w:rsidRPr="007F441A">
        <w:rPr>
          <w:rFonts w:asciiTheme="minorHAnsi" w:hAnsiTheme="minorHAnsi" w:cstheme="minorHAnsi"/>
          <w:sz w:val="24"/>
          <w:szCs w:val="24"/>
          <w:lang w:val="es-CR"/>
        </w:rPr>
        <w:t>estado</w:t>
      </w:r>
      <w:r w:rsidR="00F873F7" w:rsidRPr="007F441A">
        <w:rPr>
          <w:rFonts w:asciiTheme="minorHAnsi" w:hAnsiTheme="minorHAnsi" w:cstheme="minorHAnsi"/>
          <w:sz w:val="24"/>
          <w:szCs w:val="24"/>
          <w:lang w:val="es-CR"/>
        </w:rPr>
        <w:t>s</w:t>
      </w:r>
      <w:r w:rsidR="000061DA" w:rsidRPr="007F441A">
        <w:rPr>
          <w:rFonts w:asciiTheme="minorHAnsi" w:hAnsiTheme="minorHAnsi" w:cstheme="minorHAnsi"/>
          <w:sz w:val="24"/>
          <w:szCs w:val="24"/>
          <w:lang w:val="es-CR"/>
        </w:rPr>
        <w:t xml:space="preserve"> financiero</w:t>
      </w:r>
      <w:r w:rsidR="00F873F7" w:rsidRPr="007F441A">
        <w:rPr>
          <w:rFonts w:asciiTheme="minorHAnsi" w:hAnsiTheme="minorHAnsi" w:cstheme="minorHAnsi"/>
          <w:sz w:val="24"/>
          <w:szCs w:val="24"/>
          <w:lang w:val="es-CR"/>
        </w:rPr>
        <w:t>s</w:t>
      </w:r>
      <w:r w:rsidR="000061DA" w:rsidRPr="007F441A">
        <w:rPr>
          <w:rFonts w:asciiTheme="minorHAnsi" w:hAnsiTheme="minorHAnsi" w:cstheme="minorHAnsi"/>
          <w:sz w:val="24"/>
          <w:szCs w:val="24"/>
          <w:lang w:val="es-CR"/>
        </w:rPr>
        <w:t>.</w:t>
      </w:r>
      <w:r w:rsidR="00765249" w:rsidRPr="007F441A">
        <w:rPr>
          <w:rFonts w:asciiTheme="minorHAnsi" w:hAnsiTheme="minorHAnsi" w:cstheme="minorHAnsi"/>
          <w:sz w:val="24"/>
          <w:szCs w:val="24"/>
          <w:lang w:val="es-CR"/>
        </w:rPr>
        <w:t xml:space="preserve"> </w:t>
      </w:r>
      <w:r w:rsidR="000F75DF">
        <w:rPr>
          <w:rFonts w:asciiTheme="minorHAnsi" w:hAnsiTheme="minorHAnsi" w:cstheme="minorHAnsi"/>
          <w:sz w:val="24"/>
          <w:szCs w:val="24"/>
          <w:lang w:val="es-CR"/>
        </w:rPr>
        <w:t>E</w:t>
      </w:r>
      <w:r w:rsidR="00765249" w:rsidRPr="007F441A">
        <w:rPr>
          <w:rFonts w:asciiTheme="minorHAnsi" w:hAnsiTheme="minorHAnsi" w:cstheme="minorHAnsi"/>
          <w:sz w:val="24"/>
          <w:szCs w:val="24"/>
          <w:lang w:val="es-CR"/>
        </w:rPr>
        <w:t xml:space="preserve">s preciso indicar que por la forma en que está establecido el financiamiento de las erogaciones de la SUPEN </w:t>
      </w:r>
      <w:r w:rsidR="00FD311D" w:rsidRPr="007F441A">
        <w:rPr>
          <w:rFonts w:asciiTheme="minorHAnsi" w:hAnsiTheme="minorHAnsi" w:cstheme="minorHAnsi"/>
          <w:sz w:val="24"/>
          <w:szCs w:val="24"/>
          <w:lang w:val="es-CR"/>
        </w:rPr>
        <w:t>la situación financiera es</w:t>
      </w:r>
      <w:r w:rsidR="00663617" w:rsidRPr="007F441A">
        <w:rPr>
          <w:rFonts w:asciiTheme="minorHAnsi" w:hAnsiTheme="minorHAnsi" w:cstheme="minorHAnsi"/>
          <w:sz w:val="24"/>
          <w:szCs w:val="24"/>
          <w:lang w:val="es-CR"/>
        </w:rPr>
        <w:t>tá garantizada por Ley.</w:t>
      </w:r>
    </w:p>
    <w:p w:rsidR="00A024E7" w:rsidRPr="007F441A" w:rsidRDefault="00A024E7" w:rsidP="00225437">
      <w:pPr>
        <w:pStyle w:val="Textoindependiente"/>
        <w:numPr>
          <w:ilvl w:val="0"/>
          <w:numId w:val="0"/>
        </w:numPr>
        <w:rPr>
          <w:rFonts w:asciiTheme="minorHAnsi" w:hAnsiTheme="minorHAnsi" w:cstheme="minorHAnsi"/>
          <w:szCs w:val="24"/>
          <w:lang w:val="es-CR"/>
        </w:rPr>
      </w:pPr>
    </w:p>
    <w:p w:rsidR="000061DA" w:rsidRDefault="000061DA" w:rsidP="00225437">
      <w:pPr>
        <w:pStyle w:val="Textoindependiente"/>
        <w:numPr>
          <w:ilvl w:val="0"/>
          <w:numId w:val="0"/>
        </w:numPr>
        <w:rPr>
          <w:rFonts w:asciiTheme="minorHAnsi" w:hAnsiTheme="minorHAnsi" w:cstheme="minorHAnsi"/>
          <w:szCs w:val="24"/>
          <w:lang w:val="es-CR"/>
        </w:rPr>
      </w:pPr>
    </w:p>
    <w:p w:rsidR="001A18F5" w:rsidRDefault="001A18F5" w:rsidP="00225437">
      <w:pPr>
        <w:pStyle w:val="Textoindependiente"/>
        <w:numPr>
          <w:ilvl w:val="0"/>
          <w:numId w:val="0"/>
        </w:numPr>
        <w:rPr>
          <w:rFonts w:asciiTheme="minorHAnsi" w:hAnsiTheme="minorHAnsi" w:cstheme="minorHAnsi"/>
          <w:szCs w:val="24"/>
          <w:lang w:val="es-CR"/>
        </w:rPr>
      </w:pPr>
    </w:p>
    <w:p w:rsidR="00331454" w:rsidRPr="007F441A" w:rsidRDefault="00331454" w:rsidP="00225437">
      <w:pPr>
        <w:pStyle w:val="Textoindependiente"/>
        <w:numPr>
          <w:ilvl w:val="0"/>
          <w:numId w:val="0"/>
        </w:numPr>
        <w:rPr>
          <w:rFonts w:asciiTheme="minorHAnsi" w:hAnsiTheme="minorHAnsi" w:cstheme="minorHAnsi"/>
          <w:szCs w:val="24"/>
          <w:lang w:val="es-CR"/>
        </w:rPr>
      </w:pPr>
    </w:p>
    <w:p w:rsidR="0040500F" w:rsidRPr="000F5AC7" w:rsidRDefault="006F27D3" w:rsidP="000F5AC7">
      <w:pPr>
        <w:pStyle w:val="Ttulo1"/>
        <w:numPr>
          <w:ilvl w:val="0"/>
          <w:numId w:val="2"/>
        </w:numPr>
        <w:shd w:val="clear" w:color="auto" w:fill="DBE5F1" w:themeFill="accent1" w:themeFillTint="33"/>
        <w:spacing w:line="288" w:lineRule="auto"/>
        <w:ind w:left="284" w:hanging="284"/>
        <w:rPr>
          <w:rFonts w:asciiTheme="minorHAnsi" w:hAnsiTheme="minorHAnsi" w:cstheme="minorHAnsi"/>
          <w:szCs w:val="28"/>
          <w:lang w:val="es-CR"/>
        </w:rPr>
      </w:pPr>
      <w:bookmarkStart w:id="24" w:name="_Toc519073100"/>
      <w:r w:rsidRPr="007F441A">
        <w:rPr>
          <w:rFonts w:asciiTheme="minorHAnsi" w:hAnsiTheme="minorHAnsi" w:cstheme="minorHAnsi"/>
          <w:sz w:val="28"/>
          <w:szCs w:val="28"/>
          <w:lang w:val="es-CR"/>
        </w:rPr>
        <w:t>MEDIDAS CORRECTIVAS Y ACCIONES PARA LA MEJORA CONTÍNUA</w:t>
      </w:r>
      <w:r w:rsidR="000F5AC7">
        <w:rPr>
          <w:rFonts w:asciiTheme="minorHAnsi" w:hAnsiTheme="minorHAnsi" w:cstheme="minorHAnsi"/>
          <w:sz w:val="28"/>
          <w:szCs w:val="28"/>
          <w:lang w:val="es-CR"/>
        </w:rPr>
        <w:t xml:space="preserve"> </w:t>
      </w:r>
      <w:r w:rsidR="000F5AC7" w:rsidRPr="000F5AC7">
        <w:rPr>
          <w:rFonts w:asciiTheme="minorHAnsi" w:hAnsiTheme="minorHAnsi" w:cstheme="minorHAnsi"/>
          <w:b w:val="0"/>
          <w:sz w:val="16"/>
          <w:szCs w:val="28"/>
          <w:lang w:val="es-CR"/>
        </w:rPr>
        <w:t>(4.5.6 b. vi)</w:t>
      </w:r>
      <w:bookmarkEnd w:id="24"/>
    </w:p>
    <w:p w:rsidR="0040500F" w:rsidRPr="007F441A" w:rsidRDefault="0040500F" w:rsidP="00225437">
      <w:pPr>
        <w:pStyle w:val="Textoindependiente"/>
        <w:numPr>
          <w:ilvl w:val="0"/>
          <w:numId w:val="0"/>
        </w:numPr>
        <w:rPr>
          <w:rFonts w:asciiTheme="minorHAnsi" w:hAnsiTheme="minorHAnsi" w:cstheme="minorHAnsi"/>
          <w:szCs w:val="24"/>
          <w:lang w:val="es-CR"/>
        </w:rPr>
      </w:pPr>
    </w:p>
    <w:bookmarkEnd w:id="7"/>
    <w:bookmarkEnd w:id="8"/>
    <w:p w:rsidR="00E75D96" w:rsidRDefault="00E75D96" w:rsidP="00E75D96">
      <w:pPr>
        <w:pStyle w:val="Textoindependiente"/>
        <w:numPr>
          <w:ilvl w:val="0"/>
          <w:numId w:val="0"/>
        </w:numPr>
        <w:spacing w:line="360" w:lineRule="auto"/>
        <w:rPr>
          <w:rFonts w:asciiTheme="minorHAnsi" w:hAnsiTheme="minorHAnsi" w:cstheme="minorHAnsi"/>
          <w:szCs w:val="24"/>
          <w:lang w:val="es-CR"/>
        </w:rPr>
      </w:pPr>
      <w:r>
        <w:rPr>
          <w:rFonts w:asciiTheme="minorHAnsi" w:hAnsiTheme="minorHAnsi" w:cstheme="minorHAnsi"/>
          <w:szCs w:val="24"/>
          <w:lang w:val="es-CR"/>
        </w:rPr>
        <w:t xml:space="preserve">La SUPEN cuenta desde el 2008 con un sistema de gestión de la calidad y actualmente está certificada bajo la Norma ISO 9001:2015. Como parte de ese sistema, se </w:t>
      </w:r>
      <w:r w:rsidR="00C140C1">
        <w:rPr>
          <w:rFonts w:asciiTheme="minorHAnsi" w:hAnsiTheme="minorHAnsi" w:cstheme="minorHAnsi"/>
          <w:szCs w:val="24"/>
          <w:lang w:val="es-CR"/>
        </w:rPr>
        <w:t xml:space="preserve">realizan </w:t>
      </w:r>
      <w:r>
        <w:rPr>
          <w:rFonts w:asciiTheme="minorHAnsi" w:hAnsiTheme="minorHAnsi" w:cstheme="minorHAnsi"/>
          <w:szCs w:val="24"/>
          <w:lang w:val="es-CR"/>
        </w:rPr>
        <w:t xml:space="preserve">auditorias de calidad </w:t>
      </w:r>
      <w:r w:rsidR="000F5AC7">
        <w:rPr>
          <w:rFonts w:asciiTheme="minorHAnsi" w:hAnsiTheme="minorHAnsi" w:cstheme="minorHAnsi"/>
          <w:szCs w:val="24"/>
          <w:lang w:val="es-CR"/>
        </w:rPr>
        <w:t xml:space="preserve">dos veces al año </w:t>
      </w:r>
      <w:r>
        <w:rPr>
          <w:rFonts w:asciiTheme="minorHAnsi" w:hAnsiTheme="minorHAnsi" w:cstheme="minorHAnsi"/>
          <w:szCs w:val="24"/>
          <w:lang w:val="es-CR"/>
        </w:rPr>
        <w:t xml:space="preserve">en procura de ir mejorando los procesos. </w:t>
      </w:r>
    </w:p>
    <w:p w:rsidR="00E75D96" w:rsidRDefault="00E75D96" w:rsidP="00E75D96">
      <w:pPr>
        <w:pStyle w:val="Textoindependiente"/>
        <w:numPr>
          <w:ilvl w:val="0"/>
          <w:numId w:val="0"/>
        </w:numPr>
        <w:spacing w:line="360" w:lineRule="auto"/>
        <w:rPr>
          <w:rFonts w:asciiTheme="minorHAnsi" w:hAnsiTheme="minorHAnsi" w:cstheme="minorHAnsi"/>
          <w:szCs w:val="24"/>
          <w:lang w:val="es-CR"/>
        </w:rPr>
      </w:pPr>
    </w:p>
    <w:p w:rsidR="00E75D96" w:rsidRDefault="00E75D96" w:rsidP="00E75D96">
      <w:pPr>
        <w:pStyle w:val="Textoindependiente"/>
        <w:numPr>
          <w:ilvl w:val="0"/>
          <w:numId w:val="0"/>
        </w:numPr>
        <w:spacing w:line="360" w:lineRule="auto"/>
        <w:rPr>
          <w:rFonts w:asciiTheme="minorHAnsi" w:hAnsiTheme="minorHAnsi" w:cstheme="minorHAnsi"/>
          <w:szCs w:val="24"/>
          <w:lang w:val="es-CR"/>
        </w:rPr>
      </w:pPr>
      <w:r>
        <w:rPr>
          <w:rFonts w:asciiTheme="minorHAnsi" w:hAnsiTheme="minorHAnsi" w:cstheme="minorHAnsi"/>
          <w:szCs w:val="24"/>
          <w:lang w:val="es-CR"/>
        </w:rPr>
        <w:t>En línea con lo anterior, seguidamente se presenta un extracto de los resultados para el primer semestre del año.</w:t>
      </w:r>
    </w:p>
    <w:p w:rsidR="00E75D96" w:rsidRDefault="00E75D96" w:rsidP="00E75D96">
      <w:pPr>
        <w:pStyle w:val="Textoindependiente"/>
        <w:numPr>
          <w:ilvl w:val="0"/>
          <w:numId w:val="0"/>
        </w:numPr>
        <w:spacing w:line="360" w:lineRule="auto"/>
        <w:rPr>
          <w:rFonts w:asciiTheme="minorHAnsi" w:hAnsiTheme="minorHAnsi" w:cstheme="minorHAnsi"/>
          <w:szCs w:val="24"/>
          <w:lang w:val="es-CR"/>
        </w:rPr>
      </w:pPr>
    </w:p>
    <w:p w:rsidR="00E75D96" w:rsidRPr="00F27C33" w:rsidRDefault="00E75D96" w:rsidP="00E75D96">
      <w:pPr>
        <w:spacing w:line="360" w:lineRule="auto"/>
        <w:rPr>
          <w:rFonts w:asciiTheme="minorHAnsi" w:hAnsiTheme="minorHAnsi" w:cstheme="minorHAnsi"/>
          <w:b/>
          <w:sz w:val="24"/>
          <w:u w:val="single"/>
        </w:rPr>
      </w:pPr>
      <w:r w:rsidRPr="00F27C33">
        <w:rPr>
          <w:rFonts w:asciiTheme="minorHAnsi" w:hAnsiTheme="minorHAnsi" w:cstheme="minorHAnsi"/>
          <w:b/>
          <w:sz w:val="24"/>
          <w:u w:val="single"/>
        </w:rPr>
        <w:t>Acciones correctivas</w:t>
      </w:r>
    </w:p>
    <w:p w:rsidR="00E75D96" w:rsidRPr="00F27C33" w:rsidRDefault="00E75D96" w:rsidP="00E75D96">
      <w:pPr>
        <w:spacing w:line="360" w:lineRule="auto"/>
        <w:rPr>
          <w:rFonts w:asciiTheme="minorHAnsi" w:hAnsiTheme="minorHAnsi" w:cstheme="minorHAnsi"/>
          <w:sz w:val="24"/>
        </w:rPr>
      </w:pPr>
      <w:r>
        <w:rPr>
          <w:rFonts w:asciiTheme="minorHAnsi" w:hAnsiTheme="minorHAnsi" w:cstheme="minorHAnsi"/>
          <w:sz w:val="24"/>
        </w:rPr>
        <w:t xml:space="preserve">En lo que respecta a acciones correctivas </w:t>
      </w:r>
      <w:r w:rsidRPr="00F27C33">
        <w:rPr>
          <w:rFonts w:asciiTheme="minorHAnsi" w:hAnsiTheme="minorHAnsi" w:cstheme="minorHAnsi"/>
          <w:sz w:val="24"/>
        </w:rPr>
        <w:t xml:space="preserve">se abrieron </w:t>
      </w:r>
      <w:r>
        <w:rPr>
          <w:rFonts w:asciiTheme="minorHAnsi" w:hAnsiTheme="minorHAnsi" w:cstheme="minorHAnsi"/>
          <w:sz w:val="24"/>
        </w:rPr>
        <w:t>17</w:t>
      </w:r>
      <w:r w:rsidRPr="00F27C33">
        <w:rPr>
          <w:rFonts w:asciiTheme="minorHAnsi" w:hAnsiTheme="minorHAnsi" w:cstheme="minorHAnsi"/>
          <w:sz w:val="24"/>
        </w:rPr>
        <w:t xml:space="preserve"> formularios a partir de los siguientes orígenes:</w:t>
      </w:r>
    </w:p>
    <w:p w:rsidR="00E75D96" w:rsidRPr="00F27C33" w:rsidRDefault="00E75D96" w:rsidP="00E75D96">
      <w:pPr>
        <w:numPr>
          <w:ilvl w:val="0"/>
          <w:numId w:val="17"/>
        </w:numPr>
        <w:spacing w:line="360" w:lineRule="auto"/>
        <w:rPr>
          <w:rFonts w:asciiTheme="minorHAnsi" w:hAnsiTheme="minorHAnsi" w:cstheme="minorHAnsi"/>
          <w:sz w:val="24"/>
        </w:rPr>
      </w:pPr>
      <w:r>
        <w:rPr>
          <w:rFonts w:asciiTheme="minorHAnsi" w:hAnsiTheme="minorHAnsi" w:cstheme="minorHAnsi"/>
          <w:sz w:val="24"/>
        </w:rPr>
        <w:t>Producto</w:t>
      </w:r>
      <w:r w:rsidRPr="00F27C33">
        <w:rPr>
          <w:rFonts w:asciiTheme="minorHAnsi" w:hAnsiTheme="minorHAnsi" w:cstheme="minorHAnsi"/>
          <w:sz w:val="24"/>
        </w:rPr>
        <w:t xml:space="preserve"> de recomendaciones de la Auditoría Interna</w:t>
      </w:r>
      <w:r>
        <w:rPr>
          <w:rFonts w:asciiTheme="minorHAnsi" w:hAnsiTheme="minorHAnsi" w:cstheme="minorHAnsi"/>
          <w:sz w:val="24"/>
        </w:rPr>
        <w:t xml:space="preserve"> cuatro</w:t>
      </w:r>
      <w:r w:rsidRPr="00F27C33">
        <w:rPr>
          <w:rFonts w:asciiTheme="minorHAnsi" w:hAnsiTheme="minorHAnsi" w:cstheme="minorHAnsi"/>
          <w:sz w:val="24"/>
        </w:rPr>
        <w:t>.</w:t>
      </w:r>
    </w:p>
    <w:p w:rsidR="00E75D96" w:rsidRPr="00F27C33" w:rsidRDefault="00E75D96" w:rsidP="00E75D96">
      <w:pPr>
        <w:numPr>
          <w:ilvl w:val="0"/>
          <w:numId w:val="17"/>
        </w:numPr>
        <w:spacing w:line="360" w:lineRule="auto"/>
        <w:rPr>
          <w:rFonts w:asciiTheme="minorHAnsi" w:hAnsiTheme="minorHAnsi" w:cstheme="minorHAnsi"/>
          <w:sz w:val="24"/>
        </w:rPr>
      </w:pPr>
      <w:r>
        <w:rPr>
          <w:rFonts w:asciiTheme="minorHAnsi" w:hAnsiTheme="minorHAnsi" w:cstheme="minorHAnsi"/>
          <w:sz w:val="24"/>
        </w:rPr>
        <w:t>P</w:t>
      </w:r>
      <w:r w:rsidRPr="00F27C33">
        <w:rPr>
          <w:rFonts w:asciiTheme="minorHAnsi" w:hAnsiTheme="minorHAnsi" w:cstheme="minorHAnsi"/>
          <w:sz w:val="24"/>
        </w:rPr>
        <w:t xml:space="preserve">or no conformidades detectadas en la auditoría interna de calidad </w:t>
      </w:r>
      <w:r>
        <w:rPr>
          <w:rFonts w:asciiTheme="minorHAnsi" w:hAnsiTheme="minorHAnsi" w:cstheme="minorHAnsi"/>
          <w:sz w:val="24"/>
        </w:rPr>
        <w:t>trece.</w:t>
      </w:r>
    </w:p>
    <w:p w:rsidR="00E75D96" w:rsidRDefault="00E75D96" w:rsidP="00E75D96">
      <w:pPr>
        <w:spacing w:line="360" w:lineRule="auto"/>
        <w:rPr>
          <w:rFonts w:asciiTheme="minorHAnsi" w:hAnsiTheme="minorHAnsi" w:cstheme="minorHAnsi"/>
          <w:sz w:val="24"/>
        </w:rPr>
      </w:pPr>
    </w:p>
    <w:p w:rsidR="00E75D96" w:rsidRDefault="00E75D96" w:rsidP="00E75D96">
      <w:pPr>
        <w:spacing w:line="360" w:lineRule="auto"/>
        <w:rPr>
          <w:rFonts w:asciiTheme="minorHAnsi" w:hAnsiTheme="minorHAnsi" w:cstheme="minorHAnsi"/>
          <w:sz w:val="24"/>
        </w:rPr>
      </w:pPr>
      <w:r w:rsidRPr="00F27C33">
        <w:rPr>
          <w:rFonts w:asciiTheme="minorHAnsi" w:hAnsiTheme="minorHAnsi" w:cstheme="minorHAnsi"/>
          <w:sz w:val="24"/>
        </w:rPr>
        <w:t xml:space="preserve">Las no conformidades detectadas están relacionadas mayormente con incumplimientos de procedimientos o políticas vigentes en la SUPEN (relacionados con actividades, controles o plazos documentados y no ejecutados), en segundo lugar, con </w:t>
      </w:r>
      <w:r>
        <w:rPr>
          <w:rFonts w:asciiTheme="minorHAnsi" w:hAnsiTheme="minorHAnsi" w:cstheme="minorHAnsi"/>
          <w:sz w:val="24"/>
        </w:rPr>
        <w:t xml:space="preserve">atención de acuerdos y control de registros, </w:t>
      </w:r>
      <w:r w:rsidRPr="00F27C33">
        <w:rPr>
          <w:rFonts w:asciiTheme="minorHAnsi" w:hAnsiTheme="minorHAnsi" w:cstheme="minorHAnsi"/>
          <w:sz w:val="24"/>
        </w:rPr>
        <w:t>para adaptarl</w:t>
      </w:r>
      <w:r>
        <w:rPr>
          <w:rFonts w:asciiTheme="minorHAnsi" w:hAnsiTheme="minorHAnsi" w:cstheme="minorHAnsi"/>
          <w:sz w:val="24"/>
        </w:rPr>
        <w:t>os</w:t>
      </w:r>
      <w:r w:rsidRPr="00F27C33">
        <w:rPr>
          <w:rFonts w:asciiTheme="minorHAnsi" w:hAnsiTheme="minorHAnsi" w:cstheme="minorHAnsi"/>
          <w:sz w:val="24"/>
        </w:rPr>
        <w:t xml:space="preserve"> a la operativa actual.</w:t>
      </w:r>
    </w:p>
    <w:p w:rsidR="00E75D96" w:rsidRDefault="00E75D96" w:rsidP="00E75D96">
      <w:pPr>
        <w:spacing w:line="360" w:lineRule="auto"/>
        <w:rPr>
          <w:rFonts w:asciiTheme="minorHAnsi" w:hAnsiTheme="minorHAnsi" w:cstheme="minorHAnsi"/>
          <w:sz w:val="24"/>
        </w:rPr>
      </w:pPr>
    </w:p>
    <w:p w:rsidR="00E75D96" w:rsidRDefault="00E75D96" w:rsidP="00E75D96">
      <w:pPr>
        <w:spacing w:line="360" w:lineRule="auto"/>
        <w:rPr>
          <w:rFonts w:asciiTheme="minorHAnsi" w:hAnsiTheme="minorHAnsi" w:cstheme="minorHAnsi"/>
          <w:sz w:val="24"/>
        </w:rPr>
      </w:pPr>
      <w:r>
        <w:rPr>
          <w:rFonts w:asciiTheme="minorHAnsi" w:hAnsiTheme="minorHAnsi" w:cstheme="minorHAnsi"/>
          <w:sz w:val="24"/>
        </w:rPr>
        <w:t xml:space="preserve">Finalmente, en el período en estudio, se encuentra en proceso de atención una acción correctiva detectada en el año 2017, y cuyo plazo de atención se estableció para el 2018.  </w:t>
      </w:r>
    </w:p>
    <w:p w:rsidR="00E75D96" w:rsidRDefault="00E75D96" w:rsidP="00E75D96">
      <w:pPr>
        <w:spacing w:line="360" w:lineRule="auto"/>
        <w:rPr>
          <w:rFonts w:asciiTheme="minorHAnsi" w:hAnsiTheme="minorHAnsi" w:cstheme="minorHAnsi"/>
          <w:b/>
          <w:sz w:val="24"/>
          <w:u w:val="single"/>
        </w:rPr>
      </w:pPr>
    </w:p>
    <w:p w:rsidR="00E75D96" w:rsidRPr="00F27C33" w:rsidRDefault="00E75D96" w:rsidP="00E75D96">
      <w:pPr>
        <w:spacing w:line="360" w:lineRule="auto"/>
        <w:rPr>
          <w:rFonts w:asciiTheme="minorHAnsi" w:hAnsiTheme="minorHAnsi" w:cstheme="minorHAnsi"/>
          <w:b/>
          <w:sz w:val="24"/>
          <w:u w:val="single"/>
        </w:rPr>
      </w:pPr>
      <w:r>
        <w:rPr>
          <w:rFonts w:asciiTheme="minorHAnsi" w:hAnsiTheme="minorHAnsi" w:cstheme="minorHAnsi"/>
          <w:b/>
          <w:sz w:val="24"/>
          <w:u w:val="single"/>
        </w:rPr>
        <w:t xml:space="preserve">Servicios </w:t>
      </w:r>
      <w:r w:rsidRPr="00F27C33">
        <w:rPr>
          <w:rFonts w:asciiTheme="minorHAnsi" w:hAnsiTheme="minorHAnsi" w:cstheme="minorHAnsi"/>
          <w:b/>
          <w:sz w:val="24"/>
          <w:u w:val="single"/>
        </w:rPr>
        <w:t>no conformes</w:t>
      </w:r>
    </w:p>
    <w:p w:rsidR="00E75D96" w:rsidRPr="00DD75C2" w:rsidRDefault="00E75D96" w:rsidP="00E75D96">
      <w:pPr>
        <w:spacing w:line="360" w:lineRule="auto"/>
        <w:rPr>
          <w:rFonts w:asciiTheme="minorHAnsi" w:hAnsiTheme="minorHAnsi" w:cstheme="minorHAnsi"/>
          <w:color w:val="000000" w:themeColor="text1"/>
          <w:sz w:val="24"/>
        </w:rPr>
      </w:pPr>
      <w:r>
        <w:rPr>
          <w:rFonts w:asciiTheme="minorHAnsi" w:hAnsiTheme="minorHAnsi" w:cstheme="minorHAnsi"/>
          <w:color w:val="000000" w:themeColor="text1"/>
          <w:sz w:val="24"/>
        </w:rPr>
        <w:t>S</w:t>
      </w:r>
      <w:r w:rsidRPr="000D623E">
        <w:rPr>
          <w:rFonts w:asciiTheme="minorHAnsi" w:hAnsiTheme="minorHAnsi" w:cstheme="minorHAnsi"/>
          <w:color w:val="000000" w:themeColor="text1"/>
          <w:sz w:val="24"/>
        </w:rPr>
        <w:t>e gestionó un servicio no conforme (2018-001), por cuanto no se pudo cumplir con la fecha de publicación de los datos de “pensionados de mayo”, debido a que el proceso responsable no pasó los datos a preproducción oportunamente. El caso fue resuelto y se coordinó lo respectivo para evitar reincidencias.</w:t>
      </w:r>
    </w:p>
    <w:p w:rsidR="00E75D96" w:rsidRDefault="00E75D96" w:rsidP="00E75D96">
      <w:pPr>
        <w:spacing w:line="360" w:lineRule="auto"/>
        <w:rPr>
          <w:rFonts w:asciiTheme="minorHAnsi" w:hAnsiTheme="minorHAnsi" w:cstheme="minorHAnsi"/>
        </w:rPr>
      </w:pPr>
    </w:p>
    <w:p w:rsidR="00E75D96" w:rsidRPr="007A403D" w:rsidRDefault="00E75D96" w:rsidP="00E75D96">
      <w:pPr>
        <w:spacing w:line="360" w:lineRule="auto"/>
        <w:rPr>
          <w:rFonts w:asciiTheme="minorHAnsi" w:hAnsiTheme="minorHAnsi" w:cstheme="minorHAnsi"/>
          <w:b/>
          <w:sz w:val="24"/>
          <w:u w:val="single"/>
        </w:rPr>
      </w:pPr>
      <w:r>
        <w:rPr>
          <w:rFonts w:asciiTheme="minorHAnsi" w:hAnsiTheme="minorHAnsi" w:cstheme="minorHAnsi"/>
          <w:b/>
          <w:sz w:val="24"/>
          <w:u w:val="single"/>
        </w:rPr>
        <w:t>O</w:t>
      </w:r>
      <w:r w:rsidRPr="007A403D">
        <w:rPr>
          <w:rFonts w:asciiTheme="minorHAnsi" w:hAnsiTheme="minorHAnsi" w:cstheme="minorHAnsi"/>
          <w:b/>
          <w:sz w:val="24"/>
          <w:u w:val="single"/>
        </w:rPr>
        <w:t>portunidades de mejora</w:t>
      </w:r>
    </w:p>
    <w:p w:rsidR="00E75D96" w:rsidRDefault="00E75D96" w:rsidP="00E75D96">
      <w:pPr>
        <w:pStyle w:val="Prrafodelista"/>
        <w:spacing w:line="360" w:lineRule="auto"/>
        <w:ind w:left="0"/>
        <w:rPr>
          <w:rFonts w:asciiTheme="minorHAnsi" w:hAnsiTheme="minorHAnsi" w:cstheme="minorHAnsi"/>
          <w:color w:val="000000" w:themeColor="text1"/>
          <w:sz w:val="24"/>
        </w:rPr>
      </w:pPr>
      <w:r w:rsidRPr="007A403D">
        <w:rPr>
          <w:rFonts w:asciiTheme="minorHAnsi" w:hAnsiTheme="minorHAnsi" w:cstheme="minorHAnsi"/>
          <w:color w:val="000000" w:themeColor="text1"/>
          <w:sz w:val="24"/>
        </w:rPr>
        <w:t xml:space="preserve">Se atendieron tres oportunidades de mejora, según se indica a continuación:  </w:t>
      </w:r>
    </w:p>
    <w:p w:rsidR="00E75D96" w:rsidRPr="007A403D" w:rsidRDefault="00E75D96" w:rsidP="00E75D96">
      <w:pPr>
        <w:pStyle w:val="Prrafodelista"/>
        <w:spacing w:line="360" w:lineRule="auto"/>
        <w:ind w:left="0"/>
        <w:rPr>
          <w:rFonts w:asciiTheme="minorHAnsi" w:hAnsiTheme="minorHAnsi" w:cstheme="minorHAnsi"/>
          <w:color w:val="000000" w:themeColor="text1"/>
          <w:sz w:val="24"/>
        </w:rPr>
      </w:pPr>
    </w:p>
    <w:p w:rsidR="00E75D96" w:rsidRPr="007A403D" w:rsidRDefault="00E75D96" w:rsidP="00E75D96">
      <w:pPr>
        <w:pStyle w:val="Prrafodelista"/>
        <w:numPr>
          <w:ilvl w:val="0"/>
          <w:numId w:val="22"/>
        </w:numPr>
        <w:spacing w:line="360" w:lineRule="auto"/>
        <w:rPr>
          <w:rFonts w:asciiTheme="minorHAnsi" w:hAnsiTheme="minorHAnsi" w:cstheme="minorHAnsi"/>
          <w:sz w:val="24"/>
        </w:rPr>
      </w:pPr>
      <w:r w:rsidRPr="007A403D">
        <w:rPr>
          <w:rFonts w:asciiTheme="minorHAnsi" w:hAnsiTheme="minorHAnsi" w:cstheme="minorHAnsi"/>
          <w:sz w:val="24"/>
        </w:rPr>
        <w:t>Mejora en la página web, para búsquedas de normativa.</w:t>
      </w:r>
    </w:p>
    <w:p w:rsidR="00E75D96" w:rsidRPr="007A403D" w:rsidRDefault="00E75D96" w:rsidP="00E75D96">
      <w:pPr>
        <w:pStyle w:val="Prrafodelista"/>
        <w:numPr>
          <w:ilvl w:val="0"/>
          <w:numId w:val="22"/>
        </w:numPr>
        <w:spacing w:line="360" w:lineRule="auto"/>
        <w:rPr>
          <w:rFonts w:asciiTheme="minorHAnsi" w:hAnsiTheme="minorHAnsi" w:cstheme="minorHAnsi"/>
          <w:sz w:val="24"/>
        </w:rPr>
      </w:pPr>
      <w:r w:rsidRPr="007A403D">
        <w:rPr>
          <w:rFonts w:asciiTheme="minorHAnsi" w:hAnsiTheme="minorHAnsi" w:cstheme="minorHAnsi"/>
          <w:sz w:val="24"/>
        </w:rPr>
        <w:t xml:space="preserve">Mejoras en el Sistema de Trámites. </w:t>
      </w:r>
    </w:p>
    <w:p w:rsidR="00E75D96" w:rsidRPr="007A403D" w:rsidRDefault="00E75D96" w:rsidP="00E75D96">
      <w:pPr>
        <w:pStyle w:val="Prrafodelista"/>
        <w:numPr>
          <w:ilvl w:val="0"/>
          <w:numId w:val="22"/>
        </w:numPr>
        <w:spacing w:line="360" w:lineRule="auto"/>
        <w:rPr>
          <w:rFonts w:asciiTheme="minorHAnsi" w:hAnsiTheme="minorHAnsi" w:cstheme="minorHAnsi"/>
          <w:sz w:val="24"/>
        </w:rPr>
      </w:pPr>
      <w:r w:rsidRPr="002B34A6">
        <w:rPr>
          <w:rFonts w:asciiTheme="minorHAnsi" w:hAnsiTheme="minorHAnsi" w:cstheme="minorHAnsi"/>
          <w:sz w:val="24"/>
        </w:rPr>
        <w:t>Ajuste en la página web, para que las consultas personales, que ingresan en el espacio de observaciones, se dirijan al formulario de consultas.</w:t>
      </w:r>
    </w:p>
    <w:p w:rsidR="00331454" w:rsidRPr="00E75D96" w:rsidRDefault="00331454" w:rsidP="000108BA">
      <w:pPr>
        <w:spacing w:line="360" w:lineRule="auto"/>
        <w:ind w:left="360"/>
        <w:rPr>
          <w:rFonts w:asciiTheme="minorHAnsi" w:hAnsiTheme="minorHAnsi" w:cstheme="minorHAnsi"/>
          <w:sz w:val="24"/>
        </w:rPr>
      </w:pPr>
    </w:p>
    <w:p w:rsidR="00331454" w:rsidRPr="007F441A" w:rsidRDefault="00331454" w:rsidP="000108BA">
      <w:pPr>
        <w:spacing w:line="360" w:lineRule="auto"/>
        <w:ind w:left="360"/>
        <w:rPr>
          <w:rFonts w:asciiTheme="minorHAnsi" w:hAnsiTheme="minorHAnsi" w:cstheme="minorHAnsi"/>
          <w:sz w:val="24"/>
          <w:lang w:val="es-CR"/>
        </w:rPr>
      </w:pPr>
    </w:p>
    <w:p w:rsidR="00B66F4B" w:rsidRPr="007F441A" w:rsidRDefault="00B66F4B" w:rsidP="003E01E1">
      <w:pPr>
        <w:jc w:val="left"/>
        <w:rPr>
          <w:rFonts w:asciiTheme="minorHAnsi" w:hAnsiTheme="minorHAnsi" w:cstheme="minorHAnsi"/>
          <w:szCs w:val="22"/>
          <w:lang w:val="es-CR"/>
        </w:rPr>
      </w:pPr>
    </w:p>
    <w:p w:rsidR="003E01E1" w:rsidRPr="007F441A" w:rsidRDefault="003E01E1" w:rsidP="003E01E1">
      <w:pPr>
        <w:jc w:val="left"/>
        <w:rPr>
          <w:rFonts w:asciiTheme="minorHAnsi" w:hAnsiTheme="minorHAnsi" w:cstheme="minorHAnsi"/>
          <w:szCs w:val="22"/>
          <w:lang w:val="es-CR"/>
        </w:rPr>
        <w:sectPr w:rsidR="003E01E1" w:rsidRPr="007F441A" w:rsidSect="004243F3">
          <w:headerReference w:type="default" r:id="rId17"/>
          <w:pgSz w:w="12242" w:h="15842" w:code="1"/>
          <w:pgMar w:top="1417" w:right="1701" w:bottom="1417" w:left="1701" w:header="720" w:footer="913" w:gutter="0"/>
          <w:cols w:space="720"/>
          <w:docGrid w:linePitch="299"/>
        </w:sectPr>
      </w:pPr>
    </w:p>
    <w:p w:rsidR="001470A8" w:rsidRPr="007F441A" w:rsidRDefault="001470A8" w:rsidP="001470A8">
      <w:pPr>
        <w:rPr>
          <w:rFonts w:asciiTheme="minorHAnsi" w:hAnsiTheme="minorHAnsi" w:cstheme="minorHAnsi"/>
          <w:szCs w:val="22"/>
          <w:lang w:val="es-CR"/>
        </w:rPr>
      </w:pPr>
    </w:p>
    <w:p w:rsidR="001470A8" w:rsidRPr="007F441A" w:rsidRDefault="001470A8" w:rsidP="001470A8">
      <w:pPr>
        <w:rPr>
          <w:rFonts w:asciiTheme="minorHAnsi" w:hAnsiTheme="minorHAnsi" w:cstheme="minorHAnsi"/>
          <w:szCs w:val="22"/>
          <w:lang w:val="es-CR"/>
        </w:rPr>
      </w:pPr>
    </w:p>
    <w:p w:rsidR="00C140C1" w:rsidRDefault="00C140C1" w:rsidP="001470A8">
      <w:pPr>
        <w:rPr>
          <w:rFonts w:asciiTheme="minorHAnsi" w:hAnsiTheme="minorHAnsi" w:cstheme="minorHAnsi"/>
          <w:sz w:val="36"/>
          <w:szCs w:val="36"/>
          <w:lang w:val="es-CR"/>
        </w:rPr>
      </w:pPr>
    </w:p>
    <w:p w:rsidR="00C140C1" w:rsidRDefault="00C140C1" w:rsidP="001470A8">
      <w:pPr>
        <w:rPr>
          <w:rFonts w:asciiTheme="minorHAnsi" w:hAnsiTheme="minorHAnsi" w:cstheme="minorHAnsi"/>
          <w:sz w:val="36"/>
          <w:szCs w:val="36"/>
          <w:lang w:val="es-CR"/>
        </w:rPr>
      </w:pPr>
    </w:p>
    <w:p w:rsidR="00C140C1" w:rsidRDefault="00C140C1" w:rsidP="001470A8">
      <w:pPr>
        <w:rPr>
          <w:rFonts w:asciiTheme="minorHAnsi" w:hAnsiTheme="minorHAnsi" w:cstheme="minorHAnsi"/>
          <w:sz w:val="36"/>
          <w:szCs w:val="36"/>
          <w:lang w:val="es-CR"/>
        </w:rPr>
      </w:pPr>
    </w:p>
    <w:p w:rsidR="00C140C1" w:rsidRDefault="00C140C1" w:rsidP="001470A8">
      <w:pPr>
        <w:rPr>
          <w:rFonts w:asciiTheme="minorHAnsi" w:hAnsiTheme="minorHAnsi" w:cstheme="minorHAnsi"/>
          <w:sz w:val="36"/>
          <w:szCs w:val="36"/>
          <w:lang w:val="es-CR"/>
        </w:rPr>
      </w:pPr>
    </w:p>
    <w:p w:rsidR="00C140C1" w:rsidRDefault="00C140C1" w:rsidP="001470A8">
      <w:pPr>
        <w:rPr>
          <w:rFonts w:asciiTheme="minorHAnsi" w:hAnsiTheme="minorHAnsi" w:cstheme="minorHAnsi"/>
          <w:sz w:val="36"/>
          <w:szCs w:val="36"/>
          <w:lang w:val="es-CR"/>
        </w:rPr>
      </w:pPr>
    </w:p>
    <w:p w:rsidR="001470A8" w:rsidRPr="007F441A" w:rsidRDefault="00743102" w:rsidP="001470A8">
      <w:pPr>
        <w:rPr>
          <w:rFonts w:asciiTheme="minorHAnsi" w:hAnsiTheme="minorHAnsi" w:cstheme="minorHAnsi"/>
          <w:sz w:val="36"/>
          <w:szCs w:val="36"/>
          <w:lang w:val="es-CR"/>
        </w:rPr>
      </w:pPr>
      <w:r w:rsidRPr="007F441A">
        <w:rPr>
          <w:rFonts w:asciiTheme="minorHAnsi" w:hAnsiTheme="minorHAnsi" w:cstheme="minorHAnsi"/>
          <w:sz w:val="36"/>
          <w:szCs w:val="36"/>
          <w:lang w:val="es-CR"/>
        </w:rPr>
        <w:t>CUADROS:</w:t>
      </w:r>
    </w:p>
    <w:p w:rsidR="00743102" w:rsidRPr="007F441A" w:rsidRDefault="00743102" w:rsidP="001470A8">
      <w:pPr>
        <w:rPr>
          <w:rFonts w:asciiTheme="minorHAnsi" w:hAnsiTheme="minorHAnsi" w:cstheme="minorHAnsi"/>
          <w:szCs w:val="22"/>
          <w:lang w:val="es-CR"/>
        </w:rPr>
      </w:pPr>
    </w:p>
    <w:p w:rsidR="00743102" w:rsidRPr="007F441A" w:rsidRDefault="00743102" w:rsidP="001470A8">
      <w:pPr>
        <w:rPr>
          <w:rFonts w:asciiTheme="minorHAnsi" w:hAnsiTheme="minorHAnsi" w:cstheme="minorHAnsi"/>
          <w:szCs w:val="22"/>
          <w:lang w:val="es-CR"/>
        </w:rPr>
      </w:pPr>
    </w:p>
    <w:p w:rsidR="00743102" w:rsidRPr="007F441A" w:rsidRDefault="00DE7DF5" w:rsidP="00E50B4B">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25" w:name="_Toc519073101"/>
      <w:r w:rsidRPr="007F441A">
        <w:rPr>
          <w:rFonts w:asciiTheme="minorHAnsi" w:hAnsiTheme="minorHAnsi" w:cstheme="minorHAnsi"/>
          <w:sz w:val="28"/>
          <w:szCs w:val="28"/>
          <w:lang w:val="es-CR"/>
        </w:rPr>
        <w:t xml:space="preserve">RESULTADOS DE POI </w:t>
      </w:r>
      <w:r w:rsidR="00D71120" w:rsidRPr="007F441A">
        <w:rPr>
          <w:rFonts w:asciiTheme="minorHAnsi" w:hAnsiTheme="minorHAnsi" w:cstheme="minorHAnsi"/>
          <w:sz w:val="28"/>
          <w:szCs w:val="28"/>
          <w:lang w:val="es-CR"/>
        </w:rPr>
        <w:t>POR PROGRAMA</w:t>
      </w:r>
      <w:bookmarkEnd w:id="25"/>
    </w:p>
    <w:p w:rsidR="00D71120" w:rsidRPr="007F441A" w:rsidRDefault="00D71120">
      <w:pPr>
        <w:spacing w:line="240" w:lineRule="auto"/>
        <w:jc w:val="left"/>
        <w:rPr>
          <w:lang w:val="es-CR"/>
        </w:rPr>
      </w:pPr>
    </w:p>
    <w:p w:rsidR="000F5AC7" w:rsidRDefault="000F5AC7">
      <w:pPr>
        <w:spacing w:line="240" w:lineRule="auto"/>
        <w:jc w:val="left"/>
        <w:rPr>
          <w:lang w:val="es-CR"/>
        </w:rPr>
      </w:pPr>
    </w:p>
    <w:p w:rsidR="000F5AC7" w:rsidRDefault="000F5AC7">
      <w:pPr>
        <w:spacing w:line="240" w:lineRule="auto"/>
        <w:jc w:val="left"/>
        <w:rPr>
          <w:lang w:val="es-CR"/>
        </w:rPr>
        <w:sectPr w:rsidR="000F5AC7" w:rsidSect="001470A8">
          <w:footerReference w:type="default" r:id="rId18"/>
          <w:pgSz w:w="12242" w:h="15842" w:code="1"/>
          <w:pgMar w:top="1417" w:right="1701" w:bottom="1417" w:left="1701" w:header="720" w:footer="913" w:gutter="0"/>
          <w:cols w:space="720"/>
          <w:docGrid w:linePitch="299"/>
        </w:sectPr>
      </w:pPr>
    </w:p>
    <w:p w:rsidR="00D71120" w:rsidRPr="007F441A" w:rsidRDefault="00D71120" w:rsidP="00D71120">
      <w:pPr>
        <w:rPr>
          <w:lang w:val="es-CR"/>
        </w:rPr>
      </w:pPr>
    </w:p>
    <w:p w:rsidR="00C2329A" w:rsidRPr="007F441A" w:rsidRDefault="00E75F11" w:rsidP="003F356E">
      <w:pPr>
        <w:pStyle w:val="Ttulo3"/>
        <w:rPr>
          <w:lang w:val="es-CR"/>
        </w:rPr>
      </w:pPr>
      <w:bookmarkStart w:id="26" w:name="_Toc519073102"/>
      <w:r w:rsidRPr="007F441A">
        <w:rPr>
          <w:lang w:val="es-CR"/>
        </w:rPr>
        <w:t xml:space="preserve">Cuadro </w:t>
      </w:r>
      <w:r w:rsidR="00484F9E">
        <w:rPr>
          <w:lang w:val="es-CR"/>
        </w:rPr>
        <w:t>8</w:t>
      </w:r>
      <w:r w:rsidRPr="007F441A">
        <w:rPr>
          <w:lang w:val="es-CR"/>
        </w:rPr>
        <w:t xml:space="preserve">: </w:t>
      </w:r>
      <w:r w:rsidR="00D71120" w:rsidRPr="007F441A">
        <w:rPr>
          <w:lang w:val="es-CR"/>
        </w:rPr>
        <w:t xml:space="preserve">POI </w:t>
      </w:r>
      <w:r w:rsidR="00484F9E">
        <w:rPr>
          <w:lang w:val="es-CR"/>
        </w:rPr>
        <w:t>Despacho</w:t>
      </w:r>
      <w:bookmarkEnd w:id="26"/>
      <w:r w:rsidR="00484F9E">
        <w:rPr>
          <w:lang w:val="es-CR"/>
        </w:rPr>
        <w:t xml:space="preserve"> </w:t>
      </w:r>
    </w:p>
    <w:p w:rsidR="00E75F11" w:rsidRPr="007F441A" w:rsidRDefault="00E75F11">
      <w:pPr>
        <w:spacing w:line="240" w:lineRule="auto"/>
        <w:jc w:val="left"/>
        <w:rPr>
          <w:rFonts w:asciiTheme="minorHAnsi" w:hAnsiTheme="minorHAnsi" w:cstheme="minorHAnsi"/>
          <w:szCs w:val="22"/>
          <w:lang w:val="es-CR"/>
        </w:rPr>
      </w:pPr>
    </w:p>
    <w:p w:rsidR="00D71120" w:rsidRPr="007F441A" w:rsidRDefault="00C611AA">
      <w:pPr>
        <w:spacing w:line="240" w:lineRule="auto"/>
        <w:jc w:val="left"/>
        <w:rPr>
          <w:rFonts w:asciiTheme="minorHAnsi" w:hAnsiTheme="minorHAnsi" w:cstheme="minorHAnsi"/>
          <w:szCs w:val="22"/>
          <w:lang w:val="es-CR"/>
        </w:rPr>
      </w:pPr>
      <w:r w:rsidRPr="00C611AA">
        <w:rPr>
          <w:rFonts w:asciiTheme="minorHAnsi" w:hAnsiTheme="minorHAnsi" w:cstheme="minorHAnsi"/>
          <w:noProof/>
          <w:szCs w:val="22"/>
          <w:lang w:val="es-CR"/>
        </w:rPr>
        <w:drawing>
          <wp:inline distT="0" distB="0" distL="0" distR="0" wp14:anchorId="05096556" wp14:editId="394D23F5">
            <wp:extent cx="7226322" cy="35484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47009" cy="3558576"/>
                    </a:xfrm>
                    <a:prstGeom prst="rect">
                      <a:avLst/>
                    </a:prstGeom>
                    <a:noFill/>
                    <a:ln>
                      <a:noFill/>
                    </a:ln>
                  </pic:spPr>
                </pic:pic>
              </a:graphicData>
            </a:graphic>
          </wp:inline>
        </w:drawing>
      </w:r>
    </w:p>
    <w:p w:rsidR="00D71120" w:rsidRPr="007F441A" w:rsidRDefault="00D71120">
      <w:pPr>
        <w:spacing w:line="240" w:lineRule="auto"/>
        <w:jc w:val="left"/>
        <w:rPr>
          <w:rFonts w:asciiTheme="minorHAnsi" w:hAnsiTheme="minorHAnsi" w:cstheme="minorHAnsi"/>
          <w:szCs w:val="22"/>
          <w:lang w:val="es-CR"/>
        </w:rPr>
      </w:pPr>
    </w:p>
    <w:p w:rsidR="005E7C36" w:rsidRPr="007F441A" w:rsidRDefault="005E7C36">
      <w:pPr>
        <w:spacing w:line="240" w:lineRule="auto"/>
        <w:jc w:val="left"/>
        <w:rPr>
          <w:rFonts w:asciiTheme="minorHAnsi" w:hAnsiTheme="minorHAnsi" w:cstheme="minorHAnsi"/>
          <w:szCs w:val="22"/>
          <w:lang w:val="es-CR"/>
        </w:rPr>
      </w:pPr>
    </w:p>
    <w:p w:rsidR="00B7105F" w:rsidRPr="007F441A" w:rsidRDefault="00B7105F">
      <w:pPr>
        <w:spacing w:line="240" w:lineRule="auto"/>
        <w:jc w:val="left"/>
        <w:rPr>
          <w:rFonts w:asciiTheme="minorHAnsi" w:hAnsiTheme="minorHAnsi" w:cstheme="minorHAnsi"/>
          <w:szCs w:val="22"/>
          <w:lang w:val="es-CR"/>
        </w:rPr>
      </w:pPr>
    </w:p>
    <w:p w:rsidR="00C2329A" w:rsidRPr="007F441A" w:rsidRDefault="00C2329A">
      <w:pPr>
        <w:spacing w:line="240" w:lineRule="auto"/>
        <w:jc w:val="left"/>
        <w:rPr>
          <w:rFonts w:asciiTheme="minorHAnsi" w:hAnsiTheme="minorHAnsi" w:cstheme="minorHAnsi"/>
          <w:szCs w:val="22"/>
          <w:lang w:val="es-CR"/>
        </w:rPr>
      </w:pPr>
    </w:p>
    <w:p w:rsidR="00C2329A" w:rsidRDefault="00C2329A">
      <w:pPr>
        <w:spacing w:line="240" w:lineRule="auto"/>
        <w:jc w:val="left"/>
        <w:rPr>
          <w:rFonts w:asciiTheme="minorHAnsi" w:hAnsiTheme="minorHAnsi" w:cstheme="minorHAnsi"/>
          <w:szCs w:val="22"/>
          <w:lang w:val="es-CR"/>
        </w:rPr>
      </w:pPr>
      <w:r w:rsidRPr="007F441A">
        <w:rPr>
          <w:rFonts w:asciiTheme="minorHAnsi" w:hAnsiTheme="minorHAnsi" w:cstheme="minorHAnsi"/>
          <w:szCs w:val="22"/>
          <w:lang w:val="es-CR"/>
        </w:rPr>
        <w:br w:type="page"/>
      </w:r>
    </w:p>
    <w:p w:rsidR="00C611AA" w:rsidRPr="007F441A" w:rsidRDefault="00C611AA" w:rsidP="00C611AA">
      <w:pPr>
        <w:pStyle w:val="Ttulo3"/>
        <w:rPr>
          <w:lang w:val="es-CR"/>
        </w:rPr>
      </w:pPr>
      <w:bookmarkStart w:id="27" w:name="_Toc519073103"/>
      <w:r w:rsidRPr="007F441A">
        <w:rPr>
          <w:lang w:val="es-CR"/>
        </w:rPr>
        <w:t xml:space="preserve">Cuadro </w:t>
      </w:r>
      <w:r>
        <w:rPr>
          <w:lang w:val="es-CR"/>
        </w:rPr>
        <w:t>9</w:t>
      </w:r>
      <w:r w:rsidRPr="007F441A">
        <w:rPr>
          <w:lang w:val="es-CR"/>
        </w:rPr>
        <w:t xml:space="preserve">: POI </w:t>
      </w:r>
      <w:r>
        <w:rPr>
          <w:lang w:val="es-CR"/>
        </w:rPr>
        <w:t>Comunicación y servicios</w:t>
      </w:r>
      <w:bookmarkEnd w:id="27"/>
      <w:r>
        <w:rPr>
          <w:lang w:val="es-CR"/>
        </w:rPr>
        <w:t xml:space="preserve">  </w:t>
      </w:r>
    </w:p>
    <w:p w:rsidR="00C611AA" w:rsidRPr="007F441A" w:rsidRDefault="00C611AA">
      <w:pPr>
        <w:spacing w:line="240" w:lineRule="auto"/>
        <w:jc w:val="left"/>
        <w:rPr>
          <w:rFonts w:asciiTheme="minorHAnsi" w:hAnsiTheme="minorHAnsi" w:cstheme="minorHAnsi"/>
          <w:szCs w:val="22"/>
          <w:lang w:val="es-CR"/>
        </w:rPr>
      </w:pPr>
      <w:r w:rsidRPr="00C611AA">
        <w:rPr>
          <w:rFonts w:asciiTheme="minorHAnsi" w:hAnsiTheme="minorHAnsi" w:cstheme="minorHAnsi"/>
          <w:noProof/>
          <w:szCs w:val="22"/>
          <w:lang w:val="es-CR"/>
        </w:rPr>
        <w:drawing>
          <wp:inline distT="0" distB="0" distL="0" distR="0" wp14:anchorId="05EBE20A" wp14:editId="05843AF5">
            <wp:extent cx="6454547" cy="5229810"/>
            <wp:effectExtent l="0" t="0" r="381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1915" cy="5243883"/>
                    </a:xfrm>
                    <a:prstGeom prst="rect">
                      <a:avLst/>
                    </a:prstGeom>
                    <a:noFill/>
                    <a:ln>
                      <a:noFill/>
                    </a:ln>
                  </pic:spPr>
                </pic:pic>
              </a:graphicData>
            </a:graphic>
          </wp:inline>
        </w:drawing>
      </w:r>
    </w:p>
    <w:p w:rsidR="00C611AA" w:rsidRDefault="00E75F11" w:rsidP="003F356E">
      <w:pPr>
        <w:pStyle w:val="Ttulo3"/>
        <w:rPr>
          <w:lang w:val="es-CR"/>
        </w:rPr>
      </w:pPr>
      <w:bookmarkStart w:id="28" w:name="_Toc519073104"/>
      <w:r w:rsidRPr="007F441A">
        <w:rPr>
          <w:lang w:val="es-CR"/>
        </w:rPr>
        <w:t xml:space="preserve">Cuadro </w:t>
      </w:r>
      <w:r w:rsidR="00484F9E">
        <w:rPr>
          <w:lang w:val="es-CR"/>
        </w:rPr>
        <w:t>10</w:t>
      </w:r>
      <w:r w:rsidRPr="007F441A">
        <w:rPr>
          <w:lang w:val="es-CR"/>
        </w:rPr>
        <w:t xml:space="preserve">: </w:t>
      </w:r>
      <w:r w:rsidR="00D71120" w:rsidRPr="007F441A">
        <w:rPr>
          <w:lang w:val="es-CR"/>
        </w:rPr>
        <w:t xml:space="preserve">POI </w:t>
      </w:r>
      <w:r w:rsidR="00484F9E">
        <w:rPr>
          <w:lang w:val="es-CR"/>
        </w:rPr>
        <w:t>División</w:t>
      </w:r>
      <w:r w:rsidR="00C611AA">
        <w:rPr>
          <w:lang w:val="es-CR"/>
        </w:rPr>
        <w:t xml:space="preserve"> de Planificación y Normativa</w:t>
      </w:r>
      <w:bookmarkEnd w:id="28"/>
      <w:r w:rsidR="00C611AA">
        <w:rPr>
          <w:lang w:val="es-CR"/>
        </w:rPr>
        <w:t xml:space="preserve"> </w:t>
      </w:r>
    </w:p>
    <w:p w:rsidR="00C611AA" w:rsidRPr="00C611AA" w:rsidRDefault="00C611AA" w:rsidP="00C611AA">
      <w:pPr>
        <w:rPr>
          <w:lang w:val="es-CR"/>
        </w:rPr>
      </w:pPr>
      <w:r w:rsidRPr="00C611AA">
        <w:rPr>
          <w:noProof/>
          <w:lang w:val="es-CR"/>
        </w:rPr>
        <w:drawing>
          <wp:inline distT="0" distB="0" distL="0" distR="0" wp14:anchorId="43C7EA1C" wp14:editId="64E44056">
            <wp:extent cx="6980830" cy="5165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97710" cy="5177489"/>
                    </a:xfrm>
                    <a:prstGeom prst="rect">
                      <a:avLst/>
                    </a:prstGeom>
                    <a:noFill/>
                    <a:ln>
                      <a:noFill/>
                    </a:ln>
                  </pic:spPr>
                </pic:pic>
              </a:graphicData>
            </a:graphic>
          </wp:inline>
        </w:drawing>
      </w:r>
    </w:p>
    <w:p w:rsidR="00E75F11" w:rsidRPr="007F441A" w:rsidRDefault="00C611AA" w:rsidP="003F356E">
      <w:pPr>
        <w:pStyle w:val="Ttulo3"/>
        <w:rPr>
          <w:lang w:val="es-CR"/>
        </w:rPr>
      </w:pPr>
      <w:bookmarkStart w:id="29" w:name="_Toc519073105"/>
      <w:r>
        <w:rPr>
          <w:lang w:val="es-CR"/>
        </w:rPr>
        <w:t xml:space="preserve">Cuadro 11: </w:t>
      </w:r>
      <w:r w:rsidR="00484F9E">
        <w:rPr>
          <w:lang w:val="es-CR"/>
        </w:rPr>
        <w:t>División Jurídica</w:t>
      </w:r>
      <w:bookmarkEnd w:id="29"/>
      <w:r w:rsidR="00484F9E">
        <w:rPr>
          <w:lang w:val="es-CR"/>
        </w:rPr>
        <w:t xml:space="preserve"> </w:t>
      </w:r>
    </w:p>
    <w:p w:rsidR="00E75F11" w:rsidRPr="007F441A" w:rsidRDefault="0051207A" w:rsidP="00E75F11">
      <w:pPr>
        <w:rPr>
          <w:rFonts w:asciiTheme="minorHAnsi" w:hAnsiTheme="minorHAnsi" w:cstheme="minorHAnsi"/>
          <w:lang w:val="es-CR"/>
        </w:rPr>
      </w:pPr>
      <w:r w:rsidRPr="0051207A">
        <w:rPr>
          <w:rFonts w:asciiTheme="minorHAnsi" w:hAnsiTheme="minorHAnsi" w:cstheme="minorHAnsi"/>
          <w:noProof/>
          <w:lang w:val="es-CR"/>
        </w:rPr>
        <w:drawing>
          <wp:inline distT="0" distB="0" distL="0" distR="0" wp14:anchorId="77A8CFA1" wp14:editId="176D77A6">
            <wp:extent cx="6482687" cy="509381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98813" cy="5106484"/>
                    </a:xfrm>
                    <a:prstGeom prst="rect">
                      <a:avLst/>
                    </a:prstGeom>
                    <a:noFill/>
                    <a:ln>
                      <a:noFill/>
                    </a:ln>
                  </pic:spPr>
                </pic:pic>
              </a:graphicData>
            </a:graphic>
          </wp:inline>
        </w:drawing>
      </w:r>
    </w:p>
    <w:p w:rsidR="00D71120" w:rsidRPr="007F441A" w:rsidRDefault="00D71120">
      <w:pPr>
        <w:spacing w:line="240" w:lineRule="auto"/>
        <w:jc w:val="left"/>
        <w:rPr>
          <w:rFonts w:asciiTheme="minorHAnsi" w:hAnsiTheme="minorHAnsi" w:cstheme="minorHAnsi"/>
          <w:lang w:val="es-CR"/>
        </w:rPr>
      </w:pPr>
      <w:r w:rsidRPr="007F441A">
        <w:rPr>
          <w:rFonts w:asciiTheme="minorHAnsi" w:hAnsiTheme="minorHAnsi" w:cstheme="minorHAnsi"/>
          <w:lang w:val="es-CR"/>
        </w:rPr>
        <w:br w:type="page"/>
      </w:r>
    </w:p>
    <w:p w:rsidR="00E75F11" w:rsidRPr="007F441A" w:rsidRDefault="00E75F11" w:rsidP="003F356E">
      <w:pPr>
        <w:pStyle w:val="Ttulo3"/>
        <w:rPr>
          <w:lang w:val="es-CR"/>
        </w:rPr>
      </w:pPr>
      <w:bookmarkStart w:id="30" w:name="_Toc519073106"/>
      <w:r w:rsidRPr="007F441A">
        <w:rPr>
          <w:lang w:val="es-CR"/>
        </w:rPr>
        <w:t xml:space="preserve">Cuadro </w:t>
      </w:r>
      <w:r w:rsidR="00484F9E">
        <w:rPr>
          <w:lang w:val="es-CR"/>
        </w:rPr>
        <w:t>11</w:t>
      </w:r>
      <w:r w:rsidRPr="007F441A">
        <w:rPr>
          <w:lang w:val="es-CR"/>
        </w:rPr>
        <w:t xml:space="preserve">: </w:t>
      </w:r>
      <w:r w:rsidR="0049710D" w:rsidRPr="007F441A">
        <w:rPr>
          <w:lang w:val="es-CR"/>
        </w:rPr>
        <w:t>POI REGÍMENES DE CAPITALIZACIÓN INDIVIDUAL</w:t>
      </w:r>
      <w:bookmarkEnd w:id="30"/>
    </w:p>
    <w:p w:rsidR="005B01A0" w:rsidRPr="007F441A" w:rsidRDefault="0051207A" w:rsidP="005B01A0">
      <w:pPr>
        <w:rPr>
          <w:rFonts w:asciiTheme="minorHAnsi" w:hAnsiTheme="minorHAnsi" w:cstheme="minorHAnsi"/>
          <w:lang w:val="es-CR" w:eastAsia="es-CR"/>
        </w:rPr>
      </w:pPr>
      <w:r w:rsidRPr="0051207A">
        <w:rPr>
          <w:rFonts w:asciiTheme="minorHAnsi" w:hAnsiTheme="minorHAnsi" w:cstheme="minorHAnsi"/>
          <w:noProof/>
          <w:lang w:val="es-CR" w:eastAsia="es-CR"/>
        </w:rPr>
        <w:drawing>
          <wp:inline distT="0" distB="0" distL="0" distR="0" wp14:anchorId="345E45C4" wp14:editId="10AC2D22">
            <wp:extent cx="7646551" cy="399155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51515" cy="3994146"/>
                    </a:xfrm>
                    <a:prstGeom prst="rect">
                      <a:avLst/>
                    </a:prstGeom>
                    <a:noFill/>
                    <a:ln>
                      <a:noFill/>
                    </a:ln>
                  </pic:spPr>
                </pic:pic>
              </a:graphicData>
            </a:graphic>
          </wp:inline>
        </w:drawing>
      </w:r>
    </w:p>
    <w:p w:rsidR="0049710D" w:rsidRPr="007F441A" w:rsidRDefault="0049710D" w:rsidP="005B01A0">
      <w:pPr>
        <w:rPr>
          <w:rFonts w:asciiTheme="minorHAnsi" w:hAnsiTheme="minorHAnsi" w:cstheme="minorHAnsi"/>
          <w:lang w:val="es-CR" w:eastAsia="es-CR"/>
        </w:rPr>
      </w:pPr>
    </w:p>
    <w:p w:rsidR="00D71120" w:rsidRPr="007F441A" w:rsidRDefault="00D71120">
      <w:pPr>
        <w:spacing w:line="240" w:lineRule="auto"/>
        <w:jc w:val="left"/>
        <w:rPr>
          <w:rFonts w:asciiTheme="minorHAnsi" w:hAnsiTheme="minorHAnsi" w:cstheme="minorHAnsi"/>
          <w:lang w:val="es-CR" w:eastAsia="es-CR"/>
        </w:rPr>
      </w:pPr>
      <w:r w:rsidRPr="007F441A">
        <w:rPr>
          <w:rFonts w:asciiTheme="minorHAnsi" w:hAnsiTheme="minorHAnsi" w:cstheme="minorHAnsi"/>
          <w:lang w:val="es-CR" w:eastAsia="es-CR"/>
        </w:rPr>
        <w:br w:type="page"/>
      </w:r>
    </w:p>
    <w:p w:rsidR="001C2AD6" w:rsidRPr="007F441A" w:rsidRDefault="001C2AD6" w:rsidP="003F356E">
      <w:pPr>
        <w:pStyle w:val="Ttulo3"/>
        <w:rPr>
          <w:lang w:val="es-CR"/>
        </w:rPr>
      </w:pPr>
      <w:bookmarkStart w:id="31" w:name="_Toc519073107"/>
      <w:r w:rsidRPr="007F441A">
        <w:rPr>
          <w:lang w:val="es-CR"/>
        </w:rPr>
        <w:t xml:space="preserve">Cuadro </w:t>
      </w:r>
      <w:r w:rsidR="00484F9E">
        <w:rPr>
          <w:lang w:val="es-CR"/>
        </w:rPr>
        <w:t>12</w:t>
      </w:r>
      <w:r w:rsidRPr="007F441A">
        <w:rPr>
          <w:lang w:val="es-CR"/>
        </w:rPr>
        <w:t xml:space="preserve">: </w:t>
      </w:r>
      <w:r w:rsidR="0049710D" w:rsidRPr="007F441A">
        <w:rPr>
          <w:lang w:val="es-CR"/>
        </w:rPr>
        <w:t>POI REGÍMENES COLECTIVOS</w:t>
      </w:r>
      <w:bookmarkEnd w:id="31"/>
    </w:p>
    <w:p w:rsidR="001C2AD6" w:rsidRPr="007F441A" w:rsidRDefault="0051207A" w:rsidP="005B01A0">
      <w:pPr>
        <w:rPr>
          <w:rFonts w:asciiTheme="minorHAnsi" w:hAnsiTheme="minorHAnsi" w:cstheme="minorHAnsi"/>
          <w:lang w:val="es-CR" w:eastAsia="es-CR"/>
        </w:rPr>
      </w:pPr>
      <w:r w:rsidRPr="0051207A">
        <w:rPr>
          <w:rFonts w:asciiTheme="minorHAnsi" w:hAnsiTheme="minorHAnsi" w:cstheme="minorHAnsi"/>
          <w:noProof/>
          <w:lang w:val="es-CR" w:eastAsia="es-CR"/>
        </w:rPr>
        <w:drawing>
          <wp:inline distT="0" distB="0" distL="0" distR="0" wp14:anchorId="6888D0E3" wp14:editId="181C5FBF">
            <wp:extent cx="7583900" cy="4261899"/>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6984" cy="4263632"/>
                    </a:xfrm>
                    <a:prstGeom prst="rect">
                      <a:avLst/>
                    </a:prstGeom>
                    <a:noFill/>
                    <a:ln>
                      <a:noFill/>
                    </a:ln>
                  </pic:spPr>
                </pic:pic>
              </a:graphicData>
            </a:graphic>
          </wp:inline>
        </w:drawing>
      </w:r>
    </w:p>
    <w:p w:rsidR="0049710D" w:rsidRPr="007F441A" w:rsidRDefault="0049710D" w:rsidP="005B01A0">
      <w:pPr>
        <w:rPr>
          <w:rFonts w:asciiTheme="minorHAnsi" w:hAnsiTheme="minorHAnsi" w:cstheme="minorHAnsi"/>
          <w:lang w:val="es-CR" w:eastAsia="es-CR"/>
        </w:rPr>
      </w:pPr>
    </w:p>
    <w:p w:rsidR="0051207A" w:rsidRDefault="0051207A">
      <w:pPr>
        <w:spacing w:line="240" w:lineRule="auto"/>
        <w:jc w:val="left"/>
        <w:rPr>
          <w:rFonts w:cstheme="minorHAnsi"/>
          <w:lang w:val="es-CR"/>
        </w:rPr>
        <w:sectPr w:rsidR="0051207A" w:rsidSect="000F5AC7">
          <w:pgSz w:w="15842" w:h="12242" w:orient="landscape" w:code="1"/>
          <w:pgMar w:top="1701" w:right="1417" w:bottom="1701" w:left="1417" w:header="720" w:footer="913" w:gutter="0"/>
          <w:cols w:space="720"/>
          <w:docGrid w:linePitch="299"/>
        </w:sectPr>
      </w:pPr>
    </w:p>
    <w:p w:rsidR="003B362E" w:rsidRDefault="003B362E" w:rsidP="0051207A">
      <w:pPr>
        <w:spacing w:line="240" w:lineRule="auto"/>
        <w:jc w:val="left"/>
        <w:rPr>
          <w:rFonts w:asciiTheme="minorHAnsi" w:hAnsiTheme="minorHAnsi" w:cstheme="minorHAnsi"/>
          <w:lang w:val="es-CR"/>
        </w:rPr>
      </w:pPr>
    </w:p>
    <w:p w:rsidR="00F9713E" w:rsidRDefault="00F9713E" w:rsidP="0051207A">
      <w:pPr>
        <w:spacing w:line="240" w:lineRule="auto"/>
        <w:jc w:val="left"/>
        <w:rPr>
          <w:rFonts w:asciiTheme="minorHAnsi" w:hAnsiTheme="minorHAnsi" w:cstheme="minorHAnsi"/>
          <w:lang w:val="es-CR"/>
        </w:rPr>
      </w:pPr>
    </w:p>
    <w:p w:rsidR="00F9713E" w:rsidRDefault="00F9713E" w:rsidP="0051207A">
      <w:pPr>
        <w:spacing w:line="240" w:lineRule="auto"/>
        <w:jc w:val="left"/>
        <w:rPr>
          <w:rFonts w:asciiTheme="minorHAnsi" w:hAnsiTheme="minorHAnsi" w:cstheme="minorHAnsi"/>
          <w:lang w:val="es-CR"/>
        </w:rPr>
      </w:pPr>
    </w:p>
    <w:p w:rsidR="00F9713E" w:rsidRDefault="00F9713E" w:rsidP="0051207A">
      <w:pPr>
        <w:spacing w:line="240" w:lineRule="auto"/>
        <w:jc w:val="left"/>
        <w:rPr>
          <w:rFonts w:asciiTheme="minorHAnsi" w:hAnsiTheme="minorHAnsi" w:cstheme="minorHAnsi"/>
          <w:lang w:val="es-CR"/>
        </w:rPr>
      </w:pPr>
    </w:p>
    <w:p w:rsidR="00F9713E" w:rsidRDefault="00F9713E" w:rsidP="0051207A">
      <w:pPr>
        <w:spacing w:line="240" w:lineRule="auto"/>
        <w:jc w:val="left"/>
        <w:rPr>
          <w:rFonts w:asciiTheme="minorHAnsi" w:hAnsiTheme="minorHAnsi" w:cstheme="minorHAnsi"/>
          <w:lang w:val="es-CR"/>
        </w:rPr>
      </w:pPr>
    </w:p>
    <w:p w:rsidR="00F9713E" w:rsidRDefault="00F9713E" w:rsidP="0051207A">
      <w:pPr>
        <w:spacing w:line="240" w:lineRule="auto"/>
        <w:jc w:val="left"/>
        <w:rPr>
          <w:rFonts w:asciiTheme="minorHAnsi" w:hAnsiTheme="minorHAnsi" w:cstheme="minorHAnsi"/>
          <w:lang w:val="es-CR"/>
        </w:rPr>
      </w:pPr>
    </w:p>
    <w:p w:rsidR="00F9713E" w:rsidRDefault="00F9713E" w:rsidP="0051207A">
      <w:pPr>
        <w:spacing w:line="240" w:lineRule="auto"/>
        <w:jc w:val="left"/>
        <w:rPr>
          <w:rFonts w:asciiTheme="minorHAnsi" w:hAnsiTheme="minorHAnsi" w:cstheme="minorHAnsi"/>
          <w:lang w:val="es-CR"/>
        </w:rPr>
      </w:pPr>
    </w:p>
    <w:p w:rsidR="00F9713E" w:rsidRDefault="00F9713E" w:rsidP="0051207A">
      <w:pPr>
        <w:spacing w:line="240" w:lineRule="auto"/>
        <w:jc w:val="left"/>
        <w:rPr>
          <w:rFonts w:asciiTheme="minorHAnsi" w:hAnsiTheme="minorHAnsi" w:cstheme="minorHAnsi"/>
          <w:lang w:val="es-CR"/>
        </w:rPr>
      </w:pPr>
    </w:p>
    <w:p w:rsidR="00F9713E" w:rsidRDefault="00F9713E" w:rsidP="0051207A">
      <w:pPr>
        <w:spacing w:line="240" w:lineRule="auto"/>
        <w:jc w:val="left"/>
        <w:rPr>
          <w:rFonts w:asciiTheme="minorHAnsi" w:hAnsiTheme="minorHAnsi" w:cstheme="minorHAnsi"/>
          <w:lang w:val="es-CR"/>
        </w:rPr>
      </w:pPr>
    </w:p>
    <w:p w:rsidR="00F9713E" w:rsidRPr="007F441A" w:rsidRDefault="00634F14" w:rsidP="00F9713E">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32" w:name="_Toc519073108"/>
      <w:r>
        <w:rPr>
          <w:rFonts w:asciiTheme="minorHAnsi" w:hAnsiTheme="minorHAnsi" w:cstheme="minorHAnsi"/>
          <w:sz w:val="28"/>
          <w:szCs w:val="28"/>
          <w:lang w:val="es-CR"/>
        </w:rPr>
        <w:t xml:space="preserve">ANEXO </w:t>
      </w:r>
      <w:r w:rsidR="00F9713E">
        <w:rPr>
          <w:rFonts w:asciiTheme="minorHAnsi" w:hAnsiTheme="minorHAnsi" w:cstheme="minorHAnsi"/>
          <w:sz w:val="28"/>
          <w:szCs w:val="28"/>
          <w:lang w:val="es-CR"/>
        </w:rPr>
        <w:t xml:space="preserve">RESPALDO DE LOS </w:t>
      </w:r>
      <w:r w:rsidR="00F9713E" w:rsidRPr="007F441A">
        <w:rPr>
          <w:rFonts w:asciiTheme="minorHAnsi" w:hAnsiTheme="minorHAnsi" w:cstheme="minorHAnsi"/>
          <w:sz w:val="28"/>
          <w:szCs w:val="28"/>
          <w:lang w:val="es-CR"/>
        </w:rPr>
        <w:t>RESULTADOS DE POI POR PROGRAMA</w:t>
      </w:r>
      <w:bookmarkEnd w:id="32"/>
    </w:p>
    <w:p w:rsidR="00F9713E" w:rsidRDefault="00F9713E" w:rsidP="0051207A">
      <w:pPr>
        <w:spacing w:line="240" w:lineRule="auto"/>
        <w:jc w:val="left"/>
        <w:rPr>
          <w:rFonts w:asciiTheme="minorHAnsi" w:hAnsiTheme="minorHAnsi" w:cstheme="minorHAnsi"/>
          <w:lang w:val="es-CR"/>
        </w:rPr>
      </w:pPr>
    </w:p>
    <w:p w:rsidR="00F9713E" w:rsidRDefault="00F9713E" w:rsidP="0051207A">
      <w:pPr>
        <w:spacing w:line="240" w:lineRule="auto"/>
        <w:jc w:val="left"/>
        <w:rPr>
          <w:rFonts w:asciiTheme="minorHAnsi" w:hAnsiTheme="minorHAnsi" w:cstheme="minorHAnsi"/>
          <w:lang w:val="es-CR"/>
        </w:rPr>
      </w:pPr>
    </w:p>
    <w:p w:rsidR="00F9713E" w:rsidRDefault="00F9713E">
      <w:pPr>
        <w:spacing w:line="240" w:lineRule="auto"/>
        <w:jc w:val="left"/>
        <w:rPr>
          <w:rFonts w:asciiTheme="minorHAnsi" w:hAnsiTheme="minorHAnsi" w:cstheme="minorHAnsi"/>
          <w:lang w:val="es-CR"/>
        </w:rPr>
      </w:pPr>
      <w:r>
        <w:rPr>
          <w:rFonts w:asciiTheme="minorHAnsi" w:hAnsiTheme="minorHAnsi" w:cstheme="minorHAnsi"/>
          <w:lang w:val="es-CR"/>
        </w:rPr>
        <w:br w:type="page"/>
      </w:r>
    </w:p>
    <w:p w:rsidR="00F9713E" w:rsidRDefault="00F9713E" w:rsidP="0051207A">
      <w:pPr>
        <w:spacing w:line="240" w:lineRule="auto"/>
        <w:jc w:val="left"/>
        <w:rPr>
          <w:rFonts w:asciiTheme="minorHAnsi" w:hAnsiTheme="minorHAnsi" w:cstheme="minorHAnsi"/>
          <w:lang w:val="es-CR"/>
        </w:rPr>
      </w:pPr>
    </w:p>
    <w:tbl>
      <w:tblPr>
        <w:tblStyle w:val="Tablaelegante"/>
        <w:tblW w:w="9049" w:type="dxa"/>
        <w:tblLayout w:type="fixed"/>
        <w:tblLook w:val="0000" w:firstRow="0" w:lastRow="0" w:firstColumn="0" w:lastColumn="0" w:noHBand="0" w:noVBand="0"/>
      </w:tblPr>
      <w:tblGrid>
        <w:gridCol w:w="2104"/>
        <w:gridCol w:w="6945"/>
      </w:tblGrid>
      <w:tr w:rsidR="00610693" w:rsidRPr="00606ED5" w:rsidTr="00A72EB6">
        <w:trPr>
          <w:trHeight w:val="525"/>
          <w:tblHeader/>
        </w:trPr>
        <w:tc>
          <w:tcPr>
            <w:tcW w:w="9049" w:type="dxa"/>
            <w:gridSpan w:val="2"/>
            <w:tcBorders>
              <w:top w:val="double" w:sz="6" w:space="0" w:color="000000"/>
              <w:bottom w:val="single" w:sz="6" w:space="0" w:color="000000"/>
            </w:tcBorders>
            <w:shd w:val="clear" w:color="auto" w:fill="C6D9F1" w:themeFill="text2" w:themeFillTint="33"/>
            <w:vAlign w:val="center"/>
          </w:tcPr>
          <w:p w:rsidR="00610693" w:rsidRPr="00F85F08" w:rsidRDefault="00610693" w:rsidP="00A72EB6">
            <w:pPr>
              <w:spacing w:line="276" w:lineRule="auto"/>
              <w:ind w:left="285"/>
              <w:jc w:val="center"/>
              <w:rPr>
                <w:rFonts w:ascii="Calibri Light" w:hAnsi="Calibri Light" w:cs="Calibri Light"/>
                <w:b/>
                <w:bCs/>
                <w:smallCaps/>
                <w:sz w:val="28"/>
                <w:szCs w:val="28"/>
                <w:lang w:val="es-CR"/>
              </w:rPr>
            </w:pPr>
            <w:r w:rsidRPr="00F85F08">
              <w:rPr>
                <w:rFonts w:ascii="Calibri Light" w:hAnsi="Calibri Light" w:cs="Calibri Light"/>
                <w:b/>
                <w:bCs/>
                <w:smallCaps/>
                <w:sz w:val="28"/>
                <w:szCs w:val="28"/>
                <w:lang w:val="es-CR"/>
              </w:rPr>
              <w:t>Indicadores SUPEN</w:t>
            </w:r>
          </w:p>
        </w:tc>
      </w:tr>
      <w:tr w:rsidR="00610693" w:rsidRPr="00F82661" w:rsidTr="00A72EB6">
        <w:trPr>
          <w:trHeight w:val="525"/>
          <w:tblHeader/>
        </w:trPr>
        <w:tc>
          <w:tcPr>
            <w:tcW w:w="2104" w:type="dxa"/>
            <w:tcBorders>
              <w:top w:val="single" w:sz="6" w:space="0" w:color="000000"/>
              <w:bottom w:val="single" w:sz="6" w:space="0" w:color="000000"/>
            </w:tcBorders>
            <w:shd w:val="clear" w:color="auto" w:fill="F2F2F2" w:themeFill="background1" w:themeFillShade="F2"/>
            <w:vAlign w:val="center"/>
          </w:tcPr>
          <w:p w:rsidR="00610693" w:rsidRPr="00F85F08" w:rsidRDefault="00610693" w:rsidP="00A72EB6">
            <w:pPr>
              <w:spacing w:line="276" w:lineRule="auto"/>
              <w:jc w:val="center"/>
              <w:rPr>
                <w:rFonts w:ascii="Calibri Light" w:hAnsi="Calibri Light" w:cs="Calibri Light"/>
                <w:b/>
                <w:bCs/>
                <w:sz w:val="24"/>
                <w:szCs w:val="24"/>
                <w:lang w:val="es-CR"/>
              </w:rPr>
            </w:pPr>
            <w:r w:rsidRPr="00F85F08">
              <w:rPr>
                <w:rFonts w:ascii="Calibri Light" w:hAnsi="Calibri Light" w:cs="Calibri Light"/>
                <w:b/>
                <w:bCs/>
                <w:sz w:val="24"/>
                <w:szCs w:val="24"/>
                <w:lang w:val="es-CR"/>
              </w:rPr>
              <w:t>Meta</w:t>
            </w:r>
          </w:p>
        </w:tc>
        <w:tc>
          <w:tcPr>
            <w:tcW w:w="6945" w:type="dxa"/>
            <w:tcBorders>
              <w:top w:val="single" w:sz="6" w:space="0" w:color="000000"/>
              <w:bottom w:val="single" w:sz="6" w:space="0" w:color="000000"/>
            </w:tcBorders>
            <w:shd w:val="clear" w:color="auto" w:fill="F2F2F2" w:themeFill="background1" w:themeFillShade="F2"/>
            <w:vAlign w:val="center"/>
          </w:tcPr>
          <w:p w:rsidR="00610693" w:rsidRPr="00F85F08" w:rsidRDefault="00610693" w:rsidP="00A72EB6">
            <w:pPr>
              <w:spacing w:line="276" w:lineRule="auto"/>
              <w:jc w:val="center"/>
              <w:rPr>
                <w:rFonts w:ascii="Calibri Light" w:hAnsi="Calibri Light" w:cs="Calibri Light"/>
                <w:b/>
                <w:bCs/>
                <w:sz w:val="24"/>
                <w:szCs w:val="24"/>
                <w:lang w:val="es-CR"/>
              </w:rPr>
            </w:pPr>
            <w:r w:rsidRPr="00F85F08">
              <w:rPr>
                <w:rFonts w:ascii="Calibri Light" w:hAnsi="Calibri Light" w:cs="Calibri Light"/>
                <w:b/>
                <w:bCs/>
                <w:sz w:val="24"/>
                <w:szCs w:val="24"/>
                <w:lang w:val="es-CR"/>
              </w:rPr>
              <w:t xml:space="preserve">Resultados </w:t>
            </w:r>
          </w:p>
        </w:tc>
      </w:tr>
      <w:tr w:rsidR="00610693" w:rsidRPr="003A3A86" w:rsidTr="00A72EB6">
        <w:trPr>
          <w:trHeight w:val="433"/>
        </w:trPr>
        <w:tc>
          <w:tcPr>
            <w:tcW w:w="9049" w:type="dxa"/>
            <w:gridSpan w:val="2"/>
            <w:tcBorders>
              <w:top w:val="single" w:sz="6" w:space="0" w:color="000000"/>
              <w:bottom w:val="single" w:sz="6" w:space="0" w:color="000000"/>
            </w:tcBorders>
            <w:shd w:val="clear" w:color="auto" w:fill="EAF1DD" w:themeFill="accent3" w:themeFillTint="33"/>
            <w:vAlign w:val="center"/>
          </w:tcPr>
          <w:p w:rsidR="00610693" w:rsidRPr="00F85F08" w:rsidRDefault="00610693" w:rsidP="00F60302">
            <w:pPr>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pPr>
            <w:bookmarkStart w:id="33" w:name="_Toc441843722"/>
            <w:bookmarkStart w:id="34" w:name="_Toc472341089"/>
            <w:bookmarkStart w:id="35" w:name="_Toc505008419"/>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Despacho</w:t>
            </w:r>
            <w:bookmarkEnd w:id="33"/>
            <w:bookmarkEnd w:id="34"/>
            <w:bookmarkEnd w:id="35"/>
          </w:p>
        </w:tc>
      </w:tr>
      <w:tr w:rsidR="00610693" w:rsidRPr="00F86F06" w:rsidTr="00A72EB6">
        <w:trPr>
          <w:trHeight w:val="1667"/>
        </w:trPr>
        <w:tc>
          <w:tcPr>
            <w:tcW w:w="2104" w:type="dxa"/>
            <w:tcBorders>
              <w:top w:val="single" w:sz="6" w:space="0" w:color="000000"/>
            </w:tcBorders>
            <w:vAlign w:val="center"/>
          </w:tcPr>
          <w:p w:rsidR="00610693" w:rsidRPr="00F85F08" w:rsidRDefault="00610693" w:rsidP="00A72EB6">
            <w:pPr>
              <w:spacing w:line="276" w:lineRule="auto"/>
              <w:rPr>
                <w:rFonts w:ascii="Calibri Light" w:hAnsi="Calibri Light" w:cs="Calibri Light"/>
                <w:b/>
                <w:color w:val="000000" w:themeColor="text1"/>
                <w:szCs w:val="22"/>
                <w:highlight w:val="yellow"/>
                <w:lang w:val="es-CR"/>
              </w:rPr>
            </w:pPr>
            <w:r w:rsidRPr="00F85F08">
              <w:rPr>
                <w:rFonts w:ascii="Calibri Light" w:hAnsi="Calibri Light" w:cs="Calibri Light"/>
                <w:b/>
                <w:bCs/>
                <w:color w:val="000000" w:themeColor="text1"/>
                <w:szCs w:val="22"/>
                <w:lang w:val="es-CR"/>
              </w:rPr>
              <w:t>Tener, en promedio, los indicadores de cumplimiento de metas de toda la SUPEN con nota superior al 85%</w:t>
            </w:r>
          </w:p>
        </w:tc>
        <w:tc>
          <w:tcPr>
            <w:tcW w:w="6945" w:type="dxa"/>
            <w:tcBorders>
              <w:top w:val="single" w:sz="6" w:space="0" w:color="000000"/>
            </w:tcBorders>
            <w:vAlign w:val="center"/>
          </w:tcPr>
          <w:p w:rsidR="00610693" w:rsidRPr="00F85F08" w:rsidRDefault="00610693" w:rsidP="00A72EB6">
            <w:pPr>
              <w:rPr>
                <w:rFonts w:ascii="Calibri Light" w:hAnsi="Calibri Light" w:cs="Calibri Light"/>
                <w:sz w:val="20"/>
                <w:szCs w:val="22"/>
                <w:lang w:val="es-CR"/>
              </w:rPr>
            </w:pPr>
            <w:r w:rsidRPr="00F85F08">
              <w:rPr>
                <w:rFonts w:ascii="Calibri Light" w:hAnsi="Calibri Light" w:cs="Calibri Light"/>
                <w:sz w:val="20"/>
                <w:szCs w:val="22"/>
                <w:lang w:val="es-CR"/>
              </w:rPr>
              <w:t xml:space="preserve">Este indicador mide la nota promedio de las metas alcanzadas por las dependencias que conforman la SUPEN. Se estableció como parámetro tener una nota superior a 85%. </w:t>
            </w:r>
          </w:p>
          <w:p w:rsidR="00610693" w:rsidRPr="00F85F08" w:rsidRDefault="00610693" w:rsidP="00A72EB6">
            <w:pPr>
              <w:rPr>
                <w:rFonts w:ascii="Calibri Light" w:hAnsi="Calibri Light" w:cs="Calibri Light"/>
                <w:sz w:val="20"/>
                <w:szCs w:val="22"/>
                <w:lang w:val="es-CR"/>
              </w:rPr>
            </w:pPr>
          </w:p>
          <w:p w:rsidR="00610693" w:rsidRPr="00F85F08" w:rsidRDefault="00610693" w:rsidP="00A72EB6">
            <w:pPr>
              <w:rPr>
                <w:rFonts w:ascii="Calibri Light" w:hAnsi="Calibri Light" w:cs="Calibri Light"/>
                <w:sz w:val="20"/>
                <w:szCs w:val="22"/>
                <w:lang w:val="es-CR"/>
              </w:rPr>
            </w:pPr>
            <w:r w:rsidRPr="00F85F08">
              <w:rPr>
                <w:rFonts w:ascii="Calibri Light" w:hAnsi="Calibri Light" w:cs="Calibri Light"/>
                <w:sz w:val="20"/>
                <w:szCs w:val="22"/>
                <w:lang w:val="es-CR"/>
              </w:rPr>
              <w:t xml:space="preserve">Para el primer semestre de 2018, se establecieron </w:t>
            </w:r>
            <w:r w:rsidR="00EC11A2" w:rsidRPr="00F85F08">
              <w:rPr>
                <w:rFonts w:ascii="Calibri Light" w:hAnsi="Calibri Light" w:cs="Calibri Light"/>
                <w:sz w:val="20"/>
                <w:szCs w:val="22"/>
                <w:lang w:val="es-CR"/>
              </w:rPr>
              <w:t>28 metas</w:t>
            </w:r>
            <w:r w:rsidRPr="00F85F08">
              <w:rPr>
                <w:rFonts w:ascii="Calibri Light" w:hAnsi="Calibri Light" w:cs="Calibri Light"/>
                <w:sz w:val="20"/>
                <w:szCs w:val="22"/>
                <w:lang w:val="es-CR"/>
              </w:rPr>
              <w:t xml:space="preserve">.  El porcentaje promedio alcanzado es del 91%, el cual supera el objetivo en 6%, dando resultados satisfactorios. </w:t>
            </w:r>
          </w:p>
        </w:tc>
      </w:tr>
      <w:tr w:rsidR="00610693" w:rsidRPr="003A3A86" w:rsidTr="00A72EB6">
        <w:trPr>
          <w:trHeight w:val="433"/>
        </w:trPr>
        <w:tc>
          <w:tcPr>
            <w:tcW w:w="9049" w:type="dxa"/>
            <w:gridSpan w:val="2"/>
            <w:tcBorders>
              <w:top w:val="single" w:sz="6" w:space="0" w:color="000000"/>
              <w:bottom w:val="single" w:sz="6" w:space="0" w:color="000000"/>
            </w:tcBorders>
            <w:shd w:val="clear" w:color="auto" w:fill="EAF1DD" w:themeFill="accent3" w:themeFillTint="33"/>
            <w:vAlign w:val="center"/>
          </w:tcPr>
          <w:p w:rsidR="00610693" w:rsidRPr="00F85F08" w:rsidRDefault="00610693" w:rsidP="00F60302">
            <w:pPr>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pPr>
            <w:bookmarkStart w:id="36" w:name="_Toc441843723"/>
            <w:bookmarkStart w:id="37" w:name="_Toc472341090"/>
            <w:bookmarkStart w:id="38" w:name="_Toc505008420"/>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Comunicación y Servicios</w:t>
            </w:r>
            <w:bookmarkEnd w:id="36"/>
            <w:bookmarkEnd w:id="37"/>
            <w:bookmarkEnd w:id="38"/>
          </w:p>
        </w:tc>
      </w:tr>
      <w:tr w:rsidR="00610693" w:rsidRPr="00726426" w:rsidTr="00A72EB6">
        <w:tblPrEx>
          <w:tblCellMar>
            <w:left w:w="70" w:type="dxa"/>
            <w:right w:w="70" w:type="dxa"/>
          </w:tblCellMar>
        </w:tblPrEx>
        <w:trPr>
          <w:trHeight w:val="716"/>
        </w:trPr>
        <w:tc>
          <w:tcPr>
            <w:tcW w:w="2104" w:type="dxa"/>
            <w:vAlign w:val="center"/>
          </w:tcPr>
          <w:p w:rsidR="00610693" w:rsidRPr="00F85F08" w:rsidRDefault="00610693" w:rsidP="00F60302">
            <w:pPr>
              <w:spacing w:line="276" w:lineRule="auto"/>
              <w:rPr>
                <w:rFonts w:ascii="Calibri Light" w:hAnsi="Calibri Light" w:cs="Calibri Light"/>
                <w:b/>
                <w:color w:val="000000" w:themeColor="text1"/>
                <w:lang w:val="es-CR"/>
              </w:rPr>
            </w:pPr>
            <w:r w:rsidRPr="00F85F08">
              <w:rPr>
                <w:rFonts w:ascii="Calibri Light" w:hAnsi="Calibri Light" w:cs="Calibri Light"/>
                <w:b/>
                <w:color w:val="000000" w:themeColor="text1"/>
                <w:lang w:val="es-CR"/>
              </w:rPr>
              <w:t>Ejecutar el 100% de las labores programadas en el plan de comunicación y en la aplicación de herramientas relacionadas (encuesta, quejas)</w:t>
            </w:r>
          </w:p>
        </w:tc>
        <w:tc>
          <w:tcPr>
            <w:tcW w:w="6945" w:type="dxa"/>
          </w:tcPr>
          <w:p w:rsidR="00610693" w:rsidRPr="00F85F08" w:rsidRDefault="00610693" w:rsidP="00A72EB6">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Indicador 1: Ejecución del plan de comunicación externa</w:t>
            </w:r>
          </w:p>
          <w:p w:rsidR="00610693" w:rsidRPr="00F85F08" w:rsidRDefault="00610693" w:rsidP="00A72EB6">
            <w:pPr>
              <w:spacing w:line="276" w:lineRule="auto"/>
              <w:rPr>
                <w:rFonts w:ascii="Calibri Light" w:hAnsi="Calibri Light" w:cs="Calibri Light"/>
                <w:b/>
                <w:color w:val="000000" w:themeColor="text1"/>
                <w:sz w:val="20"/>
                <w:szCs w:val="22"/>
                <w:lang w:val="es-CR"/>
              </w:rPr>
            </w:pPr>
          </w:p>
          <w:p w:rsidR="00610693" w:rsidRPr="00F85F08" w:rsidRDefault="00610693" w:rsidP="00A72EB6">
            <w:pPr>
              <w:rPr>
                <w:rFonts w:ascii="Calibri Light" w:hAnsi="Calibri Light" w:cs="Calibri Light"/>
                <w:sz w:val="20"/>
                <w:szCs w:val="22"/>
                <w:lang w:val="es-CR"/>
              </w:rPr>
            </w:pPr>
            <w:r w:rsidRPr="00F85F08">
              <w:rPr>
                <w:rFonts w:ascii="Calibri Light" w:hAnsi="Calibri Light" w:cs="Calibri Light"/>
                <w:sz w:val="20"/>
                <w:szCs w:val="22"/>
                <w:lang w:val="es-CR"/>
              </w:rPr>
              <w:t xml:space="preserve">Durante el período evaluado, se cumplió con todas las actividades previstas en el </w:t>
            </w:r>
            <w:r w:rsidRPr="00F85F08">
              <w:rPr>
                <w:rFonts w:ascii="Calibri Light" w:hAnsi="Calibri Light" w:cs="Calibri Light"/>
                <w:b/>
                <w:sz w:val="20"/>
                <w:szCs w:val="22"/>
                <w:lang w:val="es-CR"/>
              </w:rPr>
              <w:t>Plan de Comunicación Externa</w:t>
            </w:r>
            <w:r w:rsidRPr="00F85F08">
              <w:rPr>
                <w:rFonts w:ascii="Calibri Light" w:hAnsi="Calibri Light" w:cs="Calibri Light"/>
                <w:sz w:val="20"/>
                <w:szCs w:val="22"/>
                <w:lang w:val="es-CR"/>
              </w:rPr>
              <w:t xml:space="preserve">, por lo que el resultado del indicador es de 100%. </w:t>
            </w:r>
          </w:p>
          <w:p w:rsidR="00610693" w:rsidRPr="00F85F08" w:rsidRDefault="00610693" w:rsidP="00A72EB6">
            <w:pPr>
              <w:rPr>
                <w:rFonts w:ascii="Calibri Light" w:hAnsi="Calibri Light" w:cs="Calibri Light"/>
                <w:sz w:val="20"/>
                <w:szCs w:val="22"/>
                <w:lang w:val="es-CR"/>
              </w:rPr>
            </w:pPr>
            <w:r w:rsidRPr="00F85F08">
              <w:rPr>
                <w:rFonts w:ascii="Calibri Light" w:hAnsi="Calibri Light" w:cs="Calibri Light"/>
                <w:sz w:val="20"/>
                <w:szCs w:val="22"/>
                <w:lang w:val="es-CR"/>
              </w:rPr>
              <w:t xml:space="preserve">Seguidamente se enumeran las actividades realizadas: </w:t>
            </w:r>
          </w:p>
          <w:p w:rsidR="00610693" w:rsidRPr="00F85F08" w:rsidRDefault="00610693" w:rsidP="00F60302">
            <w:pPr>
              <w:pStyle w:val="Prrafodelista"/>
              <w:numPr>
                <w:ilvl w:val="0"/>
                <w:numId w:val="23"/>
              </w:numPr>
              <w:spacing w:line="276" w:lineRule="auto"/>
              <w:ind w:left="503"/>
              <w:rPr>
                <w:rFonts w:ascii="Calibri Light" w:hAnsi="Calibri Light" w:cs="Calibri Light"/>
                <w:sz w:val="20"/>
                <w:szCs w:val="22"/>
                <w:lang w:val="es-CR"/>
              </w:rPr>
            </w:pPr>
            <w:r w:rsidRPr="00F85F08">
              <w:rPr>
                <w:rFonts w:ascii="Calibri Light" w:hAnsi="Calibri Light" w:cs="Calibri Light"/>
                <w:sz w:val="20"/>
                <w:szCs w:val="22"/>
                <w:lang w:val="es-CR"/>
              </w:rPr>
              <w:t xml:space="preserve">Publicación del Marco de </w:t>
            </w:r>
            <w:r w:rsidR="002C21DC">
              <w:rPr>
                <w:rFonts w:ascii="Calibri Light" w:hAnsi="Calibri Light" w:cs="Calibri Light"/>
                <w:sz w:val="20"/>
                <w:szCs w:val="22"/>
                <w:lang w:val="es-CR"/>
              </w:rPr>
              <w:t>Supervisión y Evaluación de R</w:t>
            </w:r>
            <w:r w:rsidRPr="00F85F08">
              <w:rPr>
                <w:rFonts w:ascii="Calibri Light" w:hAnsi="Calibri Light" w:cs="Calibri Light"/>
                <w:sz w:val="20"/>
                <w:szCs w:val="22"/>
                <w:lang w:val="es-CR"/>
              </w:rPr>
              <w:t>iesgos, en la página web.</w:t>
            </w:r>
          </w:p>
          <w:p w:rsidR="00610693" w:rsidRPr="00F85F08" w:rsidRDefault="00610693" w:rsidP="00F60302">
            <w:pPr>
              <w:pStyle w:val="Prrafodelista"/>
              <w:numPr>
                <w:ilvl w:val="0"/>
                <w:numId w:val="23"/>
              </w:numPr>
              <w:spacing w:line="276" w:lineRule="auto"/>
              <w:ind w:left="503"/>
              <w:rPr>
                <w:rFonts w:ascii="Calibri Light" w:hAnsi="Calibri Light" w:cs="Calibri Light"/>
                <w:sz w:val="20"/>
                <w:szCs w:val="22"/>
                <w:lang w:val="es-CR"/>
              </w:rPr>
            </w:pPr>
            <w:r w:rsidRPr="00F85F08">
              <w:rPr>
                <w:rFonts w:ascii="Calibri Light" w:hAnsi="Calibri Light" w:cs="Calibri Light"/>
                <w:sz w:val="20"/>
                <w:szCs w:val="22"/>
                <w:lang w:val="es-CR"/>
              </w:rPr>
              <w:t>Divulgación de campañas informativas: "Todos tenemos que pensionarnos, infórmese desde joven", "Enorgullezca a papá, planee su futuro".</w:t>
            </w:r>
          </w:p>
          <w:p w:rsidR="00610693" w:rsidRPr="00F85F08" w:rsidRDefault="00610693" w:rsidP="00F60302">
            <w:pPr>
              <w:pStyle w:val="Prrafodelista"/>
              <w:numPr>
                <w:ilvl w:val="0"/>
                <w:numId w:val="23"/>
              </w:numPr>
              <w:spacing w:line="276" w:lineRule="auto"/>
              <w:ind w:left="503"/>
              <w:rPr>
                <w:rFonts w:ascii="Calibri Light" w:hAnsi="Calibri Light" w:cs="Calibri Light"/>
                <w:sz w:val="20"/>
                <w:szCs w:val="22"/>
                <w:lang w:val="es-CR"/>
              </w:rPr>
            </w:pPr>
            <w:r w:rsidRPr="00F85F08">
              <w:rPr>
                <w:rFonts w:ascii="Calibri Light" w:hAnsi="Calibri Light" w:cs="Calibri Light"/>
                <w:sz w:val="20"/>
                <w:szCs w:val="22"/>
                <w:lang w:val="es-CR"/>
              </w:rPr>
              <w:t>Desar</w:t>
            </w:r>
            <w:r w:rsidR="002C21DC">
              <w:rPr>
                <w:rFonts w:ascii="Calibri Light" w:hAnsi="Calibri Light" w:cs="Calibri Light"/>
                <w:sz w:val="20"/>
                <w:szCs w:val="22"/>
                <w:lang w:val="es-CR"/>
              </w:rPr>
              <w:t>rollo de la primera Jornada de Educación en P</w:t>
            </w:r>
            <w:r w:rsidRPr="00F85F08">
              <w:rPr>
                <w:rFonts w:ascii="Calibri Light" w:hAnsi="Calibri Light" w:cs="Calibri Light"/>
                <w:sz w:val="20"/>
                <w:szCs w:val="22"/>
                <w:lang w:val="es-CR"/>
              </w:rPr>
              <w:t xml:space="preserve">ensiones, en coordinación con la Municipalidad de San José. </w:t>
            </w:r>
          </w:p>
          <w:p w:rsidR="00610693" w:rsidRPr="00F85F08" w:rsidRDefault="00610693" w:rsidP="00F60302">
            <w:pPr>
              <w:pStyle w:val="Prrafodelista"/>
              <w:numPr>
                <w:ilvl w:val="0"/>
                <w:numId w:val="23"/>
              </w:numPr>
              <w:spacing w:line="276" w:lineRule="auto"/>
              <w:ind w:left="503"/>
              <w:rPr>
                <w:rFonts w:ascii="Calibri Light" w:hAnsi="Calibri Light" w:cs="Calibri Light"/>
                <w:sz w:val="20"/>
                <w:szCs w:val="22"/>
                <w:lang w:val="es-CR"/>
              </w:rPr>
            </w:pPr>
            <w:r w:rsidRPr="00F85F08">
              <w:rPr>
                <w:rFonts w:ascii="Calibri Light" w:hAnsi="Calibri Light" w:cs="Calibri Light"/>
                <w:sz w:val="20"/>
                <w:szCs w:val="22"/>
                <w:lang w:val="es-CR"/>
              </w:rPr>
              <w:t xml:space="preserve">Divulgación de la Memoria Institucional del 2017.   </w:t>
            </w:r>
          </w:p>
          <w:p w:rsidR="00610693" w:rsidRPr="00882DC0" w:rsidRDefault="002C21DC" w:rsidP="00F60302">
            <w:pPr>
              <w:pStyle w:val="Prrafodelista"/>
              <w:numPr>
                <w:ilvl w:val="0"/>
                <w:numId w:val="23"/>
              </w:numPr>
              <w:spacing w:line="276" w:lineRule="auto"/>
              <w:ind w:left="503"/>
              <w:rPr>
                <w:rFonts w:ascii="Calibri Light" w:hAnsi="Calibri Light" w:cs="Calibri Light"/>
                <w:sz w:val="20"/>
                <w:szCs w:val="22"/>
                <w:lang w:val="es-CR"/>
              </w:rPr>
            </w:pPr>
            <w:r>
              <w:rPr>
                <w:rFonts w:ascii="Calibri Light" w:hAnsi="Calibri Light" w:cs="Calibri Light"/>
                <w:sz w:val="20"/>
                <w:szCs w:val="22"/>
                <w:lang w:val="es-CR"/>
              </w:rPr>
              <w:t>Publicación del Informe de Coyuntura del Sistema Costarricense de P</w:t>
            </w:r>
            <w:r w:rsidR="00610693" w:rsidRPr="00F85F08">
              <w:rPr>
                <w:rFonts w:ascii="Calibri Light" w:hAnsi="Calibri Light" w:cs="Calibri Light"/>
                <w:sz w:val="20"/>
                <w:szCs w:val="22"/>
                <w:lang w:val="es-CR"/>
              </w:rPr>
              <w:t xml:space="preserve">ensiones, </w:t>
            </w:r>
            <w:r w:rsidR="00610693" w:rsidRPr="00882DC0">
              <w:rPr>
                <w:rFonts w:ascii="Calibri Light" w:hAnsi="Calibri Light" w:cs="Calibri Light"/>
                <w:sz w:val="20"/>
                <w:szCs w:val="22"/>
                <w:lang w:val="es-CR"/>
              </w:rPr>
              <w:t>a diciembre 2017</w:t>
            </w:r>
            <w:r w:rsidRPr="00882DC0">
              <w:rPr>
                <w:rFonts w:ascii="Calibri Light" w:hAnsi="Calibri Light" w:cs="Calibri Light"/>
                <w:sz w:val="20"/>
                <w:szCs w:val="22"/>
                <w:lang w:val="es-CR"/>
              </w:rPr>
              <w:t xml:space="preserve"> y primer trimestre del 2018</w:t>
            </w:r>
            <w:r w:rsidR="00610693" w:rsidRPr="00882DC0">
              <w:rPr>
                <w:rFonts w:ascii="Calibri Light" w:hAnsi="Calibri Light" w:cs="Calibri Light"/>
                <w:sz w:val="20"/>
                <w:szCs w:val="22"/>
                <w:lang w:val="es-CR"/>
              </w:rPr>
              <w:t>.</w:t>
            </w:r>
          </w:p>
          <w:p w:rsidR="00610693" w:rsidRPr="00F85F08" w:rsidRDefault="00610693" w:rsidP="00F60302">
            <w:pPr>
              <w:pStyle w:val="Prrafodelista"/>
              <w:numPr>
                <w:ilvl w:val="0"/>
                <w:numId w:val="23"/>
              </w:numPr>
              <w:spacing w:line="276" w:lineRule="auto"/>
              <w:ind w:left="503"/>
              <w:rPr>
                <w:rFonts w:ascii="Calibri Light" w:hAnsi="Calibri Light" w:cs="Calibri Light"/>
                <w:sz w:val="20"/>
                <w:szCs w:val="22"/>
                <w:lang w:val="es-CR"/>
              </w:rPr>
            </w:pPr>
            <w:r w:rsidRPr="00F85F08">
              <w:rPr>
                <w:rFonts w:ascii="Calibri Light" w:hAnsi="Calibri Light" w:cs="Calibri Light"/>
                <w:sz w:val="20"/>
                <w:szCs w:val="22"/>
                <w:lang w:val="es-CR"/>
              </w:rPr>
              <w:t>Monitoreo de publicaciones en medios masivos.</w:t>
            </w:r>
          </w:p>
          <w:p w:rsidR="00610693" w:rsidRPr="00F85F08" w:rsidRDefault="00610693" w:rsidP="00F60302">
            <w:pPr>
              <w:pStyle w:val="Prrafodelista"/>
              <w:numPr>
                <w:ilvl w:val="0"/>
                <w:numId w:val="23"/>
              </w:numPr>
              <w:spacing w:line="276" w:lineRule="auto"/>
              <w:ind w:left="503"/>
              <w:rPr>
                <w:rFonts w:ascii="Calibri Light" w:hAnsi="Calibri Light" w:cs="Calibri Light"/>
                <w:sz w:val="20"/>
                <w:szCs w:val="22"/>
                <w:lang w:val="es-CR"/>
              </w:rPr>
            </w:pPr>
            <w:r w:rsidRPr="00F85F08">
              <w:rPr>
                <w:rFonts w:ascii="Calibri Light" w:hAnsi="Calibri Light" w:cs="Calibri Light"/>
                <w:sz w:val="20"/>
                <w:szCs w:val="22"/>
                <w:lang w:val="es-CR"/>
              </w:rPr>
              <w:t xml:space="preserve">Realización de cuatro charlas sobre pensiones en: Banco Central de Costa Rica, Dirección de Inteligencia y Seguridad Nacional, Universidad de Costa Rica y Municipalidad de San José. </w:t>
            </w:r>
          </w:p>
          <w:p w:rsidR="00610693" w:rsidRPr="00F85F08" w:rsidRDefault="00610693" w:rsidP="00F60302">
            <w:pPr>
              <w:pStyle w:val="Prrafodelista"/>
              <w:numPr>
                <w:ilvl w:val="0"/>
                <w:numId w:val="23"/>
              </w:numPr>
              <w:spacing w:line="276" w:lineRule="auto"/>
              <w:ind w:left="503"/>
              <w:rPr>
                <w:rFonts w:ascii="Calibri Light" w:hAnsi="Calibri Light" w:cs="Calibri Light"/>
                <w:sz w:val="20"/>
                <w:szCs w:val="22"/>
                <w:lang w:val="es-CR"/>
              </w:rPr>
            </w:pPr>
            <w:r w:rsidRPr="00F85F08">
              <w:rPr>
                <w:rFonts w:ascii="Calibri Light" w:hAnsi="Calibri Light" w:cs="Calibri Light"/>
                <w:sz w:val="20"/>
                <w:szCs w:val="22"/>
                <w:lang w:val="es-CR"/>
              </w:rPr>
              <w:t>Campañas en redes sociales. Asimismo, se enviaron correos con información sobre el Fondo de Capitalización Laboral y el Régimen Obligatorio de Pensiones (en confirmación de charlas a empresas).</w:t>
            </w:r>
          </w:p>
          <w:p w:rsidR="00610693" w:rsidRPr="00F85F08" w:rsidRDefault="00610693" w:rsidP="00F60302">
            <w:pPr>
              <w:pStyle w:val="Prrafodelista"/>
              <w:numPr>
                <w:ilvl w:val="0"/>
                <w:numId w:val="23"/>
              </w:numPr>
              <w:spacing w:line="276" w:lineRule="auto"/>
              <w:ind w:left="503"/>
              <w:jc w:val="left"/>
              <w:rPr>
                <w:rFonts w:ascii="Calibri Light" w:hAnsi="Calibri Light" w:cs="Calibri Light"/>
                <w:color w:val="000000" w:themeColor="text1"/>
                <w:sz w:val="20"/>
                <w:szCs w:val="22"/>
                <w:lang w:val="es-CR"/>
              </w:rPr>
            </w:pPr>
            <w:r w:rsidRPr="00F85F08">
              <w:rPr>
                <w:rFonts w:ascii="Calibri Light" w:hAnsi="Calibri Light" w:cs="Calibri Light"/>
                <w:sz w:val="20"/>
                <w:szCs w:val="22"/>
                <w:lang w:val="es-CR"/>
              </w:rPr>
              <w:t xml:space="preserve">Atención de consultas sobre pensiones, mediante un chat en línea. </w:t>
            </w:r>
          </w:p>
          <w:p w:rsidR="00610693" w:rsidRPr="00F85F08" w:rsidRDefault="00610693" w:rsidP="00A72EB6">
            <w:pPr>
              <w:spacing w:line="276" w:lineRule="auto"/>
              <w:rPr>
                <w:rFonts w:ascii="Calibri Light" w:hAnsi="Calibri Light" w:cs="Calibri Light"/>
                <w:b/>
                <w:color w:val="000000" w:themeColor="text1"/>
                <w:sz w:val="20"/>
                <w:szCs w:val="22"/>
                <w:lang w:val="es-CR"/>
              </w:rPr>
            </w:pPr>
          </w:p>
          <w:p w:rsidR="00610693" w:rsidRPr="00F85F08" w:rsidRDefault="00610693" w:rsidP="00A72EB6">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2: Atención de quejas debido al servicio brindado por el personal de SUPEN </w:t>
            </w: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Durante el primer semestre de 2018 se presentaron cinco quejas, el 80% de las mismas se relacionan con la página web de SUPEN, según se presenta en el siguiente detalle: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F60302">
            <w:pPr>
              <w:pStyle w:val="Prrafodelista"/>
              <w:numPr>
                <w:ilvl w:val="0"/>
                <w:numId w:val="24"/>
              </w:numPr>
              <w:spacing w:line="276" w:lineRule="auto"/>
              <w:ind w:left="503"/>
              <w:rPr>
                <w:rFonts w:ascii="Calibri Light" w:hAnsi="Calibri Light" w:cs="Calibri Light"/>
                <w:color w:val="000000" w:themeColor="text1"/>
                <w:sz w:val="20"/>
                <w:szCs w:val="22"/>
                <w:lang w:val="es-CR"/>
              </w:rPr>
            </w:pPr>
            <w:r w:rsidRPr="00F85F08">
              <w:rPr>
                <w:rFonts w:ascii="Calibri Light" w:hAnsi="Calibri Light" w:cs="Calibri Light"/>
                <w:b/>
                <w:color w:val="000000" w:themeColor="text1"/>
                <w:sz w:val="20"/>
                <w:szCs w:val="22"/>
                <w:lang w:val="es-CR"/>
              </w:rPr>
              <w:t>2018-001</w:t>
            </w:r>
            <w:r w:rsidRPr="00F85F08">
              <w:rPr>
                <w:rFonts w:ascii="Calibri Light" w:hAnsi="Calibri Light" w:cs="Calibri Light"/>
                <w:color w:val="000000" w:themeColor="text1"/>
                <w:sz w:val="20"/>
                <w:szCs w:val="22"/>
                <w:lang w:val="es-CR"/>
              </w:rPr>
              <w:t xml:space="preserve"> Acceso al reporte de fondos voluntarios, en la web. Atendida con un día de plazo.   </w:t>
            </w:r>
          </w:p>
          <w:p w:rsidR="00610693" w:rsidRPr="00F85F08" w:rsidRDefault="00610693" w:rsidP="00F60302">
            <w:pPr>
              <w:pStyle w:val="Prrafodelista"/>
              <w:numPr>
                <w:ilvl w:val="0"/>
                <w:numId w:val="24"/>
              </w:numPr>
              <w:spacing w:line="276" w:lineRule="auto"/>
              <w:ind w:left="503"/>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2018-002 </w:t>
            </w:r>
            <w:r w:rsidRPr="00F85F08">
              <w:rPr>
                <w:rFonts w:ascii="Calibri Light" w:hAnsi="Calibri Light" w:cs="Calibri Light"/>
                <w:color w:val="000000" w:themeColor="text1"/>
                <w:sz w:val="20"/>
                <w:szCs w:val="22"/>
                <w:lang w:val="es-CR"/>
              </w:rPr>
              <w:t xml:space="preserve">Problema para bajar información de la web. Atendida el mismo día. </w:t>
            </w:r>
          </w:p>
          <w:p w:rsidR="00610693" w:rsidRPr="00F85F08" w:rsidRDefault="00610693" w:rsidP="00F60302">
            <w:pPr>
              <w:pStyle w:val="Prrafodelista"/>
              <w:numPr>
                <w:ilvl w:val="0"/>
                <w:numId w:val="24"/>
              </w:numPr>
              <w:spacing w:line="276" w:lineRule="auto"/>
              <w:ind w:left="503"/>
              <w:rPr>
                <w:rFonts w:ascii="Calibri Light" w:hAnsi="Calibri Light" w:cs="Calibri Light"/>
                <w:color w:val="000000" w:themeColor="text1"/>
                <w:sz w:val="20"/>
                <w:szCs w:val="22"/>
                <w:lang w:val="es-CR"/>
              </w:rPr>
            </w:pPr>
            <w:r w:rsidRPr="00F85F08">
              <w:rPr>
                <w:rFonts w:ascii="Calibri Light" w:hAnsi="Calibri Light" w:cs="Calibri Light"/>
                <w:b/>
                <w:color w:val="000000" w:themeColor="text1"/>
                <w:sz w:val="20"/>
                <w:szCs w:val="22"/>
                <w:lang w:val="es-CR"/>
              </w:rPr>
              <w:t>2018-003</w:t>
            </w:r>
            <w:r w:rsidRPr="00F85F08">
              <w:rPr>
                <w:rFonts w:ascii="Calibri Light" w:hAnsi="Calibri Light" w:cs="Calibri Light"/>
                <w:color w:val="000000" w:themeColor="text1"/>
                <w:sz w:val="20"/>
                <w:szCs w:val="22"/>
                <w:lang w:val="es-CR"/>
              </w:rPr>
              <w:t xml:space="preserve"> Acceso a las tablas de vida, en la web. Atendida el mismo día.  </w:t>
            </w:r>
          </w:p>
          <w:p w:rsidR="00610693" w:rsidRPr="00F85F08" w:rsidRDefault="00610693" w:rsidP="00F60302">
            <w:pPr>
              <w:pStyle w:val="Prrafodelista"/>
              <w:numPr>
                <w:ilvl w:val="0"/>
                <w:numId w:val="24"/>
              </w:numPr>
              <w:spacing w:line="276" w:lineRule="auto"/>
              <w:ind w:left="503"/>
              <w:rPr>
                <w:rFonts w:ascii="Calibri Light" w:hAnsi="Calibri Light" w:cs="Calibri Light"/>
                <w:color w:val="000000" w:themeColor="text1"/>
                <w:sz w:val="20"/>
                <w:szCs w:val="22"/>
                <w:lang w:val="es-CR"/>
              </w:rPr>
            </w:pPr>
            <w:r w:rsidRPr="00F85F08">
              <w:rPr>
                <w:rFonts w:ascii="Calibri Light" w:hAnsi="Calibri Light" w:cs="Calibri Light"/>
                <w:b/>
                <w:color w:val="000000" w:themeColor="text1"/>
                <w:sz w:val="20"/>
                <w:szCs w:val="22"/>
                <w:lang w:val="es-CR"/>
              </w:rPr>
              <w:t>2018-004</w:t>
            </w:r>
            <w:r w:rsidRPr="00F85F08">
              <w:rPr>
                <w:rFonts w:ascii="Calibri Light" w:hAnsi="Calibri Light" w:cs="Calibri Light"/>
                <w:color w:val="000000" w:themeColor="text1"/>
                <w:sz w:val="20"/>
                <w:szCs w:val="22"/>
                <w:lang w:val="es-CR"/>
              </w:rPr>
              <w:t xml:space="preserve"> Atraso en la atención de una consulta. Atendida con dos días de plazo.</w:t>
            </w:r>
          </w:p>
          <w:p w:rsidR="00610693" w:rsidRPr="00F85F08" w:rsidRDefault="00610693" w:rsidP="00F60302">
            <w:pPr>
              <w:pStyle w:val="Prrafodelista"/>
              <w:numPr>
                <w:ilvl w:val="0"/>
                <w:numId w:val="24"/>
              </w:numPr>
              <w:spacing w:line="276" w:lineRule="auto"/>
              <w:ind w:left="503"/>
              <w:rPr>
                <w:rFonts w:ascii="Calibri Light" w:hAnsi="Calibri Light" w:cs="Calibri Light"/>
                <w:color w:val="000000" w:themeColor="text1"/>
                <w:sz w:val="20"/>
                <w:szCs w:val="22"/>
                <w:lang w:val="es-CR"/>
              </w:rPr>
            </w:pPr>
            <w:r w:rsidRPr="00F85F08">
              <w:rPr>
                <w:rFonts w:ascii="Calibri Light" w:hAnsi="Calibri Light" w:cs="Calibri Light"/>
                <w:b/>
                <w:color w:val="000000" w:themeColor="text1"/>
                <w:sz w:val="20"/>
                <w:szCs w:val="22"/>
                <w:lang w:val="es-CR"/>
              </w:rPr>
              <w:t>2018-005</w:t>
            </w:r>
            <w:r w:rsidRPr="00F85F08">
              <w:rPr>
                <w:rFonts w:ascii="Calibri Light" w:hAnsi="Calibri Light" w:cs="Calibri Light"/>
                <w:color w:val="000000" w:themeColor="text1"/>
                <w:sz w:val="20"/>
                <w:szCs w:val="22"/>
                <w:lang w:val="es-CR"/>
              </w:rPr>
              <w:t xml:space="preserve"> Estadísticas de setiembre de 2017, en</w:t>
            </w:r>
            <w:r w:rsidR="00B55351" w:rsidRPr="00F85F08">
              <w:rPr>
                <w:rFonts w:ascii="Calibri Light" w:hAnsi="Calibri Light" w:cs="Calibri Light"/>
                <w:color w:val="000000" w:themeColor="text1"/>
                <w:sz w:val="20"/>
                <w:szCs w:val="22"/>
                <w:lang w:val="es-CR"/>
              </w:rPr>
              <w:t xml:space="preserve"> la web. Atendida el mismo día.</w:t>
            </w:r>
          </w:p>
          <w:p w:rsidR="00610693" w:rsidRPr="00F85F08" w:rsidRDefault="00610693" w:rsidP="00A72EB6">
            <w:pPr>
              <w:rPr>
                <w:rFonts w:ascii="Calibri Light" w:hAnsi="Calibri Light" w:cs="Calibri Light"/>
                <w:color w:val="000000" w:themeColor="text1"/>
                <w:sz w:val="20"/>
                <w:szCs w:val="22"/>
                <w:lang w:val="es-CR"/>
              </w:rPr>
            </w:pPr>
          </w:p>
          <w:p w:rsidR="00610693" w:rsidRPr="00F85F08" w:rsidRDefault="00610693" w:rsidP="00A72EB6">
            <w:pPr>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En cuanto al plazo de atención, todos los trámites se solucionaron en el tiempo previsto, que es de máximo 4 días hábiles, por lo que en este indicador se obtiene una calificación de 100%. </w:t>
            </w:r>
          </w:p>
          <w:p w:rsidR="00610693" w:rsidRPr="00F85F08" w:rsidRDefault="00610693" w:rsidP="00A72EB6">
            <w:pPr>
              <w:jc w:val="left"/>
              <w:rPr>
                <w:rFonts w:ascii="Calibri Light" w:hAnsi="Calibri Light" w:cs="Calibri Light"/>
                <w:color w:val="000000" w:themeColor="text1"/>
                <w:sz w:val="20"/>
                <w:szCs w:val="22"/>
                <w:lang w:val="es-CR"/>
              </w:rPr>
            </w:pPr>
          </w:p>
          <w:p w:rsidR="00610693" w:rsidRPr="00F85F08" w:rsidRDefault="00610693" w:rsidP="00A72EB6">
            <w:pPr>
              <w:jc w:val="left"/>
              <w:rPr>
                <w:rFonts w:ascii="Calibri Light" w:hAnsi="Calibri Light" w:cs="Calibri Light"/>
                <w:color w:val="000000" w:themeColor="text1"/>
                <w:sz w:val="20"/>
                <w:lang w:val="es-CR"/>
              </w:rPr>
            </w:pPr>
            <w:r w:rsidRPr="00F85F08">
              <w:rPr>
                <w:rFonts w:ascii="Calibri Light" w:hAnsi="Calibri Light" w:cs="Calibri Light"/>
                <w:color w:val="000000" w:themeColor="text1"/>
                <w:sz w:val="20"/>
                <w:szCs w:val="22"/>
                <w:lang w:val="es-CR"/>
              </w:rPr>
              <w:t xml:space="preserve">El resultado promedio para la meta es de 100%. </w:t>
            </w:r>
          </w:p>
        </w:tc>
      </w:tr>
      <w:tr w:rsidR="00610693" w:rsidRPr="004E1A4C" w:rsidTr="00A72EB6">
        <w:tblPrEx>
          <w:tblCellMar>
            <w:left w:w="70" w:type="dxa"/>
            <w:right w:w="70" w:type="dxa"/>
          </w:tblCellMar>
        </w:tblPrEx>
        <w:trPr>
          <w:trHeight w:val="861"/>
        </w:trPr>
        <w:tc>
          <w:tcPr>
            <w:tcW w:w="2104" w:type="dxa"/>
            <w:vAlign w:val="center"/>
          </w:tcPr>
          <w:p w:rsidR="00610693" w:rsidRPr="00F85F08" w:rsidRDefault="00610693" w:rsidP="00A72EB6">
            <w:pPr>
              <w:spacing w:line="276" w:lineRule="auto"/>
              <w:jc w:val="left"/>
              <w:rPr>
                <w:rFonts w:ascii="Calibri Light" w:hAnsi="Calibri Light" w:cs="Calibri Light"/>
                <w:b/>
                <w:color w:val="000000" w:themeColor="text1"/>
                <w:lang w:val="es-CR"/>
              </w:rPr>
            </w:pPr>
            <w:r w:rsidRPr="00F85F08">
              <w:rPr>
                <w:rFonts w:ascii="Calibri Light" w:hAnsi="Calibri Light" w:cs="Calibri Light"/>
                <w:b/>
                <w:color w:val="000000" w:themeColor="text1"/>
                <w:lang w:val="es-CR"/>
              </w:rPr>
              <w:t xml:space="preserve">Atender el 100% de los requerimientos en gestión de recursos.  </w:t>
            </w:r>
          </w:p>
        </w:tc>
        <w:tc>
          <w:tcPr>
            <w:tcW w:w="6945" w:type="dxa"/>
          </w:tcPr>
          <w:p w:rsidR="00EC11A2" w:rsidRPr="00F85F08" w:rsidRDefault="00EC11A2" w:rsidP="00A72EB6">
            <w:pPr>
              <w:spacing w:line="276" w:lineRule="auto"/>
              <w:rPr>
                <w:rFonts w:ascii="Calibri Light" w:hAnsi="Calibri Light" w:cs="Calibri Light"/>
                <w:b/>
                <w:color w:val="000000" w:themeColor="text1"/>
                <w:sz w:val="20"/>
                <w:szCs w:val="22"/>
                <w:lang w:val="es-CR"/>
              </w:rPr>
            </w:pPr>
            <w:bookmarkStart w:id="39" w:name="_Hlk503788421"/>
          </w:p>
          <w:p w:rsidR="00610693" w:rsidRPr="00F85F08" w:rsidRDefault="00610693" w:rsidP="00A72EB6">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1: Índice de desempeño en costos-capacitación </w:t>
            </w:r>
          </w:p>
          <w:p w:rsidR="00610693" w:rsidRPr="00F85F08" w:rsidRDefault="00610693" w:rsidP="00A72EB6">
            <w:pPr>
              <w:spacing w:line="276" w:lineRule="auto"/>
              <w:rPr>
                <w:rFonts w:ascii="Calibri Light" w:hAnsi="Calibri Light" w:cs="Calibri Light"/>
                <w:b/>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Como meta se ha establecido que el resultado del </w:t>
            </w:r>
            <w:r w:rsidRPr="00F85F08">
              <w:rPr>
                <w:rFonts w:ascii="Calibri Light" w:hAnsi="Calibri Light" w:cs="Calibri Light"/>
                <w:i/>
                <w:color w:val="000000" w:themeColor="text1"/>
                <w:sz w:val="20"/>
                <w:szCs w:val="22"/>
                <w:lang w:val="es-CR"/>
              </w:rPr>
              <w:t xml:space="preserve">Índice de desempeño en costos de capacitación </w:t>
            </w:r>
            <w:r w:rsidRPr="00F85F08">
              <w:rPr>
                <w:rFonts w:ascii="Calibri Light" w:hAnsi="Calibri Light" w:cs="Calibri Light"/>
                <w:color w:val="000000" w:themeColor="text1"/>
                <w:sz w:val="20"/>
                <w:szCs w:val="22"/>
                <w:lang w:val="es-CR"/>
              </w:rPr>
              <w:t xml:space="preserve">sea igual o superior a 0.85. Un valor por encima de éste sugiere que la ejecución del presupuesto en capacitación es proporcionalmente razonable, por ende, un valor por debajo le da a la organización una alerta temprana; para que inicie un proceso de revisión.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En el siguiente cuadro se observa el resultado para el primer y segundo trimestre, del </w:t>
            </w:r>
            <w:r w:rsidR="00B55351" w:rsidRPr="00F85F08">
              <w:rPr>
                <w:rFonts w:ascii="Calibri Light" w:hAnsi="Calibri Light" w:cs="Calibri Light"/>
                <w:color w:val="000000" w:themeColor="text1"/>
                <w:sz w:val="20"/>
                <w:szCs w:val="22"/>
                <w:lang w:val="es-CR"/>
              </w:rPr>
              <w:t>2018:</w:t>
            </w:r>
          </w:p>
          <w:p w:rsidR="00610693" w:rsidRPr="00F85F08" w:rsidRDefault="00610693" w:rsidP="00A72EB6">
            <w:pPr>
              <w:spacing w:line="276" w:lineRule="auto"/>
              <w:ind w:left="79" w:hanging="79"/>
              <w:rPr>
                <w:rFonts w:ascii="Calibri Light" w:hAnsi="Calibri Light" w:cs="Calibri Light"/>
                <w:sz w:val="20"/>
                <w:szCs w:val="22"/>
                <w:highlight w:val="cyan"/>
              </w:rPr>
            </w:pPr>
          </w:p>
          <w:p w:rsidR="00610693" w:rsidRPr="00F85F08" w:rsidRDefault="00610693" w:rsidP="00A72EB6">
            <w:pPr>
              <w:spacing w:line="276" w:lineRule="auto"/>
              <w:ind w:left="79" w:hanging="79"/>
              <w:rPr>
                <w:rFonts w:ascii="Calibri Light" w:hAnsi="Calibri Light" w:cs="Calibri Light"/>
                <w:sz w:val="20"/>
                <w:szCs w:val="22"/>
              </w:rPr>
            </w:pPr>
            <w:r w:rsidRPr="00F85F08">
              <w:rPr>
                <w:rFonts w:ascii="Calibri Light" w:hAnsi="Calibri Light" w:cs="Calibri Light"/>
                <w:sz w:val="20"/>
                <w:szCs w:val="22"/>
              </w:rPr>
              <w:t>Cuadro 1</w:t>
            </w:r>
            <w:r w:rsidR="00E46832" w:rsidRPr="00F85F08">
              <w:rPr>
                <w:rFonts w:ascii="Calibri Light" w:hAnsi="Calibri Light" w:cs="Calibri Light"/>
                <w:sz w:val="20"/>
                <w:szCs w:val="22"/>
              </w:rPr>
              <w:t>3</w:t>
            </w:r>
          </w:p>
          <w:p w:rsidR="00610693" w:rsidRPr="00F85F08" w:rsidRDefault="00610693" w:rsidP="00A72EB6">
            <w:pPr>
              <w:spacing w:line="276" w:lineRule="auto"/>
              <w:rPr>
                <w:rFonts w:ascii="Calibri Light" w:hAnsi="Calibri Light" w:cs="Calibri Light"/>
                <w:color w:val="000000" w:themeColor="text1"/>
                <w:sz w:val="20"/>
                <w:lang w:val="es-CR"/>
              </w:rPr>
            </w:pPr>
            <w:r w:rsidRPr="00F85F08">
              <w:rPr>
                <w:rFonts w:ascii="Calibri Light" w:hAnsi="Calibri Light" w:cs="Calibri Light"/>
                <w:noProof/>
                <w:sz w:val="20"/>
              </w:rPr>
              <w:drawing>
                <wp:inline distT="0" distB="0" distL="0" distR="0" wp14:anchorId="75FC1240" wp14:editId="4DE09528">
                  <wp:extent cx="4206875" cy="2064800"/>
                  <wp:effectExtent l="0" t="0" r="317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58363" cy="2090071"/>
                          </a:xfrm>
                          <a:prstGeom prst="rect">
                            <a:avLst/>
                          </a:prstGeom>
                        </pic:spPr>
                      </pic:pic>
                    </a:graphicData>
                  </a:graphic>
                </wp:inline>
              </w:drawing>
            </w:r>
          </w:p>
          <w:p w:rsidR="00610693" w:rsidRPr="00F85F08" w:rsidRDefault="00610693" w:rsidP="00A72EB6">
            <w:pPr>
              <w:spacing w:line="276" w:lineRule="auto"/>
              <w:rPr>
                <w:rFonts w:ascii="Calibri Light" w:hAnsi="Calibri Light" w:cs="Calibri Light"/>
                <w:color w:val="000000" w:themeColor="text1"/>
                <w:sz w:val="20"/>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El resultado para los trimestres presentados es positivo. En el primer trimestre, se obtiene un valor más cercano al índice meta, que es de 1. Por su parte, en el segundo trimestre, el resultado fue superior, debido a la cantidad de cursos sin costo que se llevaron a cabo durante el período.</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En el siguiente cuadro se detalla la ejecución del plan de capacitación, con datos acumulados al 30 de junio del 2018:</w:t>
            </w:r>
          </w:p>
          <w:p w:rsidR="00610693" w:rsidRPr="00F85F08" w:rsidRDefault="00610693" w:rsidP="00A72EB6">
            <w:pPr>
              <w:spacing w:line="276" w:lineRule="auto"/>
              <w:rPr>
                <w:rFonts w:ascii="Calibri Light" w:hAnsi="Calibri Light" w:cs="Calibri Light"/>
                <w:color w:val="000000" w:themeColor="text1"/>
                <w:sz w:val="20"/>
                <w:highlight w:val="yellow"/>
                <w:lang w:val="es-CR"/>
              </w:rPr>
            </w:pPr>
          </w:p>
          <w:p w:rsidR="00610693" w:rsidRPr="00F85F08" w:rsidRDefault="00610693" w:rsidP="00A72EB6">
            <w:pPr>
              <w:spacing w:line="276" w:lineRule="auto"/>
              <w:ind w:left="79" w:hanging="79"/>
              <w:rPr>
                <w:rFonts w:ascii="Calibri Light" w:hAnsi="Calibri Light" w:cs="Calibri Light"/>
                <w:sz w:val="20"/>
              </w:rPr>
            </w:pPr>
            <w:r w:rsidRPr="00F85F08">
              <w:rPr>
                <w:rFonts w:ascii="Calibri Light" w:hAnsi="Calibri Light" w:cs="Calibri Light"/>
                <w:sz w:val="20"/>
              </w:rPr>
              <w:t xml:space="preserve">Cuadro </w:t>
            </w:r>
            <w:r w:rsidR="00E46832" w:rsidRPr="00F85F08">
              <w:rPr>
                <w:rFonts w:ascii="Calibri Light" w:hAnsi="Calibri Light" w:cs="Calibri Light"/>
                <w:sz w:val="20"/>
              </w:rPr>
              <w:t>14</w:t>
            </w:r>
          </w:p>
          <w:p w:rsidR="00610693" w:rsidRPr="00F85F08" w:rsidRDefault="00610693" w:rsidP="00A72EB6">
            <w:pPr>
              <w:spacing w:line="276" w:lineRule="auto"/>
              <w:rPr>
                <w:rFonts w:ascii="Calibri Light" w:hAnsi="Calibri Light" w:cs="Calibri Light"/>
                <w:color w:val="000000" w:themeColor="text1"/>
                <w:sz w:val="20"/>
                <w:lang w:val="es-CR"/>
              </w:rPr>
            </w:pPr>
            <w:r w:rsidRPr="00F85F08">
              <w:rPr>
                <w:rFonts w:ascii="Calibri Light" w:hAnsi="Calibri Light" w:cs="Calibri Light"/>
                <w:noProof/>
                <w:sz w:val="20"/>
              </w:rPr>
              <w:drawing>
                <wp:inline distT="0" distB="0" distL="0" distR="0" wp14:anchorId="769814D2" wp14:editId="77B5ABC9">
                  <wp:extent cx="4207046" cy="2122998"/>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235008" cy="2137108"/>
                          </a:xfrm>
                          <a:prstGeom prst="rect">
                            <a:avLst/>
                          </a:prstGeom>
                        </pic:spPr>
                      </pic:pic>
                    </a:graphicData>
                  </a:graphic>
                </wp:inline>
              </w:drawing>
            </w: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Se considera que la ejecución del plan fue positiva, y los recursos económicos destinados a este tema se encuentran dentro de las bandas de normalidad. </w:t>
            </w:r>
            <w:bookmarkEnd w:id="39"/>
          </w:p>
          <w:p w:rsidR="00610693" w:rsidRPr="00F85F08" w:rsidRDefault="00610693" w:rsidP="00A72EB6">
            <w:pPr>
              <w:spacing w:line="276" w:lineRule="auto"/>
              <w:rPr>
                <w:rFonts w:ascii="Calibri Light" w:hAnsi="Calibri Light" w:cs="Calibri Light"/>
                <w:color w:val="000000" w:themeColor="text1"/>
                <w:sz w:val="20"/>
                <w:lang w:val="es-CR"/>
              </w:rPr>
            </w:pPr>
          </w:p>
          <w:p w:rsidR="00610693" w:rsidRPr="00F85F08" w:rsidRDefault="00610693" w:rsidP="00A72EB6">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2: Calificación del cliente interno </w:t>
            </w:r>
          </w:p>
          <w:p w:rsidR="00610693" w:rsidRPr="00F85F08" w:rsidRDefault="00610693" w:rsidP="00A72EB6">
            <w:pPr>
              <w:spacing w:line="276" w:lineRule="auto"/>
              <w:rPr>
                <w:rFonts w:ascii="Calibri Light" w:hAnsi="Calibri Light" w:cs="Calibri Light"/>
                <w:b/>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El indicador de </w:t>
            </w:r>
            <w:r w:rsidRPr="00F85F08">
              <w:rPr>
                <w:rFonts w:ascii="Calibri Light" w:hAnsi="Calibri Light" w:cs="Calibri Light"/>
                <w:i/>
                <w:color w:val="000000" w:themeColor="text1"/>
                <w:sz w:val="20"/>
                <w:szCs w:val="22"/>
                <w:lang w:val="es-CR"/>
              </w:rPr>
              <w:t>calificación del cliente interno</w:t>
            </w:r>
            <w:r w:rsidRPr="00F85F08">
              <w:rPr>
                <w:rFonts w:ascii="Calibri Light" w:hAnsi="Calibri Light" w:cs="Calibri Light"/>
                <w:color w:val="000000" w:themeColor="text1"/>
                <w:sz w:val="20"/>
                <w:szCs w:val="22"/>
                <w:lang w:val="es-CR"/>
              </w:rPr>
              <w:t xml:space="preserve"> se calcula tomando en cuenta la atención de los acuerdos que surgen de las sesiones de retroalimentación entre los procesos y los aportes que los colaboradores plantean mediante el buzón interno.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Durante el primer semestre, no se realizaron </w:t>
            </w:r>
            <w:r w:rsidRPr="00F85F08">
              <w:rPr>
                <w:rFonts w:ascii="Calibri Light" w:hAnsi="Calibri Light" w:cs="Calibri Light"/>
                <w:b/>
                <w:color w:val="000000" w:themeColor="text1"/>
                <w:sz w:val="20"/>
                <w:szCs w:val="22"/>
                <w:lang w:val="es-CR"/>
              </w:rPr>
              <w:t>Sesiones de realimentación entre procesos</w:t>
            </w:r>
            <w:r w:rsidRPr="00F85F08">
              <w:rPr>
                <w:rFonts w:ascii="Calibri Light" w:hAnsi="Calibri Light" w:cs="Calibri Light"/>
                <w:color w:val="000000" w:themeColor="text1"/>
                <w:sz w:val="20"/>
                <w:szCs w:val="22"/>
                <w:lang w:val="es-CR"/>
              </w:rPr>
              <w:t xml:space="preserve">, por lo que la medición del indicador, en lo que concierne a este tema, no aplica para el período en estudio.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before="15" w:after="15" w:line="276" w:lineRule="auto"/>
              <w:ind w:right="15"/>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En lo que respecta al </w:t>
            </w:r>
            <w:r w:rsidRPr="00F85F08">
              <w:rPr>
                <w:rFonts w:ascii="Calibri Light" w:hAnsi="Calibri Light" w:cs="Calibri Light"/>
                <w:b/>
                <w:color w:val="000000" w:themeColor="text1"/>
                <w:sz w:val="20"/>
                <w:szCs w:val="22"/>
                <w:lang w:val="es-CR"/>
              </w:rPr>
              <w:t>Buzón interno</w:t>
            </w:r>
            <w:r w:rsidRPr="00F85F08">
              <w:rPr>
                <w:rFonts w:ascii="Calibri Light" w:hAnsi="Calibri Light" w:cs="Calibri Light"/>
                <w:color w:val="000000" w:themeColor="text1"/>
                <w:sz w:val="20"/>
                <w:szCs w:val="22"/>
                <w:lang w:val="es-CR"/>
              </w:rPr>
              <w:t>, en el primer trimestre se registraron y fueron atendidos tres aportes, ligados a un mismo tema (flexibilización de la jornada laboral).  Las sugerencias fueron presentadas y analizadas en el Comité Ejecutivo. Como parte del acuerdo, se realizó una comparación con respecto a las otras ODMs y posteriormente se tomó la decisión de que fueran los encargados de proceso quienes valoraran la posibilidad de aprobar cambios de horario, siempre y</w:t>
            </w:r>
            <w:r w:rsidR="001736A9">
              <w:rPr>
                <w:rFonts w:ascii="Calibri Light" w:hAnsi="Calibri Light" w:cs="Calibri Light"/>
                <w:color w:val="000000" w:themeColor="text1"/>
                <w:sz w:val="20"/>
                <w:szCs w:val="22"/>
                <w:lang w:val="es-CR"/>
              </w:rPr>
              <w:t xml:space="preserve"> cuando no</w:t>
            </w:r>
            <w:r w:rsidR="002C21DC">
              <w:rPr>
                <w:rFonts w:ascii="Calibri Light" w:hAnsi="Calibri Light" w:cs="Calibri Light"/>
                <w:color w:val="000000" w:themeColor="text1"/>
                <w:sz w:val="20"/>
                <w:szCs w:val="22"/>
                <w:lang w:val="es-CR"/>
              </w:rPr>
              <w:t xml:space="preserve"> se</w:t>
            </w:r>
            <w:r w:rsidR="001736A9">
              <w:rPr>
                <w:rFonts w:ascii="Calibri Light" w:hAnsi="Calibri Light" w:cs="Calibri Light"/>
                <w:color w:val="000000" w:themeColor="text1"/>
                <w:sz w:val="20"/>
                <w:szCs w:val="22"/>
                <w:lang w:val="es-CR"/>
              </w:rPr>
              <w:t xml:space="preserve"> afectara </w:t>
            </w:r>
            <w:r w:rsidRPr="00F85F08">
              <w:rPr>
                <w:rFonts w:ascii="Calibri Light" w:hAnsi="Calibri Light" w:cs="Calibri Light"/>
                <w:color w:val="000000" w:themeColor="text1"/>
                <w:sz w:val="20"/>
                <w:szCs w:val="22"/>
                <w:lang w:val="es-CR"/>
              </w:rPr>
              <w:t>la ejecución de las labores.</w:t>
            </w:r>
          </w:p>
          <w:p w:rsidR="001A18F5" w:rsidRDefault="001A18F5"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Por otra parte, se modificó la </w:t>
            </w:r>
            <w:r w:rsidR="002C21DC">
              <w:rPr>
                <w:rFonts w:ascii="Calibri Light" w:hAnsi="Calibri Light" w:cs="Calibri Light"/>
                <w:b/>
                <w:color w:val="000000" w:themeColor="text1"/>
                <w:sz w:val="20"/>
                <w:szCs w:val="22"/>
                <w:lang w:val="es-CR"/>
              </w:rPr>
              <w:t>PG SUPEN 04 Política de A</w:t>
            </w:r>
            <w:r w:rsidRPr="00F85F08">
              <w:rPr>
                <w:rFonts w:ascii="Calibri Light" w:hAnsi="Calibri Light" w:cs="Calibri Light"/>
                <w:b/>
                <w:color w:val="000000" w:themeColor="text1"/>
                <w:sz w:val="20"/>
                <w:szCs w:val="22"/>
                <w:lang w:val="es-CR"/>
              </w:rPr>
              <w:t>sistencia</w:t>
            </w:r>
            <w:r w:rsidRPr="00F85F08">
              <w:rPr>
                <w:rFonts w:ascii="Calibri Light" w:hAnsi="Calibri Light" w:cs="Calibri Light"/>
                <w:color w:val="000000" w:themeColor="text1"/>
                <w:sz w:val="20"/>
                <w:szCs w:val="22"/>
                <w:lang w:val="es-CR"/>
              </w:rPr>
              <w:t>, apartado cuarto, a efecto de establecer que los colaboradores con horario especial no podrán retirarse de la oficina si se encuentran participando en reuniones, capacitaciones o actividades oficiales.</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noProof/>
                <w:color w:val="000000" w:themeColor="text1"/>
                <w:sz w:val="20"/>
                <w:szCs w:val="22"/>
                <w:lang w:val="es-CR"/>
              </w:rPr>
            </w:pPr>
            <w:r w:rsidRPr="00F85F08">
              <w:rPr>
                <w:rFonts w:ascii="Calibri Light" w:hAnsi="Calibri Light" w:cs="Calibri Light"/>
                <w:color w:val="000000" w:themeColor="text1"/>
                <w:sz w:val="20"/>
                <w:szCs w:val="22"/>
                <w:lang w:val="es-CR"/>
              </w:rPr>
              <w:t xml:space="preserve">En línea con lo anterior, en el período citado, se cumplió con la atención de los aportes recibidos en el buzón interno, con una efectividad de 100%.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En lo que concierne al segundo trimestre del año, no se recibieron sugerencias en el buzón interno, por lo que el indicador no aplica en este tiempo.</w:t>
            </w:r>
          </w:p>
          <w:p w:rsidR="00847ED8" w:rsidRPr="00F85F08" w:rsidRDefault="00847ED8" w:rsidP="00A72EB6">
            <w:pPr>
              <w:spacing w:line="276" w:lineRule="auto"/>
              <w:rPr>
                <w:rFonts w:ascii="Calibri Light" w:hAnsi="Calibri Light" w:cs="Calibri Light"/>
                <w:color w:val="000000" w:themeColor="text1"/>
                <w:sz w:val="20"/>
                <w:szCs w:val="22"/>
                <w:lang w:val="es-CR"/>
              </w:rPr>
            </w:pPr>
          </w:p>
          <w:p w:rsidR="00610693" w:rsidRDefault="00610693" w:rsidP="00F60302">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El resultado promedio para la meta es de 100%.</w:t>
            </w:r>
          </w:p>
          <w:p w:rsidR="001736A9" w:rsidRPr="00F85F08" w:rsidRDefault="001736A9" w:rsidP="00F60302">
            <w:pPr>
              <w:spacing w:line="276" w:lineRule="auto"/>
              <w:rPr>
                <w:rFonts w:ascii="Calibri Light" w:hAnsi="Calibri Light" w:cs="Calibri Light"/>
                <w:color w:val="000000" w:themeColor="text1"/>
                <w:sz w:val="20"/>
                <w:szCs w:val="22"/>
                <w:lang w:val="es-CR"/>
              </w:rPr>
            </w:pPr>
          </w:p>
        </w:tc>
      </w:tr>
      <w:tr w:rsidR="00610693" w:rsidRPr="005204D2" w:rsidTr="00A72EB6">
        <w:trPr>
          <w:trHeight w:val="719"/>
        </w:trPr>
        <w:tc>
          <w:tcPr>
            <w:tcW w:w="2104" w:type="dxa"/>
            <w:vAlign w:val="center"/>
          </w:tcPr>
          <w:p w:rsidR="00610693" w:rsidRPr="00F85F08" w:rsidRDefault="00610693" w:rsidP="00F60302">
            <w:pPr>
              <w:spacing w:line="276" w:lineRule="auto"/>
              <w:ind w:left="7" w:hanging="7"/>
              <w:jc w:val="left"/>
              <w:rPr>
                <w:rFonts w:ascii="Calibri Light" w:hAnsi="Calibri Light" w:cs="Calibri Light"/>
                <w:b/>
                <w:color w:val="000000" w:themeColor="text1"/>
                <w:lang w:val="es-CR"/>
              </w:rPr>
            </w:pPr>
            <w:r w:rsidRPr="00F85F08">
              <w:rPr>
                <w:rFonts w:ascii="Calibri Light" w:hAnsi="Calibri Light" w:cs="Calibri Light"/>
                <w:b/>
                <w:color w:val="000000" w:themeColor="text1"/>
                <w:lang w:val="es-CR"/>
              </w:rPr>
              <w:t xml:space="preserve">Atender el 100% de los requerimientos del sistema de gestión de la calidad. </w:t>
            </w:r>
          </w:p>
        </w:tc>
        <w:tc>
          <w:tcPr>
            <w:tcW w:w="6945" w:type="dxa"/>
            <w:vAlign w:val="center"/>
          </w:tcPr>
          <w:p w:rsidR="00610693" w:rsidRPr="00F85F08" w:rsidRDefault="00610693" w:rsidP="00A72EB6">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1: Reincidencias en no conformidades (RNC) </w:t>
            </w: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La meta para este indicador es que no existan reincidencias en no conformidades (RNC), debido a que se espera que los análisis de causa-efecto, así como los planes de acción sean exitosos; de forma que no se vuelvan a presentar los mismos hallazgos.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Durante el primer semestre, para el período de enero a mayo no se detectaron RNC. En junio, en la Auditoría interna al Sistema de Gestión de la Calidad, se detectaron cuatro reincidencias con motivo de registros desactualizados en las Divisiones de Planificación y Normativa y Jurídica.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Como resultado general, </w:t>
            </w:r>
            <w:r w:rsidR="00847ED8" w:rsidRPr="00F85F08">
              <w:rPr>
                <w:rFonts w:ascii="Calibri Light" w:hAnsi="Calibri Light" w:cs="Calibri Light"/>
                <w:color w:val="000000" w:themeColor="text1"/>
                <w:sz w:val="20"/>
                <w:szCs w:val="22"/>
                <w:lang w:val="es-CR"/>
              </w:rPr>
              <w:t>solo el 1% de los hallazgos fue reincidente</w:t>
            </w:r>
            <w:r w:rsidRPr="00F85F08">
              <w:rPr>
                <w:rFonts w:ascii="Calibri Light" w:hAnsi="Calibri Light" w:cs="Calibri Light"/>
                <w:color w:val="000000" w:themeColor="text1"/>
                <w:sz w:val="20"/>
                <w:szCs w:val="22"/>
                <w:lang w:val="es-CR"/>
              </w:rPr>
              <w:t>.</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2: No conformidades vencidas (NCV) </w:t>
            </w: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Durante el primer semestre del año, se presentaron </w:t>
            </w:r>
            <w:r w:rsidRPr="00F85F08">
              <w:rPr>
                <w:rFonts w:ascii="Calibri Light" w:hAnsi="Calibri Light" w:cs="Calibri Light"/>
                <w:b/>
                <w:color w:val="000000" w:themeColor="text1"/>
                <w:sz w:val="20"/>
                <w:szCs w:val="22"/>
                <w:lang w:val="es-CR"/>
              </w:rPr>
              <w:t xml:space="preserve">No conformidades vencidas </w:t>
            </w:r>
            <w:r w:rsidRPr="00F85F08">
              <w:rPr>
                <w:rFonts w:ascii="Calibri Light" w:hAnsi="Calibri Light" w:cs="Calibri Light"/>
                <w:color w:val="000000" w:themeColor="text1"/>
                <w:sz w:val="20"/>
                <w:szCs w:val="22"/>
                <w:lang w:val="es-CR"/>
              </w:rPr>
              <w:t xml:space="preserve">en todos los meses, con un promedio de 18% de formularios vencidos. Para junio, se disminuyó la cantidad, pasando de 20% a 9%.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Como resultado general, el 82% de No Conformidades se atendieron en plazo. El detalle mensual se presenta en el siguiente cuadro: </w:t>
            </w:r>
          </w:p>
          <w:p w:rsidR="00610693" w:rsidRDefault="00610693" w:rsidP="00A72EB6">
            <w:pPr>
              <w:spacing w:line="276" w:lineRule="auto"/>
              <w:ind w:left="79" w:hanging="79"/>
              <w:rPr>
                <w:rFonts w:ascii="Calibri Light" w:hAnsi="Calibri Light" w:cs="Calibri Light"/>
                <w:sz w:val="20"/>
                <w:highlight w:val="cyan"/>
              </w:rPr>
            </w:pPr>
          </w:p>
          <w:p w:rsidR="001736A9" w:rsidRDefault="001736A9" w:rsidP="00A72EB6">
            <w:pPr>
              <w:spacing w:line="276" w:lineRule="auto"/>
              <w:ind w:left="79" w:hanging="79"/>
              <w:rPr>
                <w:rFonts w:ascii="Calibri Light" w:hAnsi="Calibri Light" w:cs="Calibri Light"/>
                <w:sz w:val="20"/>
                <w:highlight w:val="cyan"/>
              </w:rPr>
            </w:pPr>
          </w:p>
          <w:p w:rsidR="001736A9" w:rsidRDefault="001736A9" w:rsidP="00A72EB6">
            <w:pPr>
              <w:spacing w:line="276" w:lineRule="auto"/>
              <w:ind w:left="79" w:hanging="79"/>
              <w:rPr>
                <w:rFonts w:ascii="Calibri Light" w:hAnsi="Calibri Light" w:cs="Calibri Light"/>
                <w:sz w:val="20"/>
                <w:highlight w:val="cyan"/>
              </w:rPr>
            </w:pPr>
          </w:p>
          <w:p w:rsidR="001736A9" w:rsidRPr="00F85F08" w:rsidRDefault="001736A9" w:rsidP="00A72EB6">
            <w:pPr>
              <w:spacing w:line="276" w:lineRule="auto"/>
              <w:ind w:left="79" w:hanging="79"/>
              <w:rPr>
                <w:rFonts w:ascii="Calibri Light" w:hAnsi="Calibri Light" w:cs="Calibri Light"/>
                <w:sz w:val="20"/>
                <w:highlight w:val="cyan"/>
              </w:rPr>
            </w:pPr>
          </w:p>
          <w:p w:rsidR="00610693" w:rsidRPr="00F85F08" w:rsidRDefault="00610693" w:rsidP="00A72EB6">
            <w:pPr>
              <w:spacing w:line="276" w:lineRule="auto"/>
              <w:ind w:left="79" w:hanging="79"/>
              <w:rPr>
                <w:rFonts w:ascii="Calibri Light" w:hAnsi="Calibri Light" w:cs="Calibri Light"/>
                <w:sz w:val="20"/>
              </w:rPr>
            </w:pPr>
            <w:r w:rsidRPr="00F85F08">
              <w:rPr>
                <w:rFonts w:ascii="Calibri Light" w:hAnsi="Calibri Light" w:cs="Calibri Light"/>
                <w:sz w:val="20"/>
              </w:rPr>
              <w:t xml:space="preserve">Cuadro </w:t>
            </w:r>
            <w:r w:rsidR="00E46832" w:rsidRPr="00F85F08">
              <w:rPr>
                <w:rFonts w:ascii="Calibri Light" w:hAnsi="Calibri Light" w:cs="Calibri Light"/>
                <w:sz w:val="20"/>
              </w:rPr>
              <w:t>15</w:t>
            </w: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noProof/>
                <w:sz w:val="20"/>
              </w:rPr>
              <w:drawing>
                <wp:inline distT="0" distB="0" distL="0" distR="0" wp14:anchorId="6057CCBA" wp14:editId="7E0B6B76">
                  <wp:extent cx="3047335" cy="2684679"/>
                  <wp:effectExtent l="0" t="0" r="127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92135" cy="2724148"/>
                          </a:xfrm>
                          <a:prstGeom prst="rect">
                            <a:avLst/>
                          </a:prstGeom>
                          <a:effectLst>
                            <a:softEdge rad="0"/>
                          </a:effectLst>
                        </pic:spPr>
                      </pic:pic>
                    </a:graphicData>
                  </a:graphic>
                </wp:inline>
              </w:drawing>
            </w:r>
          </w:p>
          <w:p w:rsidR="00847ED8" w:rsidRPr="00F85F08" w:rsidRDefault="00847ED8" w:rsidP="00A72EB6">
            <w:pPr>
              <w:spacing w:line="276" w:lineRule="auto"/>
              <w:rPr>
                <w:rFonts w:ascii="Calibri Light" w:hAnsi="Calibri Light" w:cs="Calibri Light"/>
                <w:color w:val="000000" w:themeColor="text1"/>
                <w:sz w:val="20"/>
                <w:szCs w:val="22"/>
                <w:lang w:val="es-CR"/>
              </w:rPr>
            </w:pPr>
          </w:p>
          <w:p w:rsidR="00847ED8"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El resultado promedio para la meta es de 91%. </w:t>
            </w:r>
          </w:p>
        </w:tc>
      </w:tr>
      <w:tr w:rsidR="00610693" w:rsidRPr="003A3A86" w:rsidTr="00A72EB6">
        <w:trPr>
          <w:trHeight w:val="324"/>
        </w:trPr>
        <w:tc>
          <w:tcPr>
            <w:tcW w:w="9049" w:type="dxa"/>
            <w:gridSpan w:val="2"/>
            <w:tcBorders>
              <w:top w:val="single" w:sz="6" w:space="0" w:color="000000"/>
              <w:bottom w:val="single" w:sz="6" w:space="0" w:color="000000"/>
            </w:tcBorders>
            <w:shd w:val="clear" w:color="auto" w:fill="EAF1DD" w:themeFill="accent3" w:themeFillTint="33"/>
            <w:vAlign w:val="center"/>
          </w:tcPr>
          <w:p w:rsidR="00610693" w:rsidRPr="00F85F08" w:rsidRDefault="00610693" w:rsidP="00F60302">
            <w:pPr>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pPr>
            <w:bookmarkStart w:id="40" w:name="_Toc441843724"/>
            <w:bookmarkStart w:id="41" w:name="_Toc472341091"/>
            <w:bookmarkStart w:id="42" w:name="_Toc505008421"/>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Regímenes de Capitalización Individual</w:t>
            </w:r>
            <w:bookmarkEnd w:id="40"/>
            <w:bookmarkEnd w:id="41"/>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 xml:space="preserve"> (RCI)</w:t>
            </w:r>
            <w:bookmarkEnd w:id="42"/>
          </w:p>
        </w:tc>
      </w:tr>
      <w:tr w:rsidR="00610693" w:rsidRPr="000E0B4B" w:rsidTr="00A72EB6">
        <w:trPr>
          <w:trHeight w:val="1190"/>
        </w:trPr>
        <w:tc>
          <w:tcPr>
            <w:tcW w:w="2104" w:type="dxa"/>
            <w:vAlign w:val="center"/>
          </w:tcPr>
          <w:p w:rsidR="00610693" w:rsidRPr="00F85F08" w:rsidRDefault="00610693" w:rsidP="00A72EB6">
            <w:pPr>
              <w:spacing w:line="276" w:lineRule="auto"/>
              <w:rPr>
                <w:rFonts w:ascii="Calibri Light" w:hAnsi="Calibri Light" w:cs="Calibri Light"/>
                <w:b/>
                <w:color w:val="000000" w:themeColor="text1"/>
                <w:lang w:val="es-CR"/>
              </w:rPr>
            </w:pPr>
            <w:r w:rsidRPr="00F85F08">
              <w:rPr>
                <w:rFonts w:ascii="Calibri Light" w:hAnsi="Calibri Light" w:cs="Calibri Light"/>
                <w:b/>
                <w:color w:val="000000" w:themeColor="text1"/>
                <w:lang w:val="es-CR"/>
              </w:rPr>
              <w:t>Fiscalizar y supervisar el cumplimiento de la normativa vigente y el proceso de identificación, medición, control y seguimiento de los riesgos identificados en las entidades supervisadas y en los fondos administrados.</w:t>
            </w:r>
          </w:p>
        </w:tc>
        <w:tc>
          <w:tcPr>
            <w:tcW w:w="6945" w:type="dxa"/>
            <w:tcBorders>
              <w:top w:val="single" w:sz="6" w:space="0" w:color="000000"/>
            </w:tcBorders>
            <w:vAlign w:val="center"/>
          </w:tcPr>
          <w:p w:rsidR="00610693" w:rsidRPr="00F85F08" w:rsidRDefault="00610693" w:rsidP="00A72EB6">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1: Matriz de evaluación de riesgos  </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Los mapas de riesgos de las seis operadoras de pensiones y los tres fondos especiales, administrados por una operadora, se han comunicado en el plazo establecido en la Ficha de Proceso, que es dentro de los 15 días hábiles posteriores al cierre de cada uno de los trimestres.</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La comunicación a satisfacción (sin desviaciones) de este indicador deriva de un proceso sistemático en el que participan los supervisores de cada una de las entidades supervisadas, con la coordinación de los supervisores principales, además de la aprobación de los Líderes de Supervisión y la </w:t>
            </w:r>
            <w:r w:rsidR="009A1897" w:rsidRPr="00F85F08">
              <w:rPr>
                <w:rFonts w:ascii="Calibri Light" w:hAnsi="Calibri Light" w:cs="Calibri Light"/>
                <w:color w:val="000000" w:themeColor="text1"/>
                <w:sz w:val="20"/>
                <w:szCs w:val="22"/>
                <w:lang w:val="es-CR"/>
              </w:rPr>
              <w:t>d</w:t>
            </w:r>
            <w:r w:rsidRPr="00F85F08">
              <w:rPr>
                <w:rFonts w:ascii="Calibri Light" w:hAnsi="Calibri Light" w:cs="Calibri Light"/>
                <w:color w:val="000000" w:themeColor="text1"/>
                <w:sz w:val="20"/>
                <w:szCs w:val="22"/>
                <w:lang w:val="es-CR"/>
              </w:rPr>
              <w:t>irectora de la División; lo cual, ha contribuido con el cumplimiento de los objetivos institucionales.</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Para la elaboración de los Mapas de Riesgos se utilizan insumos derivados de las funciones de supervisión tanto in situ como extra situ.</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El resultado de esta meta se ubica en 100%.</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Como dato adicional, se incluye en esta liquidación, lo referente al cumplimiento del Plan Anual de Supervisión del 2018. El plan citado, contemplaba para el primer semestre un total de 3 visitas (dos visitas a BAC OPC, la primera para aplicar el proceso de conocimiento del negocio y evaluar los riesgos de la actividad significativa de acumulación, y la segunda para evaluar la gestión de activos financieros; y una visita a BCR OPC para el conocimiento del negocio y evaluar los riesgos de la actividad de acumulación). De estas tres visitas, se inició con la ejecución de las dos visitas de supervisión en BAC OPC; sin embargo, </w:t>
            </w:r>
            <w:r w:rsidR="002C21DC">
              <w:rPr>
                <w:rFonts w:ascii="Calibri Light" w:hAnsi="Calibri Light" w:cs="Calibri Light"/>
                <w:color w:val="000000" w:themeColor="text1"/>
                <w:sz w:val="20"/>
                <w:szCs w:val="22"/>
                <w:lang w:val="es-CR"/>
              </w:rPr>
              <w:t>atendiendo las observaciones de la Directora de Supervisión de Regímenes de Capitalización Individual</w:t>
            </w:r>
            <w:r w:rsidRPr="00F85F08">
              <w:rPr>
                <w:rFonts w:ascii="Calibri Light" w:hAnsi="Calibri Light" w:cs="Calibri Light"/>
                <w:color w:val="000000" w:themeColor="text1"/>
                <w:sz w:val="20"/>
                <w:szCs w:val="22"/>
                <w:lang w:val="es-CR"/>
              </w:rPr>
              <w:t xml:space="preserve">, se modificó el objetivo inicial de las mismas y se cambió para aplicar en forma integral del Modelo de Supervisión Basado en Riesgos (MSBR) en esta entidad, esto antes de finalizar la capacitación con el Toronto Centre. </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Para atender la solicitud anterior, fue necesario destinar un total de 6 funcionarios de la División de RCI a tiempo completo; y 3 funcionarios para las labores de monitoreo y coordinación habituales en esta visita, esto con el fin de que no solo se efectúe el conocimiento del negocio y la revisión de las actividades significativas de acumulación y gestión de activos, tal y como había sido programado; sino para hacer una revisión integral, que incluya la evaluación de los riesgos de todas las actividades significativas que se han definido en el MSBR, así como la calidad de la gestión de los riesgos realizada por las funciones de control y supervisión. Además, como parte del proceso de aprendizaje en el nuevo MSBR, dos funcionarios de RCI están participando a tiempo completo en las visitas de la División de RC y dos de esa División en la visita de BAC OPC. Dado el cambio en las prioridades en la supervisión descrito, no se ejecutó la visita de supervisión prevista para BCR OPC en el I semestre.</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  </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Cabe indicar que, en el primer trimestre del 2018, se finalizó la visita de supervisión en BN Vital OPC, la cual se había iniciado a finales de 2017, con el objetivo de revisar la imputación de recursos en las cuentas individuales y el riesgo de legitimación de capitales; esta visita no estaba contemplada en la programación del 2017, sino que correspondió a una visita especial, surgida de nuevos eventos de riesgo identificados en ese semestre. </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Considerando las visitas ejecutadas durante el I semestre del 2018, el porcentaje de cumplimiento del Plan Anual de Supervisión 2018 es de un 67%. </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Es importante indicar que la programación de las actividades incluidas en el Plan Anual de Supervisión considera la dedicación de una cantidad relevante del tiempo de funcionarios de esta División, al desarrollo de proyectos de SUPEN, del BCCR y de otros en conjunto con otras Superintendencias; tal y como se describe a continuación, situación que se viene presentando desde el 2017:</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Para el proyecto de implementación del Modelo de Supervisión Basado en Riesgos (MSBR), bajo la capacitación del Toronto Centre, se destinaron 5 supervisores a tiempo completo. Además, se asignó un líder de </w:t>
            </w:r>
            <w:r w:rsidR="00175B17">
              <w:rPr>
                <w:rFonts w:ascii="Calibri Light" w:hAnsi="Calibri Light" w:cs="Calibri Light"/>
                <w:color w:val="000000" w:themeColor="text1"/>
                <w:sz w:val="20"/>
                <w:szCs w:val="22"/>
                <w:lang w:val="es-CR"/>
              </w:rPr>
              <w:t>supervisión para que participara</w:t>
            </w:r>
            <w:r w:rsidRPr="00F85F08">
              <w:rPr>
                <w:rFonts w:ascii="Calibri Light" w:hAnsi="Calibri Light" w:cs="Calibri Light"/>
                <w:color w:val="000000" w:themeColor="text1"/>
                <w:sz w:val="20"/>
                <w:szCs w:val="22"/>
                <w:lang w:val="es-CR"/>
              </w:rPr>
              <w:t xml:space="preserve"> a medio tiempo como líder técnico en este proyecto.</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Otras labores consideradas fue la designación de tres supervisores principales a medio tiempo para el proceso de integración tecnológica con el BCCR, en los sistemas de supervisión de Ejecución de Estudios y Seguimiento (EES) y el Sistema para la Supervisión basada en riesgos (SBR: módulo Conocimiento del Negocio, CDN). El EES también requirió la participación en pruebas y otras actividades de dos funcionarios adicionales de la</w:t>
            </w:r>
            <w:r w:rsidR="00175B17">
              <w:rPr>
                <w:rFonts w:ascii="Calibri Light" w:hAnsi="Calibri Light" w:cs="Calibri Light"/>
                <w:color w:val="000000" w:themeColor="text1"/>
                <w:sz w:val="20"/>
                <w:szCs w:val="22"/>
                <w:lang w:val="es-CR"/>
              </w:rPr>
              <w:t>s Divisiones de Supervisión</w:t>
            </w:r>
            <w:r w:rsidRPr="00F85F08">
              <w:rPr>
                <w:rFonts w:ascii="Calibri Light" w:hAnsi="Calibri Light" w:cs="Calibri Light"/>
                <w:color w:val="000000" w:themeColor="text1"/>
                <w:sz w:val="20"/>
                <w:szCs w:val="22"/>
                <w:lang w:val="es-CR"/>
              </w:rPr>
              <w:t xml:space="preserve">. </w:t>
            </w:r>
          </w:p>
          <w:p w:rsidR="00175B17" w:rsidRPr="00F85F08" w:rsidRDefault="00175B17"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Un cuarto supervisor principal fue asignado a tiempo completo al proyecto conjunto de las cuatro Superintendencias para la adopción actualizada de las Normas Internacionales de Información Financiera (NIIF), por medio del Reglamento de Información Financiera. Adicionalmente, una supervisora fue designada a medio tiempo para participar en el proyecto interinstitucional Conozca a su Cliente (proyecto KYC).</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En cuanto a los líderes de supervisión, durante el I semestre de 2018, se asignó a un líder de supervisión, para integrar el equipo interdisciplinario responsable de las Interrelaciones de liquidez entre las entidades financieras y acreedores mayoritarios. En cuanto al otro líder de supervisión, este venía participando a tiempo completo en el proyecto de redacción del Reglamento de Gestión de Activos desde mayo 2017; el cual fue enviado al </w:t>
            </w:r>
            <w:r w:rsidR="00175B17" w:rsidRPr="00F85F08">
              <w:rPr>
                <w:rFonts w:ascii="Calibri Light" w:hAnsi="Calibri Light" w:cs="Calibri Light"/>
                <w:color w:val="000000" w:themeColor="text1"/>
                <w:sz w:val="20"/>
                <w:szCs w:val="22"/>
                <w:lang w:val="es-CR"/>
              </w:rPr>
              <w:t>CONASSIF</w:t>
            </w:r>
            <w:r w:rsidRPr="00F85F08">
              <w:rPr>
                <w:rFonts w:ascii="Calibri Light" w:hAnsi="Calibri Light" w:cs="Calibri Light"/>
                <w:color w:val="000000" w:themeColor="text1"/>
                <w:sz w:val="20"/>
                <w:szCs w:val="22"/>
                <w:lang w:val="es-CR"/>
              </w:rPr>
              <w:t xml:space="preserve"> en </w:t>
            </w:r>
            <w:r w:rsidR="00175B17">
              <w:rPr>
                <w:rFonts w:ascii="Calibri Light" w:hAnsi="Calibri Light" w:cs="Calibri Light"/>
                <w:color w:val="000000" w:themeColor="text1"/>
                <w:sz w:val="20"/>
                <w:szCs w:val="22"/>
                <w:lang w:val="es-CR"/>
              </w:rPr>
              <w:t xml:space="preserve">noviembre del </w:t>
            </w:r>
            <w:r w:rsidRPr="00F85F08">
              <w:rPr>
                <w:rFonts w:ascii="Calibri Light" w:hAnsi="Calibri Light" w:cs="Calibri Light"/>
                <w:color w:val="000000" w:themeColor="text1"/>
                <w:sz w:val="20"/>
                <w:szCs w:val="22"/>
                <w:lang w:val="es-CR"/>
              </w:rPr>
              <w:t>2017, por lo que su participación fue parcial durante el primer semestre de 2018. Este reglamento fue enviado en consulta por el Conassif, según se acordó en el artículo 8 del acta de la sesión 1422-2018, del 11 de junio de 2018.</w:t>
            </w: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p>
          <w:p w:rsidR="00610693" w:rsidRPr="00F85F08" w:rsidRDefault="00610693" w:rsidP="00A72EB6">
            <w:pPr>
              <w:tabs>
                <w:tab w:val="center" w:pos="4252"/>
                <w:tab w:val="right" w:pos="8504"/>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De lo descrito en párrafos anteriores, resulta claro que la atención de labores relacionadas con proyectos demandó una cantidad relevante de recursos de esta División, lo cual afectó tanto la planificación como el cumplimiento de las labores programadas en el Plan Anual de Supervisión 2018, para este primer semestre.</w:t>
            </w:r>
          </w:p>
        </w:tc>
      </w:tr>
      <w:tr w:rsidR="00610693" w:rsidRPr="003A3A86" w:rsidTr="00A72EB6">
        <w:trPr>
          <w:trHeight w:val="366"/>
        </w:trPr>
        <w:tc>
          <w:tcPr>
            <w:tcW w:w="9049" w:type="dxa"/>
            <w:gridSpan w:val="2"/>
            <w:tcBorders>
              <w:top w:val="single" w:sz="6" w:space="0" w:color="000000"/>
              <w:bottom w:val="single" w:sz="6" w:space="0" w:color="000000"/>
            </w:tcBorders>
            <w:shd w:val="clear" w:color="auto" w:fill="EAF1DD" w:themeFill="accent3" w:themeFillTint="33"/>
            <w:vAlign w:val="center"/>
          </w:tcPr>
          <w:p w:rsidR="00610693" w:rsidRPr="00F85F08" w:rsidRDefault="00610693" w:rsidP="00F60302">
            <w:pPr>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pPr>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Regímenes Colectivos (RC)</w:t>
            </w:r>
          </w:p>
        </w:tc>
      </w:tr>
      <w:tr w:rsidR="00610693" w:rsidRPr="000E0B4B" w:rsidTr="00A72EB6">
        <w:tblPrEx>
          <w:tblCellMar>
            <w:left w:w="70" w:type="dxa"/>
            <w:right w:w="70" w:type="dxa"/>
          </w:tblCellMar>
        </w:tblPrEx>
        <w:trPr>
          <w:trHeight w:val="1265"/>
        </w:trPr>
        <w:tc>
          <w:tcPr>
            <w:tcW w:w="2104" w:type="dxa"/>
            <w:tcBorders>
              <w:top w:val="single" w:sz="6" w:space="0" w:color="000000"/>
            </w:tcBorders>
            <w:vAlign w:val="center"/>
          </w:tcPr>
          <w:p w:rsidR="00610693" w:rsidRPr="00F85F08" w:rsidRDefault="00610693" w:rsidP="00A72EB6">
            <w:pPr>
              <w:spacing w:line="276" w:lineRule="auto"/>
              <w:rPr>
                <w:rFonts w:ascii="Calibri Light" w:hAnsi="Calibri Light" w:cs="Calibri Light"/>
                <w:b/>
                <w:color w:val="000000" w:themeColor="text1"/>
                <w:lang w:val="es-CR"/>
              </w:rPr>
            </w:pPr>
            <w:bookmarkStart w:id="43" w:name="_Hlk505095189"/>
            <w:r w:rsidRPr="00F85F08">
              <w:rPr>
                <w:rFonts w:ascii="Calibri Light" w:hAnsi="Calibri Light" w:cs="Calibri Light"/>
                <w:b/>
                <w:color w:val="000000" w:themeColor="text1"/>
                <w:lang w:val="es-CR"/>
              </w:rPr>
              <w:t>Ejecutar la supervisión de los regímenes colectivos del Sistema Nacional de Pensiones</w:t>
            </w:r>
            <w:bookmarkEnd w:id="43"/>
          </w:p>
        </w:tc>
        <w:tc>
          <w:tcPr>
            <w:tcW w:w="6945" w:type="dxa"/>
            <w:tcBorders>
              <w:top w:val="single" w:sz="6" w:space="0" w:color="000000"/>
            </w:tcBorders>
            <w:vAlign w:val="center"/>
          </w:tcPr>
          <w:p w:rsidR="001A18F5" w:rsidRDefault="001A18F5" w:rsidP="001736A9">
            <w:pPr>
              <w:spacing w:line="276" w:lineRule="auto"/>
              <w:rPr>
                <w:rFonts w:ascii="Calibri Light" w:hAnsi="Calibri Light" w:cs="Calibri Light"/>
                <w:b/>
                <w:color w:val="000000" w:themeColor="text1"/>
                <w:sz w:val="20"/>
                <w:szCs w:val="22"/>
                <w:lang w:val="es-CR"/>
              </w:rPr>
            </w:pPr>
          </w:p>
          <w:p w:rsidR="00610693" w:rsidRPr="00F85F08" w:rsidRDefault="00610693" w:rsidP="001736A9">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1: Informe de riesgos </w:t>
            </w:r>
          </w:p>
          <w:p w:rsidR="00610693" w:rsidRPr="00F85F08" w:rsidRDefault="00610693" w:rsidP="001736A9">
            <w:pPr>
              <w:tabs>
                <w:tab w:val="left" w:pos="1056"/>
              </w:tabs>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Durante el primer semestre de 2018, el resultado del </w:t>
            </w:r>
            <w:r w:rsidRPr="00F85F08">
              <w:rPr>
                <w:rFonts w:ascii="Calibri Light" w:hAnsi="Calibri Light" w:cs="Calibri Light"/>
                <w:b/>
                <w:color w:val="000000" w:themeColor="text1"/>
                <w:sz w:val="20"/>
                <w:szCs w:val="22"/>
                <w:lang w:val="es-CR"/>
              </w:rPr>
              <w:t>Informe de riesgos fue satisfactorio</w:t>
            </w:r>
            <w:r w:rsidRPr="00F85F08">
              <w:rPr>
                <w:rFonts w:ascii="Calibri Light" w:hAnsi="Calibri Light" w:cs="Calibri Light"/>
                <w:color w:val="000000" w:themeColor="text1"/>
                <w:sz w:val="20"/>
                <w:szCs w:val="22"/>
                <w:lang w:val="es-CR"/>
              </w:rPr>
              <w:t xml:space="preserve">, con un 96%, solamente se presentó un desfase de dos días en la entrega. </w:t>
            </w:r>
          </w:p>
          <w:p w:rsidR="00610693" w:rsidRPr="00F85F08" w:rsidRDefault="00610693" w:rsidP="001736A9">
            <w:pPr>
              <w:spacing w:line="276" w:lineRule="auto"/>
              <w:rPr>
                <w:rFonts w:ascii="Calibri Light" w:hAnsi="Calibri Light" w:cs="Calibri Light"/>
                <w:b/>
                <w:color w:val="000000" w:themeColor="text1"/>
                <w:sz w:val="20"/>
                <w:szCs w:val="22"/>
                <w:lang w:val="es-CR"/>
              </w:rPr>
            </w:pPr>
          </w:p>
          <w:p w:rsidR="00610693" w:rsidRPr="00F85F08" w:rsidRDefault="00610693" w:rsidP="001736A9">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Indicador 2: Ejecutar el Plan de Supervisión de los Regímenes Colectivos</w:t>
            </w:r>
          </w:p>
          <w:p w:rsidR="00610693" w:rsidRPr="00F85F08" w:rsidRDefault="00610693" w:rsidP="001A18F5">
            <w:pPr>
              <w:spacing w:line="276" w:lineRule="auto"/>
              <w:rPr>
                <w:rFonts w:ascii="Calibri Light" w:hAnsi="Calibri Light" w:cs="Calibri Light"/>
                <w:sz w:val="20"/>
                <w:szCs w:val="22"/>
              </w:rPr>
            </w:pPr>
            <w:r w:rsidRPr="00F85F08">
              <w:rPr>
                <w:rFonts w:ascii="Calibri Light" w:hAnsi="Calibri Light" w:cs="Calibri Light"/>
                <w:sz w:val="20"/>
                <w:szCs w:val="22"/>
              </w:rPr>
              <w:t xml:space="preserve">En cuanto al producto plan de supervisión, que se mide semestralmente, el resultado fue un 90%, debajo de la meta establecida de un 95%.  Este resultado está relacionado con las siguientes situaciones que en alguna medida redujeron la cantidad de recursos dedicados a la ejecución del plan: a) desde el 1 de marzo de 2017, </w:t>
            </w:r>
            <w:r w:rsidR="00175B17">
              <w:rPr>
                <w:rFonts w:ascii="Calibri Light" w:hAnsi="Calibri Light" w:cs="Calibri Light"/>
                <w:sz w:val="20"/>
                <w:szCs w:val="22"/>
              </w:rPr>
              <w:t>hay</w:t>
            </w:r>
            <w:r w:rsidRPr="00F85F08">
              <w:rPr>
                <w:rFonts w:ascii="Calibri Light" w:hAnsi="Calibri Light" w:cs="Calibri Light"/>
                <w:sz w:val="20"/>
                <w:szCs w:val="22"/>
              </w:rPr>
              <w:t xml:space="preserve"> un funcionario (Líder de Supervisión) menos en la división</w:t>
            </w:r>
            <w:r w:rsidR="00175B17">
              <w:rPr>
                <w:rFonts w:ascii="Calibri Light" w:hAnsi="Calibri Light" w:cs="Calibri Light"/>
                <w:sz w:val="20"/>
                <w:szCs w:val="22"/>
              </w:rPr>
              <w:t>, debido a que se acogió a la pensión</w:t>
            </w:r>
            <w:r w:rsidRPr="00F85F08">
              <w:rPr>
                <w:rFonts w:ascii="Calibri Light" w:hAnsi="Calibri Light" w:cs="Calibri Light"/>
                <w:sz w:val="20"/>
                <w:szCs w:val="22"/>
              </w:rPr>
              <w:t>; b) se dedicaron recursos al proyecto MSBR con asesoría del TC: participación a tiempo completo de cuatro funcionarios, con autorización para solicitar ayuda, hasta por un cuarto de tiempo, en labores extra situ del RCC y parcialmente una quinta persona debido a que ha permanecido incapacitada por más de un mes; así como la participación del actuario de la División cada vez que se le asignan tareas por parte del administrador del proyecto</w:t>
            </w:r>
            <w:r w:rsidR="00C26F4E">
              <w:rPr>
                <w:rFonts w:ascii="Calibri Light" w:hAnsi="Calibri Light" w:cs="Calibri Light"/>
                <w:sz w:val="20"/>
                <w:szCs w:val="22"/>
              </w:rPr>
              <w:t xml:space="preserve"> del MSBR</w:t>
            </w:r>
            <w:r w:rsidRPr="00F85F08">
              <w:rPr>
                <w:rFonts w:ascii="Calibri Light" w:hAnsi="Calibri Light" w:cs="Calibri Light"/>
                <w:sz w:val="20"/>
                <w:szCs w:val="22"/>
              </w:rPr>
              <w:t xml:space="preserve">; c) Se dedicó una persona cuando así se requirió al proyecto Reglamento Gestión de Activos; d) Una persona apoyó, cuando fue requerido, el sistema de Roles impulsado por el </w:t>
            </w:r>
            <w:r w:rsidR="00C26F4E">
              <w:rPr>
                <w:rFonts w:ascii="Calibri Light" w:hAnsi="Calibri Light" w:cs="Calibri Light"/>
                <w:sz w:val="20"/>
                <w:szCs w:val="22"/>
              </w:rPr>
              <w:t>BCCR</w:t>
            </w:r>
            <w:r w:rsidRPr="00F85F08">
              <w:rPr>
                <w:rFonts w:ascii="Calibri Light" w:hAnsi="Calibri Light" w:cs="Calibri Light"/>
                <w:sz w:val="20"/>
                <w:szCs w:val="22"/>
              </w:rPr>
              <w:t xml:space="preserve">, quien también está destacada al proyecto MSBR con asesoría TC; e) Otra persona estuvo disponible al 100%, cuando se asignaban tareas, al módulo Conocimiento del Negocio, del proyecto MSBR impulsado por el BCCR, así mismo estuvo incapacitada aproximadamente durante un mes; f) En la implementación del Reglamento de Tecnologías de Información, el supervisor de tecnologías de información ha participado en todas las reuniones en que se le ha requerido. </w:t>
            </w:r>
          </w:p>
          <w:p w:rsidR="00610693" w:rsidRPr="00F85F08" w:rsidRDefault="00610693" w:rsidP="001736A9">
            <w:pPr>
              <w:tabs>
                <w:tab w:val="left" w:pos="1056"/>
              </w:tabs>
              <w:spacing w:line="276" w:lineRule="auto"/>
              <w:rPr>
                <w:rFonts w:ascii="Calibri Light" w:hAnsi="Calibri Light" w:cs="Calibri Light"/>
                <w:sz w:val="20"/>
                <w:szCs w:val="22"/>
              </w:rPr>
            </w:pPr>
          </w:p>
          <w:p w:rsidR="00610693" w:rsidRPr="00F85F08" w:rsidRDefault="00610693" w:rsidP="001736A9">
            <w:pPr>
              <w:tabs>
                <w:tab w:val="left" w:pos="1056"/>
              </w:tabs>
              <w:spacing w:line="276" w:lineRule="auto"/>
              <w:rPr>
                <w:rFonts w:ascii="Calibri Light" w:hAnsi="Calibri Light" w:cs="Calibri Light"/>
                <w:sz w:val="20"/>
                <w:szCs w:val="22"/>
              </w:rPr>
            </w:pPr>
            <w:r w:rsidRPr="00F85F08">
              <w:rPr>
                <w:rFonts w:ascii="Calibri Light" w:hAnsi="Calibri Light" w:cs="Calibri Light"/>
                <w:sz w:val="20"/>
                <w:szCs w:val="22"/>
              </w:rPr>
              <w:t xml:space="preserve">Aunado a lo anterior, se ha participado en el </w:t>
            </w:r>
            <w:r w:rsidRPr="00C26F4E">
              <w:rPr>
                <w:rFonts w:ascii="Calibri Light" w:hAnsi="Calibri Light" w:cs="Calibri Light"/>
                <w:sz w:val="20"/>
                <w:szCs w:val="22"/>
              </w:rPr>
              <w:t>Sistema EES (Ejecución</w:t>
            </w:r>
            <w:r w:rsidRPr="00F85F08">
              <w:rPr>
                <w:rFonts w:ascii="Calibri Light" w:hAnsi="Calibri Light" w:cs="Calibri Light"/>
                <w:sz w:val="20"/>
                <w:szCs w:val="22"/>
              </w:rPr>
              <w:t xml:space="preserve"> de estudios y seguimiento). Esta es una aplicación informática que se desarrolla a petición del BCCR, que en SUPEN se ha asignado a la actividad de supervisión. Esta labor implica llevar, en paralelo, actividades de los supervisados que actualmente se realizan en el Sistema de Trámites de la Superintendencia, con la finalidad de realizar pruebas y presentar requerimientos de mejora que sean de utilidad, cuando se tengan los equipos de supervisión completos.  En esta actividad, durante el primer semestre, participaron la mayoría de los funcionarios de la división. </w:t>
            </w:r>
          </w:p>
          <w:p w:rsidR="00610693" w:rsidRPr="00F85F08" w:rsidRDefault="00610693" w:rsidP="001736A9">
            <w:pPr>
              <w:tabs>
                <w:tab w:val="left" w:pos="1056"/>
              </w:tabs>
              <w:spacing w:line="276" w:lineRule="auto"/>
              <w:rPr>
                <w:rFonts w:ascii="Calibri Light" w:hAnsi="Calibri Light" w:cs="Calibri Light"/>
                <w:sz w:val="20"/>
                <w:szCs w:val="22"/>
              </w:rPr>
            </w:pPr>
          </w:p>
          <w:p w:rsidR="00610693" w:rsidRPr="00F85F08" w:rsidRDefault="00610693" w:rsidP="001736A9">
            <w:pPr>
              <w:tabs>
                <w:tab w:val="left" w:pos="1056"/>
              </w:tabs>
              <w:spacing w:line="276" w:lineRule="auto"/>
              <w:rPr>
                <w:rFonts w:ascii="Calibri Light" w:hAnsi="Calibri Light" w:cs="Calibri Light"/>
                <w:sz w:val="20"/>
                <w:szCs w:val="22"/>
              </w:rPr>
            </w:pPr>
            <w:r w:rsidRPr="00F85F08">
              <w:rPr>
                <w:rFonts w:ascii="Calibri Light" w:hAnsi="Calibri Light" w:cs="Calibri Light"/>
                <w:sz w:val="20"/>
                <w:szCs w:val="22"/>
              </w:rPr>
              <w:t xml:space="preserve">Cabe resaltar que, del Sistema EES, se ha continuado utilizando únicamente el “módulo de estudios” y que hay otro “módulo de requerimientos”, de reciente desarrollo por parte del BCCR, el cual se encuentra aún en etapa de pruebas, proceso en el cual, por las cargas de trabajo de la división, se iniciará la participación a partir del mes de enero de 2019. </w:t>
            </w:r>
          </w:p>
          <w:p w:rsidR="00610693" w:rsidRPr="00F85F08" w:rsidRDefault="00610693" w:rsidP="001736A9">
            <w:pPr>
              <w:tabs>
                <w:tab w:val="left" w:pos="1056"/>
              </w:tabs>
              <w:spacing w:line="276" w:lineRule="auto"/>
              <w:rPr>
                <w:rFonts w:ascii="Calibri Light" w:hAnsi="Calibri Light" w:cs="Calibri Light"/>
                <w:sz w:val="20"/>
                <w:szCs w:val="22"/>
              </w:rPr>
            </w:pPr>
          </w:p>
          <w:p w:rsidR="00610693" w:rsidRPr="00F85F08" w:rsidRDefault="00610693" w:rsidP="001736A9">
            <w:pPr>
              <w:tabs>
                <w:tab w:val="left" w:pos="1056"/>
              </w:tabs>
              <w:spacing w:line="276" w:lineRule="auto"/>
              <w:rPr>
                <w:rFonts w:ascii="Calibri Light" w:hAnsi="Calibri Light" w:cs="Calibri Light"/>
                <w:sz w:val="20"/>
                <w:szCs w:val="22"/>
              </w:rPr>
            </w:pPr>
            <w:r w:rsidRPr="00F85F08">
              <w:rPr>
                <w:rFonts w:ascii="Calibri Light" w:hAnsi="Calibri Light" w:cs="Calibri Light"/>
                <w:sz w:val="20"/>
                <w:szCs w:val="22"/>
              </w:rPr>
              <w:t>Como se indicó, en este sistema se han invertido durante el primer semestre de 2018, una cantidad importante de recursos, unido a las labores usuales asignadas.</w:t>
            </w:r>
          </w:p>
          <w:p w:rsidR="00610693" w:rsidRPr="00F85F08" w:rsidRDefault="00610693" w:rsidP="001736A9">
            <w:pPr>
              <w:tabs>
                <w:tab w:val="left" w:pos="1056"/>
              </w:tabs>
              <w:spacing w:line="276" w:lineRule="auto"/>
              <w:rPr>
                <w:rFonts w:ascii="Calibri Light" w:hAnsi="Calibri Light" w:cs="Calibri Light"/>
                <w:sz w:val="20"/>
                <w:szCs w:val="22"/>
              </w:rPr>
            </w:pPr>
          </w:p>
          <w:p w:rsidR="00610693" w:rsidRPr="00F85F08" w:rsidRDefault="00610693" w:rsidP="001736A9">
            <w:pPr>
              <w:tabs>
                <w:tab w:val="left" w:pos="1056"/>
              </w:tabs>
              <w:spacing w:line="276" w:lineRule="auto"/>
              <w:rPr>
                <w:rFonts w:ascii="Calibri Light" w:hAnsi="Calibri Light" w:cs="Calibri Light"/>
                <w:sz w:val="20"/>
                <w:szCs w:val="22"/>
              </w:rPr>
            </w:pPr>
            <w:r w:rsidRPr="00F85F08">
              <w:rPr>
                <w:rFonts w:ascii="Calibri Light" w:hAnsi="Calibri Light" w:cs="Calibri Light"/>
                <w:sz w:val="20"/>
                <w:szCs w:val="22"/>
              </w:rPr>
              <w:t>En el siguiente cuadro, se observan las horas</w:t>
            </w:r>
            <w:r w:rsidR="001736A9">
              <w:rPr>
                <w:rFonts w:ascii="Calibri Light" w:hAnsi="Calibri Light" w:cs="Calibri Light"/>
                <w:sz w:val="20"/>
                <w:szCs w:val="22"/>
              </w:rPr>
              <w:t xml:space="preserve"> de participación en proyectos:</w:t>
            </w:r>
          </w:p>
          <w:p w:rsidR="00610693" w:rsidRPr="00F85F08" w:rsidRDefault="00610693" w:rsidP="001736A9">
            <w:pPr>
              <w:tabs>
                <w:tab w:val="left" w:pos="1056"/>
              </w:tabs>
              <w:spacing w:line="276" w:lineRule="auto"/>
              <w:jc w:val="center"/>
              <w:rPr>
                <w:rFonts w:ascii="Calibri Light" w:hAnsi="Calibri Light" w:cs="Calibri Light"/>
                <w:b/>
                <w:sz w:val="20"/>
                <w:szCs w:val="22"/>
              </w:rPr>
            </w:pPr>
          </w:p>
          <w:p w:rsidR="00610693" w:rsidRPr="00F85F08" w:rsidRDefault="00610693" w:rsidP="001A18F5">
            <w:pPr>
              <w:spacing w:line="240" w:lineRule="auto"/>
              <w:ind w:left="918"/>
              <w:rPr>
                <w:rFonts w:ascii="Calibri Light" w:hAnsi="Calibri Light" w:cs="Calibri Light"/>
                <w:sz w:val="20"/>
                <w:szCs w:val="22"/>
              </w:rPr>
            </w:pPr>
            <w:r w:rsidRPr="00F85F08">
              <w:rPr>
                <w:rFonts w:ascii="Calibri Light" w:hAnsi="Calibri Light" w:cs="Calibri Light"/>
                <w:sz w:val="20"/>
                <w:szCs w:val="22"/>
              </w:rPr>
              <w:t xml:space="preserve">Cuadro </w:t>
            </w:r>
            <w:r w:rsidR="00E46832" w:rsidRPr="00F85F08">
              <w:rPr>
                <w:rFonts w:ascii="Calibri Light" w:hAnsi="Calibri Light" w:cs="Calibri Light"/>
                <w:sz w:val="20"/>
                <w:szCs w:val="22"/>
              </w:rPr>
              <w:t>16</w:t>
            </w:r>
          </w:p>
          <w:p w:rsidR="00610693" w:rsidRPr="00F85F08" w:rsidRDefault="00610693" w:rsidP="001A18F5">
            <w:pPr>
              <w:tabs>
                <w:tab w:val="left" w:pos="1056"/>
              </w:tabs>
              <w:spacing w:line="240" w:lineRule="auto"/>
              <w:ind w:left="918"/>
              <w:rPr>
                <w:rFonts w:ascii="Calibri Light" w:hAnsi="Calibri Light" w:cs="Calibri Light"/>
                <w:b/>
                <w:sz w:val="20"/>
                <w:szCs w:val="22"/>
              </w:rPr>
            </w:pPr>
            <w:r w:rsidRPr="00F85F08">
              <w:rPr>
                <w:rFonts w:ascii="Calibri Light" w:hAnsi="Calibri Light" w:cs="Calibri Light"/>
                <w:b/>
                <w:sz w:val="20"/>
                <w:szCs w:val="22"/>
              </w:rPr>
              <w:t xml:space="preserve">RC: Horas de participación en proyectos </w:t>
            </w:r>
          </w:p>
          <w:p w:rsidR="00610693" w:rsidRPr="00F85F08" w:rsidRDefault="00610693" w:rsidP="001A18F5">
            <w:pPr>
              <w:tabs>
                <w:tab w:val="left" w:pos="1056"/>
              </w:tabs>
              <w:spacing w:line="240" w:lineRule="auto"/>
              <w:ind w:left="918"/>
              <w:jc w:val="left"/>
              <w:rPr>
                <w:rFonts w:ascii="Calibri Light" w:hAnsi="Calibri Light" w:cs="Calibri Light"/>
                <w:sz w:val="20"/>
                <w:szCs w:val="22"/>
              </w:rPr>
            </w:pPr>
            <w:r w:rsidRPr="00F85F08">
              <w:rPr>
                <w:rFonts w:ascii="Calibri Light" w:hAnsi="Calibri Light" w:cs="Calibri Light"/>
                <w:sz w:val="20"/>
                <w:szCs w:val="22"/>
              </w:rPr>
              <w:t>Primer semestre 2018</w:t>
            </w:r>
          </w:p>
          <w:tbl>
            <w:tblPr>
              <w:tblStyle w:val="Tablaconcuadrcula"/>
              <w:tblW w:w="0" w:type="auto"/>
              <w:jc w:val="center"/>
              <w:tblLayout w:type="fixed"/>
              <w:tblLook w:val="04A0" w:firstRow="1" w:lastRow="0" w:firstColumn="1" w:lastColumn="0" w:noHBand="0" w:noVBand="1"/>
            </w:tblPr>
            <w:tblGrid>
              <w:gridCol w:w="2461"/>
              <w:gridCol w:w="1333"/>
              <w:gridCol w:w="1333"/>
            </w:tblGrid>
            <w:tr w:rsidR="00610693" w:rsidRPr="00F85F08" w:rsidTr="001A18F5">
              <w:trPr>
                <w:trHeight w:val="269"/>
                <w:jc w:val="center"/>
              </w:trPr>
              <w:tc>
                <w:tcPr>
                  <w:tcW w:w="2461" w:type="dxa"/>
                  <w:shd w:val="clear" w:color="auto" w:fill="D9D9D9" w:themeFill="background1" w:themeFillShade="D9"/>
                  <w:vAlign w:val="center"/>
                </w:tcPr>
                <w:p w:rsidR="00610693" w:rsidRPr="00F85F08" w:rsidRDefault="00610693" w:rsidP="001736A9">
                  <w:pPr>
                    <w:tabs>
                      <w:tab w:val="left" w:pos="1056"/>
                    </w:tabs>
                    <w:spacing w:line="276" w:lineRule="auto"/>
                    <w:jc w:val="center"/>
                    <w:rPr>
                      <w:rFonts w:ascii="Calibri Light" w:hAnsi="Calibri Light" w:cs="Calibri Light"/>
                      <w:b/>
                      <w:sz w:val="20"/>
                      <w:szCs w:val="22"/>
                    </w:rPr>
                  </w:pPr>
                  <w:r w:rsidRPr="00F85F08">
                    <w:rPr>
                      <w:rFonts w:ascii="Calibri Light" w:hAnsi="Calibri Light" w:cs="Calibri Light"/>
                      <w:b/>
                      <w:sz w:val="20"/>
                      <w:szCs w:val="22"/>
                    </w:rPr>
                    <w:t>Proyecto</w:t>
                  </w:r>
                </w:p>
              </w:tc>
              <w:tc>
                <w:tcPr>
                  <w:tcW w:w="1333" w:type="dxa"/>
                  <w:shd w:val="clear" w:color="auto" w:fill="D9D9D9" w:themeFill="background1" w:themeFillShade="D9"/>
                  <w:vAlign w:val="center"/>
                </w:tcPr>
                <w:p w:rsidR="00610693" w:rsidRPr="00F85F08" w:rsidRDefault="00610693" w:rsidP="001736A9">
                  <w:pPr>
                    <w:tabs>
                      <w:tab w:val="left" w:pos="1056"/>
                    </w:tabs>
                    <w:spacing w:line="276" w:lineRule="auto"/>
                    <w:jc w:val="center"/>
                    <w:rPr>
                      <w:rFonts w:ascii="Calibri Light" w:hAnsi="Calibri Light" w:cs="Calibri Light"/>
                      <w:b/>
                      <w:sz w:val="20"/>
                      <w:szCs w:val="22"/>
                    </w:rPr>
                  </w:pPr>
                  <w:r w:rsidRPr="00F85F08">
                    <w:rPr>
                      <w:rFonts w:ascii="Calibri Light" w:hAnsi="Calibri Light" w:cs="Calibri Light"/>
                      <w:b/>
                      <w:sz w:val="20"/>
                      <w:szCs w:val="22"/>
                    </w:rPr>
                    <w:t>I Semestre</w:t>
                  </w:r>
                </w:p>
              </w:tc>
              <w:tc>
                <w:tcPr>
                  <w:tcW w:w="1333" w:type="dxa"/>
                  <w:shd w:val="clear" w:color="auto" w:fill="D9D9D9" w:themeFill="background1" w:themeFillShade="D9"/>
                  <w:vAlign w:val="center"/>
                </w:tcPr>
                <w:p w:rsidR="00610693" w:rsidRPr="00F85F08" w:rsidRDefault="00610693" w:rsidP="001736A9">
                  <w:pPr>
                    <w:tabs>
                      <w:tab w:val="left" w:pos="1056"/>
                    </w:tabs>
                    <w:spacing w:line="276" w:lineRule="auto"/>
                    <w:jc w:val="center"/>
                    <w:rPr>
                      <w:rFonts w:ascii="Calibri Light" w:hAnsi="Calibri Light" w:cs="Calibri Light"/>
                      <w:b/>
                      <w:sz w:val="20"/>
                      <w:szCs w:val="22"/>
                    </w:rPr>
                  </w:pPr>
                  <w:r w:rsidRPr="00F85F08">
                    <w:rPr>
                      <w:rFonts w:ascii="Calibri Light" w:hAnsi="Calibri Light" w:cs="Calibri Light"/>
                      <w:b/>
                      <w:sz w:val="20"/>
                      <w:szCs w:val="22"/>
                    </w:rPr>
                    <w:t>%</w:t>
                  </w:r>
                </w:p>
              </w:tc>
            </w:tr>
            <w:tr w:rsidR="00610693" w:rsidRPr="00F85F08" w:rsidTr="001A18F5">
              <w:trPr>
                <w:trHeight w:val="362"/>
                <w:jc w:val="center"/>
              </w:trPr>
              <w:tc>
                <w:tcPr>
                  <w:tcW w:w="2461" w:type="dxa"/>
                </w:tcPr>
                <w:p w:rsidR="00610693" w:rsidRPr="00F85F08" w:rsidRDefault="00610693" w:rsidP="001736A9">
                  <w:pPr>
                    <w:tabs>
                      <w:tab w:val="left" w:pos="1056"/>
                    </w:tabs>
                    <w:spacing w:line="276" w:lineRule="auto"/>
                    <w:rPr>
                      <w:rFonts w:ascii="Calibri Light" w:hAnsi="Calibri Light" w:cs="Calibri Light"/>
                      <w:sz w:val="20"/>
                      <w:szCs w:val="22"/>
                    </w:rPr>
                  </w:pPr>
                  <w:r w:rsidRPr="00F85F08">
                    <w:rPr>
                      <w:rFonts w:ascii="Calibri Light" w:hAnsi="Calibri Light" w:cs="Calibri Light"/>
                      <w:sz w:val="20"/>
                      <w:szCs w:val="22"/>
                    </w:rPr>
                    <w:t>MSBR con Asesoría TC</w:t>
                  </w:r>
                </w:p>
              </w:tc>
              <w:tc>
                <w:tcPr>
                  <w:tcW w:w="1333" w:type="dxa"/>
                </w:tcPr>
                <w:p w:rsidR="00610693" w:rsidRPr="00F85F08" w:rsidRDefault="00610693" w:rsidP="001736A9">
                  <w:pPr>
                    <w:tabs>
                      <w:tab w:val="left" w:pos="1056"/>
                    </w:tabs>
                    <w:spacing w:line="276" w:lineRule="auto"/>
                    <w:jc w:val="center"/>
                    <w:rPr>
                      <w:rFonts w:ascii="Calibri Light" w:hAnsi="Calibri Light" w:cs="Calibri Light"/>
                      <w:sz w:val="20"/>
                      <w:szCs w:val="22"/>
                    </w:rPr>
                  </w:pPr>
                  <w:r w:rsidRPr="00F85F08">
                    <w:rPr>
                      <w:rFonts w:ascii="Calibri Light" w:hAnsi="Calibri Light" w:cs="Calibri Light"/>
                      <w:sz w:val="20"/>
                      <w:szCs w:val="22"/>
                    </w:rPr>
                    <w:t>3694</w:t>
                  </w:r>
                </w:p>
              </w:tc>
              <w:tc>
                <w:tcPr>
                  <w:tcW w:w="1333" w:type="dxa"/>
                </w:tcPr>
                <w:p w:rsidR="00610693" w:rsidRPr="00F85F08" w:rsidRDefault="00610693" w:rsidP="001736A9">
                  <w:pPr>
                    <w:tabs>
                      <w:tab w:val="left" w:pos="1056"/>
                    </w:tabs>
                    <w:spacing w:line="276" w:lineRule="auto"/>
                    <w:jc w:val="center"/>
                    <w:rPr>
                      <w:rFonts w:ascii="Calibri Light" w:hAnsi="Calibri Light" w:cs="Calibri Light"/>
                      <w:sz w:val="20"/>
                      <w:szCs w:val="22"/>
                    </w:rPr>
                  </w:pPr>
                  <w:r w:rsidRPr="00F85F08">
                    <w:rPr>
                      <w:rFonts w:ascii="Calibri Light" w:hAnsi="Calibri Light" w:cs="Calibri Light"/>
                      <w:sz w:val="20"/>
                      <w:szCs w:val="22"/>
                    </w:rPr>
                    <w:t>86%</w:t>
                  </w:r>
                </w:p>
              </w:tc>
            </w:tr>
            <w:tr w:rsidR="00610693" w:rsidRPr="00F85F08" w:rsidTr="001A18F5">
              <w:trPr>
                <w:trHeight w:val="371"/>
                <w:jc w:val="center"/>
              </w:trPr>
              <w:tc>
                <w:tcPr>
                  <w:tcW w:w="2461" w:type="dxa"/>
                </w:tcPr>
                <w:p w:rsidR="00610693" w:rsidRPr="00F85F08" w:rsidRDefault="00610693" w:rsidP="001736A9">
                  <w:pPr>
                    <w:tabs>
                      <w:tab w:val="left" w:pos="1056"/>
                    </w:tabs>
                    <w:spacing w:line="276" w:lineRule="auto"/>
                    <w:rPr>
                      <w:rFonts w:ascii="Calibri Light" w:hAnsi="Calibri Light" w:cs="Calibri Light"/>
                      <w:sz w:val="20"/>
                      <w:szCs w:val="22"/>
                    </w:rPr>
                  </w:pPr>
                  <w:r w:rsidRPr="00F85F08">
                    <w:rPr>
                      <w:rFonts w:ascii="Calibri Light" w:hAnsi="Calibri Light" w:cs="Calibri Light"/>
                      <w:sz w:val="20"/>
                      <w:szCs w:val="22"/>
                    </w:rPr>
                    <w:t xml:space="preserve">Proyectos </w:t>
                  </w:r>
                  <w:r w:rsidRPr="00F85F08">
                    <w:rPr>
                      <w:rFonts w:ascii="Calibri Light" w:hAnsi="Calibri Light" w:cs="Calibri Light"/>
                      <w:b/>
                      <w:sz w:val="20"/>
                      <w:szCs w:val="22"/>
                      <w:vertAlign w:val="superscript"/>
                    </w:rPr>
                    <w:t>(1)</w:t>
                  </w:r>
                </w:p>
              </w:tc>
              <w:tc>
                <w:tcPr>
                  <w:tcW w:w="1333" w:type="dxa"/>
                </w:tcPr>
                <w:p w:rsidR="00610693" w:rsidRPr="00F85F08" w:rsidRDefault="00610693" w:rsidP="001736A9">
                  <w:pPr>
                    <w:tabs>
                      <w:tab w:val="left" w:pos="1056"/>
                    </w:tabs>
                    <w:spacing w:line="276" w:lineRule="auto"/>
                    <w:jc w:val="center"/>
                    <w:rPr>
                      <w:rFonts w:ascii="Calibri Light" w:hAnsi="Calibri Light" w:cs="Calibri Light"/>
                      <w:sz w:val="20"/>
                      <w:szCs w:val="22"/>
                    </w:rPr>
                  </w:pPr>
                  <w:r w:rsidRPr="00F85F08">
                    <w:rPr>
                      <w:rFonts w:ascii="Calibri Light" w:hAnsi="Calibri Light" w:cs="Calibri Light"/>
                      <w:sz w:val="20"/>
                      <w:szCs w:val="22"/>
                    </w:rPr>
                    <w:t>593</w:t>
                  </w:r>
                </w:p>
              </w:tc>
              <w:tc>
                <w:tcPr>
                  <w:tcW w:w="1333" w:type="dxa"/>
                </w:tcPr>
                <w:p w:rsidR="00610693" w:rsidRPr="00F85F08" w:rsidRDefault="00610693" w:rsidP="001736A9">
                  <w:pPr>
                    <w:tabs>
                      <w:tab w:val="left" w:pos="1056"/>
                    </w:tabs>
                    <w:spacing w:line="276" w:lineRule="auto"/>
                    <w:jc w:val="center"/>
                    <w:rPr>
                      <w:rFonts w:ascii="Calibri Light" w:hAnsi="Calibri Light" w:cs="Calibri Light"/>
                      <w:sz w:val="20"/>
                      <w:szCs w:val="22"/>
                    </w:rPr>
                  </w:pPr>
                  <w:r w:rsidRPr="00F85F08">
                    <w:rPr>
                      <w:rFonts w:ascii="Calibri Light" w:hAnsi="Calibri Light" w:cs="Calibri Light"/>
                      <w:sz w:val="20"/>
                      <w:szCs w:val="22"/>
                    </w:rPr>
                    <w:t>14%</w:t>
                  </w:r>
                </w:p>
              </w:tc>
            </w:tr>
            <w:tr w:rsidR="00610693" w:rsidRPr="00F85F08" w:rsidTr="001A18F5">
              <w:trPr>
                <w:trHeight w:val="368"/>
                <w:jc w:val="center"/>
              </w:trPr>
              <w:tc>
                <w:tcPr>
                  <w:tcW w:w="2461" w:type="dxa"/>
                </w:tcPr>
                <w:p w:rsidR="00610693" w:rsidRPr="00F85F08" w:rsidRDefault="00610693" w:rsidP="001736A9">
                  <w:pPr>
                    <w:tabs>
                      <w:tab w:val="left" w:pos="1056"/>
                    </w:tabs>
                    <w:spacing w:line="276" w:lineRule="auto"/>
                    <w:rPr>
                      <w:rFonts w:ascii="Calibri Light" w:hAnsi="Calibri Light" w:cs="Calibri Light"/>
                      <w:b/>
                      <w:sz w:val="20"/>
                      <w:szCs w:val="22"/>
                    </w:rPr>
                  </w:pPr>
                  <w:r w:rsidRPr="00F85F08">
                    <w:rPr>
                      <w:rFonts w:ascii="Calibri Light" w:hAnsi="Calibri Light" w:cs="Calibri Light"/>
                      <w:b/>
                      <w:sz w:val="20"/>
                      <w:szCs w:val="22"/>
                    </w:rPr>
                    <w:t>Total</w:t>
                  </w:r>
                </w:p>
              </w:tc>
              <w:tc>
                <w:tcPr>
                  <w:tcW w:w="1333" w:type="dxa"/>
                </w:tcPr>
                <w:p w:rsidR="00610693" w:rsidRPr="00F85F08" w:rsidRDefault="00610693" w:rsidP="001736A9">
                  <w:pPr>
                    <w:tabs>
                      <w:tab w:val="left" w:pos="1056"/>
                    </w:tabs>
                    <w:spacing w:line="276" w:lineRule="auto"/>
                    <w:jc w:val="center"/>
                    <w:rPr>
                      <w:rFonts w:ascii="Calibri Light" w:hAnsi="Calibri Light" w:cs="Calibri Light"/>
                      <w:b/>
                      <w:sz w:val="20"/>
                      <w:szCs w:val="22"/>
                    </w:rPr>
                  </w:pPr>
                  <w:r w:rsidRPr="00F85F08">
                    <w:rPr>
                      <w:rFonts w:ascii="Calibri Light" w:hAnsi="Calibri Light" w:cs="Calibri Light"/>
                      <w:b/>
                      <w:sz w:val="20"/>
                      <w:szCs w:val="22"/>
                    </w:rPr>
                    <w:t>4287</w:t>
                  </w:r>
                </w:p>
              </w:tc>
              <w:tc>
                <w:tcPr>
                  <w:tcW w:w="1333" w:type="dxa"/>
                </w:tcPr>
                <w:p w:rsidR="00610693" w:rsidRPr="00F85F08" w:rsidRDefault="00610693" w:rsidP="001736A9">
                  <w:pPr>
                    <w:tabs>
                      <w:tab w:val="left" w:pos="1056"/>
                    </w:tabs>
                    <w:spacing w:line="276" w:lineRule="auto"/>
                    <w:jc w:val="center"/>
                    <w:rPr>
                      <w:rFonts w:ascii="Calibri Light" w:hAnsi="Calibri Light" w:cs="Calibri Light"/>
                      <w:b/>
                      <w:sz w:val="20"/>
                      <w:szCs w:val="22"/>
                    </w:rPr>
                  </w:pPr>
                  <w:r w:rsidRPr="00F85F08">
                    <w:rPr>
                      <w:rFonts w:ascii="Calibri Light" w:hAnsi="Calibri Light" w:cs="Calibri Light"/>
                      <w:b/>
                      <w:sz w:val="20"/>
                      <w:szCs w:val="22"/>
                    </w:rPr>
                    <w:t>100%</w:t>
                  </w:r>
                </w:p>
              </w:tc>
            </w:tr>
          </w:tbl>
          <w:p w:rsidR="00610693" w:rsidRPr="00F85F08" w:rsidRDefault="00610693" w:rsidP="001736A9">
            <w:pPr>
              <w:pStyle w:val="Prrafodelista"/>
              <w:numPr>
                <w:ilvl w:val="0"/>
                <w:numId w:val="25"/>
              </w:numPr>
              <w:tabs>
                <w:tab w:val="left" w:pos="1056"/>
              </w:tabs>
              <w:spacing w:line="276" w:lineRule="auto"/>
              <w:jc w:val="center"/>
              <w:rPr>
                <w:rFonts w:ascii="Calibri Light" w:hAnsi="Calibri Light" w:cs="Calibri Light"/>
                <w:sz w:val="20"/>
              </w:rPr>
            </w:pPr>
            <w:r w:rsidRPr="00F85F08">
              <w:rPr>
                <w:rFonts w:ascii="Calibri Light" w:hAnsi="Calibri Light" w:cs="Calibri Light"/>
                <w:sz w:val="20"/>
              </w:rPr>
              <w:t>Reglamento Gestión Activos, Roles, CDN.</w:t>
            </w:r>
          </w:p>
          <w:p w:rsidR="00610693" w:rsidRPr="00F85F08" w:rsidRDefault="00610693" w:rsidP="001A18F5">
            <w:pPr>
              <w:tabs>
                <w:tab w:val="left" w:pos="1056"/>
              </w:tabs>
              <w:spacing w:line="276" w:lineRule="auto"/>
              <w:ind w:left="634"/>
              <w:jc w:val="left"/>
              <w:rPr>
                <w:rFonts w:ascii="Calibri Light" w:hAnsi="Calibri Light" w:cs="Calibri Light"/>
                <w:sz w:val="20"/>
              </w:rPr>
            </w:pPr>
            <w:r w:rsidRPr="00F85F08">
              <w:rPr>
                <w:rFonts w:ascii="Calibri Light" w:hAnsi="Calibri Light" w:cs="Calibri Light"/>
                <w:sz w:val="20"/>
              </w:rPr>
              <w:t>Fuente: Elaboración propia con base en Plan de supervisión de RC 2018.</w:t>
            </w:r>
          </w:p>
          <w:p w:rsidR="00610693" w:rsidRPr="00F85F08" w:rsidRDefault="00610693" w:rsidP="001736A9">
            <w:pPr>
              <w:tabs>
                <w:tab w:val="left" w:pos="1056"/>
              </w:tabs>
              <w:spacing w:line="276" w:lineRule="auto"/>
              <w:jc w:val="center"/>
              <w:rPr>
                <w:rFonts w:ascii="Calibri Light" w:hAnsi="Calibri Light" w:cs="Calibri Light"/>
                <w:sz w:val="20"/>
                <w:szCs w:val="22"/>
              </w:rPr>
            </w:pPr>
          </w:p>
          <w:p w:rsidR="00610693" w:rsidRPr="00F85F08" w:rsidRDefault="00610693" w:rsidP="001736A9">
            <w:pPr>
              <w:tabs>
                <w:tab w:val="left" w:pos="1056"/>
              </w:tabs>
              <w:spacing w:line="276" w:lineRule="auto"/>
              <w:rPr>
                <w:rFonts w:ascii="Calibri Light" w:hAnsi="Calibri Light" w:cs="Calibri Light"/>
                <w:sz w:val="20"/>
                <w:szCs w:val="22"/>
              </w:rPr>
            </w:pPr>
            <w:r w:rsidRPr="00F85F08">
              <w:rPr>
                <w:rFonts w:ascii="Calibri Light" w:hAnsi="Calibri Light" w:cs="Calibri Light"/>
                <w:sz w:val="20"/>
                <w:szCs w:val="22"/>
              </w:rPr>
              <w:t>Durante el primer semestre de 2018, se observa un incremento en horas dedicadas al proyecto MSBR de 121% (1984 horas), en relación con el primer semestre de 2017, mientras que las horas dedicadas a otros proyectos disminuyeron un 50% (638 horas).</w:t>
            </w:r>
          </w:p>
          <w:p w:rsidR="00610693" w:rsidRPr="00F85F08" w:rsidRDefault="00610693" w:rsidP="001736A9">
            <w:pPr>
              <w:tabs>
                <w:tab w:val="left" w:pos="1056"/>
              </w:tabs>
              <w:spacing w:line="276" w:lineRule="auto"/>
              <w:rPr>
                <w:rFonts w:ascii="Calibri Light" w:hAnsi="Calibri Light" w:cs="Calibri Light"/>
                <w:sz w:val="20"/>
                <w:szCs w:val="22"/>
              </w:rPr>
            </w:pPr>
          </w:p>
          <w:p w:rsidR="00610693" w:rsidRPr="00F85F08" w:rsidRDefault="00610693" w:rsidP="001736A9">
            <w:pPr>
              <w:tabs>
                <w:tab w:val="left" w:pos="1056"/>
              </w:tabs>
              <w:spacing w:line="276" w:lineRule="auto"/>
              <w:rPr>
                <w:rFonts w:ascii="Calibri Light" w:hAnsi="Calibri Light" w:cs="Calibri Light"/>
                <w:sz w:val="20"/>
                <w:szCs w:val="22"/>
              </w:rPr>
            </w:pPr>
            <w:r w:rsidRPr="00F85F08">
              <w:rPr>
                <w:rFonts w:ascii="Calibri Light" w:hAnsi="Calibri Light" w:cs="Calibri Light"/>
                <w:sz w:val="20"/>
                <w:szCs w:val="22"/>
              </w:rPr>
              <w:t>Es importante indicar que a partir de mayo se incorporaron los funcionarios a la ejecución del plan de supervisión que estaban asignados al proyecto MSBR, lo cual permitió en alguna medida la atención de tareas que estaban pendientes, principalmente la revisión de los estados financieros auditados y las actas de los comités de riesgos e inversiones y actas del Órgano de Dirección en el Régimen de Capitalización Co</w:t>
            </w:r>
            <w:r w:rsidR="001736A9">
              <w:rPr>
                <w:rFonts w:ascii="Calibri Light" w:hAnsi="Calibri Light" w:cs="Calibri Light"/>
                <w:sz w:val="20"/>
                <w:szCs w:val="22"/>
              </w:rPr>
              <w:t xml:space="preserve">lectiva del Magisterio Nacional, </w:t>
            </w:r>
            <w:r w:rsidRPr="00F85F08">
              <w:rPr>
                <w:rFonts w:ascii="Calibri Light" w:hAnsi="Calibri Light" w:cs="Calibri Light"/>
                <w:sz w:val="20"/>
                <w:szCs w:val="22"/>
              </w:rPr>
              <w:t>para más información, seguidamente se detallan las visitas realizadas y en proceso, para el período en estudio:</w:t>
            </w:r>
          </w:p>
          <w:p w:rsidR="00610693" w:rsidRDefault="00610693" w:rsidP="001736A9">
            <w:pPr>
              <w:tabs>
                <w:tab w:val="left" w:pos="1056"/>
              </w:tabs>
              <w:spacing w:line="276" w:lineRule="auto"/>
              <w:rPr>
                <w:rFonts w:ascii="Calibri Light" w:hAnsi="Calibri Light" w:cs="Calibri Light"/>
                <w:sz w:val="20"/>
                <w:szCs w:val="22"/>
              </w:rPr>
            </w:pPr>
          </w:p>
          <w:p w:rsidR="00610693" w:rsidRPr="00F85F08" w:rsidRDefault="00610693" w:rsidP="001736A9">
            <w:pPr>
              <w:spacing w:line="276" w:lineRule="auto"/>
              <w:ind w:left="79" w:hanging="79"/>
              <w:rPr>
                <w:rFonts w:ascii="Calibri Light" w:hAnsi="Calibri Light" w:cs="Calibri Light"/>
                <w:sz w:val="20"/>
                <w:szCs w:val="22"/>
              </w:rPr>
            </w:pPr>
            <w:r w:rsidRPr="00F85F08">
              <w:rPr>
                <w:rFonts w:ascii="Calibri Light" w:hAnsi="Calibri Light" w:cs="Calibri Light"/>
                <w:sz w:val="20"/>
                <w:szCs w:val="22"/>
              </w:rPr>
              <w:t xml:space="preserve">Cuadro </w:t>
            </w:r>
            <w:r w:rsidR="00E46832" w:rsidRPr="00F85F08">
              <w:rPr>
                <w:rFonts w:ascii="Calibri Light" w:hAnsi="Calibri Light" w:cs="Calibri Light"/>
                <w:sz w:val="20"/>
                <w:szCs w:val="22"/>
              </w:rPr>
              <w:t>17</w:t>
            </w:r>
          </w:p>
          <w:p w:rsidR="00610693" w:rsidRPr="001736A9" w:rsidRDefault="001736A9" w:rsidP="001736A9">
            <w:pPr>
              <w:tabs>
                <w:tab w:val="left" w:pos="1056"/>
              </w:tabs>
              <w:spacing w:line="276" w:lineRule="auto"/>
              <w:rPr>
                <w:rFonts w:ascii="Calibri Light" w:hAnsi="Calibri Light" w:cs="Calibri Light"/>
                <w:color w:val="000000" w:themeColor="text1"/>
                <w:sz w:val="20"/>
                <w:szCs w:val="22"/>
                <w:lang w:val="es-CR"/>
              </w:rPr>
            </w:pPr>
            <w:r w:rsidRPr="001736A9">
              <w:rPr>
                <w:rFonts w:ascii="Calibri Light" w:hAnsi="Calibri Light" w:cs="Calibri Light"/>
                <w:noProof/>
                <w:sz w:val="20"/>
                <w:szCs w:val="22"/>
              </w:rPr>
              <w:drawing>
                <wp:inline distT="0" distB="0" distL="0" distR="0" wp14:anchorId="0AF66286" wp14:editId="0285CA2E">
                  <wp:extent cx="3343046" cy="2664613"/>
                  <wp:effectExtent l="0" t="0" r="0"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363765" cy="2681127"/>
                          </a:xfrm>
                          <a:prstGeom prst="rect">
                            <a:avLst/>
                          </a:prstGeom>
                        </pic:spPr>
                      </pic:pic>
                    </a:graphicData>
                  </a:graphic>
                </wp:inline>
              </w:drawing>
            </w:r>
          </w:p>
          <w:p w:rsidR="001736A9" w:rsidRPr="001736A9" w:rsidRDefault="001736A9" w:rsidP="001736A9">
            <w:pPr>
              <w:tabs>
                <w:tab w:val="left" w:pos="1056"/>
              </w:tabs>
              <w:spacing w:line="276" w:lineRule="auto"/>
              <w:rPr>
                <w:rFonts w:ascii="Calibri Light" w:hAnsi="Calibri Light" w:cs="Calibri Light"/>
                <w:color w:val="000000" w:themeColor="text1"/>
                <w:sz w:val="20"/>
                <w:szCs w:val="22"/>
                <w:lang w:val="es-CR"/>
              </w:rPr>
            </w:pPr>
          </w:p>
          <w:p w:rsidR="001736A9" w:rsidRPr="00C72462" w:rsidRDefault="001736A9" w:rsidP="001736A9">
            <w:pPr>
              <w:tabs>
                <w:tab w:val="left" w:pos="1056"/>
              </w:tabs>
              <w:spacing w:line="276" w:lineRule="auto"/>
              <w:rPr>
                <w:rFonts w:ascii="Calibri Light" w:hAnsi="Calibri Light" w:cs="Calibri Light"/>
                <w:sz w:val="20"/>
                <w:szCs w:val="22"/>
              </w:rPr>
            </w:pPr>
            <w:r w:rsidRPr="00F85F08">
              <w:rPr>
                <w:rFonts w:ascii="Calibri Light" w:hAnsi="Calibri Light" w:cs="Calibri Light"/>
                <w:sz w:val="20"/>
                <w:szCs w:val="22"/>
              </w:rPr>
              <w:t xml:space="preserve">Las acciones tomadas consistieron en reasignación de labores a otros colaboradores; recargo de trabajo en algunos funcionarios. Cabe destacar que a partir del 30 de agosto de 2017 se sustituyó interinamente la plaza de Líder de supervisión vacante, para nivelar cargas de trabajo, aunque la división continuó con un funcionario menos, hasta el mes de abril del año en curso y con dos menos a partir de mayo. </w:t>
            </w:r>
          </w:p>
        </w:tc>
      </w:tr>
      <w:tr w:rsidR="00610693" w:rsidRPr="003A3A86" w:rsidTr="00A72EB6">
        <w:trPr>
          <w:trHeight w:val="300"/>
        </w:trPr>
        <w:tc>
          <w:tcPr>
            <w:tcW w:w="9049" w:type="dxa"/>
            <w:gridSpan w:val="2"/>
            <w:tcBorders>
              <w:top w:val="single" w:sz="4" w:space="0" w:color="auto"/>
              <w:bottom w:val="single" w:sz="6" w:space="0" w:color="000000"/>
            </w:tcBorders>
            <w:shd w:val="clear" w:color="auto" w:fill="EAF1DD" w:themeFill="accent3" w:themeFillTint="33"/>
            <w:vAlign w:val="center"/>
          </w:tcPr>
          <w:p w:rsidR="00610693" w:rsidRPr="00F85F08" w:rsidRDefault="00610693" w:rsidP="00F60302">
            <w:pPr>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pPr>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Asesoría Jurídica</w:t>
            </w:r>
          </w:p>
        </w:tc>
      </w:tr>
      <w:tr w:rsidR="00610693" w:rsidRPr="000E0B4B" w:rsidTr="00A72EB6">
        <w:tblPrEx>
          <w:tblCellMar>
            <w:left w:w="70" w:type="dxa"/>
            <w:right w:w="70" w:type="dxa"/>
          </w:tblCellMar>
        </w:tblPrEx>
        <w:trPr>
          <w:trHeight w:val="1265"/>
        </w:trPr>
        <w:tc>
          <w:tcPr>
            <w:tcW w:w="2104" w:type="dxa"/>
            <w:tcBorders>
              <w:top w:val="single" w:sz="6" w:space="0" w:color="000000"/>
            </w:tcBorders>
            <w:vAlign w:val="center"/>
          </w:tcPr>
          <w:p w:rsidR="00610693" w:rsidRPr="00F85F08" w:rsidRDefault="00610693" w:rsidP="00A72EB6">
            <w:pPr>
              <w:spacing w:line="276" w:lineRule="auto"/>
              <w:rPr>
                <w:rFonts w:ascii="Calibri Light" w:hAnsi="Calibri Light" w:cs="Calibri Light"/>
                <w:b/>
                <w:color w:val="000000" w:themeColor="text1"/>
                <w:sz w:val="20"/>
                <w:highlight w:val="yellow"/>
                <w:lang w:val="es-CR"/>
              </w:rPr>
            </w:pPr>
            <w:r w:rsidRPr="00F85F08">
              <w:rPr>
                <w:rFonts w:ascii="Calibri Light" w:hAnsi="Calibri Light" w:cs="Calibri Light"/>
                <w:b/>
                <w:color w:val="000000" w:themeColor="text1"/>
                <w:lang w:val="es-CR"/>
              </w:rPr>
              <w:t>Tramitar en tiempo las solicitudes de asesoría jurídica, denuncias y/o consultas jurídicas; las denuncias y/o consultas de los afiliados y los trámites judiciales.</w:t>
            </w:r>
          </w:p>
        </w:tc>
        <w:tc>
          <w:tcPr>
            <w:tcW w:w="6945" w:type="dxa"/>
            <w:tcBorders>
              <w:top w:val="single" w:sz="6" w:space="0" w:color="000000"/>
            </w:tcBorders>
            <w:vAlign w:val="center"/>
          </w:tcPr>
          <w:p w:rsidR="00610693" w:rsidRPr="00F85F08" w:rsidRDefault="00610693" w:rsidP="001736A9">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1: Atención de consultas jurídicas </w:t>
            </w:r>
          </w:p>
          <w:p w:rsidR="00610693" w:rsidRPr="001736A9" w:rsidRDefault="00610693" w:rsidP="001736A9">
            <w:pPr>
              <w:spacing w:line="276" w:lineRule="auto"/>
              <w:jc w:val="left"/>
              <w:rPr>
                <w:rFonts w:ascii="Calibri Light" w:hAnsi="Calibri Light" w:cs="Calibri Light"/>
                <w:color w:val="000000" w:themeColor="text1"/>
                <w:sz w:val="20"/>
                <w:szCs w:val="22"/>
                <w:lang w:val="es-CR"/>
              </w:rPr>
            </w:pPr>
          </w:p>
          <w:p w:rsidR="00610693" w:rsidRPr="00F85F08" w:rsidRDefault="00610693" w:rsidP="001736A9">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En el primer semestre, se recibieron </w:t>
            </w:r>
            <w:r w:rsidRPr="00F85F08">
              <w:rPr>
                <w:rFonts w:ascii="Calibri Light" w:hAnsi="Calibri Light" w:cs="Calibri Light"/>
                <w:b/>
                <w:color w:val="000000" w:themeColor="text1"/>
                <w:sz w:val="20"/>
                <w:szCs w:val="22"/>
                <w:lang w:val="es-CR"/>
              </w:rPr>
              <w:t>69 consultas jurídicas</w:t>
            </w:r>
            <w:r w:rsidRPr="00F85F08">
              <w:rPr>
                <w:rFonts w:ascii="Calibri Light" w:hAnsi="Calibri Light" w:cs="Calibri Light"/>
                <w:color w:val="000000" w:themeColor="text1"/>
                <w:sz w:val="20"/>
                <w:szCs w:val="22"/>
                <w:lang w:val="es-CR"/>
              </w:rPr>
              <w:t>, 64 trámites fueron atendidos antes del vencimiento del plazo establecido. Otros 5 se atendieron en un tiempo mayor.</w:t>
            </w:r>
          </w:p>
          <w:p w:rsidR="00610693" w:rsidRPr="00F85F08" w:rsidRDefault="00610693" w:rsidP="001736A9">
            <w:pPr>
              <w:spacing w:line="276" w:lineRule="auto"/>
              <w:rPr>
                <w:rFonts w:ascii="Calibri Light" w:hAnsi="Calibri Light" w:cs="Calibri Light"/>
                <w:color w:val="000000" w:themeColor="text1"/>
                <w:sz w:val="20"/>
                <w:szCs w:val="22"/>
                <w:lang w:val="es-CR"/>
              </w:rPr>
            </w:pPr>
          </w:p>
          <w:p w:rsidR="00610693" w:rsidRPr="00F85F08" w:rsidRDefault="00610693" w:rsidP="001736A9">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2: Atención de consultas y denuncias </w:t>
            </w:r>
          </w:p>
          <w:p w:rsidR="00610693" w:rsidRPr="001736A9" w:rsidRDefault="00610693" w:rsidP="001736A9">
            <w:pPr>
              <w:spacing w:line="276" w:lineRule="auto"/>
              <w:rPr>
                <w:rFonts w:ascii="Calibri Light" w:hAnsi="Calibri Light" w:cs="Calibri Light"/>
                <w:color w:val="000000" w:themeColor="text1"/>
                <w:sz w:val="20"/>
                <w:szCs w:val="22"/>
                <w:lang w:val="es-CR"/>
              </w:rPr>
            </w:pPr>
          </w:p>
          <w:p w:rsidR="00610693" w:rsidRPr="00F85F08" w:rsidRDefault="00610693" w:rsidP="001736A9">
            <w:pPr>
              <w:spacing w:line="276" w:lineRule="auto"/>
              <w:rPr>
                <w:rFonts w:ascii="Calibri Light" w:hAnsi="Calibri Light" w:cs="Calibri Light"/>
                <w:color w:val="000000" w:themeColor="text1"/>
                <w:sz w:val="20"/>
                <w:szCs w:val="22"/>
                <w:highlight w:val="yellow"/>
                <w:lang w:val="es-CR"/>
              </w:rPr>
            </w:pPr>
            <w:r w:rsidRPr="00F85F08">
              <w:rPr>
                <w:rFonts w:ascii="Calibri Light" w:hAnsi="Calibri Light" w:cs="Calibri Light"/>
                <w:color w:val="000000" w:themeColor="text1"/>
                <w:sz w:val="20"/>
                <w:szCs w:val="22"/>
                <w:lang w:val="es-CR"/>
              </w:rPr>
              <w:t xml:space="preserve">En el primer semestre, se recibieron </w:t>
            </w:r>
            <w:r w:rsidRPr="00F85F08">
              <w:rPr>
                <w:rFonts w:ascii="Calibri Light" w:hAnsi="Calibri Light" w:cs="Calibri Light"/>
                <w:b/>
                <w:color w:val="000000" w:themeColor="text1"/>
                <w:sz w:val="20"/>
                <w:szCs w:val="22"/>
                <w:lang w:val="es-CR"/>
              </w:rPr>
              <w:t>91 trámites</w:t>
            </w:r>
            <w:r w:rsidRPr="00F85F08">
              <w:rPr>
                <w:rFonts w:ascii="Calibri Light" w:hAnsi="Calibri Light" w:cs="Calibri Light"/>
                <w:color w:val="000000" w:themeColor="text1"/>
                <w:sz w:val="20"/>
                <w:szCs w:val="22"/>
                <w:lang w:val="es-CR"/>
              </w:rPr>
              <w:t xml:space="preserve">, de los cuales 88 fueron atendidos antes del vencimiento del plazo establecido. Los tres restantes se atendieron en un tiempo mayor. </w:t>
            </w:r>
          </w:p>
          <w:p w:rsidR="00610693" w:rsidRPr="00F85F08" w:rsidRDefault="00610693" w:rsidP="001736A9">
            <w:pPr>
              <w:spacing w:line="276" w:lineRule="auto"/>
              <w:rPr>
                <w:rFonts w:ascii="Calibri Light" w:hAnsi="Calibri Light" w:cs="Calibri Light"/>
                <w:color w:val="000000" w:themeColor="text1"/>
                <w:sz w:val="20"/>
                <w:szCs w:val="22"/>
                <w:lang w:val="es-CR"/>
              </w:rPr>
            </w:pPr>
          </w:p>
          <w:p w:rsidR="00610693" w:rsidRPr="00F85F08" w:rsidRDefault="00610693" w:rsidP="001736A9">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3: Atención de recursos administrativos </w:t>
            </w:r>
          </w:p>
          <w:p w:rsidR="00610693" w:rsidRPr="00F85F08" w:rsidRDefault="00610693" w:rsidP="001736A9">
            <w:pPr>
              <w:spacing w:line="276" w:lineRule="auto"/>
              <w:rPr>
                <w:rFonts w:ascii="Calibri Light" w:hAnsi="Calibri Light" w:cs="Calibri Light"/>
                <w:color w:val="000000" w:themeColor="text1"/>
                <w:sz w:val="20"/>
                <w:lang w:val="es-CR"/>
              </w:rPr>
            </w:pPr>
          </w:p>
          <w:p w:rsidR="00610693" w:rsidRPr="00F85F08" w:rsidRDefault="00610693" w:rsidP="001736A9">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En el primer semestre, 5 recursos administrativos de un total de 6 fueron atendidos en plazo. En el siguiente cuadro se presenta la efectividad en la atención de los trámites.  </w:t>
            </w:r>
          </w:p>
          <w:p w:rsidR="00610693" w:rsidRPr="00F85F08" w:rsidRDefault="00610693" w:rsidP="001736A9">
            <w:pPr>
              <w:spacing w:line="276" w:lineRule="auto"/>
              <w:rPr>
                <w:rFonts w:ascii="Calibri Light" w:hAnsi="Calibri Light" w:cs="Calibri Light"/>
                <w:color w:val="000000" w:themeColor="text1"/>
                <w:sz w:val="20"/>
                <w:lang w:val="es-CR"/>
              </w:rPr>
            </w:pPr>
          </w:p>
          <w:p w:rsidR="00610693" w:rsidRPr="00F85F08" w:rsidRDefault="00610693" w:rsidP="001736A9">
            <w:pPr>
              <w:spacing w:line="276" w:lineRule="auto"/>
              <w:ind w:left="79" w:hanging="79"/>
              <w:rPr>
                <w:rFonts w:ascii="Calibri Light" w:hAnsi="Calibri Light" w:cs="Calibri Light"/>
                <w:sz w:val="20"/>
              </w:rPr>
            </w:pPr>
            <w:r w:rsidRPr="00F85F08">
              <w:rPr>
                <w:rFonts w:ascii="Calibri Light" w:hAnsi="Calibri Light" w:cs="Calibri Light"/>
                <w:sz w:val="20"/>
              </w:rPr>
              <w:t xml:space="preserve">Cuadro </w:t>
            </w:r>
            <w:r w:rsidR="00E46832" w:rsidRPr="00F85F08">
              <w:rPr>
                <w:rFonts w:ascii="Calibri Light" w:hAnsi="Calibri Light" w:cs="Calibri Light"/>
                <w:sz w:val="20"/>
              </w:rPr>
              <w:t>18</w:t>
            </w:r>
          </w:p>
          <w:p w:rsidR="00610693" w:rsidRPr="00F85F08" w:rsidRDefault="00610693" w:rsidP="001736A9">
            <w:pPr>
              <w:spacing w:line="276" w:lineRule="auto"/>
              <w:rPr>
                <w:rFonts w:ascii="Calibri Light" w:hAnsi="Calibri Light" w:cs="Calibri Light"/>
                <w:b/>
                <w:color w:val="000000" w:themeColor="text1"/>
                <w:sz w:val="20"/>
                <w:lang w:val="es-CR"/>
              </w:rPr>
            </w:pPr>
            <w:r w:rsidRPr="00F85F08">
              <w:rPr>
                <w:rFonts w:ascii="Calibri Light" w:hAnsi="Calibri Light" w:cs="Calibri Light"/>
                <w:noProof/>
                <w:sz w:val="20"/>
              </w:rPr>
              <w:drawing>
                <wp:inline distT="0" distB="0" distL="0" distR="0" wp14:anchorId="749A760A" wp14:editId="4B2E7E10">
                  <wp:extent cx="4147718" cy="1983956"/>
                  <wp:effectExtent l="0" t="0" r="571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79091" cy="1998962"/>
                          </a:xfrm>
                          <a:prstGeom prst="rect">
                            <a:avLst/>
                          </a:prstGeom>
                        </pic:spPr>
                      </pic:pic>
                    </a:graphicData>
                  </a:graphic>
                </wp:inline>
              </w:drawing>
            </w:r>
          </w:p>
          <w:p w:rsidR="00610693" w:rsidRPr="00F85F08" w:rsidRDefault="00610693" w:rsidP="001736A9">
            <w:pPr>
              <w:spacing w:line="276" w:lineRule="auto"/>
              <w:jc w:val="left"/>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El resultado promedio para la meta es de 90.93%.</w:t>
            </w:r>
            <w:r w:rsidRPr="00F85F08">
              <w:rPr>
                <w:rFonts w:ascii="Calibri Light" w:hAnsi="Calibri Light" w:cs="Calibri Light"/>
                <w:b/>
                <w:color w:val="000000" w:themeColor="text1"/>
                <w:sz w:val="20"/>
                <w:szCs w:val="22"/>
                <w:lang w:val="es-CR"/>
              </w:rPr>
              <w:t xml:space="preserve"> </w:t>
            </w:r>
          </w:p>
        </w:tc>
      </w:tr>
      <w:tr w:rsidR="00610693" w:rsidRPr="004E1A4C" w:rsidTr="00A72EB6">
        <w:tblPrEx>
          <w:tblCellMar>
            <w:left w:w="70" w:type="dxa"/>
            <w:right w:w="70" w:type="dxa"/>
          </w:tblCellMar>
        </w:tblPrEx>
        <w:trPr>
          <w:trHeight w:val="1265"/>
        </w:trPr>
        <w:tc>
          <w:tcPr>
            <w:tcW w:w="2104" w:type="dxa"/>
            <w:tcBorders>
              <w:top w:val="single" w:sz="6" w:space="0" w:color="000000"/>
            </w:tcBorders>
            <w:vAlign w:val="center"/>
          </w:tcPr>
          <w:p w:rsidR="00610693" w:rsidRPr="00F85F08" w:rsidRDefault="00610693" w:rsidP="00A72EB6">
            <w:pPr>
              <w:spacing w:line="276" w:lineRule="auto"/>
              <w:rPr>
                <w:rFonts w:ascii="Calibri Light" w:hAnsi="Calibri Light" w:cs="Calibri Light"/>
                <w:color w:val="000000" w:themeColor="text1"/>
                <w:lang w:val="es-CR"/>
              </w:rPr>
            </w:pPr>
            <w:r w:rsidRPr="00F85F08">
              <w:rPr>
                <w:rFonts w:ascii="Calibri Light" w:hAnsi="Calibri Light" w:cs="Calibri Light"/>
                <w:b/>
                <w:color w:val="000000" w:themeColor="text1"/>
                <w:lang w:val="es-CR"/>
              </w:rPr>
              <w:t>Tramitar en un tiempo promedio no superior de doce meses calendario los procedimientos administrativos iniciados por la Superintendencia de Pensiones.</w:t>
            </w:r>
          </w:p>
        </w:tc>
        <w:tc>
          <w:tcPr>
            <w:tcW w:w="6945" w:type="dxa"/>
            <w:tcBorders>
              <w:top w:val="single" w:sz="6" w:space="0" w:color="000000"/>
            </w:tcBorders>
            <w:vAlign w:val="center"/>
          </w:tcPr>
          <w:p w:rsidR="00610693" w:rsidRPr="00F85F08" w:rsidRDefault="00610693" w:rsidP="00A72EB6">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 xml:space="preserve">Indicador 1: Atención de procedimientos administrativos </w:t>
            </w:r>
          </w:p>
          <w:p w:rsidR="00610693" w:rsidRPr="00F85F08" w:rsidRDefault="00610693" w:rsidP="00A72EB6">
            <w:pPr>
              <w:spacing w:line="276" w:lineRule="auto"/>
              <w:rPr>
                <w:rFonts w:ascii="Calibri Light" w:hAnsi="Calibri Light" w:cs="Calibri Light"/>
                <w:b/>
                <w:color w:val="000000" w:themeColor="text1"/>
                <w:sz w:val="20"/>
                <w:szCs w:val="22"/>
                <w:lang w:val="es-CR"/>
              </w:rPr>
            </w:pPr>
          </w:p>
          <w:p w:rsidR="00610693" w:rsidRPr="0086676A"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Se abrió un procedimiento administrativo, que se encuentra en etapa de instrucción, y el órgano director aún está dentro del plazo de atención establecido en el indicador para rendir el informe final con la recomendación.</w:t>
            </w:r>
          </w:p>
        </w:tc>
      </w:tr>
      <w:tr w:rsidR="00610693" w:rsidRPr="003A3A86" w:rsidTr="00A72EB6">
        <w:trPr>
          <w:trHeight w:val="403"/>
        </w:trPr>
        <w:tc>
          <w:tcPr>
            <w:tcW w:w="9049" w:type="dxa"/>
            <w:gridSpan w:val="2"/>
            <w:tcBorders>
              <w:top w:val="single" w:sz="6" w:space="0" w:color="000000"/>
              <w:bottom w:val="single" w:sz="6" w:space="0" w:color="000000"/>
            </w:tcBorders>
            <w:shd w:val="clear" w:color="auto" w:fill="EAF1DD" w:themeFill="accent3" w:themeFillTint="33"/>
            <w:vAlign w:val="center"/>
          </w:tcPr>
          <w:p w:rsidR="00610693" w:rsidRPr="00F85F08" w:rsidRDefault="00610693" w:rsidP="00F60302">
            <w:pPr>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pPr>
            <w:bookmarkStart w:id="44" w:name="_Toc441843727"/>
            <w:bookmarkStart w:id="45" w:name="_Toc472341094"/>
            <w:bookmarkStart w:id="46" w:name="_Toc505008424"/>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Planificación y Normativa</w:t>
            </w:r>
            <w:bookmarkEnd w:id="44"/>
            <w:bookmarkEnd w:id="45"/>
            <w:bookmarkEnd w:id="46"/>
          </w:p>
        </w:tc>
      </w:tr>
      <w:tr w:rsidR="00610693" w:rsidRPr="00462B1F" w:rsidTr="00A72EB6">
        <w:tblPrEx>
          <w:tblCellMar>
            <w:left w:w="70" w:type="dxa"/>
            <w:right w:w="70" w:type="dxa"/>
          </w:tblCellMar>
        </w:tblPrEx>
        <w:trPr>
          <w:trHeight w:val="380"/>
        </w:trPr>
        <w:tc>
          <w:tcPr>
            <w:tcW w:w="2104" w:type="dxa"/>
            <w:tcBorders>
              <w:top w:val="single" w:sz="6" w:space="0" w:color="000000"/>
            </w:tcBorders>
            <w:vAlign w:val="center"/>
          </w:tcPr>
          <w:p w:rsidR="00610693" w:rsidRPr="00F85F08" w:rsidRDefault="00610693" w:rsidP="00A72EB6">
            <w:pPr>
              <w:spacing w:line="276" w:lineRule="auto"/>
              <w:jc w:val="left"/>
              <w:rPr>
                <w:rFonts w:ascii="Calibri Light" w:hAnsi="Calibri Light" w:cs="Calibri Light"/>
                <w:b/>
                <w:color w:val="000000" w:themeColor="text1"/>
                <w:szCs w:val="22"/>
                <w:lang w:val="es-CR"/>
              </w:rPr>
            </w:pPr>
            <w:r w:rsidRPr="00F85F08">
              <w:rPr>
                <w:rFonts w:ascii="Calibri Light" w:hAnsi="Calibri Light" w:cs="Calibri Light"/>
                <w:b/>
                <w:color w:val="000000" w:themeColor="text1"/>
                <w:szCs w:val="22"/>
                <w:lang w:val="es-CR"/>
              </w:rPr>
              <w:t>Tener la planificación estratégica actualizada y alineada a los requerimientos institucionales.</w:t>
            </w:r>
          </w:p>
        </w:tc>
        <w:tc>
          <w:tcPr>
            <w:tcW w:w="6945" w:type="dxa"/>
            <w:tcBorders>
              <w:top w:val="single" w:sz="6" w:space="0" w:color="000000"/>
            </w:tcBorders>
            <w:vAlign w:val="center"/>
          </w:tcPr>
          <w:p w:rsidR="00610693" w:rsidRPr="00F85F08" w:rsidRDefault="00610693" w:rsidP="00A72EB6">
            <w:pPr>
              <w:spacing w:line="276" w:lineRule="auto"/>
              <w:jc w:val="left"/>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Gestión del plan estratégico</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Mediante sesión 1412, del 24 de abril del 2018, el Consejo Nacional de Supervisión del Sistema Financiero acordó pedir a las Superintendencias realizar un Ejercicio estratégico, con horizonte 2019-2023. Dicho requerimiento, implicó ajustar la planificación institucional. El 19 de junio de 2018, la SUPEN aprobó el nuevo Plan Estratégico.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En línea con lo anterior, el resultado para esta meta se ubica en 100%. </w:t>
            </w:r>
          </w:p>
        </w:tc>
      </w:tr>
      <w:tr w:rsidR="00610693" w:rsidRPr="00462B1F" w:rsidTr="00A72EB6">
        <w:tblPrEx>
          <w:tblCellMar>
            <w:left w:w="70" w:type="dxa"/>
            <w:right w:w="70" w:type="dxa"/>
          </w:tblCellMar>
        </w:tblPrEx>
        <w:trPr>
          <w:trHeight w:val="1084"/>
        </w:trPr>
        <w:tc>
          <w:tcPr>
            <w:tcW w:w="2104" w:type="dxa"/>
            <w:tcBorders>
              <w:top w:val="single" w:sz="6" w:space="0" w:color="000000"/>
            </w:tcBorders>
            <w:vAlign w:val="center"/>
          </w:tcPr>
          <w:p w:rsidR="00610693" w:rsidRPr="00F85F08" w:rsidRDefault="00610693" w:rsidP="00A72EB6">
            <w:pPr>
              <w:spacing w:line="276" w:lineRule="auto"/>
              <w:jc w:val="left"/>
              <w:rPr>
                <w:rFonts w:ascii="Calibri Light" w:hAnsi="Calibri Light" w:cs="Calibri Light"/>
                <w:b/>
                <w:color w:val="000000" w:themeColor="text1"/>
                <w:szCs w:val="22"/>
                <w:lang w:val="es-CR"/>
              </w:rPr>
            </w:pPr>
            <w:r w:rsidRPr="00F85F08">
              <w:rPr>
                <w:rFonts w:ascii="Calibri Light" w:hAnsi="Calibri Light" w:cs="Calibri Light"/>
                <w:b/>
                <w:color w:val="000000" w:themeColor="text1"/>
                <w:szCs w:val="22"/>
                <w:lang w:val="es-CR"/>
              </w:rPr>
              <w:t>Cumplir con las entregas de los proyectos en el plazo planificado.</w:t>
            </w:r>
          </w:p>
        </w:tc>
        <w:tc>
          <w:tcPr>
            <w:tcW w:w="6945" w:type="dxa"/>
            <w:tcBorders>
              <w:top w:val="single" w:sz="6" w:space="0" w:color="000000"/>
            </w:tcBorders>
            <w:vAlign w:val="center"/>
          </w:tcPr>
          <w:p w:rsidR="00610693" w:rsidRPr="00F85F08" w:rsidRDefault="00610693" w:rsidP="00A72EB6">
            <w:pPr>
              <w:spacing w:line="276"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Gestión de proyectos y mejoras</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bCs/>
                <w:sz w:val="20"/>
                <w:szCs w:val="22"/>
                <w:highlight w:val="yellow"/>
                <w:lang w:val="es-CR"/>
              </w:rPr>
            </w:pPr>
            <w:r w:rsidRPr="00F85F08">
              <w:rPr>
                <w:rFonts w:ascii="Calibri Light" w:hAnsi="Calibri Light" w:cs="Calibri Light"/>
                <w:color w:val="000000" w:themeColor="text1"/>
                <w:sz w:val="20"/>
                <w:szCs w:val="22"/>
                <w:lang w:val="es-CR"/>
              </w:rPr>
              <w:t>Durante el primer semestre de 2018, se realizó la gestión de proyectos y mejoras satisfactoriamente, dando como resultado 78%. Esta actividad implica el seguimiento en el avance de los proyectos, entre otras labores de control.</w:t>
            </w:r>
            <w:r w:rsidR="0086676A">
              <w:rPr>
                <w:rFonts w:ascii="Calibri Light" w:hAnsi="Calibri Light" w:cs="Calibri Light"/>
                <w:color w:val="000000" w:themeColor="text1"/>
                <w:sz w:val="20"/>
                <w:szCs w:val="22"/>
                <w:lang w:val="es-CR"/>
              </w:rPr>
              <w:t xml:space="preserve"> </w:t>
            </w:r>
            <w:r w:rsidRPr="00F85F08">
              <w:rPr>
                <w:rFonts w:ascii="Calibri Light" w:hAnsi="Calibri Light" w:cs="Calibri Light"/>
                <w:color w:val="000000" w:themeColor="text1"/>
                <w:sz w:val="20"/>
                <w:szCs w:val="22"/>
                <w:lang w:val="es-CR"/>
              </w:rPr>
              <w:t>Sobre el resultado, el cual se ubica a 2% menos de la meta esperada -que es de 80%-, se destaca que, se ha detenido un proyecto, dado que no se cuentan con recursos suficientes para atender el portafolio. Con la liberación de recursos se están canalizando a los proyectos prioritarios atrasados.</w:t>
            </w:r>
            <w:r w:rsidR="00AB7A33">
              <w:rPr>
                <w:rFonts w:ascii="Calibri Light" w:hAnsi="Calibri Light" w:cs="Calibri Light"/>
                <w:color w:val="000000" w:themeColor="text1"/>
                <w:sz w:val="20"/>
                <w:szCs w:val="22"/>
                <w:lang w:val="es-CR"/>
              </w:rPr>
              <w:t xml:space="preserve"> </w:t>
            </w:r>
            <w:r w:rsidRPr="00F85F08">
              <w:rPr>
                <w:rFonts w:ascii="Calibri Light" w:eastAsiaTheme="minorHAnsi" w:hAnsi="Calibri Light" w:cs="Calibri Light"/>
                <w:sz w:val="20"/>
                <w:szCs w:val="22"/>
                <w:lang w:eastAsia="en-US"/>
              </w:rPr>
              <w:t>En el siguiente cuadro se observa el avance de los proye</w:t>
            </w:r>
            <w:r w:rsidR="00AB7A33">
              <w:rPr>
                <w:rFonts w:ascii="Calibri Light" w:eastAsiaTheme="minorHAnsi" w:hAnsi="Calibri Light" w:cs="Calibri Light"/>
                <w:sz w:val="20"/>
                <w:szCs w:val="22"/>
                <w:lang w:eastAsia="en-US"/>
              </w:rPr>
              <w:t>ctos:</w:t>
            </w:r>
          </w:p>
          <w:p w:rsidR="00610693" w:rsidRPr="00F85F08" w:rsidRDefault="00610693" w:rsidP="00A72EB6">
            <w:pPr>
              <w:spacing w:line="276" w:lineRule="auto"/>
              <w:rPr>
                <w:rFonts w:ascii="Calibri Light" w:hAnsi="Calibri Light" w:cs="Calibri Light"/>
                <w:color w:val="000000" w:themeColor="text1"/>
                <w:sz w:val="20"/>
                <w:lang w:val="es-CR"/>
              </w:rPr>
            </w:pPr>
          </w:p>
          <w:p w:rsidR="00610693" w:rsidRPr="00F85F08" w:rsidRDefault="00610693" w:rsidP="00C72462">
            <w:pPr>
              <w:spacing w:line="240" w:lineRule="auto"/>
              <w:ind w:left="79" w:hanging="79"/>
              <w:rPr>
                <w:rFonts w:ascii="Calibri Light" w:hAnsi="Calibri Light" w:cs="Calibri Light"/>
                <w:sz w:val="20"/>
              </w:rPr>
            </w:pPr>
            <w:r w:rsidRPr="00F85F08">
              <w:rPr>
                <w:rFonts w:ascii="Calibri Light" w:hAnsi="Calibri Light" w:cs="Calibri Light"/>
                <w:sz w:val="20"/>
              </w:rPr>
              <w:t xml:space="preserve">Cuadro </w:t>
            </w:r>
            <w:r w:rsidR="00E46832" w:rsidRPr="00F85F08">
              <w:rPr>
                <w:rFonts w:ascii="Calibri Light" w:hAnsi="Calibri Light" w:cs="Calibri Light"/>
                <w:sz w:val="20"/>
              </w:rPr>
              <w:t>18</w:t>
            </w:r>
          </w:p>
          <w:p w:rsidR="00610693" w:rsidRPr="00F85F08" w:rsidRDefault="00610693" w:rsidP="00C72462">
            <w:pPr>
              <w:spacing w:line="240" w:lineRule="auto"/>
              <w:rPr>
                <w:rFonts w:ascii="Calibri Light" w:hAnsi="Calibri Light" w:cs="Calibri Light"/>
                <w:b/>
                <w:color w:val="000000" w:themeColor="text1"/>
                <w:sz w:val="20"/>
                <w:szCs w:val="22"/>
                <w:lang w:val="es-CR"/>
              </w:rPr>
            </w:pPr>
            <w:r w:rsidRPr="00F85F08">
              <w:rPr>
                <w:rFonts w:ascii="Calibri Light" w:hAnsi="Calibri Light" w:cs="Calibri Light"/>
                <w:b/>
                <w:color w:val="000000" w:themeColor="text1"/>
                <w:sz w:val="20"/>
                <w:szCs w:val="22"/>
                <w:lang w:val="es-CR"/>
              </w:rPr>
              <w:t>Avance en proyectos estratégicos, junio 2018</w:t>
            </w:r>
          </w:p>
          <w:tbl>
            <w:tblPr>
              <w:tblStyle w:val="Tabladecuadrcula1clara-nfasis1"/>
              <w:tblW w:w="0" w:type="auto"/>
              <w:tblLayout w:type="fixed"/>
              <w:tblLook w:val="04A0" w:firstRow="1" w:lastRow="0" w:firstColumn="1" w:lastColumn="0" w:noHBand="0" w:noVBand="1"/>
            </w:tblPr>
            <w:tblGrid>
              <w:gridCol w:w="4169"/>
              <w:gridCol w:w="1134"/>
              <w:gridCol w:w="1276"/>
            </w:tblGrid>
            <w:tr w:rsidR="00610693" w:rsidRPr="00AB7A33" w:rsidTr="00E46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9" w:type="dxa"/>
                  <w:shd w:val="clear" w:color="auto" w:fill="D9D9D9" w:themeFill="background1" w:themeFillShade="D9"/>
                </w:tcPr>
                <w:p w:rsidR="00610693" w:rsidRPr="00AB7A33" w:rsidRDefault="00610693" w:rsidP="00A72EB6">
                  <w:pPr>
                    <w:spacing w:line="276" w:lineRule="auto"/>
                    <w:jc w:val="center"/>
                    <w:rPr>
                      <w:rFonts w:ascii="Calibri Light" w:hAnsi="Calibri Light" w:cs="Calibri Light"/>
                      <w:b w:val="0"/>
                      <w:color w:val="000000" w:themeColor="text1"/>
                      <w:sz w:val="18"/>
                      <w:lang w:val="es-CR"/>
                    </w:rPr>
                  </w:pPr>
                  <w:r w:rsidRPr="00AB7A33">
                    <w:rPr>
                      <w:rFonts w:ascii="Calibri Light" w:hAnsi="Calibri Light" w:cs="Calibri Light"/>
                      <w:b w:val="0"/>
                      <w:color w:val="000000" w:themeColor="text1"/>
                      <w:sz w:val="18"/>
                      <w:lang w:val="es-CR"/>
                    </w:rPr>
                    <w:t>Nombre del proyecto</w:t>
                  </w:r>
                </w:p>
              </w:tc>
              <w:tc>
                <w:tcPr>
                  <w:tcW w:w="1134" w:type="dxa"/>
                  <w:shd w:val="clear" w:color="auto" w:fill="D9D9D9" w:themeFill="background1" w:themeFillShade="D9"/>
                </w:tcPr>
                <w:p w:rsidR="00610693" w:rsidRPr="00AB7A33" w:rsidRDefault="00AB7A33" w:rsidP="00A72EB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18"/>
                      <w:lang w:val="es-CR"/>
                    </w:rPr>
                  </w:pPr>
                  <w:r>
                    <w:rPr>
                      <w:rFonts w:ascii="Calibri Light" w:hAnsi="Calibri Light" w:cs="Calibri Light"/>
                      <w:b w:val="0"/>
                      <w:color w:val="000000" w:themeColor="text1"/>
                      <w:sz w:val="18"/>
                      <w:lang w:val="es-CR"/>
                    </w:rPr>
                    <w:t>Avance</w:t>
                  </w:r>
                </w:p>
              </w:tc>
              <w:tc>
                <w:tcPr>
                  <w:tcW w:w="1276" w:type="dxa"/>
                  <w:shd w:val="clear" w:color="auto" w:fill="D9D9D9" w:themeFill="background1" w:themeFillShade="D9"/>
                </w:tcPr>
                <w:p w:rsidR="00610693" w:rsidRPr="00AB7A33" w:rsidRDefault="00610693" w:rsidP="00A72EB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000000" w:themeColor="text1"/>
                      <w:sz w:val="18"/>
                      <w:lang w:val="es-CR"/>
                    </w:rPr>
                  </w:pPr>
                  <w:r w:rsidRPr="00AB7A33">
                    <w:rPr>
                      <w:rFonts w:ascii="Calibri Light" w:hAnsi="Calibri Light" w:cs="Calibri Light"/>
                      <w:b w:val="0"/>
                      <w:color w:val="000000" w:themeColor="text1"/>
                      <w:sz w:val="18"/>
                      <w:lang w:val="es-CR"/>
                    </w:rPr>
                    <w:t>Estado</w:t>
                  </w:r>
                </w:p>
              </w:tc>
            </w:tr>
            <w:tr w:rsidR="00610693" w:rsidRPr="00AB7A33" w:rsidTr="00A72EB6">
              <w:tc>
                <w:tcPr>
                  <w:cnfStyle w:val="001000000000" w:firstRow="0" w:lastRow="0" w:firstColumn="1" w:lastColumn="0" w:oddVBand="0" w:evenVBand="0" w:oddHBand="0" w:evenHBand="0" w:firstRowFirstColumn="0" w:firstRowLastColumn="0" w:lastRowFirstColumn="0" w:lastRowLastColumn="0"/>
                  <w:tcW w:w="4169" w:type="dxa"/>
                </w:tcPr>
                <w:p w:rsidR="00610693" w:rsidRPr="00AB7A33" w:rsidRDefault="00610693" w:rsidP="0086676A">
                  <w:pPr>
                    <w:spacing w:line="240" w:lineRule="auto"/>
                    <w:rPr>
                      <w:rFonts w:ascii="Calibri Light" w:hAnsi="Calibri Light" w:cs="Calibri Light"/>
                      <w:color w:val="000000" w:themeColor="text1"/>
                      <w:sz w:val="18"/>
                      <w:lang w:val="es-CR"/>
                    </w:rPr>
                  </w:pPr>
                  <w:r w:rsidRPr="00AB7A33">
                    <w:rPr>
                      <w:rFonts w:ascii="Calibri Light" w:hAnsi="Calibri Light" w:cs="Calibri Light"/>
                      <w:sz w:val="18"/>
                    </w:rPr>
                    <w:t xml:space="preserve">Implementación del nuevo Modelo de Supervisión Basado en Riesgos </w:t>
                  </w:r>
                </w:p>
              </w:tc>
              <w:tc>
                <w:tcPr>
                  <w:tcW w:w="1134" w:type="dxa"/>
                </w:tcPr>
                <w:p w:rsidR="00610693" w:rsidRPr="00AB7A33" w:rsidRDefault="00610693" w:rsidP="0086676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lang w:val="es-CR"/>
                    </w:rPr>
                  </w:pPr>
                  <w:r w:rsidRPr="00AB7A33">
                    <w:rPr>
                      <w:rFonts w:ascii="Calibri Light" w:hAnsi="Calibri Light" w:cs="Calibri Light"/>
                      <w:b/>
                      <w:sz w:val="18"/>
                    </w:rPr>
                    <w:t>100%</w:t>
                  </w:r>
                </w:p>
              </w:tc>
              <w:tc>
                <w:tcPr>
                  <w:tcW w:w="1276" w:type="dxa"/>
                </w:tcPr>
                <w:p w:rsidR="00610693" w:rsidRPr="00AB7A33" w:rsidRDefault="00610693" w:rsidP="0086676A">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lang w:val="es-CR"/>
                    </w:rPr>
                  </w:pPr>
                  <w:r w:rsidRPr="00AB7A33">
                    <w:rPr>
                      <w:rFonts w:ascii="Calibri Light" w:hAnsi="Calibri Light" w:cs="Calibri Light"/>
                      <w:color w:val="000000" w:themeColor="text1"/>
                      <w:sz w:val="18"/>
                      <w:lang w:val="es-CR"/>
                    </w:rPr>
                    <w:t>En ejecución</w:t>
                  </w:r>
                </w:p>
              </w:tc>
            </w:tr>
            <w:tr w:rsidR="00610693" w:rsidRPr="00AB7A33" w:rsidTr="00A72EB6">
              <w:trPr>
                <w:trHeight w:val="300"/>
              </w:trPr>
              <w:tc>
                <w:tcPr>
                  <w:cnfStyle w:val="001000000000" w:firstRow="0" w:lastRow="0" w:firstColumn="1" w:lastColumn="0" w:oddVBand="0" w:evenVBand="0" w:oddHBand="0" w:evenHBand="0" w:firstRowFirstColumn="0" w:firstRowLastColumn="0" w:lastRowFirstColumn="0" w:lastRowLastColumn="0"/>
                  <w:tcW w:w="4169" w:type="dxa"/>
                </w:tcPr>
                <w:p w:rsidR="00610693" w:rsidRPr="00AB7A33" w:rsidRDefault="00610693" w:rsidP="0086676A">
                  <w:pPr>
                    <w:spacing w:line="240" w:lineRule="auto"/>
                    <w:rPr>
                      <w:rFonts w:ascii="Calibri Light" w:hAnsi="Calibri Light" w:cs="Calibri Light"/>
                      <w:color w:val="000000" w:themeColor="text1"/>
                      <w:sz w:val="18"/>
                      <w:lang w:val="es-CR"/>
                    </w:rPr>
                  </w:pPr>
                  <w:r w:rsidRPr="00AB7A33">
                    <w:rPr>
                      <w:rFonts w:ascii="Calibri Light" w:hAnsi="Calibri Light" w:cs="Calibri Light"/>
                      <w:sz w:val="18"/>
                    </w:rPr>
                    <w:t>Reglamento de Autorizaciones</w:t>
                  </w:r>
                </w:p>
              </w:tc>
              <w:tc>
                <w:tcPr>
                  <w:tcW w:w="1134" w:type="dxa"/>
                </w:tcPr>
                <w:p w:rsidR="00610693" w:rsidRPr="00AB7A33" w:rsidRDefault="00610693" w:rsidP="0086676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lang w:val="es-CR"/>
                    </w:rPr>
                  </w:pPr>
                  <w:r w:rsidRPr="00AB7A33">
                    <w:rPr>
                      <w:rFonts w:ascii="Calibri Light" w:hAnsi="Calibri Light" w:cs="Calibri Light"/>
                      <w:b/>
                      <w:sz w:val="18"/>
                    </w:rPr>
                    <w:t>60%</w:t>
                  </w:r>
                </w:p>
              </w:tc>
              <w:tc>
                <w:tcPr>
                  <w:tcW w:w="1276" w:type="dxa"/>
                </w:tcPr>
                <w:p w:rsidR="00610693" w:rsidRPr="00AB7A33" w:rsidRDefault="00610693" w:rsidP="0086676A">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lang w:val="es-CR"/>
                    </w:rPr>
                  </w:pPr>
                  <w:r w:rsidRPr="00AB7A33">
                    <w:rPr>
                      <w:rFonts w:ascii="Calibri Light" w:hAnsi="Calibri Light" w:cs="Calibri Light"/>
                      <w:color w:val="000000" w:themeColor="text1"/>
                      <w:sz w:val="18"/>
                      <w:lang w:val="es-CR"/>
                    </w:rPr>
                    <w:t>En ejecución</w:t>
                  </w:r>
                </w:p>
              </w:tc>
            </w:tr>
            <w:tr w:rsidR="00610693" w:rsidRPr="00AB7A33" w:rsidTr="00A72EB6">
              <w:tc>
                <w:tcPr>
                  <w:cnfStyle w:val="001000000000" w:firstRow="0" w:lastRow="0" w:firstColumn="1" w:lastColumn="0" w:oddVBand="0" w:evenVBand="0" w:oddHBand="0" w:evenHBand="0" w:firstRowFirstColumn="0" w:firstRowLastColumn="0" w:lastRowFirstColumn="0" w:lastRowLastColumn="0"/>
                  <w:tcW w:w="4169" w:type="dxa"/>
                </w:tcPr>
                <w:p w:rsidR="00610693" w:rsidRPr="00AB7A33" w:rsidRDefault="00610693" w:rsidP="0086676A">
                  <w:pPr>
                    <w:spacing w:line="240" w:lineRule="auto"/>
                    <w:rPr>
                      <w:rFonts w:ascii="Calibri Light" w:hAnsi="Calibri Light" w:cs="Calibri Light"/>
                      <w:sz w:val="18"/>
                    </w:rPr>
                  </w:pPr>
                  <w:r w:rsidRPr="00AB7A33">
                    <w:rPr>
                      <w:rFonts w:ascii="Calibri Light" w:hAnsi="Calibri Light" w:cs="Calibri Light"/>
                      <w:sz w:val="18"/>
                    </w:rPr>
                    <w:t>Reglamento de Disciplina de Mercado</w:t>
                  </w:r>
                </w:p>
              </w:tc>
              <w:tc>
                <w:tcPr>
                  <w:tcW w:w="1134" w:type="dxa"/>
                </w:tcPr>
                <w:p w:rsidR="00610693" w:rsidRPr="00AB7A33" w:rsidRDefault="00610693" w:rsidP="0086676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18"/>
                    </w:rPr>
                  </w:pPr>
                </w:p>
              </w:tc>
              <w:tc>
                <w:tcPr>
                  <w:tcW w:w="1276" w:type="dxa"/>
                </w:tcPr>
                <w:p w:rsidR="00610693" w:rsidRPr="00AB7A33" w:rsidRDefault="00610693" w:rsidP="0086676A">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lang w:val="es-CR"/>
                    </w:rPr>
                  </w:pPr>
                  <w:r w:rsidRPr="00AB7A33">
                    <w:rPr>
                      <w:rFonts w:ascii="Calibri Light" w:hAnsi="Calibri Light" w:cs="Calibri Light"/>
                      <w:color w:val="000000" w:themeColor="text1"/>
                      <w:sz w:val="18"/>
                      <w:lang w:val="es-CR"/>
                    </w:rPr>
                    <w:t>Detenido</w:t>
                  </w:r>
                </w:p>
              </w:tc>
            </w:tr>
            <w:tr w:rsidR="00610693" w:rsidRPr="00AB7A33" w:rsidTr="00A72EB6">
              <w:tc>
                <w:tcPr>
                  <w:cnfStyle w:val="001000000000" w:firstRow="0" w:lastRow="0" w:firstColumn="1" w:lastColumn="0" w:oddVBand="0" w:evenVBand="0" w:oddHBand="0" w:evenHBand="0" w:firstRowFirstColumn="0" w:firstRowLastColumn="0" w:lastRowFirstColumn="0" w:lastRowLastColumn="0"/>
                  <w:tcW w:w="4169" w:type="dxa"/>
                </w:tcPr>
                <w:p w:rsidR="00610693" w:rsidRPr="00AB7A33" w:rsidRDefault="00610693" w:rsidP="0086676A">
                  <w:pPr>
                    <w:spacing w:line="240" w:lineRule="auto"/>
                    <w:rPr>
                      <w:rFonts w:ascii="Calibri Light" w:hAnsi="Calibri Light" w:cs="Calibri Light"/>
                      <w:color w:val="000000" w:themeColor="text1"/>
                      <w:sz w:val="18"/>
                      <w:lang w:val="es-CR"/>
                    </w:rPr>
                  </w:pPr>
                  <w:r w:rsidRPr="00AB7A33">
                    <w:rPr>
                      <w:rFonts w:ascii="Calibri Light" w:hAnsi="Calibri Light" w:cs="Calibri Light"/>
                      <w:sz w:val="18"/>
                    </w:rPr>
                    <w:t>Reglamento de Gestión de Activos</w:t>
                  </w:r>
                </w:p>
              </w:tc>
              <w:tc>
                <w:tcPr>
                  <w:tcW w:w="1134" w:type="dxa"/>
                </w:tcPr>
                <w:p w:rsidR="00610693" w:rsidRPr="00AB7A33" w:rsidRDefault="00610693" w:rsidP="0086676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lang w:val="es-CR"/>
                    </w:rPr>
                  </w:pPr>
                  <w:r w:rsidRPr="00AB7A33">
                    <w:rPr>
                      <w:rFonts w:ascii="Calibri Light" w:hAnsi="Calibri Light" w:cs="Calibri Light"/>
                      <w:b/>
                      <w:sz w:val="18"/>
                    </w:rPr>
                    <w:t>100%</w:t>
                  </w:r>
                </w:p>
              </w:tc>
              <w:tc>
                <w:tcPr>
                  <w:tcW w:w="1276" w:type="dxa"/>
                </w:tcPr>
                <w:p w:rsidR="00610693" w:rsidRPr="00AB7A33" w:rsidRDefault="00610693" w:rsidP="0086676A">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lang w:val="es-CR"/>
                    </w:rPr>
                  </w:pPr>
                  <w:r w:rsidRPr="00AB7A33">
                    <w:rPr>
                      <w:rFonts w:ascii="Calibri Light" w:hAnsi="Calibri Light" w:cs="Calibri Light"/>
                      <w:color w:val="000000" w:themeColor="text1"/>
                      <w:sz w:val="18"/>
                      <w:lang w:val="es-CR"/>
                    </w:rPr>
                    <w:t>En ejecución</w:t>
                  </w:r>
                </w:p>
              </w:tc>
            </w:tr>
            <w:tr w:rsidR="00610693" w:rsidRPr="00AB7A33" w:rsidTr="00A72EB6">
              <w:tc>
                <w:tcPr>
                  <w:cnfStyle w:val="001000000000" w:firstRow="0" w:lastRow="0" w:firstColumn="1" w:lastColumn="0" w:oddVBand="0" w:evenVBand="0" w:oddHBand="0" w:evenHBand="0" w:firstRowFirstColumn="0" w:firstRowLastColumn="0" w:lastRowFirstColumn="0" w:lastRowLastColumn="0"/>
                  <w:tcW w:w="4169" w:type="dxa"/>
                </w:tcPr>
                <w:p w:rsidR="00610693" w:rsidRPr="00AB7A33" w:rsidRDefault="00610693" w:rsidP="0086676A">
                  <w:pPr>
                    <w:spacing w:line="240" w:lineRule="auto"/>
                    <w:rPr>
                      <w:rFonts w:ascii="Calibri Light" w:hAnsi="Calibri Light" w:cs="Calibri Light"/>
                      <w:color w:val="000000" w:themeColor="text1"/>
                      <w:sz w:val="18"/>
                      <w:lang w:val="es-CR"/>
                    </w:rPr>
                  </w:pPr>
                  <w:r w:rsidRPr="00AB7A33">
                    <w:rPr>
                      <w:rFonts w:ascii="Calibri Light" w:hAnsi="Calibri Light" w:cs="Calibri Light"/>
                      <w:sz w:val="18"/>
                    </w:rPr>
                    <w:t>Expediente Previsional</w:t>
                  </w:r>
                </w:p>
              </w:tc>
              <w:tc>
                <w:tcPr>
                  <w:tcW w:w="1134" w:type="dxa"/>
                </w:tcPr>
                <w:p w:rsidR="00610693" w:rsidRPr="00AB7A33" w:rsidRDefault="00610693" w:rsidP="0086676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lang w:val="es-CR"/>
                    </w:rPr>
                  </w:pPr>
                  <w:r w:rsidRPr="00AB7A33">
                    <w:rPr>
                      <w:rFonts w:ascii="Calibri Light" w:hAnsi="Calibri Light" w:cs="Calibri Light"/>
                      <w:b/>
                      <w:sz w:val="18"/>
                    </w:rPr>
                    <w:t>50%</w:t>
                  </w:r>
                </w:p>
              </w:tc>
              <w:tc>
                <w:tcPr>
                  <w:tcW w:w="1276" w:type="dxa"/>
                </w:tcPr>
                <w:p w:rsidR="00610693" w:rsidRPr="00AB7A33" w:rsidRDefault="00610693" w:rsidP="0086676A">
                  <w:pPr>
                    <w:spacing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18"/>
                      <w:lang w:val="es-CR"/>
                    </w:rPr>
                  </w:pPr>
                  <w:r w:rsidRPr="00AB7A33">
                    <w:rPr>
                      <w:rFonts w:ascii="Calibri Light" w:hAnsi="Calibri Light" w:cs="Calibri Light"/>
                      <w:color w:val="000000" w:themeColor="text1"/>
                      <w:sz w:val="18"/>
                      <w:lang w:val="es-CR"/>
                    </w:rPr>
                    <w:t>En ejecución</w:t>
                  </w:r>
                </w:p>
              </w:tc>
            </w:tr>
          </w:tbl>
          <w:p w:rsidR="00610693" w:rsidRPr="00AB7A33" w:rsidRDefault="00610693" w:rsidP="00A72EB6">
            <w:pPr>
              <w:spacing w:line="276" w:lineRule="auto"/>
              <w:rPr>
                <w:rFonts w:ascii="Calibri Light" w:hAnsi="Calibri Light" w:cs="Calibri Light"/>
                <w:color w:val="000000" w:themeColor="text1"/>
                <w:sz w:val="18"/>
                <w:lang w:val="es-CR"/>
              </w:rPr>
            </w:pPr>
            <w:r w:rsidRPr="00AB7A33">
              <w:rPr>
                <w:rFonts w:ascii="Calibri Light" w:hAnsi="Calibri Light" w:cs="Calibri Light"/>
                <w:color w:val="000000" w:themeColor="text1"/>
                <w:sz w:val="18"/>
                <w:lang w:val="es-CR"/>
              </w:rPr>
              <w:t xml:space="preserve">Fuente: Elaboración propia, con base en datos de Planificación y Normativa. </w:t>
            </w:r>
          </w:p>
          <w:p w:rsidR="00610693" w:rsidRPr="00F85F08" w:rsidRDefault="00610693" w:rsidP="00A72EB6">
            <w:pPr>
              <w:spacing w:line="276" w:lineRule="auto"/>
              <w:rPr>
                <w:rFonts w:ascii="Calibri Light" w:hAnsi="Calibri Light" w:cs="Calibri Light"/>
                <w:color w:val="000000" w:themeColor="text1"/>
                <w:sz w:val="20"/>
                <w:highlight w:val="green"/>
                <w:lang w:val="es-CR"/>
              </w:rPr>
            </w:pPr>
          </w:p>
          <w:p w:rsidR="00610693" w:rsidRPr="00F85F08" w:rsidRDefault="00610693" w:rsidP="00A72EB6">
            <w:pPr>
              <w:spacing w:after="120"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En lo que respecta al Reglamento de Disciplina de Mercado el trámite del texto de Reglamento se ha detenido, para dar prioridad al Reglamento de Autorizaciones, y se está trabajando en un proyecto asociado al Registro de Beneficiarios en los planes privados de pensión.</w:t>
            </w:r>
          </w:p>
          <w:p w:rsidR="00610693" w:rsidRPr="00F85F08" w:rsidRDefault="00610693" w:rsidP="00F60302">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En el siguiente adjunto, se presenta un detalle de cada uno de los proyectos estratégicos.</w:t>
            </w:r>
          </w:p>
        </w:tc>
      </w:tr>
      <w:tr w:rsidR="00610693" w:rsidRPr="00F30F8E" w:rsidTr="00A72EB6">
        <w:tblPrEx>
          <w:tblCellMar>
            <w:left w:w="70" w:type="dxa"/>
            <w:right w:w="70" w:type="dxa"/>
          </w:tblCellMar>
        </w:tblPrEx>
        <w:trPr>
          <w:trHeight w:val="697"/>
        </w:trPr>
        <w:tc>
          <w:tcPr>
            <w:tcW w:w="2104" w:type="dxa"/>
            <w:tcBorders>
              <w:top w:val="single" w:sz="6" w:space="0" w:color="000000"/>
            </w:tcBorders>
            <w:vAlign w:val="center"/>
          </w:tcPr>
          <w:p w:rsidR="00610693" w:rsidRPr="00F85F08" w:rsidRDefault="00610693" w:rsidP="00A72EB6">
            <w:pPr>
              <w:spacing w:line="276" w:lineRule="auto"/>
              <w:jc w:val="left"/>
              <w:rPr>
                <w:rFonts w:ascii="Calibri Light" w:hAnsi="Calibri Light" w:cs="Calibri Light"/>
                <w:b/>
                <w:color w:val="000000" w:themeColor="text1"/>
                <w:szCs w:val="22"/>
                <w:highlight w:val="yellow"/>
                <w:lang w:val="es-CR"/>
              </w:rPr>
            </w:pPr>
            <w:r w:rsidRPr="00F85F08">
              <w:rPr>
                <w:rFonts w:ascii="Calibri Light" w:hAnsi="Calibri Light" w:cs="Calibri Light"/>
                <w:b/>
                <w:color w:val="000000" w:themeColor="text1"/>
                <w:szCs w:val="22"/>
                <w:lang w:val="es-CR"/>
              </w:rPr>
              <w:t>Presentar estudios que cumplan con los requisitos del producto.</w:t>
            </w:r>
          </w:p>
        </w:tc>
        <w:tc>
          <w:tcPr>
            <w:tcW w:w="6945" w:type="dxa"/>
            <w:tcBorders>
              <w:top w:val="single" w:sz="6" w:space="0" w:color="000000"/>
            </w:tcBorders>
            <w:vAlign w:val="center"/>
          </w:tcPr>
          <w:p w:rsidR="00610693" w:rsidRPr="00F85F08" w:rsidRDefault="00610693" w:rsidP="00A72EB6">
            <w:pPr>
              <w:spacing w:line="276" w:lineRule="auto"/>
              <w:jc w:val="left"/>
              <w:rPr>
                <w:rFonts w:ascii="Calibri Light" w:hAnsi="Calibri Light" w:cs="Calibri Light"/>
                <w:b/>
                <w:bCs/>
                <w:color w:val="000000" w:themeColor="text1"/>
                <w:sz w:val="20"/>
                <w:szCs w:val="22"/>
                <w:lang w:val="es-CR"/>
              </w:rPr>
            </w:pPr>
            <w:r w:rsidRPr="00F85F08">
              <w:rPr>
                <w:rFonts w:ascii="Calibri Light" w:hAnsi="Calibri Light" w:cs="Calibri Light"/>
                <w:b/>
                <w:bCs/>
                <w:color w:val="000000" w:themeColor="text1"/>
                <w:sz w:val="20"/>
                <w:szCs w:val="22"/>
                <w:lang w:val="es-CR"/>
              </w:rPr>
              <w:t>Desarrollo de consultas, estudios especiales e investigaciones</w:t>
            </w:r>
          </w:p>
          <w:p w:rsidR="00610693" w:rsidRPr="00AB7A33" w:rsidRDefault="00610693" w:rsidP="00A72EB6">
            <w:pPr>
              <w:spacing w:line="276" w:lineRule="auto"/>
              <w:jc w:val="left"/>
              <w:rPr>
                <w:rFonts w:ascii="Calibri Light" w:hAnsi="Calibri Light" w:cs="Calibri Light"/>
                <w:bCs/>
                <w:color w:val="000000" w:themeColor="text1"/>
                <w:sz w:val="20"/>
                <w:szCs w:val="22"/>
                <w:lang w:val="es-CR"/>
              </w:rPr>
            </w:pPr>
          </w:p>
          <w:p w:rsidR="00610693" w:rsidRPr="00F85F08" w:rsidRDefault="00610693" w:rsidP="00A72EB6">
            <w:pPr>
              <w:pStyle w:val="Sinespaciado"/>
              <w:spacing w:line="276" w:lineRule="auto"/>
              <w:jc w:val="both"/>
              <w:rPr>
                <w:rFonts w:ascii="Calibri Light" w:hAnsi="Calibri Light" w:cs="Calibri Light"/>
                <w:bCs/>
                <w:sz w:val="20"/>
                <w:lang w:val="es-CR"/>
              </w:rPr>
            </w:pPr>
            <w:r w:rsidRPr="00F85F08">
              <w:rPr>
                <w:rFonts w:ascii="Calibri Light" w:hAnsi="Calibri Light" w:cs="Calibri Light"/>
                <w:sz w:val="20"/>
              </w:rPr>
              <w:t xml:space="preserve">Para el cálculo de este indicador, se considera el </w:t>
            </w:r>
            <w:r w:rsidRPr="00F85F08">
              <w:rPr>
                <w:rFonts w:ascii="Calibri Light" w:hAnsi="Calibri Light" w:cs="Calibri Light"/>
                <w:bCs/>
                <w:sz w:val="20"/>
                <w:lang w:val="es-CR"/>
              </w:rPr>
              <w:t>promedio simple de los estudios finalizados en el período en análisis. Se toman en cuenta factores como:  puntualidad, análisis, creatividad y presentación.</w:t>
            </w:r>
          </w:p>
          <w:p w:rsidR="00610693" w:rsidRPr="00F85F08" w:rsidRDefault="00610693" w:rsidP="00A72EB6">
            <w:pPr>
              <w:pStyle w:val="Sinespaciado"/>
              <w:spacing w:line="276" w:lineRule="auto"/>
              <w:jc w:val="both"/>
              <w:rPr>
                <w:rFonts w:ascii="Calibri Light" w:hAnsi="Calibri Light" w:cs="Calibri Light"/>
                <w:bCs/>
                <w:sz w:val="20"/>
                <w:lang w:val="es-CR"/>
              </w:rPr>
            </w:pPr>
          </w:p>
          <w:p w:rsidR="00610693" w:rsidRPr="00F85F08" w:rsidRDefault="00610693" w:rsidP="00A72EB6">
            <w:pPr>
              <w:spacing w:line="276" w:lineRule="auto"/>
              <w:rPr>
                <w:rFonts w:ascii="Calibri Light" w:hAnsi="Calibri Light" w:cs="Calibri Light"/>
                <w:sz w:val="20"/>
                <w:szCs w:val="22"/>
              </w:rPr>
            </w:pPr>
            <w:r w:rsidRPr="00F85F08">
              <w:rPr>
                <w:rFonts w:ascii="Calibri Light" w:hAnsi="Calibri Light" w:cs="Calibri Light"/>
                <w:sz w:val="20"/>
                <w:szCs w:val="22"/>
              </w:rPr>
              <w:t xml:space="preserve">La nota de estudios del período, se indica a continuación: </w:t>
            </w:r>
          </w:p>
          <w:p w:rsidR="00610693" w:rsidRPr="00F85F08" w:rsidRDefault="00610693" w:rsidP="00A72EB6">
            <w:pPr>
              <w:spacing w:line="276" w:lineRule="auto"/>
              <w:rPr>
                <w:rFonts w:ascii="Calibri Light" w:hAnsi="Calibri Light" w:cs="Calibri Light"/>
                <w:sz w:val="20"/>
                <w:szCs w:val="22"/>
              </w:rPr>
            </w:pPr>
            <w:r w:rsidRPr="00F85F08">
              <w:rPr>
                <w:rFonts w:ascii="Calibri Light" w:hAnsi="Calibri Light" w:cs="Calibri Light"/>
                <w:sz w:val="20"/>
                <w:szCs w:val="22"/>
              </w:rPr>
              <w:t>Consultas 97%</w:t>
            </w:r>
          </w:p>
          <w:p w:rsidR="00610693" w:rsidRPr="00F85F08" w:rsidRDefault="00610693" w:rsidP="00A72EB6">
            <w:pPr>
              <w:spacing w:line="276" w:lineRule="auto"/>
              <w:rPr>
                <w:rFonts w:ascii="Calibri Light" w:hAnsi="Calibri Light" w:cs="Calibri Light"/>
                <w:sz w:val="20"/>
                <w:szCs w:val="22"/>
              </w:rPr>
            </w:pPr>
            <w:r w:rsidRPr="00F85F08">
              <w:rPr>
                <w:rFonts w:ascii="Calibri Light" w:hAnsi="Calibri Light" w:cs="Calibri Light"/>
                <w:sz w:val="20"/>
                <w:szCs w:val="22"/>
              </w:rPr>
              <w:t>Investigaciones 94%</w:t>
            </w:r>
          </w:p>
          <w:p w:rsidR="00610693" w:rsidRPr="00F85F08" w:rsidRDefault="00610693" w:rsidP="00A72EB6">
            <w:pPr>
              <w:spacing w:line="276" w:lineRule="auto"/>
              <w:rPr>
                <w:rFonts w:ascii="Calibri Light" w:hAnsi="Calibri Light" w:cs="Calibri Light"/>
                <w:sz w:val="20"/>
                <w:szCs w:val="22"/>
              </w:rPr>
            </w:pPr>
            <w:r w:rsidRPr="00F85F08">
              <w:rPr>
                <w:rFonts w:ascii="Calibri Light" w:hAnsi="Calibri Light" w:cs="Calibri Light"/>
                <w:sz w:val="20"/>
                <w:szCs w:val="22"/>
              </w:rPr>
              <w:t>Información a Organismos Internacionales 74%</w:t>
            </w:r>
          </w:p>
          <w:p w:rsidR="00610693" w:rsidRPr="00F85F08" w:rsidRDefault="00610693" w:rsidP="00A72EB6">
            <w:pPr>
              <w:spacing w:line="276" w:lineRule="auto"/>
              <w:rPr>
                <w:rFonts w:ascii="Calibri Light" w:hAnsi="Calibri Light" w:cs="Calibri Light"/>
                <w:sz w:val="20"/>
                <w:szCs w:val="22"/>
              </w:rPr>
            </w:pPr>
            <w:r w:rsidRPr="00F85F08">
              <w:rPr>
                <w:rFonts w:ascii="Calibri Light" w:hAnsi="Calibri Light" w:cs="Calibri Light"/>
                <w:sz w:val="20"/>
                <w:szCs w:val="22"/>
              </w:rPr>
              <w:t>Información Entidades Nacionales 88%.</w:t>
            </w:r>
          </w:p>
          <w:p w:rsidR="00610693" w:rsidRPr="00F85F08" w:rsidRDefault="00610693" w:rsidP="00A72EB6">
            <w:pPr>
              <w:spacing w:line="276" w:lineRule="auto"/>
              <w:rPr>
                <w:rFonts w:ascii="Calibri Light" w:hAnsi="Calibri Light" w:cs="Calibri Light"/>
                <w:sz w:val="20"/>
                <w:szCs w:val="22"/>
              </w:rPr>
            </w:pPr>
          </w:p>
          <w:p w:rsidR="00610693" w:rsidRPr="00F85F08" w:rsidRDefault="00610693" w:rsidP="00A72EB6">
            <w:pPr>
              <w:spacing w:line="276" w:lineRule="auto"/>
              <w:rPr>
                <w:rFonts w:ascii="Calibri Light" w:hAnsi="Calibri Light" w:cs="Calibri Light"/>
                <w:bCs/>
                <w:color w:val="000000" w:themeColor="text1"/>
                <w:sz w:val="20"/>
                <w:szCs w:val="22"/>
                <w:highlight w:val="green"/>
                <w:lang w:val="es-CR"/>
              </w:rPr>
            </w:pPr>
            <w:r w:rsidRPr="00F85F08">
              <w:rPr>
                <w:rFonts w:ascii="Calibri Light" w:hAnsi="Calibri Light" w:cs="Calibri Light"/>
                <w:sz w:val="20"/>
                <w:szCs w:val="22"/>
              </w:rPr>
              <w:t xml:space="preserve">En promedio, se obtuvo un resultado de 88%. </w:t>
            </w:r>
            <w:r w:rsidRPr="00F85F08">
              <w:rPr>
                <w:rFonts w:ascii="Calibri Light" w:hAnsi="Calibri Light" w:cs="Calibri Light"/>
                <w:bCs/>
                <w:color w:val="000000" w:themeColor="text1"/>
                <w:sz w:val="20"/>
                <w:szCs w:val="22"/>
                <w:lang w:val="es-CR"/>
              </w:rPr>
              <w:t xml:space="preserve">La nota de los estudios e investigaciones está 2% por debajo de la meta planteada, que es lograr una calificación igual o superior al 90%. </w:t>
            </w:r>
          </w:p>
          <w:p w:rsidR="00610693" w:rsidRPr="00F85F08" w:rsidRDefault="00610693" w:rsidP="00AB7A33">
            <w:pPr>
              <w:pStyle w:val="Sinespaciado"/>
              <w:rPr>
                <w:rFonts w:ascii="Calibri Light" w:hAnsi="Calibri Light" w:cs="Calibri Light"/>
                <w:b/>
                <w:color w:val="000000" w:themeColor="text1"/>
                <w:sz w:val="20"/>
                <w:highlight w:val="yellow"/>
                <w:lang w:val="es-CR"/>
              </w:rPr>
            </w:pPr>
          </w:p>
        </w:tc>
      </w:tr>
      <w:tr w:rsidR="00610693" w:rsidTr="00A72EB6">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rsidR="00610693" w:rsidRPr="00F85F08" w:rsidRDefault="00610693" w:rsidP="00A72EB6">
            <w:pPr>
              <w:spacing w:line="276" w:lineRule="auto"/>
              <w:jc w:val="left"/>
              <w:rPr>
                <w:rFonts w:ascii="Calibri Light" w:hAnsi="Calibri Light" w:cs="Calibri Light"/>
                <w:b/>
                <w:color w:val="000000" w:themeColor="text1"/>
                <w:szCs w:val="22"/>
                <w:lang w:val="es-CR"/>
              </w:rPr>
            </w:pPr>
            <w:r w:rsidRPr="00F85F08">
              <w:rPr>
                <w:rFonts w:ascii="Calibri Light" w:hAnsi="Calibri Light" w:cs="Calibri Light"/>
                <w:b/>
                <w:color w:val="000000" w:themeColor="text1"/>
                <w:szCs w:val="22"/>
                <w:lang w:val="es-CR"/>
              </w:rPr>
              <w:t>Utilizar, en PYN, el 65% del plazo declarado en la publicación realizada en La Gaceta por la SUPEN.</w:t>
            </w:r>
          </w:p>
        </w:tc>
        <w:tc>
          <w:tcPr>
            <w:tcW w:w="6945" w:type="dxa"/>
            <w:tcBorders>
              <w:top w:val="single" w:sz="6" w:space="0" w:color="000000"/>
              <w:bottom w:val="single" w:sz="6" w:space="0" w:color="000000"/>
            </w:tcBorders>
            <w:vAlign w:val="center"/>
          </w:tcPr>
          <w:p w:rsidR="00610693" w:rsidRPr="00F85F08" w:rsidRDefault="00610693" w:rsidP="00A72EB6">
            <w:pPr>
              <w:rPr>
                <w:rFonts w:ascii="Calibri Light" w:hAnsi="Calibri Light" w:cs="Calibri Light"/>
                <w:color w:val="000000" w:themeColor="text1"/>
                <w:sz w:val="20"/>
                <w:szCs w:val="22"/>
                <w:lang w:val="es-CR"/>
              </w:rPr>
            </w:pPr>
            <w:r w:rsidRPr="00F85F08">
              <w:rPr>
                <w:rFonts w:ascii="Calibri Light" w:hAnsi="Calibri Light" w:cs="Calibri Light"/>
                <w:sz w:val="20"/>
                <w:szCs w:val="22"/>
              </w:rPr>
              <w:t xml:space="preserve">De conformidad con lo establecido en el artículo 331 de la LGAP, las solicitudes tramitadas durante este periodo fueron atendidas dentro del plazo establecido, dando </w:t>
            </w:r>
            <w:r w:rsidRPr="00F85F08">
              <w:rPr>
                <w:rFonts w:ascii="Calibri Light" w:hAnsi="Calibri Light" w:cs="Calibri Light"/>
                <w:color w:val="000000" w:themeColor="text1"/>
                <w:sz w:val="20"/>
                <w:szCs w:val="22"/>
                <w:lang w:val="es-CR"/>
              </w:rPr>
              <w:t xml:space="preserve">como resultado que el indicador se ubique en 100%. </w:t>
            </w:r>
          </w:p>
          <w:p w:rsidR="00610693" w:rsidRPr="00F85F08" w:rsidRDefault="00610693" w:rsidP="00A72EB6">
            <w:pPr>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Seguidamente se indican las solicitudes de autorización finalizadas:</w:t>
            </w:r>
          </w:p>
          <w:p w:rsidR="00610693" w:rsidRPr="00F85F08" w:rsidRDefault="00610693" w:rsidP="00AB7A33">
            <w:pPr>
              <w:spacing w:line="240"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sz w:val="20"/>
                <w:lang w:val="es-CR"/>
              </w:rPr>
            </w:pPr>
            <w:r w:rsidRPr="00F85F08">
              <w:rPr>
                <w:rFonts w:ascii="Calibri Light" w:hAnsi="Calibri Light" w:cs="Calibri Light"/>
                <w:sz w:val="20"/>
              </w:rPr>
              <w:t xml:space="preserve">Cuadro </w:t>
            </w:r>
            <w:r w:rsidR="00E46832" w:rsidRPr="00F85F08">
              <w:rPr>
                <w:rFonts w:ascii="Calibri Light" w:hAnsi="Calibri Light" w:cs="Calibri Light"/>
                <w:sz w:val="20"/>
              </w:rPr>
              <w:t>19</w:t>
            </w:r>
          </w:p>
          <w:p w:rsidR="00610693" w:rsidRPr="00F85F08" w:rsidRDefault="00610693" w:rsidP="00A72EB6">
            <w:pPr>
              <w:rPr>
                <w:rFonts w:ascii="Calibri Light" w:hAnsi="Calibri Light" w:cs="Calibri Light"/>
                <w:b/>
                <w:color w:val="000000" w:themeColor="text1"/>
                <w:sz w:val="20"/>
                <w:lang w:val="es-CR"/>
              </w:rPr>
            </w:pPr>
            <w:r w:rsidRPr="00F85F08">
              <w:rPr>
                <w:rFonts w:ascii="Calibri Light" w:hAnsi="Calibri Light" w:cs="Calibri Light"/>
                <w:noProof/>
                <w:sz w:val="20"/>
              </w:rPr>
              <w:drawing>
                <wp:inline distT="0" distB="0" distL="0" distR="0" wp14:anchorId="3714480A" wp14:editId="201C71D0">
                  <wp:extent cx="4229100" cy="187497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49112" cy="1883845"/>
                          </a:xfrm>
                          <a:prstGeom prst="rect">
                            <a:avLst/>
                          </a:prstGeom>
                        </pic:spPr>
                      </pic:pic>
                    </a:graphicData>
                  </a:graphic>
                </wp:inline>
              </w:drawing>
            </w:r>
          </w:p>
        </w:tc>
      </w:tr>
      <w:tr w:rsidR="00610693" w:rsidRPr="000F3AB1" w:rsidTr="00A72EB6">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rsidR="00610693" w:rsidRPr="00F85F08" w:rsidRDefault="00610693" w:rsidP="00A72EB6">
            <w:pPr>
              <w:spacing w:line="276" w:lineRule="auto"/>
              <w:jc w:val="left"/>
              <w:rPr>
                <w:rFonts w:ascii="Calibri Light" w:hAnsi="Calibri Light" w:cs="Calibri Light"/>
                <w:b/>
                <w:color w:val="000000" w:themeColor="text1"/>
                <w:szCs w:val="22"/>
                <w:lang w:val="es-CR"/>
              </w:rPr>
            </w:pPr>
            <w:r w:rsidRPr="00F85F08">
              <w:rPr>
                <w:rFonts w:ascii="Calibri Light" w:hAnsi="Calibri Light" w:cs="Calibri Light"/>
                <w:b/>
                <w:color w:val="000000" w:themeColor="text1"/>
                <w:szCs w:val="22"/>
                <w:lang w:val="es-CR"/>
              </w:rPr>
              <w:t>Cumplir el 100% del cronograma de revisión de normativa al menos cada tres años.</w:t>
            </w:r>
          </w:p>
        </w:tc>
        <w:tc>
          <w:tcPr>
            <w:tcW w:w="6945" w:type="dxa"/>
            <w:tcBorders>
              <w:top w:val="single" w:sz="6" w:space="0" w:color="000000"/>
              <w:bottom w:val="single" w:sz="6" w:space="0" w:color="000000"/>
            </w:tcBorders>
            <w:vAlign w:val="center"/>
          </w:tcPr>
          <w:p w:rsidR="00610693" w:rsidRPr="00F85F08" w:rsidRDefault="00610693" w:rsidP="00A72EB6">
            <w:pPr>
              <w:pStyle w:val="Sinespaciado"/>
              <w:spacing w:line="276" w:lineRule="auto"/>
              <w:rPr>
                <w:rFonts w:ascii="Calibri Light" w:hAnsi="Calibri Light" w:cs="Calibri Light"/>
                <w:b/>
                <w:color w:val="000000" w:themeColor="text1"/>
                <w:sz w:val="20"/>
                <w:lang w:val="es-CR"/>
              </w:rPr>
            </w:pPr>
            <w:r w:rsidRPr="00F85F08">
              <w:rPr>
                <w:rFonts w:ascii="Calibri Light" w:hAnsi="Calibri Light" w:cs="Calibri Light"/>
                <w:b/>
                <w:color w:val="000000" w:themeColor="text1"/>
                <w:sz w:val="20"/>
                <w:lang w:val="es-CR"/>
              </w:rPr>
              <w:t>Revisión normativa</w:t>
            </w:r>
            <w:r w:rsidR="00F60302" w:rsidRPr="00F85F08">
              <w:rPr>
                <w:rFonts w:ascii="Calibri Light" w:hAnsi="Calibri Light" w:cs="Calibri Light"/>
                <w:b/>
                <w:color w:val="000000" w:themeColor="text1"/>
                <w:sz w:val="20"/>
                <w:lang w:val="es-CR"/>
              </w:rPr>
              <w:t>:</w:t>
            </w:r>
          </w:p>
          <w:p w:rsidR="00610693" w:rsidRPr="00F85F08" w:rsidRDefault="00610693" w:rsidP="00A7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Calibri Light" w:hAnsi="Calibri Light" w:cs="Calibri Light"/>
                <w:color w:val="000000"/>
                <w:sz w:val="20"/>
                <w:szCs w:val="22"/>
              </w:rPr>
            </w:pPr>
          </w:p>
          <w:p w:rsidR="00610693" w:rsidRPr="00F85F08" w:rsidRDefault="00610693" w:rsidP="00A7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Calibri Light" w:hAnsi="Calibri Light" w:cs="Calibri Light"/>
                <w:color w:val="000000"/>
                <w:sz w:val="20"/>
                <w:szCs w:val="22"/>
              </w:rPr>
            </w:pPr>
            <w:r w:rsidRPr="00F85F08">
              <w:rPr>
                <w:rFonts w:ascii="Calibri Light" w:hAnsi="Calibri Light" w:cs="Calibri Light"/>
                <w:color w:val="000000"/>
                <w:sz w:val="20"/>
                <w:szCs w:val="22"/>
              </w:rPr>
              <w:t xml:space="preserve">A requerimiento de la Auditoría Interna del Consejo Nacional de Supervisión del Sistema Financiero, se procedió a elaborar una nueva metodología para la revisión y control de la normativa revisada y por revisar. </w:t>
            </w:r>
          </w:p>
          <w:p w:rsidR="00610693" w:rsidRPr="00F85F08" w:rsidRDefault="00610693" w:rsidP="00A7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Calibri Light" w:hAnsi="Calibri Light" w:cs="Calibri Light"/>
                <w:color w:val="000000"/>
                <w:sz w:val="20"/>
                <w:szCs w:val="22"/>
              </w:rPr>
            </w:pPr>
            <w:r w:rsidRPr="00F85F08">
              <w:rPr>
                <w:rFonts w:ascii="Calibri Light" w:hAnsi="Calibri Light" w:cs="Calibri Light"/>
                <w:color w:val="000000"/>
                <w:sz w:val="20"/>
                <w:szCs w:val="22"/>
              </w:rPr>
              <w:t>El 19 de junio de los corrientes, se procedió con la presentación, ante el Comité Ejecutivo de la Superintendencia de Pensiones, de la nueva metodología, la cual incluyó un nuevo cronograma de revisión trianual, por vencimiento del anterior. Quedó pendiente la aprobación por ajustes solicitados por el Despacho, respecto de la prioridad de algunas de las revisiones.</w:t>
            </w:r>
          </w:p>
          <w:p w:rsidR="00610693" w:rsidRPr="00F85F08" w:rsidRDefault="00610693" w:rsidP="00A7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Calibri Light" w:hAnsi="Calibri Light" w:cs="Calibri Light"/>
                <w:b/>
                <w:color w:val="000000" w:themeColor="text1"/>
                <w:sz w:val="20"/>
                <w:highlight w:val="yellow"/>
                <w:lang w:val="es-CR"/>
              </w:rPr>
            </w:pPr>
            <w:r w:rsidRPr="00F85F08">
              <w:rPr>
                <w:rFonts w:ascii="Calibri Light" w:hAnsi="Calibri Light" w:cs="Calibri Light"/>
                <w:color w:val="000000"/>
                <w:sz w:val="20"/>
                <w:szCs w:val="22"/>
              </w:rPr>
              <w:t xml:space="preserve">Por lo expuesto, para el primer semestre de 2018, no se cuenta con las variables requeridas para el cálculo del indicador, en el próximo semestre se reportará el cumplimiento; una vez aprobado el cronograma.  </w:t>
            </w:r>
          </w:p>
        </w:tc>
      </w:tr>
      <w:tr w:rsidR="00610693" w:rsidRPr="003A3A86" w:rsidTr="00A72EB6">
        <w:trPr>
          <w:trHeight w:val="300"/>
        </w:trPr>
        <w:tc>
          <w:tcPr>
            <w:tcW w:w="9049" w:type="dxa"/>
            <w:gridSpan w:val="2"/>
            <w:tcBorders>
              <w:top w:val="single" w:sz="4" w:space="0" w:color="auto"/>
              <w:bottom w:val="single" w:sz="6" w:space="0" w:color="000000"/>
            </w:tcBorders>
            <w:shd w:val="clear" w:color="auto" w:fill="EAF1DD" w:themeFill="accent3" w:themeFillTint="33"/>
            <w:vAlign w:val="center"/>
          </w:tcPr>
          <w:p w:rsidR="00610693" w:rsidRPr="00F85F08" w:rsidRDefault="00610693" w:rsidP="005B16F3">
            <w:pPr>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pPr>
            <w:bookmarkStart w:id="47" w:name="_Toc505008425"/>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Proyectos</w:t>
            </w:r>
            <w:bookmarkEnd w:id="47"/>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 xml:space="preserve"> </w:t>
            </w:r>
          </w:p>
        </w:tc>
      </w:tr>
      <w:tr w:rsidR="00610693" w:rsidRPr="005E61E3" w:rsidTr="00A72EB6">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rsidR="00610693" w:rsidRPr="00F85F08" w:rsidRDefault="00610693" w:rsidP="00A72EB6">
            <w:pPr>
              <w:spacing w:line="276" w:lineRule="auto"/>
              <w:jc w:val="left"/>
              <w:rPr>
                <w:rFonts w:ascii="Calibri Light" w:hAnsi="Calibri Light" w:cs="Calibri Light"/>
                <w:b/>
                <w:color w:val="000000" w:themeColor="text1"/>
                <w:szCs w:val="22"/>
                <w:lang w:val="es-CR"/>
              </w:rPr>
            </w:pPr>
            <w:r w:rsidRPr="00F85F08">
              <w:rPr>
                <w:rFonts w:ascii="Calibri Light" w:hAnsi="Calibri Light" w:cs="Calibri Light"/>
                <w:b/>
                <w:color w:val="000000" w:themeColor="text1"/>
                <w:szCs w:val="22"/>
                <w:lang w:val="es-CR"/>
              </w:rPr>
              <w:t>Atender el 100% de las actividades relacionadas con proyectos institucionales.</w:t>
            </w:r>
          </w:p>
        </w:tc>
        <w:tc>
          <w:tcPr>
            <w:tcW w:w="6945" w:type="dxa"/>
            <w:tcBorders>
              <w:top w:val="single" w:sz="6" w:space="0" w:color="000000"/>
              <w:bottom w:val="single" w:sz="6" w:space="0" w:color="000000"/>
            </w:tcBorders>
            <w:vAlign w:val="center"/>
          </w:tcPr>
          <w:p w:rsidR="00610693" w:rsidRPr="00F85F08" w:rsidRDefault="00610693" w:rsidP="00A72EB6">
            <w:pPr>
              <w:pStyle w:val="Sinespaciado"/>
              <w:spacing w:line="276" w:lineRule="auto"/>
              <w:jc w:val="both"/>
              <w:rPr>
                <w:rFonts w:ascii="Calibri Light" w:eastAsia="Times New Roman" w:hAnsi="Calibri Light" w:cs="Calibri Light"/>
                <w:sz w:val="20"/>
                <w:lang w:eastAsia="es-ES"/>
              </w:rPr>
            </w:pPr>
          </w:p>
          <w:p w:rsidR="00610693" w:rsidRPr="00F85F08" w:rsidRDefault="00610693" w:rsidP="00A72EB6">
            <w:pPr>
              <w:pStyle w:val="Sinespaciado"/>
              <w:spacing w:line="276" w:lineRule="auto"/>
              <w:jc w:val="both"/>
              <w:rPr>
                <w:rFonts w:ascii="Calibri Light" w:eastAsia="Times New Roman" w:hAnsi="Calibri Light" w:cs="Calibri Light"/>
                <w:sz w:val="20"/>
                <w:lang w:eastAsia="es-ES"/>
              </w:rPr>
            </w:pPr>
            <w:r w:rsidRPr="00F85F08">
              <w:rPr>
                <w:rFonts w:ascii="Calibri Light" w:eastAsia="Times New Roman" w:hAnsi="Calibri Light" w:cs="Calibri Light"/>
                <w:sz w:val="20"/>
                <w:lang w:eastAsia="es-ES"/>
              </w:rPr>
              <w:t>En el siguiente cuadro se reportan los promedios ponderados de las actividades realizadas en proyectos, entre las actividades programadas correspondientes al portafolio de proyectos estratégicos. No se han tomado en cuenta proyectos conjuntos con otras Superintendencias o Conassif por no aplicarse la metodología institucional de seguimiento y gestión.</w:t>
            </w:r>
          </w:p>
          <w:p w:rsidR="00610693" w:rsidRPr="00F85F08" w:rsidRDefault="00610693" w:rsidP="00A72EB6">
            <w:pPr>
              <w:pStyle w:val="Sinespaciado"/>
              <w:jc w:val="both"/>
              <w:rPr>
                <w:rFonts w:ascii="Calibri Light" w:eastAsia="Times New Roman" w:hAnsi="Calibri Light" w:cs="Calibri Light"/>
                <w:sz w:val="20"/>
                <w:szCs w:val="20"/>
                <w:lang w:eastAsia="es-ES"/>
              </w:rPr>
            </w:pPr>
          </w:p>
          <w:p w:rsidR="00610693" w:rsidRPr="00F85F08" w:rsidRDefault="00610693" w:rsidP="00A72EB6">
            <w:pPr>
              <w:spacing w:line="276" w:lineRule="auto"/>
              <w:ind w:left="79"/>
              <w:rPr>
                <w:rFonts w:ascii="Calibri Light" w:hAnsi="Calibri Light" w:cs="Calibri Light"/>
                <w:sz w:val="20"/>
              </w:rPr>
            </w:pPr>
            <w:r w:rsidRPr="00F85F08">
              <w:rPr>
                <w:rFonts w:ascii="Calibri Light" w:hAnsi="Calibri Light" w:cs="Calibri Light"/>
                <w:sz w:val="20"/>
              </w:rPr>
              <w:t xml:space="preserve">Cuadro </w:t>
            </w:r>
            <w:r w:rsidR="00E46832" w:rsidRPr="00F85F08">
              <w:rPr>
                <w:rFonts w:ascii="Calibri Light" w:hAnsi="Calibri Light" w:cs="Calibri Light"/>
                <w:sz w:val="20"/>
              </w:rPr>
              <w:t>20</w:t>
            </w:r>
          </w:p>
          <w:p w:rsidR="00610693" w:rsidRPr="00F85F08" w:rsidRDefault="00610693" w:rsidP="00A72EB6">
            <w:pPr>
              <w:spacing w:line="276" w:lineRule="auto"/>
              <w:rPr>
                <w:rFonts w:ascii="Calibri Light" w:hAnsi="Calibri Light" w:cs="Calibri Light"/>
                <w:sz w:val="20"/>
              </w:rPr>
            </w:pPr>
            <w:r w:rsidRPr="00F85F08">
              <w:rPr>
                <w:rFonts w:ascii="Calibri Light" w:hAnsi="Calibri Light" w:cs="Calibri Light"/>
                <w:noProof/>
                <w:sz w:val="20"/>
              </w:rPr>
              <w:drawing>
                <wp:inline distT="0" distB="0" distL="0" distR="0" wp14:anchorId="7E470BA8" wp14:editId="069716BC">
                  <wp:extent cx="4190992" cy="1798955"/>
                  <wp:effectExtent l="0" t="0" r="63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228093" cy="1814880"/>
                          </a:xfrm>
                          <a:prstGeom prst="rect">
                            <a:avLst/>
                          </a:prstGeom>
                        </pic:spPr>
                      </pic:pic>
                    </a:graphicData>
                  </a:graphic>
                </wp:inline>
              </w:drawing>
            </w:r>
          </w:p>
          <w:p w:rsidR="00610693" w:rsidRPr="00F85F08" w:rsidRDefault="00610693" w:rsidP="00A72EB6">
            <w:pPr>
              <w:pStyle w:val="Sinespaciado"/>
              <w:spacing w:line="276" w:lineRule="auto"/>
              <w:jc w:val="both"/>
              <w:rPr>
                <w:rFonts w:ascii="Calibri Light" w:eastAsia="Times New Roman" w:hAnsi="Calibri Light" w:cs="Calibri Light"/>
                <w:sz w:val="20"/>
                <w:lang w:eastAsia="es-ES"/>
              </w:rPr>
            </w:pPr>
          </w:p>
          <w:p w:rsidR="00610693" w:rsidRPr="00F85F08" w:rsidRDefault="00610693" w:rsidP="00A72EB6">
            <w:pPr>
              <w:pStyle w:val="Sinespaciado"/>
              <w:spacing w:line="276" w:lineRule="auto"/>
              <w:jc w:val="both"/>
              <w:rPr>
                <w:rFonts w:ascii="Calibri Light" w:hAnsi="Calibri Light" w:cs="Calibri Light"/>
                <w:sz w:val="20"/>
              </w:rPr>
            </w:pPr>
            <w:r w:rsidRPr="00F85F08">
              <w:rPr>
                <w:rFonts w:ascii="Calibri Light" w:eastAsia="Times New Roman" w:hAnsi="Calibri Light" w:cs="Calibri Light"/>
                <w:sz w:val="20"/>
                <w:lang w:eastAsia="es-ES"/>
              </w:rPr>
              <w:t xml:space="preserve">La nota de 75, en el caso de la División Jurídica, obedece a que el proyecto en el que tuvo mayor participación: </w:t>
            </w:r>
            <w:r w:rsidRPr="00F85F08">
              <w:rPr>
                <w:rFonts w:ascii="Calibri Light" w:eastAsia="Times New Roman" w:hAnsi="Calibri Light" w:cs="Calibri Light"/>
                <w:b/>
                <w:sz w:val="20"/>
                <w:lang w:eastAsia="es-ES"/>
              </w:rPr>
              <w:t>Expediente previsional</w:t>
            </w:r>
            <w:r w:rsidRPr="00F85F08">
              <w:rPr>
                <w:rFonts w:ascii="Calibri Light" w:eastAsia="Times New Roman" w:hAnsi="Calibri Light" w:cs="Calibri Light"/>
                <w:sz w:val="20"/>
                <w:lang w:eastAsia="es-ES"/>
              </w:rPr>
              <w:t>, tiene muy poco avance, perjudicando su nota final. Al respecto ya se han tomado las medidas necesarias para que, en el próximo trimestre, los desarrollos informáticos sean llevados a cabo, a efecto de normalizar el calendario de entregas.</w:t>
            </w:r>
          </w:p>
          <w:p w:rsidR="00610693" w:rsidRPr="00F85F08" w:rsidRDefault="00610693" w:rsidP="00A72EB6">
            <w:pPr>
              <w:spacing w:line="276" w:lineRule="auto"/>
              <w:rPr>
                <w:rFonts w:ascii="Calibri Light" w:hAnsi="Calibri Light" w:cs="Calibri Light"/>
                <w:sz w:val="20"/>
                <w:szCs w:val="22"/>
              </w:rPr>
            </w:pPr>
          </w:p>
          <w:p w:rsidR="00610693" w:rsidRPr="00F85F08" w:rsidRDefault="00610693" w:rsidP="00A72EB6">
            <w:pPr>
              <w:spacing w:line="276" w:lineRule="auto"/>
              <w:rPr>
                <w:rFonts w:ascii="Calibri Light" w:hAnsi="Calibri Light" w:cs="Calibri Light"/>
                <w:sz w:val="20"/>
                <w:szCs w:val="22"/>
              </w:rPr>
            </w:pPr>
            <w:r w:rsidRPr="00F85F08">
              <w:rPr>
                <w:rFonts w:ascii="Calibri Light" w:hAnsi="Calibri Light" w:cs="Calibri Light"/>
                <w:sz w:val="20"/>
                <w:szCs w:val="22"/>
              </w:rPr>
              <w:t xml:space="preserve">En lo que respecta a las horas destinadas a proyectos, seguidamente se hace el desglose por proceso y proyecto: </w:t>
            </w:r>
          </w:p>
          <w:p w:rsidR="00610693" w:rsidRPr="00F85F08" w:rsidRDefault="00610693" w:rsidP="00A72EB6">
            <w:pPr>
              <w:spacing w:line="276" w:lineRule="auto"/>
              <w:ind w:left="219"/>
              <w:rPr>
                <w:rFonts w:ascii="Calibri Light" w:hAnsi="Calibri Light" w:cs="Calibri Light"/>
                <w:sz w:val="20"/>
              </w:rPr>
            </w:pPr>
          </w:p>
          <w:p w:rsidR="00610693" w:rsidRPr="00882DC0" w:rsidRDefault="00610693" w:rsidP="00A72EB6">
            <w:pPr>
              <w:spacing w:line="276" w:lineRule="auto"/>
              <w:ind w:left="79"/>
              <w:rPr>
                <w:rFonts w:ascii="Calibri Light" w:hAnsi="Calibri Light" w:cs="Calibri Light"/>
                <w:sz w:val="20"/>
              </w:rPr>
            </w:pPr>
            <w:r w:rsidRPr="00882DC0">
              <w:rPr>
                <w:rFonts w:ascii="Calibri Light" w:hAnsi="Calibri Light" w:cs="Calibri Light"/>
                <w:sz w:val="20"/>
              </w:rPr>
              <w:t xml:space="preserve">Cuadro </w:t>
            </w:r>
            <w:r w:rsidR="00E46832" w:rsidRPr="00882DC0">
              <w:rPr>
                <w:rFonts w:ascii="Calibri Light" w:hAnsi="Calibri Light" w:cs="Calibri Light"/>
                <w:sz w:val="20"/>
              </w:rPr>
              <w:t>21</w:t>
            </w:r>
          </w:p>
          <w:p w:rsidR="00610693" w:rsidRDefault="00610693" w:rsidP="00F60302">
            <w:pPr>
              <w:spacing w:line="276" w:lineRule="auto"/>
              <w:rPr>
                <w:rFonts w:ascii="Calibri Light" w:hAnsi="Calibri Light" w:cs="Calibri Light"/>
                <w:sz w:val="20"/>
              </w:rPr>
            </w:pPr>
            <w:r w:rsidRPr="00F85F08">
              <w:rPr>
                <w:rFonts w:ascii="Calibri Light" w:hAnsi="Calibri Light" w:cs="Calibri Light"/>
                <w:noProof/>
                <w:sz w:val="20"/>
              </w:rPr>
              <w:drawing>
                <wp:inline distT="0" distB="0" distL="0" distR="0" wp14:anchorId="6D4FD095" wp14:editId="2A01DD5D">
                  <wp:extent cx="4210050" cy="2472824"/>
                  <wp:effectExtent l="0" t="0" r="0"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232302" cy="2485894"/>
                          </a:xfrm>
                          <a:prstGeom prst="rect">
                            <a:avLst/>
                          </a:prstGeom>
                        </pic:spPr>
                      </pic:pic>
                    </a:graphicData>
                  </a:graphic>
                </wp:inline>
              </w:drawing>
            </w:r>
          </w:p>
          <w:p w:rsidR="00AB7A33" w:rsidRPr="00F85F08" w:rsidRDefault="00AB7A33" w:rsidP="00F60302">
            <w:pPr>
              <w:spacing w:line="276" w:lineRule="auto"/>
              <w:rPr>
                <w:rFonts w:ascii="Calibri Light" w:hAnsi="Calibri Light" w:cs="Calibri Light"/>
                <w:sz w:val="20"/>
              </w:rPr>
            </w:pPr>
          </w:p>
        </w:tc>
      </w:tr>
      <w:tr w:rsidR="00610693" w:rsidRPr="003A3A86" w:rsidTr="00A72EB6">
        <w:trPr>
          <w:trHeight w:val="300"/>
        </w:trPr>
        <w:tc>
          <w:tcPr>
            <w:tcW w:w="9049" w:type="dxa"/>
            <w:gridSpan w:val="2"/>
            <w:tcBorders>
              <w:top w:val="single" w:sz="4" w:space="0" w:color="auto"/>
              <w:bottom w:val="single" w:sz="6" w:space="0" w:color="000000"/>
            </w:tcBorders>
            <w:shd w:val="clear" w:color="auto" w:fill="EAF1DD" w:themeFill="accent3" w:themeFillTint="33"/>
            <w:vAlign w:val="center"/>
          </w:tcPr>
          <w:p w:rsidR="00610693" w:rsidRPr="00F85F08" w:rsidRDefault="00610693" w:rsidP="005B16F3">
            <w:pPr>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pPr>
            <w:bookmarkStart w:id="48" w:name="_Toc505008426"/>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Capacitación</w:t>
            </w:r>
            <w:bookmarkEnd w:id="48"/>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 xml:space="preserve"> </w:t>
            </w:r>
          </w:p>
        </w:tc>
      </w:tr>
      <w:tr w:rsidR="00610693" w:rsidRPr="006A0354" w:rsidTr="00A72EB6">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rsidR="00610693" w:rsidRPr="00F85F08" w:rsidRDefault="00610693" w:rsidP="00A72EB6">
            <w:pPr>
              <w:spacing w:line="276" w:lineRule="auto"/>
              <w:jc w:val="left"/>
              <w:rPr>
                <w:rFonts w:ascii="Calibri Light" w:hAnsi="Calibri Light" w:cs="Calibri Light"/>
                <w:b/>
                <w:color w:val="000000" w:themeColor="text1"/>
                <w:szCs w:val="22"/>
                <w:lang w:val="es-CR"/>
              </w:rPr>
            </w:pPr>
            <w:r w:rsidRPr="00F85F08">
              <w:rPr>
                <w:rFonts w:ascii="Calibri Light" w:hAnsi="Calibri Light" w:cs="Calibri Light"/>
                <w:b/>
                <w:color w:val="000000" w:themeColor="text1"/>
                <w:szCs w:val="22"/>
                <w:lang w:val="es-CR"/>
              </w:rPr>
              <w:t>Atender el 100% de las labores de capacitación programadas, dentro de la jornada laboral.</w:t>
            </w:r>
          </w:p>
        </w:tc>
        <w:tc>
          <w:tcPr>
            <w:tcW w:w="6945" w:type="dxa"/>
            <w:tcBorders>
              <w:top w:val="single" w:sz="6" w:space="0" w:color="000000"/>
              <w:bottom w:val="single" w:sz="6" w:space="0" w:color="000000"/>
            </w:tcBorders>
            <w:vAlign w:val="center"/>
          </w:tcPr>
          <w:p w:rsidR="00610693" w:rsidRPr="00C26F4E"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La meta propuesta para el primer semestre de 2018 es cumplir, como mínimo, con el 40% de las horas anuales aprobadas para </w:t>
            </w:r>
            <w:r w:rsidR="00F60302" w:rsidRPr="00C26F4E">
              <w:rPr>
                <w:rFonts w:ascii="Calibri Light" w:hAnsi="Calibri Light" w:cs="Calibri Light"/>
                <w:color w:val="000000" w:themeColor="text1"/>
                <w:sz w:val="20"/>
                <w:szCs w:val="22"/>
                <w:lang w:val="es-CR"/>
              </w:rPr>
              <w:t>capacitación.</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De los cinco procesos de la SUPEN, tres de ellos (</w:t>
            </w:r>
            <w:r w:rsidRPr="00F85F08">
              <w:rPr>
                <w:rFonts w:ascii="Calibri Light" w:hAnsi="Calibri Light" w:cs="Calibri Light"/>
                <w:i/>
                <w:color w:val="000000" w:themeColor="text1"/>
                <w:sz w:val="20"/>
                <w:szCs w:val="22"/>
                <w:lang w:val="es-CR"/>
              </w:rPr>
              <w:t xml:space="preserve">Comunicación y Servicios, Planificación y Normativa y División Jurídica) </w:t>
            </w:r>
            <w:r w:rsidR="00C26F4E">
              <w:rPr>
                <w:rFonts w:ascii="Calibri Light" w:hAnsi="Calibri Light" w:cs="Calibri Light"/>
                <w:color w:val="000000" w:themeColor="text1"/>
                <w:sz w:val="20"/>
                <w:szCs w:val="22"/>
                <w:lang w:val="es-CR"/>
              </w:rPr>
              <w:t>superaron la meta estableci</w:t>
            </w:r>
            <w:r w:rsidRPr="00F85F08">
              <w:rPr>
                <w:rFonts w:ascii="Calibri Light" w:hAnsi="Calibri Light" w:cs="Calibri Light"/>
                <w:color w:val="000000" w:themeColor="text1"/>
                <w:sz w:val="20"/>
                <w:szCs w:val="22"/>
                <w:lang w:val="es-CR"/>
              </w:rPr>
              <w:t xml:space="preserve">da. Por su parte, los procesos de supervisión </w:t>
            </w:r>
            <w:r w:rsidRPr="00F85F08">
              <w:rPr>
                <w:rFonts w:ascii="Calibri Light" w:hAnsi="Calibri Light" w:cs="Calibri Light"/>
                <w:i/>
                <w:color w:val="000000" w:themeColor="text1"/>
                <w:sz w:val="20"/>
                <w:szCs w:val="22"/>
                <w:lang w:val="es-CR"/>
              </w:rPr>
              <w:t>(</w:t>
            </w:r>
            <w:r w:rsidRPr="00F85F08">
              <w:rPr>
                <w:rFonts w:ascii="Calibri Light" w:hAnsi="Calibri Light" w:cs="Calibri Light"/>
                <w:color w:val="000000" w:themeColor="text1"/>
                <w:sz w:val="20"/>
                <w:szCs w:val="22"/>
                <w:lang w:val="es-CR"/>
              </w:rPr>
              <w:t>R</w:t>
            </w:r>
            <w:r w:rsidRPr="00F85F08">
              <w:rPr>
                <w:rFonts w:ascii="Calibri Light" w:hAnsi="Calibri Light" w:cs="Calibri Light"/>
                <w:i/>
                <w:color w:val="000000" w:themeColor="text1"/>
                <w:sz w:val="20"/>
                <w:szCs w:val="22"/>
                <w:lang w:val="es-CR"/>
              </w:rPr>
              <w:t xml:space="preserve">egímenes Colectivos y Regímenes de Capitalización Individual) </w:t>
            </w:r>
            <w:r w:rsidRPr="00F85F08">
              <w:rPr>
                <w:rFonts w:ascii="Calibri Light" w:hAnsi="Calibri Light" w:cs="Calibri Light"/>
                <w:color w:val="000000" w:themeColor="text1"/>
                <w:sz w:val="20"/>
                <w:szCs w:val="22"/>
                <w:lang w:val="es-CR"/>
              </w:rPr>
              <w:t xml:space="preserve">obtuvieron resultados inferiores; lo cual obedece a que la cuarta y quinta visitas del Toronto Centre y las formaciones internas, ligadas al Modelo de Supervisión Basado en Riesgos, se contabilizaron dentro de la actividad "proyectos".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En el siguiente cuadro, se observan los resultados por proceso, según las horas destinadas: </w:t>
            </w:r>
          </w:p>
          <w:p w:rsidR="00610693" w:rsidRDefault="00610693" w:rsidP="00A72EB6">
            <w:pPr>
              <w:spacing w:line="276" w:lineRule="auto"/>
              <w:rPr>
                <w:rFonts w:ascii="Calibri Light" w:hAnsi="Calibri Light" w:cs="Calibri Light"/>
                <w:color w:val="000000" w:themeColor="text1"/>
                <w:sz w:val="20"/>
                <w:szCs w:val="22"/>
                <w:lang w:val="es-CR"/>
              </w:rPr>
            </w:pPr>
          </w:p>
          <w:p w:rsidR="00AB7A33" w:rsidRPr="00F85F08" w:rsidRDefault="00AB7A33" w:rsidP="00A72EB6">
            <w:pPr>
              <w:spacing w:line="276" w:lineRule="auto"/>
              <w:rPr>
                <w:rFonts w:ascii="Calibri Light" w:hAnsi="Calibri Light" w:cs="Calibri Light"/>
                <w:color w:val="000000" w:themeColor="text1"/>
                <w:sz w:val="20"/>
                <w:szCs w:val="22"/>
                <w:lang w:val="es-CR"/>
              </w:rPr>
            </w:pPr>
          </w:p>
          <w:p w:rsidR="00C26F4E" w:rsidRDefault="00C26F4E" w:rsidP="00A72EB6">
            <w:pPr>
              <w:spacing w:line="276" w:lineRule="auto"/>
              <w:ind w:left="79"/>
              <w:rPr>
                <w:rFonts w:ascii="Calibri Light" w:hAnsi="Calibri Light" w:cs="Calibri Light"/>
                <w:sz w:val="20"/>
              </w:rPr>
            </w:pPr>
          </w:p>
          <w:p w:rsidR="00C72462" w:rsidRDefault="00C72462" w:rsidP="00A72EB6">
            <w:pPr>
              <w:spacing w:line="276" w:lineRule="auto"/>
              <w:ind w:left="79"/>
              <w:rPr>
                <w:rFonts w:ascii="Calibri Light" w:hAnsi="Calibri Light" w:cs="Calibri Light"/>
                <w:sz w:val="20"/>
              </w:rPr>
            </w:pPr>
          </w:p>
          <w:p w:rsidR="00C72462" w:rsidRDefault="00C72462" w:rsidP="00A72EB6">
            <w:pPr>
              <w:spacing w:line="276" w:lineRule="auto"/>
              <w:ind w:left="79"/>
              <w:rPr>
                <w:rFonts w:ascii="Calibri Light" w:hAnsi="Calibri Light" w:cs="Calibri Light"/>
                <w:sz w:val="20"/>
              </w:rPr>
            </w:pPr>
          </w:p>
          <w:p w:rsidR="00C26F4E" w:rsidRDefault="00C26F4E" w:rsidP="00A72EB6">
            <w:pPr>
              <w:spacing w:line="276" w:lineRule="auto"/>
              <w:ind w:left="79"/>
              <w:rPr>
                <w:rFonts w:ascii="Calibri Light" w:hAnsi="Calibri Light" w:cs="Calibri Light"/>
                <w:sz w:val="20"/>
              </w:rPr>
            </w:pPr>
          </w:p>
          <w:p w:rsidR="00610693" w:rsidRPr="00882DC0" w:rsidRDefault="00610693" w:rsidP="00A72EB6">
            <w:pPr>
              <w:spacing w:line="276" w:lineRule="auto"/>
              <w:ind w:left="79"/>
              <w:rPr>
                <w:rFonts w:ascii="Calibri Light" w:hAnsi="Calibri Light" w:cs="Calibri Light"/>
                <w:sz w:val="20"/>
              </w:rPr>
            </w:pPr>
            <w:r w:rsidRPr="00882DC0">
              <w:rPr>
                <w:rFonts w:ascii="Calibri Light" w:hAnsi="Calibri Light" w:cs="Calibri Light"/>
                <w:sz w:val="20"/>
              </w:rPr>
              <w:t xml:space="preserve">Cuadro </w:t>
            </w:r>
            <w:r w:rsidR="00E46832" w:rsidRPr="00882DC0">
              <w:rPr>
                <w:rFonts w:ascii="Calibri Light" w:hAnsi="Calibri Light" w:cs="Calibri Light"/>
                <w:sz w:val="20"/>
              </w:rPr>
              <w:t>22</w:t>
            </w:r>
          </w:p>
          <w:p w:rsidR="00610693" w:rsidRPr="00F85F08" w:rsidRDefault="00610693" w:rsidP="00F60302">
            <w:pPr>
              <w:spacing w:line="276" w:lineRule="auto"/>
              <w:ind w:left="77"/>
              <w:jc w:val="center"/>
              <w:rPr>
                <w:rFonts w:ascii="Calibri Light" w:hAnsi="Calibri Light" w:cs="Calibri Light"/>
                <w:sz w:val="20"/>
              </w:rPr>
            </w:pPr>
            <w:r w:rsidRPr="00F85F08">
              <w:rPr>
                <w:rFonts w:ascii="Calibri Light" w:hAnsi="Calibri Light" w:cs="Calibri Light"/>
                <w:noProof/>
                <w:sz w:val="20"/>
              </w:rPr>
              <w:drawing>
                <wp:inline distT="0" distB="0" distL="0" distR="0" wp14:anchorId="24960EBB" wp14:editId="1FE994B7">
                  <wp:extent cx="4250571" cy="2353586"/>
                  <wp:effectExtent l="0" t="0" r="0" b="889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86301" cy="2373370"/>
                          </a:xfrm>
                          <a:prstGeom prst="rect">
                            <a:avLst/>
                          </a:prstGeom>
                        </pic:spPr>
                      </pic:pic>
                    </a:graphicData>
                  </a:graphic>
                </wp:inline>
              </w:drawing>
            </w:r>
          </w:p>
          <w:p w:rsidR="00610693" w:rsidRPr="00F85F08" w:rsidRDefault="00610693" w:rsidP="00A72EB6">
            <w:pPr>
              <w:spacing w:line="276" w:lineRule="auto"/>
              <w:rPr>
                <w:rFonts w:ascii="Calibri Light" w:hAnsi="Calibri Light" w:cs="Calibri Light"/>
                <w:color w:val="000000" w:themeColor="text1"/>
                <w:sz w:val="20"/>
                <w:highlight w:val="yellow"/>
                <w:lang w:val="es-CR"/>
              </w:rPr>
            </w:pPr>
          </w:p>
          <w:p w:rsidR="00610693" w:rsidRPr="00F85F08" w:rsidRDefault="00610693" w:rsidP="00A72EB6">
            <w:pPr>
              <w:spacing w:line="276" w:lineRule="auto"/>
              <w:rPr>
                <w:rFonts w:ascii="Calibri Light" w:hAnsi="Calibri Light" w:cs="Calibri Light"/>
                <w:i/>
                <w:color w:val="000000" w:themeColor="text1"/>
                <w:sz w:val="20"/>
                <w:szCs w:val="22"/>
                <w:lang w:val="es-CR"/>
              </w:rPr>
            </w:pPr>
            <w:r w:rsidRPr="00F85F08">
              <w:rPr>
                <w:rFonts w:ascii="Calibri Light" w:hAnsi="Calibri Light" w:cs="Calibri Light"/>
                <w:color w:val="000000" w:themeColor="text1"/>
                <w:sz w:val="20"/>
                <w:szCs w:val="22"/>
                <w:lang w:val="es-CR"/>
              </w:rPr>
              <w:t xml:space="preserve">Es importante destacar, que dentro del cálculo de este indicador únicamente se contemplan las horas invertidas dentro de la jornada laboral, por lo que no se contabilizan horas en casos como becas por estudios superiores y cursos modalidad </w:t>
            </w:r>
            <w:r w:rsidRPr="00F85F08">
              <w:rPr>
                <w:rFonts w:ascii="Calibri Light" w:hAnsi="Calibri Light" w:cs="Calibri Light"/>
                <w:i/>
                <w:color w:val="000000" w:themeColor="text1"/>
                <w:sz w:val="20"/>
                <w:szCs w:val="22"/>
                <w:lang w:val="es-CR"/>
              </w:rPr>
              <w:t>on-line.</w:t>
            </w:r>
          </w:p>
          <w:p w:rsidR="00610693" w:rsidRPr="00F85F08" w:rsidRDefault="00610693" w:rsidP="00A72EB6">
            <w:pPr>
              <w:spacing w:line="276" w:lineRule="auto"/>
              <w:rPr>
                <w:rFonts w:ascii="Calibri Light" w:hAnsi="Calibri Light" w:cs="Calibri Light"/>
                <w:i/>
                <w:color w:val="000000" w:themeColor="text1"/>
                <w:sz w:val="20"/>
                <w:szCs w:val="22"/>
                <w:lang w:val="es-CR"/>
              </w:rPr>
            </w:pPr>
          </w:p>
          <w:p w:rsidR="00610693" w:rsidRPr="00F85F08" w:rsidRDefault="00610693" w:rsidP="00A72EB6">
            <w:pPr>
              <w:spacing w:line="276" w:lineRule="auto"/>
              <w:rPr>
                <w:rFonts w:ascii="Calibri Light" w:hAnsi="Calibri Light" w:cs="Calibri Light"/>
                <w:i/>
                <w:color w:val="000000" w:themeColor="text1"/>
                <w:sz w:val="20"/>
                <w:szCs w:val="22"/>
                <w:lang w:val="es-CR"/>
              </w:rPr>
            </w:pPr>
            <w:r w:rsidRPr="00F85F08">
              <w:rPr>
                <w:rFonts w:ascii="Calibri Light" w:hAnsi="Calibri Light" w:cs="Calibri Light"/>
                <w:color w:val="000000" w:themeColor="text1"/>
                <w:sz w:val="20"/>
                <w:szCs w:val="22"/>
                <w:lang w:val="es-CR"/>
              </w:rPr>
              <w:t xml:space="preserve">Como información adicional, en el siguiente cuadro se muestra el desglose de la formación recibida, según su clasificación (externa-interna) y costo. </w:t>
            </w:r>
          </w:p>
          <w:p w:rsidR="00610693" w:rsidRPr="00F85F08" w:rsidRDefault="00610693" w:rsidP="00A72EB6">
            <w:pPr>
              <w:spacing w:line="276" w:lineRule="auto"/>
              <w:ind w:left="79"/>
              <w:rPr>
                <w:rFonts w:ascii="Calibri Light" w:hAnsi="Calibri Light" w:cs="Calibri Light"/>
                <w:sz w:val="20"/>
                <w:highlight w:val="cyan"/>
              </w:rPr>
            </w:pPr>
          </w:p>
          <w:p w:rsidR="00610693" w:rsidRPr="00F85F08" w:rsidRDefault="00610693" w:rsidP="00A72EB6">
            <w:pPr>
              <w:spacing w:line="276" w:lineRule="auto"/>
              <w:ind w:left="79"/>
              <w:rPr>
                <w:rFonts w:ascii="Calibri Light" w:hAnsi="Calibri Light" w:cs="Calibri Light"/>
                <w:sz w:val="20"/>
              </w:rPr>
            </w:pPr>
            <w:r w:rsidRPr="00F85F08">
              <w:rPr>
                <w:rFonts w:ascii="Calibri Light" w:hAnsi="Calibri Light" w:cs="Calibri Light"/>
                <w:sz w:val="20"/>
              </w:rPr>
              <w:t>C</w:t>
            </w:r>
            <w:r w:rsidR="00E46832" w:rsidRPr="00F85F08">
              <w:rPr>
                <w:rFonts w:ascii="Calibri Light" w:hAnsi="Calibri Light" w:cs="Calibri Light"/>
                <w:sz w:val="20"/>
              </w:rPr>
              <w:t>uadro 23</w:t>
            </w:r>
          </w:p>
          <w:p w:rsidR="00610693" w:rsidRPr="00F85F08" w:rsidRDefault="00610693" w:rsidP="00A72EB6">
            <w:pPr>
              <w:spacing w:line="276" w:lineRule="auto"/>
              <w:jc w:val="center"/>
              <w:rPr>
                <w:rFonts w:ascii="Calibri Light" w:hAnsi="Calibri Light" w:cs="Calibri Light"/>
                <w:color w:val="000000" w:themeColor="text1"/>
                <w:sz w:val="20"/>
                <w:highlight w:val="yellow"/>
                <w:lang w:val="es-CR"/>
              </w:rPr>
            </w:pPr>
            <w:r w:rsidRPr="00F85F08">
              <w:rPr>
                <w:rFonts w:ascii="Calibri Light" w:hAnsi="Calibri Light" w:cs="Calibri Light"/>
                <w:noProof/>
                <w:sz w:val="20"/>
              </w:rPr>
              <w:drawing>
                <wp:inline distT="0" distB="0" distL="0" distR="0" wp14:anchorId="7A7BCA2E" wp14:editId="7A084E2E">
                  <wp:extent cx="4321175" cy="2757170"/>
                  <wp:effectExtent l="0" t="0" r="3175" b="508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321175" cy="2757170"/>
                          </a:xfrm>
                          <a:prstGeom prst="rect">
                            <a:avLst/>
                          </a:prstGeom>
                        </pic:spPr>
                      </pic:pic>
                    </a:graphicData>
                  </a:graphic>
                </wp:inline>
              </w:drawing>
            </w:r>
          </w:p>
        </w:tc>
      </w:tr>
      <w:tr w:rsidR="00610693" w:rsidRPr="003A3A86" w:rsidTr="00A72EB6">
        <w:trPr>
          <w:trHeight w:val="300"/>
        </w:trPr>
        <w:tc>
          <w:tcPr>
            <w:tcW w:w="9049" w:type="dxa"/>
            <w:gridSpan w:val="2"/>
            <w:tcBorders>
              <w:top w:val="single" w:sz="4" w:space="0" w:color="auto"/>
              <w:bottom w:val="single" w:sz="6" w:space="0" w:color="000000"/>
            </w:tcBorders>
            <w:shd w:val="clear" w:color="auto" w:fill="EAF1DD" w:themeFill="accent3" w:themeFillTint="33"/>
            <w:vAlign w:val="center"/>
          </w:tcPr>
          <w:p w:rsidR="00610693" w:rsidRPr="00F85F08" w:rsidRDefault="00610693" w:rsidP="00F60302">
            <w:pPr>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pPr>
            <w:bookmarkStart w:id="49" w:name="_Toc505008427"/>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Sistema de Gestión de la Calidad</w:t>
            </w:r>
            <w:bookmarkEnd w:id="49"/>
            <w:r w:rsidRPr="00F85F08">
              <w:rPr>
                <w:rFonts w:ascii="Calibri Light" w:hAnsi="Calibri Light" w:cs="Calibri Light"/>
                <w:color w:val="000000" w:themeColor="text1"/>
                <w:sz w:val="28"/>
                <w:szCs w:val="24"/>
                <w:lang w:val="es-CR"/>
                <w14:shadow w14:blurRad="50800" w14:dist="38100" w14:dir="2700000" w14:sx="100000" w14:sy="100000" w14:kx="0" w14:ky="0" w14:algn="tl">
                  <w14:srgbClr w14:val="000000">
                    <w14:alpha w14:val="60000"/>
                  </w14:srgbClr>
                </w14:shadow>
              </w:rPr>
              <w:t xml:space="preserve"> </w:t>
            </w:r>
          </w:p>
        </w:tc>
      </w:tr>
      <w:tr w:rsidR="00610693" w:rsidRPr="0013592D" w:rsidTr="00A72EB6">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rsidR="00610693" w:rsidRPr="00F85F08" w:rsidRDefault="00610693" w:rsidP="00A72EB6">
            <w:pPr>
              <w:spacing w:line="276" w:lineRule="auto"/>
              <w:jc w:val="left"/>
              <w:rPr>
                <w:rFonts w:ascii="Calibri Light" w:hAnsi="Calibri Light" w:cs="Calibri Light"/>
                <w:b/>
                <w:color w:val="000000" w:themeColor="text1"/>
                <w:szCs w:val="22"/>
                <w:highlight w:val="yellow"/>
                <w:lang w:val="es-CR"/>
              </w:rPr>
            </w:pPr>
            <w:r w:rsidRPr="00F85F08">
              <w:rPr>
                <w:rFonts w:ascii="Calibri Light" w:hAnsi="Calibri Light" w:cs="Calibri Light"/>
                <w:b/>
                <w:color w:val="000000" w:themeColor="text1"/>
                <w:szCs w:val="22"/>
                <w:lang w:val="es-CR"/>
              </w:rPr>
              <w:t>Atender el 100% de los requerimientos relacionados con la mejora continua (SGC-Riesgos-PGAI).</w:t>
            </w:r>
          </w:p>
        </w:tc>
        <w:tc>
          <w:tcPr>
            <w:tcW w:w="6945" w:type="dxa"/>
            <w:tcBorders>
              <w:top w:val="single" w:sz="6" w:space="0" w:color="000000"/>
              <w:bottom w:val="single" w:sz="6" w:space="0" w:color="000000"/>
            </w:tcBorders>
            <w:vAlign w:val="center"/>
          </w:tcPr>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Como parte del Sistema de Gestión de la Calidad (SGC), se ha planteado como meta: atender el 100% de los requerimientos relacionados con la mejora continua; lo que implica actividades como: </w:t>
            </w:r>
            <w:r w:rsidRPr="00F85F08">
              <w:rPr>
                <w:rFonts w:ascii="Calibri Light" w:hAnsi="Calibri Light" w:cs="Calibri Light"/>
                <w:i/>
                <w:color w:val="000000" w:themeColor="text1"/>
                <w:sz w:val="20"/>
                <w:szCs w:val="22"/>
                <w:lang w:val="es-CR"/>
              </w:rPr>
              <w:t>revisión de documentos del SGC, Auditorías de calidad, Gestión ambiental y Evaluación de riesgos institucional.</w:t>
            </w:r>
            <w:r w:rsidRPr="00F85F08">
              <w:rPr>
                <w:rFonts w:ascii="Calibri Light" w:hAnsi="Calibri Light" w:cs="Calibri Light"/>
                <w:color w:val="000000" w:themeColor="text1"/>
                <w:sz w:val="20"/>
                <w:szCs w:val="22"/>
                <w:lang w:val="es-CR"/>
              </w:rPr>
              <w:t xml:space="preserve">  </w:t>
            </w:r>
          </w:p>
          <w:p w:rsidR="00610693" w:rsidRPr="00F85F08" w:rsidRDefault="00610693" w:rsidP="00A72EB6">
            <w:pPr>
              <w:spacing w:line="276" w:lineRule="auto"/>
              <w:rPr>
                <w:rFonts w:ascii="Calibri Light" w:hAnsi="Calibri Light" w:cs="Calibri Light"/>
                <w:color w:val="000000" w:themeColor="text1"/>
                <w:sz w:val="20"/>
                <w:szCs w:val="22"/>
                <w:lang w:val="es-CR"/>
              </w:rPr>
            </w:pP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Para evaluar el cumplimiento de la meta se utilizan una serie de parámetros, cuyo resultado final es una nota por proceso, la cual se muestra en el siguiente cuadro:  </w:t>
            </w:r>
          </w:p>
          <w:p w:rsidR="00610693" w:rsidRPr="00F85F08" w:rsidRDefault="00610693" w:rsidP="00A72EB6">
            <w:pPr>
              <w:spacing w:line="276" w:lineRule="auto"/>
              <w:rPr>
                <w:rFonts w:ascii="Calibri Light" w:hAnsi="Calibri Light" w:cs="Calibri Light"/>
                <w:sz w:val="20"/>
                <w:lang w:val="es-CR"/>
              </w:rPr>
            </w:pPr>
          </w:p>
          <w:p w:rsidR="00610693" w:rsidRPr="00F85F08" w:rsidRDefault="00610693" w:rsidP="00A72EB6">
            <w:pPr>
              <w:spacing w:line="276" w:lineRule="auto"/>
              <w:ind w:left="219"/>
              <w:rPr>
                <w:rFonts w:ascii="Calibri Light" w:hAnsi="Calibri Light" w:cs="Calibri Light"/>
                <w:sz w:val="20"/>
              </w:rPr>
            </w:pPr>
            <w:r w:rsidRPr="00F85F08">
              <w:rPr>
                <w:rFonts w:ascii="Calibri Light" w:hAnsi="Calibri Light" w:cs="Calibri Light"/>
                <w:sz w:val="20"/>
              </w:rPr>
              <w:t xml:space="preserve">Cuadro </w:t>
            </w:r>
            <w:r w:rsidR="00E46832" w:rsidRPr="00F85F08">
              <w:rPr>
                <w:rFonts w:ascii="Calibri Light" w:hAnsi="Calibri Light" w:cs="Calibri Light"/>
                <w:sz w:val="20"/>
              </w:rPr>
              <w:t>24</w:t>
            </w:r>
          </w:p>
          <w:p w:rsidR="00610693" w:rsidRPr="00F85F08" w:rsidRDefault="00610693" w:rsidP="00A72EB6">
            <w:pPr>
              <w:spacing w:line="276" w:lineRule="auto"/>
              <w:ind w:left="219"/>
              <w:rPr>
                <w:rFonts w:ascii="Calibri Light" w:hAnsi="Calibri Light" w:cs="Calibri Light"/>
                <w:noProof/>
                <w:sz w:val="20"/>
              </w:rPr>
            </w:pPr>
            <w:r w:rsidRPr="00F85F08">
              <w:rPr>
                <w:rFonts w:ascii="Calibri Light" w:hAnsi="Calibri Light" w:cs="Calibri Light"/>
                <w:noProof/>
                <w:sz w:val="20"/>
              </w:rPr>
              <w:drawing>
                <wp:inline distT="0" distB="0" distL="0" distR="0" wp14:anchorId="2BAC2423" wp14:editId="05F31C13">
                  <wp:extent cx="3905250" cy="1983902"/>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944213" cy="2003696"/>
                          </a:xfrm>
                          <a:prstGeom prst="rect">
                            <a:avLst/>
                          </a:prstGeom>
                        </pic:spPr>
                      </pic:pic>
                    </a:graphicData>
                  </a:graphic>
                </wp:inline>
              </w:drawing>
            </w:r>
          </w:p>
          <w:p w:rsidR="00610693" w:rsidRPr="00F85F08" w:rsidRDefault="00610693" w:rsidP="00A72EB6">
            <w:pPr>
              <w:spacing w:line="276" w:lineRule="auto"/>
              <w:rPr>
                <w:rFonts w:ascii="Calibri Light" w:hAnsi="Calibri Light" w:cs="Calibri Light"/>
                <w:color w:val="000000" w:themeColor="text1"/>
                <w:sz w:val="20"/>
                <w:szCs w:val="22"/>
                <w:lang w:val="es-CR"/>
              </w:rPr>
            </w:pPr>
            <w:r w:rsidRPr="00F85F08">
              <w:rPr>
                <w:rFonts w:ascii="Calibri Light" w:hAnsi="Calibri Light" w:cs="Calibri Light"/>
                <w:color w:val="000000" w:themeColor="text1"/>
                <w:sz w:val="20"/>
                <w:szCs w:val="22"/>
                <w:lang w:val="es-CR"/>
              </w:rPr>
              <w:t xml:space="preserve">En el primer semestre de 2018, los valores obtenidos se acercan a la meta, el resultado se considera satisfactorio. </w:t>
            </w:r>
          </w:p>
          <w:p w:rsidR="00610693" w:rsidRPr="00F85F08" w:rsidRDefault="00610693" w:rsidP="00A72EB6">
            <w:pPr>
              <w:spacing w:line="276" w:lineRule="auto"/>
              <w:rPr>
                <w:rFonts w:ascii="Calibri Light" w:hAnsi="Calibri Light" w:cs="Calibri Light"/>
                <w:color w:val="000000" w:themeColor="text1"/>
                <w:sz w:val="20"/>
                <w:highlight w:val="yellow"/>
                <w:lang w:val="es-CR"/>
              </w:rPr>
            </w:pPr>
          </w:p>
        </w:tc>
      </w:tr>
    </w:tbl>
    <w:p w:rsidR="00610693" w:rsidRPr="007F441A" w:rsidRDefault="00610693" w:rsidP="0051207A">
      <w:pPr>
        <w:spacing w:line="240" w:lineRule="auto"/>
        <w:jc w:val="left"/>
        <w:rPr>
          <w:rFonts w:asciiTheme="minorHAnsi" w:hAnsiTheme="minorHAnsi" w:cstheme="minorHAnsi"/>
          <w:lang w:val="es-CR"/>
        </w:rPr>
      </w:pPr>
    </w:p>
    <w:sectPr w:rsidR="00610693" w:rsidRPr="007F441A" w:rsidSect="0051207A">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BF1" w:rsidRDefault="000C5BF1">
      <w:r>
        <w:separator/>
      </w:r>
    </w:p>
  </w:endnote>
  <w:endnote w:type="continuationSeparator" w:id="0">
    <w:p w:rsidR="000C5BF1" w:rsidRDefault="000C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0C1" w:rsidRPr="00FB4339" w:rsidRDefault="00C140C1">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sidR="001A18F5">
      <w:rPr>
        <w:rFonts w:ascii="Bookman Old Style" w:hAnsi="Bookman Old Style"/>
        <w:i/>
        <w:noProof/>
        <w:snapToGrid w:val="0"/>
        <w:color w:val="0000FF"/>
        <w:sz w:val="18"/>
        <w:szCs w:val="18"/>
      </w:rPr>
      <w:t>16</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127274"/>
      <w:docPartObj>
        <w:docPartGallery w:val="Page Numbers (Bottom of Page)"/>
        <w:docPartUnique/>
      </w:docPartObj>
    </w:sdtPr>
    <w:sdtEndPr/>
    <w:sdtContent>
      <w:p w:rsidR="00C140C1" w:rsidRDefault="00C140C1">
        <w:pPr>
          <w:pStyle w:val="Piedepgina"/>
          <w:jc w:val="right"/>
        </w:pPr>
        <w:r>
          <w:fldChar w:fldCharType="begin"/>
        </w:r>
        <w:r>
          <w:instrText>PAGE   \* MERGEFORMAT</w:instrText>
        </w:r>
        <w:r>
          <w:fldChar w:fldCharType="separate"/>
        </w:r>
        <w:r w:rsidR="00C72462" w:rsidRPr="00C72462">
          <w:rPr>
            <w:rFonts w:ascii="Bookman Old Style" w:hAnsi="Bookman Old Style"/>
            <w:i/>
            <w:noProof/>
            <w:snapToGrid w:val="0"/>
            <w:color w:val="0000FF"/>
            <w:sz w:val="18"/>
            <w:szCs w:val="18"/>
          </w:rPr>
          <w:t>40</w:t>
        </w:r>
        <w:r>
          <w:fldChar w:fldCharType="end"/>
        </w:r>
      </w:p>
    </w:sdtContent>
  </w:sdt>
  <w:p w:rsidR="00C140C1" w:rsidRPr="009D44B3" w:rsidRDefault="00C140C1"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BF1" w:rsidRDefault="000C5BF1">
      <w:r>
        <w:separator/>
      </w:r>
    </w:p>
  </w:footnote>
  <w:footnote w:type="continuationSeparator" w:id="0">
    <w:p w:rsidR="000C5BF1" w:rsidRDefault="000C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0C1" w:rsidRPr="004E57DE" w:rsidRDefault="00C140C1" w:rsidP="00277BCF">
    <w:pPr>
      <w:pStyle w:val="Encabezado"/>
      <w:tabs>
        <w:tab w:val="clear" w:pos="4252"/>
        <w:tab w:val="clear" w:pos="8504"/>
        <w:tab w:val="right" w:pos="9072"/>
      </w:tabs>
      <w:rPr>
        <w:rFonts w:ascii="Bookman Old Style" w:hAnsi="Bookman Old Style"/>
        <w:b/>
        <w:i/>
        <w:color w:val="000000" w:themeColor="text1"/>
        <w:sz w:val="18"/>
      </w:rPr>
    </w:pPr>
    <w:r>
      <w:rPr>
        <w:b/>
        <w:noProof/>
        <w:sz w:val="32"/>
        <w:lang w:val="es-CR" w:eastAsia="es-CR"/>
      </w:rPr>
      <w:drawing>
        <wp:anchor distT="0" distB="0" distL="114300" distR="114300" simplePos="0" relativeHeight="251658240" behindDoc="1" locked="0" layoutInCell="1" allowOverlap="1" wp14:anchorId="681EBF34" wp14:editId="6C97DC6C">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p>
  <w:p w:rsidR="00C140C1" w:rsidRDefault="00C140C1"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rsidR="00C140C1" w:rsidRPr="00673A4E" w:rsidRDefault="00C140C1" w:rsidP="00277BCF">
    <w:pPr>
      <w:pStyle w:val="Encabezado"/>
      <w:tabs>
        <w:tab w:val="clear" w:pos="4252"/>
        <w:tab w:val="clear" w:pos="8504"/>
        <w:tab w:val="right" w:pos="9072"/>
      </w:tabs>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0C1" w:rsidRPr="004E57DE" w:rsidRDefault="00C140C1" w:rsidP="00277BCF">
    <w:pPr>
      <w:pStyle w:val="Encabezado"/>
      <w:tabs>
        <w:tab w:val="clear" w:pos="4252"/>
        <w:tab w:val="clear" w:pos="8504"/>
        <w:tab w:val="right" w:pos="9072"/>
      </w:tabs>
      <w:rPr>
        <w:rFonts w:ascii="Bookman Old Style" w:hAnsi="Bookman Old Style"/>
        <w:b/>
        <w:i/>
        <w:color w:val="000000" w:themeColor="text1"/>
        <w:sz w:val="18"/>
      </w:rPr>
    </w:pPr>
    <w:r>
      <w:rPr>
        <w:noProof/>
      </w:rPr>
      <w:drawing>
        <wp:anchor distT="0" distB="0" distL="114300" distR="114300" simplePos="0" relativeHeight="251662336" behindDoc="0" locked="0" layoutInCell="1" allowOverlap="1" wp14:anchorId="319F94BC" wp14:editId="4D553227">
          <wp:simplePos x="0" y="0"/>
          <wp:positionH relativeFrom="margin">
            <wp:posOffset>1139190</wp:posOffset>
          </wp:positionH>
          <wp:positionV relativeFrom="paragraph">
            <wp:posOffset>-228600</wp:posOffset>
          </wp:positionV>
          <wp:extent cx="561975" cy="363220"/>
          <wp:effectExtent l="0" t="0" r="952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975" cy="363220"/>
                  </a:xfrm>
                  <a:prstGeom prst="rect">
                    <a:avLst/>
                  </a:prstGeom>
                </pic:spPr>
              </pic:pic>
            </a:graphicData>
          </a:graphic>
          <wp14:sizeRelH relativeFrom="margin">
            <wp14:pctWidth>0</wp14:pctWidth>
          </wp14:sizeRelH>
          <wp14:sizeRelV relativeFrom="margin">
            <wp14:pctHeight>0</wp14:pctHeight>
          </wp14:sizeRelV>
        </wp:anchor>
      </w:drawing>
    </w:r>
    <w:r>
      <w:rPr>
        <w:b/>
        <w:noProof/>
        <w:sz w:val="32"/>
        <w:lang w:val="es-CR" w:eastAsia="es-CR"/>
      </w:rPr>
      <w:drawing>
        <wp:anchor distT="0" distB="0" distL="114300" distR="114300" simplePos="0" relativeHeight="251660288" behindDoc="1" locked="0" layoutInCell="1" allowOverlap="1" wp14:anchorId="1B386EC3" wp14:editId="5EFDF8F1">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r w:rsidRPr="004E57DE">
      <w:rPr>
        <w:rFonts w:ascii="Bookman Old Style" w:hAnsi="Bookman Old Style"/>
        <w:b/>
        <w:i/>
        <w:color w:val="000000" w:themeColor="text1"/>
        <w:sz w:val="18"/>
      </w:rPr>
      <w:t xml:space="preserve">Informe de </w:t>
    </w:r>
    <w:r>
      <w:rPr>
        <w:rFonts w:ascii="Bookman Old Style" w:hAnsi="Bookman Old Style"/>
        <w:b/>
        <w:i/>
        <w:color w:val="000000" w:themeColor="text1"/>
        <w:sz w:val="18"/>
      </w:rPr>
      <w:t xml:space="preserve">Evaluación Presupuestaria </w:t>
    </w:r>
    <w:r w:rsidRPr="004E57DE">
      <w:rPr>
        <w:rFonts w:ascii="Bookman Old Style" w:hAnsi="Bookman Old Style"/>
        <w:b/>
        <w:i/>
        <w:color w:val="000000" w:themeColor="text1"/>
        <w:sz w:val="18"/>
      </w:rPr>
      <w:t>201</w:t>
    </w:r>
    <w:r>
      <w:rPr>
        <w:rFonts w:ascii="Bookman Old Style" w:hAnsi="Bookman Old Style"/>
        <w:b/>
        <w:i/>
        <w:color w:val="000000" w:themeColor="text1"/>
        <w:sz w:val="18"/>
      </w:rPr>
      <w:t>8</w:t>
    </w:r>
  </w:p>
  <w:p w:rsidR="00C140C1" w:rsidRDefault="00C140C1"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rsidR="00C140C1" w:rsidRPr="00673A4E" w:rsidRDefault="00C140C1" w:rsidP="00277BCF">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6B"/>
    <w:multiLevelType w:val="hybridMultilevel"/>
    <w:tmpl w:val="B596B1D0"/>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FC42A5"/>
    <w:multiLevelType w:val="hybridMultilevel"/>
    <w:tmpl w:val="37F87A0C"/>
    <w:lvl w:ilvl="0" w:tplc="140A001B">
      <w:start w:val="1"/>
      <w:numFmt w:val="lowerRoman"/>
      <w:lvlText w:val="%1."/>
      <w:lvlJc w:val="right"/>
      <w:pPr>
        <w:ind w:left="1065" w:hanging="705"/>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6157D31"/>
    <w:multiLevelType w:val="hybridMultilevel"/>
    <w:tmpl w:val="AEB045B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9C87C42"/>
    <w:multiLevelType w:val="hybridMultilevel"/>
    <w:tmpl w:val="872642B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41EF7"/>
    <w:multiLevelType w:val="hybridMultilevel"/>
    <w:tmpl w:val="3326C7F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B7C446C"/>
    <w:multiLevelType w:val="hybridMultilevel"/>
    <w:tmpl w:val="E4287014"/>
    <w:lvl w:ilvl="0" w:tplc="C93EF014">
      <w:start w:val="3"/>
      <w:numFmt w:val="decimal"/>
      <w:lvlText w:val="%1-"/>
      <w:lvlJc w:val="left"/>
      <w:pPr>
        <w:ind w:left="720" w:hanging="360"/>
      </w:pPr>
      <w:rPr>
        <w:rFonts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7FB7D34"/>
    <w:multiLevelType w:val="hybridMultilevel"/>
    <w:tmpl w:val="FC90C4F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B2F531A"/>
    <w:multiLevelType w:val="hybridMultilevel"/>
    <w:tmpl w:val="ED66FE46"/>
    <w:lvl w:ilvl="0" w:tplc="868048DA">
      <w:start w:val="1"/>
      <w:numFmt w:val="decimal"/>
      <w:lvlText w:val="%1-"/>
      <w:lvlJc w:val="left"/>
      <w:pPr>
        <w:ind w:left="720" w:hanging="360"/>
      </w:pPr>
      <w:rPr>
        <w:rFonts w:asciiTheme="minorHAnsi" w:hAnsiTheme="minorHAnsi" w:cstheme="minorHAnsi" w:hint="default"/>
        <w:b w:val="0"/>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D9141CA"/>
    <w:multiLevelType w:val="hybridMultilevel"/>
    <w:tmpl w:val="66D09BF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F758C"/>
    <w:multiLevelType w:val="hybridMultilevel"/>
    <w:tmpl w:val="1436C876"/>
    <w:lvl w:ilvl="0" w:tplc="C2F246D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367550B"/>
    <w:multiLevelType w:val="hybridMultilevel"/>
    <w:tmpl w:val="4A502C84"/>
    <w:lvl w:ilvl="0" w:tplc="126073F8">
      <w:numFmt w:val="bullet"/>
      <w:lvlText w:val="-"/>
      <w:lvlJc w:val="left"/>
      <w:pPr>
        <w:ind w:left="709" w:hanging="360"/>
      </w:pPr>
      <w:rPr>
        <w:rFonts w:ascii="Arial" w:eastAsia="Times New Roman" w:hAnsi="Arial" w:cs="Arial" w:hint="default"/>
      </w:rPr>
    </w:lvl>
    <w:lvl w:ilvl="1" w:tplc="140A0003" w:tentative="1">
      <w:start w:val="1"/>
      <w:numFmt w:val="bullet"/>
      <w:lvlText w:val="o"/>
      <w:lvlJc w:val="left"/>
      <w:pPr>
        <w:ind w:left="1429" w:hanging="360"/>
      </w:pPr>
      <w:rPr>
        <w:rFonts w:ascii="Courier New" w:hAnsi="Courier New" w:cs="Courier New" w:hint="default"/>
      </w:rPr>
    </w:lvl>
    <w:lvl w:ilvl="2" w:tplc="140A0005" w:tentative="1">
      <w:start w:val="1"/>
      <w:numFmt w:val="bullet"/>
      <w:lvlText w:val=""/>
      <w:lvlJc w:val="left"/>
      <w:pPr>
        <w:ind w:left="2149" w:hanging="360"/>
      </w:pPr>
      <w:rPr>
        <w:rFonts w:ascii="Wingdings" w:hAnsi="Wingdings" w:hint="default"/>
      </w:rPr>
    </w:lvl>
    <w:lvl w:ilvl="3" w:tplc="140A0001" w:tentative="1">
      <w:start w:val="1"/>
      <w:numFmt w:val="bullet"/>
      <w:lvlText w:val=""/>
      <w:lvlJc w:val="left"/>
      <w:pPr>
        <w:ind w:left="2869" w:hanging="360"/>
      </w:pPr>
      <w:rPr>
        <w:rFonts w:ascii="Symbol" w:hAnsi="Symbol" w:hint="default"/>
      </w:rPr>
    </w:lvl>
    <w:lvl w:ilvl="4" w:tplc="140A0003" w:tentative="1">
      <w:start w:val="1"/>
      <w:numFmt w:val="bullet"/>
      <w:lvlText w:val="o"/>
      <w:lvlJc w:val="left"/>
      <w:pPr>
        <w:ind w:left="3589" w:hanging="360"/>
      </w:pPr>
      <w:rPr>
        <w:rFonts w:ascii="Courier New" w:hAnsi="Courier New" w:cs="Courier New" w:hint="default"/>
      </w:rPr>
    </w:lvl>
    <w:lvl w:ilvl="5" w:tplc="140A0005" w:tentative="1">
      <w:start w:val="1"/>
      <w:numFmt w:val="bullet"/>
      <w:lvlText w:val=""/>
      <w:lvlJc w:val="left"/>
      <w:pPr>
        <w:ind w:left="4309" w:hanging="360"/>
      </w:pPr>
      <w:rPr>
        <w:rFonts w:ascii="Wingdings" w:hAnsi="Wingdings" w:hint="default"/>
      </w:rPr>
    </w:lvl>
    <w:lvl w:ilvl="6" w:tplc="140A0001" w:tentative="1">
      <w:start w:val="1"/>
      <w:numFmt w:val="bullet"/>
      <w:lvlText w:val=""/>
      <w:lvlJc w:val="left"/>
      <w:pPr>
        <w:ind w:left="5029" w:hanging="360"/>
      </w:pPr>
      <w:rPr>
        <w:rFonts w:ascii="Symbol" w:hAnsi="Symbol" w:hint="default"/>
      </w:rPr>
    </w:lvl>
    <w:lvl w:ilvl="7" w:tplc="140A0003" w:tentative="1">
      <w:start w:val="1"/>
      <w:numFmt w:val="bullet"/>
      <w:lvlText w:val="o"/>
      <w:lvlJc w:val="left"/>
      <w:pPr>
        <w:ind w:left="5749" w:hanging="360"/>
      </w:pPr>
      <w:rPr>
        <w:rFonts w:ascii="Courier New" w:hAnsi="Courier New" w:cs="Courier New" w:hint="default"/>
      </w:rPr>
    </w:lvl>
    <w:lvl w:ilvl="8" w:tplc="140A0005" w:tentative="1">
      <w:start w:val="1"/>
      <w:numFmt w:val="bullet"/>
      <w:lvlText w:val=""/>
      <w:lvlJc w:val="left"/>
      <w:pPr>
        <w:ind w:left="6469" w:hanging="360"/>
      </w:pPr>
      <w:rPr>
        <w:rFonts w:ascii="Wingdings" w:hAnsi="Wingdings" w:hint="default"/>
      </w:rPr>
    </w:lvl>
  </w:abstractNum>
  <w:abstractNum w:abstractNumId="13" w15:restartNumberingAfterBreak="0">
    <w:nsid w:val="59B9562B"/>
    <w:multiLevelType w:val="hybridMultilevel"/>
    <w:tmpl w:val="12B4F4EA"/>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AF70BC8"/>
    <w:multiLevelType w:val="hybridMultilevel"/>
    <w:tmpl w:val="709ECC18"/>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46E2"/>
    <w:multiLevelType w:val="hybridMultilevel"/>
    <w:tmpl w:val="914208C6"/>
    <w:lvl w:ilvl="0" w:tplc="A59839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8" w15:restartNumberingAfterBreak="0">
    <w:nsid w:val="69787C83"/>
    <w:multiLevelType w:val="hybridMultilevel"/>
    <w:tmpl w:val="37A04B5A"/>
    <w:lvl w:ilvl="0" w:tplc="0EC4B838">
      <w:start w:val="1"/>
      <w:numFmt w:val="decimal"/>
      <w:lvlText w:val="(%1)"/>
      <w:lvlJc w:val="left"/>
      <w:pPr>
        <w:ind w:left="1776" w:hanging="360"/>
      </w:pPr>
      <w:rPr>
        <w:rFonts w:hint="default"/>
        <w:vertAlign w:val="superscript"/>
      </w:rPr>
    </w:lvl>
    <w:lvl w:ilvl="1" w:tplc="140A0019" w:tentative="1">
      <w:start w:val="1"/>
      <w:numFmt w:val="lowerLetter"/>
      <w:lvlText w:val="%2."/>
      <w:lvlJc w:val="left"/>
      <w:pPr>
        <w:ind w:left="2496" w:hanging="360"/>
      </w:pPr>
    </w:lvl>
    <w:lvl w:ilvl="2" w:tplc="140A001B" w:tentative="1">
      <w:start w:val="1"/>
      <w:numFmt w:val="lowerRoman"/>
      <w:lvlText w:val="%3."/>
      <w:lvlJc w:val="right"/>
      <w:pPr>
        <w:ind w:left="3216" w:hanging="180"/>
      </w:pPr>
    </w:lvl>
    <w:lvl w:ilvl="3" w:tplc="140A000F" w:tentative="1">
      <w:start w:val="1"/>
      <w:numFmt w:val="decimal"/>
      <w:lvlText w:val="%4."/>
      <w:lvlJc w:val="left"/>
      <w:pPr>
        <w:ind w:left="3936" w:hanging="360"/>
      </w:pPr>
    </w:lvl>
    <w:lvl w:ilvl="4" w:tplc="140A0019" w:tentative="1">
      <w:start w:val="1"/>
      <w:numFmt w:val="lowerLetter"/>
      <w:lvlText w:val="%5."/>
      <w:lvlJc w:val="left"/>
      <w:pPr>
        <w:ind w:left="4656" w:hanging="360"/>
      </w:pPr>
    </w:lvl>
    <w:lvl w:ilvl="5" w:tplc="140A001B" w:tentative="1">
      <w:start w:val="1"/>
      <w:numFmt w:val="lowerRoman"/>
      <w:lvlText w:val="%6."/>
      <w:lvlJc w:val="right"/>
      <w:pPr>
        <w:ind w:left="5376" w:hanging="180"/>
      </w:pPr>
    </w:lvl>
    <w:lvl w:ilvl="6" w:tplc="140A000F" w:tentative="1">
      <w:start w:val="1"/>
      <w:numFmt w:val="decimal"/>
      <w:lvlText w:val="%7."/>
      <w:lvlJc w:val="left"/>
      <w:pPr>
        <w:ind w:left="6096" w:hanging="360"/>
      </w:pPr>
    </w:lvl>
    <w:lvl w:ilvl="7" w:tplc="140A0019" w:tentative="1">
      <w:start w:val="1"/>
      <w:numFmt w:val="lowerLetter"/>
      <w:lvlText w:val="%8."/>
      <w:lvlJc w:val="left"/>
      <w:pPr>
        <w:ind w:left="6816" w:hanging="360"/>
      </w:pPr>
    </w:lvl>
    <w:lvl w:ilvl="8" w:tplc="140A001B" w:tentative="1">
      <w:start w:val="1"/>
      <w:numFmt w:val="lowerRoman"/>
      <w:lvlText w:val="%9."/>
      <w:lvlJc w:val="right"/>
      <w:pPr>
        <w:ind w:left="7536" w:hanging="180"/>
      </w:pPr>
    </w:lvl>
  </w:abstractNum>
  <w:abstractNum w:abstractNumId="19"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20" w15:restartNumberingAfterBreak="0">
    <w:nsid w:val="6E8246E6"/>
    <w:multiLevelType w:val="hybridMultilevel"/>
    <w:tmpl w:val="2DB839C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24D39CC"/>
    <w:multiLevelType w:val="multilevel"/>
    <w:tmpl w:val="1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92541C"/>
    <w:multiLevelType w:val="hybridMultilevel"/>
    <w:tmpl w:val="DADE0420"/>
    <w:lvl w:ilvl="0" w:tplc="140A001B">
      <w:start w:val="1"/>
      <w:numFmt w:val="lowerRoman"/>
      <w:lvlText w:val="%1."/>
      <w:lvlJc w:val="right"/>
      <w:pPr>
        <w:ind w:left="1065" w:hanging="705"/>
      </w:pPr>
      <w:rPr>
        <w:rFonts w:hint="default"/>
      </w:rPr>
    </w:lvl>
    <w:lvl w:ilvl="1" w:tplc="140A0001">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6156389"/>
    <w:multiLevelType w:val="hybridMultilevel"/>
    <w:tmpl w:val="57DE5778"/>
    <w:lvl w:ilvl="0" w:tplc="5BB242C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74C758B"/>
    <w:multiLevelType w:val="hybridMultilevel"/>
    <w:tmpl w:val="44389B2E"/>
    <w:lvl w:ilvl="0" w:tplc="140A001B">
      <w:start w:val="1"/>
      <w:numFmt w:val="lowerRoman"/>
      <w:lvlText w:val="%1."/>
      <w:lvlJc w:val="right"/>
      <w:pPr>
        <w:ind w:left="1065" w:hanging="705"/>
      </w:pPr>
      <w:rPr>
        <w:rFonts w:hint="default"/>
      </w:rPr>
    </w:lvl>
    <w:lvl w:ilvl="1" w:tplc="140A0001">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9"/>
  </w:num>
  <w:num w:numId="2">
    <w:abstractNumId w:val="21"/>
  </w:num>
  <w:num w:numId="3">
    <w:abstractNumId w:val="9"/>
  </w:num>
  <w:num w:numId="4">
    <w:abstractNumId w:val="10"/>
  </w:num>
  <w:num w:numId="5">
    <w:abstractNumId w:val="17"/>
  </w:num>
  <w:num w:numId="6">
    <w:abstractNumId w:val="14"/>
  </w:num>
  <w:num w:numId="7">
    <w:abstractNumId w:val="13"/>
  </w:num>
  <w:num w:numId="8">
    <w:abstractNumId w:val="16"/>
  </w:num>
  <w:num w:numId="9">
    <w:abstractNumId w:val="5"/>
  </w:num>
  <w:num w:numId="10">
    <w:abstractNumId w:val="8"/>
  </w:num>
  <w:num w:numId="11">
    <w:abstractNumId w:val="0"/>
  </w:num>
  <w:num w:numId="12">
    <w:abstractNumId w:val="15"/>
  </w:num>
  <w:num w:numId="13">
    <w:abstractNumId w:val="4"/>
  </w:num>
  <w:num w:numId="14">
    <w:abstractNumId w:val="2"/>
  </w:num>
  <w:num w:numId="15">
    <w:abstractNumId w:val="20"/>
  </w:num>
  <w:num w:numId="16">
    <w:abstractNumId w:val="23"/>
  </w:num>
  <w:num w:numId="17">
    <w:abstractNumId w:val="12"/>
  </w:num>
  <w:num w:numId="18">
    <w:abstractNumId w:val="1"/>
  </w:num>
  <w:num w:numId="19">
    <w:abstractNumId w:val="22"/>
  </w:num>
  <w:num w:numId="20">
    <w:abstractNumId w:val="24"/>
  </w:num>
  <w:num w:numId="21">
    <w:abstractNumId w:val="3"/>
  </w:num>
  <w:num w:numId="22">
    <w:abstractNumId w:val="6"/>
  </w:num>
  <w:num w:numId="23">
    <w:abstractNumId w:val="11"/>
  </w:num>
  <w:num w:numId="24">
    <w:abstractNumId w:val="7"/>
  </w:num>
  <w:num w:numId="2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ccecff,#ccf,#f8f4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1F8"/>
    <w:rsid w:val="00000E2E"/>
    <w:rsid w:val="000016BA"/>
    <w:rsid w:val="00001A13"/>
    <w:rsid w:val="00003914"/>
    <w:rsid w:val="00003F16"/>
    <w:rsid w:val="000046F9"/>
    <w:rsid w:val="00005508"/>
    <w:rsid w:val="000056A0"/>
    <w:rsid w:val="00005B1A"/>
    <w:rsid w:val="00006025"/>
    <w:rsid w:val="000061DA"/>
    <w:rsid w:val="000078DF"/>
    <w:rsid w:val="000108BA"/>
    <w:rsid w:val="00011178"/>
    <w:rsid w:val="00012551"/>
    <w:rsid w:val="00012761"/>
    <w:rsid w:val="000131F9"/>
    <w:rsid w:val="00013D6E"/>
    <w:rsid w:val="00013D96"/>
    <w:rsid w:val="00016238"/>
    <w:rsid w:val="00016241"/>
    <w:rsid w:val="00016C3A"/>
    <w:rsid w:val="0001779E"/>
    <w:rsid w:val="00017F51"/>
    <w:rsid w:val="00020063"/>
    <w:rsid w:val="000201AA"/>
    <w:rsid w:val="000204E5"/>
    <w:rsid w:val="00022DEE"/>
    <w:rsid w:val="0002305B"/>
    <w:rsid w:val="00023095"/>
    <w:rsid w:val="000241CB"/>
    <w:rsid w:val="00024825"/>
    <w:rsid w:val="00026DC4"/>
    <w:rsid w:val="00026DE1"/>
    <w:rsid w:val="000307DD"/>
    <w:rsid w:val="00030CC6"/>
    <w:rsid w:val="00031769"/>
    <w:rsid w:val="00031FF9"/>
    <w:rsid w:val="000325CB"/>
    <w:rsid w:val="00032A03"/>
    <w:rsid w:val="00032E5C"/>
    <w:rsid w:val="000338A8"/>
    <w:rsid w:val="00033BDD"/>
    <w:rsid w:val="00034FC1"/>
    <w:rsid w:val="00035897"/>
    <w:rsid w:val="00035B8E"/>
    <w:rsid w:val="00035EDB"/>
    <w:rsid w:val="00036397"/>
    <w:rsid w:val="000400E1"/>
    <w:rsid w:val="00041B4F"/>
    <w:rsid w:val="00042589"/>
    <w:rsid w:val="00042BA9"/>
    <w:rsid w:val="0004307F"/>
    <w:rsid w:val="00043FC3"/>
    <w:rsid w:val="00044510"/>
    <w:rsid w:val="00044ECA"/>
    <w:rsid w:val="000452D4"/>
    <w:rsid w:val="0004538E"/>
    <w:rsid w:val="000453A0"/>
    <w:rsid w:val="000455C9"/>
    <w:rsid w:val="00045BCD"/>
    <w:rsid w:val="000465E7"/>
    <w:rsid w:val="00046A19"/>
    <w:rsid w:val="00046F3C"/>
    <w:rsid w:val="00047166"/>
    <w:rsid w:val="00050CB7"/>
    <w:rsid w:val="00050F6A"/>
    <w:rsid w:val="00051237"/>
    <w:rsid w:val="00052301"/>
    <w:rsid w:val="0005259E"/>
    <w:rsid w:val="000546D7"/>
    <w:rsid w:val="00054F67"/>
    <w:rsid w:val="000554DE"/>
    <w:rsid w:val="00055703"/>
    <w:rsid w:val="00057541"/>
    <w:rsid w:val="000579D8"/>
    <w:rsid w:val="00057E18"/>
    <w:rsid w:val="000604B6"/>
    <w:rsid w:val="00061034"/>
    <w:rsid w:val="0006164A"/>
    <w:rsid w:val="0006167C"/>
    <w:rsid w:val="000619CF"/>
    <w:rsid w:val="0006216B"/>
    <w:rsid w:val="00062F8C"/>
    <w:rsid w:val="00063183"/>
    <w:rsid w:val="000632C7"/>
    <w:rsid w:val="000632D4"/>
    <w:rsid w:val="00063389"/>
    <w:rsid w:val="00063C1A"/>
    <w:rsid w:val="00063C58"/>
    <w:rsid w:val="000644AD"/>
    <w:rsid w:val="00065574"/>
    <w:rsid w:val="00065C1D"/>
    <w:rsid w:val="00065DC1"/>
    <w:rsid w:val="00065E39"/>
    <w:rsid w:val="00065E49"/>
    <w:rsid w:val="000663B6"/>
    <w:rsid w:val="00066BB9"/>
    <w:rsid w:val="000675D3"/>
    <w:rsid w:val="00067868"/>
    <w:rsid w:val="00067CFA"/>
    <w:rsid w:val="000701C0"/>
    <w:rsid w:val="000707F9"/>
    <w:rsid w:val="00070903"/>
    <w:rsid w:val="000710AB"/>
    <w:rsid w:val="00071150"/>
    <w:rsid w:val="00071FE4"/>
    <w:rsid w:val="00072EE7"/>
    <w:rsid w:val="00073388"/>
    <w:rsid w:val="00073BF0"/>
    <w:rsid w:val="0007405C"/>
    <w:rsid w:val="00074655"/>
    <w:rsid w:val="00075C68"/>
    <w:rsid w:val="00080C7F"/>
    <w:rsid w:val="00080FC3"/>
    <w:rsid w:val="000810B0"/>
    <w:rsid w:val="0008131F"/>
    <w:rsid w:val="00081CB5"/>
    <w:rsid w:val="000822FA"/>
    <w:rsid w:val="000825BD"/>
    <w:rsid w:val="000828FC"/>
    <w:rsid w:val="00082B0C"/>
    <w:rsid w:val="00082CB5"/>
    <w:rsid w:val="000830A6"/>
    <w:rsid w:val="00083143"/>
    <w:rsid w:val="000835AD"/>
    <w:rsid w:val="000839FD"/>
    <w:rsid w:val="00083A84"/>
    <w:rsid w:val="00084246"/>
    <w:rsid w:val="000844CA"/>
    <w:rsid w:val="00084886"/>
    <w:rsid w:val="000857F9"/>
    <w:rsid w:val="00085C5A"/>
    <w:rsid w:val="00086EB2"/>
    <w:rsid w:val="0008787B"/>
    <w:rsid w:val="00087C72"/>
    <w:rsid w:val="00087CE1"/>
    <w:rsid w:val="00090577"/>
    <w:rsid w:val="00093C79"/>
    <w:rsid w:val="00093CA8"/>
    <w:rsid w:val="00093D70"/>
    <w:rsid w:val="00094971"/>
    <w:rsid w:val="00094EE2"/>
    <w:rsid w:val="00097148"/>
    <w:rsid w:val="000A1450"/>
    <w:rsid w:val="000A26B5"/>
    <w:rsid w:val="000A2A3D"/>
    <w:rsid w:val="000A2B51"/>
    <w:rsid w:val="000A3691"/>
    <w:rsid w:val="000A572C"/>
    <w:rsid w:val="000A5B82"/>
    <w:rsid w:val="000A5E7E"/>
    <w:rsid w:val="000A6695"/>
    <w:rsid w:val="000A7383"/>
    <w:rsid w:val="000A73DD"/>
    <w:rsid w:val="000A773F"/>
    <w:rsid w:val="000A7A4E"/>
    <w:rsid w:val="000B0245"/>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0"/>
    <w:rsid w:val="000C0BD9"/>
    <w:rsid w:val="000C1848"/>
    <w:rsid w:val="000C30BD"/>
    <w:rsid w:val="000C32FA"/>
    <w:rsid w:val="000C37A0"/>
    <w:rsid w:val="000C437C"/>
    <w:rsid w:val="000C4765"/>
    <w:rsid w:val="000C48A8"/>
    <w:rsid w:val="000C4D0E"/>
    <w:rsid w:val="000C5BF1"/>
    <w:rsid w:val="000C5E23"/>
    <w:rsid w:val="000C6273"/>
    <w:rsid w:val="000C7838"/>
    <w:rsid w:val="000C7A7D"/>
    <w:rsid w:val="000C7BD3"/>
    <w:rsid w:val="000C7FC1"/>
    <w:rsid w:val="000D06DF"/>
    <w:rsid w:val="000D0FE1"/>
    <w:rsid w:val="000D22E0"/>
    <w:rsid w:val="000D24E0"/>
    <w:rsid w:val="000D2B02"/>
    <w:rsid w:val="000D31CF"/>
    <w:rsid w:val="000D32D8"/>
    <w:rsid w:val="000D3368"/>
    <w:rsid w:val="000D3E33"/>
    <w:rsid w:val="000D4770"/>
    <w:rsid w:val="000D50FE"/>
    <w:rsid w:val="000D548C"/>
    <w:rsid w:val="000D5813"/>
    <w:rsid w:val="000D6252"/>
    <w:rsid w:val="000D7639"/>
    <w:rsid w:val="000E08F0"/>
    <w:rsid w:val="000E0EFD"/>
    <w:rsid w:val="000E13F1"/>
    <w:rsid w:val="000E15F2"/>
    <w:rsid w:val="000E1A96"/>
    <w:rsid w:val="000E28BA"/>
    <w:rsid w:val="000E2D56"/>
    <w:rsid w:val="000E3AB7"/>
    <w:rsid w:val="000E5161"/>
    <w:rsid w:val="000E53A8"/>
    <w:rsid w:val="000E5CD8"/>
    <w:rsid w:val="000E5FBC"/>
    <w:rsid w:val="000E6950"/>
    <w:rsid w:val="000E6A44"/>
    <w:rsid w:val="000E6C52"/>
    <w:rsid w:val="000E70ED"/>
    <w:rsid w:val="000E7BDD"/>
    <w:rsid w:val="000F0275"/>
    <w:rsid w:val="000F16CD"/>
    <w:rsid w:val="000F39F0"/>
    <w:rsid w:val="000F538F"/>
    <w:rsid w:val="000F5573"/>
    <w:rsid w:val="000F57EC"/>
    <w:rsid w:val="000F5AC7"/>
    <w:rsid w:val="000F5AF5"/>
    <w:rsid w:val="000F6452"/>
    <w:rsid w:val="000F6522"/>
    <w:rsid w:val="000F65D5"/>
    <w:rsid w:val="000F673A"/>
    <w:rsid w:val="000F6B70"/>
    <w:rsid w:val="000F75DF"/>
    <w:rsid w:val="000F7AAD"/>
    <w:rsid w:val="000F7C05"/>
    <w:rsid w:val="00100B83"/>
    <w:rsid w:val="00100D88"/>
    <w:rsid w:val="001013BE"/>
    <w:rsid w:val="0010175E"/>
    <w:rsid w:val="00102540"/>
    <w:rsid w:val="00102662"/>
    <w:rsid w:val="00103340"/>
    <w:rsid w:val="00103674"/>
    <w:rsid w:val="001038E8"/>
    <w:rsid w:val="00103DC0"/>
    <w:rsid w:val="00104446"/>
    <w:rsid w:val="00104B71"/>
    <w:rsid w:val="001068FF"/>
    <w:rsid w:val="00106D1C"/>
    <w:rsid w:val="001076EC"/>
    <w:rsid w:val="00107A6D"/>
    <w:rsid w:val="00107DE7"/>
    <w:rsid w:val="001104DC"/>
    <w:rsid w:val="001107E2"/>
    <w:rsid w:val="001117C9"/>
    <w:rsid w:val="00112402"/>
    <w:rsid w:val="00112BE9"/>
    <w:rsid w:val="001164A1"/>
    <w:rsid w:val="00116A44"/>
    <w:rsid w:val="00120984"/>
    <w:rsid w:val="00121BA8"/>
    <w:rsid w:val="00121D80"/>
    <w:rsid w:val="001221D8"/>
    <w:rsid w:val="001222CD"/>
    <w:rsid w:val="0012260D"/>
    <w:rsid w:val="00122C75"/>
    <w:rsid w:val="0012437A"/>
    <w:rsid w:val="001247FB"/>
    <w:rsid w:val="00124F06"/>
    <w:rsid w:val="0012606A"/>
    <w:rsid w:val="00131DEA"/>
    <w:rsid w:val="001321AD"/>
    <w:rsid w:val="00132299"/>
    <w:rsid w:val="00132D4A"/>
    <w:rsid w:val="00133177"/>
    <w:rsid w:val="00133D2E"/>
    <w:rsid w:val="00136344"/>
    <w:rsid w:val="00137C36"/>
    <w:rsid w:val="00137C57"/>
    <w:rsid w:val="00140AEC"/>
    <w:rsid w:val="00140FBA"/>
    <w:rsid w:val="0014142B"/>
    <w:rsid w:val="00141596"/>
    <w:rsid w:val="0014215D"/>
    <w:rsid w:val="00142F84"/>
    <w:rsid w:val="001436D7"/>
    <w:rsid w:val="00143CCA"/>
    <w:rsid w:val="0014430F"/>
    <w:rsid w:val="00144539"/>
    <w:rsid w:val="00144A9A"/>
    <w:rsid w:val="001470A8"/>
    <w:rsid w:val="0015037C"/>
    <w:rsid w:val="0015103A"/>
    <w:rsid w:val="00152216"/>
    <w:rsid w:val="001525F6"/>
    <w:rsid w:val="001530CE"/>
    <w:rsid w:val="00153463"/>
    <w:rsid w:val="00153918"/>
    <w:rsid w:val="00153E4A"/>
    <w:rsid w:val="00154373"/>
    <w:rsid w:val="001548C8"/>
    <w:rsid w:val="00154EFF"/>
    <w:rsid w:val="00155133"/>
    <w:rsid w:val="0015560A"/>
    <w:rsid w:val="00156C74"/>
    <w:rsid w:val="00156D5D"/>
    <w:rsid w:val="001601F4"/>
    <w:rsid w:val="00160B8E"/>
    <w:rsid w:val="001615D3"/>
    <w:rsid w:val="001620D8"/>
    <w:rsid w:val="00162816"/>
    <w:rsid w:val="00162A43"/>
    <w:rsid w:val="00162A99"/>
    <w:rsid w:val="00163587"/>
    <w:rsid w:val="00165C22"/>
    <w:rsid w:val="00165D77"/>
    <w:rsid w:val="00166123"/>
    <w:rsid w:val="00166563"/>
    <w:rsid w:val="00166A2E"/>
    <w:rsid w:val="00166EF1"/>
    <w:rsid w:val="001673A4"/>
    <w:rsid w:val="001678BF"/>
    <w:rsid w:val="00167AE9"/>
    <w:rsid w:val="00167B15"/>
    <w:rsid w:val="0017077B"/>
    <w:rsid w:val="00170AA0"/>
    <w:rsid w:val="00171AB1"/>
    <w:rsid w:val="0017269B"/>
    <w:rsid w:val="00172D4E"/>
    <w:rsid w:val="00172EF5"/>
    <w:rsid w:val="001736A9"/>
    <w:rsid w:val="00173C36"/>
    <w:rsid w:val="00173F4E"/>
    <w:rsid w:val="00175130"/>
    <w:rsid w:val="001757C4"/>
    <w:rsid w:val="00175B17"/>
    <w:rsid w:val="00175D67"/>
    <w:rsid w:val="00176375"/>
    <w:rsid w:val="00176E40"/>
    <w:rsid w:val="00176E80"/>
    <w:rsid w:val="001770F6"/>
    <w:rsid w:val="0017777E"/>
    <w:rsid w:val="001810EF"/>
    <w:rsid w:val="00181803"/>
    <w:rsid w:val="00182887"/>
    <w:rsid w:val="00183726"/>
    <w:rsid w:val="00186F96"/>
    <w:rsid w:val="00187132"/>
    <w:rsid w:val="00187264"/>
    <w:rsid w:val="0018733C"/>
    <w:rsid w:val="00187BB6"/>
    <w:rsid w:val="00190BDB"/>
    <w:rsid w:val="00191C10"/>
    <w:rsid w:val="00193516"/>
    <w:rsid w:val="00193C9B"/>
    <w:rsid w:val="00195489"/>
    <w:rsid w:val="00195A02"/>
    <w:rsid w:val="001978A9"/>
    <w:rsid w:val="00197BBB"/>
    <w:rsid w:val="00197DCB"/>
    <w:rsid w:val="001A0F7C"/>
    <w:rsid w:val="001A185D"/>
    <w:rsid w:val="001A18F5"/>
    <w:rsid w:val="001A1AF1"/>
    <w:rsid w:val="001A3213"/>
    <w:rsid w:val="001A3B07"/>
    <w:rsid w:val="001A3C52"/>
    <w:rsid w:val="001A3F6F"/>
    <w:rsid w:val="001A3FF4"/>
    <w:rsid w:val="001A4D24"/>
    <w:rsid w:val="001A6426"/>
    <w:rsid w:val="001A710C"/>
    <w:rsid w:val="001A79AA"/>
    <w:rsid w:val="001A7E86"/>
    <w:rsid w:val="001A7F97"/>
    <w:rsid w:val="001B05C7"/>
    <w:rsid w:val="001B0A30"/>
    <w:rsid w:val="001B0C89"/>
    <w:rsid w:val="001B1276"/>
    <w:rsid w:val="001B1477"/>
    <w:rsid w:val="001B28F2"/>
    <w:rsid w:val="001B40F7"/>
    <w:rsid w:val="001B4287"/>
    <w:rsid w:val="001B4422"/>
    <w:rsid w:val="001B4CE3"/>
    <w:rsid w:val="001B4D51"/>
    <w:rsid w:val="001B53BA"/>
    <w:rsid w:val="001B5AF3"/>
    <w:rsid w:val="001B6A00"/>
    <w:rsid w:val="001B7AE0"/>
    <w:rsid w:val="001B7BE8"/>
    <w:rsid w:val="001C1A65"/>
    <w:rsid w:val="001C2147"/>
    <w:rsid w:val="001C240D"/>
    <w:rsid w:val="001C2904"/>
    <w:rsid w:val="001C2AD6"/>
    <w:rsid w:val="001C2D44"/>
    <w:rsid w:val="001C36F2"/>
    <w:rsid w:val="001C3783"/>
    <w:rsid w:val="001C47F7"/>
    <w:rsid w:val="001C6F46"/>
    <w:rsid w:val="001C724E"/>
    <w:rsid w:val="001C7548"/>
    <w:rsid w:val="001C7589"/>
    <w:rsid w:val="001D0BB3"/>
    <w:rsid w:val="001D14F9"/>
    <w:rsid w:val="001D187A"/>
    <w:rsid w:val="001D1A58"/>
    <w:rsid w:val="001D3B57"/>
    <w:rsid w:val="001D41FA"/>
    <w:rsid w:val="001D48E5"/>
    <w:rsid w:val="001D491D"/>
    <w:rsid w:val="001D6B10"/>
    <w:rsid w:val="001D6B59"/>
    <w:rsid w:val="001D796D"/>
    <w:rsid w:val="001E0814"/>
    <w:rsid w:val="001E0A6E"/>
    <w:rsid w:val="001E1454"/>
    <w:rsid w:val="001E1BE1"/>
    <w:rsid w:val="001E23CE"/>
    <w:rsid w:val="001E2BFE"/>
    <w:rsid w:val="001E3B7F"/>
    <w:rsid w:val="001E3C2E"/>
    <w:rsid w:val="001E5FCD"/>
    <w:rsid w:val="001E60E4"/>
    <w:rsid w:val="001E6D7A"/>
    <w:rsid w:val="001F10A4"/>
    <w:rsid w:val="001F135B"/>
    <w:rsid w:val="001F1843"/>
    <w:rsid w:val="001F264F"/>
    <w:rsid w:val="001F50E5"/>
    <w:rsid w:val="001F55C2"/>
    <w:rsid w:val="001F6667"/>
    <w:rsid w:val="001F6E4B"/>
    <w:rsid w:val="001F72CF"/>
    <w:rsid w:val="001F769D"/>
    <w:rsid w:val="001F775D"/>
    <w:rsid w:val="001F791E"/>
    <w:rsid w:val="001F7C62"/>
    <w:rsid w:val="0020012A"/>
    <w:rsid w:val="00200231"/>
    <w:rsid w:val="002002F0"/>
    <w:rsid w:val="0020070F"/>
    <w:rsid w:val="00202904"/>
    <w:rsid w:val="002030C9"/>
    <w:rsid w:val="00203152"/>
    <w:rsid w:val="00203D3E"/>
    <w:rsid w:val="00204364"/>
    <w:rsid w:val="002043B6"/>
    <w:rsid w:val="00205C26"/>
    <w:rsid w:val="002060C2"/>
    <w:rsid w:val="002064DC"/>
    <w:rsid w:val="0020668E"/>
    <w:rsid w:val="002070DE"/>
    <w:rsid w:val="002073FC"/>
    <w:rsid w:val="002103A7"/>
    <w:rsid w:val="00210606"/>
    <w:rsid w:val="00210E34"/>
    <w:rsid w:val="00210ECF"/>
    <w:rsid w:val="0021207C"/>
    <w:rsid w:val="00212978"/>
    <w:rsid w:val="00212CF9"/>
    <w:rsid w:val="00212EC0"/>
    <w:rsid w:val="00214C32"/>
    <w:rsid w:val="00215932"/>
    <w:rsid w:val="002167C0"/>
    <w:rsid w:val="00216C86"/>
    <w:rsid w:val="00217EFE"/>
    <w:rsid w:val="002206B2"/>
    <w:rsid w:val="00221CA5"/>
    <w:rsid w:val="00221D1A"/>
    <w:rsid w:val="00221DD0"/>
    <w:rsid w:val="002222F8"/>
    <w:rsid w:val="00222D26"/>
    <w:rsid w:val="00222E4B"/>
    <w:rsid w:val="00222EB0"/>
    <w:rsid w:val="0022396D"/>
    <w:rsid w:val="00224F37"/>
    <w:rsid w:val="00225437"/>
    <w:rsid w:val="0022632E"/>
    <w:rsid w:val="002267AE"/>
    <w:rsid w:val="002271D1"/>
    <w:rsid w:val="00230160"/>
    <w:rsid w:val="002309AB"/>
    <w:rsid w:val="00231BB0"/>
    <w:rsid w:val="0023212D"/>
    <w:rsid w:val="00233564"/>
    <w:rsid w:val="002340DD"/>
    <w:rsid w:val="002354FB"/>
    <w:rsid w:val="002355D6"/>
    <w:rsid w:val="0023578D"/>
    <w:rsid w:val="002359A2"/>
    <w:rsid w:val="00235AC7"/>
    <w:rsid w:val="00235D14"/>
    <w:rsid w:val="00235FFA"/>
    <w:rsid w:val="002368CE"/>
    <w:rsid w:val="00236B96"/>
    <w:rsid w:val="002376C9"/>
    <w:rsid w:val="00240397"/>
    <w:rsid w:val="00240938"/>
    <w:rsid w:val="002409FE"/>
    <w:rsid w:val="00240B0C"/>
    <w:rsid w:val="002414EC"/>
    <w:rsid w:val="00243399"/>
    <w:rsid w:val="002434B5"/>
    <w:rsid w:val="00244490"/>
    <w:rsid w:val="00244B3A"/>
    <w:rsid w:val="00245141"/>
    <w:rsid w:val="00245589"/>
    <w:rsid w:val="00246B06"/>
    <w:rsid w:val="0025051A"/>
    <w:rsid w:val="00250E5A"/>
    <w:rsid w:val="00250EE1"/>
    <w:rsid w:val="00250F03"/>
    <w:rsid w:val="002513C3"/>
    <w:rsid w:val="002533D4"/>
    <w:rsid w:val="00254CAE"/>
    <w:rsid w:val="00254D09"/>
    <w:rsid w:val="0025570E"/>
    <w:rsid w:val="00256570"/>
    <w:rsid w:val="00256948"/>
    <w:rsid w:val="00257C61"/>
    <w:rsid w:val="002605D8"/>
    <w:rsid w:val="002614CE"/>
    <w:rsid w:val="00262091"/>
    <w:rsid w:val="0026243E"/>
    <w:rsid w:val="00262CED"/>
    <w:rsid w:val="00262CF3"/>
    <w:rsid w:val="00263042"/>
    <w:rsid w:val="0026539C"/>
    <w:rsid w:val="002665F3"/>
    <w:rsid w:val="00267B7B"/>
    <w:rsid w:val="00270005"/>
    <w:rsid w:val="00271A63"/>
    <w:rsid w:val="00272FC9"/>
    <w:rsid w:val="002735B4"/>
    <w:rsid w:val="0027699D"/>
    <w:rsid w:val="00276D35"/>
    <w:rsid w:val="002773FB"/>
    <w:rsid w:val="00277BCF"/>
    <w:rsid w:val="00277D51"/>
    <w:rsid w:val="00280893"/>
    <w:rsid w:val="002826E1"/>
    <w:rsid w:val="00282701"/>
    <w:rsid w:val="00282C71"/>
    <w:rsid w:val="00282F78"/>
    <w:rsid w:val="002831B7"/>
    <w:rsid w:val="002831C9"/>
    <w:rsid w:val="00283404"/>
    <w:rsid w:val="002842C3"/>
    <w:rsid w:val="00287194"/>
    <w:rsid w:val="00290BC2"/>
    <w:rsid w:val="00291D96"/>
    <w:rsid w:val="00292DE9"/>
    <w:rsid w:val="00292E83"/>
    <w:rsid w:val="00293493"/>
    <w:rsid w:val="00293537"/>
    <w:rsid w:val="00294D73"/>
    <w:rsid w:val="0029520A"/>
    <w:rsid w:val="002959E6"/>
    <w:rsid w:val="00295A6E"/>
    <w:rsid w:val="002963BE"/>
    <w:rsid w:val="00297DBB"/>
    <w:rsid w:val="002A02FE"/>
    <w:rsid w:val="002A13EC"/>
    <w:rsid w:val="002A13FF"/>
    <w:rsid w:val="002A1F49"/>
    <w:rsid w:val="002A25BA"/>
    <w:rsid w:val="002A2C71"/>
    <w:rsid w:val="002A3896"/>
    <w:rsid w:val="002A3C73"/>
    <w:rsid w:val="002A499C"/>
    <w:rsid w:val="002A49C8"/>
    <w:rsid w:val="002A4AD2"/>
    <w:rsid w:val="002A58A5"/>
    <w:rsid w:val="002A59A9"/>
    <w:rsid w:val="002A5C6D"/>
    <w:rsid w:val="002A66C9"/>
    <w:rsid w:val="002A6BFB"/>
    <w:rsid w:val="002A7C93"/>
    <w:rsid w:val="002B0820"/>
    <w:rsid w:val="002B09E8"/>
    <w:rsid w:val="002B1BFB"/>
    <w:rsid w:val="002B1EB2"/>
    <w:rsid w:val="002B21AA"/>
    <w:rsid w:val="002B2D01"/>
    <w:rsid w:val="002B3044"/>
    <w:rsid w:val="002B3DCF"/>
    <w:rsid w:val="002B43B7"/>
    <w:rsid w:val="002B5548"/>
    <w:rsid w:val="002B5B4B"/>
    <w:rsid w:val="002B723F"/>
    <w:rsid w:val="002B7B8B"/>
    <w:rsid w:val="002C0510"/>
    <w:rsid w:val="002C0A12"/>
    <w:rsid w:val="002C0D49"/>
    <w:rsid w:val="002C1511"/>
    <w:rsid w:val="002C189A"/>
    <w:rsid w:val="002C1CB3"/>
    <w:rsid w:val="002C21DC"/>
    <w:rsid w:val="002C22AF"/>
    <w:rsid w:val="002C31AA"/>
    <w:rsid w:val="002C3C60"/>
    <w:rsid w:val="002C3E34"/>
    <w:rsid w:val="002C3FE6"/>
    <w:rsid w:val="002C4445"/>
    <w:rsid w:val="002C4AD5"/>
    <w:rsid w:val="002C5C09"/>
    <w:rsid w:val="002C63FE"/>
    <w:rsid w:val="002C7CE3"/>
    <w:rsid w:val="002D003B"/>
    <w:rsid w:val="002D01EB"/>
    <w:rsid w:val="002D1C20"/>
    <w:rsid w:val="002D237A"/>
    <w:rsid w:val="002D2451"/>
    <w:rsid w:val="002D2E17"/>
    <w:rsid w:val="002D2F2C"/>
    <w:rsid w:val="002D2FCE"/>
    <w:rsid w:val="002D38BB"/>
    <w:rsid w:val="002D3A55"/>
    <w:rsid w:val="002D3B40"/>
    <w:rsid w:val="002D475F"/>
    <w:rsid w:val="002D4B0D"/>
    <w:rsid w:val="002D507C"/>
    <w:rsid w:val="002D533C"/>
    <w:rsid w:val="002D6368"/>
    <w:rsid w:val="002D63D1"/>
    <w:rsid w:val="002D7627"/>
    <w:rsid w:val="002D76D7"/>
    <w:rsid w:val="002D7942"/>
    <w:rsid w:val="002E1352"/>
    <w:rsid w:val="002E1D00"/>
    <w:rsid w:val="002E2745"/>
    <w:rsid w:val="002E2750"/>
    <w:rsid w:val="002E458A"/>
    <w:rsid w:val="002E5597"/>
    <w:rsid w:val="002E5A06"/>
    <w:rsid w:val="002E5A38"/>
    <w:rsid w:val="002E5CCE"/>
    <w:rsid w:val="002E6630"/>
    <w:rsid w:val="002E6F78"/>
    <w:rsid w:val="002F12D2"/>
    <w:rsid w:val="002F1971"/>
    <w:rsid w:val="002F1AEE"/>
    <w:rsid w:val="002F1C12"/>
    <w:rsid w:val="002F1FD4"/>
    <w:rsid w:val="002F2009"/>
    <w:rsid w:val="002F23AA"/>
    <w:rsid w:val="002F3010"/>
    <w:rsid w:val="002F4C5F"/>
    <w:rsid w:val="002F5F23"/>
    <w:rsid w:val="002F6197"/>
    <w:rsid w:val="002F6D8F"/>
    <w:rsid w:val="002F706D"/>
    <w:rsid w:val="002F7B18"/>
    <w:rsid w:val="003021E3"/>
    <w:rsid w:val="00302868"/>
    <w:rsid w:val="00303125"/>
    <w:rsid w:val="003032CD"/>
    <w:rsid w:val="00303AC5"/>
    <w:rsid w:val="00304294"/>
    <w:rsid w:val="00304D22"/>
    <w:rsid w:val="00305795"/>
    <w:rsid w:val="00305A40"/>
    <w:rsid w:val="00305B51"/>
    <w:rsid w:val="003063F4"/>
    <w:rsid w:val="00307875"/>
    <w:rsid w:val="003104B6"/>
    <w:rsid w:val="00310843"/>
    <w:rsid w:val="00310D0E"/>
    <w:rsid w:val="003111BA"/>
    <w:rsid w:val="00312DF3"/>
    <w:rsid w:val="00312FF9"/>
    <w:rsid w:val="00313D03"/>
    <w:rsid w:val="003140E0"/>
    <w:rsid w:val="00315428"/>
    <w:rsid w:val="00315497"/>
    <w:rsid w:val="003159D6"/>
    <w:rsid w:val="00316942"/>
    <w:rsid w:val="00316A5F"/>
    <w:rsid w:val="0031749C"/>
    <w:rsid w:val="003176E3"/>
    <w:rsid w:val="003177F1"/>
    <w:rsid w:val="00317DD6"/>
    <w:rsid w:val="00320023"/>
    <w:rsid w:val="003203F9"/>
    <w:rsid w:val="0032046F"/>
    <w:rsid w:val="00320D67"/>
    <w:rsid w:val="003213E2"/>
    <w:rsid w:val="0032214F"/>
    <w:rsid w:val="00322B7C"/>
    <w:rsid w:val="00322C1B"/>
    <w:rsid w:val="003231FB"/>
    <w:rsid w:val="00323431"/>
    <w:rsid w:val="003253F9"/>
    <w:rsid w:val="00325C0C"/>
    <w:rsid w:val="00326371"/>
    <w:rsid w:val="003263E5"/>
    <w:rsid w:val="00326C49"/>
    <w:rsid w:val="003270F3"/>
    <w:rsid w:val="003272BE"/>
    <w:rsid w:val="00327CC2"/>
    <w:rsid w:val="0033034E"/>
    <w:rsid w:val="00331454"/>
    <w:rsid w:val="00332358"/>
    <w:rsid w:val="00333F17"/>
    <w:rsid w:val="00334879"/>
    <w:rsid w:val="00335C66"/>
    <w:rsid w:val="00335D3D"/>
    <w:rsid w:val="00337121"/>
    <w:rsid w:val="00337C15"/>
    <w:rsid w:val="00340A38"/>
    <w:rsid w:val="00341453"/>
    <w:rsid w:val="00342343"/>
    <w:rsid w:val="00342623"/>
    <w:rsid w:val="0034276B"/>
    <w:rsid w:val="003433F5"/>
    <w:rsid w:val="003438EC"/>
    <w:rsid w:val="00344292"/>
    <w:rsid w:val="00344ACE"/>
    <w:rsid w:val="00344B17"/>
    <w:rsid w:val="0034536B"/>
    <w:rsid w:val="00345B28"/>
    <w:rsid w:val="003464FE"/>
    <w:rsid w:val="00346987"/>
    <w:rsid w:val="0034733B"/>
    <w:rsid w:val="0035029F"/>
    <w:rsid w:val="003509DE"/>
    <w:rsid w:val="00351CF0"/>
    <w:rsid w:val="00352011"/>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2927"/>
    <w:rsid w:val="0036302F"/>
    <w:rsid w:val="00363313"/>
    <w:rsid w:val="003636D3"/>
    <w:rsid w:val="00363C10"/>
    <w:rsid w:val="0036423A"/>
    <w:rsid w:val="00364C9B"/>
    <w:rsid w:val="003654B8"/>
    <w:rsid w:val="0036655B"/>
    <w:rsid w:val="00366EFA"/>
    <w:rsid w:val="0036778D"/>
    <w:rsid w:val="00370139"/>
    <w:rsid w:val="00371C30"/>
    <w:rsid w:val="00371DC0"/>
    <w:rsid w:val="00372122"/>
    <w:rsid w:val="00372C33"/>
    <w:rsid w:val="00372C99"/>
    <w:rsid w:val="00375E42"/>
    <w:rsid w:val="00375FFA"/>
    <w:rsid w:val="00376D20"/>
    <w:rsid w:val="00376E14"/>
    <w:rsid w:val="00377007"/>
    <w:rsid w:val="0037726E"/>
    <w:rsid w:val="0038032E"/>
    <w:rsid w:val="003807C3"/>
    <w:rsid w:val="00380AFF"/>
    <w:rsid w:val="00380B04"/>
    <w:rsid w:val="003810BC"/>
    <w:rsid w:val="00381B81"/>
    <w:rsid w:val="003828A9"/>
    <w:rsid w:val="00382B0B"/>
    <w:rsid w:val="00382CB8"/>
    <w:rsid w:val="00382F72"/>
    <w:rsid w:val="003833DF"/>
    <w:rsid w:val="0038440D"/>
    <w:rsid w:val="0038485E"/>
    <w:rsid w:val="00385978"/>
    <w:rsid w:val="00386EEA"/>
    <w:rsid w:val="00387E6A"/>
    <w:rsid w:val="00391324"/>
    <w:rsid w:val="003914AF"/>
    <w:rsid w:val="00393223"/>
    <w:rsid w:val="003935F8"/>
    <w:rsid w:val="00393A0A"/>
    <w:rsid w:val="00393A53"/>
    <w:rsid w:val="00393C53"/>
    <w:rsid w:val="00394349"/>
    <w:rsid w:val="003944BA"/>
    <w:rsid w:val="00394728"/>
    <w:rsid w:val="00394A6A"/>
    <w:rsid w:val="00394DFD"/>
    <w:rsid w:val="003953BF"/>
    <w:rsid w:val="00396F40"/>
    <w:rsid w:val="003977C0"/>
    <w:rsid w:val="003978E4"/>
    <w:rsid w:val="003A0429"/>
    <w:rsid w:val="003A0BA7"/>
    <w:rsid w:val="003A0E44"/>
    <w:rsid w:val="003A1273"/>
    <w:rsid w:val="003A12F0"/>
    <w:rsid w:val="003A13F8"/>
    <w:rsid w:val="003A24EB"/>
    <w:rsid w:val="003A3571"/>
    <w:rsid w:val="003A37E4"/>
    <w:rsid w:val="003A40B1"/>
    <w:rsid w:val="003A42DE"/>
    <w:rsid w:val="003A540A"/>
    <w:rsid w:val="003A55E8"/>
    <w:rsid w:val="003A578C"/>
    <w:rsid w:val="003A5A89"/>
    <w:rsid w:val="003A5BE7"/>
    <w:rsid w:val="003A68D7"/>
    <w:rsid w:val="003B0E14"/>
    <w:rsid w:val="003B1075"/>
    <w:rsid w:val="003B2883"/>
    <w:rsid w:val="003B2D16"/>
    <w:rsid w:val="003B2EE6"/>
    <w:rsid w:val="003B362E"/>
    <w:rsid w:val="003B3E06"/>
    <w:rsid w:val="003B40B2"/>
    <w:rsid w:val="003B43A0"/>
    <w:rsid w:val="003B4BA0"/>
    <w:rsid w:val="003B5076"/>
    <w:rsid w:val="003B6324"/>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40"/>
    <w:rsid w:val="003C6EA3"/>
    <w:rsid w:val="003C6FEC"/>
    <w:rsid w:val="003C7800"/>
    <w:rsid w:val="003C7A0D"/>
    <w:rsid w:val="003C7C97"/>
    <w:rsid w:val="003D002A"/>
    <w:rsid w:val="003D1558"/>
    <w:rsid w:val="003D1DCF"/>
    <w:rsid w:val="003D30CF"/>
    <w:rsid w:val="003D4CBA"/>
    <w:rsid w:val="003D4E80"/>
    <w:rsid w:val="003D51A1"/>
    <w:rsid w:val="003D5B6E"/>
    <w:rsid w:val="003D5B93"/>
    <w:rsid w:val="003D5CCE"/>
    <w:rsid w:val="003D6A8F"/>
    <w:rsid w:val="003D6E9C"/>
    <w:rsid w:val="003D6EAF"/>
    <w:rsid w:val="003D7081"/>
    <w:rsid w:val="003D78C0"/>
    <w:rsid w:val="003E01E1"/>
    <w:rsid w:val="003E0226"/>
    <w:rsid w:val="003E0BCC"/>
    <w:rsid w:val="003E153E"/>
    <w:rsid w:val="003E2664"/>
    <w:rsid w:val="003E4B52"/>
    <w:rsid w:val="003E5A6E"/>
    <w:rsid w:val="003E6110"/>
    <w:rsid w:val="003E67B6"/>
    <w:rsid w:val="003E6F43"/>
    <w:rsid w:val="003F01D0"/>
    <w:rsid w:val="003F0376"/>
    <w:rsid w:val="003F046A"/>
    <w:rsid w:val="003F091A"/>
    <w:rsid w:val="003F1390"/>
    <w:rsid w:val="003F180C"/>
    <w:rsid w:val="003F2558"/>
    <w:rsid w:val="003F356E"/>
    <w:rsid w:val="003F4943"/>
    <w:rsid w:val="003F4F45"/>
    <w:rsid w:val="003F520E"/>
    <w:rsid w:val="003F5288"/>
    <w:rsid w:val="003F5AD7"/>
    <w:rsid w:val="003F6C98"/>
    <w:rsid w:val="003F7190"/>
    <w:rsid w:val="003F7B6F"/>
    <w:rsid w:val="00400407"/>
    <w:rsid w:val="00400CC5"/>
    <w:rsid w:val="00402F1C"/>
    <w:rsid w:val="00402FC4"/>
    <w:rsid w:val="0040424A"/>
    <w:rsid w:val="0040500F"/>
    <w:rsid w:val="00405421"/>
    <w:rsid w:val="0040544A"/>
    <w:rsid w:val="0040547F"/>
    <w:rsid w:val="00406024"/>
    <w:rsid w:val="00406492"/>
    <w:rsid w:val="0040798D"/>
    <w:rsid w:val="0041055D"/>
    <w:rsid w:val="00410D26"/>
    <w:rsid w:val="00411165"/>
    <w:rsid w:val="00411F65"/>
    <w:rsid w:val="00413A27"/>
    <w:rsid w:val="004151AA"/>
    <w:rsid w:val="004155A7"/>
    <w:rsid w:val="0041579B"/>
    <w:rsid w:val="0041649A"/>
    <w:rsid w:val="00416A8E"/>
    <w:rsid w:val="00417926"/>
    <w:rsid w:val="00417B59"/>
    <w:rsid w:val="00420213"/>
    <w:rsid w:val="00420D9A"/>
    <w:rsid w:val="00422B47"/>
    <w:rsid w:val="00422F3B"/>
    <w:rsid w:val="00423073"/>
    <w:rsid w:val="00423B31"/>
    <w:rsid w:val="00424155"/>
    <w:rsid w:val="004243F3"/>
    <w:rsid w:val="00424459"/>
    <w:rsid w:val="004259C2"/>
    <w:rsid w:val="00426547"/>
    <w:rsid w:val="00426FAB"/>
    <w:rsid w:val="0042746E"/>
    <w:rsid w:val="004308ED"/>
    <w:rsid w:val="00431056"/>
    <w:rsid w:val="004317A0"/>
    <w:rsid w:val="00431CAF"/>
    <w:rsid w:val="00431FEB"/>
    <w:rsid w:val="0043340A"/>
    <w:rsid w:val="0043445F"/>
    <w:rsid w:val="00434CF6"/>
    <w:rsid w:val="00434F22"/>
    <w:rsid w:val="0043566D"/>
    <w:rsid w:val="00436101"/>
    <w:rsid w:val="00436BA7"/>
    <w:rsid w:val="0043703D"/>
    <w:rsid w:val="00437234"/>
    <w:rsid w:val="00437FC1"/>
    <w:rsid w:val="0044027C"/>
    <w:rsid w:val="0044218B"/>
    <w:rsid w:val="00442199"/>
    <w:rsid w:val="00442453"/>
    <w:rsid w:val="0044274F"/>
    <w:rsid w:val="00442995"/>
    <w:rsid w:val="00443608"/>
    <w:rsid w:val="00443CF8"/>
    <w:rsid w:val="004440EF"/>
    <w:rsid w:val="00444547"/>
    <w:rsid w:val="00444B1F"/>
    <w:rsid w:val="00445E86"/>
    <w:rsid w:val="00446305"/>
    <w:rsid w:val="00446418"/>
    <w:rsid w:val="0044666C"/>
    <w:rsid w:val="00446ADB"/>
    <w:rsid w:val="00446D2B"/>
    <w:rsid w:val="00446E8B"/>
    <w:rsid w:val="0044707F"/>
    <w:rsid w:val="0045003F"/>
    <w:rsid w:val="0045097D"/>
    <w:rsid w:val="0045112C"/>
    <w:rsid w:val="004527D0"/>
    <w:rsid w:val="00452AA5"/>
    <w:rsid w:val="00453104"/>
    <w:rsid w:val="0045327A"/>
    <w:rsid w:val="004540C0"/>
    <w:rsid w:val="00454D54"/>
    <w:rsid w:val="004562A1"/>
    <w:rsid w:val="004572BC"/>
    <w:rsid w:val="004579CC"/>
    <w:rsid w:val="00457FF3"/>
    <w:rsid w:val="0046011A"/>
    <w:rsid w:val="00460AA9"/>
    <w:rsid w:val="00461408"/>
    <w:rsid w:val="0046291D"/>
    <w:rsid w:val="00463954"/>
    <w:rsid w:val="00463B5D"/>
    <w:rsid w:val="00463FD2"/>
    <w:rsid w:val="0046461B"/>
    <w:rsid w:val="0046472A"/>
    <w:rsid w:val="00464BF8"/>
    <w:rsid w:val="0046520E"/>
    <w:rsid w:val="00466007"/>
    <w:rsid w:val="00466E57"/>
    <w:rsid w:val="00467B09"/>
    <w:rsid w:val="00470399"/>
    <w:rsid w:val="00470410"/>
    <w:rsid w:val="00470E75"/>
    <w:rsid w:val="00471167"/>
    <w:rsid w:val="00472190"/>
    <w:rsid w:val="004726B2"/>
    <w:rsid w:val="0047309B"/>
    <w:rsid w:val="0047341A"/>
    <w:rsid w:val="00473468"/>
    <w:rsid w:val="004734B1"/>
    <w:rsid w:val="0047396E"/>
    <w:rsid w:val="00473A38"/>
    <w:rsid w:val="00473EFF"/>
    <w:rsid w:val="00474D23"/>
    <w:rsid w:val="00475038"/>
    <w:rsid w:val="00475A8F"/>
    <w:rsid w:val="004779C2"/>
    <w:rsid w:val="00477A04"/>
    <w:rsid w:val="004801D5"/>
    <w:rsid w:val="00480E2B"/>
    <w:rsid w:val="00481636"/>
    <w:rsid w:val="00481EC0"/>
    <w:rsid w:val="0048202A"/>
    <w:rsid w:val="0048311B"/>
    <w:rsid w:val="00483310"/>
    <w:rsid w:val="004843D8"/>
    <w:rsid w:val="00484F9E"/>
    <w:rsid w:val="00485187"/>
    <w:rsid w:val="00485B22"/>
    <w:rsid w:val="00486541"/>
    <w:rsid w:val="004876B4"/>
    <w:rsid w:val="0048772C"/>
    <w:rsid w:val="00487DF0"/>
    <w:rsid w:val="004907C4"/>
    <w:rsid w:val="004908C1"/>
    <w:rsid w:val="00490ADD"/>
    <w:rsid w:val="00490DCC"/>
    <w:rsid w:val="004911BF"/>
    <w:rsid w:val="0049141C"/>
    <w:rsid w:val="00492754"/>
    <w:rsid w:val="0049277E"/>
    <w:rsid w:val="00492DDE"/>
    <w:rsid w:val="00493501"/>
    <w:rsid w:val="00493A55"/>
    <w:rsid w:val="00494B53"/>
    <w:rsid w:val="004957A6"/>
    <w:rsid w:val="00495842"/>
    <w:rsid w:val="004965BE"/>
    <w:rsid w:val="00496CAD"/>
    <w:rsid w:val="0049710D"/>
    <w:rsid w:val="004A098C"/>
    <w:rsid w:val="004A0B94"/>
    <w:rsid w:val="004A16B6"/>
    <w:rsid w:val="004A2427"/>
    <w:rsid w:val="004A24FF"/>
    <w:rsid w:val="004A2908"/>
    <w:rsid w:val="004A3087"/>
    <w:rsid w:val="004A31BA"/>
    <w:rsid w:val="004A3F86"/>
    <w:rsid w:val="004A4E36"/>
    <w:rsid w:val="004A5DB6"/>
    <w:rsid w:val="004A628F"/>
    <w:rsid w:val="004A6E36"/>
    <w:rsid w:val="004A7E20"/>
    <w:rsid w:val="004B059F"/>
    <w:rsid w:val="004B118E"/>
    <w:rsid w:val="004B1247"/>
    <w:rsid w:val="004B13D9"/>
    <w:rsid w:val="004B1F82"/>
    <w:rsid w:val="004B219A"/>
    <w:rsid w:val="004B23D8"/>
    <w:rsid w:val="004B272F"/>
    <w:rsid w:val="004B28ED"/>
    <w:rsid w:val="004B2992"/>
    <w:rsid w:val="004B2A0C"/>
    <w:rsid w:val="004B2ABE"/>
    <w:rsid w:val="004B3F62"/>
    <w:rsid w:val="004B4FEA"/>
    <w:rsid w:val="004B558A"/>
    <w:rsid w:val="004B5FF4"/>
    <w:rsid w:val="004B6478"/>
    <w:rsid w:val="004B7111"/>
    <w:rsid w:val="004C1906"/>
    <w:rsid w:val="004C1E20"/>
    <w:rsid w:val="004C218A"/>
    <w:rsid w:val="004C2F50"/>
    <w:rsid w:val="004C32D1"/>
    <w:rsid w:val="004C3BF2"/>
    <w:rsid w:val="004C46FA"/>
    <w:rsid w:val="004C4976"/>
    <w:rsid w:val="004C4B32"/>
    <w:rsid w:val="004C5360"/>
    <w:rsid w:val="004C7037"/>
    <w:rsid w:val="004C7220"/>
    <w:rsid w:val="004C75A8"/>
    <w:rsid w:val="004D0017"/>
    <w:rsid w:val="004D001B"/>
    <w:rsid w:val="004D011A"/>
    <w:rsid w:val="004D01BA"/>
    <w:rsid w:val="004D09AC"/>
    <w:rsid w:val="004D0B48"/>
    <w:rsid w:val="004D182D"/>
    <w:rsid w:val="004D1F25"/>
    <w:rsid w:val="004D2E41"/>
    <w:rsid w:val="004D3619"/>
    <w:rsid w:val="004D4063"/>
    <w:rsid w:val="004D468B"/>
    <w:rsid w:val="004D67DE"/>
    <w:rsid w:val="004E0A5E"/>
    <w:rsid w:val="004E0CFC"/>
    <w:rsid w:val="004E185F"/>
    <w:rsid w:val="004E371C"/>
    <w:rsid w:val="004E480B"/>
    <w:rsid w:val="004E57DE"/>
    <w:rsid w:val="004E5AB1"/>
    <w:rsid w:val="004E5F7F"/>
    <w:rsid w:val="004E665D"/>
    <w:rsid w:val="004F00DD"/>
    <w:rsid w:val="004F14E2"/>
    <w:rsid w:val="004F2D47"/>
    <w:rsid w:val="004F2DAA"/>
    <w:rsid w:val="004F4944"/>
    <w:rsid w:val="004F502F"/>
    <w:rsid w:val="004F5F18"/>
    <w:rsid w:val="004F629C"/>
    <w:rsid w:val="004F6933"/>
    <w:rsid w:val="00500765"/>
    <w:rsid w:val="005018FF"/>
    <w:rsid w:val="00503858"/>
    <w:rsid w:val="005038F9"/>
    <w:rsid w:val="00503D2E"/>
    <w:rsid w:val="00503F7F"/>
    <w:rsid w:val="0050400F"/>
    <w:rsid w:val="00504777"/>
    <w:rsid w:val="00504B14"/>
    <w:rsid w:val="00505061"/>
    <w:rsid w:val="00505EB5"/>
    <w:rsid w:val="005062A0"/>
    <w:rsid w:val="0050760E"/>
    <w:rsid w:val="00507B8B"/>
    <w:rsid w:val="00510583"/>
    <w:rsid w:val="005107F8"/>
    <w:rsid w:val="005117EB"/>
    <w:rsid w:val="0051207A"/>
    <w:rsid w:val="0051249A"/>
    <w:rsid w:val="00512D4D"/>
    <w:rsid w:val="005134DA"/>
    <w:rsid w:val="00513F05"/>
    <w:rsid w:val="0051512E"/>
    <w:rsid w:val="00515B6E"/>
    <w:rsid w:val="00516ACB"/>
    <w:rsid w:val="00517047"/>
    <w:rsid w:val="005173E2"/>
    <w:rsid w:val="00521702"/>
    <w:rsid w:val="00522267"/>
    <w:rsid w:val="00522E08"/>
    <w:rsid w:val="00523797"/>
    <w:rsid w:val="00523BA0"/>
    <w:rsid w:val="00523C40"/>
    <w:rsid w:val="00524341"/>
    <w:rsid w:val="00524E23"/>
    <w:rsid w:val="00524FAC"/>
    <w:rsid w:val="00526685"/>
    <w:rsid w:val="0052763F"/>
    <w:rsid w:val="00527FF3"/>
    <w:rsid w:val="005306BE"/>
    <w:rsid w:val="00530CEB"/>
    <w:rsid w:val="0053124A"/>
    <w:rsid w:val="00532DE5"/>
    <w:rsid w:val="0053316D"/>
    <w:rsid w:val="0053373E"/>
    <w:rsid w:val="00534505"/>
    <w:rsid w:val="0053455C"/>
    <w:rsid w:val="00534727"/>
    <w:rsid w:val="00535808"/>
    <w:rsid w:val="00535AC8"/>
    <w:rsid w:val="00537B9F"/>
    <w:rsid w:val="00540627"/>
    <w:rsid w:val="0054139A"/>
    <w:rsid w:val="0054268B"/>
    <w:rsid w:val="00542AE5"/>
    <w:rsid w:val="00543010"/>
    <w:rsid w:val="00543537"/>
    <w:rsid w:val="005438EC"/>
    <w:rsid w:val="005442AE"/>
    <w:rsid w:val="00544561"/>
    <w:rsid w:val="00544CFA"/>
    <w:rsid w:val="00544F06"/>
    <w:rsid w:val="0054517A"/>
    <w:rsid w:val="005451C0"/>
    <w:rsid w:val="00545800"/>
    <w:rsid w:val="00545915"/>
    <w:rsid w:val="00545E1A"/>
    <w:rsid w:val="0054611F"/>
    <w:rsid w:val="00546D47"/>
    <w:rsid w:val="005472DA"/>
    <w:rsid w:val="00547740"/>
    <w:rsid w:val="00550619"/>
    <w:rsid w:val="00550A67"/>
    <w:rsid w:val="0055109F"/>
    <w:rsid w:val="0055294C"/>
    <w:rsid w:val="0055297C"/>
    <w:rsid w:val="00554313"/>
    <w:rsid w:val="005546F5"/>
    <w:rsid w:val="00554E26"/>
    <w:rsid w:val="005603E5"/>
    <w:rsid w:val="00562D38"/>
    <w:rsid w:val="00563D2D"/>
    <w:rsid w:val="005648B1"/>
    <w:rsid w:val="00565B10"/>
    <w:rsid w:val="00565CD9"/>
    <w:rsid w:val="0056666D"/>
    <w:rsid w:val="00566764"/>
    <w:rsid w:val="005668A0"/>
    <w:rsid w:val="005701FF"/>
    <w:rsid w:val="00570733"/>
    <w:rsid w:val="00570F57"/>
    <w:rsid w:val="0057180D"/>
    <w:rsid w:val="00571DB1"/>
    <w:rsid w:val="005732EE"/>
    <w:rsid w:val="00573BB0"/>
    <w:rsid w:val="00573E3A"/>
    <w:rsid w:val="00573EBD"/>
    <w:rsid w:val="00575079"/>
    <w:rsid w:val="00575E37"/>
    <w:rsid w:val="005760BF"/>
    <w:rsid w:val="00576E65"/>
    <w:rsid w:val="00577095"/>
    <w:rsid w:val="00577E6B"/>
    <w:rsid w:val="00580608"/>
    <w:rsid w:val="00580738"/>
    <w:rsid w:val="005807B0"/>
    <w:rsid w:val="005809C4"/>
    <w:rsid w:val="00580B03"/>
    <w:rsid w:val="005815B2"/>
    <w:rsid w:val="005821FA"/>
    <w:rsid w:val="005827B9"/>
    <w:rsid w:val="00582911"/>
    <w:rsid w:val="005837AE"/>
    <w:rsid w:val="00584609"/>
    <w:rsid w:val="00584DF1"/>
    <w:rsid w:val="00584E00"/>
    <w:rsid w:val="00585102"/>
    <w:rsid w:val="005865A6"/>
    <w:rsid w:val="0058706A"/>
    <w:rsid w:val="0059074F"/>
    <w:rsid w:val="005918F1"/>
    <w:rsid w:val="00591DF9"/>
    <w:rsid w:val="00591EE4"/>
    <w:rsid w:val="00592456"/>
    <w:rsid w:val="00592505"/>
    <w:rsid w:val="005929BC"/>
    <w:rsid w:val="00592C69"/>
    <w:rsid w:val="00592DA4"/>
    <w:rsid w:val="00592E88"/>
    <w:rsid w:val="005938EA"/>
    <w:rsid w:val="005949EB"/>
    <w:rsid w:val="00595381"/>
    <w:rsid w:val="005963D8"/>
    <w:rsid w:val="00596AFD"/>
    <w:rsid w:val="00597823"/>
    <w:rsid w:val="005A017A"/>
    <w:rsid w:val="005A0587"/>
    <w:rsid w:val="005A0654"/>
    <w:rsid w:val="005A1AD8"/>
    <w:rsid w:val="005A1ADF"/>
    <w:rsid w:val="005A2000"/>
    <w:rsid w:val="005A2A6E"/>
    <w:rsid w:val="005A2D87"/>
    <w:rsid w:val="005A3764"/>
    <w:rsid w:val="005A3852"/>
    <w:rsid w:val="005A3FAA"/>
    <w:rsid w:val="005A5100"/>
    <w:rsid w:val="005A52CC"/>
    <w:rsid w:val="005A6715"/>
    <w:rsid w:val="005A7F8D"/>
    <w:rsid w:val="005B01A0"/>
    <w:rsid w:val="005B02D7"/>
    <w:rsid w:val="005B0619"/>
    <w:rsid w:val="005B1222"/>
    <w:rsid w:val="005B16F3"/>
    <w:rsid w:val="005B27E3"/>
    <w:rsid w:val="005B2BB5"/>
    <w:rsid w:val="005B47E5"/>
    <w:rsid w:val="005B4B10"/>
    <w:rsid w:val="005B4F8B"/>
    <w:rsid w:val="005B57C3"/>
    <w:rsid w:val="005B5AB3"/>
    <w:rsid w:val="005B68FB"/>
    <w:rsid w:val="005B6B51"/>
    <w:rsid w:val="005B704D"/>
    <w:rsid w:val="005B719E"/>
    <w:rsid w:val="005B7F3F"/>
    <w:rsid w:val="005C0768"/>
    <w:rsid w:val="005C1C93"/>
    <w:rsid w:val="005C2599"/>
    <w:rsid w:val="005C2FB5"/>
    <w:rsid w:val="005C3F6F"/>
    <w:rsid w:val="005C4025"/>
    <w:rsid w:val="005C459B"/>
    <w:rsid w:val="005C45DD"/>
    <w:rsid w:val="005C4C69"/>
    <w:rsid w:val="005C525B"/>
    <w:rsid w:val="005C5619"/>
    <w:rsid w:val="005C5B2E"/>
    <w:rsid w:val="005C5E58"/>
    <w:rsid w:val="005C61FD"/>
    <w:rsid w:val="005C6565"/>
    <w:rsid w:val="005C7423"/>
    <w:rsid w:val="005D020A"/>
    <w:rsid w:val="005D0384"/>
    <w:rsid w:val="005D0629"/>
    <w:rsid w:val="005D0642"/>
    <w:rsid w:val="005D0802"/>
    <w:rsid w:val="005D0A6C"/>
    <w:rsid w:val="005D1979"/>
    <w:rsid w:val="005D1B04"/>
    <w:rsid w:val="005D1D02"/>
    <w:rsid w:val="005D24E1"/>
    <w:rsid w:val="005D30D8"/>
    <w:rsid w:val="005D3A39"/>
    <w:rsid w:val="005D3E9F"/>
    <w:rsid w:val="005D4543"/>
    <w:rsid w:val="005D4608"/>
    <w:rsid w:val="005D5059"/>
    <w:rsid w:val="005D617E"/>
    <w:rsid w:val="005D6296"/>
    <w:rsid w:val="005D685C"/>
    <w:rsid w:val="005D69A5"/>
    <w:rsid w:val="005D7544"/>
    <w:rsid w:val="005D7789"/>
    <w:rsid w:val="005E1B13"/>
    <w:rsid w:val="005E1EA5"/>
    <w:rsid w:val="005E215A"/>
    <w:rsid w:val="005E22C9"/>
    <w:rsid w:val="005E2305"/>
    <w:rsid w:val="005E2503"/>
    <w:rsid w:val="005E254D"/>
    <w:rsid w:val="005E26B2"/>
    <w:rsid w:val="005E39AB"/>
    <w:rsid w:val="005E3AAB"/>
    <w:rsid w:val="005E4365"/>
    <w:rsid w:val="005E4D12"/>
    <w:rsid w:val="005E64B0"/>
    <w:rsid w:val="005E7C36"/>
    <w:rsid w:val="005E7FC9"/>
    <w:rsid w:val="005F19D1"/>
    <w:rsid w:val="005F2DB3"/>
    <w:rsid w:val="005F3356"/>
    <w:rsid w:val="005F359C"/>
    <w:rsid w:val="005F38BF"/>
    <w:rsid w:val="005F3A8D"/>
    <w:rsid w:val="005F43B0"/>
    <w:rsid w:val="005F47EC"/>
    <w:rsid w:val="005F4FA0"/>
    <w:rsid w:val="005F5617"/>
    <w:rsid w:val="005F61E2"/>
    <w:rsid w:val="005F788A"/>
    <w:rsid w:val="005F7F3A"/>
    <w:rsid w:val="006000D7"/>
    <w:rsid w:val="006002E4"/>
    <w:rsid w:val="0060085D"/>
    <w:rsid w:val="00600C7C"/>
    <w:rsid w:val="00600CF3"/>
    <w:rsid w:val="00600EBC"/>
    <w:rsid w:val="00601B83"/>
    <w:rsid w:val="00602260"/>
    <w:rsid w:val="006023DA"/>
    <w:rsid w:val="00602408"/>
    <w:rsid w:val="00602458"/>
    <w:rsid w:val="006025D8"/>
    <w:rsid w:val="00602678"/>
    <w:rsid w:val="00602C94"/>
    <w:rsid w:val="0060317D"/>
    <w:rsid w:val="006031B1"/>
    <w:rsid w:val="00603471"/>
    <w:rsid w:val="0060440D"/>
    <w:rsid w:val="00604692"/>
    <w:rsid w:val="006052F0"/>
    <w:rsid w:val="00605BD1"/>
    <w:rsid w:val="00606412"/>
    <w:rsid w:val="00606E88"/>
    <w:rsid w:val="00607083"/>
    <w:rsid w:val="00607141"/>
    <w:rsid w:val="00610693"/>
    <w:rsid w:val="00610B86"/>
    <w:rsid w:val="00611809"/>
    <w:rsid w:val="00611864"/>
    <w:rsid w:val="00611943"/>
    <w:rsid w:val="00611A70"/>
    <w:rsid w:val="00611D8D"/>
    <w:rsid w:val="0061263C"/>
    <w:rsid w:val="00612FB0"/>
    <w:rsid w:val="006150F0"/>
    <w:rsid w:val="00615B1B"/>
    <w:rsid w:val="006164CA"/>
    <w:rsid w:val="006175EE"/>
    <w:rsid w:val="006179D9"/>
    <w:rsid w:val="00617EFB"/>
    <w:rsid w:val="0062147B"/>
    <w:rsid w:val="00622717"/>
    <w:rsid w:val="00622B7F"/>
    <w:rsid w:val="00623A6F"/>
    <w:rsid w:val="00625E42"/>
    <w:rsid w:val="0063042E"/>
    <w:rsid w:val="00630CC3"/>
    <w:rsid w:val="00631054"/>
    <w:rsid w:val="006310F8"/>
    <w:rsid w:val="00631182"/>
    <w:rsid w:val="006319FE"/>
    <w:rsid w:val="00632654"/>
    <w:rsid w:val="0063319D"/>
    <w:rsid w:val="006334DE"/>
    <w:rsid w:val="00633D0D"/>
    <w:rsid w:val="00633D52"/>
    <w:rsid w:val="00634A8F"/>
    <w:rsid w:val="00634DCF"/>
    <w:rsid w:val="00634F14"/>
    <w:rsid w:val="006355A1"/>
    <w:rsid w:val="00635D23"/>
    <w:rsid w:val="00635EEE"/>
    <w:rsid w:val="0063664A"/>
    <w:rsid w:val="0063740F"/>
    <w:rsid w:val="0063744E"/>
    <w:rsid w:val="006378AB"/>
    <w:rsid w:val="00641131"/>
    <w:rsid w:val="0064414C"/>
    <w:rsid w:val="00644887"/>
    <w:rsid w:val="00644A79"/>
    <w:rsid w:val="00644EC1"/>
    <w:rsid w:val="0064598C"/>
    <w:rsid w:val="006465CD"/>
    <w:rsid w:val="00646B8F"/>
    <w:rsid w:val="006473E5"/>
    <w:rsid w:val="00650B12"/>
    <w:rsid w:val="00650E11"/>
    <w:rsid w:val="006514B5"/>
    <w:rsid w:val="006536F8"/>
    <w:rsid w:val="00653A8F"/>
    <w:rsid w:val="00654650"/>
    <w:rsid w:val="006549A0"/>
    <w:rsid w:val="00655AF6"/>
    <w:rsid w:val="00655D0B"/>
    <w:rsid w:val="00655ED6"/>
    <w:rsid w:val="0065600E"/>
    <w:rsid w:val="00657B6A"/>
    <w:rsid w:val="006611EF"/>
    <w:rsid w:val="00662520"/>
    <w:rsid w:val="00662738"/>
    <w:rsid w:val="0066294D"/>
    <w:rsid w:val="0066347D"/>
    <w:rsid w:val="006635D0"/>
    <w:rsid w:val="00663617"/>
    <w:rsid w:val="00664616"/>
    <w:rsid w:val="00664E4A"/>
    <w:rsid w:val="00665271"/>
    <w:rsid w:val="00665B38"/>
    <w:rsid w:val="00665B92"/>
    <w:rsid w:val="0066789D"/>
    <w:rsid w:val="00670070"/>
    <w:rsid w:val="00670629"/>
    <w:rsid w:val="006706E1"/>
    <w:rsid w:val="0067080D"/>
    <w:rsid w:val="00670A55"/>
    <w:rsid w:val="00670C34"/>
    <w:rsid w:val="00670E17"/>
    <w:rsid w:val="00670F67"/>
    <w:rsid w:val="00671C5E"/>
    <w:rsid w:val="00672B30"/>
    <w:rsid w:val="0067396A"/>
    <w:rsid w:val="00673A4E"/>
    <w:rsid w:val="00674BC0"/>
    <w:rsid w:val="00675237"/>
    <w:rsid w:val="0067653A"/>
    <w:rsid w:val="00676730"/>
    <w:rsid w:val="00677436"/>
    <w:rsid w:val="0068022C"/>
    <w:rsid w:val="00680842"/>
    <w:rsid w:val="0068160C"/>
    <w:rsid w:val="00682FB7"/>
    <w:rsid w:val="00685821"/>
    <w:rsid w:val="006865F9"/>
    <w:rsid w:val="006868A3"/>
    <w:rsid w:val="00686A6E"/>
    <w:rsid w:val="0068750C"/>
    <w:rsid w:val="00687707"/>
    <w:rsid w:val="00687A1E"/>
    <w:rsid w:val="00690695"/>
    <w:rsid w:val="00691D7F"/>
    <w:rsid w:val="0069217B"/>
    <w:rsid w:val="0069219D"/>
    <w:rsid w:val="006923AB"/>
    <w:rsid w:val="00693DB8"/>
    <w:rsid w:val="00694A6B"/>
    <w:rsid w:val="006950E5"/>
    <w:rsid w:val="0069654C"/>
    <w:rsid w:val="00696965"/>
    <w:rsid w:val="006A0354"/>
    <w:rsid w:val="006A0BFE"/>
    <w:rsid w:val="006A0D86"/>
    <w:rsid w:val="006A1E5D"/>
    <w:rsid w:val="006A273C"/>
    <w:rsid w:val="006A2E1B"/>
    <w:rsid w:val="006A328A"/>
    <w:rsid w:val="006A41BE"/>
    <w:rsid w:val="006A443C"/>
    <w:rsid w:val="006A4BAD"/>
    <w:rsid w:val="006A5A89"/>
    <w:rsid w:val="006A60E4"/>
    <w:rsid w:val="006A691A"/>
    <w:rsid w:val="006B0A3A"/>
    <w:rsid w:val="006B26A8"/>
    <w:rsid w:val="006B2E2E"/>
    <w:rsid w:val="006B2E73"/>
    <w:rsid w:val="006B34A1"/>
    <w:rsid w:val="006B40FC"/>
    <w:rsid w:val="006B4866"/>
    <w:rsid w:val="006B4E53"/>
    <w:rsid w:val="006B51EF"/>
    <w:rsid w:val="006B5534"/>
    <w:rsid w:val="006B5785"/>
    <w:rsid w:val="006B5AC4"/>
    <w:rsid w:val="006B5B8A"/>
    <w:rsid w:val="006B6B5F"/>
    <w:rsid w:val="006B75C8"/>
    <w:rsid w:val="006B7BDE"/>
    <w:rsid w:val="006B7D2D"/>
    <w:rsid w:val="006B7E37"/>
    <w:rsid w:val="006C0B84"/>
    <w:rsid w:val="006C17AD"/>
    <w:rsid w:val="006C196D"/>
    <w:rsid w:val="006C256D"/>
    <w:rsid w:val="006C2790"/>
    <w:rsid w:val="006C29B9"/>
    <w:rsid w:val="006C3DF6"/>
    <w:rsid w:val="006C46A1"/>
    <w:rsid w:val="006C512B"/>
    <w:rsid w:val="006C51E5"/>
    <w:rsid w:val="006C5B93"/>
    <w:rsid w:val="006C5DF2"/>
    <w:rsid w:val="006C74D0"/>
    <w:rsid w:val="006D0AF9"/>
    <w:rsid w:val="006D213D"/>
    <w:rsid w:val="006D2E9D"/>
    <w:rsid w:val="006D36F1"/>
    <w:rsid w:val="006D60C0"/>
    <w:rsid w:val="006E06DD"/>
    <w:rsid w:val="006E10D4"/>
    <w:rsid w:val="006E14A7"/>
    <w:rsid w:val="006E1EEA"/>
    <w:rsid w:val="006E23B4"/>
    <w:rsid w:val="006E2532"/>
    <w:rsid w:val="006E28DC"/>
    <w:rsid w:val="006E3627"/>
    <w:rsid w:val="006E3709"/>
    <w:rsid w:val="006E45C8"/>
    <w:rsid w:val="006E4ACD"/>
    <w:rsid w:val="006E52A9"/>
    <w:rsid w:val="006E6133"/>
    <w:rsid w:val="006E630A"/>
    <w:rsid w:val="006E6481"/>
    <w:rsid w:val="006E6849"/>
    <w:rsid w:val="006E6E2A"/>
    <w:rsid w:val="006E7654"/>
    <w:rsid w:val="006F0620"/>
    <w:rsid w:val="006F08CF"/>
    <w:rsid w:val="006F0F22"/>
    <w:rsid w:val="006F115E"/>
    <w:rsid w:val="006F18D2"/>
    <w:rsid w:val="006F1C54"/>
    <w:rsid w:val="006F1EDD"/>
    <w:rsid w:val="006F259C"/>
    <w:rsid w:val="006F27D3"/>
    <w:rsid w:val="006F295E"/>
    <w:rsid w:val="006F2C11"/>
    <w:rsid w:val="006F2FF4"/>
    <w:rsid w:val="006F3AD9"/>
    <w:rsid w:val="006F4784"/>
    <w:rsid w:val="006F4AB8"/>
    <w:rsid w:val="006F5BD7"/>
    <w:rsid w:val="006F5E5A"/>
    <w:rsid w:val="006F6C6B"/>
    <w:rsid w:val="006F6C82"/>
    <w:rsid w:val="006F712E"/>
    <w:rsid w:val="006F73BF"/>
    <w:rsid w:val="006F74DA"/>
    <w:rsid w:val="006F7B07"/>
    <w:rsid w:val="00700189"/>
    <w:rsid w:val="00700413"/>
    <w:rsid w:val="00700AC1"/>
    <w:rsid w:val="00701945"/>
    <w:rsid w:val="00703215"/>
    <w:rsid w:val="0070390A"/>
    <w:rsid w:val="0070397F"/>
    <w:rsid w:val="00703D9F"/>
    <w:rsid w:val="00704AD7"/>
    <w:rsid w:val="00704EE4"/>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133D"/>
    <w:rsid w:val="00711493"/>
    <w:rsid w:val="00711D57"/>
    <w:rsid w:val="00712DAC"/>
    <w:rsid w:val="007153E5"/>
    <w:rsid w:val="007157C6"/>
    <w:rsid w:val="00716E8B"/>
    <w:rsid w:val="00717C0A"/>
    <w:rsid w:val="00720201"/>
    <w:rsid w:val="00720381"/>
    <w:rsid w:val="0072159B"/>
    <w:rsid w:val="00721A19"/>
    <w:rsid w:val="00721AC1"/>
    <w:rsid w:val="00721E6D"/>
    <w:rsid w:val="007226B5"/>
    <w:rsid w:val="00722736"/>
    <w:rsid w:val="0072400B"/>
    <w:rsid w:val="007259F4"/>
    <w:rsid w:val="00726573"/>
    <w:rsid w:val="007266ED"/>
    <w:rsid w:val="00726C28"/>
    <w:rsid w:val="007270F8"/>
    <w:rsid w:val="00727449"/>
    <w:rsid w:val="00727BB7"/>
    <w:rsid w:val="007304F9"/>
    <w:rsid w:val="00731174"/>
    <w:rsid w:val="00731A26"/>
    <w:rsid w:val="00731BA2"/>
    <w:rsid w:val="007328C1"/>
    <w:rsid w:val="00733EA8"/>
    <w:rsid w:val="00734607"/>
    <w:rsid w:val="0073463F"/>
    <w:rsid w:val="007350BE"/>
    <w:rsid w:val="0073650C"/>
    <w:rsid w:val="007365E3"/>
    <w:rsid w:val="00736619"/>
    <w:rsid w:val="00736B95"/>
    <w:rsid w:val="00736BFC"/>
    <w:rsid w:val="0073724F"/>
    <w:rsid w:val="00737AD7"/>
    <w:rsid w:val="00740139"/>
    <w:rsid w:val="007418C7"/>
    <w:rsid w:val="00741DF5"/>
    <w:rsid w:val="00743102"/>
    <w:rsid w:val="0074317A"/>
    <w:rsid w:val="00744C1B"/>
    <w:rsid w:val="00746AE5"/>
    <w:rsid w:val="007477BF"/>
    <w:rsid w:val="007502BF"/>
    <w:rsid w:val="00750666"/>
    <w:rsid w:val="007508AF"/>
    <w:rsid w:val="00753A12"/>
    <w:rsid w:val="00753EDF"/>
    <w:rsid w:val="00754C24"/>
    <w:rsid w:val="0075553D"/>
    <w:rsid w:val="00755771"/>
    <w:rsid w:val="00755AB2"/>
    <w:rsid w:val="0075610E"/>
    <w:rsid w:val="007567C4"/>
    <w:rsid w:val="0075693F"/>
    <w:rsid w:val="0075736D"/>
    <w:rsid w:val="00762552"/>
    <w:rsid w:val="00763416"/>
    <w:rsid w:val="00765249"/>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806C1"/>
    <w:rsid w:val="00783259"/>
    <w:rsid w:val="00784583"/>
    <w:rsid w:val="0078459F"/>
    <w:rsid w:val="00784F3F"/>
    <w:rsid w:val="00785E33"/>
    <w:rsid w:val="00786C20"/>
    <w:rsid w:val="00786E9E"/>
    <w:rsid w:val="00786F40"/>
    <w:rsid w:val="00787962"/>
    <w:rsid w:val="00787995"/>
    <w:rsid w:val="00787AD9"/>
    <w:rsid w:val="00790166"/>
    <w:rsid w:val="00791032"/>
    <w:rsid w:val="0079291A"/>
    <w:rsid w:val="00792A0F"/>
    <w:rsid w:val="0079312F"/>
    <w:rsid w:val="00793499"/>
    <w:rsid w:val="007935F7"/>
    <w:rsid w:val="007943BD"/>
    <w:rsid w:val="007955EB"/>
    <w:rsid w:val="007A1ACF"/>
    <w:rsid w:val="007A2976"/>
    <w:rsid w:val="007A6B52"/>
    <w:rsid w:val="007A6F7B"/>
    <w:rsid w:val="007A754C"/>
    <w:rsid w:val="007A75EA"/>
    <w:rsid w:val="007A7F8E"/>
    <w:rsid w:val="007B0492"/>
    <w:rsid w:val="007B0BBD"/>
    <w:rsid w:val="007B0D00"/>
    <w:rsid w:val="007B12FD"/>
    <w:rsid w:val="007B29DD"/>
    <w:rsid w:val="007B3C01"/>
    <w:rsid w:val="007B4177"/>
    <w:rsid w:val="007B44DC"/>
    <w:rsid w:val="007B60B1"/>
    <w:rsid w:val="007B6F18"/>
    <w:rsid w:val="007C0139"/>
    <w:rsid w:val="007C01DF"/>
    <w:rsid w:val="007C0759"/>
    <w:rsid w:val="007C1CB5"/>
    <w:rsid w:val="007C2142"/>
    <w:rsid w:val="007C2362"/>
    <w:rsid w:val="007C2482"/>
    <w:rsid w:val="007C24EB"/>
    <w:rsid w:val="007C274A"/>
    <w:rsid w:val="007C4C28"/>
    <w:rsid w:val="007C5F28"/>
    <w:rsid w:val="007C64C3"/>
    <w:rsid w:val="007C6718"/>
    <w:rsid w:val="007C6894"/>
    <w:rsid w:val="007C69CF"/>
    <w:rsid w:val="007C700E"/>
    <w:rsid w:val="007C7E66"/>
    <w:rsid w:val="007D0E97"/>
    <w:rsid w:val="007D11B4"/>
    <w:rsid w:val="007D11B9"/>
    <w:rsid w:val="007D1D6D"/>
    <w:rsid w:val="007D26F3"/>
    <w:rsid w:val="007D3B9E"/>
    <w:rsid w:val="007D4779"/>
    <w:rsid w:val="007D54E3"/>
    <w:rsid w:val="007D56A9"/>
    <w:rsid w:val="007D65E4"/>
    <w:rsid w:val="007D68AC"/>
    <w:rsid w:val="007D7CCE"/>
    <w:rsid w:val="007D7FE6"/>
    <w:rsid w:val="007E02E1"/>
    <w:rsid w:val="007E12C4"/>
    <w:rsid w:val="007E1B3F"/>
    <w:rsid w:val="007E2189"/>
    <w:rsid w:val="007E2A8F"/>
    <w:rsid w:val="007E2C11"/>
    <w:rsid w:val="007E38A8"/>
    <w:rsid w:val="007E4008"/>
    <w:rsid w:val="007E42FE"/>
    <w:rsid w:val="007E4F46"/>
    <w:rsid w:val="007E5C75"/>
    <w:rsid w:val="007E6720"/>
    <w:rsid w:val="007E705D"/>
    <w:rsid w:val="007E7F77"/>
    <w:rsid w:val="007F0677"/>
    <w:rsid w:val="007F088D"/>
    <w:rsid w:val="007F099D"/>
    <w:rsid w:val="007F1198"/>
    <w:rsid w:val="007F1FA4"/>
    <w:rsid w:val="007F3EFC"/>
    <w:rsid w:val="007F441A"/>
    <w:rsid w:val="007F4B40"/>
    <w:rsid w:val="007F5D93"/>
    <w:rsid w:val="007F6007"/>
    <w:rsid w:val="007F65A1"/>
    <w:rsid w:val="007F6892"/>
    <w:rsid w:val="007F68D4"/>
    <w:rsid w:val="007F76FA"/>
    <w:rsid w:val="007F7D26"/>
    <w:rsid w:val="00800582"/>
    <w:rsid w:val="00800912"/>
    <w:rsid w:val="00800B3C"/>
    <w:rsid w:val="00801CB0"/>
    <w:rsid w:val="008033AB"/>
    <w:rsid w:val="0080353C"/>
    <w:rsid w:val="00804402"/>
    <w:rsid w:val="0080540B"/>
    <w:rsid w:val="00805895"/>
    <w:rsid w:val="008059A0"/>
    <w:rsid w:val="0080618E"/>
    <w:rsid w:val="00806546"/>
    <w:rsid w:val="008077D9"/>
    <w:rsid w:val="00807F03"/>
    <w:rsid w:val="008100A0"/>
    <w:rsid w:val="0081014F"/>
    <w:rsid w:val="00810A0C"/>
    <w:rsid w:val="008118E0"/>
    <w:rsid w:val="00811EFB"/>
    <w:rsid w:val="00812CA4"/>
    <w:rsid w:val="00812DB2"/>
    <w:rsid w:val="00812F39"/>
    <w:rsid w:val="008131A8"/>
    <w:rsid w:val="0081372F"/>
    <w:rsid w:val="00813844"/>
    <w:rsid w:val="00813971"/>
    <w:rsid w:val="00816BB9"/>
    <w:rsid w:val="0082032B"/>
    <w:rsid w:val="008207DA"/>
    <w:rsid w:val="00822341"/>
    <w:rsid w:val="008235EA"/>
    <w:rsid w:val="008240C5"/>
    <w:rsid w:val="008252BE"/>
    <w:rsid w:val="008265B4"/>
    <w:rsid w:val="008277C0"/>
    <w:rsid w:val="00830494"/>
    <w:rsid w:val="008305B8"/>
    <w:rsid w:val="00833363"/>
    <w:rsid w:val="00833EBD"/>
    <w:rsid w:val="00835195"/>
    <w:rsid w:val="008354FF"/>
    <w:rsid w:val="008355EC"/>
    <w:rsid w:val="00836690"/>
    <w:rsid w:val="008368AA"/>
    <w:rsid w:val="00840C43"/>
    <w:rsid w:val="008411F4"/>
    <w:rsid w:val="00842629"/>
    <w:rsid w:val="008428D6"/>
    <w:rsid w:val="00843B0B"/>
    <w:rsid w:val="00843E3F"/>
    <w:rsid w:val="00843FB3"/>
    <w:rsid w:val="00846A05"/>
    <w:rsid w:val="00846F8F"/>
    <w:rsid w:val="008478B1"/>
    <w:rsid w:val="00847ED8"/>
    <w:rsid w:val="008512B3"/>
    <w:rsid w:val="0085156F"/>
    <w:rsid w:val="008516DC"/>
    <w:rsid w:val="00851853"/>
    <w:rsid w:val="0085226B"/>
    <w:rsid w:val="00852E9F"/>
    <w:rsid w:val="008543C2"/>
    <w:rsid w:val="00854E83"/>
    <w:rsid w:val="0085562E"/>
    <w:rsid w:val="00856798"/>
    <w:rsid w:val="00857DC7"/>
    <w:rsid w:val="00860440"/>
    <w:rsid w:val="00860C6D"/>
    <w:rsid w:val="00861724"/>
    <w:rsid w:val="00861F40"/>
    <w:rsid w:val="0086235A"/>
    <w:rsid w:val="00863CBC"/>
    <w:rsid w:val="00863E3F"/>
    <w:rsid w:val="00864362"/>
    <w:rsid w:val="00864A57"/>
    <w:rsid w:val="0086544A"/>
    <w:rsid w:val="0086676A"/>
    <w:rsid w:val="008668DA"/>
    <w:rsid w:val="00866B7F"/>
    <w:rsid w:val="008671F0"/>
    <w:rsid w:val="008671FA"/>
    <w:rsid w:val="00867601"/>
    <w:rsid w:val="00867D55"/>
    <w:rsid w:val="008703EC"/>
    <w:rsid w:val="0087154F"/>
    <w:rsid w:val="0087187C"/>
    <w:rsid w:val="008728D7"/>
    <w:rsid w:val="00872988"/>
    <w:rsid w:val="00873CE7"/>
    <w:rsid w:val="008742A2"/>
    <w:rsid w:val="00874335"/>
    <w:rsid w:val="00875754"/>
    <w:rsid w:val="008774D0"/>
    <w:rsid w:val="00880E82"/>
    <w:rsid w:val="008823B6"/>
    <w:rsid w:val="00882B96"/>
    <w:rsid w:val="00882DC0"/>
    <w:rsid w:val="00882F29"/>
    <w:rsid w:val="0088321D"/>
    <w:rsid w:val="0088345D"/>
    <w:rsid w:val="00883681"/>
    <w:rsid w:val="0088493A"/>
    <w:rsid w:val="00884FCD"/>
    <w:rsid w:val="008855A4"/>
    <w:rsid w:val="00885D40"/>
    <w:rsid w:val="00886392"/>
    <w:rsid w:val="00886912"/>
    <w:rsid w:val="0088715E"/>
    <w:rsid w:val="0088728B"/>
    <w:rsid w:val="0088784A"/>
    <w:rsid w:val="00887879"/>
    <w:rsid w:val="00890465"/>
    <w:rsid w:val="00891170"/>
    <w:rsid w:val="0089164B"/>
    <w:rsid w:val="00892438"/>
    <w:rsid w:val="0089277F"/>
    <w:rsid w:val="008933F7"/>
    <w:rsid w:val="00893B74"/>
    <w:rsid w:val="00894FBE"/>
    <w:rsid w:val="00895F4F"/>
    <w:rsid w:val="0089674C"/>
    <w:rsid w:val="00896F69"/>
    <w:rsid w:val="00897351"/>
    <w:rsid w:val="00897952"/>
    <w:rsid w:val="008A04FC"/>
    <w:rsid w:val="008A0AAC"/>
    <w:rsid w:val="008A0CA9"/>
    <w:rsid w:val="008A0E6A"/>
    <w:rsid w:val="008A1975"/>
    <w:rsid w:val="008A260C"/>
    <w:rsid w:val="008A2A31"/>
    <w:rsid w:val="008A2A99"/>
    <w:rsid w:val="008A2E7D"/>
    <w:rsid w:val="008A3A35"/>
    <w:rsid w:val="008A3DEF"/>
    <w:rsid w:val="008A3F9B"/>
    <w:rsid w:val="008A4EC4"/>
    <w:rsid w:val="008A53B6"/>
    <w:rsid w:val="008A5DD5"/>
    <w:rsid w:val="008A6A2D"/>
    <w:rsid w:val="008B0045"/>
    <w:rsid w:val="008B0058"/>
    <w:rsid w:val="008B090C"/>
    <w:rsid w:val="008B225C"/>
    <w:rsid w:val="008B2952"/>
    <w:rsid w:val="008B2FC3"/>
    <w:rsid w:val="008B3E43"/>
    <w:rsid w:val="008B41C4"/>
    <w:rsid w:val="008B488C"/>
    <w:rsid w:val="008B62A7"/>
    <w:rsid w:val="008B75C8"/>
    <w:rsid w:val="008B7736"/>
    <w:rsid w:val="008C0057"/>
    <w:rsid w:val="008C063B"/>
    <w:rsid w:val="008C129D"/>
    <w:rsid w:val="008C1F0A"/>
    <w:rsid w:val="008C25AB"/>
    <w:rsid w:val="008C2786"/>
    <w:rsid w:val="008C27E4"/>
    <w:rsid w:val="008C3061"/>
    <w:rsid w:val="008C3AAB"/>
    <w:rsid w:val="008C41E5"/>
    <w:rsid w:val="008C451F"/>
    <w:rsid w:val="008C4A83"/>
    <w:rsid w:val="008C4BC1"/>
    <w:rsid w:val="008C504D"/>
    <w:rsid w:val="008C5556"/>
    <w:rsid w:val="008C5634"/>
    <w:rsid w:val="008C5A2C"/>
    <w:rsid w:val="008C6F67"/>
    <w:rsid w:val="008C72C4"/>
    <w:rsid w:val="008C7385"/>
    <w:rsid w:val="008C742F"/>
    <w:rsid w:val="008C7FEB"/>
    <w:rsid w:val="008D0960"/>
    <w:rsid w:val="008D149D"/>
    <w:rsid w:val="008D253A"/>
    <w:rsid w:val="008D278B"/>
    <w:rsid w:val="008D2ED1"/>
    <w:rsid w:val="008D2EE4"/>
    <w:rsid w:val="008D2FCE"/>
    <w:rsid w:val="008D317D"/>
    <w:rsid w:val="008D43B9"/>
    <w:rsid w:val="008D467A"/>
    <w:rsid w:val="008D68D9"/>
    <w:rsid w:val="008D71F2"/>
    <w:rsid w:val="008D7423"/>
    <w:rsid w:val="008E0069"/>
    <w:rsid w:val="008E0E63"/>
    <w:rsid w:val="008E0E8F"/>
    <w:rsid w:val="008E20B0"/>
    <w:rsid w:val="008E25E3"/>
    <w:rsid w:val="008E262F"/>
    <w:rsid w:val="008E2A16"/>
    <w:rsid w:val="008E4224"/>
    <w:rsid w:val="008E5460"/>
    <w:rsid w:val="008E5A1A"/>
    <w:rsid w:val="008E5C2B"/>
    <w:rsid w:val="008E6C94"/>
    <w:rsid w:val="008E733D"/>
    <w:rsid w:val="008E7846"/>
    <w:rsid w:val="008E7A90"/>
    <w:rsid w:val="008E7B3E"/>
    <w:rsid w:val="008E7D3A"/>
    <w:rsid w:val="008F003F"/>
    <w:rsid w:val="008F0108"/>
    <w:rsid w:val="008F0C71"/>
    <w:rsid w:val="008F1212"/>
    <w:rsid w:val="008F18C3"/>
    <w:rsid w:val="008F1CDC"/>
    <w:rsid w:val="008F4141"/>
    <w:rsid w:val="008F4AF5"/>
    <w:rsid w:val="008F4B27"/>
    <w:rsid w:val="008F5664"/>
    <w:rsid w:val="008F61E3"/>
    <w:rsid w:val="008F6A73"/>
    <w:rsid w:val="008F6FCC"/>
    <w:rsid w:val="008F70B6"/>
    <w:rsid w:val="008F74E4"/>
    <w:rsid w:val="008F7A7D"/>
    <w:rsid w:val="009009BA"/>
    <w:rsid w:val="00900A3A"/>
    <w:rsid w:val="00900EC5"/>
    <w:rsid w:val="00901965"/>
    <w:rsid w:val="00901BE5"/>
    <w:rsid w:val="00901D9F"/>
    <w:rsid w:val="00902A22"/>
    <w:rsid w:val="00902B78"/>
    <w:rsid w:val="00902D95"/>
    <w:rsid w:val="0090379D"/>
    <w:rsid w:val="00903E5B"/>
    <w:rsid w:val="00904650"/>
    <w:rsid w:val="0090560C"/>
    <w:rsid w:val="00905697"/>
    <w:rsid w:val="0090593C"/>
    <w:rsid w:val="00905EE7"/>
    <w:rsid w:val="0090611D"/>
    <w:rsid w:val="00907A4A"/>
    <w:rsid w:val="00907E68"/>
    <w:rsid w:val="00910405"/>
    <w:rsid w:val="00912C15"/>
    <w:rsid w:val="00913FE2"/>
    <w:rsid w:val="009140D6"/>
    <w:rsid w:val="009140E8"/>
    <w:rsid w:val="009158FD"/>
    <w:rsid w:val="00915B96"/>
    <w:rsid w:val="00916788"/>
    <w:rsid w:val="00916C6D"/>
    <w:rsid w:val="00920553"/>
    <w:rsid w:val="00920ABE"/>
    <w:rsid w:val="009235BD"/>
    <w:rsid w:val="009236E7"/>
    <w:rsid w:val="009241CD"/>
    <w:rsid w:val="00924BA5"/>
    <w:rsid w:val="00925F7C"/>
    <w:rsid w:val="00926E11"/>
    <w:rsid w:val="0092791B"/>
    <w:rsid w:val="0093038A"/>
    <w:rsid w:val="00930447"/>
    <w:rsid w:val="00930A91"/>
    <w:rsid w:val="00930FA3"/>
    <w:rsid w:val="00932249"/>
    <w:rsid w:val="00932E5B"/>
    <w:rsid w:val="00933290"/>
    <w:rsid w:val="009332F0"/>
    <w:rsid w:val="0093398E"/>
    <w:rsid w:val="00933CA4"/>
    <w:rsid w:val="0093473B"/>
    <w:rsid w:val="00934957"/>
    <w:rsid w:val="00934B64"/>
    <w:rsid w:val="00935903"/>
    <w:rsid w:val="00935D25"/>
    <w:rsid w:val="009368FA"/>
    <w:rsid w:val="00936C47"/>
    <w:rsid w:val="009374A7"/>
    <w:rsid w:val="009404FF"/>
    <w:rsid w:val="00941396"/>
    <w:rsid w:val="00942EC3"/>
    <w:rsid w:val="00942ECE"/>
    <w:rsid w:val="0094336B"/>
    <w:rsid w:val="0094389C"/>
    <w:rsid w:val="00943B4B"/>
    <w:rsid w:val="0094680B"/>
    <w:rsid w:val="009468CE"/>
    <w:rsid w:val="00946C9C"/>
    <w:rsid w:val="00946D7E"/>
    <w:rsid w:val="009477D2"/>
    <w:rsid w:val="0095095E"/>
    <w:rsid w:val="00950A9D"/>
    <w:rsid w:val="0095132C"/>
    <w:rsid w:val="0095176A"/>
    <w:rsid w:val="009526B6"/>
    <w:rsid w:val="009531C0"/>
    <w:rsid w:val="009543AE"/>
    <w:rsid w:val="00954C5F"/>
    <w:rsid w:val="00955962"/>
    <w:rsid w:val="00955C32"/>
    <w:rsid w:val="00955D2D"/>
    <w:rsid w:val="00956194"/>
    <w:rsid w:val="00956C0B"/>
    <w:rsid w:val="00956F89"/>
    <w:rsid w:val="00957680"/>
    <w:rsid w:val="009577A5"/>
    <w:rsid w:val="009579AF"/>
    <w:rsid w:val="009606FD"/>
    <w:rsid w:val="00960A64"/>
    <w:rsid w:val="00961A0A"/>
    <w:rsid w:val="00962E1A"/>
    <w:rsid w:val="00963703"/>
    <w:rsid w:val="0096496A"/>
    <w:rsid w:val="00965435"/>
    <w:rsid w:val="0096545F"/>
    <w:rsid w:val="0096567B"/>
    <w:rsid w:val="0096575D"/>
    <w:rsid w:val="00965896"/>
    <w:rsid w:val="00966012"/>
    <w:rsid w:val="00966E92"/>
    <w:rsid w:val="009679CC"/>
    <w:rsid w:val="0097046C"/>
    <w:rsid w:val="00970BA7"/>
    <w:rsid w:val="00971E46"/>
    <w:rsid w:val="00971FA6"/>
    <w:rsid w:val="0097275B"/>
    <w:rsid w:val="00972D9B"/>
    <w:rsid w:val="0097422F"/>
    <w:rsid w:val="00974911"/>
    <w:rsid w:val="009749B1"/>
    <w:rsid w:val="00976822"/>
    <w:rsid w:val="00976D2C"/>
    <w:rsid w:val="0097705D"/>
    <w:rsid w:val="00980434"/>
    <w:rsid w:val="009805C7"/>
    <w:rsid w:val="009810D5"/>
    <w:rsid w:val="00981270"/>
    <w:rsid w:val="00981F26"/>
    <w:rsid w:val="0098226D"/>
    <w:rsid w:val="00982463"/>
    <w:rsid w:val="00982F1D"/>
    <w:rsid w:val="00983537"/>
    <w:rsid w:val="00984006"/>
    <w:rsid w:val="00984EDA"/>
    <w:rsid w:val="009855D4"/>
    <w:rsid w:val="0098567A"/>
    <w:rsid w:val="00986102"/>
    <w:rsid w:val="00986684"/>
    <w:rsid w:val="009867CE"/>
    <w:rsid w:val="00986DF9"/>
    <w:rsid w:val="00987392"/>
    <w:rsid w:val="00990BEE"/>
    <w:rsid w:val="00991AB2"/>
    <w:rsid w:val="0099203B"/>
    <w:rsid w:val="0099246A"/>
    <w:rsid w:val="00993E83"/>
    <w:rsid w:val="00995365"/>
    <w:rsid w:val="009953DA"/>
    <w:rsid w:val="00995535"/>
    <w:rsid w:val="00995781"/>
    <w:rsid w:val="00995D19"/>
    <w:rsid w:val="00995E9A"/>
    <w:rsid w:val="00996BB7"/>
    <w:rsid w:val="009A09BD"/>
    <w:rsid w:val="009A1897"/>
    <w:rsid w:val="009A1D8A"/>
    <w:rsid w:val="009A22E9"/>
    <w:rsid w:val="009A2697"/>
    <w:rsid w:val="009A3D9A"/>
    <w:rsid w:val="009A4C97"/>
    <w:rsid w:val="009A4ED1"/>
    <w:rsid w:val="009A563F"/>
    <w:rsid w:val="009A65B8"/>
    <w:rsid w:val="009A6B28"/>
    <w:rsid w:val="009A7C07"/>
    <w:rsid w:val="009B0A8C"/>
    <w:rsid w:val="009B1069"/>
    <w:rsid w:val="009B1D03"/>
    <w:rsid w:val="009B27F5"/>
    <w:rsid w:val="009B330B"/>
    <w:rsid w:val="009B35E1"/>
    <w:rsid w:val="009B459A"/>
    <w:rsid w:val="009B463E"/>
    <w:rsid w:val="009B4D4A"/>
    <w:rsid w:val="009B58FC"/>
    <w:rsid w:val="009B682C"/>
    <w:rsid w:val="009B749A"/>
    <w:rsid w:val="009B7870"/>
    <w:rsid w:val="009B7967"/>
    <w:rsid w:val="009C0627"/>
    <w:rsid w:val="009C0D71"/>
    <w:rsid w:val="009C2080"/>
    <w:rsid w:val="009C2816"/>
    <w:rsid w:val="009C4F47"/>
    <w:rsid w:val="009C6E97"/>
    <w:rsid w:val="009C74E3"/>
    <w:rsid w:val="009C7AEF"/>
    <w:rsid w:val="009D0E87"/>
    <w:rsid w:val="009D16AC"/>
    <w:rsid w:val="009D322B"/>
    <w:rsid w:val="009D393E"/>
    <w:rsid w:val="009D44B3"/>
    <w:rsid w:val="009D4B05"/>
    <w:rsid w:val="009D4BB8"/>
    <w:rsid w:val="009D50FB"/>
    <w:rsid w:val="009D56EE"/>
    <w:rsid w:val="009D5BAA"/>
    <w:rsid w:val="009D5E5D"/>
    <w:rsid w:val="009D6AC5"/>
    <w:rsid w:val="009D6BA0"/>
    <w:rsid w:val="009D731F"/>
    <w:rsid w:val="009D757B"/>
    <w:rsid w:val="009D77EF"/>
    <w:rsid w:val="009E05AF"/>
    <w:rsid w:val="009E07F3"/>
    <w:rsid w:val="009E1A4A"/>
    <w:rsid w:val="009E21D1"/>
    <w:rsid w:val="009E21E7"/>
    <w:rsid w:val="009E25F4"/>
    <w:rsid w:val="009E301E"/>
    <w:rsid w:val="009E32AD"/>
    <w:rsid w:val="009E471E"/>
    <w:rsid w:val="009E53CA"/>
    <w:rsid w:val="009E5857"/>
    <w:rsid w:val="009E5B61"/>
    <w:rsid w:val="009E6B77"/>
    <w:rsid w:val="009F025E"/>
    <w:rsid w:val="009F0723"/>
    <w:rsid w:val="009F146D"/>
    <w:rsid w:val="009F160E"/>
    <w:rsid w:val="009F2545"/>
    <w:rsid w:val="009F30AE"/>
    <w:rsid w:val="009F3DFD"/>
    <w:rsid w:val="009F592C"/>
    <w:rsid w:val="009F6843"/>
    <w:rsid w:val="009F7755"/>
    <w:rsid w:val="009F7839"/>
    <w:rsid w:val="009F7D61"/>
    <w:rsid w:val="009F7D78"/>
    <w:rsid w:val="00A007F8"/>
    <w:rsid w:val="00A01CBC"/>
    <w:rsid w:val="00A022FC"/>
    <w:rsid w:val="00A024E7"/>
    <w:rsid w:val="00A02872"/>
    <w:rsid w:val="00A02EB2"/>
    <w:rsid w:val="00A035EF"/>
    <w:rsid w:val="00A0419D"/>
    <w:rsid w:val="00A05648"/>
    <w:rsid w:val="00A05A51"/>
    <w:rsid w:val="00A05B74"/>
    <w:rsid w:val="00A05E78"/>
    <w:rsid w:val="00A0671B"/>
    <w:rsid w:val="00A06D37"/>
    <w:rsid w:val="00A06E82"/>
    <w:rsid w:val="00A105F4"/>
    <w:rsid w:val="00A1087A"/>
    <w:rsid w:val="00A11076"/>
    <w:rsid w:val="00A1179D"/>
    <w:rsid w:val="00A119B5"/>
    <w:rsid w:val="00A1217E"/>
    <w:rsid w:val="00A12D9D"/>
    <w:rsid w:val="00A132D0"/>
    <w:rsid w:val="00A1367B"/>
    <w:rsid w:val="00A1423B"/>
    <w:rsid w:val="00A149B1"/>
    <w:rsid w:val="00A14E2A"/>
    <w:rsid w:val="00A14E61"/>
    <w:rsid w:val="00A158D9"/>
    <w:rsid w:val="00A17336"/>
    <w:rsid w:val="00A17BE7"/>
    <w:rsid w:val="00A17D11"/>
    <w:rsid w:val="00A200F3"/>
    <w:rsid w:val="00A2012C"/>
    <w:rsid w:val="00A21674"/>
    <w:rsid w:val="00A21BD3"/>
    <w:rsid w:val="00A21D03"/>
    <w:rsid w:val="00A21D85"/>
    <w:rsid w:val="00A21E6B"/>
    <w:rsid w:val="00A23A81"/>
    <w:rsid w:val="00A23F3C"/>
    <w:rsid w:val="00A24CD6"/>
    <w:rsid w:val="00A2558F"/>
    <w:rsid w:val="00A2579F"/>
    <w:rsid w:val="00A266D7"/>
    <w:rsid w:val="00A2684C"/>
    <w:rsid w:val="00A27BE1"/>
    <w:rsid w:val="00A30115"/>
    <w:rsid w:val="00A3051C"/>
    <w:rsid w:val="00A30954"/>
    <w:rsid w:val="00A30BB8"/>
    <w:rsid w:val="00A31978"/>
    <w:rsid w:val="00A31FFC"/>
    <w:rsid w:val="00A332DA"/>
    <w:rsid w:val="00A336B9"/>
    <w:rsid w:val="00A33A2E"/>
    <w:rsid w:val="00A33E97"/>
    <w:rsid w:val="00A33FC2"/>
    <w:rsid w:val="00A351D5"/>
    <w:rsid w:val="00A35DD8"/>
    <w:rsid w:val="00A37319"/>
    <w:rsid w:val="00A37EC7"/>
    <w:rsid w:val="00A4042B"/>
    <w:rsid w:val="00A4199A"/>
    <w:rsid w:val="00A41F99"/>
    <w:rsid w:val="00A42003"/>
    <w:rsid w:val="00A42604"/>
    <w:rsid w:val="00A43BCA"/>
    <w:rsid w:val="00A43CA4"/>
    <w:rsid w:val="00A451D6"/>
    <w:rsid w:val="00A454BB"/>
    <w:rsid w:val="00A45DF1"/>
    <w:rsid w:val="00A45E19"/>
    <w:rsid w:val="00A46541"/>
    <w:rsid w:val="00A46EBE"/>
    <w:rsid w:val="00A47356"/>
    <w:rsid w:val="00A47F8E"/>
    <w:rsid w:val="00A50419"/>
    <w:rsid w:val="00A52AE6"/>
    <w:rsid w:val="00A53655"/>
    <w:rsid w:val="00A542F4"/>
    <w:rsid w:val="00A545D0"/>
    <w:rsid w:val="00A55891"/>
    <w:rsid w:val="00A559CF"/>
    <w:rsid w:val="00A55E29"/>
    <w:rsid w:val="00A56923"/>
    <w:rsid w:val="00A57C70"/>
    <w:rsid w:val="00A6011C"/>
    <w:rsid w:val="00A6023A"/>
    <w:rsid w:val="00A61435"/>
    <w:rsid w:val="00A6185C"/>
    <w:rsid w:val="00A618BF"/>
    <w:rsid w:val="00A61C30"/>
    <w:rsid w:val="00A624FD"/>
    <w:rsid w:val="00A63448"/>
    <w:rsid w:val="00A64027"/>
    <w:rsid w:val="00A6585E"/>
    <w:rsid w:val="00A67E1F"/>
    <w:rsid w:val="00A705AE"/>
    <w:rsid w:val="00A707D7"/>
    <w:rsid w:val="00A72D70"/>
    <w:rsid w:val="00A72EB6"/>
    <w:rsid w:val="00A7366D"/>
    <w:rsid w:val="00A73847"/>
    <w:rsid w:val="00A7471F"/>
    <w:rsid w:val="00A749CD"/>
    <w:rsid w:val="00A751CD"/>
    <w:rsid w:val="00A75791"/>
    <w:rsid w:val="00A75F9E"/>
    <w:rsid w:val="00A7628B"/>
    <w:rsid w:val="00A77127"/>
    <w:rsid w:val="00A775D5"/>
    <w:rsid w:val="00A800D3"/>
    <w:rsid w:val="00A8234C"/>
    <w:rsid w:val="00A8284A"/>
    <w:rsid w:val="00A8299A"/>
    <w:rsid w:val="00A8351C"/>
    <w:rsid w:val="00A83731"/>
    <w:rsid w:val="00A8582A"/>
    <w:rsid w:val="00A87425"/>
    <w:rsid w:val="00A90AA7"/>
    <w:rsid w:val="00A91DD1"/>
    <w:rsid w:val="00A93F11"/>
    <w:rsid w:val="00A9524C"/>
    <w:rsid w:val="00A9637F"/>
    <w:rsid w:val="00A96F98"/>
    <w:rsid w:val="00AA18C0"/>
    <w:rsid w:val="00AA31F8"/>
    <w:rsid w:val="00AA3B45"/>
    <w:rsid w:val="00AA4EE6"/>
    <w:rsid w:val="00AA547F"/>
    <w:rsid w:val="00AA5846"/>
    <w:rsid w:val="00AA5F55"/>
    <w:rsid w:val="00AA614A"/>
    <w:rsid w:val="00AA705C"/>
    <w:rsid w:val="00AA7CF5"/>
    <w:rsid w:val="00AB075B"/>
    <w:rsid w:val="00AB08B9"/>
    <w:rsid w:val="00AB1671"/>
    <w:rsid w:val="00AB22D4"/>
    <w:rsid w:val="00AB2730"/>
    <w:rsid w:val="00AB2877"/>
    <w:rsid w:val="00AB3DC9"/>
    <w:rsid w:val="00AB4AAA"/>
    <w:rsid w:val="00AB4B0C"/>
    <w:rsid w:val="00AB4CB9"/>
    <w:rsid w:val="00AB6B60"/>
    <w:rsid w:val="00AB7A33"/>
    <w:rsid w:val="00AC0D0E"/>
    <w:rsid w:val="00AC0F1F"/>
    <w:rsid w:val="00AC2C75"/>
    <w:rsid w:val="00AC2E6B"/>
    <w:rsid w:val="00AC4838"/>
    <w:rsid w:val="00AC4B1A"/>
    <w:rsid w:val="00AC5909"/>
    <w:rsid w:val="00AC6BEA"/>
    <w:rsid w:val="00AC71C3"/>
    <w:rsid w:val="00AC74FA"/>
    <w:rsid w:val="00AC7AB7"/>
    <w:rsid w:val="00AC7DE6"/>
    <w:rsid w:val="00AD0001"/>
    <w:rsid w:val="00AD044D"/>
    <w:rsid w:val="00AD1007"/>
    <w:rsid w:val="00AD1268"/>
    <w:rsid w:val="00AD1408"/>
    <w:rsid w:val="00AD1A2F"/>
    <w:rsid w:val="00AD1FDE"/>
    <w:rsid w:val="00AD34D9"/>
    <w:rsid w:val="00AD406E"/>
    <w:rsid w:val="00AD4B2B"/>
    <w:rsid w:val="00AD563E"/>
    <w:rsid w:val="00AD5874"/>
    <w:rsid w:val="00AD5CAF"/>
    <w:rsid w:val="00AD6529"/>
    <w:rsid w:val="00AD6547"/>
    <w:rsid w:val="00AD6B46"/>
    <w:rsid w:val="00AD783D"/>
    <w:rsid w:val="00AD7DB0"/>
    <w:rsid w:val="00AE042F"/>
    <w:rsid w:val="00AE0692"/>
    <w:rsid w:val="00AE0BF0"/>
    <w:rsid w:val="00AE10A5"/>
    <w:rsid w:val="00AE1C3A"/>
    <w:rsid w:val="00AE1D0C"/>
    <w:rsid w:val="00AE1DDF"/>
    <w:rsid w:val="00AE2603"/>
    <w:rsid w:val="00AE440A"/>
    <w:rsid w:val="00AE45BF"/>
    <w:rsid w:val="00AE4F0F"/>
    <w:rsid w:val="00AE558C"/>
    <w:rsid w:val="00AE570B"/>
    <w:rsid w:val="00AE6551"/>
    <w:rsid w:val="00AE6C06"/>
    <w:rsid w:val="00AE7258"/>
    <w:rsid w:val="00AE7D9D"/>
    <w:rsid w:val="00AE7EC4"/>
    <w:rsid w:val="00AE7F85"/>
    <w:rsid w:val="00AF03E5"/>
    <w:rsid w:val="00AF06A9"/>
    <w:rsid w:val="00AF0A57"/>
    <w:rsid w:val="00AF0BFD"/>
    <w:rsid w:val="00AF354A"/>
    <w:rsid w:val="00AF47E4"/>
    <w:rsid w:val="00AF528D"/>
    <w:rsid w:val="00AF5591"/>
    <w:rsid w:val="00AF64A0"/>
    <w:rsid w:val="00AF67B8"/>
    <w:rsid w:val="00AF6BDC"/>
    <w:rsid w:val="00AF6C7F"/>
    <w:rsid w:val="00B00143"/>
    <w:rsid w:val="00B01736"/>
    <w:rsid w:val="00B01C13"/>
    <w:rsid w:val="00B021F0"/>
    <w:rsid w:val="00B02949"/>
    <w:rsid w:val="00B032FA"/>
    <w:rsid w:val="00B03392"/>
    <w:rsid w:val="00B0410B"/>
    <w:rsid w:val="00B04146"/>
    <w:rsid w:val="00B0462F"/>
    <w:rsid w:val="00B0491D"/>
    <w:rsid w:val="00B04D21"/>
    <w:rsid w:val="00B05385"/>
    <w:rsid w:val="00B0579E"/>
    <w:rsid w:val="00B05DC4"/>
    <w:rsid w:val="00B05E9E"/>
    <w:rsid w:val="00B060D1"/>
    <w:rsid w:val="00B0640B"/>
    <w:rsid w:val="00B06787"/>
    <w:rsid w:val="00B10EC9"/>
    <w:rsid w:val="00B116B6"/>
    <w:rsid w:val="00B123B8"/>
    <w:rsid w:val="00B146E2"/>
    <w:rsid w:val="00B1488A"/>
    <w:rsid w:val="00B14A17"/>
    <w:rsid w:val="00B14D64"/>
    <w:rsid w:val="00B15048"/>
    <w:rsid w:val="00B15258"/>
    <w:rsid w:val="00B15893"/>
    <w:rsid w:val="00B15D1C"/>
    <w:rsid w:val="00B15E39"/>
    <w:rsid w:val="00B17B04"/>
    <w:rsid w:val="00B17E7A"/>
    <w:rsid w:val="00B21B31"/>
    <w:rsid w:val="00B2243B"/>
    <w:rsid w:val="00B2278E"/>
    <w:rsid w:val="00B228EC"/>
    <w:rsid w:val="00B2332D"/>
    <w:rsid w:val="00B24475"/>
    <w:rsid w:val="00B2449D"/>
    <w:rsid w:val="00B2479E"/>
    <w:rsid w:val="00B25149"/>
    <w:rsid w:val="00B25309"/>
    <w:rsid w:val="00B25A54"/>
    <w:rsid w:val="00B25D8B"/>
    <w:rsid w:val="00B273E7"/>
    <w:rsid w:val="00B2764F"/>
    <w:rsid w:val="00B276D6"/>
    <w:rsid w:val="00B27740"/>
    <w:rsid w:val="00B2780B"/>
    <w:rsid w:val="00B306DC"/>
    <w:rsid w:val="00B31989"/>
    <w:rsid w:val="00B31A9A"/>
    <w:rsid w:val="00B33CB4"/>
    <w:rsid w:val="00B33FCA"/>
    <w:rsid w:val="00B3477C"/>
    <w:rsid w:val="00B348CB"/>
    <w:rsid w:val="00B349CB"/>
    <w:rsid w:val="00B35D7A"/>
    <w:rsid w:val="00B35D88"/>
    <w:rsid w:val="00B36718"/>
    <w:rsid w:val="00B36B91"/>
    <w:rsid w:val="00B36EE4"/>
    <w:rsid w:val="00B370E5"/>
    <w:rsid w:val="00B37381"/>
    <w:rsid w:val="00B41163"/>
    <w:rsid w:val="00B42828"/>
    <w:rsid w:val="00B428E8"/>
    <w:rsid w:val="00B42B3D"/>
    <w:rsid w:val="00B42D09"/>
    <w:rsid w:val="00B433E0"/>
    <w:rsid w:val="00B442AF"/>
    <w:rsid w:val="00B44635"/>
    <w:rsid w:val="00B45046"/>
    <w:rsid w:val="00B46099"/>
    <w:rsid w:val="00B469E3"/>
    <w:rsid w:val="00B46ABE"/>
    <w:rsid w:val="00B47240"/>
    <w:rsid w:val="00B51160"/>
    <w:rsid w:val="00B51311"/>
    <w:rsid w:val="00B516D6"/>
    <w:rsid w:val="00B51BE3"/>
    <w:rsid w:val="00B520D5"/>
    <w:rsid w:val="00B52866"/>
    <w:rsid w:val="00B528DA"/>
    <w:rsid w:val="00B53D19"/>
    <w:rsid w:val="00B55351"/>
    <w:rsid w:val="00B554A4"/>
    <w:rsid w:val="00B57691"/>
    <w:rsid w:val="00B61C95"/>
    <w:rsid w:val="00B61CA0"/>
    <w:rsid w:val="00B62469"/>
    <w:rsid w:val="00B6370A"/>
    <w:rsid w:val="00B63831"/>
    <w:rsid w:val="00B64B35"/>
    <w:rsid w:val="00B65E7A"/>
    <w:rsid w:val="00B66978"/>
    <w:rsid w:val="00B66BD0"/>
    <w:rsid w:val="00B66F4B"/>
    <w:rsid w:val="00B67401"/>
    <w:rsid w:val="00B70347"/>
    <w:rsid w:val="00B7068A"/>
    <w:rsid w:val="00B7105F"/>
    <w:rsid w:val="00B714DB"/>
    <w:rsid w:val="00B72962"/>
    <w:rsid w:val="00B74AB5"/>
    <w:rsid w:val="00B74BFA"/>
    <w:rsid w:val="00B75A18"/>
    <w:rsid w:val="00B76B7D"/>
    <w:rsid w:val="00B7728D"/>
    <w:rsid w:val="00B77CB7"/>
    <w:rsid w:val="00B805CB"/>
    <w:rsid w:val="00B81B05"/>
    <w:rsid w:val="00B81D7C"/>
    <w:rsid w:val="00B821DB"/>
    <w:rsid w:val="00B82B77"/>
    <w:rsid w:val="00B83288"/>
    <w:rsid w:val="00B83694"/>
    <w:rsid w:val="00B83BEB"/>
    <w:rsid w:val="00B83E3B"/>
    <w:rsid w:val="00B8558C"/>
    <w:rsid w:val="00B87200"/>
    <w:rsid w:val="00B879DC"/>
    <w:rsid w:val="00B90085"/>
    <w:rsid w:val="00B906AE"/>
    <w:rsid w:val="00B90B43"/>
    <w:rsid w:val="00B90FE7"/>
    <w:rsid w:val="00B91C3D"/>
    <w:rsid w:val="00B928E6"/>
    <w:rsid w:val="00B9343F"/>
    <w:rsid w:val="00B93662"/>
    <w:rsid w:val="00B945CB"/>
    <w:rsid w:val="00B94C15"/>
    <w:rsid w:val="00B94ED5"/>
    <w:rsid w:val="00B94F47"/>
    <w:rsid w:val="00B95785"/>
    <w:rsid w:val="00B95E1E"/>
    <w:rsid w:val="00B9659F"/>
    <w:rsid w:val="00B97822"/>
    <w:rsid w:val="00B97D8B"/>
    <w:rsid w:val="00BA04F5"/>
    <w:rsid w:val="00BA0A9E"/>
    <w:rsid w:val="00BA107E"/>
    <w:rsid w:val="00BA14C0"/>
    <w:rsid w:val="00BA14EA"/>
    <w:rsid w:val="00BA18FB"/>
    <w:rsid w:val="00BA20F0"/>
    <w:rsid w:val="00BA35F7"/>
    <w:rsid w:val="00BA4F7F"/>
    <w:rsid w:val="00BA523F"/>
    <w:rsid w:val="00BA6128"/>
    <w:rsid w:val="00BA6811"/>
    <w:rsid w:val="00BA744A"/>
    <w:rsid w:val="00BA7DA7"/>
    <w:rsid w:val="00BB0991"/>
    <w:rsid w:val="00BB0B1C"/>
    <w:rsid w:val="00BB0FB2"/>
    <w:rsid w:val="00BB22C2"/>
    <w:rsid w:val="00BB2E7F"/>
    <w:rsid w:val="00BB3308"/>
    <w:rsid w:val="00BB3413"/>
    <w:rsid w:val="00BB3FDE"/>
    <w:rsid w:val="00BB44A1"/>
    <w:rsid w:val="00BB48E4"/>
    <w:rsid w:val="00BB4C04"/>
    <w:rsid w:val="00BB4F3A"/>
    <w:rsid w:val="00BB5043"/>
    <w:rsid w:val="00BB523E"/>
    <w:rsid w:val="00BB68BF"/>
    <w:rsid w:val="00BB6E42"/>
    <w:rsid w:val="00BB70F9"/>
    <w:rsid w:val="00BB71FA"/>
    <w:rsid w:val="00BB763D"/>
    <w:rsid w:val="00BB7F75"/>
    <w:rsid w:val="00BC0033"/>
    <w:rsid w:val="00BC04CE"/>
    <w:rsid w:val="00BC0CAC"/>
    <w:rsid w:val="00BC134A"/>
    <w:rsid w:val="00BC2204"/>
    <w:rsid w:val="00BC3D64"/>
    <w:rsid w:val="00BC4E42"/>
    <w:rsid w:val="00BC4EF6"/>
    <w:rsid w:val="00BC51B6"/>
    <w:rsid w:val="00BC5291"/>
    <w:rsid w:val="00BC58A3"/>
    <w:rsid w:val="00BC5CB5"/>
    <w:rsid w:val="00BC6407"/>
    <w:rsid w:val="00BC6FEE"/>
    <w:rsid w:val="00BC72A6"/>
    <w:rsid w:val="00BC781D"/>
    <w:rsid w:val="00BD06B9"/>
    <w:rsid w:val="00BD1388"/>
    <w:rsid w:val="00BD293E"/>
    <w:rsid w:val="00BD3010"/>
    <w:rsid w:val="00BD3491"/>
    <w:rsid w:val="00BD4157"/>
    <w:rsid w:val="00BD4C14"/>
    <w:rsid w:val="00BD4C62"/>
    <w:rsid w:val="00BD4C7C"/>
    <w:rsid w:val="00BD69B3"/>
    <w:rsid w:val="00BD7612"/>
    <w:rsid w:val="00BE05E4"/>
    <w:rsid w:val="00BE09B4"/>
    <w:rsid w:val="00BE13F2"/>
    <w:rsid w:val="00BE1950"/>
    <w:rsid w:val="00BE27F9"/>
    <w:rsid w:val="00BE2A6F"/>
    <w:rsid w:val="00BE3B30"/>
    <w:rsid w:val="00BE5043"/>
    <w:rsid w:val="00BE580F"/>
    <w:rsid w:val="00BE64C8"/>
    <w:rsid w:val="00BE6BEF"/>
    <w:rsid w:val="00BE6D2C"/>
    <w:rsid w:val="00BE73DA"/>
    <w:rsid w:val="00BE7A4D"/>
    <w:rsid w:val="00BF02E1"/>
    <w:rsid w:val="00BF0B9B"/>
    <w:rsid w:val="00BF1BE7"/>
    <w:rsid w:val="00BF2A6E"/>
    <w:rsid w:val="00BF3914"/>
    <w:rsid w:val="00BF3D5E"/>
    <w:rsid w:val="00BF483A"/>
    <w:rsid w:val="00BF4D43"/>
    <w:rsid w:val="00BF5AC1"/>
    <w:rsid w:val="00BF64F3"/>
    <w:rsid w:val="00BF6F5D"/>
    <w:rsid w:val="00C00743"/>
    <w:rsid w:val="00C00B61"/>
    <w:rsid w:val="00C01FB2"/>
    <w:rsid w:val="00C03486"/>
    <w:rsid w:val="00C048BD"/>
    <w:rsid w:val="00C059DF"/>
    <w:rsid w:val="00C05E03"/>
    <w:rsid w:val="00C068A2"/>
    <w:rsid w:val="00C06C3D"/>
    <w:rsid w:val="00C07C36"/>
    <w:rsid w:val="00C07FC6"/>
    <w:rsid w:val="00C10A5C"/>
    <w:rsid w:val="00C11D2E"/>
    <w:rsid w:val="00C12092"/>
    <w:rsid w:val="00C137C0"/>
    <w:rsid w:val="00C140C1"/>
    <w:rsid w:val="00C150BA"/>
    <w:rsid w:val="00C160AC"/>
    <w:rsid w:val="00C16709"/>
    <w:rsid w:val="00C16AE2"/>
    <w:rsid w:val="00C17F34"/>
    <w:rsid w:val="00C2126D"/>
    <w:rsid w:val="00C2150C"/>
    <w:rsid w:val="00C22D84"/>
    <w:rsid w:val="00C2329A"/>
    <w:rsid w:val="00C24A5C"/>
    <w:rsid w:val="00C259F2"/>
    <w:rsid w:val="00C26F4E"/>
    <w:rsid w:val="00C27B3E"/>
    <w:rsid w:val="00C27CBD"/>
    <w:rsid w:val="00C307A2"/>
    <w:rsid w:val="00C322FC"/>
    <w:rsid w:val="00C3472C"/>
    <w:rsid w:val="00C34B3B"/>
    <w:rsid w:val="00C35693"/>
    <w:rsid w:val="00C35B52"/>
    <w:rsid w:val="00C3676D"/>
    <w:rsid w:val="00C3703D"/>
    <w:rsid w:val="00C37F58"/>
    <w:rsid w:val="00C4146F"/>
    <w:rsid w:val="00C4171E"/>
    <w:rsid w:val="00C43740"/>
    <w:rsid w:val="00C43E73"/>
    <w:rsid w:val="00C44392"/>
    <w:rsid w:val="00C44646"/>
    <w:rsid w:val="00C44782"/>
    <w:rsid w:val="00C44EE5"/>
    <w:rsid w:val="00C454E7"/>
    <w:rsid w:val="00C457F9"/>
    <w:rsid w:val="00C46378"/>
    <w:rsid w:val="00C46DB0"/>
    <w:rsid w:val="00C46DC4"/>
    <w:rsid w:val="00C46F1F"/>
    <w:rsid w:val="00C47780"/>
    <w:rsid w:val="00C4781C"/>
    <w:rsid w:val="00C501AB"/>
    <w:rsid w:val="00C50361"/>
    <w:rsid w:val="00C51165"/>
    <w:rsid w:val="00C52551"/>
    <w:rsid w:val="00C528FE"/>
    <w:rsid w:val="00C53DDE"/>
    <w:rsid w:val="00C546DC"/>
    <w:rsid w:val="00C55141"/>
    <w:rsid w:val="00C55A83"/>
    <w:rsid w:val="00C564DE"/>
    <w:rsid w:val="00C5679C"/>
    <w:rsid w:val="00C56A39"/>
    <w:rsid w:val="00C579DD"/>
    <w:rsid w:val="00C60234"/>
    <w:rsid w:val="00C60C64"/>
    <w:rsid w:val="00C611AA"/>
    <w:rsid w:val="00C61749"/>
    <w:rsid w:val="00C61C76"/>
    <w:rsid w:val="00C61E79"/>
    <w:rsid w:val="00C62A0B"/>
    <w:rsid w:val="00C6310E"/>
    <w:rsid w:val="00C63A9C"/>
    <w:rsid w:val="00C640BE"/>
    <w:rsid w:val="00C64363"/>
    <w:rsid w:val="00C645A3"/>
    <w:rsid w:val="00C64990"/>
    <w:rsid w:val="00C64CF2"/>
    <w:rsid w:val="00C65C67"/>
    <w:rsid w:val="00C667B7"/>
    <w:rsid w:val="00C668CE"/>
    <w:rsid w:val="00C66B8F"/>
    <w:rsid w:val="00C6703C"/>
    <w:rsid w:val="00C6760E"/>
    <w:rsid w:val="00C67B7F"/>
    <w:rsid w:val="00C70AC1"/>
    <w:rsid w:val="00C712A3"/>
    <w:rsid w:val="00C712B8"/>
    <w:rsid w:val="00C720A1"/>
    <w:rsid w:val="00C72462"/>
    <w:rsid w:val="00C72DFC"/>
    <w:rsid w:val="00C73452"/>
    <w:rsid w:val="00C7406B"/>
    <w:rsid w:val="00C74175"/>
    <w:rsid w:val="00C74407"/>
    <w:rsid w:val="00C747F2"/>
    <w:rsid w:val="00C756F7"/>
    <w:rsid w:val="00C75B2B"/>
    <w:rsid w:val="00C762DF"/>
    <w:rsid w:val="00C76DE7"/>
    <w:rsid w:val="00C80998"/>
    <w:rsid w:val="00C80D31"/>
    <w:rsid w:val="00C80F25"/>
    <w:rsid w:val="00C81C5A"/>
    <w:rsid w:val="00C81EFF"/>
    <w:rsid w:val="00C82E8D"/>
    <w:rsid w:val="00C83EE3"/>
    <w:rsid w:val="00C841C2"/>
    <w:rsid w:val="00C85366"/>
    <w:rsid w:val="00C85C6B"/>
    <w:rsid w:val="00C877F4"/>
    <w:rsid w:val="00C90A97"/>
    <w:rsid w:val="00C9129F"/>
    <w:rsid w:val="00C913CC"/>
    <w:rsid w:val="00C915BF"/>
    <w:rsid w:val="00C9238D"/>
    <w:rsid w:val="00C9271F"/>
    <w:rsid w:val="00C92E06"/>
    <w:rsid w:val="00C94504"/>
    <w:rsid w:val="00C94B3D"/>
    <w:rsid w:val="00C94B49"/>
    <w:rsid w:val="00C94B8A"/>
    <w:rsid w:val="00C951B2"/>
    <w:rsid w:val="00C96D1B"/>
    <w:rsid w:val="00CA0F67"/>
    <w:rsid w:val="00CA2419"/>
    <w:rsid w:val="00CA2612"/>
    <w:rsid w:val="00CA2E8C"/>
    <w:rsid w:val="00CA38A5"/>
    <w:rsid w:val="00CA51EF"/>
    <w:rsid w:val="00CA52C3"/>
    <w:rsid w:val="00CA52E8"/>
    <w:rsid w:val="00CA60B7"/>
    <w:rsid w:val="00CA673C"/>
    <w:rsid w:val="00CA6850"/>
    <w:rsid w:val="00CA686F"/>
    <w:rsid w:val="00CA69EC"/>
    <w:rsid w:val="00CA7CBE"/>
    <w:rsid w:val="00CB0886"/>
    <w:rsid w:val="00CB091C"/>
    <w:rsid w:val="00CB0F0B"/>
    <w:rsid w:val="00CB116F"/>
    <w:rsid w:val="00CB1189"/>
    <w:rsid w:val="00CB1973"/>
    <w:rsid w:val="00CB21D3"/>
    <w:rsid w:val="00CB295D"/>
    <w:rsid w:val="00CB50CD"/>
    <w:rsid w:val="00CB5143"/>
    <w:rsid w:val="00CB5A3C"/>
    <w:rsid w:val="00CB6B4F"/>
    <w:rsid w:val="00CC0A30"/>
    <w:rsid w:val="00CC12D9"/>
    <w:rsid w:val="00CC1F62"/>
    <w:rsid w:val="00CC2498"/>
    <w:rsid w:val="00CC3157"/>
    <w:rsid w:val="00CC3196"/>
    <w:rsid w:val="00CC4358"/>
    <w:rsid w:val="00CC436E"/>
    <w:rsid w:val="00CC4CAF"/>
    <w:rsid w:val="00CC513E"/>
    <w:rsid w:val="00CC5494"/>
    <w:rsid w:val="00CC5D28"/>
    <w:rsid w:val="00CC6A23"/>
    <w:rsid w:val="00CD092D"/>
    <w:rsid w:val="00CD3863"/>
    <w:rsid w:val="00CD389D"/>
    <w:rsid w:val="00CD3B02"/>
    <w:rsid w:val="00CD47B1"/>
    <w:rsid w:val="00CD536C"/>
    <w:rsid w:val="00CD53E9"/>
    <w:rsid w:val="00CD5784"/>
    <w:rsid w:val="00CE0FE0"/>
    <w:rsid w:val="00CE10BA"/>
    <w:rsid w:val="00CE11B8"/>
    <w:rsid w:val="00CE267E"/>
    <w:rsid w:val="00CE2686"/>
    <w:rsid w:val="00CE2B96"/>
    <w:rsid w:val="00CE2C73"/>
    <w:rsid w:val="00CE2DA3"/>
    <w:rsid w:val="00CE30EE"/>
    <w:rsid w:val="00CE37AC"/>
    <w:rsid w:val="00CE3819"/>
    <w:rsid w:val="00CE3A07"/>
    <w:rsid w:val="00CE5602"/>
    <w:rsid w:val="00CE567E"/>
    <w:rsid w:val="00CE5FEB"/>
    <w:rsid w:val="00CE681A"/>
    <w:rsid w:val="00CE7260"/>
    <w:rsid w:val="00CE79DF"/>
    <w:rsid w:val="00CE7A94"/>
    <w:rsid w:val="00CF00ED"/>
    <w:rsid w:val="00CF0901"/>
    <w:rsid w:val="00CF21F6"/>
    <w:rsid w:val="00CF25B5"/>
    <w:rsid w:val="00CF2BDF"/>
    <w:rsid w:val="00CF319D"/>
    <w:rsid w:val="00CF33C2"/>
    <w:rsid w:val="00CF3DE4"/>
    <w:rsid w:val="00CF44DA"/>
    <w:rsid w:val="00CF4572"/>
    <w:rsid w:val="00CF4C7F"/>
    <w:rsid w:val="00CF52F9"/>
    <w:rsid w:val="00CF57F6"/>
    <w:rsid w:val="00CF6138"/>
    <w:rsid w:val="00CF6FA4"/>
    <w:rsid w:val="00CF735F"/>
    <w:rsid w:val="00CF7935"/>
    <w:rsid w:val="00CF7E68"/>
    <w:rsid w:val="00CF7E95"/>
    <w:rsid w:val="00D00320"/>
    <w:rsid w:val="00D0032D"/>
    <w:rsid w:val="00D050D4"/>
    <w:rsid w:val="00D05E30"/>
    <w:rsid w:val="00D06740"/>
    <w:rsid w:val="00D0719F"/>
    <w:rsid w:val="00D07415"/>
    <w:rsid w:val="00D1001C"/>
    <w:rsid w:val="00D10822"/>
    <w:rsid w:val="00D134FC"/>
    <w:rsid w:val="00D1352C"/>
    <w:rsid w:val="00D15967"/>
    <w:rsid w:val="00D16486"/>
    <w:rsid w:val="00D170BB"/>
    <w:rsid w:val="00D17B74"/>
    <w:rsid w:val="00D17EAE"/>
    <w:rsid w:val="00D211ED"/>
    <w:rsid w:val="00D216E5"/>
    <w:rsid w:val="00D2212B"/>
    <w:rsid w:val="00D22A59"/>
    <w:rsid w:val="00D230E2"/>
    <w:rsid w:val="00D23F92"/>
    <w:rsid w:val="00D2473A"/>
    <w:rsid w:val="00D25D2B"/>
    <w:rsid w:val="00D26A07"/>
    <w:rsid w:val="00D27347"/>
    <w:rsid w:val="00D27F82"/>
    <w:rsid w:val="00D301B8"/>
    <w:rsid w:val="00D30B57"/>
    <w:rsid w:val="00D3182A"/>
    <w:rsid w:val="00D31CBE"/>
    <w:rsid w:val="00D31FEE"/>
    <w:rsid w:val="00D34AAC"/>
    <w:rsid w:val="00D3592F"/>
    <w:rsid w:val="00D35EDE"/>
    <w:rsid w:val="00D368F3"/>
    <w:rsid w:val="00D36B75"/>
    <w:rsid w:val="00D3773C"/>
    <w:rsid w:val="00D40066"/>
    <w:rsid w:val="00D40EE7"/>
    <w:rsid w:val="00D4147B"/>
    <w:rsid w:val="00D4166E"/>
    <w:rsid w:val="00D41C22"/>
    <w:rsid w:val="00D41EEF"/>
    <w:rsid w:val="00D434B2"/>
    <w:rsid w:val="00D44556"/>
    <w:rsid w:val="00D44670"/>
    <w:rsid w:val="00D44CE0"/>
    <w:rsid w:val="00D45037"/>
    <w:rsid w:val="00D454D9"/>
    <w:rsid w:val="00D45CBD"/>
    <w:rsid w:val="00D46182"/>
    <w:rsid w:val="00D46196"/>
    <w:rsid w:val="00D46B36"/>
    <w:rsid w:val="00D46EAD"/>
    <w:rsid w:val="00D47086"/>
    <w:rsid w:val="00D472B8"/>
    <w:rsid w:val="00D47971"/>
    <w:rsid w:val="00D47BAD"/>
    <w:rsid w:val="00D51EC7"/>
    <w:rsid w:val="00D5423F"/>
    <w:rsid w:val="00D54E1D"/>
    <w:rsid w:val="00D56219"/>
    <w:rsid w:val="00D56AAD"/>
    <w:rsid w:val="00D57519"/>
    <w:rsid w:val="00D57AE0"/>
    <w:rsid w:val="00D600A1"/>
    <w:rsid w:val="00D60D83"/>
    <w:rsid w:val="00D611D1"/>
    <w:rsid w:val="00D61E44"/>
    <w:rsid w:val="00D6229D"/>
    <w:rsid w:val="00D62311"/>
    <w:rsid w:val="00D6408F"/>
    <w:rsid w:val="00D6420B"/>
    <w:rsid w:val="00D64BDF"/>
    <w:rsid w:val="00D668DE"/>
    <w:rsid w:val="00D71120"/>
    <w:rsid w:val="00D715FD"/>
    <w:rsid w:val="00D71BFB"/>
    <w:rsid w:val="00D7374B"/>
    <w:rsid w:val="00D738F1"/>
    <w:rsid w:val="00D748D7"/>
    <w:rsid w:val="00D74E1E"/>
    <w:rsid w:val="00D75616"/>
    <w:rsid w:val="00D75871"/>
    <w:rsid w:val="00D76480"/>
    <w:rsid w:val="00D76D8B"/>
    <w:rsid w:val="00D811FF"/>
    <w:rsid w:val="00D8272D"/>
    <w:rsid w:val="00D82ED1"/>
    <w:rsid w:val="00D82F63"/>
    <w:rsid w:val="00D83365"/>
    <w:rsid w:val="00D83B22"/>
    <w:rsid w:val="00D83DCC"/>
    <w:rsid w:val="00D83E54"/>
    <w:rsid w:val="00D8411B"/>
    <w:rsid w:val="00D849D9"/>
    <w:rsid w:val="00D850F2"/>
    <w:rsid w:val="00D85711"/>
    <w:rsid w:val="00D8636B"/>
    <w:rsid w:val="00D8648F"/>
    <w:rsid w:val="00D87E84"/>
    <w:rsid w:val="00D9118B"/>
    <w:rsid w:val="00D91A86"/>
    <w:rsid w:val="00D922DB"/>
    <w:rsid w:val="00D922F0"/>
    <w:rsid w:val="00D9314B"/>
    <w:rsid w:val="00D936CC"/>
    <w:rsid w:val="00D9411A"/>
    <w:rsid w:val="00D953EB"/>
    <w:rsid w:val="00D95892"/>
    <w:rsid w:val="00D96252"/>
    <w:rsid w:val="00D96944"/>
    <w:rsid w:val="00D97C2E"/>
    <w:rsid w:val="00DA06E1"/>
    <w:rsid w:val="00DA0760"/>
    <w:rsid w:val="00DA188D"/>
    <w:rsid w:val="00DA2D7B"/>
    <w:rsid w:val="00DA3890"/>
    <w:rsid w:val="00DA408C"/>
    <w:rsid w:val="00DA4273"/>
    <w:rsid w:val="00DA4290"/>
    <w:rsid w:val="00DA43CC"/>
    <w:rsid w:val="00DA4A1A"/>
    <w:rsid w:val="00DA4F5B"/>
    <w:rsid w:val="00DA5023"/>
    <w:rsid w:val="00DA533C"/>
    <w:rsid w:val="00DA53B9"/>
    <w:rsid w:val="00DA5867"/>
    <w:rsid w:val="00DA5F9A"/>
    <w:rsid w:val="00DA5FE8"/>
    <w:rsid w:val="00DA6A96"/>
    <w:rsid w:val="00DA7398"/>
    <w:rsid w:val="00DA7DD4"/>
    <w:rsid w:val="00DB0050"/>
    <w:rsid w:val="00DB0F9D"/>
    <w:rsid w:val="00DB1857"/>
    <w:rsid w:val="00DB1CB1"/>
    <w:rsid w:val="00DB25C4"/>
    <w:rsid w:val="00DB31D4"/>
    <w:rsid w:val="00DB372D"/>
    <w:rsid w:val="00DB3EEA"/>
    <w:rsid w:val="00DB45B4"/>
    <w:rsid w:val="00DB4942"/>
    <w:rsid w:val="00DB4E59"/>
    <w:rsid w:val="00DB58D7"/>
    <w:rsid w:val="00DB64D3"/>
    <w:rsid w:val="00DC05EB"/>
    <w:rsid w:val="00DC0CAA"/>
    <w:rsid w:val="00DC3467"/>
    <w:rsid w:val="00DC41EC"/>
    <w:rsid w:val="00DC4258"/>
    <w:rsid w:val="00DC4CBF"/>
    <w:rsid w:val="00DC5431"/>
    <w:rsid w:val="00DC6559"/>
    <w:rsid w:val="00DC71D8"/>
    <w:rsid w:val="00DC77BC"/>
    <w:rsid w:val="00DC7E81"/>
    <w:rsid w:val="00DD0723"/>
    <w:rsid w:val="00DD0A8B"/>
    <w:rsid w:val="00DD1B67"/>
    <w:rsid w:val="00DD1F02"/>
    <w:rsid w:val="00DD2291"/>
    <w:rsid w:val="00DD2B27"/>
    <w:rsid w:val="00DD2C87"/>
    <w:rsid w:val="00DD3004"/>
    <w:rsid w:val="00DD307D"/>
    <w:rsid w:val="00DD4BF3"/>
    <w:rsid w:val="00DD56CF"/>
    <w:rsid w:val="00DD5ABB"/>
    <w:rsid w:val="00DD6028"/>
    <w:rsid w:val="00DD6041"/>
    <w:rsid w:val="00DD6274"/>
    <w:rsid w:val="00DD6B3F"/>
    <w:rsid w:val="00DD6E77"/>
    <w:rsid w:val="00DD732D"/>
    <w:rsid w:val="00DE0359"/>
    <w:rsid w:val="00DE110D"/>
    <w:rsid w:val="00DE1A61"/>
    <w:rsid w:val="00DE26DF"/>
    <w:rsid w:val="00DE2913"/>
    <w:rsid w:val="00DE2936"/>
    <w:rsid w:val="00DE463C"/>
    <w:rsid w:val="00DE6267"/>
    <w:rsid w:val="00DE7691"/>
    <w:rsid w:val="00DE7DB4"/>
    <w:rsid w:val="00DE7DF5"/>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6586"/>
    <w:rsid w:val="00DF7A96"/>
    <w:rsid w:val="00E003F9"/>
    <w:rsid w:val="00E005DA"/>
    <w:rsid w:val="00E009A1"/>
    <w:rsid w:val="00E00CF0"/>
    <w:rsid w:val="00E00FAE"/>
    <w:rsid w:val="00E01228"/>
    <w:rsid w:val="00E0126B"/>
    <w:rsid w:val="00E01382"/>
    <w:rsid w:val="00E01668"/>
    <w:rsid w:val="00E01916"/>
    <w:rsid w:val="00E01F01"/>
    <w:rsid w:val="00E02759"/>
    <w:rsid w:val="00E0340A"/>
    <w:rsid w:val="00E03BCC"/>
    <w:rsid w:val="00E042DE"/>
    <w:rsid w:val="00E043CE"/>
    <w:rsid w:val="00E06125"/>
    <w:rsid w:val="00E1013C"/>
    <w:rsid w:val="00E107F1"/>
    <w:rsid w:val="00E109FF"/>
    <w:rsid w:val="00E1153F"/>
    <w:rsid w:val="00E1201E"/>
    <w:rsid w:val="00E12378"/>
    <w:rsid w:val="00E12D54"/>
    <w:rsid w:val="00E14742"/>
    <w:rsid w:val="00E1480A"/>
    <w:rsid w:val="00E1482D"/>
    <w:rsid w:val="00E14A1F"/>
    <w:rsid w:val="00E16E0E"/>
    <w:rsid w:val="00E17395"/>
    <w:rsid w:val="00E17925"/>
    <w:rsid w:val="00E20533"/>
    <w:rsid w:val="00E20866"/>
    <w:rsid w:val="00E20D5C"/>
    <w:rsid w:val="00E20D6C"/>
    <w:rsid w:val="00E20E4C"/>
    <w:rsid w:val="00E20EAC"/>
    <w:rsid w:val="00E21BD7"/>
    <w:rsid w:val="00E23181"/>
    <w:rsid w:val="00E233EE"/>
    <w:rsid w:val="00E23A0D"/>
    <w:rsid w:val="00E24B6A"/>
    <w:rsid w:val="00E24FBB"/>
    <w:rsid w:val="00E25461"/>
    <w:rsid w:val="00E26210"/>
    <w:rsid w:val="00E2658B"/>
    <w:rsid w:val="00E26DB4"/>
    <w:rsid w:val="00E278D1"/>
    <w:rsid w:val="00E27C92"/>
    <w:rsid w:val="00E304BA"/>
    <w:rsid w:val="00E30C54"/>
    <w:rsid w:val="00E31216"/>
    <w:rsid w:val="00E31A4F"/>
    <w:rsid w:val="00E31A9D"/>
    <w:rsid w:val="00E31D16"/>
    <w:rsid w:val="00E32CF3"/>
    <w:rsid w:val="00E33C57"/>
    <w:rsid w:val="00E33EF5"/>
    <w:rsid w:val="00E35656"/>
    <w:rsid w:val="00E357F0"/>
    <w:rsid w:val="00E35D0C"/>
    <w:rsid w:val="00E36244"/>
    <w:rsid w:val="00E370A4"/>
    <w:rsid w:val="00E37E8A"/>
    <w:rsid w:val="00E40B0D"/>
    <w:rsid w:val="00E40F0E"/>
    <w:rsid w:val="00E4177C"/>
    <w:rsid w:val="00E424E3"/>
    <w:rsid w:val="00E4287F"/>
    <w:rsid w:val="00E44B45"/>
    <w:rsid w:val="00E455F9"/>
    <w:rsid w:val="00E4623D"/>
    <w:rsid w:val="00E46502"/>
    <w:rsid w:val="00E46832"/>
    <w:rsid w:val="00E471F0"/>
    <w:rsid w:val="00E47859"/>
    <w:rsid w:val="00E50795"/>
    <w:rsid w:val="00E50B4B"/>
    <w:rsid w:val="00E511CF"/>
    <w:rsid w:val="00E51A80"/>
    <w:rsid w:val="00E51E11"/>
    <w:rsid w:val="00E52C8F"/>
    <w:rsid w:val="00E52FC2"/>
    <w:rsid w:val="00E5309A"/>
    <w:rsid w:val="00E5335E"/>
    <w:rsid w:val="00E53380"/>
    <w:rsid w:val="00E54527"/>
    <w:rsid w:val="00E54EE6"/>
    <w:rsid w:val="00E553FA"/>
    <w:rsid w:val="00E5557C"/>
    <w:rsid w:val="00E5639B"/>
    <w:rsid w:val="00E568E5"/>
    <w:rsid w:val="00E56A8D"/>
    <w:rsid w:val="00E56D44"/>
    <w:rsid w:val="00E56EEF"/>
    <w:rsid w:val="00E5764B"/>
    <w:rsid w:val="00E600D0"/>
    <w:rsid w:val="00E605A9"/>
    <w:rsid w:val="00E61527"/>
    <w:rsid w:val="00E616CE"/>
    <w:rsid w:val="00E617C8"/>
    <w:rsid w:val="00E6263A"/>
    <w:rsid w:val="00E62AAC"/>
    <w:rsid w:val="00E63E83"/>
    <w:rsid w:val="00E646D4"/>
    <w:rsid w:val="00E662C8"/>
    <w:rsid w:val="00E6739E"/>
    <w:rsid w:val="00E67DA4"/>
    <w:rsid w:val="00E67DDC"/>
    <w:rsid w:val="00E67FF3"/>
    <w:rsid w:val="00E715E5"/>
    <w:rsid w:val="00E71DA4"/>
    <w:rsid w:val="00E72429"/>
    <w:rsid w:val="00E72CBD"/>
    <w:rsid w:val="00E73463"/>
    <w:rsid w:val="00E75D96"/>
    <w:rsid w:val="00E75F11"/>
    <w:rsid w:val="00E76881"/>
    <w:rsid w:val="00E76FE1"/>
    <w:rsid w:val="00E77394"/>
    <w:rsid w:val="00E77665"/>
    <w:rsid w:val="00E779C5"/>
    <w:rsid w:val="00E77B15"/>
    <w:rsid w:val="00E77EE6"/>
    <w:rsid w:val="00E807B4"/>
    <w:rsid w:val="00E807F8"/>
    <w:rsid w:val="00E80C7A"/>
    <w:rsid w:val="00E819EB"/>
    <w:rsid w:val="00E8417F"/>
    <w:rsid w:val="00E8464F"/>
    <w:rsid w:val="00E856B5"/>
    <w:rsid w:val="00E857A2"/>
    <w:rsid w:val="00E8581C"/>
    <w:rsid w:val="00E85B37"/>
    <w:rsid w:val="00E866C1"/>
    <w:rsid w:val="00E86965"/>
    <w:rsid w:val="00E86E32"/>
    <w:rsid w:val="00E86E48"/>
    <w:rsid w:val="00E874EB"/>
    <w:rsid w:val="00E87A2D"/>
    <w:rsid w:val="00E90754"/>
    <w:rsid w:val="00E909B4"/>
    <w:rsid w:val="00E90AAD"/>
    <w:rsid w:val="00E9257F"/>
    <w:rsid w:val="00E925C8"/>
    <w:rsid w:val="00E932DE"/>
    <w:rsid w:val="00E935CF"/>
    <w:rsid w:val="00E949A5"/>
    <w:rsid w:val="00E95531"/>
    <w:rsid w:val="00E955C8"/>
    <w:rsid w:val="00E95DE2"/>
    <w:rsid w:val="00E96A51"/>
    <w:rsid w:val="00E96AEC"/>
    <w:rsid w:val="00E97025"/>
    <w:rsid w:val="00E97338"/>
    <w:rsid w:val="00E977A7"/>
    <w:rsid w:val="00E97CC3"/>
    <w:rsid w:val="00EA13A7"/>
    <w:rsid w:val="00EA1620"/>
    <w:rsid w:val="00EA4742"/>
    <w:rsid w:val="00EA4E25"/>
    <w:rsid w:val="00EA5733"/>
    <w:rsid w:val="00EA61D6"/>
    <w:rsid w:val="00EA68A4"/>
    <w:rsid w:val="00EB00F5"/>
    <w:rsid w:val="00EB0304"/>
    <w:rsid w:val="00EB0439"/>
    <w:rsid w:val="00EB0A0C"/>
    <w:rsid w:val="00EB0E14"/>
    <w:rsid w:val="00EB1450"/>
    <w:rsid w:val="00EB1B90"/>
    <w:rsid w:val="00EB25B3"/>
    <w:rsid w:val="00EB35F4"/>
    <w:rsid w:val="00EB408E"/>
    <w:rsid w:val="00EB4F02"/>
    <w:rsid w:val="00EB5A2C"/>
    <w:rsid w:val="00EB5A48"/>
    <w:rsid w:val="00EB721E"/>
    <w:rsid w:val="00EC0CAB"/>
    <w:rsid w:val="00EC11A2"/>
    <w:rsid w:val="00EC131E"/>
    <w:rsid w:val="00EC142B"/>
    <w:rsid w:val="00EC1C35"/>
    <w:rsid w:val="00EC2654"/>
    <w:rsid w:val="00EC39AA"/>
    <w:rsid w:val="00EC5007"/>
    <w:rsid w:val="00EC5BFF"/>
    <w:rsid w:val="00EC6F01"/>
    <w:rsid w:val="00ED0088"/>
    <w:rsid w:val="00ED05E5"/>
    <w:rsid w:val="00ED1619"/>
    <w:rsid w:val="00ED37DC"/>
    <w:rsid w:val="00ED3F7A"/>
    <w:rsid w:val="00ED4B90"/>
    <w:rsid w:val="00ED576E"/>
    <w:rsid w:val="00ED6577"/>
    <w:rsid w:val="00ED75FC"/>
    <w:rsid w:val="00ED7B7E"/>
    <w:rsid w:val="00EE08E9"/>
    <w:rsid w:val="00EE0906"/>
    <w:rsid w:val="00EE0954"/>
    <w:rsid w:val="00EE0B7B"/>
    <w:rsid w:val="00EE1033"/>
    <w:rsid w:val="00EE2ACA"/>
    <w:rsid w:val="00EE37A7"/>
    <w:rsid w:val="00EE3816"/>
    <w:rsid w:val="00EE53E3"/>
    <w:rsid w:val="00EE546C"/>
    <w:rsid w:val="00EE57D9"/>
    <w:rsid w:val="00EE5AE4"/>
    <w:rsid w:val="00EE5E60"/>
    <w:rsid w:val="00EE7193"/>
    <w:rsid w:val="00EF0565"/>
    <w:rsid w:val="00EF1FF7"/>
    <w:rsid w:val="00EF2793"/>
    <w:rsid w:val="00EF3C54"/>
    <w:rsid w:val="00EF538F"/>
    <w:rsid w:val="00EF5698"/>
    <w:rsid w:val="00EF588D"/>
    <w:rsid w:val="00EF6390"/>
    <w:rsid w:val="00F001D5"/>
    <w:rsid w:val="00F017D8"/>
    <w:rsid w:val="00F02F02"/>
    <w:rsid w:val="00F05D3A"/>
    <w:rsid w:val="00F06520"/>
    <w:rsid w:val="00F06B3B"/>
    <w:rsid w:val="00F1037D"/>
    <w:rsid w:val="00F10908"/>
    <w:rsid w:val="00F10E26"/>
    <w:rsid w:val="00F1117F"/>
    <w:rsid w:val="00F142D8"/>
    <w:rsid w:val="00F14474"/>
    <w:rsid w:val="00F14968"/>
    <w:rsid w:val="00F14AEF"/>
    <w:rsid w:val="00F15035"/>
    <w:rsid w:val="00F154C4"/>
    <w:rsid w:val="00F155DA"/>
    <w:rsid w:val="00F161B2"/>
    <w:rsid w:val="00F171D7"/>
    <w:rsid w:val="00F17F73"/>
    <w:rsid w:val="00F210C4"/>
    <w:rsid w:val="00F211FF"/>
    <w:rsid w:val="00F218DC"/>
    <w:rsid w:val="00F21D5E"/>
    <w:rsid w:val="00F22815"/>
    <w:rsid w:val="00F2332F"/>
    <w:rsid w:val="00F23C75"/>
    <w:rsid w:val="00F24090"/>
    <w:rsid w:val="00F243DE"/>
    <w:rsid w:val="00F2524F"/>
    <w:rsid w:val="00F25D99"/>
    <w:rsid w:val="00F25E7E"/>
    <w:rsid w:val="00F27111"/>
    <w:rsid w:val="00F275B5"/>
    <w:rsid w:val="00F27B0C"/>
    <w:rsid w:val="00F27C33"/>
    <w:rsid w:val="00F30E70"/>
    <w:rsid w:val="00F3134E"/>
    <w:rsid w:val="00F317BC"/>
    <w:rsid w:val="00F317C3"/>
    <w:rsid w:val="00F31DE2"/>
    <w:rsid w:val="00F33AC3"/>
    <w:rsid w:val="00F33B37"/>
    <w:rsid w:val="00F33CC7"/>
    <w:rsid w:val="00F34321"/>
    <w:rsid w:val="00F3535F"/>
    <w:rsid w:val="00F35404"/>
    <w:rsid w:val="00F359BF"/>
    <w:rsid w:val="00F360C6"/>
    <w:rsid w:val="00F3664A"/>
    <w:rsid w:val="00F414A0"/>
    <w:rsid w:val="00F421A2"/>
    <w:rsid w:val="00F426FC"/>
    <w:rsid w:val="00F42CA8"/>
    <w:rsid w:val="00F42DC4"/>
    <w:rsid w:val="00F42EB9"/>
    <w:rsid w:val="00F437F0"/>
    <w:rsid w:val="00F43FB7"/>
    <w:rsid w:val="00F4456F"/>
    <w:rsid w:val="00F448A0"/>
    <w:rsid w:val="00F44B6B"/>
    <w:rsid w:val="00F44D36"/>
    <w:rsid w:val="00F46B28"/>
    <w:rsid w:val="00F5044D"/>
    <w:rsid w:val="00F51E22"/>
    <w:rsid w:val="00F52C82"/>
    <w:rsid w:val="00F53A43"/>
    <w:rsid w:val="00F53DF5"/>
    <w:rsid w:val="00F551A6"/>
    <w:rsid w:val="00F55FDD"/>
    <w:rsid w:val="00F564ED"/>
    <w:rsid w:val="00F570C2"/>
    <w:rsid w:val="00F60302"/>
    <w:rsid w:val="00F6030A"/>
    <w:rsid w:val="00F6037E"/>
    <w:rsid w:val="00F606F7"/>
    <w:rsid w:val="00F60CCC"/>
    <w:rsid w:val="00F60F4D"/>
    <w:rsid w:val="00F612EA"/>
    <w:rsid w:val="00F61A4A"/>
    <w:rsid w:val="00F61F24"/>
    <w:rsid w:val="00F62128"/>
    <w:rsid w:val="00F6290A"/>
    <w:rsid w:val="00F629F3"/>
    <w:rsid w:val="00F63402"/>
    <w:rsid w:val="00F63426"/>
    <w:rsid w:val="00F63D66"/>
    <w:rsid w:val="00F64660"/>
    <w:rsid w:val="00F65180"/>
    <w:rsid w:val="00F654B4"/>
    <w:rsid w:val="00F659BB"/>
    <w:rsid w:val="00F6644D"/>
    <w:rsid w:val="00F6687C"/>
    <w:rsid w:val="00F668FA"/>
    <w:rsid w:val="00F677C0"/>
    <w:rsid w:val="00F677FB"/>
    <w:rsid w:val="00F67A77"/>
    <w:rsid w:val="00F67D59"/>
    <w:rsid w:val="00F710B4"/>
    <w:rsid w:val="00F72E19"/>
    <w:rsid w:val="00F7361B"/>
    <w:rsid w:val="00F736DC"/>
    <w:rsid w:val="00F737D4"/>
    <w:rsid w:val="00F73B54"/>
    <w:rsid w:val="00F7513F"/>
    <w:rsid w:val="00F75787"/>
    <w:rsid w:val="00F8006E"/>
    <w:rsid w:val="00F8068E"/>
    <w:rsid w:val="00F8101C"/>
    <w:rsid w:val="00F81647"/>
    <w:rsid w:val="00F81A7B"/>
    <w:rsid w:val="00F81C70"/>
    <w:rsid w:val="00F820C2"/>
    <w:rsid w:val="00F832BA"/>
    <w:rsid w:val="00F83FE2"/>
    <w:rsid w:val="00F847EB"/>
    <w:rsid w:val="00F84A3E"/>
    <w:rsid w:val="00F84E0F"/>
    <w:rsid w:val="00F854C2"/>
    <w:rsid w:val="00F85837"/>
    <w:rsid w:val="00F85A8A"/>
    <w:rsid w:val="00F85F08"/>
    <w:rsid w:val="00F873F7"/>
    <w:rsid w:val="00F87892"/>
    <w:rsid w:val="00F90923"/>
    <w:rsid w:val="00F913F8"/>
    <w:rsid w:val="00F9144E"/>
    <w:rsid w:val="00F92053"/>
    <w:rsid w:val="00F92B95"/>
    <w:rsid w:val="00F94C38"/>
    <w:rsid w:val="00F95151"/>
    <w:rsid w:val="00F9713E"/>
    <w:rsid w:val="00F97CF9"/>
    <w:rsid w:val="00FA132B"/>
    <w:rsid w:val="00FA1E14"/>
    <w:rsid w:val="00FA402A"/>
    <w:rsid w:val="00FA41E8"/>
    <w:rsid w:val="00FA42EC"/>
    <w:rsid w:val="00FA4BA1"/>
    <w:rsid w:val="00FA58CF"/>
    <w:rsid w:val="00FA5C59"/>
    <w:rsid w:val="00FA64B9"/>
    <w:rsid w:val="00FA68A6"/>
    <w:rsid w:val="00FA7483"/>
    <w:rsid w:val="00FA7585"/>
    <w:rsid w:val="00FA7D6C"/>
    <w:rsid w:val="00FB0B2B"/>
    <w:rsid w:val="00FB0B5B"/>
    <w:rsid w:val="00FB0DF1"/>
    <w:rsid w:val="00FB1190"/>
    <w:rsid w:val="00FB1553"/>
    <w:rsid w:val="00FB1E84"/>
    <w:rsid w:val="00FB2033"/>
    <w:rsid w:val="00FB3985"/>
    <w:rsid w:val="00FB4339"/>
    <w:rsid w:val="00FB4C2D"/>
    <w:rsid w:val="00FB5A1E"/>
    <w:rsid w:val="00FB5CB1"/>
    <w:rsid w:val="00FB5F68"/>
    <w:rsid w:val="00FB62CF"/>
    <w:rsid w:val="00FB7E0A"/>
    <w:rsid w:val="00FC00BD"/>
    <w:rsid w:val="00FC01DD"/>
    <w:rsid w:val="00FC0311"/>
    <w:rsid w:val="00FC0CD7"/>
    <w:rsid w:val="00FC12A0"/>
    <w:rsid w:val="00FC1A30"/>
    <w:rsid w:val="00FC1C17"/>
    <w:rsid w:val="00FC2A8C"/>
    <w:rsid w:val="00FC2D72"/>
    <w:rsid w:val="00FC391C"/>
    <w:rsid w:val="00FC4290"/>
    <w:rsid w:val="00FC493D"/>
    <w:rsid w:val="00FC50DA"/>
    <w:rsid w:val="00FC5A8A"/>
    <w:rsid w:val="00FC5D9D"/>
    <w:rsid w:val="00FC63E4"/>
    <w:rsid w:val="00FC63FE"/>
    <w:rsid w:val="00FD0A22"/>
    <w:rsid w:val="00FD18A9"/>
    <w:rsid w:val="00FD2265"/>
    <w:rsid w:val="00FD2714"/>
    <w:rsid w:val="00FD311D"/>
    <w:rsid w:val="00FD32CF"/>
    <w:rsid w:val="00FD379D"/>
    <w:rsid w:val="00FD3840"/>
    <w:rsid w:val="00FD577A"/>
    <w:rsid w:val="00FD5ACE"/>
    <w:rsid w:val="00FD6977"/>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9AF"/>
    <w:rsid w:val="00FE7CD0"/>
    <w:rsid w:val="00FF0954"/>
    <w:rsid w:val="00FF0CF3"/>
    <w:rsid w:val="00FF0D37"/>
    <w:rsid w:val="00FF38A2"/>
    <w:rsid w:val="00FF4F57"/>
    <w:rsid w:val="00FF50B4"/>
    <w:rsid w:val="00FF548A"/>
    <w:rsid w:val="00FF5B6D"/>
    <w:rsid w:val="00FF5BE1"/>
    <w:rsid w:val="00FF5F50"/>
    <w:rsid w:val="00FF6148"/>
    <w:rsid w:val="00FF6F3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cff,#ccf,#f8f4ed"/>
    </o:shapedefaults>
    <o:shapelayout v:ext="edit">
      <o:idmap v:ext="edit" data="1"/>
    </o:shapelayout>
  </w:shapeDefaults>
  <w:decimalSymbol w:val=","/>
  <w:listSeparator w:val=";"/>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A45E19"/>
    <w:pPr>
      <w:keepNext/>
      <w:spacing w:after="60" w:line="276" w:lineRule="auto"/>
      <w:ind w:left="426"/>
      <w:outlineLvl w:val="1"/>
    </w:pPr>
    <w:rPr>
      <w:rFonts w:asciiTheme="minorHAnsi" w:hAnsiTheme="minorHAnsi" w:cstheme="minorHAnsi"/>
      <w:b/>
      <w:sz w:val="28"/>
      <w:szCs w:val="24"/>
      <w:lang w:val="es-CR"/>
    </w:rPr>
  </w:style>
  <w:style w:type="paragraph" w:styleId="Ttulo3">
    <w:name w:val="heading 3"/>
    <w:basedOn w:val="Normal"/>
    <w:next w:val="Normal"/>
    <w:autoRedefine/>
    <w:qFormat/>
    <w:rsid w:val="003F356E"/>
    <w:pPr>
      <w:keepNext/>
      <w:spacing w:line="276" w:lineRule="auto"/>
      <w:ind w:left="993" w:hanging="993"/>
      <w:jc w:val="left"/>
      <w:outlineLvl w:val="2"/>
    </w:pPr>
    <w:rPr>
      <w:rFonts w:asciiTheme="minorHAnsi" w:hAnsiTheme="minorHAnsi"/>
      <w:sz w:val="24"/>
      <w:szCs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75610E"/>
    <w:pPr>
      <w:tabs>
        <w:tab w:val="left" w:pos="709"/>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 w:type="paragraph" w:styleId="Sinespaciado">
    <w:name w:val="No Spacing"/>
    <w:uiPriority w:val="1"/>
    <w:qFormat/>
    <w:rsid w:val="00E02759"/>
    <w:rPr>
      <w:rFonts w:asciiTheme="minorHAnsi" w:eastAsiaTheme="minorHAnsi" w:hAnsiTheme="minorHAnsi" w:cstheme="minorBidi"/>
      <w:sz w:val="22"/>
      <w:szCs w:val="22"/>
      <w:lang w:val="es-ES"/>
    </w:rPr>
  </w:style>
  <w:style w:type="table" w:styleId="Tabladecuadrcula1clara-nfasis1">
    <w:name w:val="Grid Table 1 Light Accent 1"/>
    <w:basedOn w:val="Tablanormal"/>
    <w:uiPriority w:val="46"/>
    <w:rsid w:val="0061069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0854103">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4682596">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6425928">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0800242">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063483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3331482">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3705282">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3234226">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3989754">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199515712">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163091">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59500255">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37763340">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3201294">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229026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emf"/><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e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1.emf"/><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0.emf"/><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vento xmlns="b54fad7e-1319-40d0-a36c-64ee330d2bd0">
      <Url>https://si.supen.fi.cr/Tramites/Tram_Detalle_Evento.aspx?evento=2018046141&amp;op=3</Url>
      <Description>2018046141</Description>
    </Ev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2" ma:contentTypeDescription="Crear nuevo documento." ma:contentTypeScope="" ma:versionID="9f06f49760561a8a1d9661a0a91876a3">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3aa0d04ff24632bf4d7196ac8919caa5"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C6FE-61C2-4CD3-A86B-92B670D0E40B}">
  <ds:schemaRefs>
    <ds:schemaRef ds:uri="http://schemas.microsoft.com/office/2006/metadata/properties"/>
    <ds:schemaRef ds:uri="b54fad7e-1319-40d0-a36c-64ee330d2bd0"/>
  </ds:schemaRefs>
</ds:datastoreItem>
</file>

<file path=customXml/itemProps2.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3.xml><?xml version="1.0" encoding="utf-8"?>
<ds:datastoreItem xmlns:ds="http://schemas.openxmlformats.org/officeDocument/2006/customXml" ds:itemID="{308EB105-CE5C-4C10-8ED8-3724DD4E8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73386-8856-4373-8909-34587C3B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7544</Words>
  <Characters>41497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SUPEN Informe EVALUACIÓN  2018.docx</vt:lpstr>
    </vt:vector>
  </TitlesOfParts>
  <Company>sugef</Company>
  <LinksUpToDate>false</LinksUpToDate>
  <CharactersWithSpaces>48944</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EVALUACIÓN  2018.docx</dc:title>
  <dc:subject/>
  <dc:creator>sugef</dc:creator>
  <cp:keywords/>
  <dc:description/>
  <cp:lastModifiedBy>ZARATE BADILLA RUSBERTH</cp:lastModifiedBy>
  <cp:revision>1</cp:revision>
  <cp:lastPrinted>2017-10-17T16:01:00Z</cp:lastPrinted>
  <dcterms:created xsi:type="dcterms:W3CDTF">2018-07-30T16:39:00Z</dcterms:created>
  <dcterms:modified xsi:type="dcterms:W3CDTF">2018-07-30T16:39:00Z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