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27F" w14:textId="77777777" w:rsidR="000D7639" w:rsidRPr="00BF369C" w:rsidRDefault="00E46502" w:rsidP="00366EFA">
      <w:pPr>
        <w:pStyle w:val="Encabezado"/>
        <w:tabs>
          <w:tab w:val="left" w:pos="9214"/>
        </w:tabs>
        <w:spacing w:line="288" w:lineRule="auto"/>
        <w:ind w:left="-426" w:right="618"/>
        <w:jc w:val="center"/>
        <w:rPr>
          <w:rFonts w:asciiTheme="minorHAnsi" w:hAnsiTheme="minorHAnsi" w:cstheme="minorHAnsi"/>
          <w:b/>
          <w:sz w:val="28"/>
          <w:lang w:val="es-CR"/>
        </w:rPr>
      </w:pPr>
      <w:r w:rsidRPr="00BF369C">
        <w:rPr>
          <w:rFonts w:asciiTheme="minorHAnsi" w:hAnsiTheme="minorHAnsi" w:cstheme="minorHAnsi"/>
          <w:b/>
          <w:noProof/>
          <w:sz w:val="32"/>
          <w:lang w:val="es-CR" w:eastAsia="es-C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C7AD5" wp14:editId="64DC7AD6">
                <wp:simplePos x="0" y="0"/>
                <wp:positionH relativeFrom="column">
                  <wp:posOffset>330200</wp:posOffset>
                </wp:positionH>
                <wp:positionV relativeFrom="paragraph">
                  <wp:posOffset>116840</wp:posOffset>
                </wp:positionV>
                <wp:extent cx="5943600" cy="7489190"/>
                <wp:effectExtent l="38100" t="38100" r="38100" b="3556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48919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D48A" id="Rectangle 2" o:spid="_x0000_s1026" style="position:absolute;margin-left:26pt;margin-top:9.2pt;width:468pt;height:58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tqhQIAAAkFAAAOAAAAZHJzL2Uyb0RvYy54bWysVN1u2jAYvZ+0d7B8T5PQlELUUFUEpkn7&#10;qdbtAYztEGv+m20I3bR332cHKGw30zQugh1/Pj7nfMe5u98riXbceWF0jYurHCOuqWFCb2r85fNq&#10;NMXIB6IZkUbzGj9zj+/nr1/d9bbiY9MZybhDAKJ91dsadyHYKss87bgi/spYrmGxNU6RAFO3yZgj&#10;PaArmY3zfJL1xjHrDOXew9tmWMTzhN+2nIaPbet5QLLGwC2kp0vPdXxm8ztSbRyxnaAHGuQfWCgi&#10;NBx6gmpIIGjrxB9QSlBnvGnDFTUqM20rKE8aQE2R/6bmqSOWJy1gjrcnm/z/g6Ufdo8OCVbjEuzR&#10;REGPPoFrRG8kR+PoT299BWVP9tFFhd6+M/SrR9osOqjiD86ZvuOEAasi1mcXG+LEw1a07t8bBuhk&#10;G0yyat86FQHBBLRPHXk+dYTvA6Lw8mZWXk9yYEZh7baczopZ6llGquN263x4w41CcVBjB+QTPNm9&#10;8yHSIdWxJJ6mzUpImdouNeoBdQI5ggOUBROCE2mzN1KwWJgUu816IR3akRgi+E2PHC7KlAgQZSlU&#10;jaex6hCuaM1Ss3RiIEIOY2AldQQHpcDzMBoi82OWz5bT5bQclePJclTmTTN6WC3K0WRV3N40181i&#10;0RQ/I8+irDrBGNeR6jG+Rfl38ThcpCF4pwBfSPLnylfplzoMKXgxKLukkRwHVcf/pC5lIsZgiNPa&#10;sGeIhDPQMPAevh8w6Iz7jlEPd7HG/tuWOI6RfKshVrOijOkMaVLe3I5h4s5X1ucrRFOAgl5iNAwX&#10;YbjwW+vEpoOTitRjbR4giq1IIYkxHVgdAgz3LSk4fBvihT6fp6qXL9j8FwAAAP//AwBQSwMEFAAG&#10;AAgAAAAhAGgkyuncAAAACgEAAA8AAABkcnMvZG93bnJldi54bWxMj8FOwzAQRO9I/IO1SNyo0wiC&#10;k8apoBIcuDX0A9x4m0TE6yh20vD3LCc47pvR7Ey5X90gFpxC70nDdpOAQGq87anVcPp8e1AgQjRk&#10;zeAJNXxjgH11e1OawvorHXGpYys4hEJhNHQxjoWUoenQmbDxIxJrFz85E/mcWmknc+VwN8g0STLp&#10;TE/8oTMjHjpsvurZaZhVFpqF3l9Pea0OH8sxS2PItL6/W192ICKu8c8Mv/W5OlTc6exnskEMGp5S&#10;nhKZq0cQrOdKMTgz2ObPCmRVyv8Tqh8AAAD//wMAUEsBAi0AFAAGAAgAAAAhALaDOJL+AAAA4QEA&#10;ABMAAAAAAAAAAAAAAAAAAAAAAFtDb250ZW50X1R5cGVzXS54bWxQSwECLQAUAAYACAAAACEAOP0h&#10;/9YAAACUAQAACwAAAAAAAAAAAAAAAAAvAQAAX3JlbHMvLnJlbHNQSwECLQAUAAYACAAAACEACsiL&#10;aoUCAAAJBQAADgAAAAAAAAAAAAAAAAAuAgAAZHJzL2Uyb0RvYy54bWxQSwECLQAUAAYACAAAACEA&#10;aCTK6dwAAAAKAQAADwAAAAAAAAAAAAAAAADfBAAAZHJzL2Rvd25yZXYueG1sUEsFBgAAAAAEAAQA&#10;8wAAAOgFAAAAAA==&#10;" filled="f" strokecolor="navy" strokeweight="6pt">
                <v:stroke linestyle="thickBetweenThin"/>
              </v:rect>
            </w:pict>
          </mc:Fallback>
        </mc:AlternateContent>
      </w:r>
    </w:p>
    <w:p w14:paraId="75C24AF4" w14:textId="77777777" w:rsidR="004E57DE" w:rsidRPr="00BF369C" w:rsidRDefault="004E57DE" w:rsidP="007304F9">
      <w:pPr>
        <w:ind w:left="567"/>
        <w:jc w:val="center"/>
        <w:rPr>
          <w:rFonts w:asciiTheme="minorHAnsi" w:hAnsiTheme="minorHAnsi" w:cstheme="minorHAnsi"/>
          <w:b/>
          <w:i/>
          <w:sz w:val="32"/>
          <w:szCs w:val="32"/>
          <w:lang w:val="es-C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props3d w14:extrusionH="57150" w14:contourW="0" w14:prstMaterial="warmMatte">
            <w14:bevelT w14:w="38100" w14:h="38100" w14:prst="circle"/>
            <w14:extrusionClr>
              <w14:schemeClr w14:val="bg1">
                <w14:lumMod w14:val="75000"/>
              </w14:schemeClr>
            </w14:extrusionClr>
          </w14:props3d>
        </w:rPr>
      </w:pPr>
      <w:bookmarkStart w:id="0" w:name="_Toc195505384"/>
      <w:bookmarkStart w:id="1" w:name="_Toc203492086"/>
    </w:p>
    <w:p w14:paraId="64DC7280" w14:textId="77777777" w:rsidR="00C756F7" w:rsidRPr="00BF369C" w:rsidRDefault="00C756F7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i/>
          <w:color w:val="000080"/>
          <w:sz w:val="48"/>
          <w:szCs w:val="40"/>
          <w:lang w:val="es-CR"/>
        </w:rPr>
      </w:pPr>
      <w:r w:rsidRPr="00BF369C">
        <w:rPr>
          <w:rFonts w:asciiTheme="minorHAnsi" w:hAnsiTheme="minorHAnsi" w:cstheme="minorHAnsi"/>
          <w:b/>
          <w:i/>
          <w:color w:val="000080"/>
          <w:sz w:val="48"/>
          <w:szCs w:val="40"/>
          <w:lang w:val="es-CR"/>
        </w:rPr>
        <w:t xml:space="preserve">Superintendencia </w:t>
      </w:r>
      <w:r w:rsidR="00673A4E" w:rsidRPr="00BF369C">
        <w:rPr>
          <w:rFonts w:asciiTheme="minorHAnsi" w:hAnsiTheme="minorHAnsi" w:cstheme="minorHAnsi"/>
          <w:b/>
          <w:i/>
          <w:color w:val="000080"/>
          <w:sz w:val="48"/>
          <w:szCs w:val="40"/>
          <w:lang w:val="es-CR"/>
        </w:rPr>
        <w:t>de Pensiones</w:t>
      </w:r>
      <w:bookmarkEnd w:id="0"/>
      <w:bookmarkEnd w:id="1"/>
    </w:p>
    <w:p w14:paraId="64DC7282" w14:textId="2B201A1A" w:rsidR="00C756F7" w:rsidRPr="00BF369C" w:rsidRDefault="00C756F7" w:rsidP="0075610E">
      <w:pPr>
        <w:pStyle w:val="Encabezado"/>
        <w:spacing w:line="288" w:lineRule="auto"/>
        <w:ind w:left="567" w:right="618" w:firstLine="2"/>
        <w:rPr>
          <w:rFonts w:asciiTheme="minorHAnsi" w:hAnsiTheme="minorHAnsi" w:cstheme="minorHAnsi"/>
          <w:sz w:val="24"/>
          <w:lang w:val="es-CR"/>
        </w:rPr>
      </w:pPr>
    </w:p>
    <w:p w14:paraId="64DC7283" w14:textId="4EFFE69B" w:rsidR="00C756F7" w:rsidRPr="00BF369C" w:rsidRDefault="00C756F7" w:rsidP="0075610E">
      <w:pPr>
        <w:pStyle w:val="Encabezado"/>
        <w:spacing w:line="288" w:lineRule="auto"/>
        <w:ind w:left="567" w:right="618" w:firstLine="2"/>
        <w:rPr>
          <w:rFonts w:asciiTheme="minorHAnsi" w:hAnsiTheme="minorHAnsi" w:cstheme="minorHAnsi"/>
          <w:sz w:val="24"/>
          <w:lang w:val="es-CR"/>
        </w:rPr>
      </w:pPr>
    </w:p>
    <w:p w14:paraId="64DC7284" w14:textId="77777777" w:rsidR="001C1A65" w:rsidRPr="00BF369C" w:rsidRDefault="001C1A65" w:rsidP="0075610E">
      <w:pPr>
        <w:spacing w:line="288" w:lineRule="auto"/>
        <w:ind w:left="567" w:right="618" w:firstLine="2"/>
        <w:rPr>
          <w:rFonts w:asciiTheme="minorHAnsi" w:hAnsiTheme="minorHAnsi" w:cstheme="minorHAnsi"/>
          <w:lang w:val="es-CR"/>
        </w:rPr>
      </w:pPr>
    </w:p>
    <w:p w14:paraId="64DC7285" w14:textId="77777777" w:rsidR="00250EE1" w:rsidRPr="00BF369C" w:rsidRDefault="00250EE1" w:rsidP="0075610E">
      <w:pPr>
        <w:spacing w:line="288" w:lineRule="auto"/>
        <w:ind w:left="567" w:right="618" w:firstLine="2"/>
        <w:rPr>
          <w:rFonts w:asciiTheme="minorHAnsi" w:hAnsiTheme="minorHAnsi" w:cstheme="minorHAnsi"/>
          <w:lang w:val="es-CR"/>
        </w:rPr>
      </w:pPr>
    </w:p>
    <w:p w14:paraId="64DC7286" w14:textId="77777777" w:rsidR="001C1A65" w:rsidRPr="00BF369C" w:rsidRDefault="001C1A65" w:rsidP="0075610E">
      <w:pPr>
        <w:spacing w:line="288" w:lineRule="auto"/>
        <w:ind w:left="567" w:right="618" w:firstLine="2"/>
        <w:rPr>
          <w:rFonts w:asciiTheme="minorHAnsi" w:hAnsiTheme="minorHAnsi" w:cstheme="minorHAnsi"/>
          <w:lang w:val="es-CR"/>
        </w:rPr>
      </w:pPr>
    </w:p>
    <w:p w14:paraId="64DC7287" w14:textId="77777777" w:rsidR="00C756F7" w:rsidRPr="00BF369C" w:rsidRDefault="00C756F7" w:rsidP="0075610E">
      <w:pPr>
        <w:pStyle w:val="Textoindependiente2"/>
        <w:spacing w:line="288" w:lineRule="auto"/>
        <w:ind w:left="567" w:right="618" w:firstLine="2"/>
        <w:jc w:val="center"/>
        <w:rPr>
          <w:rFonts w:asciiTheme="minorHAnsi" w:hAnsiTheme="minorHAnsi" w:cstheme="minorHAnsi"/>
          <w:lang w:val="es-CR"/>
        </w:rPr>
      </w:pPr>
    </w:p>
    <w:p w14:paraId="39C26D26" w14:textId="77777777" w:rsidR="004E57DE" w:rsidRPr="00BF369C" w:rsidRDefault="004E57DE" w:rsidP="0075610E">
      <w:pPr>
        <w:pStyle w:val="Textoindependiente2"/>
        <w:spacing w:line="288" w:lineRule="auto"/>
        <w:ind w:left="567" w:right="618" w:firstLine="2"/>
        <w:jc w:val="center"/>
        <w:rPr>
          <w:rFonts w:asciiTheme="minorHAnsi" w:hAnsiTheme="minorHAnsi" w:cstheme="minorHAnsi"/>
          <w:lang w:val="es-CR"/>
        </w:rPr>
      </w:pPr>
    </w:p>
    <w:p w14:paraId="64DC7288" w14:textId="77777777" w:rsidR="00D47BAD" w:rsidRPr="00BF369C" w:rsidRDefault="00D47BAD" w:rsidP="0075610E">
      <w:pPr>
        <w:pStyle w:val="Textoindependiente2"/>
        <w:spacing w:line="288" w:lineRule="auto"/>
        <w:ind w:left="567" w:right="618" w:firstLine="2"/>
        <w:jc w:val="center"/>
        <w:rPr>
          <w:rFonts w:asciiTheme="minorHAnsi" w:hAnsiTheme="minorHAnsi" w:cstheme="minorHAnsi"/>
          <w:lang w:val="es-CR"/>
        </w:rPr>
      </w:pPr>
    </w:p>
    <w:p w14:paraId="64DC728A" w14:textId="55920783" w:rsidR="00E47859" w:rsidRPr="00BF369C" w:rsidRDefault="00E47859" w:rsidP="002F2009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color w:val="000080"/>
          <w:sz w:val="56"/>
          <w:szCs w:val="52"/>
          <w:lang w:val="es-CR"/>
        </w:rPr>
      </w:pPr>
      <w:r w:rsidRPr="00BF369C">
        <w:rPr>
          <w:rFonts w:asciiTheme="minorHAnsi" w:hAnsiTheme="minorHAnsi" w:cstheme="minorHAnsi"/>
          <w:b/>
          <w:color w:val="000080"/>
          <w:sz w:val="72"/>
          <w:szCs w:val="52"/>
          <w:lang w:val="es-CR"/>
        </w:rPr>
        <w:t xml:space="preserve">INFORME DE </w:t>
      </w:r>
      <w:r w:rsidR="002F2009" w:rsidRPr="00BF369C">
        <w:rPr>
          <w:rFonts w:asciiTheme="minorHAnsi" w:hAnsiTheme="minorHAnsi" w:cstheme="minorHAnsi"/>
          <w:b/>
          <w:color w:val="000080"/>
          <w:sz w:val="72"/>
          <w:szCs w:val="52"/>
          <w:lang w:val="es-CR"/>
        </w:rPr>
        <w:t>EVALUACIÓN</w:t>
      </w:r>
    </w:p>
    <w:p w14:paraId="64DC728B" w14:textId="62223FA4" w:rsidR="00D47BAD" w:rsidRPr="00BF369C" w:rsidRDefault="00D47BAD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color w:val="000080"/>
          <w:sz w:val="48"/>
          <w:szCs w:val="48"/>
          <w:lang w:val="es-CR"/>
        </w:rPr>
      </w:pPr>
    </w:p>
    <w:p w14:paraId="143DB6C5" w14:textId="77777777" w:rsidR="00912C15" w:rsidRPr="00BF369C" w:rsidRDefault="00912C15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color w:val="000080"/>
          <w:sz w:val="48"/>
          <w:szCs w:val="48"/>
          <w:lang w:val="es-CR"/>
        </w:rPr>
      </w:pPr>
    </w:p>
    <w:p w14:paraId="64DC728D" w14:textId="750D1B2D" w:rsidR="00C756F7" w:rsidRPr="00BF369C" w:rsidRDefault="00C756F7" w:rsidP="0075610E">
      <w:pPr>
        <w:pStyle w:val="Textoindependiente2"/>
        <w:spacing w:line="288" w:lineRule="auto"/>
        <w:ind w:left="567" w:right="108" w:firstLine="2"/>
        <w:jc w:val="center"/>
        <w:rPr>
          <w:rFonts w:asciiTheme="minorHAnsi" w:hAnsiTheme="minorHAnsi" w:cstheme="minorHAnsi"/>
          <w:b/>
          <w:smallCaps/>
          <w:color w:val="000080"/>
          <w:sz w:val="56"/>
          <w:szCs w:val="52"/>
          <w:lang w:val="es-CR"/>
        </w:rPr>
      </w:pPr>
      <w:r w:rsidRPr="00BF369C">
        <w:rPr>
          <w:rFonts w:asciiTheme="minorHAnsi" w:hAnsiTheme="minorHAnsi" w:cstheme="minorHAnsi"/>
          <w:b/>
          <w:smallCaps/>
          <w:color w:val="000080"/>
          <w:sz w:val="96"/>
          <w:szCs w:val="52"/>
          <w:lang w:val="es-CR"/>
        </w:rPr>
        <w:t>20</w:t>
      </w:r>
      <w:r w:rsidR="00E30BAD">
        <w:rPr>
          <w:rFonts w:asciiTheme="minorHAnsi" w:hAnsiTheme="minorHAnsi" w:cstheme="minorHAnsi"/>
          <w:b/>
          <w:smallCaps/>
          <w:color w:val="000080"/>
          <w:sz w:val="96"/>
          <w:szCs w:val="52"/>
          <w:lang w:val="es-CR"/>
        </w:rPr>
        <w:t>20</w:t>
      </w:r>
    </w:p>
    <w:p w14:paraId="180F5DC8" w14:textId="77777777" w:rsidR="00026DC4" w:rsidRPr="00BF369C" w:rsidRDefault="00026DC4" w:rsidP="0075610E">
      <w:pPr>
        <w:pStyle w:val="Textoindependiente2"/>
        <w:spacing w:line="288" w:lineRule="auto"/>
        <w:ind w:left="567" w:right="108" w:firstLine="2"/>
        <w:jc w:val="center"/>
        <w:rPr>
          <w:rFonts w:asciiTheme="minorHAnsi" w:hAnsiTheme="minorHAnsi" w:cstheme="minorHAnsi"/>
          <w:b/>
          <w:smallCaps/>
          <w:color w:val="000080"/>
          <w:sz w:val="52"/>
          <w:szCs w:val="52"/>
          <w:lang w:val="es-CR"/>
        </w:rPr>
      </w:pPr>
    </w:p>
    <w:p w14:paraId="0F72EC22" w14:textId="6BBDF045" w:rsidR="00026DC4" w:rsidRPr="00BF369C" w:rsidRDefault="00026DC4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sz w:val="32"/>
          <w:lang w:val="es-CR"/>
        </w:rPr>
      </w:pPr>
    </w:p>
    <w:p w14:paraId="70B78ADD" w14:textId="77777777" w:rsidR="00212978" w:rsidRPr="00BF369C" w:rsidRDefault="00212978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sz w:val="32"/>
          <w:lang w:val="es-CR"/>
        </w:rPr>
      </w:pPr>
    </w:p>
    <w:p w14:paraId="5B82E13C" w14:textId="31BC3EFE" w:rsidR="004E57DE" w:rsidRPr="00BF369C" w:rsidRDefault="004E57DE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sz w:val="32"/>
          <w:lang w:val="es-CR"/>
        </w:rPr>
      </w:pPr>
    </w:p>
    <w:p w14:paraId="1DC96540" w14:textId="77777777" w:rsidR="00212978" w:rsidRPr="00BF369C" w:rsidRDefault="00212978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b/>
          <w:sz w:val="32"/>
          <w:lang w:val="es-CR"/>
        </w:rPr>
      </w:pPr>
    </w:p>
    <w:p w14:paraId="4707B12F" w14:textId="77777777" w:rsidR="004E57DE" w:rsidRPr="00BF369C" w:rsidRDefault="004E57DE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color w:val="000080"/>
          <w:sz w:val="36"/>
          <w:szCs w:val="36"/>
          <w:lang w:val="es-CR"/>
        </w:rPr>
      </w:pPr>
    </w:p>
    <w:p w14:paraId="64DC7290" w14:textId="5A8AE6B2" w:rsidR="00A2684C" w:rsidRPr="00BF369C" w:rsidRDefault="001E713A" w:rsidP="0075610E">
      <w:pPr>
        <w:pStyle w:val="Textoindependiente2"/>
        <w:spacing w:line="288" w:lineRule="auto"/>
        <w:ind w:left="567" w:right="-34" w:firstLine="2"/>
        <w:jc w:val="center"/>
        <w:rPr>
          <w:rFonts w:asciiTheme="minorHAnsi" w:hAnsiTheme="minorHAnsi" w:cstheme="minorHAnsi"/>
          <w:color w:val="000080"/>
          <w:sz w:val="36"/>
          <w:szCs w:val="36"/>
          <w:lang w:val="es-CR"/>
        </w:rPr>
        <w:sectPr w:rsidR="00A2684C" w:rsidRPr="00BF369C" w:rsidSect="004243F3">
          <w:headerReference w:type="default" r:id="rId11"/>
          <w:footerReference w:type="default" r:id="rId12"/>
          <w:pgSz w:w="12242" w:h="15842" w:code="1"/>
          <w:pgMar w:top="794" w:right="1134" w:bottom="1021" w:left="1361" w:header="720" w:footer="913" w:gutter="0"/>
          <w:cols w:space="720"/>
        </w:sectPr>
      </w:pPr>
      <w:r>
        <w:rPr>
          <w:rFonts w:asciiTheme="minorHAnsi" w:hAnsiTheme="minorHAnsi" w:cstheme="minorHAnsi"/>
          <w:color w:val="000080"/>
          <w:sz w:val="36"/>
          <w:szCs w:val="36"/>
          <w:lang w:val="es-CR"/>
        </w:rPr>
        <w:t>Julio</w:t>
      </w:r>
      <w:r w:rsidR="0046461B" w:rsidRPr="00BF369C">
        <w:rPr>
          <w:rFonts w:asciiTheme="minorHAnsi" w:hAnsiTheme="minorHAnsi" w:cstheme="minorHAnsi"/>
          <w:color w:val="000080"/>
          <w:sz w:val="36"/>
          <w:szCs w:val="36"/>
          <w:lang w:val="es-CR"/>
        </w:rPr>
        <w:t xml:space="preserve"> -</w:t>
      </w:r>
      <w:r w:rsidR="00F84E0F" w:rsidRPr="00BF369C">
        <w:rPr>
          <w:rFonts w:asciiTheme="minorHAnsi" w:hAnsiTheme="minorHAnsi" w:cstheme="minorHAnsi"/>
          <w:color w:val="000080"/>
          <w:sz w:val="36"/>
          <w:szCs w:val="36"/>
          <w:lang w:val="es-CR"/>
        </w:rPr>
        <w:t xml:space="preserve"> 20</w:t>
      </w:r>
      <w:r w:rsidR="0074728C" w:rsidRPr="00BF369C">
        <w:rPr>
          <w:rFonts w:asciiTheme="minorHAnsi" w:hAnsiTheme="minorHAnsi" w:cstheme="minorHAnsi"/>
          <w:color w:val="000080"/>
          <w:sz w:val="36"/>
          <w:szCs w:val="36"/>
          <w:lang w:val="es-CR"/>
        </w:rPr>
        <w:t>20</w:t>
      </w:r>
    </w:p>
    <w:p w14:paraId="64DC7291" w14:textId="77777777" w:rsidR="00E47859" w:rsidRPr="00BF369C" w:rsidRDefault="00E47859" w:rsidP="00E47859">
      <w:pPr>
        <w:spacing w:line="288" w:lineRule="auto"/>
        <w:jc w:val="center"/>
        <w:rPr>
          <w:rFonts w:asciiTheme="minorHAnsi" w:hAnsiTheme="minorHAnsi" w:cstheme="minorHAnsi"/>
          <w:b/>
          <w:sz w:val="32"/>
          <w:lang w:val="es-CR"/>
        </w:rPr>
      </w:pPr>
      <w:r w:rsidRPr="00BF369C">
        <w:rPr>
          <w:rFonts w:asciiTheme="minorHAnsi" w:hAnsiTheme="minorHAnsi" w:cstheme="minorHAnsi"/>
          <w:b/>
          <w:sz w:val="32"/>
          <w:lang w:val="es-CR"/>
        </w:rPr>
        <w:lastRenderedPageBreak/>
        <w:t>ÍNDICE</w:t>
      </w:r>
    </w:p>
    <w:p w14:paraId="50D251EB" w14:textId="2427ACC2" w:rsidR="00F600E2" w:rsidRDefault="00A33FC2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r w:rsidRPr="00BF369C">
        <w:rPr>
          <w:rFonts w:asciiTheme="minorHAnsi" w:hAnsiTheme="minorHAnsi" w:cstheme="minorHAnsi"/>
          <w:lang w:val="es-CR"/>
        </w:rPr>
        <w:fldChar w:fldCharType="begin"/>
      </w:r>
      <w:r w:rsidR="00E47859" w:rsidRPr="00BF369C">
        <w:rPr>
          <w:rFonts w:asciiTheme="minorHAnsi" w:hAnsiTheme="minorHAnsi" w:cstheme="minorHAnsi"/>
          <w:lang w:val="es-CR"/>
        </w:rPr>
        <w:instrText xml:space="preserve"> TOC \o "1-6" \h \z \u </w:instrText>
      </w:r>
      <w:r w:rsidRPr="00BF369C">
        <w:rPr>
          <w:rFonts w:asciiTheme="minorHAnsi" w:hAnsiTheme="minorHAnsi" w:cstheme="minorHAnsi"/>
          <w:lang w:val="es-CR"/>
        </w:rPr>
        <w:fldChar w:fldCharType="separate"/>
      </w:r>
      <w:hyperlink w:anchor="_Toc45532993" w:history="1">
        <w:r w:rsidR="00F600E2" w:rsidRPr="005D2096">
          <w:rPr>
            <w:rStyle w:val="Hipervnculo"/>
            <w:rFonts w:cstheme="minorHAnsi"/>
            <w:noProof/>
            <w:lang w:val="es-CR"/>
          </w:rPr>
          <w:t>PRESENTACIÓN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_Toc45532993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3</w:t>
        </w:r>
        <w:r w:rsidR="00F600E2">
          <w:rPr>
            <w:noProof/>
            <w:webHidden/>
          </w:rPr>
          <w:fldChar w:fldCharType="end"/>
        </w:r>
      </w:hyperlink>
    </w:p>
    <w:p w14:paraId="2F9D8388" w14:textId="300E24AC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2994" w:history="1">
        <w:r w:rsidR="00F600E2" w:rsidRPr="005D2096">
          <w:rPr>
            <w:rStyle w:val="Hipervnculo"/>
            <w:rFonts w:cstheme="minorHAnsi"/>
            <w:noProof/>
            <w:lang w:val="es-CR"/>
          </w:rPr>
          <w:t>1.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 xml:space="preserve">EJECUCIÓN DE LOS INGRESOS Y GASTOS MÁS IMPORTANTES </w:t>
        </w:r>
        <w:r w:rsidR="00F600E2" w:rsidRPr="004B007E">
          <w:rPr>
            <w:rStyle w:val="Hipervnculo"/>
            <w:rFonts w:cstheme="minorHAnsi"/>
            <w:noProof/>
            <w:sz w:val="14"/>
            <w:szCs w:val="14"/>
            <w:lang w:val="es-CR"/>
          </w:rPr>
          <w:t>(4.5.6 b. i)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_Toc45532994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4</w:t>
        </w:r>
        <w:r w:rsidR="00F600E2">
          <w:rPr>
            <w:noProof/>
            <w:webHidden/>
          </w:rPr>
          <w:fldChar w:fldCharType="end"/>
        </w:r>
      </w:hyperlink>
    </w:p>
    <w:p w14:paraId="48CBC61B" w14:textId="3AC0AF23" w:rsidR="00F600E2" w:rsidRDefault="0005393A">
      <w:pPr>
        <w:pStyle w:val="TDC2"/>
        <w:tabs>
          <w:tab w:val="left" w:pos="880"/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2995" w:history="1">
        <w:r w:rsidR="00F600E2" w:rsidRPr="005D2096">
          <w:rPr>
            <w:rStyle w:val="Hipervnculo"/>
            <w:i/>
            <w:iCs/>
            <w:noProof/>
          </w:rPr>
          <w:t>1.1.</w:t>
        </w:r>
        <w:r w:rsidR="00F600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i/>
            <w:iCs/>
            <w:noProof/>
          </w:rPr>
          <w:t>Comportamiento de la ejecución de ingresos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_Toc45532995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4</w:t>
        </w:r>
        <w:r w:rsidR="00F600E2">
          <w:rPr>
            <w:noProof/>
            <w:webHidden/>
          </w:rPr>
          <w:fldChar w:fldCharType="end"/>
        </w:r>
      </w:hyperlink>
    </w:p>
    <w:p w14:paraId="4C7BE182" w14:textId="12290AA0" w:rsidR="00F600E2" w:rsidRDefault="0005393A">
      <w:pPr>
        <w:pStyle w:val="TDC2"/>
        <w:tabs>
          <w:tab w:val="left" w:pos="880"/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2996" w:history="1">
        <w:r w:rsidR="00F600E2" w:rsidRPr="005D2096">
          <w:rPr>
            <w:rStyle w:val="Hipervnculo"/>
            <w:i/>
            <w:iCs/>
            <w:noProof/>
          </w:rPr>
          <w:t>1.2.</w:t>
        </w:r>
        <w:r w:rsidR="00F600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i/>
            <w:iCs/>
            <w:noProof/>
          </w:rPr>
          <w:t>Comportamiento de la ejecución de los gastos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_Toc45532996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4</w:t>
        </w:r>
        <w:r w:rsidR="00F600E2">
          <w:rPr>
            <w:noProof/>
            <w:webHidden/>
          </w:rPr>
          <w:fldChar w:fldCharType="end"/>
        </w:r>
      </w:hyperlink>
    </w:p>
    <w:p w14:paraId="4787210D" w14:textId="6F240894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2997" w:history="1">
        <w:r w:rsidR="00F600E2" w:rsidRPr="005D2096">
          <w:rPr>
            <w:rStyle w:val="Hipervnculo"/>
            <w:rFonts w:cstheme="minorHAnsi"/>
            <w:noProof/>
            <w:lang w:val="es-CR"/>
          </w:rPr>
          <w:t>2.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 xml:space="preserve">RESULTADO DE LA EJECUCIÓN -SUPERÁVIT O DÉFICIT- </w:t>
        </w:r>
        <w:r w:rsidR="00F600E2" w:rsidRPr="004B007E">
          <w:rPr>
            <w:rStyle w:val="Hipervnculo"/>
            <w:rFonts w:cstheme="minorHAnsi"/>
            <w:noProof/>
            <w:sz w:val="14"/>
            <w:szCs w:val="14"/>
            <w:lang w:val="es-CR"/>
          </w:rPr>
          <w:t>(4.5.6 b. ii)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_Toc45532997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5</w:t>
        </w:r>
        <w:r w:rsidR="00F600E2">
          <w:rPr>
            <w:noProof/>
            <w:webHidden/>
          </w:rPr>
          <w:fldChar w:fldCharType="end"/>
        </w:r>
      </w:hyperlink>
    </w:p>
    <w:p w14:paraId="260BCDFC" w14:textId="02F0F2D4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2998" w:history="1">
        <w:r w:rsidR="00F600E2" w:rsidRPr="005D2096">
          <w:rPr>
            <w:rStyle w:val="Hipervnculo"/>
            <w:rFonts w:cstheme="minorHAnsi"/>
            <w:noProof/>
            <w:lang w:val="es-CR"/>
          </w:rPr>
          <w:t>3.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 xml:space="preserve">ANÁLISIS DE DESVIACIONES DE MAYOR RELEVANCIA </w:t>
        </w:r>
        <w:r w:rsidR="00F600E2" w:rsidRPr="004B007E">
          <w:rPr>
            <w:rStyle w:val="Hipervnculo"/>
            <w:rFonts w:cstheme="minorHAnsi"/>
            <w:noProof/>
            <w:sz w:val="14"/>
            <w:szCs w:val="14"/>
            <w:lang w:val="es-CR"/>
          </w:rPr>
          <w:t>(4.5.6 b. iii)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_Toc45532998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6</w:t>
        </w:r>
        <w:r w:rsidR="00F600E2">
          <w:rPr>
            <w:noProof/>
            <w:webHidden/>
          </w:rPr>
          <w:fldChar w:fldCharType="end"/>
        </w:r>
      </w:hyperlink>
    </w:p>
    <w:p w14:paraId="2DEA035B" w14:textId="566A90DE" w:rsidR="00F600E2" w:rsidRDefault="0005393A">
      <w:pPr>
        <w:pStyle w:val="TDC2"/>
        <w:tabs>
          <w:tab w:val="left" w:pos="880"/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2999" w:history="1">
        <w:r w:rsidR="00F600E2" w:rsidRPr="005D2096">
          <w:rPr>
            <w:rStyle w:val="Hipervnculo"/>
            <w:noProof/>
          </w:rPr>
          <w:t>3.1.a</w:t>
        </w:r>
        <w:r w:rsidR="00F600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noProof/>
          </w:rPr>
          <w:t>Objetivo General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_Toc45532999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6</w:t>
        </w:r>
        <w:r w:rsidR="00F600E2">
          <w:rPr>
            <w:noProof/>
            <w:webHidden/>
          </w:rPr>
          <w:fldChar w:fldCharType="end"/>
        </w:r>
      </w:hyperlink>
    </w:p>
    <w:p w14:paraId="058F867D" w14:textId="486F4D2B" w:rsidR="00F600E2" w:rsidRDefault="0005393A">
      <w:pPr>
        <w:pStyle w:val="TDC2"/>
        <w:tabs>
          <w:tab w:val="left" w:pos="880"/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3000" w:history="1">
        <w:r w:rsidR="00F600E2" w:rsidRPr="005D2096">
          <w:rPr>
            <w:rStyle w:val="Hipervnculo"/>
            <w:noProof/>
          </w:rPr>
          <w:t>3.1.b</w:t>
        </w:r>
        <w:r w:rsidR="00F600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noProof/>
          </w:rPr>
          <w:t>Visión y Misión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_Toc45533000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7</w:t>
        </w:r>
        <w:r w:rsidR="00F600E2">
          <w:rPr>
            <w:noProof/>
            <w:webHidden/>
          </w:rPr>
          <w:fldChar w:fldCharType="end"/>
        </w:r>
      </w:hyperlink>
    </w:p>
    <w:p w14:paraId="6E272760" w14:textId="4E9B9C3A" w:rsidR="00F600E2" w:rsidRDefault="0005393A">
      <w:pPr>
        <w:pStyle w:val="TDC2"/>
        <w:tabs>
          <w:tab w:val="left" w:pos="880"/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3001" w:history="1">
        <w:r w:rsidR="00F600E2" w:rsidRPr="005D2096">
          <w:rPr>
            <w:rStyle w:val="Hipervnculo"/>
            <w:noProof/>
          </w:rPr>
          <w:t>3.1.c</w:t>
        </w:r>
        <w:r w:rsidR="00F600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noProof/>
          </w:rPr>
          <w:t>Centro de Costo y el Gasto Asociado por Meta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_Toc45533001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7</w:t>
        </w:r>
        <w:r w:rsidR="00F600E2">
          <w:rPr>
            <w:noProof/>
            <w:webHidden/>
          </w:rPr>
          <w:fldChar w:fldCharType="end"/>
        </w:r>
      </w:hyperlink>
    </w:p>
    <w:p w14:paraId="6F1E7007" w14:textId="21AD67C5" w:rsidR="00F600E2" w:rsidRDefault="0005393A">
      <w:pPr>
        <w:pStyle w:val="TD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s-CR" w:eastAsia="es-CR"/>
        </w:rPr>
      </w:pPr>
      <w:hyperlink w:anchor="_Toc45533002" w:history="1">
        <w:r w:rsidR="00F600E2" w:rsidRPr="005D2096">
          <w:rPr>
            <w:rStyle w:val="Hipervnculo"/>
          </w:rPr>
          <w:t>Indicador de desviación presupuestaria</w:t>
        </w:r>
        <w:r w:rsidR="00F600E2">
          <w:rPr>
            <w:webHidden/>
          </w:rPr>
          <w:tab/>
        </w:r>
        <w:r w:rsidR="00F600E2">
          <w:rPr>
            <w:webHidden/>
          </w:rPr>
          <w:fldChar w:fldCharType="begin"/>
        </w:r>
        <w:r w:rsidR="00F600E2">
          <w:rPr>
            <w:webHidden/>
          </w:rPr>
          <w:instrText xml:space="preserve"> PAGEREF _Toc45533002 \h </w:instrText>
        </w:r>
        <w:r w:rsidR="00F600E2">
          <w:rPr>
            <w:webHidden/>
          </w:rPr>
        </w:r>
        <w:r w:rsidR="00F600E2">
          <w:rPr>
            <w:webHidden/>
          </w:rPr>
          <w:fldChar w:fldCharType="separate"/>
        </w:r>
        <w:r w:rsidR="003F2EE9">
          <w:rPr>
            <w:webHidden/>
          </w:rPr>
          <w:t>9</w:t>
        </w:r>
        <w:r w:rsidR="00F600E2">
          <w:rPr>
            <w:webHidden/>
          </w:rPr>
          <w:fldChar w:fldCharType="end"/>
        </w:r>
      </w:hyperlink>
    </w:p>
    <w:p w14:paraId="7DBCBAF2" w14:textId="0DF7C111" w:rsidR="00F600E2" w:rsidRDefault="0005393A">
      <w:pPr>
        <w:pStyle w:val="TD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s-CR" w:eastAsia="es-CR"/>
        </w:rPr>
      </w:pPr>
      <w:hyperlink w:anchor="_Toc45533003" w:history="1">
        <w:r w:rsidR="00F600E2" w:rsidRPr="005D2096">
          <w:rPr>
            <w:rStyle w:val="Hipervnculo"/>
          </w:rPr>
          <w:t>Indicadores operativos</w:t>
        </w:r>
        <w:r w:rsidR="00F600E2">
          <w:rPr>
            <w:webHidden/>
          </w:rPr>
          <w:tab/>
        </w:r>
        <w:r w:rsidR="00F600E2">
          <w:rPr>
            <w:webHidden/>
          </w:rPr>
          <w:fldChar w:fldCharType="begin"/>
        </w:r>
        <w:r w:rsidR="00F600E2">
          <w:rPr>
            <w:webHidden/>
          </w:rPr>
          <w:instrText xml:space="preserve"> PAGEREF _Toc45533003 \h </w:instrText>
        </w:r>
        <w:r w:rsidR="00F600E2">
          <w:rPr>
            <w:webHidden/>
          </w:rPr>
        </w:r>
        <w:r w:rsidR="00F600E2">
          <w:rPr>
            <w:webHidden/>
          </w:rPr>
          <w:fldChar w:fldCharType="separate"/>
        </w:r>
        <w:r w:rsidR="003F2EE9">
          <w:rPr>
            <w:webHidden/>
          </w:rPr>
          <w:t>10</w:t>
        </w:r>
        <w:r w:rsidR="00F600E2">
          <w:rPr>
            <w:webHidden/>
          </w:rPr>
          <w:fldChar w:fldCharType="end"/>
        </w:r>
      </w:hyperlink>
    </w:p>
    <w:p w14:paraId="4C5CC03D" w14:textId="1415B872" w:rsidR="00F600E2" w:rsidRDefault="0005393A">
      <w:pPr>
        <w:pStyle w:val="TD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s-CR" w:eastAsia="es-CR"/>
        </w:rPr>
      </w:pPr>
      <w:hyperlink w:anchor="_Toc45533004" w:history="1">
        <w:r w:rsidR="00F600E2" w:rsidRPr="005D2096">
          <w:rPr>
            <w:rStyle w:val="Hipervnculo"/>
          </w:rPr>
          <w:t>Proyectos estratégicos</w:t>
        </w:r>
        <w:r w:rsidR="00F600E2">
          <w:rPr>
            <w:webHidden/>
          </w:rPr>
          <w:tab/>
        </w:r>
        <w:r w:rsidR="00F600E2">
          <w:rPr>
            <w:webHidden/>
          </w:rPr>
          <w:fldChar w:fldCharType="begin"/>
        </w:r>
        <w:r w:rsidR="00F600E2">
          <w:rPr>
            <w:webHidden/>
          </w:rPr>
          <w:instrText xml:space="preserve"> PAGEREF _Toc45533004 \h </w:instrText>
        </w:r>
        <w:r w:rsidR="00F600E2">
          <w:rPr>
            <w:webHidden/>
          </w:rPr>
        </w:r>
        <w:r w:rsidR="00F600E2">
          <w:rPr>
            <w:webHidden/>
          </w:rPr>
          <w:fldChar w:fldCharType="separate"/>
        </w:r>
        <w:r w:rsidR="003F2EE9">
          <w:rPr>
            <w:webHidden/>
          </w:rPr>
          <w:t>11</w:t>
        </w:r>
        <w:r w:rsidR="00F600E2">
          <w:rPr>
            <w:webHidden/>
          </w:rPr>
          <w:fldChar w:fldCharType="end"/>
        </w:r>
      </w:hyperlink>
    </w:p>
    <w:p w14:paraId="1D47B469" w14:textId="77371541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3005" w:history="1">
        <w:r w:rsidR="00F600E2" w:rsidRPr="005D2096">
          <w:rPr>
            <w:rStyle w:val="Hipervnculo"/>
            <w:rFonts w:cstheme="minorHAnsi"/>
            <w:noProof/>
            <w:lang w:val="es-CR"/>
          </w:rPr>
          <w:t>4.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 xml:space="preserve">DESEMPEÑO INSTITUCIONAL Y PROGRAMÁTICO </w:t>
        </w:r>
        <w:r w:rsidR="00F600E2" w:rsidRPr="004B007E">
          <w:rPr>
            <w:rStyle w:val="Hipervnculo"/>
            <w:rFonts w:cstheme="minorHAnsi"/>
            <w:noProof/>
            <w:sz w:val="14"/>
            <w:szCs w:val="14"/>
            <w:lang w:val="es-CR"/>
          </w:rPr>
          <w:t>(4.5.6 b. iv)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_Toc45533005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14</w:t>
        </w:r>
        <w:r w:rsidR="00F600E2">
          <w:rPr>
            <w:noProof/>
            <w:webHidden/>
          </w:rPr>
          <w:fldChar w:fldCharType="end"/>
        </w:r>
      </w:hyperlink>
    </w:p>
    <w:p w14:paraId="62E0E839" w14:textId="42150B7C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3006" w:history="1">
        <w:r w:rsidR="00F600E2" w:rsidRPr="005D2096">
          <w:rPr>
            <w:rStyle w:val="Hipervnculo"/>
            <w:rFonts w:cstheme="minorHAnsi"/>
            <w:noProof/>
            <w:lang w:val="es-CR"/>
          </w:rPr>
          <w:t>5.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 xml:space="preserve">SITUACIÓN ECONÓMICA-FINANCIERA GLOBAL Y ESTADOS FINANCIEROS </w:t>
        </w:r>
        <w:r w:rsidR="00F600E2" w:rsidRPr="004B007E">
          <w:rPr>
            <w:rStyle w:val="Hipervnculo"/>
            <w:rFonts w:cstheme="minorHAnsi"/>
            <w:noProof/>
            <w:sz w:val="14"/>
            <w:szCs w:val="14"/>
            <w:lang w:val="es-CR"/>
          </w:rPr>
          <w:t>(4.5.6 b. v)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_Toc45533006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15</w:t>
        </w:r>
        <w:r w:rsidR="00F600E2">
          <w:rPr>
            <w:noProof/>
            <w:webHidden/>
          </w:rPr>
          <w:fldChar w:fldCharType="end"/>
        </w:r>
      </w:hyperlink>
    </w:p>
    <w:p w14:paraId="6939C8DE" w14:textId="3EB264BC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3007" w:history="1">
        <w:r w:rsidR="00F600E2" w:rsidRPr="005D2096">
          <w:rPr>
            <w:rStyle w:val="Hipervnculo"/>
            <w:rFonts w:cstheme="minorHAnsi"/>
            <w:noProof/>
            <w:lang w:val="es-CR"/>
          </w:rPr>
          <w:t>6.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 xml:space="preserve">MEDIDAS CORRECTIVAS Y ACCIONES PARA LA MEJORA CONTÍNUA </w:t>
        </w:r>
        <w:r w:rsidR="00F600E2" w:rsidRPr="004B007E">
          <w:rPr>
            <w:rStyle w:val="Hipervnculo"/>
            <w:rFonts w:cstheme="minorHAnsi"/>
            <w:noProof/>
            <w:sz w:val="14"/>
            <w:szCs w:val="14"/>
            <w:lang w:val="es-CR"/>
          </w:rPr>
          <w:t>(4.5.6 b. vi)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_Toc45533007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15</w:t>
        </w:r>
        <w:r w:rsidR="00F600E2">
          <w:rPr>
            <w:noProof/>
            <w:webHidden/>
          </w:rPr>
          <w:fldChar w:fldCharType="end"/>
        </w:r>
      </w:hyperlink>
    </w:p>
    <w:p w14:paraId="68DBD7A5" w14:textId="1957672D" w:rsidR="00F600E2" w:rsidRDefault="0005393A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5533008" w:history="1">
        <w:r w:rsidR="00F600E2" w:rsidRPr="005D2096">
          <w:rPr>
            <w:rStyle w:val="Hipervnculo"/>
            <w:rFonts w:cstheme="minorHAnsi"/>
            <w:noProof/>
            <w:lang w:val="es-CR"/>
          </w:rPr>
          <w:t>7.</w:t>
        </w:r>
        <w:r w:rsidR="00F600E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s-CR" w:eastAsia="es-CR"/>
          </w:rPr>
          <w:tab/>
        </w:r>
        <w:r w:rsidR="00F600E2" w:rsidRPr="005D2096">
          <w:rPr>
            <w:rStyle w:val="Hipervnculo"/>
            <w:rFonts w:cstheme="minorHAnsi"/>
            <w:noProof/>
            <w:lang w:val="es-CR"/>
          </w:rPr>
          <w:t>ANEXOS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_Toc45533008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18</w:t>
        </w:r>
        <w:r w:rsidR="00F600E2">
          <w:rPr>
            <w:noProof/>
            <w:webHidden/>
          </w:rPr>
          <w:fldChar w:fldCharType="end"/>
        </w:r>
      </w:hyperlink>
    </w:p>
    <w:p w14:paraId="54ECBD77" w14:textId="1976BEC9" w:rsidR="00F600E2" w:rsidRDefault="0005393A">
      <w:pPr>
        <w:pStyle w:val="TDC2"/>
        <w:tabs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3009" w:history="1">
        <w:r w:rsidR="00F600E2" w:rsidRPr="005D2096">
          <w:rPr>
            <w:rStyle w:val="Hipervnculo"/>
            <w:noProof/>
          </w:rPr>
          <w:t>Plan Operativo Institucional (POI)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_Toc45533009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18</w:t>
        </w:r>
        <w:r w:rsidR="00F600E2">
          <w:rPr>
            <w:noProof/>
            <w:webHidden/>
          </w:rPr>
          <w:fldChar w:fldCharType="end"/>
        </w:r>
      </w:hyperlink>
    </w:p>
    <w:p w14:paraId="192D66FC" w14:textId="3F866FDE" w:rsidR="00F600E2" w:rsidRDefault="0005393A">
      <w:pPr>
        <w:pStyle w:val="TDC2"/>
        <w:tabs>
          <w:tab w:val="right" w:leader="dot" w:pos="88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CR" w:eastAsia="es-CR"/>
        </w:rPr>
      </w:pPr>
      <w:hyperlink w:anchor="_Toc45533010" w:history="1">
        <w:r w:rsidR="00F600E2" w:rsidRPr="005D2096">
          <w:rPr>
            <w:rStyle w:val="Hipervnculo"/>
            <w:noProof/>
          </w:rPr>
          <w:t>MAPI</w:t>
        </w:r>
        <w:r w:rsidR="00F600E2">
          <w:rPr>
            <w:noProof/>
            <w:webHidden/>
          </w:rPr>
          <w:tab/>
        </w:r>
        <w:r w:rsidR="00F600E2">
          <w:rPr>
            <w:noProof/>
            <w:webHidden/>
          </w:rPr>
          <w:fldChar w:fldCharType="begin"/>
        </w:r>
        <w:r w:rsidR="00F600E2">
          <w:rPr>
            <w:noProof/>
            <w:webHidden/>
          </w:rPr>
          <w:instrText xml:space="preserve"> PAGEREF _Toc45533010 \h </w:instrText>
        </w:r>
        <w:r w:rsidR="00F600E2">
          <w:rPr>
            <w:noProof/>
            <w:webHidden/>
          </w:rPr>
        </w:r>
        <w:r w:rsidR="00F600E2">
          <w:rPr>
            <w:noProof/>
            <w:webHidden/>
          </w:rPr>
          <w:fldChar w:fldCharType="separate"/>
        </w:r>
        <w:r w:rsidR="003F2EE9">
          <w:rPr>
            <w:noProof/>
            <w:webHidden/>
          </w:rPr>
          <w:t>18</w:t>
        </w:r>
        <w:r w:rsidR="00F600E2">
          <w:rPr>
            <w:noProof/>
            <w:webHidden/>
          </w:rPr>
          <w:fldChar w:fldCharType="end"/>
        </w:r>
      </w:hyperlink>
    </w:p>
    <w:p w14:paraId="64DC72AF" w14:textId="2DB6972D" w:rsidR="00E47859" w:rsidRPr="00BF369C" w:rsidRDefault="00A33FC2" w:rsidP="000C456D">
      <w:pPr>
        <w:pStyle w:val="TDC1"/>
        <w:rPr>
          <w:lang w:val="es-CR"/>
        </w:rPr>
      </w:pPr>
      <w:r w:rsidRPr="00BF369C">
        <w:rPr>
          <w:lang w:val="es-CR"/>
        </w:rPr>
        <w:fldChar w:fldCharType="end"/>
      </w:r>
      <w:r w:rsidR="00D47086" w:rsidRPr="00BF369C">
        <w:rPr>
          <w:lang w:val="es-CR"/>
        </w:rPr>
        <w:br w:type="page"/>
      </w:r>
    </w:p>
    <w:p w14:paraId="64DC72B0" w14:textId="77777777" w:rsidR="00D47086" w:rsidRPr="00BF369C" w:rsidRDefault="00D47086" w:rsidP="005E7FC9">
      <w:pPr>
        <w:tabs>
          <w:tab w:val="left" w:pos="1560"/>
        </w:tabs>
        <w:spacing w:line="288" w:lineRule="auto"/>
        <w:jc w:val="left"/>
        <w:rPr>
          <w:rFonts w:asciiTheme="minorHAnsi" w:hAnsiTheme="minorHAnsi" w:cstheme="minorHAnsi"/>
          <w:lang w:val="es-CR"/>
        </w:rPr>
      </w:pPr>
    </w:p>
    <w:p w14:paraId="64DC72B1" w14:textId="77777777" w:rsidR="00A87425" w:rsidRPr="00BF369C" w:rsidRDefault="00E06125" w:rsidP="00254CAE">
      <w:pPr>
        <w:pStyle w:val="Ttulo1"/>
        <w:rPr>
          <w:rFonts w:cstheme="minorHAnsi"/>
          <w:lang w:val="es-CR"/>
        </w:rPr>
      </w:pPr>
      <w:bookmarkStart w:id="2" w:name="_Toc195505386"/>
      <w:bookmarkStart w:id="3" w:name="_Toc203492087"/>
      <w:bookmarkStart w:id="4" w:name="_Toc45532993"/>
      <w:r w:rsidRPr="00BF369C">
        <w:rPr>
          <w:rFonts w:cstheme="minorHAnsi"/>
          <w:lang w:val="es-CR"/>
        </w:rPr>
        <w:t>PRESENTACIÓN</w:t>
      </w:r>
      <w:bookmarkEnd w:id="2"/>
      <w:bookmarkEnd w:id="3"/>
      <w:bookmarkEnd w:id="4"/>
    </w:p>
    <w:p w14:paraId="64DC72B2" w14:textId="77777777" w:rsidR="00A87425" w:rsidRPr="00BF369C" w:rsidRDefault="00A87425" w:rsidP="00A87425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64DC72B3" w14:textId="77777777" w:rsidR="00503858" w:rsidRPr="00BF369C" w:rsidRDefault="00503858" w:rsidP="00503858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13954FC8" w14:textId="0D00C7C5" w:rsidR="002F2009" w:rsidRPr="00BF369C" w:rsidRDefault="00C44392" w:rsidP="000D22E0">
      <w:pPr>
        <w:ind w:right="51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En cumplimiento </w:t>
      </w:r>
      <w:r w:rsidR="008C177C" w:rsidRPr="00BF369C">
        <w:rPr>
          <w:rFonts w:asciiTheme="minorHAnsi" w:hAnsiTheme="minorHAnsi" w:cstheme="minorHAnsi"/>
          <w:sz w:val="24"/>
          <w:szCs w:val="24"/>
          <w:lang w:val="es-CR"/>
        </w:rPr>
        <w:t>de los puntos 4.5.5 al 4.5.6 de las Normas Técnicas sobre Presupuesto Público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y las disposiciones de la Contraloría General de la República, se presenta el siguiente informe, el cual corresponde al detalle de </w:t>
      </w:r>
      <w:r w:rsidR="002F2009" w:rsidRPr="00BF369C">
        <w:rPr>
          <w:rFonts w:asciiTheme="minorHAnsi" w:hAnsiTheme="minorHAnsi" w:cstheme="minorHAnsi"/>
          <w:sz w:val="24"/>
          <w:szCs w:val="24"/>
          <w:lang w:val="es-CR"/>
        </w:rPr>
        <w:t>evaluación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presupuestaria</w:t>
      </w:r>
      <w:r w:rsidR="001A7F9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20</w:t>
      </w:r>
      <w:r w:rsidR="00D159DB">
        <w:rPr>
          <w:rFonts w:asciiTheme="minorHAnsi" w:hAnsiTheme="minorHAnsi" w:cstheme="minorHAnsi"/>
          <w:sz w:val="24"/>
          <w:szCs w:val="24"/>
          <w:lang w:val="es-CR"/>
        </w:rPr>
        <w:t>20</w:t>
      </w:r>
      <w:r w:rsidR="009B7870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609F9B45" w14:textId="77777777" w:rsidR="002F2009" w:rsidRPr="00BF369C" w:rsidRDefault="002F2009" w:rsidP="000D22E0">
      <w:pPr>
        <w:ind w:right="51"/>
        <w:rPr>
          <w:rFonts w:asciiTheme="minorHAnsi" w:hAnsiTheme="minorHAnsi" w:cstheme="minorHAnsi"/>
          <w:sz w:val="24"/>
          <w:szCs w:val="24"/>
          <w:lang w:val="es-CR"/>
        </w:rPr>
      </w:pPr>
    </w:p>
    <w:p w14:paraId="64DC72B8" w14:textId="451C9D6C" w:rsidR="00503858" w:rsidRPr="00BF369C" w:rsidRDefault="009B7870" w:rsidP="000D22E0">
      <w:pPr>
        <w:ind w:right="51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E</w:t>
      </w:r>
      <w:r w:rsidR="001A7F97" w:rsidRPr="00BF369C">
        <w:rPr>
          <w:rFonts w:asciiTheme="minorHAnsi" w:hAnsiTheme="minorHAnsi" w:cstheme="minorHAnsi"/>
          <w:sz w:val="24"/>
          <w:szCs w:val="24"/>
          <w:lang w:val="es-CR"/>
        </w:rPr>
        <w:t>ste informe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tiene como </w:t>
      </w:r>
      <w:r w:rsidR="00005B1A" w:rsidRPr="00BF369C">
        <w:rPr>
          <w:rFonts w:asciiTheme="minorHAnsi" w:hAnsiTheme="minorHAnsi" w:cstheme="minorHAnsi"/>
          <w:sz w:val="24"/>
          <w:szCs w:val="24"/>
          <w:lang w:val="es-CR"/>
        </w:rPr>
        <w:t>propósito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brindar al Consejo Nacional de Supervisión del Sistema Financiero </w:t>
      </w:r>
      <w:r w:rsidR="00240B0C" w:rsidRPr="00BF369C">
        <w:rPr>
          <w:rFonts w:asciiTheme="minorHAnsi" w:hAnsiTheme="minorHAnsi" w:cstheme="minorHAnsi"/>
          <w:sz w:val="24"/>
          <w:szCs w:val="24"/>
          <w:lang w:val="es-CR"/>
        </w:rPr>
        <w:t>(</w:t>
      </w:r>
      <w:r w:rsidR="00AC7DE6" w:rsidRPr="00BF369C">
        <w:rPr>
          <w:rFonts w:asciiTheme="minorHAnsi" w:hAnsiTheme="minorHAnsi" w:cstheme="minorHAnsi"/>
          <w:sz w:val="24"/>
          <w:szCs w:val="24"/>
          <w:lang w:val="es-CR"/>
        </w:rPr>
        <w:t>CONASSIF</w:t>
      </w:r>
      <w:r w:rsidR="00240B0C" w:rsidRPr="00BF369C">
        <w:rPr>
          <w:rFonts w:asciiTheme="minorHAnsi" w:hAnsiTheme="minorHAnsi" w:cstheme="minorHAnsi"/>
          <w:sz w:val="24"/>
          <w:szCs w:val="24"/>
          <w:lang w:val="es-CR"/>
        </w:rPr>
        <w:t>)</w:t>
      </w:r>
      <w:r w:rsidR="00C05E03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>y a la Contraloría General de la República</w:t>
      </w:r>
      <w:r w:rsidR="00240B0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(CGR)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</w:t>
      </w:r>
      <w:r w:rsidR="00031080" w:rsidRPr="00BF369C">
        <w:rPr>
          <w:rFonts w:asciiTheme="minorHAnsi" w:hAnsiTheme="minorHAnsi" w:cstheme="minorHAnsi"/>
          <w:sz w:val="24"/>
          <w:szCs w:val="24"/>
          <w:lang w:val="es-CR"/>
        </w:rPr>
        <w:t>los datos</w:t>
      </w:r>
      <w:r w:rsidR="007D475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relacionados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con la ejecución económica del presupuesto </w:t>
      </w:r>
      <w:r w:rsidR="00A57C7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y la consecución de las metas propuestas por los diferentes procesos que conforman 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>la Superintendencia</w:t>
      </w:r>
      <w:r w:rsidR="00103674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de Pensiones</w:t>
      </w:r>
      <w:r w:rsidR="000828F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(</w:t>
      </w:r>
      <w:r w:rsidR="000D22E0" w:rsidRPr="00BF369C">
        <w:rPr>
          <w:rFonts w:asciiTheme="minorHAnsi" w:hAnsiTheme="minorHAnsi" w:cstheme="minorHAnsi"/>
          <w:sz w:val="24"/>
          <w:szCs w:val="24"/>
          <w:lang w:val="es-CR"/>
        </w:rPr>
        <w:t>SUPEN</w:t>
      </w:r>
      <w:r w:rsidR="000828FC" w:rsidRPr="00BF369C">
        <w:rPr>
          <w:rFonts w:asciiTheme="minorHAnsi" w:hAnsiTheme="minorHAnsi" w:cstheme="minorHAnsi"/>
          <w:sz w:val="24"/>
          <w:szCs w:val="24"/>
          <w:lang w:val="es-CR"/>
        </w:rPr>
        <w:t>)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</w:t>
      </w:r>
      <w:r w:rsidR="00A57C7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todo 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de conformidad con los lineamientos </w:t>
      </w:r>
      <w:r w:rsidR="00BC781D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presupuestarios 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previamente establecidos por la Junta Directiva del Banco Central de Costa Rica </w:t>
      </w:r>
      <w:r w:rsidR="00240B0C" w:rsidRPr="00BF369C">
        <w:rPr>
          <w:rFonts w:asciiTheme="minorHAnsi" w:hAnsiTheme="minorHAnsi" w:cstheme="minorHAnsi"/>
          <w:sz w:val="24"/>
          <w:szCs w:val="24"/>
          <w:lang w:val="es-CR"/>
        </w:rPr>
        <w:t>(BCCR)</w:t>
      </w:r>
      <w:r w:rsidR="007B12FD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C4439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y por el </w:t>
      </w:r>
      <w:r w:rsidR="00AC7DE6" w:rsidRPr="00BF369C">
        <w:rPr>
          <w:rFonts w:asciiTheme="minorHAnsi" w:hAnsiTheme="minorHAnsi" w:cstheme="minorHAnsi"/>
          <w:sz w:val="24"/>
          <w:szCs w:val="24"/>
          <w:lang w:val="es-CR"/>
        </w:rPr>
        <w:t>CONASSIF</w:t>
      </w:r>
      <w:r w:rsidR="00240B0C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75D01EBC" w14:textId="77777777" w:rsidR="007D4757" w:rsidRPr="00BF369C" w:rsidRDefault="007D4757" w:rsidP="000D22E0">
      <w:pPr>
        <w:ind w:right="51"/>
        <w:rPr>
          <w:rFonts w:asciiTheme="minorHAnsi" w:hAnsiTheme="minorHAnsi" w:cstheme="minorHAnsi"/>
          <w:sz w:val="24"/>
          <w:szCs w:val="24"/>
          <w:lang w:val="es-CR"/>
        </w:rPr>
      </w:pPr>
    </w:p>
    <w:p w14:paraId="64DC7505" w14:textId="602AE213" w:rsidR="00A57C70" w:rsidRPr="00BF369C" w:rsidRDefault="00E47859" w:rsidP="007D4757">
      <w:pPr>
        <w:rPr>
          <w:lang w:val="es-CR"/>
        </w:rPr>
      </w:pPr>
      <w:r w:rsidRPr="00BF369C">
        <w:rPr>
          <w:lang w:val="es-CR"/>
        </w:rPr>
        <w:br w:type="page"/>
      </w:r>
    </w:p>
    <w:p w14:paraId="028D1162" w14:textId="166A7B7B" w:rsidR="00A06D37" w:rsidRPr="00BF369C" w:rsidRDefault="002F2009" w:rsidP="00A06D37">
      <w:pPr>
        <w:pStyle w:val="Ttulo1"/>
        <w:numPr>
          <w:ilvl w:val="0"/>
          <w:numId w:val="2"/>
        </w:numPr>
        <w:shd w:val="clear" w:color="auto" w:fill="DBE5F1" w:themeFill="accent1" w:themeFillTint="33"/>
        <w:spacing w:line="288" w:lineRule="auto"/>
        <w:rPr>
          <w:rFonts w:asciiTheme="minorHAnsi" w:hAnsiTheme="minorHAnsi" w:cstheme="minorHAnsi"/>
          <w:szCs w:val="28"/>
          <w:lang w:val="es-CR"/>
        </w:rPr>
      </w:pPr>
      <w:bookmarkStart w:id="5" w:name="_Toc45532994"/>
      <w:r w:rsidRPr="00BF369C">
        <w:rPr>
          <w:rFonts w:asciiTheme="minorHAnsi" w:hAnsiTheme="minorHAnsi" w:cstheme="minorHAnsi"/>
          <w:sz w:val="28"/>
          <w:szCs w:val="28"/>
          <w:lang w:val="es-CR"/>
        </w:rPr>
        <w:lastRenderedPageBreak/>
        <w:t>EJECUCIÓN DE LOS INGRESOS Y GASTOS MÁS IMPORTANTES</w:t>
      </w:r>
      <w:r w:rsidR="00AD0001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AD0001" w:rsidRPr="00BF369C">
        <w:rPr>
          <w:rFonts w:asciiTheme="minorHAnsi" w:hAnsiTheme="minorHAnsi" w:cstheme="minorHAnsi"/>
          <w:b w:val="0"/>
          <w:sz w:val="16"/>
          <w:szCs w:val="28"/>
          <w:lang w:val="es-CR"/>
        </w:rPr>
        <w:t>(4.5.6 b. i)</w:t>
      </w:r>
      <w:bookmarkEnd w:id="5"/>
    </w:p>
    <w:p w14:paraId="64B29713" w14:textId="72BC1145" w:rsidR="00A06D37" w:rsidRPr="00BF369C" w:rsidRDefault="00A06D37" w:rsidP="00225437">
      <w:pPr>
        <w:spacing w:line="288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33EF73DC" w14:textId="77777777" w:rsidR="00F34713" w:rsidRPr="00BF369C" w:rsidRDefault="00F34713" w:rsidP="00225437">
      <w:pPr>
        <w:spacing w:line="288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64DC7517" w14:textId="5C24866B" w:rsidR="00225437" w:rsidRPr="00BF369C" w:rsidRDefault="002F2009" w:rsidP="00EA6326">
      <w:pPr>
        <w:pStyle w:val="Ttulo2"/>
        <w:numPr>
          <w:ilvl w:val="1"/>
          <w:numId w:val="2"/>
        </w:numPr>
        <w:rPr>
          <w:rStyle w:val="nfasisintenso"/>
          <w:b/>
          <w:color w:val="auto"/>
          <w:szCs w:val="28"/>
        </w:rPr>
      </w:pPr>
      <w:bookmarkStart w:id="6" w:name="_Toc45532995"/>
      <w:bookmarkStart w:id="7" w:name="_Toc514582661"/>
      <w:bookmarkStart w:id="8" w:name="_Toc16481527"/>
      <w:r w:rsidRPr="00BF369C">
        <w:rPr>
          <w:rStyle w:val="nfasisintenso"/>
          <w:b/>
          <w:color w:val="auto"/>
          <w:szCs w:val="28"/>
        </w:rPr>
        <w:t>Comportamiento de la ejecución de ingresos</w:t>
      </w:r>
      <w:bookmarkEnd w:id="6"/>
    </w:p>
    <w:p w14:paraId="3FA01FC4" w14:textId="77777777" w:rsidR="00D668DE" w:rsidRPr="00BF369C" w:rsidRDefault="00D668DE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445004CD" w14:textId="3A3C1BD0" w:rsidR="002F2009" w:rsidRPr="00BF369C" w:rsidRDefault="00D87D4C" w:rsidP="002F2009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El financiamiento del presupuesto de la SUPEN </w:t>
      </w:r>
      <w:r w:rsidR="00176E4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está determinado </w:t>
      </w:r>
      <w:r w:rsidR="003E6110" w:rsidRPr="00BF369C">
        <w:rPr>
          <w:rFonts w:asciiTheme="minorHAnsi" w:hAnsiTheme="minorHAnsi" w:cstheme="minorHAnsi"/>
          <w:sz w:val="24"/>
          <w:szCs w:val="24"/>
          <w:lang w:val="es-CR"/>
        </w:rPr>
        <w:t>por</w:t>
      </w:r>
      <w:r w:rsidR="00176E4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la Ley Regu</w:t>
      </w:r>
      <w:r w:rsidR="00AC2C75" w:rsidRPr="00BF369C">
        <w:rPr>
          <w:rFonts w:asciiTheme="minorHAnsi" w:hAnsiTheme="minorHAnsi" w:cstheme="minorHAnsi"/>
          <w:sz w:val="24"/>
          <w:szCs w:val="24"/>
          <w:lang w:val="es-CR"/>
        </w:rPr>
        <w:t>ladora del Mercado de Valores N</w:t>
      </w:r>
      <w:r w:rsidR="00176E4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°7732,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es por esa razón que </w:t>
      </w:r>
      <w:r w:rsidR="001B4CE3" w:rsidRPr="00BF369C">
        <w:rPr>
          <w:rFonts w:asciiTheme="minorHAnsi" w:hAnsiTheme="minorHAnsi" w:cstheme="minorHAnsi"/>
          <w:sz w:val="24"/>
          <w:szCs w:val="24"/>
          <w:lang w:val="es-CR"/>
        </w:rPr>
        <w:t>l</w:t>
      </w:r>
      <w:r w:rsidR="002F200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os ingresos devengados dependen de la ejecución efectiva de los egresos, </w:t>
      </w:r>
      <w:r w:rsidR="006C473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esa particularidad </w:t>
      </w:r>
      <w:r w:rsidR="00702A8F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da como resultado </w:t>
      </w:r>
      <w:r w:rsidR="006C473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que </w:t>
      </w:r>
      <w:r w:rsidR="003E611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no </w:t>
      </w:r>
      <w:r w:rsidR="00702A8F" w:rsidRPr="00BF369C">
        <w:rPr>
          <w:rFonts w:asciiTheme="minorHAnsi" w:hAnsiTheme="minorHAnsi" w:cstheme="minorHAnsi"/>
          <w:sz w:val="24"/>
          <w:szCs w:val="24"/>
          <w:lang w:val="es-CR"/>
        </w:rPr>
        <w:t>se presente</w:t>
      </w:r>
      <w:r w:rsidR="006C4732" w:rsidRPr="00BF369C">
        <w:rPr>
          <w:rFonts w:asciiTheme="minorHAnsi" w:hAnsiTheme="minorHAnsi" w:cstheme="minorHAnsi"/>
          <w:sz w:val="24"/>
          <w:szCs w:val="24"/>
          <w:lang w:val="es-CR"/>
        </w:rPr>
        <w:t>n</w:t>
      </w:r>
      <w:r w:rsidR="003E611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limitaciones </w:t>
      </w:r>
      <w:r w:rsidR="008E1D7A" w:rsidRPr="00BF369C">
        <w:rPr>
          <w:rFonts w:asciiTheme="minorHAnsi" w:hAnsiTheme="minorHAnsi" w:cstheme="minorHAnsi"/>
          <w:sz w:val="24"/>
          <w:szCs w:val="24"/>
          <w:lang w:val="es-CR"/>
        </w:rPr>
        <w:t>para la generación</w:t>
      </w:r>
      <w:r w:rsidR="003E611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8E1D7A" w:rsidRPr="00BF369C">
        <w:rPr>
          <w:rFonts w:asciiTheme="minorHAnsi" w:hAnsiTheme="minorHAnsi" w:cstheme="minorHAnsi"/>
          <w:sz w:val="24"/>
          <w:szCs w:val="24"/>
          <w:lang w:val="es-CR"/>
        </w:rPr>
        <w:t>de</w:t>
      </w:r>
      <w:r w:rsidR="008F4B2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3E6110" w:rsidRPr="00BF369C">
        <w:rPr>
          <w:rFonts w:asciiTheme="minorHAnsi" w:hAnsiTheme="minorHAnsi" w:cstheme="minorHAnsi"/>
          <w:sz w:val="24"/>
          <w:szCs w:val="24"/>
          <w:lang w:val="es-CR"/>
        </w:rPr>
        <w:t>los ingresos</w:t>
      </w:r>
      <w:r w:rsidR="00702A8F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  <w:r w:rsidR="00177CA2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4C218A" w:rsidRPr="00BF369C">
        <w:rPr>
          <w:rFonts w:asciiTheme="minorHAnsi" w:hAnsiTheme="minorHAnsi" w:cstheme="minorHAnsi"/>
          <w:sz w:val="24"/>
          <w:szCs w:val="24"/>
          <w:lang w:val="es-CR"/>
        </w:rPr>
        <w:t>E</w:t>
      </w:r>
      <w:r w:rsidR="002F2009" w:rsidRPr="00BF369C">
        <w:rPr>
          <w:rFonts w:asciiTheme="minorHAnsi" w:hAnsiTheme="minorHAnsi" w:cstheme="minorHAnsi"/>
          <w:sz w:val="24"/>
          <w:szCs w:val="24"/>
          <w:lang w:val="es-CR"/>
        </w:rPr>
        <w:t>l siguiente cuadro detalla el total de ingresos del p</w:t>
      </w:r>
      <w:r w:rsidR="003E6110" w:rsidRPr="00BF369C">
        <w:rPr>
          <w:rFonts w:asciiTheme="minorHAnsi" w:hAnsiTheme="minorHAnsi" w:cstheme="minorHAnsi"/>
          <w:sz w:val="24"/>
          <w:szCs w:val="24"/>
          <w:lang w:val="es-CR"/>
        </w:rPr>
        <w:t>eríodo.</w:t>
      </w:r>
    </w:p>
    <w:p w14:paraId="4CD4F6F3" w14:textId="5107AB2D" w:rsidR="002F2009" w:rsidRDefault="002F2009" w:rsidP="002F2009">
      <w:pPr>
        <w:rPr>
          <w:rFonts w:asciiTheme="minorHAnsi" w:hAnsiTheme="minorHAnsi" w:cstheme="minorHAnsi"/>
          <w:lang w:val="es-CR"/>
        </w:rPr>
      </w:pPr>
    </w:p>
    <w:p w14:paraId="2E3EB863" w14:textId="77777777" w:rsidR="00765DE8" w:rsidRPr="00BF369C" w:rsidRDefault="00765DE8" w:rsidP="002F2009">
      <w:pPr>
        <w:rPr>
          <w:rFonts w:asciiTheme="minorHAnsi" w:hAnsiTheme="minorHAnsi" w:cstheme="minorHAnsi"/>
          <w:lang w:val="es-CR"/>
        </w:rPr>
      </w:pPr>
    </w:p>
    <w:p w14:paraId="2112B740" w14:textId="0D9F78AB" w:rsidR="002F2009" w:rsidRPr="00BF369C" w:rsidRDefault="00CE11B8" w:rsidP="002F2009">
      <w:pPr>
        <w:spacing w:line="240" w:lineRule="auto"/>
        <w:ind w:left="284"/>
        <w:jc w:val="left"/>
        <w:rPr>
          <w:rFonts w:asciiTheme="minorHAnsi" w:hAnsiTheme="minorHAnsi" w:cstheme="minorHAnsi"/>
          <w:b/>
          <w:sz w:val="24"/>
          <w:szCs w:val="22"/>
          <w:lang w:val="es-CR"/>
        </w:rPr>
      </w:pPr>
      <w:r w:rsidRPr="00BF369C">
        <w:rPr>
          <w:rFonts w:asciiTheme="minorHAnsi" w:hAnsiTheme="minorHAnsi" w:cstheme="minorHAnsi"/>
          <w:sz w:val="24"/>
          <w:szCs w:val="22"/>
          <w:lang w:val="es-CR"/>
        </w:rPr>
        <w:t>Cuadro 1</w:t>
      </w:r>
      <w:r w:rsidR="002F2009" w:rsidRPr="00BF369C">
        <w:rPr>
          <w:rFonts w:asciiTheme="minorHAnsi" w:hAnsiTheme="minorHAnsi" w:cstheme="minorHAnsi"/>
          <w:sz w:val="24"/>
          <w:szCs w:val="22"/>
          <w:lang w:val="es-CR"/>
        </w:rPr>
        <w:t xml:space="preserve">: </w:t>
      </w:r>
      <w:r w:rsidR="002F2009" w:rsidRPr="00BF369C">
        <w:rPr>
          <w:rFonts w:asciiTheme="minorHAnsi" w:hAnsiTheme="minorHAnsi" w:cstheme="minorHAnsi"/>
          <w:b/>
          <w:sz w:val="24"/>
          <w:szCs w:val="22"/>
          <w:lang w:val="es-CR"/>
        </w:rPr>
        <w:t xml:space="preserve">Detalle de ingresos </w:t>
      </w:r>
    </w:p>
    <w:p w14:paraId="39E50213" w14:textId="1C80CE92" w:rsidR="008F4B27" w:rsidRPr="00BF369C" w:rsidRDefault="008F4B27" w:rsidP="002F2009">
      <w:pPr>
        <w:spacing w:line="240" w:lineRule="auto"/>
        <w:ind w:left="284"/>
        <w:jc w:val="left"/>
        <w:rPr>
          <w:rFonts w:asciiTheme="minorHAnsi" w:hAnsiTheme="minorHAnsi" w:cstheme="minorHAnsi"/>
          <w:sz w:val="18"/>
          <w:szCs w:val="22"/>
          <w:lang w:val="es-CR"/>
        </w:rPr>
      </w:pPr>
      <w:r w:rsidRPr="00BF369C">
        <w:rPr>
          <w:rFonts w:asciiTheme="minorHAnsi" w:hAnsiTheme="minorHAnsi" w:cstheme="minorHAnsi"/>
          <w:sz w:val="18"/>
          <w:szCs w:val="22"/>
          <w:lang w:val="es-CR"/>
        </w:rPr>
        <w:t>3</w:t>
      </w:r>
      <w:r w:rsidR="0079575A">
        <w:rPr>
          <w:rFonts w:asciiTheme="minorHAnsi" w:hAnsiTheme="minorHAnsi" w:cstheme="minorHAnsi"/>
          <w:sz w:val="18"/>
          <w:szCs w:val="22"/>
          <w:lang w:val="es-CR"/>
        </w:rPr>
        <w:t>0</w:t>
      </w:r>
      <w:r w:rsidR="00D87D4C" w:rsidRPr="00BF369C">
        <w:rPr>
          <w:rFonts w:asciiTheme="minorHAnsi" w:hAnsiTheme="minorHAnsi" w:cstheme="minorHAnsi"/>
          <w:sz w:val="18"/>
          <w:szCs w:val="22"/>
          <w:lang w:val="es-CR"/>
        </w:rPr>
        <w:t xml:space="preserve"> de </w:t>
      </w:r>
      <w:r w:rsidR="0079575A">
        <w:rPr>
          <w:rFonts w:asciiTheme="minorHAnsi" w:hAnsiTheme="minorHAnsi" w:cstheme="minorHAnsi"/>
          <w:sz w:val="18"/>
          <w:szCs w:val="22"/>
          <w:lang w:val="es-CR"/>
        </w:rPr>
        <w:t>junio</w:t>
      </w:r>
      <w:r w:rsidRPr="00BF369C">
        <w:rPr>
          <w:rFonts w:asciiTheme="minorHAnsi" w:hAnsiTheme="minorHAnsi" w:cstheme="minorHAnsi"/>
          <w:sz w:val="18"/>
          <w:szCs w:val="22"/>
          <w:lang w:val="es-CR"/>
        </w:rPr>
        <w:t xml:space="preserve"> de 20</w:t>
      </w:r>
      <w:r w:rsidR="0079575A">
        <w:rPr>
          <w:rFonts w:asciiTheme="minorHAnsi" w:hAnsiTheme="minorHAnsi" w:cstheme="minorHAnsi"/>
          <w:sz w:val="18"/>
          <w:szCs w:val="22"/>
          <w:lang w:val="es-CR"/>
        </w:rPr>
        <w:t>20</w:t>
      </w:r>
    </w:p>
    <w:tbl>
      <w:tblPr>
        <w:tblW w:w="913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835"/>
        <w:gridCol w:w="1185"/>
        <w:gridCol w:w="1185"/>
        <w:gridCol w:w="1185"/>
        <w:gridCol w:w="1186"/>
      </w:tblGrid>
      <w:tr w:rsidR="006518F4" w:rsidRPr="00BF369C" w14:paraId="3E8A2024" w14:textId="77777777" w:rsidTr="00567FB6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CE0375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CUENTA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6770CD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5F4563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REGLÓN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F5A36E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SUBPARTIDA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8BA334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GRUPO DE SUBPARTIDA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00DF79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PARTIDA</w:t>
            </w:r>
          </w:p>
        </w:tc>
      </w:tr>
      <w:tr w:rsidR="006518F4" w:rsidRPr="00BF369C" w14:paraId="1D229F13" w14:textId="77777777" w:rsidTr="00567FB6">
        <w:trPr>
          <w:trHeight w:val="3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FFD03B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  <w:t>1.0.0.0.00.00.0.0.000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4865" w14:textId="77777777" w:rsidR="006518F4" w:rsidRPr="00BF369C" w:rsidRDefault="006518F4" w:rsidP="006518F4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  <w:t xml:space="preserve"> Ingresos Corrientes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FFD1" w14:textId="77777777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C673" w14:textId="77777777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F53A" w14:textId="77777777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AEE7" w14:textId="6830BA72" w:rsidR="006518F4" w:rsidRPr="004752B4" w:rsidRDefault="004752B4" w:rsidP="006518F4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</w:pPr>
            <w:r w:rsidRPr="004752B4">
              <w:rPr>
                <w:rFonts w:ascii="Calibri Light" w:hAnsi="Calibri Light" w:cs="Calibri Light"/>
                <w:b/>
                <w:bCs/>
                <w:sz w:val="16"/>
                <w:szCs w:val="18"/>
                <w:lang w:val="es-CR" w:eastAsia="es-CR"/>
              </w:rPr>
              <w:t>2,093,417,140</w:t>
            </w:r>
          </w:p>
        </w:tc>
      </w:tr>
      <w:tr w:rsidR="006518F4" w:rsidRPr="00BF369C" w14:paraId="5CB82CBD" w14:textId="77777777" w:rsidTr="00567FB6">
        <w:trPr>
          <w:trHeight w:val="3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C7CB0F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1.4.0.0.00.00.0.0.000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CF4D" w14:textId="77777777" w:rsidR="006518F4" w:rsidRPr="00BF369C" w:rsidRDefault="006518F4" w:rsidP="006518F4">
            <w:pPr>
              <w:spacing w:line="240" w:lineRule="auto"/>
              <w:jc w:val="lef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 xml:space="preserve"> Transferencias Corrientes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7014" w14:textId="77777777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5E19" w14:textId="77777777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ACB7" w14:textId="06CA66FF" w:rsidR="006518F4" w:rsidRPr="00BF369C" w:rsidRDefault="004752B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4752B4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2,093,417,140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B4D4" w14:textId="77777777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 </w:t>
            </w:r>
          </w:p>
        </w:tc>
      </w:tr>
      <w:tr w:rsidR="00866555" w:rsidRPr="00BF369C" w14:paraId="1BCE16B2" w14:textId="77777777" w:rsidTr="00567FB6">
        <w:trPr>
          <w:trHeight w:val="5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3517" w14:textId="77777777" w:rsidR="00866555" w:rsidRPr="00BF369C" w:rsidRDefault="00866555" w:rsidP="006518F4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1.4.1.0.00.00.0.0.000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7272" w14:textId="77777777" w:rsidR="00866555" w:rsidRPr="00BF369C" w:rsidRDefault="00866555" w:rsidP="006518F4">
            <w:pPr>
              <w:spacing w:line="240" w:lineRule="auto"/>
              <w:jc w:val="lef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Transferencias corrientes del Sector Público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5702" w14:textId="10A195AD" w:rsidR="00866555" w:rsidRPr="00BF369C" w:rsidRDefault="00866555" w:rsidP="00866555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A82B" w14:textId="3DEF8E7B" w:rsidR="00866555" w:rsidRPr="00BF369C" w:rsidRDefault="004752B4" w:rsidP="00866555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4752B4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2,093,417,140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3531" w14:textId="2B97A2BD" w:rsidR="00866555" w:rsidRPr="00BF369C" w:rsidRDefault="00866555" w:rsidP="00866555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5BCA" w14:textId="700CB6AA" w:rsidR="00866555" w:rsidRPr="00BF369C" w:rsidRDefault="00866555" w:rsidP="00866555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</w:p>
        </w:tc>
      </w:tr>
      <w:tr w:rsidR="006518F4" w:rsidRPr="00BF369C" w14:paraId="37752853" w14:textId="77777777" w:rsidTr="00567FB6">
        <w:trPr>
          <w:trHeight w:val="11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9511C0" w14:textId="77777777" w:rsidR="006518F4" w:rsidRPr="00BF369C" w:rsidRDefault="006518F4" w:rsidP="006518F4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1.4.1.6.00.00.0.0.000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F14F" w14:textId="77777777" w:rsidR="006518F4" w:rsidRPr="00BF369C" w:rsidRDefault="006518F4" w:rsidP="006518F4">
            <w:pPr>
              <w:spacing w:line="240" w:lineRule="auto"/>
              <w:jc w:val="lef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Aporte del Banco Central de Costa Rica, sobre el 100% del presupuesto, según artículo 174, Ley 7732</w:t>
            </w:r>
            <w:r w:rsidRPr="00BF369C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br/>
            </w:r>
            <w:r w:rsidRPr="00BF369C">
              <w:rPr>
                <w:rFonts w:ascii="Calibri Light" w:hAnsi="Calibri Light" w:cs="Calibri Light"/>
                <w:i/>
                <w:iCs/>
                <w:sz w:val="16"/>
                <w:szCs w:val="18"/>
                <w:lang w:val="es-CR" w:eastAsia="es-CR"/>
              </w:rPr>
              <w:t>Superintendencias de Pensiones (SUPEN)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0F3C" w14:textId="7C768AAC" w:rsidR="006518F4" w:rsidRPr="00BF369C" w:rsidRDefault="004752B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  <w:r w:rsidRPr="004752B4"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  <w:t>2,093,417,140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38BA" w14:textId="3ED10794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1FCC" w14:textId="3FC3C611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A1FC" w14:textId="640FFC6E" w:rsidR="006518F4" w:rsidRPr="00BF369C" w:rsidRDefault="006518F4" w:rsidP="006518F4">
            <w:pPr>
              <w:spacing w:line="240" w:lineRule="auto"/>
              <w:jc w:val="right"/>
              <w:rPr>
                <w:rFonts w:ascii="Calibri Light" w:hAnsi="Calibri Light" w:cs="Calibri Light"/>
                <w:sz w:val="16"/>
                <w:szCs w:val="18"/>
                <w:lang w:val="es-CR" w:eastAsia="es-CR"/>
              </w:rPr>
            </w:pPr>
          </w:p>
        </w:tc>
      </w:tr>
    </w:tbl>
    <w:p w14:paraId="071C6319" w14:textId="77777777" w:rsidR="006518F4" w:rsidRPr="00BF369C" w:rsidRDefault="006518F4" w:rsidP="006518F4">
      <w:pPr>
        <w:spacing w:line="240" w:lineRule="auto"/>
        <w:jc w:val="left"/>
        <w:rPr>
          <w:rFonts w:asciiTheme="minorHAnsi" w:hAnsiTheme="minorHAnsi" w:cstheme="minorHAnsi"/>
          <w:sz w:val="18"/>
          <w:szCs w:val="22"/>
          <w:lang w:val="es-CR"/>
        </w:rPr>
      </w:pPr>
    </w:p>
    <w:p w14:paraId="1318A199" w14:textId="77777777" w:rsidR="002F2009" w:rsidRPr="00BF369C" w:rsidRDefault="002F2009" w:rsidP="002F2009">
      <w:pPr>
        <w:rPr>
          <w:rFonts w:asciiTheme="minorHAnsi" w:hAnsiTheme="minorHAnsi" w:cstheme="minorHAnsi"/>
          <w:lang w:val="es-CR"/>
        </w:rPr>
      </w:pPr>
    </w:p>
    <w:p w14:paraId="6881E925" w14:textId="77777777" w:rsidR="002F2009" w:rsidRPr="00BF369C" w:rsidRDefault="002F2009" w:rsidP="00225437">
      <w:pPr>
        <w:rPr>
          <w:rFonts w:asciiTheme="minorHAnsi" w:hAnsiTheme="minorHAnsi" w:cstheme="minorHAnsi"/>
          <w:lang w:val="es-CR"/>
        </w:rPr>
      </w:pPr>
    </w:p>
    <w:p w14:paraId="7A387184" w14:textId="5B602DC0" w:rsidR="0050400F" w:rsidRPr="00BF369C" w:rsidRDefault="002F2009" w:rsidP="00EA6326">
      <w:pPr>
        <w:pStyle w:val="Ttulo2"/>
        <w:numPr>
          <w:ilvl w:val="1"/>
          <w:numId w:val="2"/>
        </w:numPr>
        <w:rPr>
          <w:rStyle w:val="nfasisintenso"/>
          <w:b/>
          <w:color w:val="auto"/>
          <w:szCs w:val="28"/>
        </w:rPr>
      </w:pPr>
      <w:bookmarkStart w:id="9" w:name="_Toc45532996"/>
      <w:r w:rsidRPr="00BF369C">
        <w:rPr>
          <w:rStyle w:val="nfasisintenso"/>
          <w:b/>
          <w:color w:val="auto"/>
          <w:szCs w:val="28"/>
        </w:rPr>
        <w:t>Comportamiento de la ejecución de</w:t>
      </w:r>
      <w:r w:rsidR="00BC04CE" w:rsidRPr="00BF369C">
        <w:rPr>
          <w:rStyle w:val="nfasisintenso"/>
          <w:b/>
          <w:color w:val="auto"/>
          <w:szCs w:val="28"/>
        </w:rPr>
        <w:t xml:space="preserve"> los</w:t>
      </w:r>
      <w:r w:rsidRPr="00BF369C">
        <w:rPr>
          <w:rStyle w:val="nfasisintenso"/>
          <w:b/>
          <w:color w:val="auto"/>
          <w:szCs w:val="28"/>
        </w:rPr>
        <w:t xml:space="preserve"> gastos</w:t>
      </w:r>
      <w:bookmarkEnd w:id="9"/>
    </w:p>
    <w:p w14:paraId="08DA1D06" w14:textId="2ADD9E1B" w:rsidR="0050400F" w:rsidRPr="00BF369C" w:rsidRDefault="0050400F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38A317F5" w14:textId="2D9BC468" w:rsidR="0012121A" w:rsidRPr="00BF369C" w:rsidRDefault="0012121A" w:rsidP="000A773F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A la fecha de este informe, la ejecución real del presupuesto fue de </w:t>
      </w:r>
      <w:r w:rsidR="0057585F">
        <w:rPr>
          <w:rFonts w:asciiTheme="minorHAnsi" w:hAnsiTheme="minorHAnsi" w:cstheme="minorHAnsi"/>
          <w:sz w:val="24"/>
          <w:szCs w:val="24"/>
          <w:lang w:val="es-CR"/>
        </w:rPr>
        <w:t>37,08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%, lo cual representa un gasto de ¢ </w:t>
      </w:r>
      <w:r w:rsidR="0057585F">
        <w:rPr>
          <w:rFonts w:asciiTheme="minorHAnsi" w:hAnsiTheme="minorHAnsi" w:cstheme="minorHAnsi"/>
          <w:sz w:val="24"/>
          <w:szCs w:val="24"/>
          <w:lang w:val="es-CR"/>
        </w:rPr>
        <w:t>2.093,4</w:t>
      </w:r>
      <w:r w:rsidR="004314D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>millones.</w:t>
      </w:r>
    </w:p>
    <w:p w14:paraId="7235E36F" w14:textId="39D239FE" w:rsidR="000A773F" w:rsidRPr="00BF369C" w:rsidRDefault="000A773F" w:rsidP="000A773F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18632106" w14:textId="0F362DE6" w:rsidR="000A773F" w:rsidRPr="00BF369C" w:rsidRDefault="000A773F" w:rsidP="000A773F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La ejecución del presupuesto de egresos se realiz</w:t>
      </w:r>
      <w:r w:rsidR="000D3052">
        <w:rPr>
          <w:rFonts w:asciiTheme="minorHAnsi" w:hAnsiTheme="minorHAnsi" w:cstheme="minorHAnsi"/>
          <w:sz w:val="24"/>
          <w:szCs w:val="24"/>
          <w:lang w:val="es-CR"/>
        </w:rPr>
        <w:t>ó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en apego del compromiso adquirido, en cumplimiento de las políticas de austeridad dictadas por las autoridades superiores, procurando que estas disposiciones no menoscaben la consecución de las metas </w:t>
      </w:r>
      <w:r w:rsidR="004C0F12" w:rsidRPr="00BF369C">
        <w:rPr>
          <w:rFonts w:asciiTheme="minorHAnsi" w:hAnsiTheme="minorHAnsi" w:cstheme="minorHAnsi"/>
          <w:sz w:val="24"/>
          <w:szCs w:val="24"/>
          <w:lang w:val="es-CR"/>
        </w:rPr>
        <w:t>establecidas</w:t>
      </w:r>
      <w:r w:rsidR="007A74D3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y el desempeño de las responsabilidades </w:t>
      </w:r>
      <w:r w:rsidR="007A74D3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legales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>propias de la institución.</w:t>
      </w:r>
    </w:p>
    <w:p w14:paraId="2DF694DC" w14:textId="77777777" w:rsidR="000A773F" w:rsidRPr="00BF369C" w:rsidRDefault="000A773F" w:rsidP="000A773F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0607C29C" w14:textId="3017C73E" w:rsidR="005815B2" w:rsidRPr="00BF369C" w:rsidRDefault="00750B9D" w:rsidP="00225437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En el siguiente cuadro s</w:t>
      </w:r>
      <w:r w:rsidR="00AF1B8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 detalla la ejecución presupuestaria para las partidas </w:t>
      </w:r>
      <w:r w:rsidR="000C7AE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a nivel de cuentas de mayor </w:t>
      </w:r>
      <w:r w:rsidR="00AF1B87" w:rsidRPr="00BF369C">
        <w:rPr>
          <w:rFonts w:asciiTheme="minorHAnsi" w:hAnsiTheme="minorHAnsi" w:cstheme="minorHAnsi"/>
          <w:sz w:val="24"/>
          <w:szCs w:val="24"/>
          <w:lang w:val="es-CR"/>
        </w:rPr>
        <w:t>del presupuesto asignado:</w:t>
      </w:r>
    </w:p>
    <w:p w14:paraId="02D3443A" w14:textId="77777777" w:rsidR="002A3896" w:rsidRPr="00BF369C" w:rsidRDefault="002A3896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7C8F4E46" w14:textId="6FD12614" w:rsidR="0041579B" w:rsidRPr="00BF369C" w:rsidRDefault="0041579B" w:rsidP="00BE5043">
      <w:pPr>
        <w:spacing w:line="240" w:lineRule="auto"/>
        <w:ind w:left="284"/>
        <w:jc w:val="left"/>
        <w:rPr>
          <w:rFonts w:asciiTheme="minorHAnsi" w:hAnsiTheme="minorHAnsi" w:cstheme="minorHAnsi"/>
          <w:b/>
          <w:sz w:val="24"/>
          <w:szCs w:val="22"/>
          <w:lang w:val="es-CR"/>
        </w:rPr>
      </w:pPr>
      <w:r w:rsidRPr="00BF369C">
        <w:rPr>
          <w:rFonts w:asciiTheme="minorHAnsi" w:hAnsiTheme="minorHAnsi" w:cstheme="minorHAnsi"/>
          <w:sz w:val="24"/>
          <w:szCs w:val="22"/>
          <w:lang w:val="es-CR"/>
        </w:rPr>
        <w:t xml:space="preserve">Cuadro 2: </w:t>
      </w:r>
      <w:r w:rsidRPr="00BF369C">
        <w:rPr>
          <w:rFonts w:asciiTheme="minorHAnsi" w:hAnsiTheme="minorHAnsi" w:cstheme="minorHAnsi"/>
          <w:b/>
          <w:sz w:val="24"/>
          <w:szCs w:val="22"/>
          <w:lang w:val="es-CR"/>
        </w:rPr>
        <w:t xml:space="preserve">Detalle de </w:t>
      </w:r>
      <w:r w:rsidR="00EB1211" w:rsidRPr="00BF369C">
        <w:rPr>
          <w:rFonts w:asciiTheme="minorHAnsi" w:hAnsiTheme="minorHAnsi" w:cstheme="minorHAnsi"/>
          <w:b/>
          <w:sz w:val="24"/>
          <w:szCs w:val="22"/>
          <w:lang w:val="es-CR"/>
        </w:rPr>
        <w:t>E</w:t>
      </w:r>
      <w:r w:rsidRPr="00BF369C">
        <w:rPr>
          <w:rFonts w:asciiTheme="minorHAnsi" w:hAnsiTheme="minorHAnsi" w:cstheme="minorHAnsi"/>
          <w:b/>
          <w:sz w:val="24"/>
          <w:szCs w:val="22"/>
          <w:lang w:val="es-CR"/>
        </w:rPr>
        <w:t xml:space="preserve">gresos </w:t>
      </w:r>
    </w:p>
    <w:p w14:paraId="76E739DE" w14:textId="019E3F49" w:rsidR="005C2FB5" w:rsidRPr="00BF369C" w:rsidRDefault="005C2FB5" w:rsidP="00BE5043">
      <w:pPr>
        <w:spacing w:line="240" w:lineRule="auto"/>
        <w:ind w:left="284"/>
        <w:jc w:val="left"/>
        <w:rPr>
          <w:rFonts w:asciiTheme="minorHAnsi" w:hAnsiTheme="minorHAnsi" w:cstheme="minorHAnsi"/>
          <w:sz w:val="20"/>
          <w:szCs w:val="22"/>
          <w:lang w:val="es-CR"/>
        </w:rPr>
      </w:pPr>
      <w:r w:rsidRPr="00BF369C">
        <w:rPr>
          <w:rFonts w:asciiTheme="minorHAnsi" w:hAnsiTheme="minorHAnsi" w:cstheme="minorHAnsi"/>
          <w:sz w:val="20"/>
          <w:szCs w:val="22"/>
          <w:lang w:val="es-CR"/>
        </w:rPr>
        <w:t>3</w:t>
      </w:r>
      <w:r w:rsidR="0029309D">
        <w:rPr>
          <w:rFonts w:asciiTheme="minorHAnsi" w:hAnsiTheme="minorHAnsi" w:cstheme="minorHAnsi"/>
          <w:sz w:val="20"/>
          <w:szCs w:val="22"/>
          <w:lang w:val="es-CR"/>
        </w:rPr>
        <w:t>0</w:t>
      </w:r>
      <w:r w:rsidRPr="00BF369C">
        <w:rPr>
          <w:rFonts w:asciiTheme="minorHAnsi" w:hAnsiTheme="minorHAnsi" w:cstheme="minorHAnsi"/>
          <w:sz w:val="20"/>
          <w:szCs w:val="22"/>
          <w:lang w:val="es-CR"/>
        </w:rPr>
        <w:t xml:space="preserve"> de </w:t>
      </w:r>
      <w:r w:rsidR="0029309D">
        <w:rPr>
          <w:rFonts w:asciiTheme="minorHAnsi" w:hAnsiTheme="minorHAnsi" w:cstheme="minorHAnsi"/>
          <w:sz w:val="20"/>
          <w:szCs w:val="22"/>
          <w:lang w:val="es-CR"/>
        </w:rPr>
        <w:t>junio</w:t>
      </w:r>
      <w:r w:rsidRPr="00BF369C">
        <w:rPr>
          <w:rFonts w:asciiTheme="minorHAnsi" w:hAnsiTheme="minorHAnsi" w:cstheme="minorHAnsi"/>
          <w:sz w:val="20"/>
          <w:szCs w:val="22"/>
          <w:lang w:val="es-CR"/>
        </w:rPr>
        <w:t xml:space="preserve"> de 20</w:t>
      </w:r>
      <w:r w:rsidR="0029309D">
        <w:rPr>
          <w:rFonts w:asciiTheme="minorHAnsi" w:hAnsiTheme="minorHAnsi" w:cstheme="minorHAnsi"/>
          <w:sz w:val="20"/>
          <w:szCs w:val="22"/>
          <w:lang w:val="es-CR"/>
        </w:rPr>
        <w:t>20</w:t>
      </w:r>
    </w:p>
    <w:tbl>
      <w:tblPr>
        <w:tblW w:w="7513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2334"/>
        <w:gridCol w:w="1701"/>
        <w:gridCol w:w="1701"/>
        <w:gridCol w:w="1134"/>
      </w:tblGrid>
      <w:tr w:rsidR="00E50F62" w:rsidRPr="00BF369C" w14:paraId="47D73A43" w14:textId="77777777" w:rsidTr="00B3131D">
        <w:trPr>
          <w:trHeight w:val="615"/>
        </w:trPr>
        <w:tc>
          <w:tcPr>
            <w:tcW w:w="643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1FF7FA06" w14:textId="77777777" w:rsidR="00E50F62" w:rsidRPr="00BF369C" w:rsidRDefault="00E50F62" w:rsidP="00E50F62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Código</w:t>
            </w:r>
          </w:p>
        </w:tc>
        <w:tc>
          <w:tcPr>
            <w:tcW w:w="2334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073F8C07" w14:textId="77777777" w:rsidR="00E50F62" w:rsidRPr="00BF369C" w:rsidRDefault="00E50F62" w:rsidP="00E50F6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Partida Presupuestaria</w:t>
            </w:r>
          </w:p>
        </w:tc>
        <w:tc>
          <w:tcPr>
            <w:tcW w:w="1701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2BEBA5D6" w14:textId="77777777" w:rsidR="00E50F62" w:rsidRPr="00BF369C" w:rsidRDefault="00E50F62" w:rsidP="00E50F6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Presupuesto</w:t>
            </w:r>
          </w:p>
        </w:tc>
        <w:tc>
          <w:tcPr>
            <w:tcW w:w="1701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0A45CC8D" w14:textId="77777777" w:rsidR="00E50F62" w:rsidRPr="00BF369C" w:rsidRDefault="00E50F62" w:rsidP="00E50F6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Gasto</w:t>
            </w:r>
          </w:p>
        </w:tc>
        <w:tc>
          <w:tcPr>
            <w:tcW w:w="1134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32C4ED7A" w14:textId="77777777" w:rsidR="00E50F62" w:rsidRPr="00BF369C" w:rsidRDefault="00E50F62" w:rsidP="00E50F6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Porcentaje</w:t>
            </w:r>
          </w:p>
        </w:tc>
      </w:tr>
      <w:tr w:rsidR="00E920AD" w:rsidRPr="00BF369C" w14:paraId="333FFD45" w14:textId="77777777" w:rsidTr="00B3131D">
        <w:trPr>
          <w:trHeight w:val="41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71F" w14:textId="77777777" w:rsidR="00E920AD" w:rsidRPr="00BF369C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E60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Remuneraciones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A8F7" w14:textId="4A075A61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3,220,599,412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01BE" w14:textId="3676C2C0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1,249,414,087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B329" w14:textId="550F8AA1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39%</w:t>
            </w:r>
          </w:p>
        </w:tc>
      </w:tr>
      <w:tr w:rsidR="00E920AD" w:rsidRPr="00BF369C" w14:paraId="284545E6" w14:textId="77777777" w:rsidTr="00B3131D">
        <w:trPr>
          <w:trHeight w:val="4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FD95" w14:textId="77777777" w:rsidR="00E920AD" w:rsidRPr="00BF369C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1BD7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Servicios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D15B" w14:textId="2FFB2EAF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2,276,370,957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907D" w14:textId="335C440B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800,149,467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CBC7" w14:textId="4401A9A3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35%</w:t>
            </w:r>
          </w:p>
        </w:tc>
      </w:tr>
      <w:tr w:rsidR="00E920AD" w:rsidRPr="00BF369C" w14:paraId="7996D351" w14:textId="77777777" w:rsidTr="00B3131D">
        <w:trPr>
          <w:trHeight w:val="4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404D" w14:textId="77777777" w:rsidR="00E920AD" w:rsidRPr="00BF369C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6FB3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Material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FE2F" w14:textId="38304FFF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18,475,000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0C45" w14:textId="4AC5AB8F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1,842,991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7993" w14:textId="49588580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10%</w:t>
            </w:r>
          </w:p>
        </w:tc>
      </w:tr>
      <w:tr w:rsidR="00E920AD" w:rsidRPr="00BF369C" w14:paraId="72DAB96D" w14:textId="77777777" w:rsidTr="00B3131D">
        <w:trPr>
          <w:trHeight w:val="38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BF3E" w14:textId="77777777" w:rsidR="00E920AD" w:rsidRPr="00BF369C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67E4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Bienes Duraderos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82C7" w14:textId="61567F05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5,024,130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C3F7" w14:textId="7ED23B2E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B300" w14:textId="3370C34A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0%</w:t>
            </w:r>
          </w:p>
        </w:tc>
      </w:tr>
      <w:tr w:rsidR="00E920AD" w:rsidRPr="00BF369C" w14:paraId="557EAFC7" w14:textId="77777777" w:rsidTr="00B3131D">
        <w:trPr>
          <w:trHeight w:val="36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6DCD" w14:textId="77777777" w:rsidR="00E920AD" w:rsidRPr="00BF369C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3E31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Transferencias Corrientes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CD25" w14:textId="1FD2C334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125,315,400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DB4A" w14:textId="10006555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42,010,595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4701" w14:textId="705CABC7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34%</w:t>
            </w:r>
          </w:p>
        </w:tc>
      </w:tr>
      <w:tr w:rsidR="00E920AD" w:rsidRPr="00BF369C" w14:paraId="17F4B7FF" w14:textId="77777777" w:rsidTr="00B3131D">
        <w:trPr>
          <w:trHeight w:val="42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4AE5" w14:textId="77777777" w:rsidR="00E920AD" w:rsidRPr="00BF369C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18B9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Sumas sin Asignación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297A" w14:textId="0D2063C8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16F8" w14:textId="670619D6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0647" w14:textId="331BE8B4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sz w:val="18"/>
                <w:szCs w:val="18"/>
              </w:rPr>
              <w:t>0%</w:t>
            </w:r>
          </w:p>
        </w:tc>
      </w:tr>
      <w:tr w:rsidR="00E920AD" w:rsidRPr="00BF369C" w14:paraId="65B5448D" w14:textId="77777777" w:rsidTr="00B3131D">
        <w:trPr>
          <w:trHeight w:val="450"/>
        </w:trPr>
        <w:tc>
          <w:tcPr>
            <w:tcW w:w="643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22438230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334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12E62908" w14:textId="77777777" w:rsidR="00E920AD" w:rsidRPr="00BF369C" w:rsidRDefault="00E920AD" w:rsidP="00E920A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Total general</w:t>
            </w:r>
          </w:p>
        </w:tc>
        <w:tc>
          <w:tcPr>
            <w:tcW w:w="1701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22C0D739" w14:textId="34080401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5,645,784,899</w:t>
            </w:r>
          </w:p>
        </w:tc>
        <w:tc>
          <w:tcPr>
            <w:tcW w:w="1701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5B0D6BD7" w14:textId="1D4F091A" w:rsidR="00E920AD" w:rsidRPr="00E920AD" w:rsidRDefault="00E920AD" w:rsidP="00E920AD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2,093,417,140</w:t>
            </w:r>
          </w:p>
        </w:tc>
        <w:tc>
          <w:tcPr>
            <w:tcW w:w="1134" w:type="dxa"/>
            <w:tcBorders>
              <w:top w:val="single" w:sz="8" w:space="0" w:color="2F75B5"/>
              <w:left w:val="nil"/>
              <w:bottom w:val="single" w:sz="8" w:space="0" w:color="2F75B5"/>
              <w:right w:val="nil"/>
            </w:tcBorders>
            <w:shd w:val="clear" w:color="000000" w:fill="D6DCE4"/>
            <w:noWrap/>
            <w:vAlign w:val="center"/>
            <w:hideMark/>
          </w:tcPr>
          <w:p w14:paraId="2CEEF18C" w14:textId="7AED733B" w:rsidR="00E920AD" w:rsidRPr="00E920AD" w:rsidRDefault="00E920AD" w:rsidP="00E920A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E920A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37%</w:t>
            </w:r>
          </w:p>
        </w:tc>
      </w:tr>
    </w:tbl>
    <w:p w14:paraId="60380F6C" w14:textId="61B49A91" w:rsidR="00D97FD1" w:rsidRPr="00BF369C" w:rsidRDefault="00D97FD1" w:rsidP="00BE5043">
      <w:pPr>
        <w:spacing w:line="240" w:lineRule="auto"/>
        <w:ind w:left="284"/>
        <w:jc w:val="left"/>
        <w:rPr>
          <w:rFonts w:asciiTheme="minorHAnsi" w:hAnsiTheme="minorHAnsi" w:cstheme="minorHAnsi"/>
          <w:sz w:val="20"/>
          <w:szCs w:val="22"/>
          <w:lang w:val="es-CR"/>
        </w:rPr>
      </w:pPr>
    </w:p>
    <w:p w14:paraId="689AA1F0" w14:textId="588A32F4" w:rsidR="00D97FD1" w:rsidRPr="00BF369C" w:rsidRDefault="00D97FD1" w:rsidP="00BE5043">
      <w:pPr>
        <w:spacing w:line="240" w:lineRule="auto"/>
        <w:ind w:left="284"/>
        <w:jc w:val="left"/>
        <w:rPr>
          <w:rFonts w:asciiTheme="minorHAnsi" w:hAnsiTheme="minorHAnsi" w:cstheme="minorHAnsi"/>
          <w:sz w:val="20"/>
          <w:szCs w:val="22"/>
          <w:lang w:val="es-CR"/>
        </w:rPr>
      </w:pPr>
    </w:p>
    <w:p w14:paraId="48D1A291" w14:textId="77777777" w:rsidR="00D97FD1" w:rsidRPr="00BF369C" w:rsidRDefault="00D97FD1" w:rsidP="00BE5043">
      <w:pPr>
        <w:spacing w:line="240" w:lineRule="auto"/>
        <w:ind w:left="284"/>
        <w:jc w:val="left"/>
        <w:rPr>
          <w:rFonts w:asciiTheme="minorHAnsi" w:hAnsiTheme="minorHAnsi" w:cstheme="minorHAnsi"/>
          <w:sz w:val="20"/>
          <w:szCs w:val="22"/>
          <w:lang w:val="es-CR"/>
        </w:rPr>
      </w:pPr>
    </w:p>
    <w:p w14:paraId="4B14D914" w14:textId="14A36DD3" w:rsidR="0025570E" w:rsidRPr="00BF369C" w:rsidRDefault="00B3477C" w:rsidP="0043566D">
      <w:pPr>
        <w:pStyle w:val="Textoindependiente"/>
        <w:numPr>
          <w:ilvl w:val="0"/>
          <w:numId w:val="0"/>
        </w:numPr>
        <w:rPr>
          <w:rFonts w:asciiTheme="minorHAnsi" w:hAnsiTheme="minorHAnsi" w:cstheme="minorHAnsi"/>
          <w:szCs w:val="24"/>
          <w:lang w:val="es-CR"/>
        </w:rPr>
      </w:pPr>
      <w:r w:rsidRPr="00BF369C">
        <w:rPr>
          <w:rFonts w:asciiTheme="minorHAnsi" w:hAnsiTheme="minorHAnsi" w:cstheme="minorHAnsi"/>
          <w:szCs w:val="24"/>
          <w:lang w:val="es-CR"/>
        </w:rPr>
        <w:t xml:space="preserve">Al estar </w:t>
      </w:r>
      <w:r w:rsidR="005C2FB5" w:rsidRPr="00BF369C">
        <w:rPr>
          <w:rFonts w:asciiTheme="minorHAnsi" w:hAnsiTheme="minorHAnsi" w:cstheme="minorHAnsi"/>
          <w:szCs w:val="24"/>
          <w:lang w:val="es-CR"/>
        </w:rPr>
        <w:t>determinad</w:t>
      </w:r>
      <w:r w:rsidR="004C218A" w:rsidRPr="00BF369C">
        <w:rPr>
          <w:rFonts w:asciiTheme="minorHAnsi" w:hAnsiTheme="minorHAnsi" w:cstheme="minorHAnsi"/>
          <w:szCs w:val="24"/>
          <w:lang w:val="es-CR"/>
        </w:rPr>
        <w:t>a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</w:t>
      </w:r>
      <w:r w:rsidR="008F4B27" w:rsidRPr="00BF369C">
        <w:rPr>
          <w:rFonts w:asciiTheme="minorHAnsi" w:hAnsiTheme="minorHAnsi" w:cstheme="minorHAnsi"/>
          <w:szCs w:val="24"/>
          <w:lang w:val="es-CR"/>
        </w:rPr>
        <w:t xml:space="preserve">por Ley 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la manera </w:t>
      </w:r>
      <w:r w:rsidR="0089684C" w:rsidRPr="00BF369C">
        <w:rPr>
          <w:rFonts w:asciiTheme="minorHAnsi" w:hAnsiTheme="minorHAnsi" w:cstheme="minorHAnsi"/>
          <w:szCs w:val="24"/>
          <w:lang w:val="es-CR"/>
        </w:rPr>
        <w:t xml:space="preserve">en que las Superintendencias </w:t>
      </w:r>
      <w:r w:rsidRPr="00BF369C">
        <w:rPr>
          <w:rFonts w:asciiTheme="minorHAnsi" w:hAnsiTheme="minorHAnsi" w:cstheme="minorHAnsi"/>
          <w:szCs w:val="24"/>
          <w:lang w:val="es-CR"/>
        </w:rPr>
        <w:t>recib</w:t>
      </w:r>
      <w:r w:rsidR="0089684C" w:rsidRPr="00BF369C">
        <w:rPr>
          <w:rFonts w:asciiTheme="minorHAnsi" w:hAnsiTheme="minorHAnsi" w:cstheme="minorHAnsi"/>
          <w:szCs w:val="24"/>
          <w:lang w:val="es-CR"/>
        </w:rPr>
        <w:t>en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los </w:t>
      </w:r>
      <w:r w:rsidR="005C2FB5" w:rsidRPr="00BF369C">
        <w:rPr>
          <w:rFonts w:asciiTheme="minorHAnsi" w:hAnsiTheme="minorHAnsi" w:cstheme="minorHAnsi"/>
          <w:szCs w:val="24"/>
          <w:lang w:val="es-CR"/>
        </w:rPr>
        <w:t>ingresos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</w:t>
      </w:r>
      <w:r w:rsidR="00195489" w:rsidRPr="00BF369C">
        <w:rPr>
          <w:rFonts w:asciiTheme="minorHAnsi" w:hAnsiTheme="minorHAnsi" w:cstheme="minorHAnsi"/>
          <w:szCs w:val="24"/>
          <w:lang w:val="es-CR"/>
        </w:rPr>
        <w:t xml:space="preserve">incide 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de forma directa </w:t>
      </w:r>
      <w:r w:rsidR="003C533F" w:rsidRPr="00BF369C">
        <w:rPr>
          <w:rFonts w:asciiTheme="minorHAnsi" w:hAnsiTheme="minorHAnsi" w:cstheme="minorHAnsi"/>
          <w:szCs w:val="24"/>
          <w:lang w:val="es-CR"/>
        </w:rPr>
        <w:t>para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que no </w:t>
      </w:r>
      <w:r w:rsidR="00045BCD" w:rsidRPr="00BF369C">
        <w:rPr>
          <w:rFonts w:asciiTheme="minorHAnsi" w:hAnsiTheme="minorHAnsi" w:cstheme="minorHAnsi"/>
          <w:szCs w:val="24"/>
          <w:lang w:val="es-CR"/>
        </w:rPr>
        <w:t>haya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limitaciones</w:t>
      </w:r>
      <w:r w:rsidR="00195489" w:rsidRPr="00BF369C">
        <w:rPr>
          <w:rFonts w:asciiTheme="minorHAnsi" w:hAnsiTheme="minorHAnsi" w:cstheme="minorHAnsi"/>
          <w:szCs w:val="24"/>
          <w:lang w:val="es-CR"/>
        </w:rPr>
        <w:t xml:space="preserve"> </w:t>
      </w:r>
      <w:r w:rsidR="001757C4" w:rsidRPr="00BF369C">
        <w:rPr>
          <w:rFonts w:asciiTheme="minorHAnsi" w:hAnsiTheme="minorHAnsi" w:cstheme="minorHAnsi"/>
          <w:szCs w:val="24"/>
          <w:lang w:val="es-CR"/>
        </w:rPr>
        <w:t xml:space="preserve">económicas </w:t>
      </w:r>
      <w:r w:rsidR="00E92077" w:rsidRPr="00BF369C">
        <w:rPr>
          <w:rFonts w:asciiTheme="minorHAnsi" w:hAnsiTheme="minorHAnsi" w:cstheme="minorHAnsi"/>
          <w:szCs w:val="24"/>
          <w:lang w:val="es-CR"/>
        </w:rPr>
        <w:t>para recibir</w:t>
      </w:r>
      <w:r w:rsidR="00881F2D" w:rsidRPr="00BF369C">
        <w:rPr>
          <w:rFonts w:asciiTheme="minorHAnsi" w:hAnsiTheme="minorHAnsi" w:cstheme="minorHAnsi"/>
          <w:szCs w:val="24"/>
          <w:lang w:val="es-CR"/>
        </w:rPr>
        <w:t xml:space="preserve"> </w:t>
      </w:r>
      <w:r w:rsidR="00E92077" w:rsidRPr="00BF369C">
        <w:rPr>
          <w:rFonts w:asciiTheme="minorHAnsi" w:hAnsiTheme="minorHAnsi" w:cstheme="minorHAnsi"/>
          <w:szCs w:val="24"/>
          <w:lang w:val="es-CR"/>
        </w:rPr>
        <w:t>los</w:t>
      </w:r>
      <w:r w:rsidR="00881F2D" w:rsidRPr="00BF369C">
        <w:rPr>
          <w:rFonts w:asciiTheme="minorHAnsi" w:hAnsiTheme="minorHAnsi" w:cstheme="minorHAnsi"/>
          <w:szCs w:val="24"/>
          <w:lang w:val="es-CR"/>
        </w:rPr>
        <w:t xml:space="preserve"> recursos</w:t>
      </w:r>
      <w:r w:rsidR="007C55B6" w:rsidRPr="00BF369C">
        <w:rPr>
          <w:rFonts w:asciiTheme="minorHAnsi" w:hAnsiTheme="minorHAnsi" w:cstheme="minorHAnsi"/>
          <w:szCs w:val="24"/>
          <w:lang w:val="es-CR"/>
        </w:rPr>
        <w:t xml:space="preserve"> presupuestarios</w:t>
      </w:r>
      <w:r w:rsidR="003C533F" w:rsidRPr="00BF369C">
        <w:rPr>
          <w:rFonts w:asciiTheme="minorHAnsi" w:hAnsiTheme="minorHAnsi" w:cstheme="minorHAnsi"/>
          <w:szCs w:val="24"/>
          <w:lang w:val="es-CR"/>
        </w:rPr>
        <w:t xml:space="preserve">, </w:t>
      </w:r>
      <w:r w:rsidR="00B42B61" w:rsidRPr="00BF369C">
        <w:rPr>
          <w:rFonts w:asciiTheme="minorHAnsi" w:hAnsiTheme="minorHAnsi" w:cstheme="minorHAnsi"/>
          <w:szCs w:val="24"/>
          <w:lang w:val="es-CR"/>
        </w:rPr>
        <w:t xml:space="preserve">en consecuencia, </w:t>
      </w:r>
      <w:r w:rsidR="007C6C1A" w:rsidRPr="00BF369C">
        <w:rPr>
          <w:rFonts w:asciiTheme="minorHAnsi" w:hAnsiTheme="minorHAnsi" w:cstheme="minorHAnsi"/>
          <w:szCs w:val="24"/>
          <w:lang w:val="es-CR"/>
        </w:rPr>
        <w:t xml:space="preserve">tampoco se presentan limitaciones para la ejecución de los gastos </w:t>
      </w:r>
      <w:r w:rsidR="008074AF" w:rsidRPr="00BF369C">
        <w:rPr>
          <w:rFonts w:asciiTheme="minorHAnsi" w:hAnsiTheme="minorHAnsi" w:cstheme="minorHAnsi"/>
          <w:szCs w:val="24"/>
          <w:lang w:val="es-CR"/>
        </w:rPr>
        <w:t>programados</w:t>
      </w:r>
      <w:r w:rsidR="001757C4" w:rsidRPr="00BF369C">
        <w:rPr>
          <w:rFonts w:asciiTheme="minorHAnsi" w:hAnsiTheme="minorHAnsi" w:cstheme="minorHAnsi"/>
          <w:szCs w:val="24"/>
          <w:lang w:val="es-CR"/>
        </w:rPr>
        <w:t>.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</w:t>
      </w:r>
      <w:r w:rsidR="008074AF" w:rsidRPr="00BF369C">
        <w:rPr>
          <w:rFonts w:asciiTheme="minorHAnsi" w:hAnsiTheme="minorHAnsi" w:cstheme="minorHAnsi"/>
          <w:szCs w:val="24"/>
          <w:lang w:val="es-CR"/>
        </w:rPr>
        <w:t>Así las cosas, no hay limitaciones que enumerar en este apartado.</w:t>
      </w:r>
    </w:p>
    <w:p w14:paraId="7DE76889" w14:textId="31A249C1" w:rsidR="001824AE" w:rsidRPr="00BF369C" w:rsidRDefault="001824AE" w:rsidP="0043566D">
      <w:pPr>
        <w:pStyle w:val="Textoindependiente"/>
        <w:numPr>
          <w:ilvl w:val="0"/>
          <w:numId w:val="0"/>
        </w:numPr>
        <w:rPr>
          <w:rFonts w:asciiTheme="minorHAnsi" w:hAnsiTheme="minorHAnsi" w:cstheme="minorHAnsi"/>
          <w:szCs w:val="24"/>
          <w:lang w:val="es-CR"/>
        </w:rPr>
      </w:pPr>
    </w:p>
    <w:p w14:paraId="39F43FDD" w14:textId="104EFF41" w:rsidR="001824AE" w:rsidRPr="00BF369C" w:rsidRDefault="001824AE" w:rsidP="0043566D">
      <w:pPr>
        <w:pStyle w:val="Textoindependiente"/>
        <w:numPr>
          <w:ilvl w:val="0"/>
          <w:numId w:val="0"/>
        </w:numPr>
        <w:rPr>
          <w:rFonts w:asciiTheme="minorHAnsi" w:hAnsiTheme="minorHAnsi" w:cstheme="minorHAnsi"/>
          <w:szCs w:val="24"/>
          <w:lang w:val="es-CR"/>
        </w:rPr>
      </w:pPr>
    </w:p>
    <w:p w14:paraId="000362F6" w14:textId="20650CC5" w:rsidR="002F2009" w:rsidRPr="00BF369C" w:rsidRDefault="002F2009" w:rsidP="002F2009">
      <w:pPr>
        <w:pStyle w:val="Ttulo1"/>
        <w:numPr>
          <w:ilvl w:val="0"/>
          <w:numId w:val="2"/>
        </w:numPr>
        <w:shd w:val="clear" w:color="auto" w:fill="DBE5F1" w:themeFill="accent1" w:themeFillTint="33"/>
        <w:spacing w:line="288" w:lineRule="auto"/>
        <w:rPr>
          <w:rFonts w:asciiTheme="minorHAnsi" w:hAnsiTheme="minorHAnsi" w:cstheme="minorHAnsi"/>
          <w:szCs w:val="28"/>
          <w:lang w:val="es-CR"/>
        </w:rPr>
      </w:pPr>
      <w:bookmarkStart w:id="10" w:name="_Toc45532997"/>
      <w:r w:rsidRPr="00BF369C">
        <w:rPr>
          <w:rFonts w:asciiTheme="minorHAnsi" w:hAnsiTheme="minorHAnsi" w:cstheme="minorHAnsi"/>
          <w:sz w:val="28"/>
          <w:szCs w:val="28"/>
          <w:lang w:val="es-CR"/>
        </w:rPr>
        <w:t>RESULTADO DE LA EJECUCI</w:t>
      </w:r>
      <w:r w:rsidR="00A93F11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ÓN </w:t>
      </w:r>
      <w:r w:rsidRPr="00BF369C">
        <w:rPr>
          <w:rFonts w:asciiTheme="minorHAnsi" w:hAnsiTheme="minorHAnsi" w:cstheme="minorHAnsi"/>
          <w:sz w:val="28"/>
          <w:szCs w:val="28"/>
          <w:lang w:val="es-CR"/>
        </w:rPr>
        <w:t>-SUPERÁVIT O DÉFICIT-</w:t>
      </w:r>
      <w:r w:rsidR="00AD0001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AD0001" w:rsidRPr="00BF369C">
        <w:rPr>
          <w:rFonts w:asciiTheme="minorHAnsi" w:hAnsiTheme="minorHAnsi" w:cstheme="minorHAnsi"/>
          <w:b w:val="0"/>
          <w:sz w:val="16"/>
          <w:szCs w:val="28"/>
          <w:lang w:val="es-CR"/>
        </w:rPr>
        <w:t>(4.5.6 b. ii)</w:t>
      </w:r>
      <w:bookmarkEnd w:id="10"/>
    </w:p>
    <w:p w14:paraId="64CC7669" w14:textId="427B6343" w:rsidR="002F2009" w:rsidRPr="00BF369C" w:rsidRDefault="002F2009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5F2AB211" w14:textId="650C5852" w:rsidR="0050400F" w:rsidRPr="00BF369C" w:rsidRDefault="007E5C75" w:rsidP="00225437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En e</w:t>
      </w:r>
      <w:r w:rsidR="00631054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 siguiente cuadro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se </w:t>
      </w:r>
      <w:r w:rsidR="00631054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representa </w:t>
      </w:r>
      <w:r w:rsidR="004C218A" w:rsidRPr="00BF369C">
        <w:rPr>
          <w:rFonts w:asciiTheme="minorHAnsi" w:hAnsiTheme="minorHAnsi" w:cstheme="minorHAnsi"/>
          <w:sz w:val="24"/>
          <w:szCs w:val="24"/>
          <w:lang w:val="es-CR"/>
        </w:rPr>
        <w:t>el comportamiento de</w:t>
      </w:r>
      <w:r w:rsidR="00631054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los ingresos en </w:t>
      </w:r>
      <w:r w:rsidR="00B7728D" w:rsidRPr="00BF369C">
        <w:rPr>
          <w:rFonts w:asciiTheme="minorHAnsi" w:hAnsiTheme="minorHAnsi" w:cstheme="minorHAnsi"/>
          <w:sz w:val="24"/>
          <w:szCs w:val="24"/>
          <w:lang w:val="es-CR"/>
        </w:rPr>
        <w:t>relación con los egresos</w:t>
      </w:r>
      <w:r w:rsidR="004C218A" w:rsidRPr="00BF369C">
        <w:rPr>
          <w:rFonts w:asciiTheme="minorHAnsi" w:hAnsiTheme="minorHAnsi" w:cstheme="minorHAnsi"/>
          <w:sz w:val="24"/>
          <w:szCs w:val="24"/>
          <w:lang w:val="es-CR"/>
        </w:rPr>
        <w:t>, para</w:t>
      </w:r>
      <w:r w:rsidR="009829B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este período</w:t>
      </w:r>
      <w:r w:rsidR="00A1087A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5915F34A" w14:textId="37347C0A" w:rsidR="00765DE8" w:rsidRDefault="00765DE8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es-CR"/>
        </w:rPr>
      </w:pPr>
      <w:r>
        <w:rPr>
          <w:rFonts w:asciiTheme="minorHAnsi" w:hAnsiTheme="minorHAnsi" w:cstheme="minorHAnsi"/>
          <w:sz w:val="24"/>
          <w:szCs w:val="24"/>
          <w:lang w:val="es-CR"/>
        </w:rPr>
        <w:br w:type="page"/>
      </w:r>
    </w:p>
    <w:p w14:paraId="50B827B0" w14:textId="7F7CB56C" w:rsidR="00A93F11" w:rsidRPr="00BF369C" w:rsidRDefault="005C2FB5" w:rsidP="00BA2E0A">
      <w:pPr>
        <w:spacing w:line="240" w:lineRule="auto"/>
        <w:ind w:left="567"/>
        <w:rPr>
          <w:rFonts w:asciiTheme="minorHAnsi" w:hAnsiTheme="minorHAnsi" w:cstheme="minorHAnsi"/>
          <w:lang w:val="es-CR"/>
        </w:rPr>
      </w:pPr>
      <w:r w:rsidRPr="00BF369C">
        <w:rPr>
          <w:rFonts w:asciiTheme="minorHAnsi" w:hAnsiTheme="minorHAnsi" w:cstheme="minorHAnsi"/>
          <w:lang w:val="es-CR"/>
        </w:rPr>
        <w:lastRenderedPageBreak/>
        <w:t>Cuadro 3</w:t>
      </w:r>
      <w:r w:rsidR="00A93F11" w:rsidRPr="00BF369C">
        <w:rPr>
          <w:rFonts w:asciiTheme="minorHAnsi" w:hAnsiTheme="minorHAnsi" w:cstheme="minorHAnsi"/>
          <w:lang w:val="es-CR"/>
        </w:rPr>
        <w:t xml:space="preserve">: </w:t>
      </w:r>
      <w:r w:rsidR="00A93F11" w:rsidRPr="00BF369C">
        <w:rPr>
          <w:rFonts w:asciiTheme="minorHAnsi" w:hAnsiTheme="minorHAnsi" w:cstheme="minorHAnsi"/>
          <w:b/>
          <w:lang w:val="es-CR"/>
        </w:rPr>
        <w:t xml:space="preserve">Informe de </w:t>
      </w:r>
      <w:r w:rsidR="0028397E" w:rsidRPr="00BF369C">
        <w:rPr>
          <w:rFonts w:asciiTheme="minorHAnsi" w:hAnsiTheme="minorHAnsi" w:cstheme="minorHAnsi"/>
          <w:b/>
          <w:lang w:val="es-CR"/>
        </w:rPr>
        <w:t>S</w:t>
      </w:r>
      <w:r w:rsidR="00A93F11" w:rsidRPr="00BF369C">
        <w:rPr>
          <w:rFonts w:asciiTheme="minorHAnsi" w:hAnsiTheme="minorHAnsi" w:cstheme="minorHAnsi"/>
          <w:b/>
          <w:lang w:val="es-CR"/>
        </w:rPr>
        <w:t xml:space="preserve">uperávit o </w:t>
      </w:r>
      <w:r w:rsidR="0028397E" w:rsidRPr="00BF369C">
        <w:rPr>
          <w:rFonts w:asciiTheme="minorHAnsi" w:hAnsiTheme="minorHAnsi" w:cstheme="minorHAnsi"/>
          <w:b/>
          <w:lang w:val="es-CR"/>
        </w:rPr>
        <w:t>D</w:t>
      </w:r>
      <w:r w:rsidR="00A93F11" w:rsidRPr="00BF369C">
        <w:rPr>
          <w:rFonts w:asciiTheme="minorHAnsi" w:hAnsiTheme="minorHAnsi" w:cstheme="minorHAnsi"/>
          <w:b/>
          <w:lang w:val="es-CR"/>
        </w:rPr>
        <w:t>éficit</w:t>
      </w:r>
    </w:p>
    <w:p w14:paraId="43D7642D" w14:textId="0932A97A" w:rsidR="00A93F11" w:rsidRPr="00BF369C" w:rsidRDefault="00A93F11" w:rsidP="00BA2E0A">
      <w:pPr>
        <w:spacing w:line="240" w:lineRule="auto"/>
        <w:ind w:left="567"/>
        <w:rPr>
          <w:rFonts w:asciiTheme="minorHAnsi" w:hAnsiTheme="minorHAnsi" w:cstheme="minorHAnsi"/>
          <w:sz w:val="20"/>
          <w:lang w:val="es-CR"/>
        </w:rPr>
      </w:pPr>
      <w:r w:rsidRPr="00BF369C">
        <w:rPr>
          <w:rFonts w:asciiTheme="minorHAnsi" w:hAnsiTheme="minorHAnsi" w:cstheme="minorHAnsi"/>
          <w:sz w:val="20"/>
          <w:lang w:val="es-CR"/>
        </w:rPr>
        <w:t>3</w:t>
      </w:r>
      <w:r w:rsidR="00F71F13">
        <w:rPr>
          <w:rFonts w:asciiTheme="minorHAnsi" w:hAnsiTheme="minorHAnsi" w:cstheme="minorHAnsi"/>
          <w:sz w:val="20"/>
          <w:lang w:val="es-CR"/>
        </w:rPr>
        <w:t>0</w:t>
      </w:r>
      <w:r w:rsidRPr="00BF369C">
        <w:rPr>
          <w:rFonts w:asciiTheme="minorHAnsi" w:hAnsiTheme="minorHAnsi" w:cstheme="minorHAnsi"/>
          <w:sz w:val="20"/>
          <w:lang w:val="es-CR"/>
        </w:rPr>
        <w:t xml:space="preserve"> de </w:t>
      </w:r>
      <w:r w:rsidR="00F71F13">
        <w:rPr>
          <w:rFonts w:asciiTheme="minorHAnsi" w:hAnsiTheme="minorHAnsi" w:cstheme="minorHAnsi"/>
          <w:sz w:val="20"/>
          <w:lang w:val="es-CR"/>
        </w:rPr>
        <w:t>junio</w:t>
      </w:r>
      <w:r w:rsidR="005C2FB5" w:rsidRPr="00BF369C">
        <w:rPr>
          <w:rFonts w:asciiTheme="minorHAnsi" w:hAnsiTheme="minorHAnsi" w:cstheme="minorHAnsi"/>
          <w:sz w:val="20"/>
          <w:lang w:val="es-CR"/>
        </w:rPr>
        <w:t xml:space="preserve"> de 20</w:t>
      </w:r>
      <w:r w:rsidR="00F71F13">
        <w:rPr>
          <w:rFonts w:asciiTheme="minorHAnsi" w:hAnsiTheme="minorHAnsi" w:cstheme="minorHAnsi"/>
          <w:sz w:val="20"/>
          <w:lang w:val="es-CR"/>
        </w:rPr>
        <w:t>20</w:t>
      </w:r>
    </w:p>
    <w:tbl>
      <w:tblPr>
        <w:tblW w:w="759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56"/>
        <w:gridCol w:w="1956"/>
      </w:tblGrid>
      <w:tr w:rsidR="007E053B" w:rsidRPr="00BF369C" w14:paraId="79705CDD" w14:textId="77777777" w:rsidTr="00E75515">
        <w:trPr>
          <w:trHeight w:val="510"/>
        </w:trPr>
        <w:tc>
          <w:tcPr>
            <w:tcW w:w="3686" w:type="dxa"/>
            <w:shd w:val="clear" w:color="000000" w:fill="D9D9D9"/>
            <w:noWrap/>
            <w:vAlign w:val="center"/>
            <w:hideMark/>
          </w:tcPr>
          <w:p w14:paraId="16226FFD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Cs w:val="18"/>
                <w:lang w:val="es-CR" w:eastAsia="es-CR"/>
              </w:rPr>
              <w:t>Detalle</w:t>
            </w:r>
          </w:p>
        </w:tc>
        <w:tc>
          <w:tcPr>
            <w:tcW w:w="1956" w:type="dxa"/>
            <w:shd w:val="clear" w:color="000000" w:fill="D9D9D9"/>
            <w:noWrap/>
            <w:vAlign w:val="center"/>
            <w:hideMark/>
          </w:tcPr>
          <w:p w14:paraId="422F0990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Cs w:val="18"/>
                <w:lang w:val="es-CR" w:eastAsia="es-CR"/>
              </w:rPr>
              <w:t> </w:t>
            </w:r>
          </w:p>
        </w:tc>
        <w:tc>
          <w:tcPr>
            <w:tcW w:w="1956" w:type="dxa"/>
            <w:shd w:val="clear" w:color="000000" w:fill="D9D9D9"/>
            <w:noWrap/>
            <w:vAlign w:val="center"/>
            <w:hideMark/>
          </w:tcPr>
          <w:p w14:paraId="218EAC2F" w14:textId="77777777" w:rsidR="007E053B" w:rsidRPr="00BF369C" w:rsidRDefault="007E053B" w:rsidP="00E7551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Cs w:val="18"/>
                <w:lang w:val="es-CR" w:eastAsia="es-CR"/>
              </w:rPr>
              <w:t>Monto</w:t>
            </w:r>
          </w:p>
        </w:tc>
      </w:tr>
      <w:tr w:rsidR="007E053B" w:rsidRPr="00BF369C" w14:paraId="186425D0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6A789A9" w14:textId="77777777" w:rsidR="007E053B" w:rsidRPr="00BF369C" w:rsidRDefault="007E053B" w:rsidP="00E7551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44591081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7DB0539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033EAE82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0B68B0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1. Ingresos presupuestados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1BC16C2" w14:textId="73D4BD20" w:rsidR="007E053B" w:rsidRPr="00D231DE" w:rsidRDefault="00D231DE" w:rsidP="00D231DE">
            <w:pPr>
              <w:spacing w:line="240" w:lineRule="auto"/>
              <w:jc w:val="right"/>
              <w:rPr>
                <w:rFonts w:cs="Arial"/>
                <w:sz w:val="20"/>
                <w:lang w:val="es-CR" w:eastAsia="es-CR"/>
              </w:rPr>
            </w:pPr>
            <w:r w:rsidRPr="00D231DE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5,645,784,898.90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17C1DCC2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6B288839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B9754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   Ingresos devengados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3D4627B" w14:textId="2124CDC8" w:rsidR="007E053B" w:rsidRPr="00BF369C" w:rsidRDefault="00A16FFA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A16FFA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2,093,417,139.53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5D3030A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28A9EA59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CFEDAA3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816504B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7B13261C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5BDA36CA" w14:textId="77777777" w:rsidTr="00E75515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9901AA5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  <w:t>Superávit o pérdida de ingresos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485AFC4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58C8BC0" w14:textId="73E49F8C" w:rsidR="007E053B" w:rsidRPr="00BF369C" w:rsidRDefault="00A16FFA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(</w:t>
            </w:r>
            <w:r w:rsidRPr="00A16FFA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3,552,367,759.37</w:t>
            </w:r>
            <w:r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)</w:t>
            </w:r>
          </w:p>
        </w:tc>
      </w:tr>
      <w:tr w:rsidR="007E053B" w:rsidRPr="00BF369C" w14:paraId="0305C52A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D74CEC1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52CA71D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7D13FE0A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A47BF2" w:rsidRPr="00BF369C" w14:paraId="6EC772CA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6995BB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2. Egresos presupuestados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0A1E6A0" w14:textId="3BD226A6" w:rsidR="00A47BF2" w:rsidRPr="00BF369C" w:rsidRDefault="00A47BF2" w:rsidP="00A47BF2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D231DE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5,645,784,898.90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E1961BD" w14:textId="77777777" w:rsidR="00A47BF2" w:rsidRPr="00BF369C" w:rsidRDefault="00A47BF2" w:rsidP="00A47BF2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A47BF2" w:rsidRPr="00BF369C" w14:paraId="4F0BF59B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48B9522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   Total gastos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9E52CF8" w14:textId="094886ED" w:rsidR="00A47BF2" w:rsidRPr="00BF369C" w:rsidRDefault="00A47BF2" w:rsidP="00A47BF2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A16FFA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2,093,417,139.53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7FAE40F" w14:textId="77777777" w:rsidR="00A47BF2" w:rsidRPr="00BF369C" w:rsidRDefault="00A47BF2" w:rsidP="00A47BF2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A47BF2" w:rsidRPr="00BF369C" w14:paraId="13873013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8DA1334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11F67D8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CDF748E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A47BF2" w:rsidRPr="00BF369C" w14:paraId="7403BAB5" w14:textId="77777777" w:rsidTr="00E75515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44C08A1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  <w:t>Superávit o pérdida de egresos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3F3E1C4" w14:textId="77777777" w:rsidR="00A47BF2" w:rsidRPr="00BF369C" w:rsidRDefault="00A47BF2" w:rsidP="00A47BF2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E28F31F" w14:textId="7584697B" w:rsidR="00A47BF2" w:rsidRPr="00BF369C" w:rsidRDefault="00A47BF2" w:rsidP="00A47BF2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(</w:t>
            </w:r>
            <w:r w:rsidRPr="00A16FFA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3,552,367,759.37</w:t>
            </w:r>
            <w:r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)</w:t>
            </w:r>
          </w:p>
        </w:tc>
      </w:tr>
      <w:tr w:rsidR="007E053B" w:rsidRPr="00BF369C" w14:paraId="096A739F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E1EB8C6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BA36A0F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17288B08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179B59D1" w14:textId="77777777" w:rsidTr="00E75515">
        <w:trPr>
          <w:trHeight w:val="405"/>
        </w:trPr>
        <w:tc>
          <w:tcPr>
            <w:tcW w:w="3686" w:type="dxa"/>
            <w:shd w:val="clear" w:color="000000" w:fill="D9D9D9"/>
            <w:noWrap/>
            <w:vAlign w:val="center"/>
            <w:hideMark/>
          </w:tcPr>
          <w:p w14:paraId="53E259B3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  <w:t>TOTAL SUPERÁVIT</w:t>
            </w:r>
          </w:p>
        </w:tc>
        <w:tc>
          <w:tcPr>
            <w:tcW w:w="1956" w:type="dxa"/>
            <w:shd w:val="clear" w:color="000000" w:fill="D9D9D9"/>
            <w:noWrap/>
            <w:vAlign w:val="center"/>
            <w:hideMark/>
          </w:tcPr>
          <w:p w14:paraId="2D98180C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56" w:type="dxa"/>
            <w:shd w:val="clear" w:color="000000" w:fill="D9D9D9"/>
            <w:noWrap/>
            <w:vAlign w:val="center"/>
            <w:hideMark/>
          </w:tcPr>
          <w:p w14:paraId="3EDF4D0A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0.00</w:t>
            </w:r>
          </w:p>
        </w:tc>
      </w:tr>
      <w:tr w:rsidR="007E053B" w:rsidRPr="00BF369C" w14:paraId="5183C4A5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DD170F5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6E72C2A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D9613D7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7AF0B2B5" w14:textId="77777777" w:rsidTr="00E75515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71BC7DB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RESUMEN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FCEF53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11A17ACD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78F0D5AD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04B858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73210C11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5D8CB01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3B578AC8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4258C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Ingresos devengados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E54280C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D915430" w14:textId="5EC4A11B" w:rsidR="007E053B" w:rsidRPr="00BF369C" w:rsidRDefault="00A47BF2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A16FFA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2,093,417,139.53</w:t>
            </w:r>
          </w:p>
        </w:tc>
      </w:tr>
      <w:tr w:rsidR="007E053B" w:rsidRPr="00BF369C" w14:paraId="74235E86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873F03A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2D3A52F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C74B3D3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3CEF929D" w14:textId="77777777" w:rsidTr="00E75515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EE2659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Menos: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4A41C945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8D34AF6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386AAD7F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D8634E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166921D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7000FCA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311E8750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8EC2C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Total gastos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2D2CD0B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7C10F1F0" w14:textId="283DC12C" w:rsidR="007E053B" w:rsidRPr="00BF369C" w:rsidRDefault="00A47BF2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A16FFA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2,093,417,139.53</w:t>
            </w:r>
          </w:p>
        </w:tc>
      </w:tr>
      <w:tr w:rsidR="007E053B" w:rsidRPr="00BF369C" w14:paraId="2921CFF4" w14:textId="77777777" w:rsidTr="00E75515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B39DD1A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75E434DD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4ECCFD6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</w:tr>
      <w:tr w:rsidR="007E053B" w:rsidRPr="00BF369C" w14:paraId="18682076" w14:textId="77777777" w:rsidTr="00E75515">
        <w:trPr>
          <w:trHeight w:val="480"/>
        </w:trPr>
        <w:tc>
          <w:tcPr>
            <w:tcW w:w="3686" w:type="dxa"/>
            <w:shd w:val="clear" w:color="000000" w:fill="D9D9D9"/>
            <w:noWrap/>
            <w:vAlign w:val="center"/>
            <w:hideMark/>
          </w:tcPr>
          <w:p w14:paraId="11338954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u w:val="single"/>
                <w:lang w:val="es-CR" w:eastAsia="es-CR"/>
              </w:rPr>
              <w:t>SUPERÁVIT O PÉRDIDA</w:t>
            </w:r>
          </w:p>
        </w:tc>
        <w:tc>
          <w:tcPr>
            <w:tcW w:w="1956" w:type="dxa"/>
            <w:shd w:val="clear" w:color="000000" w:fill="D9D9D9"/>
            <w:noWrap/>
            <w:vAlign w:val="center"/>
            <w:hideMark/>
          </w:tcPr>
          <w:p w14:paraId="01280C26" w14:textId="77777777" w:rsidR="007E053B" w:rsidRPr="00BF369C" w:rsidRDefault="007E053B" w:rsidP="00E75515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56" w:type="dxa"/>
            <w:shd w:val="clear" w:color="000000" w:fill="D9D9D9"/>
            <w:noWrap/>
            <w:vAlign w:val="center"/>
            <w:hideMark/>
          </w:tcPr>
          <w:p w14:paraId="7866BCDB" w14:textId="77777777" w:rsidR="007E053B" w:rsidRPr="00BF369C" w:rsidRDefault="007E053B" w:rsidP="00E75515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0.00</w:t>
            </w:r>
          </w:p>
        </w:tc>
      </w:tr>
    </w:tbl>
    <w:p w14:paraId="097766CD" w14:textId="44AF7B72" w:rsidR="00BA2E0A" w:rsidRPr="00BF369C" w:rsidRDefault="00BA2E0A" w:rsidP="00BA2E0A">
      <w:pPr>
        <w:spacing w:line="240" w:lineRule="auto"/>
        <w:ind w:left="567"/>
        <w:rPr>
          <w:rFonts w:asciiTheme="minorHAnsi" w:hAnsiTheme="minorHAnsi" w:cstheme="minorHAnsi"/>
          <w:sz w:val="20"/>
          <w:lang w:val="es-CR"/>
        </w:rPr>
      </w:pPr>
    </w:p>
    <w:p w14:paraId="30B8266E" w14:textId="77777777" w:rsidR="00AF0181" w:rsidRDefault="00AF0181" w:rsidP="00F14DAC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6800E8F2" w14:textId="5D2D5F91" w:rsidR="00F14DAC" w:rsidRPr="00BF369C" w:rsidRDefault="00F14DAC" w:rsidP="00F14DAC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Por la naturaleza de financiamiento de las Superintendencias, al término del periodo evaluado no se generó </w:t>
      </w:r>
      <w:r w:rsidR="004E2A68" w:rsidRPr="00BF369C">
        <w:rPr>
          <w:rFonts w:asciiTheme="minorHAnsi" w:hAnsiTheme="minorHAnsi" w:cstheme="minorHAnsi"/>
          <w:sz w:val="24"/>
          <w:szCs w:val="24"/>
          <w:lang w:val="es-CR"/>
        </w:rPr>
        <w:t>s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uperávit o déficit alguno, por lo tanto, no existe </w:t>
      </w:r>
      <w:r w:rsidR="00CC1DC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un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plan de amortización ni acuerdo de aprobación </w:t>
      </w:r>
      <w:r w:rsidR="00AA5D83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por parte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>del jerarca al respecto.</w:t>
      </w:r>
    </w:p>
    <w:p w14:paraId="32DA4873" w14:textId="265872CD" w:rsidR="00F14DAC" w:rsidRDefault="00F14DAC" w:rsidP="00F14DAC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2A38F6EB" w14:textId="77777777" w:rsidR="00AF0181" w:rsidRPr="00BF369C" w:rsidRDefault="00AF0181" w:rsidP="00F14DAC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3E29AC3A" w14:textId="36368635" w:rsidR="00A93F11" w:rsidRPr="00BF369C" w:rsidRDefault="006E10D4" w:rsidP="00A93F11">
      <w:pPr>
        <w:pStyle w:val="Ttulo1"/>
        <w:numPr>
          <w:ilvl w:val="0"/>
          <w:numId w:val="2"/>
        </w:numPr>
        <w:shd w:val="clear" w:color="auto" w:fill="DBE5F1" w:themeFill="accent1" w:themeFillTint="33"/>
        <w:spacing w:line="288" w:lineRule="auto"/>
        <w:rPr>
          <w:rFonts w:asciiTheme="minorHAnsi" w:hAnsiTheme="minorHAnsi" w:cstheme="minorHAnsi"/>
          <w:szCs w:val="28"/>
          <w:lang w:val="es-CR"/>
        </w:rPr>
      </w:pPr>
      <w:bookmarkStart w:id="11" w:name="_Toc45532998"/>
      <w:r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ANÁLISIS </w:t>
      </w:r>
      <w:r w:rsidR="00A149B1" w:rsidRPr="00BF369C">
        <w:rPr>
          <w:rFonts w:asciiTheme="minorHAnsi" w:hAnsiTheme="minorHAnsi" w:cstheme="minorHAnsi"/>
          <w:sz w:val="28"/>
          <w:szCs w:val="28"/>
          <w:lang w:val="es-CR"/>
        </w:rPr>
        <w:t>DE DESVIACIONES DE MAYOR RELEVANCIA</w:t>
      </w:r>
      <w:r w:rsidR="00212978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212978" w:rsidRPr="00BF369C">
        <w:rPr>
          <w:rFonts w:asciiTheme="minorHAnsi" w:hAnsiTheme="minorHAnsi" w:cstheme="minorHAnsi"/>
          <w:b w:val="0"/>
          <w:sz w:val="16"/>
          <w:szCs w:val="28"/>
          <w:lang w:val="es-CR"/>
        </w:rPr>
        <w:t>(4.5.6 b. iii)</w:t>
      </w:r>
      <w:bookmarkEnd w:id="11"/>
    </w:p>
    <w:p w14:paraId="57FEE336" w14:textId="10CA59F1" w:rsidR="00B45046" w:rsidRPr="00BF369C" w:rsidRDefault="00B45046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3DE93A1C" w14:textId="77777777" w:rsidR="0042270B" w:rsidRPr="00BF369C" w:rsidRDefault="0042270B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7A0610FA" w14:textId="3CA6B258" w:rsidR="00C20696" w:rsidRPr="00BF369C" w:rsidRDefault="00E75898" w:rsidP="00EA6326">
      <w:pPr>
        <w:pStyle w:val="Ttulo2"/>
      </w:pPr>
      <w:bookmarkStart w:id="12" w:name="_Toc45532999"/>
      <w:r w:rsidRPr="00BF369C">
        <w:t>3.1.a</w:t>
      </w:r>
      <w:r w:rsidR="007E1FE3" w:rsidRPr="00BF369C">
        <w:tab/>
      </w:r>
      <w:r w:rsidR="00B3277F" w:rsidRPr="00BF369C">
        <w:t>Objetivo General</w:t>
      </w:r>
      <w:bookmarkEnd w:id="12"/>
    </w:p>
    <w:p w14:paraId="4EBC4C89" w14:textId="77777777" w:rsidR="006D26A3" w:rsidRPr="00BF369C" w:rsidRDefault="006D26A3" w:rsidP="00C20696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204565D8" w14:textId="672698AF" w:rsidR="00C20696" w:rsidRPr="00BF369C" w:rsidRDefault="006D26A3" w:rsidP="00C20696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La SUPEN es la institución encargada de supervisar el Sistema Nacional de Pensiones, específicamente tiene la función social de vigilar el desempeño del sistema, con el propósito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lastRenderedPageBreak/>
        <w:t>de resguardar los intereses de los afiliados, que dan en administración los recursos a los gestores de pensiones que en él participan, con la esperanza de tener acceso a una etapa de retiro que les permita mantener la calidad de vida.</w:t>
      </w:r>
    </w:p>
    <w:p w14:paraId="5660DA72" w14:textId="7E26AE67" w:rsidR="006D26A3" w:rsidRPr="00BF369C" w:rsidRDefault="006D26A3" w:rsidP="00C20696">
      <w:pPr>
        <w:rPr>
          <w:lang w:val="es-CR"/>
        </w:rPr>
      </w:pPr>
    </w:p>
    <w:p w14:paraId="2CFD9FA1" w14:textId="77777777" w:rsidR="00DE3E57" w:rsidRPr="00BF369C" w:rsidRDefault="00DE3E57" w:rsidP="00C20696">
      <w:pPr>
        <w:rPr>
          <w:lang w:val="es-CR"/>
        </w:rPr>
      </w:pPr>
    </w:p>
    <w:p w14:paraId="56BBAD1D" w14:textId="698E859E" w:rsidR="00011649" w:rsidRPr="00BF369C" w:rsidRDefault="00011649" w:rsidP="00EA6326">
      <w:pPr>
        <w:pStyle w:val="Ttulo2"/>
      </w:pPr>
      <w:bookmarkStart w:id="13" w:name="_Toc45533000"/>
      <w:r w:rsidRPr="00BF369C">
        <w:t>3.1.b</w:t>
      </w:r>
      <w:r w:rsidR="007E1FE3" w:rsidRPr="00BF369C">
        <w:tab/>
      </w:r>
      <w:r w:rsidRPr="00BF369C">
        <w:t>Visión y Misión</w:t>
      </w:r>
      <w:bookmarkEnd w:id="13"/>
    </w:p>
    <w:p w14:paraId="687CB972" w14:textId="77777777" w:rsidR="00597C5F" w:rsidRPr="00BF369C" w:rsidRDefault="00597C5F" w:rsidP="00006500">
      <w:pPr>
        <w:rPr>
          <w:sz w:val="24"/>
          <w:szCs w:val="24"/>
          <w:lang w:val="es-CR"/>
        </w:rPr>
      </w:pPr>
    </w:p>
    <w:p w14:paraId="195A019F" w14:textId="7A792B52" w:rsidR="00C20696" w:rsidRPr="00BF369C" w:rsidRDefault="00A918D9" w:rsidP="00C20696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i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i/>
          <w:sz w:val="24"/>
          <w:szCs w:val="24"/>
          <w:lang w:val="es-CR"/>
        </w:rPr>
        <w:t>Misión</w:t>
      </w:r>
    </w:p>
    <w:p w14:paraId="37933AC6" w14:textId="79B2AD4E" w:rsidR="00A918D9" w:rsidRPr="00BF369C" w:rsidRDefault="00A36EB8" w:rsidP="00A918D9">
      <w:pPr>
        <w:ind w:left="709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Promover pensiones dignas</w:t>
      </w:r>
      <w:r w:rsidR="00EB4D2E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62B02791" w14:textId="77777777" w:rsidR="00A918D9" w:rsidRPr="00BF369C" w:rsidRDefault="00A918D9" w:rsidP="00A918D9">
      <w:pPr>
        <w:rPr>
          <w:sz w:val="24"/>
          <w:szCs w:val="24"/>
          <w:lang w:val="es-CR"/>
        </w:rPr>
      </w:pPr>
    </w:p>
    <w:p w14:paraId="493AA9EF" w14:textId="32040356" w:rsidR="00A918D9" w:rsidRPr="00BF369C" w:rsidRDefault="00A918D9" w:rsidP="00C20696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i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i/>
          <w:sz w:val="24"/>
          <w:szCs w:val="24"/>
          <w:lang w:val="es-CR"/>
        </w:rPr>
        <w:t xml:space="preserve">Visión </w:t>
      </w:r>
    </w:p>
    <w:p w14:paraId="5F00BD14" w14:textId="36D29B43" w:rsidR="00A918D9" w:rsidRPr="00BF369C" w:rsidRDefault="00EB4D2E" w:rsidP="00A918D9">
      <w:pPr>
        <w:ind w:left="709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Ser un referente técnico en el fortalecimiento del Sistema Nacional de Pensiones</w:t>
      </w:r>
      <w:r w:rsidR="00D35E56" w:rsidRPr="00D35E56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4FB69537" w14:textId="60E79846" w:rsidR="00C20696" w:rsidRPr="00BF369C" w:rsidRDefault="00C20696" w:rsidP="00C20696">
      <w:pPr>
        <w:rPr>
          <w:sz w:val="24"/>
          <w:szCs w:val="24"/>
          <w:lang w:val="es-CR"/>
        </w:rPr>
      </w:pPr>
    </w:p>
    <w:p w14:paraId="2FC9A9CB" w14:textId="77777777" w:rsidR="009851B3" w:rsidRPr="00BF369C" w:rsidRDefault="009851B3" w:rsidP="00C20696">
      <w:pPr>
        <w:rPr>
          <w:sz w:val="24"/>
          <w:szCs w:val="24"/>
          <w:lang w:val="es-CR"/>
        </w:rPr>
      </w:pPr>
    </w:p>
    <w:p w14:paraId="28D261D6" w14:textId="131AC0A5" w:rsidR="00A45E19" w:rsidRPr="00BF369C" w:rsidRDefault="00467F53" w:rsidP="00EA6326">
      <w:pPr>
        <w:pStyle w:val="Ttulo2"/>
      </w:pPr>
      <w:bookmarkStart w:id="14" w:name="_Toc45533001"/>
      <w:r w:rsidRPr="00BF369C">
        <w:t>3.1.c</w:t>
      </w:r>
      <w:r w:rsidR="006C6FB8" w:rsidRPr="00BF369C">
        <w:tab/>
      </w:r>
      <w:r w:rsidR="00A45E19" w:rsidRPr="00BF369C">
        <w:t>Centro de Costo y el Gasto Asociado</w:t>
      </w:r>
      <w:r w:rsidR="004C218A" w:rsidRPr="00BF369C">
        <w:t xml:space="preserve"> por M</w:t>
      </w:r>
      <w:r w:rsidR="00BE6BEF" w:rsidRPr="00BF369C">
        <w:t>eta</w:t>
      </w:r>
      <w:bookmarkEnd w:id="14"/>
    </w:p>
    <w:p w14:paraId="120195C4" w14:textId="77777777" w:rsidR="00A45E19" w:rsidRPr="00BF369C" w:rsidRDefault="00A45E19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5D7115A5" w14:textId="4AF0DD13" w:rsidR="006536F8" w:rsidRPr="00BF369C" w:rsidRDefault="00DE2936" w:rsidP="00225437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La SUPEN está conformada por 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>cinco programas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cada uno de ellos 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>establece una serie de objetivos y metas</w:t>
      </w:r>
      <w:r w:rsidR="00544F0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que contribuyen al propósito de la organización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>;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el siguiente </w:t>
      </w:r>
      <w:r w:rsidR="00675237" w:rsidRPr="00BF369C">
        <w:rPr>
          <w:rFonts w:asciiTheme="minorHAnsi" w:hAnsiTheme="minorHAnsi" w:cstheme="minorHAnsi"/>
          <w:sz w:val="24"/>
          <w:szCs w:val="24"/>
          <w:lang w:val="es-CR"/>
        </w:rPr>
        <w:t>cuadro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D57519" w:rsidRPr="00BF369C">
        <w:rPr>
          <w:rFonts w:asciiTheme="minorHAnsi" w:hAnsiTheme="minorHAnsi" w:cstheme="minorHAnsi"/>
          <w:sz w:val="24"/>
          <w:szCs w:val="24"/>
          <w:lang w:val="es-CR"/>
        </w:rPr>
        <w:t>representa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516ACB" w:rsidRPr="00BF369C">
        <w:rPr>
          <w:rFonts w:asciiTheme="minorHAnsi" w:hAnsiTheme="minorHAnsi" w:cstheme="minorHAnsi"/>
          <w:sz w:val="24"/>
          <w:szCs w:val="24"/>
          <w:lang w:val="es-CR"/>
        </w:rPr>
        <w:t>el presupuesto asignado por meta y la ejecución lograda en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cada </w:t>
      </w:r>
      <w:r w:rsidR="00E4177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uno de los </w:t>
      </w:r>
      <w:r w:rsidR="002959E6" w:rsidRPr="00BF369C">
        <w:rPr>
          <w:rFonts w:asciiTheme="minorHAnsi" w:hAnsiTheme="minorHAnsi" w:cstheme="minorHAnsi"/>
          <w:sz w:val="24"/>
          <w:szCs w:val="24"/>
          <w:lang w:val="es-CR"/>
        </w:rPr>
        <w:t>programa</w:t>
      </w:r>
      <w:r w:rsidR="009D77EF" w:rsidRPr="00BF369C">
        <w:rPr>
          <w:rFonts w:asciiTheme="minorHAnsi" w:hAnsiTheme="minorHAnsi" w:cstheme="minorHAnsi"/>
          <w:sz w:val="24"/>
          <w:szCs w:val="24"/>
          <w:lang w:val="es-CR"/>
        </w:rPr>
        <w:t>s</w:t>
      </w:r>
      <w:r w:rsidR="00B7728D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502180CF" w14:textId="77777777" w:rsidR="00AF0181" w:rsidRDefault="00AF0181" w:rsidP="007A6F7B">
      <w:pPr>
        <w:rPr>
          <w:rFonts w:asciiTheme="minorHAnsi" w:hAnsiTheme="minorHAnsi" w:cstheme="minorHAnsi"/>
          <w:sz w:val="24"/>
          <w:szCs w:val="24"/>
          <w:lang w:val="es-CR"/>
        </w:rPr>
      </w:pPr>
      <w:bookmarkStart w:id="15" w:name="_Toc109179104"/>
      <w:bookmarkStart w:id="16" w:name="_Toc131912449"/>
      <w:bookmarkStart w:id="17" w:name="_Toc163371954"/>
      <w:bookmarkStart w:id="18" w:name="_Toc195505387"/>
    </w:p>
    <w:p w14:paraId="0DCDD4B2" w14:textId="3F0579E1" w:rsidR="007A6F7B" w:rsidRDefault="007A6F7B" w:rsidP="007A6F7B">
      <w:pPr>
        <w:rPr>
          <w:rFonts w:ascii="Calibri" w:hAnsi="Calibri"/>
          <w:b/>
          <w:sz w:val="24"/>
          <w:szCs w:val="24"/>
          <w:lang w:val="es-CR"/>
        </w:rPr>
      </w:pPr>
      <w:r w:rsidRPr="00BF369C">
        <w:rPr>
          <w:rFonts w:ascii="Calibri" w:hAnsi="Calibri"/>
          <w:sz w:val="24"/>
          <w:szCs w:val="24"/>
          <w:lang w:val="es-CR"/>
        </w:rPr>
        <w:t xml:space="preserve">Cuadro </w:t>
      </w:r>
      <w:r w:rsidR="00675237" w:rsidRPr="00BF369C">
        <w:rPr>
          <w:rFonts w:ascii="Calibri" w:hAnsi="Calibri"/>
          <w:sz w:val="24"/>
          <w:szCs w:val="24"/>
          <w:lang w:val="es-CR"/>
        </w:rPr>
        <w:t>4</w:t>
      </w:r>
      <w:r w:rsidRPr="00BF369C">
        <w:rPr>
          <w:rFonts w:ascii="Calibri" w:hAnsi="Calibri"/>
          <w:sz w:val="24"/>
          <w:szCs w:val="24"/>
          <w:lang w:val="es-CR"/>
        </w:rPr>
        <w:t xml:space="preserve">: </w:t>
      </w:r>
      <w:r w:rsidR="00D57519" w:rsidRPr="00BF369C">
        <w:rPr>
          <w:rFonts w:ascii="Calibri" w:hAnsi="Calibri"/>
          <w:b/>
          <w:sz w:val="24"/>
          <w:szCs w:val="24"/>
          <w:lang w:val="es-CR"/>
        </w:rPr>
        <w:t xml:space="preserve">Presupuesto ordinario de egresos </w:t>
      </w:r>
      <w:r w:rsidR="009851B3" w:rsidRPr="00BF369C">
        <w:rPr>
          <w:rFonts w:ascii="Calibri" w:hAnsi="Calibri"/>
          <w:b/>
          <w:sz w:val="24"/>
          <w:szCs w:val="24"/>
          <w:lang w:val="es-CR"/>
        </w:rPr>
        <w:t xml:space="preserve">ejecutado </w:t>
      </w:r>
      <w:r w:rsidR="00D57519" w:rsidRPr="00BF369C">
        <w:rPr>
          <w:rFonts w:ascii="Calibri" w:hAnsi="Calibri"/>
          <w:b/>
          <w:sz w:val="24"/>
          <w:szCs w:val="24"/>
          <w:lang w:val="es-CR"/>
        </w:rPr>
        <w:t>por programa y por meta</w:t>
      </w:r>
    </w:p>
    <w:tbl>
      <w:tblPr>
        <w:tblW w:w="89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760"/>
        <w:gridCol w:w="3427"/>
        <w:gridCol w:w="1271"/>
        <w:gridCol w:w="1275"/>
        <w:gridCol w:w="993"/>
      </w:tblGrid>
      <w:tr w:rsidR="0054565E" w:rsidRPr="000169D7" w14:paraId="13FB0233" w14:textId="77777777" w:rsidTr="0054565E">
        <w:trPr>
          <w:trHeight w:val="255"/>
          <w:tblHeader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9E2882" w14:textId="77777777" w:rsidR="0054565E" w:rsidRPr="000169D7" w:rsidRDefault="0054565E" w:rsidP="0072038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DEPENDENCIA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84E3A9" w14:textId="77777777" w:rsidR="0054565E" w:rsidRPr="000169D7" w:rsidRDefault="0054565E" w:rsidP="0072038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 # META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1E9B78" w14:textId="77777777" w:rsidR="0054565E" w:rsidRPr="000169D7" w:rsidRDefault="0054565E" w:rsidP="0072038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ENUNCIADO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6A1982" w14:textId="5484E585" w:rsidR="0054565E" w:rsidRPr="000169D7" w:rsidRDefault="0054565E" w:rsidP="00915E8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Presupuesto por meta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617C7F" w14:textId="0965F8DC" w:rsidR="0054565E" w:rsidRPr="000169D7" w:rsidRDefault="0054565E" w:rsidP="00915E8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Ejecutado por meta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F2001C" w14:textId="198C72BB" w:rsidR="0054565E" w:rsidRPr="000169D7" w:rsidRDefault="0054565E" w:rsidP="0072038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Porcentaje de Ejecución </w:t>
            </w:r>
          </w:p>
        </w:tc>
      </w:tr>
      <w:tr w:rsidR="0054565E" w:rsidRPr="000169D7" w14:paraId="0D98456C" w14:textId="77777777" w:rsidTr="0054565E">
        <w:trPr>
          <w:trHeight w:val="450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11B5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028D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C519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EE" w14:textId="77777777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A2A" w14:textId="77777777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9AC5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</w:tr>
      <w:tr w:rsidR="0054565E" w:rsidRPr="000169D7" w14:paraId="57557D80" w14:textId="77777777" w:rsidTr="0054565E">
        <w:trPr>
          <w:trHeight w:val="31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ABE926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DESPACHO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EDE142" w14:textId="724633B9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262,682,406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E779C3" w14:textId="0A3B2EA8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92,517,765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373768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35%</w:t>
            </w:r>
          </w:p>
        </w:tc>
      </w:tr>
      <w:tr w:rsidR="0054565E" w:rsidRPr="000169D7" w14:paraId="74B05D12" w14:textId="77777777" w:rsidTr="0054565E">
        <w:trPr>
          <w:trHeight w:val="69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6EC" w14:textId="3C1A358B" w:rsidR="0054565E" w:rsidRPr="00720382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308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5B1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Tener, en promedio, los indicadores de cumplimiento de metas de toda la Superintendencia con nota igual o superior al 85%.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63B" w14:textId="1B799802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262,682,406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C66" w14:textId="22C94850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92,517,765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9E9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35%</w:t>
            </w:r>
          </w:p>
        </w:tc>
      </w:tr>
      <w:tr w:rsidR="0054565E" w:rsidRPr="000169D7" w14:paraId="30EEAD88" w14:textId="77777777" w:rsidTr="0054565E">
        <w:trPr>
          <w:trHeight w:val="31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EF7E4A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DIVISIÓN JURÍDICA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0AB191" w14:textId="1EE7F8C2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566,937,339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4AC617" w14:textId="443F0032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235,561,767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9E45F5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42%</w:t>
            </w:r>
          </w:p>
        </w:tc>
      </w:tr>
      <w:tr w:rsidR="00720382" w:rsidRPr="000169D7" w14:paraId="7989BDDC" w14:textId="77777777" w:rsidTr="00BE3D46">
        <w:trPr>
          <w:trHeight w:val="690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190A" w14:textId="47C86B7E" w:rsidR="00720382" w:rsidRPr="00720382" w:rsidRDefault="00720382" w:rsidP="00720382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E49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E58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Tramitar en tiempo las solicitudes de asesoría jurídica y los recursos administrativos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C49" w14:textId="3FF75036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304,191,559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2A8" w14:textId="0DCCFD7D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114,288,611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B1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38%</w:t>
            </w:r>
          </w:p>
        </w:tc>
      </w:tr>
      <w:tr w:rsidR="00720382" w:rsidRPr="000169D7" w14:paraId="47309E7A" w14:textId="77777777" w:rsidTr="00BE3D46">
        <w:trPr>
          <w:trHeight w:val="69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5A612" w14:textId="5D708A6F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1D5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BA8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Tramitar en tiempo las solicitudes de denuncias y/o consultas de los afiliados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179" w14:textId="0C255E09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149,921,155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A1D" w14:textId="10952689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67,896,448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522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45%</w:t>
            </w:r>
          </w:p>
        </w:tc>
      </w:tr>
      <w:tr w:rsidR="00720382" w:rsidRPr="000169D7" w14:paraId="3CBA96EC" w14:textId="77777777" w:rsidTr="00BE3D46">
        <w:trPr>
          <w:trHeight w:val="878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C7FD8" w14:textId="45E22A7A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CE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034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Tramitar en un tiempo promedio no superior de doce meses calendario los procedimientos administrativos iniciados por la Superintendencia de Pensiones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31C" w14:textId="44F41024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63,338,216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54F" w14:textId="1884747D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0</w:t>
            </w: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AA6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0%</w:t>
            </w:r>
          </w:p>
        </w:tc>
      </w:tr>
      <w:tr w:rsidR="00720382" w:rsidRPr="000169D7" w14:paraId="4A133A28" w14:textId="77777777" w:rsidTr="00BE3D46">
        <w:trPr>
          <w:trHeight w:val="825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CB5DF" w14:textId="46A7A751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98E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BDA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Atender las solicitudes relacionadas con la mejora continua, con base en la atención de temas de calidad, riesgos, observaciones de AI, proyectos, capacitación, entre otros.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E4F" w14:textId="2C759A15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49,486,408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ABB" w14:textId="36A4D3B9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10,194,248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F7D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21%</w:t>
            </w:r>
          </w:p>
        </w:tc>
      </w:tr>
      <w:tr w:rsidR="00720382" w:rsidRPr="000169D7" w14:paraId="646EA098" w14:textId="77777777" w:rsidTr="00BE3D46">
        <w:trPr>
          <w:trHeight w:val="405"/>
        </w:trPr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F203" w14:textId="0A94A286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2FE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551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Tiempo no Efectivo (Vacaciones, incapacidades y permisos)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763" w14:textId="6C5B2D9B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CA3" w14:textId="5F0CBB64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43,182,460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3BA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</w:tr>
      <w:tr w:rsidR="0054565E" w:rsidRPr="000169D7" w14:paraId="4E315912" w14:textId="77777777" w:rsidTr="0054565E">
        <w:trPr>
          <w:trHeight w:val="36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13C1E3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DIVISIÓN DE PLANIFICACIÓN Y NORMATIVA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DDAE4C" w14:textId="067DE10B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725,932,549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74904C" w14:textId="262F2430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265,059,356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D082AA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37%</w:t>
            </w:r>
          </w:p>
        </w:tc>
      </w:tr>
      <w:tr w:rsidR="00720382" w:rsidRPr="000169D7" w14:paraId="4AF5EDCB" w14:textId="77777777" w:rsidTr="002144F1">
        <w:trPr>
          <w:trHeight w:val="450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2E9" w14:textId="30412D02" w:rsidR="00720382" w:rsidRPr="00720382" w:rsidRDefault="00720382" w:rsidP="00720382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9A5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6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972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Tener la planificación estratégica actualizada y alineada a los requerimientos institucionales.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91B" w14:textId="798BF9F6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16,642,195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90C1" w14:textId="0A0138DF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3,626,028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50D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22%</w:t>
            </w:r>
          </w:p>
        </w:tc>
      </w:tr>
      <w:tr w:rsidR="00720382" w:rsidRPr="000169D7" w14:paraId="03496348" w14:textId="77777777" w:rsidTr="002144F1">
        <w:trPr>
          <w:trHeight w:val="45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055D1" w14:textId="464A2B8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14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970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Cumplir con las entregas de los proyectos en el plazo planificado.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CB6" w14:textId="6BEF8911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17,224,672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1E8" w14:textId="5F6A4B02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10,976,084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1C8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64%</w:t>
            </w:r>
          </w:p>
        </w:tc>
      </w:tr>
      <w:tr w:rsidR="00720382" w:rsidRPr="000169D7" w14:paraId="279905D5" w14:textId="77777777" w:rsidTr="002144F1">
        <w:trPr>
          <w:trHeight w:val="45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26AAB" w14:textId="0AB72370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DBB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D9E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Presentar estudios que cumplan con los requisitos del producto.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DCE" w14:textId="0BCC730E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253,793,475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246" w14:textId="3D66A612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136,057,705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A7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54%</w:t>
            </w:r>
          </w:p>
        </w:tc>
      </w:tr>
      <w:tr w:rsidR="00720382" w:rsidRPr="000169D7" w14:paraId="19D0C701" w14:textId="77777777" w:rsidTr="002144F1">
        <w:trPr>
          <w:trHeight w:val="45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8D9A" w14:textId="61C8F522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22E3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56A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color w:val="000000"/>
                <w:sz w:val="18"/>
                <w:szCs w:val="18"/>
                <w:lang w:val="es-CR" w:eastAsia="es-CR"/>
              </w:rPr>
              <w:t xml:space="preserve">Utilizar, en PyN, el 65% del plazo declarado en la publicación realizada en La Gaceta por la SUPEN.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1F3" w14:textId="25FDCD0B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50,925,117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9FF" w14:textId="3AC7FF7F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25,545,528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2B5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50%</w:t>
            </w:r>
          </w:p>
        </w:tc>
      </w:tr>
      <w:tr w:rsidR="00720382" w:rsidRPr="000169D7" w14:paraId="4C8F2BA5" w14:textId="77777777" w:rsidTr="002144F1">
        <w:trPr>
          <w:trHeight w:val="45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F3565" w14:textId="4BF26136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132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10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E99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color w:val="000000"/>
                <w:sz w:val="18"/>
                <w:szCs w:val="18"/>
                <w:lang w:val="es-CR" w:eastAsia="es-CR"/>
              </w:rPr>
              <w:t xml:space="preserve">Cumplir el 100% del cronograma de revisión de normativa al menos cada tres años.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AC0" w14:textId="14AFE3EF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121,238,391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6F5" w14:textId="25A18367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27,309,542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91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23%</w:t>
            </w:r>
          </w:p>
        </w:tc>
      </w:tr>
      <w:tr w:rsidR="00720382" w:rsidRPr="000169D7" w14:paraId="5C3E22B7" w14:textId="77777777" w:rsidTr="002144F1">
        <w:trPr>
          <w:trHeight w:val="675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A382D" w14:textId="7C52ADD6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B04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DC08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Atender las solicitudes relacionadas con la mejora continua, con base en la atención de temas de calidad, riesgos, observaciones de AI, proyectos, capacitación, entre otros.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91A" w14:textId="403ADF35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266,108,699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9A6" w14:textId="2D91D776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17,395,133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88E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7%</w:t>
            </w:r>
          </w:p>
        </w:tc>
      </w:tr>
      <w:tr w:rsidR="00720382" w:rsidRPr="000169D7" w14:paraId="48B118DB" w14:textId="77777777" w:rsidTr="002144F1">
        <w:trPr>
          <w:trHeight w:val="330"/>
        </w:trPr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C4F" w14:textId="4B1AF843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6C5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5C3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Tiempo no Efectivo (Vacaciones, incapacidades y permisos)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8F8" w14:textId="77777777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5D3" w14:textId="4F039039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44,149,337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7A5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</w:tr>
      <w:tr w:rsidR="0054565E" w:rsidRPr="000169D7" w14:paraId="37D4A625" w14:textId="77777777" w:rsidTr="0054565E">
        <w:trPr>
          <w:trHeight w:val="33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136366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DIVISIÓN SUPERVISIÓN DEL RÉGIMENES COLECTIVOS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E95ED8" w14:textId="56C0CA0D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1,461,708,157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E84C53" w14:textId="3D142B6A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529,926,563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C4ED68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36%</w:t>
            </w:r>
          </w:p>
        </w:tc>
      </w:tr>
      <w:tr w:rsidR="00135450" w:rsidRPr="000169D7" w14:paraId="56435449" w14:textId="77777777" w:rsidTr="00DE33DE">
        <w:trPr>
          <w:trHeight w:val="675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A7A" w14:textId="3A431B59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DA2" w14:textId="77777777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EAC" w14:textId="77777777" w:rsidR="00135450" w:rsidRPr="000169D7" w:rsidRDefault="00135450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Ejecutar la supervisión de los regímenes colectivos del Sistema Nacional de Pensiones.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E85" w14:textId="49D2616A" w:rsidR="00135450" w:rsidRPr="000169D7" w:rsidRDefault="00135450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1,265,299,612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7BF" w14:textId="621D7BE5" w:rsidR="00135450" w:rsidRPr="000169D7" w:rsidRDefault="00135450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342,676,360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5A7" w14:textId="77777777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27%</w:t>
            </w:r>
          </w:p>
        </w:tc>
      </w:tr>
      <w:tr w:rsidR="00135450" w:rsidRPr="000169D7" w14:paraId="175A9D86" w14:textId="77777777" w:rsidTr="00DE33DE">
        <w:trPr>
          <w:trHeight w:val="87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54C55" w14:textId="11EC4EC9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497" w14:textId="77777777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422" w14:textId="77777777" w:rsidR="00135450" w:rsidRPr="000169D7" w:rsidRDefault="00135450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Atender las solicitudes relacionadas con la mejora continua, con base en la atención de temas de calidad, riesgos, observaciones de AI, proyectos, capacitación, entre otros.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26D" w14:textId="26F00C88" w:rsidR="00135450" w:rsidRPr="000169D7" w:rsidRDefault="00135450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196,408,545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502" w14:textId="2026ECC4" w:rsidR="00135450" w:rsidRPr="000169D7" w:rsidRDefault="00135450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86,264,922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FD8" w14:textId="77777777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44%</w:t>
            </w:r>
          </w:p>
        </w:tc>
      </w:tr>
      <w:tr w:rsidR="00135450" w:rsidRPr="000169D7" w14:paraId="046F921D" w14:textId="77777777" w:rsidTr="00DE33DE">
        <w:trPr>
          <w:trHeight w:val="435"/>
        </w:trPr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F2C" w14:textId="20A11F1D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505" w14:textId="77777777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6D6" w14:textId="77777777" w:rsidR="00135450" w:rsidRPr="000169D7" w:rsidRDefault="00135450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Tiempo no Efectivo (Vacaciones, incapacidades y permisos)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20A" w14:textId="77777777" w:rsidR="00135450" w:rsidRPr="000169D7" w:rsidRDefault="00135450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E4F" w14:textId="1055D640" w:rsidR="00135450" w:rsidRPr="000169D7" w:rsidRDefault="00135450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100,985,282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AC7" w14:textId="77777777" w:rsidR="00135450" w:rsidRPr="000169D7" w:rsidRDefault="00135450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</w:tr>
      <w:tr w:rsidR="0054565E" w:rsidRPr="000169D7" w14:paraId="069A8FA0" w14:textId="77777777" w:rsidTr="0054565E">
        <w:trPr>
          <w:trHeight w:val="31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451064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DIVISIÓN SUPERVISIÓN DEL RÉGIMEN DE CAPITALIZACIÓN INDIVIDUAL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57638C" w14:textId="48090DD2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1,648,724,469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92CFAC" w14:textId="1E641073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625,262,326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35BCD8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38%</w:t>
            </w:r>
          </w:p>
        </w:tc>
      </w:tr>
      <w:tr w:rsidR="00720382" w:rsidRPr="000169D7" w14:paraId="42A2FEF7" w14:textId="77777777" w:rsidTr="00A51732">
        <w:trPr>
          <w:trHeight w:val="1020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8FD" w14:textId="78028210" w:rsidR="00720382" w:rsidRPr="00720382" w:rsidRDefault="00720382" w:rsidP="00720382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721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BB1" w14:textId="2CF88B3C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Fiscalizar y supervisar el cumplimiento de la normativa vigente y evaluar el proceso de identificación, medición, control y seguimiento de los riesgos en las entidades supervisadas y los fondos administrados.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753" w14:textId="7FD7D979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1,445,594,450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D3E" w14:textId="16BF0506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433,662,603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EF0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30%</w:t>
            </w:r>
          </w:p>
        </w:tc>
      </w:tr>
      <w:tr w:rsidR="00720382" w:rsidRPr="000169D7" w14:paraId="5DF5D029" w14:textId="77777777" w:rsidTr="00A51732">
        <w:trPr>
          <w:trHeight w:val="84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C144A" w14:textId="45AA10F9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419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2D0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Atender las solicitudes relacionadas con la mejora continua, con base en la atención de temas de calidad, riesgos, observaciones de AI, proyectos, capacitación, entre otros.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E82" w14:textId="393079A4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203,130,019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75B" w14:textId="13B766D7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69,240,512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7B7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34%</w:t>
            </w:r>
          </w:p>
        </w:tc>
      </w:tr>
      <w:tr w:rsidR="00720382" w:rsidRPr="000169D7" w14:paraId="0F65571B" w14:textId="77777777" w:rsidTr="00A51732">
        <w:trPr>
          <w:trHeight w:val="360"/>
        </w:trPr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614" w14:textId="1DD300AA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74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F3C4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Tiempo no Efectivo (Vacaciones, incapacidades y permisos)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7BF" w14:textId="23893970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95D" w14:textId="7DF10CE9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122,359,211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0B7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</w:tr>
      <w:tr w:rsidR="0054565E" w:rsidRPr="000169D7" w14:paraId="452E50A7" w14:textId="77777777" w:rsidTr="0054565E">
        <w:trPr>
          <w:trHeight w:val="28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CB6C7E" w14:textId="77777777" w:rsidR="0054565E" w:rsidRPr="000169D7" w:rsidRDefault="0054565E" w:rsidP="000169D7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lastRenderedPageBreak/>
              <w:t>ÁREA COMUNICACIÓN Y SERVICIOS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F8D209" w14:textId="626D3BA7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979,799,980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9E88BA" w14:textId="139657D4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345,089,362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EFF8F3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35%</w:t>
            </w:r>
          </w:p>
        </w:tc>
      </w:tr>
      <w:tr w:rsidR="00720382" w:rsidRPr="000169D7" w14:paraId="74375B33" w14:textId="77777777" w:rsidTr="000D7272">
        <w:trPr>
          <w:trHeight w:val="765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05C" w14:textId="43929A96" w:rsidR="00720382" w:rsidRPr="000169D7" w:rsidRDefault="00720382" w:rsidP="0072038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D28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92A" w14:textId="5BDA10FF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Ejecutar las labores programadas en el plan de comunicación y en la aplicación de herramientas relacionadas (encuesta, quejas)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4A2" w14:textId="09B4118C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303,406,270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C3A" w14:textId="5C11DDCE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142,866,177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A96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47%</w:t>
            </w:r>
          </w:p>
        </w:tc>
      </w:tr>
      <w:tr w:rsidR="00720382" w:rsidRPr="000169D7" w14:paraId="72C91E2C" w14:textId="77777777" w:rsidTr="000D7272">
        <w:trPr>
          <w:trHeight w:val="54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2A426" w14:textId="11A5CC0B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996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04F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Atender los requerimientos de gestión de recursos, de acuerdo con las disposiciones institucionales.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4B8" w14:textId="5905E7CA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643,962,951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F25" w14:textId="34771FA6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92,604,608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24A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14%</w:t>
            </w:r>
          </w:p>
        </w:tc>
      </w:tr>
      <w:tr w:rsidR="00720382" w:rsidRPr="000169D7" w14:paraId="1A19AD28" w14:textId="77777777" w:rsidTr="000D7272">
        <w:trPr>
          <w:trHeight w:val="795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76E27" w14:textId="44295422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4DC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18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BD4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Atender las solicitudes relacionadas con la mejora continua, con base en la atención de temas de calidad, riesgos, observaciones de AI, proyectos, capacitación, entre otros.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6AD" w14:textId="529A0AF8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32,430,759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A27" w14:textId="7AA3BD15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7,342,871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C2B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23%</w:t>
            </w:r>
          </w:p>
        </w:tc>
      </w:tr>
      <w:tr w:rsidR="00720382" w:rsidRPr="000169D7" w14:paraId="257382FB" w14:textId="77777777" w:rsidTr="000D7272">
        <w:trPr>
          <w:trHeight w:val="390"/>
        </w:trPr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1B5" w14:textId="6EED3790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637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050" w14:textId="77777777" w:rsidR="00720382" w:rsidRPr="000169D7" w:rsidRDefault="00720382" w:rsidP="000169D7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Tiempo no Efectivo (Vacaciones, incapacidades y permisos)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401" w14:textId="77777777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85D" w14:textId="7699CB88" w:rsidR="00720382" w:rsidRPr="000169D7" w:rsidRDefault="00720382" w:rsidP="00915E8E">
            <w:pPr>
              <w:spacing w:line="240" w:lineRule="auto"/>
              <w:jc w:val="right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 xml:space="preserve">102,275,706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4FE" w14:textId="77777777" w:rsidR="00720382" w:rsidRPr="000169D7" w:rsidRDefault="00720382" w:rsidP="000169D7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sz w:val="18"/>
                <w:szCs w:val="18"/>
                <w:lang w:val="es-CR" w:eastAsia="es-CR"/>
              </w:rPr>
              <w:t> </w:t>
            </w:r>
          </w:p>
        </w:tc>
      </w:tr>
      <w:tr w:rsidR="0054565E" w:rsidRPr="000169D7" w14:paraId="63EC6165" w14:textId="77777777" w:rsidTr="0054565E">
        <w:trPr>
          <w:trHeight w:val="43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749094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TOTAL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85F7E6" w14:textId="052218D2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5,645,784,899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83F4F2" w14:textId="081EDFDF" w:rsidR="0054565E" w:rsidRPr="000169D7" w:rsidRDefault="0054565E" w:rsidP="00915E8E">
            <w:pPr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 xml:space="preserve">2,093,417,140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5898D7" w14:textId="77777777" w:rsidR="0054565E" w:rsidRPr="000169D7" w:rsidRDefault="0054565E" w:rsidP="000169D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</w:pPr>
            <w:r w:rsidRPr="000169D7">
              <w:rPr>
                <w:rFonts w:ascii="Calibri Light" w:hAnsi="Calibri Light" w:cs="Calibri Light"/>
                <w:b/>
                <w:bCs/>
                <w:sz w:val="18"/>
                <w:szCs w:val="18"/>
                <w:lang w:val="es-CR" w:eastAsia="es-CR"/>
              </w:rPr>
              <w:t>37%</w:t>
            </w:r>
          </w:p>
        </w:tc>
      </w:tr>
    </w:tbl>
    <w:p w14:paraId="26842E31" w14:textId="342BA594" w:rsidR="000169D7" w:rsidRDefault="000169D7" w:rsidP="007A6F7B">
      <w:pPr>
        <w:rPr>
          <w:rFonts w:ascii="Calibri" w:hAnsi="Calibri"/>
          <w:bCs/>
          <w:sz w:val="24"/>
          <w:szCs w:val="24"/>
          <w:lang w:val="es-CR"/>
        </w:rPr>
      </w:pPr>
    </w:p>
    <w:p w14:paraId="097BECC5" w14:textId="77777777" w:rsidR="000D3D70" w:rsidRPr="00720382" w:rsidRDefault="000D3D70" w:rsidP="007A6F7B">
      <w:pPr>
        <w:rPr>
          <w:rFonts w:ascii="Calibri" w:hAnsi="Calibri"/>
          <w:bCs/>
          <w:sz w:val="24"/>
          <w:szCs w:val="24"/>
          <w:lang w:val="es-CR"/>
        </w:rPr>
      </w:pPr>
    </w:p>
    <w:p w14:paraId="2B92AF18" w14:textId="206054AA" w:rsidR="00675237" w:rsidRPr="00BF369C" w:rsidRDefault="00675237" w:rsidP="002279BA">
      <w:pPr>
        <w:pStyle w:val="Ttulo3"/>
      </w:pPr>
      <w:bookmarkStart w:id="19" w:name="_Toc45533002"/>
      <w:bookmarkEnd w:id="15"/>
      <w:bookmarkEnd w:id="16"/>
      <w:bookmarkEnd w:id="17"/>
      <w:bookmarkEnd w:id="18"/>
      <w:r w:rsidRPr="00BF369C">
        <w:t>Indicador de desviación presupuestaria</w:t>
      </w:r>
      <w:bookmarkEnd w:id="19"/>
    </w:p>
    <w:p w14:paraId="7D18F574" w14:textId="77777777" w:rsidR="00E17925" w:rsidRPr="00BF369C" w:rsidRDefault="00E17925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25DC5508" w14:textId="17D18B17" w:rsidR="00E02759" w:rsidRPr="00BF369C" w:rsidRDefault="00E17925" w:rsidP="00225437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Con el objeto de unificar</w:t>
      </w:r>
      <w:r w:rsidR="005F359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la presentación de resultados y</w:t>
      </w:r>
      <w:r w:rsidR="000C0BD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>criterios de medición se estableció</w:t>
      </w:r>
      <w:r w:rsidR="005F359C" w:rsidRPr="00BF369C">
        <w:rPr>
          <w:rFonts w:asciiTheme="minorHAnsi" w:hAnsiTheme="minorHAnsi" w:cstheme="minorHAnsi"/>
          <w:sz w:val="24"/>
          <w:szCs w:val="24"/>
          <w:lang w:val="es-CR"/>
        </w:rPr>
        <w:t>, para todas las Superintendencias,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un parámetro para medir </w:t>
      </w:r>
      <w:r w:rsidR="000C0BD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la desviación porcentual entre </w:t>
      </w:r>
      <w:r w:rsidR="003F356E" w:rsidRPr="00BF369C">
        <w:rPr>
          <w:rFonts w:asciiTheme="minorHAnsi" w:hAnsiTheme="minorHAnsi" w:cstheme="minorHAnsi"/>
          <w:sz w:val="24"/>
          <w:szCs w:val="24"/>
          <w:lang w:val="es-CR"/>
        </w:rPr>
        <w:t>lo</w:t>
      </w:r>
      <w:r w:rsidR="000C0BD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ejecutado y el presupuesto para el logro de las metas y proyectos propuestos</w:t>
      </w:r>
      <w:r w:rsidR="003F356E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  <w:r w:rsidR="000C0BD0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</w:p>
    <w:p w14:paraId="4234092C" w14:textId="4BABF128" w:rsidR="003F356E" w:rsidRPr="00BF369C" w:rsidRDefault="003F356E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7D02EBA5" w14:textId="0D4931FA" w:rsidR="003F356E" w:rsidRPr="00BF369C" w:rsidRDefault="003F356E" w:rsidP="003F356E">
      <w:pPr>
        <w:rPr>
          <w:rFonts w:asciiTheme="minorHAnsi" w:hAnsiTheme="minorHAnsi"/>
          <w:sz w:val="24"/>
          <w:szCs w:val="24"/>
          <w:lang w:val="es-CR"/>
        </w:rPr>
      </w:pPr>
      <w:r w:rsidRPr="00BF369C">
        <w:rPr>
          <w:rFonts w:asciiTheme="minorHAnsi" w:hAnsiTheme="minorHAnsi"/>
          <w:sz w:val="24"/>
          <w:szCs w:val="24"/>
          <w:lang w:val="es-CR"/>
        </w:rPr>
        <w:t xml:space="preserve">El resultado de la desviación en el uso de los recursos para el </w:t>
      </w:r>
      <w:r w:rsidR="0099291A">
        <w:rPr>
          <w:rFonts w:asciiTheme="minorHAnsi" w:hAnsiTheme="minorHAnsi"/>
          <w:sz w:val="24"/>
          <w:szCs w:val="24"/>
          <w:lang w:val="es-CR"/>
        </w:rPr>
        <w:t xml:space="preserve">primer semestre </w:t>
      </w:r>
      <w:r w:rsidRPr="00BF369C">
        <w:rPr>
          <w:rFonts w:asciiTheme="minorHAnsi" w:hAnsiTheme="minorHAnsi"/>
          <w:sz w:val="24"/>
          <w:szCs w:val="24"/>
          <w:lang w:val="es-CR"/>
        </w:rPr>
        <w:t>20</w:t>
      </w:r>
      <w:r w:rsidR="00987AEB">
        <w:rPr>
          <w:rFonts w:asciiTheme="minorHAnsi" w:hAnsiTheme="minorHAnsi"/>
          <w:sz w:val="24"/>
          <w:szCs w:val="24"/>
          <w:lang w:val="es-CR"/>
        </w:rPr>
        <w:t>20</w:t>
      </w:r>
      <w:r w:rsidRPr="00BF369C">
        <w:rPr>
          <w:rFonts w:asciiTheme="minorHAnsi" w:hAnsiTheme="minorHAnsi"/>
          <w:sz w:val="24"/>
          <w:szCs w:val="24"/>
          <w:lang w:val="es-CR"/>
        </w:rPr>
        <w:t xml:space="preserve"> fue del </w:t>
      </w:r>
      <w:r w:rsidR="0099291A">
        <w:rPr>
          <w:rFonts w:asciiTheme="minorHAnsi" w:hAnsiTheme="minorHAnsi"/>
          <w:sz w:val="24"/>
          <w:szCs w:val="24"/>
          <w:lang w:val="es-CR"/>
        </w:rPr>
        <w:t>12,9</w:t>
      </w:r>
      <w:r w:rsidRPr="00BF369C">
        <w:rPr>
          <w:rFonts w:asciiTheme="minorHAnsi" w:hAnsiTheme="minorHAnsi"/>
          <w:sz w:val="24"/>
          <w:szCs w:val="24"/>
          <w:lang w:val="es-CR"/>
        </w:rPr>
        <w:t xml:space="preserve">%. Dicho resultado se cataloga, de acuerdo con los parámetros </w:t>
      </w:r>
      <w:r w:rsidR="003D050D" w:rsidRPr="00BF369C">
        <w:rPr>
          <w:rFonts w:asciiTheme="minorHAnsi" w:hAnsiTheme="minorHAnsi"/>
          <w:sz w:val="24"/>
          <w:szCs w:val="24"/>
          <w:lang w:val="es-CR"/>
        </w:rPr>
        <w:t xml:space="preserve">previamente </w:t>
      </w:r>
      <w:r w:rsidRPr="00BF369C">
        <w:rPr>
          <w:rFonts w:asciiTheme="minorHAnsi" w:hAnsiTheme="minorHAnsi"/>
          <w:sz w:val="24"/>
          <w:szCs w:val="24"/>
          <w:lang w:val="es-CR"/>
        </w:rPr>
        <w:t>establecidos, en la categoría de “</w:t>
      </w:r>
      <w:r w:rsidR="00A8476F">
        <w:rPr>
          <w:rFonts w:asciiTheme="minorHAnsi" w:hAnsiTheme="minorHAnsi"/>
          <w:sz w:val="24"/>
          <w:szCs w:val="24"/>
          <w:lang w:val="es-CR"/>
        </w:rPr>
        <w:t xml:space="preserve">Muy </w:t>
      </w:r>
      <w:r w:rsidRPr="00BF369C">
        <w:rPr>
          <w:rFonts w:asciiTheme="minorHAnsi" w:hAnsiTheme="minorHAnsi"/>
          <w:sz w:val="24"/>
          <w:szCs w:val="24"/>
          <w:lang w:val="es-CR"/>
        </w:rPr>
        <w:t>Bueno”.</w:t>
      </w:r>
    </w:p>
    <w:p w14:paraId="1E4F7987" w14:textId="39CAA966" w:rsidR="003F356E" w:rsidRPr="00BF369C" w:rsidRDefault="003F356E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61F34F9F" w14:textId="77777777" w:rsidR="00AD3B84" w:rsidRDefault="00AD3B84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2ED17790" w14:textId="7962E4E0" w:rsidR="003F356E" w:rsidRPr="00BF369C" w:rsidRDefault="003F356E" w:rsidP="00225437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El siguiente cuadro muestra los resultados obtenidos. </w:t>
      </w:r>
    </w:p>
    <w:p w14:paraId="1331123F" w14:textId="1FCF0A3C" w:rsidR="00E17925" w:rsidRPr="00BF369C" w:rsidRDefault="00E17925" w:rsidP="00225437">
      <w:pPr>
        <w:rPr>
          <w:rFonts w:asciiTheme="minorHAnsi" w:hAnsiTheme="minorHAnsi" w:cstheme="minorHAnsi"/>
          <w:sz w:val="24"/>
          <w:szCs w:val="24"/>
          <w:lang w:val="es-CR"/>
        </w:rPr>
      </w:pPr>
    </w:p>
    <w:p w14:paraId="6B4B8574" w14:textId="1D295ABE" w:rsidR="003F356E" w:rsidRPr="00BF369C" w:rsidRDefault="003F356E" w:rsidP="003F356E">
      <w:pPr>
        <w:rPr>
          <w:rFonts w:ascii="Calibri" w:hAnsi="Calibri"/>
          <w:b/>
          <w:sz w:val="24"/>
          <w:szCs w:val="24"/>
          <w:lang w:val="es-CR"/>
        </w:rPr>
      </w:pPr>
      <w:r w:rsidRPr="00BF369C">
        <w:rPr>
          <w:rFonts w:ascii="Calibri" w:hAnsi="Calibri"/>
          <w:sz w:val="24"/>
          <w:szCs w:val="24"/>
          <w:lang w:val="es-CR"/>
        </w:rPr>
        <w:t xml:space="preserve">Cuadro 5: </w:t>
      </w:r>
      <w:r w:rsidRPr="00BF369C">
        <w:rPr>
          <w:rFonts w:ascii="Calibri" w:hAnsi="Calibri"/>
          <w:b/>
          <w:sz w:val="24"/>
          <w:szCs w:val="24"/>
          <w:lang w:val="es-CR"/>
        </w:rPr>
        <w:t xml:space="preserve">Desviación porcentual </w:t>
      </w:r>
    </w:p>
    <w:p w14:paraId="7F0D09B5" w14:textId="52BCF443" w:rsidR="00E17925" w:rsidRPr="00BF369C" w:rsidRDefault="00E17925" w:rsidP="00225437">
      <w:pPr>
        <w:rPr>
          <w:rFonts w:asciiTheme="minorHAnsi" w:hAnsiTheme="minorHAnsi" w:cstheme="minorHAnsi"/>
          <w:lang w:val="es-CR"/>
        </w:rPr>
      </w:pPr>
      <w:r w:rsidRPr="00BF369C">
        <w:rPr>
          <w:rFonts w:cs="Arial"/>
          <w:b/>
          <w:bCs/>
          <w:i/>
          <w:iCs/>
          <w:szCs w:val="22"/>
          <w:lang w:val="es-CR" w:eastAsia="es-CR"/>
        </w:rPr>
        <w:t>Parámetros</w:t>
      </w:r>
      <w:r w:rsidRPr="00BF369C">
        <w:rPr>
          <w:rFonts w:cs="Arial"/>
          <w:i/>
          <w:iCs/>
          <w:szCs w:val="22"/>
          <w:lang w:val="es-CR" w:eastAsia="es-CR"/>
        </w:rPr>
        <w:t>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665"/>
        <w:gridCol w:w="1134"/>
        <w:gridCol w:w="1200"/>
        <w:gridCol w:w="1352"/>
        <w:gridCol w:w="1133"/>
      </w:tblGrid>
      <w:tr w:rsidR="00E17925" w:rsidRPr="00BF369C" w14:paraId="7291542E" w14:textId="77777777" w:rsidTr="00CB19C7">
        <w:trPr>
          <w:trHeight w:val="324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D6F18E" w14:textId="1BF42CDE" w:rsidR="00E17925" w:rsidRPr="00BF369C" w:rsidRDefault="000C0BD0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ENUNCIADO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8FDBA43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INDICADOR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8DF88D6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PARÁMETROS</w:t>
            </w:r>
          </w:p>
        </w:tc>
      </w:tr>
      <w:tr w:rsidR="00E17925" w:rsidRPr="00BF369C" w14:paraId="2970F0D4" w14:textId="77777777" w:rsidTr="000C0BD0">
        <w:trPr>
          <w:trHeight w:val="46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4BC4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C027D23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EJECUCION PRESUPUESTARIA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68786E0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Excelente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684E0D13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Muy Bueno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58799B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Bueno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3DF1C4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Malo</w:t>
            </w:r>
          </w:p>
        </w:tc>
      </w:tr>
      <w:tr w:rsidR="00E17925" w:rsidRPr="00BF369C" w14:paraId="45329351" w14:textId="77777777" w:rsidTr="000C0BD0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BBF8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sz w:val="16"/>
                <w:szCs w:val="16"/>
                <w:lang w:val="es-CR" w:eastAsia="es-CR"/>
              </w:rPr>
              <w:t>Desviación porcentual entre lo ejecutado y lo presupuestado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19D3" w14:textId="79EFEF29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color w:val="000000"/>
                <w:sz w:val="15"/>
                <w:szCs w:val="15"/>
                <w:u w:val="single"/>
                <w:lang w:val="es-CR" w:eastAsia="es-CR"/>
              </w:rPr>
            </w:pPr>
            <w:r w:rsidRPr="00BF369C">
              <w:rPr>
                <w:rFonts w:cs="Arial"/>
                <w:color w:val="000000"/>
                <w:sz w:val="15"/>
                <w:szCs w:val="15"/>
                <w:u w:val="single"/>
                <w:lang w:val="es-CR" w:eastAsia="es-CR"/>
              </w:rPr>
              <w:t xml:space="preserve">Gasto Real del período </w:t>
            </w:r>
            <w:r w:rsidR="003D050D" w:rsidRPr="00BF369C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 xml:space="preserve">– </w:t>
            </w:r>
            <w:r w:rsidR="008C14A9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>0</w:t>
            </w:r>
            <w:r w:rsidR="00EF53BA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>.5</w:t>
            </w:r>
            <w:r w:rsidRPr="00BF369C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 xml:space="preserve"> * </w:t>
            </w:r>
            <w:r w:rsidR="005D3643" w:rsidRPr="00BF369C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>100</w:t>
            </w:r>
            <w:r w:rsidRPr="00BF369C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6987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sz w:val="16"/>
                <w:szCs w:val="16"/>
                <w:lang w:val="es-CR" w:eastAsia="es-CR"/>
              </w:rPr>
              <w:t>˂ 5%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2A85" w14:textId="77777777" w:rsidR="00E17925" w:rsidRPr="00BF369C" w:rsidRDefault="00E17925" w:rsidP="00800582">
            <w:pPr>
              <w:spacing w:line="240" w:lineRule="auto"/>
              <w:jc w:val="center"/>
              <w:rPr>
                <w:rFonts w:ascii="Symbol" w:hAnsi="Symbol" w:cs="Arial"/>
                <w:sz w:val="16"/>
                <w:szCs w:val="16"/>
                <w:lang w:val="es-CR" w:eastAsia="es-CR"/>
              </w:rPr>
            </w:pPr>
            <w:r w:rsidRPr="00BF369C">
              <w:rPr>
                <w:rFonts w:ascii="Calibri" w:hAnsi="Calibri" w:cs="Calibri"/>
                <w:sz w:val="16"/>
                <w:szCs w:val="16"/>
                <w:lang w:val="es-CR" w:eastAsia="es-CR"/>
              </w:rPr>
              <w:t>≥</w:t>
            </w:r>
            <w:r w:rsidRPr="00BF369C">
              <w:rPr>
                <w:rFonts w:cs="Arial"/>
                <w:sz w:val="16"/>
                <w:szCs w:val="16"/>
                <w:lang w:val="es-CR" w:eastAsia="es-CR"/>
              </w:rPr>
              <w:t>5 &lt;15%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1F49" w14:textId="77777777" w:rsidR="00E17925" w:rsidRPr="00BF369C" w:rsidRDefault="00E17925" w:rsidP="00800582">
            <w:pPr>
              <w:spacing w:line="240" w:lineRule="auto"/>
              <w:jc w:val="center"/>
              <w:rPr>
                <w:rFonts w:ascii="Symbol" w:hAnsi="Symbol" w:cs="Arial"/>
                <w:sz w:val="16"/>
                <w:szCs w:val="16"/>
                <w:lang w:val="es-CR" w:eastAsia="es-CR"/>
              </w:rPr>
            </w:pPr>
            <w:r w:rsidRPr="00BF369C">
              <w:rPr>
                <w:rFonts w:ascii="Calibri" w:hAnsi="Calibri" w:cs="Calibri"/>
                <w:sz w:val="16"/>
                <w:szCs w:val="16"/>
                <w:lang w:val="es-CR" w:eastAsia="es-CR"/>
              </w:rPr>
              <w:t>≥</w:t>
            </w:r>
            <w:r w:rsidRPr="00BF369C">
              <w:rPr>
                <w:rFonts w:cs="Arial"/>
                <w:sz w:val="16"/>
                <w:szCs w:val="16"/>
                <w:lang w:val="es-CR" w:eastAsia="es-CR"/>
              </w:rPr>
              <w:t>15% &lt; 25%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0DCF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sz w:val="16"/>
                <w:szCs w:val="16"/>
                <w:lang w:val="es-CR" w:eastAsia="es-CR"/>
              </w:rPr>
              <w:t>&gt;25%</w:t>
            </w:r>
          </w:p>
        </w:tc>
      </w:tr>
      <w:tr w:rsidR="00E17925" w:rsidRPr="00BF369C" w14:paraId="08972A82" w14:textId="77777777" w:rsidTr="000C0BD0">
        <w:trPr>
          <w:trHeight w:val="24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A7174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3F9E" w14:textId="2E0B5CB7" w:rsidR="00E17925" w:rsidRPr="00BF369C" w:rsidRDefault="000C0BD0" w:rsidP="000C0BD0">
            <w:pPr>
              <w:spacing w:line="240" w:lineRule="auto"/>
              <w:rPr>
                <w:rFonts w:cs="Arial"/>
                <w:color w:val="000000"/>
                <w:sz w:val="15"/>
                <w:szCs w:val="15"/>
                <w:lang w:val="es-CR" w:eastAsia="es-CR"/>
              </w:rPr>
            </w:pPr>
            <w:r w:rsidRPr="00BF369C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 xml:space="preserve">  </w:t>
            </w:r>
            <w:r w:rsidR="00E17925" w:rsidRPr="00BF369C">
              <w:rPr>
                <w:rFonts w:cs="Arial"/>
                <w:color w:val="000000"/>
                <w:sz w:val="15"/>
                <w:szCs w:val="15"/>
                <w:lang w:val="es-CR" w:eastAsia="es-CR"/>
              </w:rPr>
              <w:t>Gasto Presupuestado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84706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749E" w14:textId="77777777" w:rsidR="00E17925" w:rsidRPr="00BF369C" w:rsidRDefault="00E17925" w:rsidP="00800582">
            <w:pPr>
              <w:spacing w:line="240" w:lineRule="auto"/>
              <w:jc w:val="left"/>
              <w:rPr>
                <w:rFonts w:ascii="Symbol" w:hAnsi="Symbol"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BAE29" w14:textId="77777777" w:rsidR="00E17925" w:rsidRPr="00BF369C" w:rsidRDefault="00E17925" w:rsidP="00800582">
            <w:pPr>
              <w:spacing w:line="240" w:lineRule="auto"/>
              <w:jc w:val="left"/>
              <w:rPr>
                <w:rFonts w:ascii="Symbol" w:hAnsi="Symbol"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52FCA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</w:tr>
    </w:tbl>
    <w:p w14:paraId="568A461B" w14:textId="656ADEBD" w:rsidR="00E17925" w:rsidRPr="00BF369C" w:rsidRDefault="00E17925" w:rsidP="00225437">
      <w:pPr>
        <w:rPr>
          <w:rFonts w:asciiTheme="minorHAnsi" w:hAnsiTheme="minorHAnsi" w:cstheme="minorHAnsi"/>
          <w:lang w:val="es-CR"/>
        </w:rPr>
      </w:pPr>
    </w:p>
    <w:p w14:paraId="026789A7" w14:textId="423AF688" w:rsidR="00E17925" w:rsidRPr="00BF369C" w:rsidRDefault="00E17925" w:rsidP="00225437">
      <w:pPr>
        <w:rPr>
          <w:rFonts w:asciiTheme="minorHAnsi" w:hAnsiTheme="minorHAnsi" w:cstheme="minorHAnsi"/>
          <w:lang w:val="es-CR"/>
        </w:rPr>
      </w:pPr>
      <w:r w:rsidRPr="00BF369C">
        <w:rPr>
          <w:rFonts w:cs="Arial"/>
          <w:b/>
          <w:bCs/>
          <w:i/>
          <w:iCs/>
          <w:szCs w:val="22"/>
          <w:lang w:val="es-CR" w:eastAsia="es-CR"/>
        </w:rPr>
        <w:lastRenderedPageBreak/>
        <w:t>Resultados</w:t>
      </w:r>
      <w:r w:rsidRPr="00BF369C">
        <w:rPr>
          <w:rFonts w:cs="Arial"/>
          <w:i/>
          <w:iCs/>
          <w:szCs w:val="22"/>
          <w:lang w:val="es-CR" w:eastAsia="es-CR"/>
        </w:rPr>
        <w:t>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665"/>
        <w:gridCol w:w="1134"/>
        <w:gridCol w:w="1200"/>
        <w:gridCol w:w="1351"/>
        <w:gridCol w:w="1134"/>
      </w:tblGrid>
      <w:tr w:rsidR="00E17925" w:rsidRPr="00BF369C" w14:paraId="60689D60" w14:textId="77777777" w:rsidTr="00CB19C7">
        <w:trPr>
          <w:trHeight w:val="326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6B4B97" w14:textId="2F95DE7E" w:rsidR="00E17925" w:rsidRPr="00BF369C" w:rsidRDefault="000C0BD0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ENUNCIADO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3F8E03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INDICADOR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E37DEBC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PARÁMETROS</w:t>
            </w:r>
          </w:p>
        </w:tc>
      </w:tr>
      <w:tr w:rsidR="00E17925" w:rsidRPr="00BF369C" w14:paraId="55A1DB35" w14:textId="77777777" w:rsidTr="000C0BD0">
        <w:trPr>
          <w:trHeight w:val="46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45DE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0070EE6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EJECUCION PRESUPUESTARIA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D33856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Excelente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37253095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Muy Bueno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C588FD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D2528FA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s-CR" w:eastAsia="es-CR"/>
              </w:rPr>
            </w:pPr>
            <w:r w:rsidRPr="00BF369C">
              <w:rPr>
                <w:rFonts w:cs="Arial"/>
                <w:b/>
                <w:bCs/>
                <w:sz w:val="12"/>
                <w:szCs w:val="12"/>
                <w:lang w:val="es-CR" w:eastAsia="es-CR"/>
              </w:rPr>
              <w:t>Malo</w:t>
            </w:r>
          </w:p>
        </w:tc>
      </w:tr>
      <w:tr w:rsidR="00E17925" w:rsidRPr="00BF369C" w14:paraId="2FA811A8" w14:textId="77777777" w:rsidTr="000C0BD0">
        <w:trPr>
          <w:trHeight w:val="45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58AB" w14:textId="77777777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sz w:val="16"/>
                <w:szCs w:val="16"/>
                <w:lang w:val="es-CR" w:eastAsia="es-CR"/>
              </w:rPr>
              <w:t>Desviación porcentual entre lo ejecutado y lo presupuestado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7EDA" w14:textId="063967FD" w:rsidR="00E17925" w:rsidRPr="00BF369C" w:rsidRDefault="0029310F" w:rsidP="0080058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</w:pPr>
            <w:r w:rsidRPr="00BF369C"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  <w:t>5.</w:t>
            </w:r>
            <w:r w:rsidR="007C2711"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  <w:t>645</w:t>
            </w:r>
            <w:r w:rsidRPr="00BF369C"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  <w:t>.</w:t>
            </w:r>
            <w:r w:rsidR="007C2711"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  <w:t>784</w:t>
            </w:r>
            <w:r w:rsidRPr="00BF369C"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  <w:t>.</w:t>
            </w:r>
            <w:r w:rsidR="00F953E5">
              <w:rPr>
                <w:rFonts w:cs="Arial"/>
                <w:color w:val="000000"/>
                <w:sz w:val="16"/>
                <w:szCs w:val="16"/>
                <w:u w:val="single"/>
                <w:lang w:val="es-CR" w:eastAsia="es-CR"/>
              </w:rPr>
              <w:t>899</w:t>
            </w:r>
            <w:r w:rsidR="003D050D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="008C14A9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–</w:t>
            </w:r>
            <w:r w:rsidR="003D050D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="008C14A9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0.5</w:t>
            </w:r>
            <w:r w:rsidR="00E17925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* </w:t>
            </w:r>
            <w:r w:rsidR="005D3643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100</w:t>
            </w:r>
            <w:r w:rsidR="00E17925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25CB" w14:textId="65A7DDD9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CA37" w14:textId="37F967A7" w:rsidR="00E17925" w:rsidRPr="00BF369C" w:rsidRDefault="002A73D7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  <w:r>
              <w:rPr>
                <w:rFonts w:cs="Arial"/>
                <w:sz w:val="16"/>
                <w:szCs w:val="16"/>
                <w:lang w:val="es-CR" w:eastAsia="es-CR"/>
              </w:rPr>
              <w:t>12,9%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8848" w14:textId="6357052A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0601" w14:textId="5CA48256" w:rsidR="00E17925" w:rsidRPr="00BF369C" w:rsidRDefault="00E17925" w:rsidP="008005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</w:tr>
      <w:tr w:rsidR="00E17925" w:rsidRPr="00BF369C" w14:paraId="60A9A7F8" w14:textId="77777777" w:rsidTr="000C0BD0">
        <w:trPr>
          <w:trHeight w:val="24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A23D6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9F5C" w14:textId="514D48B5" w:rsidR="00E17925" w:rsidRPr="00BF369C" w:rsidRDefault="000C0BD0" w:rsidP="000C0BD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s-CR" w:eastAsia="es-CR"/>
              </w:rPr>
            </w:pPr>
            <w:r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   </w:t>
            </w:r>
            <w:r w:rsidR="003D050D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 </w:t>
            </w:r>
            <w:r w:rsidR="0029310F" w:rsidRPr="00BF369C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  <w:r w:rsidR="00F953E5">
              <w:rPr>
                <w:rFonts w:cs="Arial"/>
                <w:color w:val="000000"/>
                <w:sz w:val="16"/>
                <w:szCs w:val="16"/>
                <w:lang w:val="es-CR" w:eastAsia="es-CR"/>
              </w:rPr>
              <w:t>2.093.417.139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7655D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86B91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357CA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D07A" w14:textId="77777777" w:rsidR="00E17925" w:rsidRPr="00BF369C" w:rsidRDefault="00E17925" w:rsidP="00800582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R" w:eastAsia="es-CR"/>
              </w:rPr>
            </w:pPr>
          </w:p>
        </w:tc>
      </w:tr>
    </w:tbl>
    <w:p w14:paraId="17648423" w14:textId="53B45257" w:rsidR="00E17925" w:rsidRPr="00BF369C" w:rsidRDefault="00E17925" w:rsidP="00225437">
      <w:pPr>
        <w:rPr>
          <w:rFonts w:asciiTheme="minorHAnsi" w:hAnsiTheme="minorHAnsi" w:cstheme="minorHAnsi"/>
          <w:lang w:val="es-CR"/>
        </w:rPr>
      </w:pPr>
    </w:p>
    <w:p w14:paraId="7A646EBA" w14:textId="77777777" w:rsidR="008E6F15" w:rsidRPr="00BF369C" w:rsidRDefault="008E6F15" w:rsidP="008E6F15">
      <w:pPr>
        <w:rPr>
          <w:lang w:val="es-CR"/>
        </w:rPr>
      </w:pPr>
    </w:p>
    <w:p w14:paraId="46B411BB" w14:textId="76FD9C5C" w:rsidR="00042589" w:rsidRPr="00BF369C" w:rsidRDefault="00042589" w:rsidP="002279BA">
      <w:pPr>
        <w:pStyle w:val="Ttulo3"/>
      </w:pPr>
      <w:bookmarkStart w:id="20" w:name="_Toc45533003"/>
      <w:r w:rsidRPr="00BF369C">
        <w:t>Indicadores operativos</w:t>
      </w:r>
      <w:bookmarkEnd w:id="20"/>
    </w:p>
    <w:p w14:paraId="79D2ACD2" w14:textId="77777777" w:rsidR="00675237" w:rsidRPr="00BF369C" w:rsidRDefault="00675237" w:rsidP="00225437">
      <w:pPr>
        <w:rPr>
          <w:rFonts w:asciiTheme="minorHAnsi" w:hAnsiTheme="minorHAnsi" w:cstheme="minorHAnsi"/>
          <w:sz w:val="24"/>
          <w:lang w:val="es-CR"/>
        </w:rPr>
      </w:pPr>
    </w:p>
    <w:p w14:paraId="59109631" w14:textId="448623B8" w:rsidR="00A93F11" w:rsidRPr="00BF369C" w:rsidRDefault="00920553" w:rsidP="00225437">
      <w:pPr>
        <w:rPr>
          <w:rFonts w:asciiTheme="minorHAnsi" w:hAnsiTheme="minorHAnsi" w:cstheme="minorHAnsi"/>
          <w:sz w:val="24"/>
          <w:lang w:val="es-CR"/>
        </w:rPr>
      </w:pPr>
      <w:r w:rsidRPr="00BF369C">
        <w:rPr>
          <w:rFonts w:asciiTheme="minorHAnsi" w:hAnsiTheme="minorHAnsi" w:cstheme="minorHAnsi"/>
          <w:sz w:val="24"/>
          <w:lang w:val="es-CR"/>
        </w:rPr>
        <w:t xml:space="preserve">La evaluación general de la SUPEN resulta del promedio de las notas obtenidas por los </w:t>
      </w:r>
      <w:r w:rsidR="00A35DD8" w:rsidRPr="00BF369C">
        <w:rPr>
          <w:rFonts w:asciiTheme="minorHAnsi" w:hAnsiTheme="minorHAnsi" w:cstheme="minorHAnsi"/>
          <w:sz w:val="24"/>
          <w:lang w:val="es-CR"/>
        </w:rPr>
        <w:t xml:space="preserve">cinco </w:t>
      </w:r>
      <w:r w:rsidRPr="00BF369C">
        <w:rPr>
          <w:rFonts w:asciiTheme="minorHAnsi" w:hAnsiTheme="minorHAnsi" w:cstheme="minorHAnsi"/>
          <w:sz w:val="24"/>
          <w:lang w:val="es-CR"/>
        </w:rPr>
        <w:t xml:space="preserve">procesos que conforman la organización, según se </w:t>
      </w:r>
      <w:r w:rsidR="00516ACB" w:rsidRPr="00BF369C">
        <w:rPr>
          <w:rFonts w:asciiTheme="minorHAnsi" w:hAnsiTheme="minorHAnsi" w:cstheme="minorHAnsi"/>
          <w:sz w:val="24"/>
          <w:lang w:val="es-CR"/>
        </w:rPr>
        <w:t>detallan para este período, de conformidad con los indicadores previamente declarados.</w:t>
      </w:r>
    </w:p>
    <w:p w14:paraId="69152674" w14:textId="11EF1CC3" w:rsidR="00323431" w:rsidRPr="00BF369C" w:rsidRDefault="00323431" w:rsidP="00225437">
      <w:pPr>
        <w:rPr>
          <w:rFonts w:asciiTheme="minorHAnsi" w:hAnsiTheme="minorHAnsi" w:cstheme="minorHAnsi"/>
          <w:sz w:val="24"/>
          <w:lang w:val="es-CR"/>
        </w:rPr>
      </w:pPr>
    </w:p>
    <w:p w14:paraId="1D2F238F" w14:textId="1FCD9FC7" w:rsidR="00323431" w:rsidRPr="00BF369C" w:rsidRDefault="00323431" w:rsidP="00225437">
      <w:pPr>
        <w:rPr>
          <w:rFonts w:asciiTheme="minorHAnsi" w:hAnsiTheme="minorHAnsi" w:cstheme="minorHAnsi"/>
          <w:sz w:val="24"/>
          <w:lang w:val="es-CR"/>
        </w:rPr>
      </w:pPr>
      <w:r w:rsidRPr="00BF369C">
        <w:rPr>
          <w:rFonts w:asciiTheme="minorHAnsi" w:hAnsiTheme="minorHAnsi" w:cstheme="minorHAnsi"/>
          <w:sz w:val="24"/>
          <w:lang w:val="es-CR"/>
        </w:rPr>
        <w:t xml:space="preserve">Se observa que la SUPEN obtuvo </w:t>
      </w:r>
      <w:r w:rsidR="005D51B6">
        <w:rPr>
          <w:rFonts w:asciiTheme="minorHAnsi" w:hAnsiTheme="minorHAnsi" w:cstheme="minorHAnsi"/>
          <w:sz w:val="24"/>
          <w:lang w:val="es-CR"/>
        </w:rPr>
        <w:t>90%</w:t>
      </w:r>
      <w:r w:rsidRPr="00BF369C">
        <w:rPr>
          <w:rFonts w:asciiTheme="minorHAnsi" w:hAnsiTheme="minorHAnsi" w:cstheme="minorHAnsi"/>
          <w:sz w:val="24"/>
          <w:lang w:val="es-CR"/>
        </w:rPr>
        <w:t xml:space="preserve"> como resultado de los trabajos realizados </w:t>
      </w:r>
      <w:r w:rsidR="00B61C95" w:rsidRPr="00BF369C">
        <w:rPr>
          <w:rFonts w:asciiTheme="minorHAnsi" w:hAnsiTheme="minorHAnsi" w:cstheme="minorHAnsi"/>
          <w:sz w:val="24"/>
          <w:lang w:val="es-CR"/>
        </w:rPr>
        <w:t>en proporción con</w:t>
      </w:r>
      <w:r w:rsidRPr="00BF369C">
        <w:rPr>
          <w:rFonts w:asciiTheme="minorHAnsi" w:hAnsiTheme="minorHAnsi" w:cstheme="minorHAnsi"/>
          <w:sz w:val="24"/>
          <w:lang w:val="es-CR"/>
        </w:rPr>
        <w:t xml:space="preserve"> los trabajos programados, </w:t>
      </w:r>
      <w:r w:rsidRPr="00EF60F2">
        <w:rPr>
          <w:rFonts w:asciiTheme="minorHAnsi" w:hAnsiTheme="minorHAnsi" w:cstheme="minorHAnsi"/>
          <w:sz w:val="24"/>
          <w:lang w:val="es-CR"/>
        </w:rPr>
        <w:t xml:space="preserve">lo que </w:t>
      </w:r>
      <w:r w:rsidR="00B61C95" w:rsidRPr="00EF60F2">
        <w:rPr>
          <w:rFonts w:asciiTheme="minorHAnsi" w:hAnsiTheme="minorHAnsi" w:cstheme="minorHAnsi"/>
          <w:sz w:val="24"/>
          <w:lang w:val="es-CR"/>
        </w:rPr>
        <w:t>se califica como excelente</w:t>
      </w:r>
      <w:r w:rsidR="00B61C95" w:rsidRPr="00BF369C">
        <w:rPr>
          <w:rFonts w:asciiTheme="minorHAnsi" w:hAnsiTheme="minorHAnsi" w:cstheme="minorHAnsi"/>
          <w:sz w:val="24"/>
          <w:lang w:val="es-CR"/>
        </w:rPr>
        <w:t>. En lo que se refiere a la desviación del porcentaje de realización del trabajo con respecto al programado</w:t>
      </w:r>
      <w:r w:rsidR="00341DD4" w:rsidRPr="00BF369C">
        <w:rPr>
          <w:rFonts w:asciiTheme="minorHAnsi" w:hAnsiTheme="minorHAnsi" w:cstheme="minorHAnsi"/>
          <w:sz w:val="24"/>
          <w:lang w:val="es-CR"/>
        </w:rPr>
        <w:t xml:space="preserve">, </w:t>
      </w:r>
      <w:r w:rsidR="00A5786B" w:rsidRPr="00BF369C">
        <w:rPr>
          <w:rFonts w:asciiTheme="minorHAnsi" w:hAnsiTheme="minorHAnsi" w:cstheme="minorHAnsi"/>
          <w:sz w:val="24"/>
          <w:lang w:val="es-CR"/>
        </w:rPr>
        <w:t>se obtuvo un resultado del 1</w:t>
      </w:r>
      <w:r w:rsidR="00A97927">
        <w:rPr>
          <w:rFonts w:asciiTheme="minorHAnsi" w:hAnsiTheme="minorHAnsi" w:cstheme="minorHAnsi"/>
          <w:sz w:val="24"/>
          <w:lang w:val="es-CR"/>
        </w:rPr>
        <w:t>0</w:t>
      </w:r>
      <w:r w:rsidR="00B61C95" w:rsidRPr="00BF369C">
        <w:rPr>
          <w:rFonts w:asciiTheme="minorHAnsi" w:hAnsiTheme="minorHAnsi" w:cstheme="minorHAnsi"/>
          <w:sz w:val="24"/>
          <w:lang w:val="es-CR"/>
        </w:rPr>
        <w:t>%, que de conformidad con los parámetros es catalogado como excelente.</w:t>
      </w:r>
    </w:p>
    <w:p w14:paraId="2CF9E477" w14:textId="28D78289" w:rsidR="00B61C95" w:rsidRPr="00BF369C" w:rsidRDefault="00B61C95" w:rsidP="00225437">
      <w:pPr>
        <w:rPr>
          <w:rFonts w:asciiTheme="minorHAnsi" w:hAnsiTheme="minorHAnsi" w:cstheme="minorHAnsi"/>
          <w:sz w:val="24"/>
          <w:lang w:val="es-CR"/>
        </w:rPr>
      </w:pPr>
    </w:p>
    <w:p w14:paraId="003454D5" w14:textId="70169D88" w:rsidR="00B61C95" w:rsidRDefault="00B61C95" w:rsidP="00225437">
      <w:pPr>
        <w:rPr>
          <w:rFonts w:asciiTheme="minorHAnsi" w:hAnsiTheme="minorHAnsi" w:cstheme="minorHAnsi"/>
          <w:sz w:val="24"/>
          <w:lang w:val="es-CR"/>
        </w:rPr>
      </w:pPr>
      <w:r w:rsidRPr="00BF369C">
        <w:rPr>
          <w:rFonts w:asciiTheme="minorHAnsi" w:hAnsiTheme="minorHAnsi" w:cstheme="minorHAnsi"/>
          <w:sz w:val="24"/>
          <w:lang w:val="es-CR"/>
        </w:rPr>
        <w:t>El siguiente cuadro representa los resultados de manera general.</w:t>
      </w:r>
    </w:p>
    <w:p w14:paraId="2EA655EE" w14:textId="77777777" w:rsidR="0085256B" w:rsidRPr="00BF369C" w:rsidRDefault="0085256B" w:rsidP="00225437">
      <w:pPr>
        <w:rPr>
          <w:rFonts w:asciiTheme="minorHAnsi" w:hAnsiTheme="minorHAnsi" w:cstheme="minorHAnsi"/>
          <w:sz w:val="24"/>
          <w:lang w:val="es-CR"/>
        </w:rPr>
      </w:pPr>
    </w:p>
    <w:p w14:paraId="1B625C0F" w14:textId="28171A29" w:rsidR="00516ACB" w:rsidRPr="00BF369C" w:rsidRDefault="00516ACB" w:rsidP="00516ACB">
      <w:pPr>
        <w:rPr>
          <w:rFonts w:ascii="Calibri" w:hAnsi="Calibri"/>
          <w:b/>
          <w:sz w:val="24"/>
          <w:szCs w:val="24"/>
          <w:lang w:val="es-CR"/>
        </w:rPr>
      </w:pPr>
      <w:r w:rsidRPr="00EB3CFB">
        <w:rPr>
          <w:rFonts w:ascii="Calibri" w:hAnsi="Calibri"/>
          <w:sz w:val="24"/>
          <w:szCs w:val="24"/>
          <w:lang w:val="es-CR"/>
        </w:rPr>
        <w:t xml:space="preserve">Cuadro 6: </w:t>
      </w:r>
      <w:r w:rsidR="009A09BD" w:rsidRPr="00EB3CFB">
        <w:rPr>
          <w:rFonts w:ascii="Calibri" w:hAnsi="Calibri"/>
          <w:b/>
          <w:sz w:val="24"/>
          <w:szCs w:val="24"/>
          <w:lang w:val="es-CR"/>
        </w:rPr>
        <w:t>Resumen de trabajo programados</w:t>
      </w:r>
      <w:r w:rsidRPr="00BF369C">
        <w:rPr>
          <w:rFonts w:ascii="Calibri" w:hAnsi="Calibri"/>
          <w:b/>
          <w:sz w:val="24"/>
          <w:szCs w:val="24"/>
          <w:lang w:val="es-CR"/>
        </w:rPr>
        <w:t xml:space="preserve"> 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843"/>
        <w:gridCol w:w="992"/>
        <w:gridCol w:w="1134"/>
        <w:gridCol w:w="1122"/>
        <w:gridCol w:w="1127"/>
        <w:gridCol w:w="1263"/>
      </w:tblGrid>
      <w:tr w:rsidR="002E1352" w:rsidRPr="00BF369C" w14:paraId="0B13DC53" w14:textId="77777777" w:rsidTr="00920553">
        <w:trPr>
          <w:trHeight w:val="442"/>
          <w:tblHeader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5CAFCA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INTERPRETACION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D0D36A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INDICADORES OPERATIVOS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4B6D3D" w14:textId="7FBC7B55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PARÁMETROS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A8DEF" w14:textId="4D173D55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 xml:space="preserve">RESULTADOS </w:t>
            </w:r>
          </w:p>
        </w:tc>
      </w:tr>
      <w:tr w:rsidR="002E1352" w:rsidRPr="00BF369C" w14:paraId="144BFF77" w14:textId="77777777" w:rsidTr="00AD0001">
        <w:trPr>
          <w:trHeight w:val="525"/>
          <w:tblHeader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4611" w14:textId="77777777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54CA0C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(</w:t>
            </w: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shd w:val="clear" w:color="auto" w:fill="DBE5F1" w:themeFill="accent1" w:themeFillTint="33"/>
                <w:lang w:val="es-CR" w:eastAsia="es-CR"/>
              </w:rPr>
              <w:t>institucionales</w:t>
            </w: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 xml:space="preserve"> y por meta)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CD82053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A5CF4A1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MB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21B496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71987C8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  <w:t>M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BA5B" w14:textId="77777777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color w:val="000000"/>
                <w:sz w:val="20"/>
                <w:lang w:val="es-CR" w:eastAsia="es-CR"/>
              </w:rPr>
            </w:pPr>
          </w:p>
        </w:tc>
      </w:tr>
      <w:tr w:rsidR="002E1352" w:rsidRPr="00BF369C" w14:paraId="6BA360C9" w14:textId="77777777" w:rsidTr="00D4147B">
        <w:trPr>
          <w:trHeight w:val="128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7FC" w14:textId="1737A930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Porcentaje de trabajos programado</w:t>
            </w:r>
            <w:r w:rsidR="00554313"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 xml:space="preserve">s que se realizaron, por meta </w:t>
            </w: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 xml:space="preserve">institucional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C53" w14:textId="423715D0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u w:val="single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 xml:space="preserve">(Trabajos planificados realizados) / (Trabajos planificados) </w:t>
            </w:r>
            <w:r w:rsidRPr="00BF369C">
              <w:rPr>
                <w:rFonts w:ascii="Calibri Light" w:hAnsi="Calibri Light" w:cs="Calibri Light"/>
                <w:color w:val="000000"/>
                <w:sz w:val="18"/>
                <w:u w:val="single"/>
                <w:lang w:val="es-CR" w:eastAsia="es-CR"/>
              </w:rPr>
              <w:t>x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475" w14:textId="68334E25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≥ 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135" w14:textId="498716D4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80% ≤ 85/%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CE3" w14:textId="34AB73AC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75% ≤ 80%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A1D" w14:textId="1349D85B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&lt; 75%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8DF" w14:textId="7671B5FA" w:rsidR="002E1352" w:rsidRPr="00BF369C" w:rsidRDefault="00F527F2" w:rsidP="00F527F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9</w:t>
            </w:r>
            <w:r w:rsidR="00464AD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0</w:t>
            </w:r>
            <w:r w:rsidR="00554313"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%</w:t>
            </w:r>
          </w:p>
        </w:tc>
      </w:tr>
      <w:tr w:rsidR="002E1352" w:rsidRPr="00BF369C" w14:paraId="5C9F0FDC" w14:textId="77777777" w:rsidTr="00D4147B">
        <w:trPr>
          <w:trHeight w:val="168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DB8" w14:textId="77777777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Porcentaje de trabajos realizados (programados y no programados) con respecto a los programados planificados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B28" w14:textId="44BD5F3B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(Q Trabajos realizados) / (Q Trabajos planificados) *100%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A06" w14:textId="11224C48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≥100%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8FB" w14:textId="2BB5D33E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90% ≤ 100%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850" w14:textId="4FEBB036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80% ≤ 90%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AD2" w14:textId="724FDE5F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&lt;80%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107" w14:textId="678DF7E4" w:rsidR="002E1352" w:rsidRPr="00BF369C" w:rsidRDefault="00DB5A3F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9</w:t>
            </w:r>
            <w:r w:rsidR="0040342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0</w:t>
            </w:r>
            <w:r w:rsidR="00554313"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%</w:t>
            </w:r>
          </w:p>
        </w:tc>
      </w:tr>
      <w:tr w:rsidR="002E1352" w:rsidRPr="00BF369C" w14:paraId="76A8712E" w14:textId="77777777" w:rsidTr="00D4147B">
        <w:trPr>
          <w:trHeight w:val="142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F6" w14:textId="77777777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lastRenderedPageBreak/>
              <w:t xml:space="preserve">Desviación del porcentaje de realización del trabajo con respecto al programado.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2FB" w14:textId="2390429B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(Porcentaje de ejecución planificada del trabajo) – (Porcentaje de ejecución real del trabajo)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55D" w14:textId="15746C80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&lt;15%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621" w14:textId="3AF8C1C8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15% ≤ 25%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58F" w14:textId="72B8A043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25% ≤ 35%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310" w14:textId="33C9C29C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&lt;35%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490" w14:textId="0C4CC2CE" w:rsidR="002E1352" w:rsidRPr="00BF369C" w:rsidRDefault="00A5786B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1</w:t>
            </w:r>
            <w:r w:rsidR="00EB3CFB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0</w:t>
            </w:r>
            <w:r w:rsidR="00A11076"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%</w:t>
            </w:r>
          </w:p>
        </w:tc>
      </w:tr>
      <w:tr w:rsidR="002E1352" w:rsidRPr="00BF369C" w14:paraId="441A99C1" w14:textId="77777777" w:rsidTr="00AD0001">
        <w:trPr>
          <w:trHeight w:val="78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8C1" w14:textId="77777777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Trabajos no programables realizados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4E2" w14:textId="7EF3C504" w:rsidR="002E1352" w:rsidRPr="00BF369C" w:rsidRDefault="002E1352" w:rsidP="002E1352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# de trabajos no programables realizados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AF6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8C1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N/A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8B4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N/A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D24" w14:textId="77777777" w:rsidR="002E1352" w:rsidRPr="00BF369C" w:rsidRDefault="002E1352" w:rsidP="002E1352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color w:val="000000"/>
                <w:sz w:val="18"/>
                <w:lang w:val="es-CR" w:eastAsia="es-CR"/>
              </w:rPr>
              <w:t>N/A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06B" w14:textId="0A630633" w:rsidR="002E1352" w:rsidRPr="00BF369C" w:rsidRDefault="00A11076" w:rsidP="002E135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BF369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CR" w:eastAsia="es-CR"/>
              </w:rPr>
              <w:t>0%</w:t>
            </w:r>
          </w:p>
        </w:tc>
      </w:tr>
    </w:tbl>
    <w:p w14:paraId="6BD3BD37" w14:textId="559DFC23" w:rsidR="00516ACB" w:rsidRPr="00BF369C" w:rsidRDefault="00516ACB" w:rsidP="00225437">
      <w:pPr>
        <w:rPr>
          <w:rFonts w:ascii="Calibri Light" w:hAnsi="Calibri Light" w:cs="Calibri Light"/>
          <w:lang w:val="es-CR"/>
        </w:rPr>
      </w:pPr>
    </w:p>
    <w:p w14:paraId="28DEA827" w14:textId="77777777" w:rsidR="00853105" w:rsidRPr="00BF369C" w:rsidRDefault="00853105" w:rsidP="00225437">
      <w:pPr>
        <w:rPr>
          <w:rFonts w:ascii="Calibri Light" w:hAnsi="Calibri Light" w:cs="Calibri Light"/>
          <w:sz w:val="18"/>
          <w:lang w:val="es-CR"/>
        </w:rPr>
      </w:pPr>
    </w:p>
    <w:p w14:paraId="1565A7A9" w14:textId="0221EAAE" w:rsidR="00042589" w:rsidRPr="00FC39A8" w:rsidRDefault="00042589" w:rsidP="00642B01">
      <w:pPr>
        <w:pStyle w:val="Ttulo3"/>
      </w:pPr>
      <w:bookmarkStart w:id="21" w:name="_Toc45533004"/>
      <w:r w:rsidRPr="00FC39A8">
        <w:t xml:space="preserve">Proyectos </w:t>
      </w:r>
      <w:r w:rsidR="00800582" w:rsidRPr="00FC39A8">
        <w:t>estratégicos</w:t>
      </w:r>
      <w:bookmarkEnd w:id="21"/>
    </w:p>
    <w:p w14:paraId="6106A1AD" w14:textId="77777777" w:rsidR="0014215D" w:rsidRPr="00FC39A8" w:rsidRDefault="0014215D" w:rsidP="00EF48C4">
      <w:pPr>
        <w:rPr>
          <w:lang w:val="es-CR"/>
        </w:rPr>
      </w:pPr>
    </w:p>
    <w:p w14:paraId="47931D36" w14:textId="2D2B9F08" w:rsidR="0014215D" w:rsidRDefault="00484F9E" w:rsidP="00EF48C4">
      <w:pPr>
        <w:rPr>
          <w:rFonts w:asciiTheme="minorHAnsi" w:hAnsiTheme="minorHAnsi" w:cstheme="minorHAnsi"/>
          <w:sz w:val="24"/>
          <w:lang w:val="es-CR"/>
        </w:rPr>
      </w:pPr>
      <w:r w:rsidRPr="00FC39A8">
        <w:rPr>
          <w:rFonts w:ascii="Calibri" w:hAnsi="Calibri"/>
          <w:sz w:val="24"/>
          <w:szCs w:val="24"/>
          <w:lang w:val="es-CR"/>
        </w:rPr>
        <w:t xml:space="preserve">Cuadro 7: </w:t>
      </w:r>
      <w:bookmarkStart w:id="22" w:name="_Hlk535247962"/>
      <w:r w:rsidR="0014215D" w:rsidRPr="00FC39A8">
        <w:rPr>
          <w:rFonts w:asciiTheme="minorHAnsi" w:hAnsiTheme="minorHAnsi" w:cstheme="minorHAnsi"/>
          <w:sz w:val="24"/>
          <w:lang w:val="es-CR"/>
        </w:rPr>
        <w:t>Avance en proyectos estratégicos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360"/>
        <w:gridCol w:w="1758"/>
        <w:gridCol w:w="698"/>
        <w:gridCol w:w="929"/>
        <w:gridCol w:w="1297"/>
        <w:gridCol w:w="992"/>
        <w:gridCol w:w="1723"/>
      </w:tblGrid>
      <w:tr w:rsidR="0066635C" w:rsidRPr="0078698C" w14:paraId="1DAFB348" w14:textId="77777777" w:rsidTr="009C132A">
        <w:trPr>
          <w:trHeight w:val="300"/>
          <w:tblHeader/>
          <w:jc w:val="center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2B2329BE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Objetivo Estratégico SUPEN y CONASSIF</w:t>
            </w:r>
          </w:p>
        </w:tc>
        <w:tc>
          <w:tcPr>
            <w:tcW w:w="1360" w:type="dxa"/>
            <w:shd w:val="clear" w:color="auto" w:fill="8DB3E2" w:themeFill="text2" w:themeFillTint="66"/>
            <w:noWrap/>
            <w:vAlign w:val="center"/>
          </w:tcPr>
          <w:p w14:paraId="7F0520B5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Nombre del Proyecto</w:t>
            </w:r>
          </w:p>
        </w:tc>
        <w:tc>
          <w:tcPr>
            <w:tcW w:w="1758" w:type="dxa"/>
            <w:shd w:val="clear" w:color="auto" w:fill="8DB3E2" w:themeFill="text2" w:themeFillTint="66"/>
            <w:vAlign w:val="center"/>
          </w:tcPr>
          <w:p w14:paraId="02C4B2EC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Objetivo del proyecto</w:t>
            </w:r>
          </w:p>
        </w:tc>
        <w:tc>
          <w:tcPr>
            <w:tcW w:w="698" w:type="dxa"/>
            <w:shd w:val="clear" w:color="auto" w:fill="8DB3E2" w:themeFill="text2" w:themeFillTint="66"/>
            <w:vAlign w:val="center"/>
          </w:tcPr>
          <w:p w14:paraId="4F10C241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Fecha</w:t>
            </w:r>
          </w:p>
          <w:p w14:paraId="50F90C22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Inicio</w:t>
            </w:r>
          </w:p>
        </w:tc>
        <w:tc>
          <w:tcPr>
            <w:tcW w:w="929" w:type="dxa"/>
            <w:shd w:val="clear" w:color="auto" w:fill="8DB3E2" w:themeFill="text2" w:themeFillTint="66"/>
            <w:vAlign w:val="center"/>
          </w:tcPr>
          <w:p w14:paraId="7D5360FF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Fecha Fin</w:t>
            </w:r>
          </w:p>
          <w:p w14:paraId="02BCFF04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esperado</w:t>
            </w:r>
          </w:p>
        </w:tc>
        <w:tc>
          <w:tcPr>
            <w:tcW w:w="1297" w:type="dxa"/>
            <w:shd w:val="clear" w:color="auto" w:fill="8DB3E2" w:themeFill="text2" w:themeFillTint="66"/>
            <w:vAlign w:val="center"/>
          </w:tcPr>
          <w:p w14:paraId="278FF0FB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Próximas Etapas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581C8D53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Avance</w:t>
            </w:r>
          </w:p>
          <w:p w14:paraId="5A668636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(Realizado/</w:t>
            </w:r>
          </w:p>
          <w:p w14:paraId="2A37B663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Planificado)</w:t>
            </w:r>
          </w:p>
        </w:tc>
        <w:tc>
          <w:tcPr>
            <w:tcW w:w="1723" w:type="dxa"/>
            <w:shd w:val="clear" w:color="auto" w:fill="8DB3E2" w:themeFill="text2" w:themeFillTint="66"/>
            <w:vAlign w:val="center"/>
          </w:tcPr>
          <w:p w14:paraId="365CB59A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66635C" w:rsidRPr="0078698C" w14:paraId="4AB47434" w14:textId="77777777" w:rsidTr="009C132A">
        <w:trPr>
          <w:trHeight w:val="300"/>
          <w:jc w:val="center"/>
        </w:trPr>
        <w:tc>
          <w:tcPr>
            <w:tcW w:w="1555" w:type="dxa"/>
            <w:vAlign w:val="center"/>
          </w:tcPr>
          <w:p w14:paraId="787D9EEE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SUPEN:</w:t>
            </w:r>
          </w:p>
          <w:p w14:paraId="0646FF22" w14:textId="77777777" w:rsidR="0066635C" w:rsidRPr="0078698C" w:rsidRDefault="0066635C" w:rsidP="0034286C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Empoderar al afiliado</w:t>
            </w:r>
          </w:p>
          <w:p w14:paraId="6CB679C4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2F6A39CF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CONASSIF:</w:t>
            </w: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Objetivo1: Establecer la regulación y supervisión que coadyuve a la estabilidad y solvencia del sistema financiero.</w:t>
            </w:r>
          </w:p>
          <w:p w14:paraId="1938795E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2694C359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Objetivo 3: Velar por el eficiente, transparente e íntegro funcionamiento de los mercados financieros.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416E9A6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Reglamento de Autorizaciones </w:t>
            </w:r>
          </w:p>
        </w:tc>
        <w:tc>
          <w:tcPr>
            <w:tcW w:w="1758" w:type="dxa"/>
            <w:vAlign w:val="center"/>
          </w:tcPr>
          <w:p w14:paraId="6E0E679C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Brindar un marco regulatorio claro y congruente sobre los productos que pueden ofrecer las operadoras a los afiliados que requieran la aprobación del supervisor.</w:t>
            </w:r>
          </w:p>
        </w:tc>
        <w:tc>
          <w:tcPr>
            <w:tcW w:w="698" w:type="dxa"/>
            <w:vAlign w:val="center"/>
          </w:tcPr>
          <w:p w14:paraId="39A9B180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2013</w:t>
            </w:r>
          </w:p>
        </w:tc>
        <w:tc>
          <w:tcPr>
            <w:tcW w:w="929" w:type="dxa"/>
            <w:vAlign w:val="center"/>
          </w:tcPr>
          <w:p w14:paraId="3E0B4FA5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2020</w:t>
            </w:r>
          </w:p>
        </w:tc>
        <w:tc>
          <w:tcPr>
            <w:tcW w:w="1297" w:type="dxa"/>
            <w:vAlign w:val="center"/>
          </w:tcPr>
          <w:p w14:paraId="52FB461B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CBD597F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Cuarto Trimestre 2020</w:t>
            </w:r>
          </w:p>
          <w:p w14:paraId="3A4BFDA9" w14:textId="59E1A439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 xml:space="preserve">-Presentación al CONASSIF de la propuesta de Reglamento de Autorizaciones y reformas reglamentarias sobre los productos y servicios que pueden ofrecer </w:t>
            </w:r>
          </w:p>
        </w:tc>
        <w:tc>
          <w:tcPr>
            <w:tcW w:w="992" w:type="dxa"/>
            <w:vAlign w:val="center"/>
          </w:tcPr>
          <w:p w14:paraId="104F0202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723" w:type="dxa"/>
            <w:vAlign w:val="center"/>
          </w:tcPr>
          <w:p w14:paraId="420CB063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En Ejecución:</w:t>
            </w:r>
          </w:p>
          <w:p w14:paraId="1A0EF407" w14:textId="5A99D495" w:rsidR="0066635C" w:rsidRPr="00FC39A8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El Comité Ejecutivo aprobó para su preparación para presentación al CONASSIF de su texto para discusión.</w:t>
            </w:r>
          </w:p>
        </w:tc>
      </w:tr>
      <w:tr w:rsidR="0066635C" w:rsidRPr="0078698C" w14:paraId="2C9A5004" w14:textId="77777777" w:rsidTr="009C132A">
        <w:trPr>
          <w:trHeight w:val="6814"/>
          <w:jc w:val="center"/>
        </w:trPr>
        <w:tc>
          <w:tcPr>
            <w:tcW w:w="1555" w:type="dxa"/>
            <w:vAlign w:val="center"/>
          </w:tcPr>
          <w:p w14:paraId="07DAC98F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lastRenderedPageBreak/>
              <w:t>SUPEN:</w:t>
            </w:r>
          </w:p>
          <w:p w14:paraId="6F731E2E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Empoderar al afiliado</w:t>
            </w:r>
          </w:p>
          <w:p w14:paraId="2E59C37F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44ADB17C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6713D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CONASSIF</w:t>
            </w: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:</w:t>
            </w:r>
            <w:r w:rsidRPr="0078698C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567EAD6C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Objetivo 2: Velar por los intereses de los consumidores de servicios y productos financieros.</w:t>
            </w:r>
          </w:p>
          <w:p w14:paraId="54CFFE18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4A53D435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Objetivo 3: Velar por el eficiente, transparente e íntegro funcionamiento de los mercados financieros.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00C7E7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Reglamento de Disciplina de Mercado</w:t>
            </w:r>
          </w:p>
        </w:tc>
        <w:tc>
          <w:tcPr>
            <w:tcW w:w="1758" w:type="dxa"/>
          </w:tcPr>
          <w:p w14:paraId="4D25F3AE" w14:textId="256DCE14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Elaborar un Reglamento de Disciplina de Mercado, que regule la relación entre los afiliados y pensionados, entidades supervisadas y la SUPEN, donde se establezca un marco para la  atención de consultas,  denuncias y quejas de los afiliados, indique la regulación, definición y alcance de la publicidad, comunicación e información (incluido el cálculo de los rendimientos) dirigida al afiliado y pensionado,  que plantee  el accionar de los agentes promotores como asesores de los afiliados y pensionados</w:t>
            </w:r>
          </w:p>
        </w:tc>
        <w:tc>
          <w:tcPr>
            <w:tcW w:w="698" w:type="dxa"/>
            <w:vAlign w:val="center"/>
          </w:tcPr>
          <w:p w14:paraId="440225BD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2013</w:t>
            </w:r>
          </w:p>
        </w:tc>
        <w:tc>
          <w:tcPr>
            <w:tcW w:w="929" w:type="dxa"/>
            <w:vAlign w:val="center"/>
          </w:tcPr>
          <w:p w14:paraId="216EA119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Por definir</w:t>
            </w:r>
          </w:p>
        </w:tc>
        <w:tc>
          <w:tcPr>
            <w:tcW w:w="1297" w:type="dxa"/>
            <w:vAlign w:val="center"/>
          </w:tcPr>
          <w:p w14:paraId="2C2702F7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A99120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573158D5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Detenido:</w:t>
            </w:r>
          </w:p>
          <w:p w14:paraId="1B29C5EA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Su continuidad se analizará en la revisión del ajuste táctico 2020.</w:t>
            </w:r>
          </w:p>
        </w:tc>
      </w:tr>
      <w:tr w:rsidR="0066635C" w:rsidRPr="0078698C" w14:paraId="52438E64" w14:textId="77777777" w:rsidTr="009C132A">
        <w:trPr>
          <w:trHeight w:val="300"/>
          <w:jc w:val="center"/>
        </w:trPr>
        <w:tc>
          <w:tcPr>
            <w:tcW w:w="1555" w:type="dxa"/>
            <w:vAlign w:val="center"/>
          </w:tcPr>
          <w:p w14:paraId="36FC7129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SUPEN</w:t>
            </w:r>
          </w:p>
          <w:p w14:paraId="0D8E0538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Objetivo 1</w:t>
            </w:r>
          </w:p>
          <w:p w14:paraId="1C6AE839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Vigilar a los participantes del SNP</w:t>
            </w:r>
          </w:p>
          <w:p w14:paraId="4C5B92FF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702314A1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CONASSIF</w:t>
            </w:r>
          </w:p>
          <w:p w14:paraId="55822531" w14:textId="16FF6795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Objetivo1: Establecer la regulación y supervisión que coadyuve a la estabilidad y solvencia del sistema financiero.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CD9A02A" w14:textId="77777777" w:rsidR="0066635C" w:rsidRPr="0078698C" w:rsidRDefault="0066635C" w:rsidP="00223535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Revisión de Normativa (Digesto)</w:t>
            </w:r>
          </w:p>
        </w:tc>
        <w:tc>
          <w:tcPr>
            <w:tcW w:w="1758" w:type="dxa"/>
            <w:vAlign w:val="center"/>
          </w:tcPr>
          <w:p w14:paraId="5F10AD52" w14:textId="45D0603D" w:rsidR="0066635C" w:rsidRPr="0078698C" w:rsidRDefault="0066635C" w:rsidP="009D49DE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Mantener alineado el marco regulatorio del Sistema Nacional de Pensiones a los intereses de la organización.</w:t>
            </w:r>
          </w:p>
        </w:tc>
        <w:tc>
          <w:tcPr>
            <w:tcW w:w="698" w:type="dxa"/>
            <w:vAlign w:val="center"/>
          </w:tcPr>
          <w:p w14:paraId="1DD611FC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2019</w:t>
            </w:r>
          </w:p>
        </w:tc>
        <w:tc>
          <w:tcPr>
            <w:tcW w:w="929" w:type="dxa"/>
            <w:vAlign w:val="center"/>
          </w:tcPr>
          <w:p w14:paraId="387CB94E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2023</w:t>
            </w:r>
          </w:p>
        </w:tc>
        <w:tc>
          <w:tcPr>
            <w:tcW w:w="1297" w:type="dxa"/>
            <w:vAlign w:val="center"/>
          </w:tcPr>
          <w:p w14:paraId="23DDA720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Según Cronograma de revisión de normativa</w:t>
            </w:r>
          </w:p>
        </w:tc>
        <w:tc>
          <w:tcPr>
            <w:tcW w:w="992" w:type="dxa"/>
            <w:vAlign w:val="center"/>
          </w:tcPr>
          <w:p w14:paraId="09613C89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90%</w:t>
            </w:r>
          </w:p>
        </w:tc>
        <w:tc>
          <w:tcPr>
            <w:tcW w:w="1723" w:type="dxa"/>
            <w:vAlign w:val="center"/>
          </w:tcPr>
          <w:p w14:paraId="725C194D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Cs/>
                <w:sz w:val="18"/>
                <w:szCs w:val="18"/>
              </w:rPr>
              <w:t>En este momento se trabaja en la revisión de tres acuerdos del Superintendente por semana, producto de esta revisión se verifica si es documento está vigente o si requiere de alguna actualización o consolidación con otra regulación.</w:t>
            </w:r>
          </w:p>
        </w:tc>
      </w:tr>
      <w:tr w:rsidR="0066635C" w:rsidRPr="0078698C" w14:paraId="006D2918" w14:textId="77777777" w:rsidTr="009C132A">
        <w:trPr>
          <w:trHeight w:val="300"/>
          <w:jc w:val="center"/>
        </w:trPr>
        <w:tc>
          <w:tcPr>
            <w:tcW w:w="1555" w:type="dxa"/>
            <w:vAlign w:val="center"/>
          </w:tcPr>
          <w:p w14:paraId="04BA7011" w14:textId="77777777" w:rsidR="0066635C" w:rsidRPr="0078698C" w:rsidRDefault="0066635C" w:rsidP="000477F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Proyecto No Estratégico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F69F890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Reforma al Artículo 6. Reglamento de Beneficios del Régimen Complementario de Pensiones</w:t>
            </w:r>
          </w:p>
        </w:tc>
        <w:tc>
          <w:tcPr>
            <w:tcW w:w="1758" w:type="dxa"/>
          </w:tcPr>
          <w:p w14:paraId="1F71BBF4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Permitir el uso de pensiones tipo Renta Temporal a los 25 años para las prestaciones por orfandad.</w:t>
            </w:r>
          </w:p>
        </w:tc>
        <w:tc>
          <w:tcPr>
            <w:tcW w:w="698" w:type="dxa"/>
            <w:vAlign w:val="center"/>
          </w:tcPr>
          <w:p w14:paraId="69443B0E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2018</w:t>
            </w:r>
          </w:p>
        </w:tc>
        <w:tc>
          <w:tcPr>
            <w:tcW w:w="929" w:type="dxa"/>
            <w:vAlign w:val="center"/>
          </w:tcPr>
          <w:p w14:paraId="799A89DC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2020</w:t>
            </w:r>
          </w:p>
        </w:tc>
        <w:tc>
          <w:tcPr>
            <w:tcW w:w="1297" w:type="dxa"/>
            <w:vAlign w:val="center"/>
          </w:tcPr>
          <w:p w14:paraId="38A7ADD7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Primer Semestre 2020</w:t>
            </w:r>
          </w:p>
          <w:p w14:paraId="13C4E0C2" w14:textId="77777777" w:rsidR="0066635C" w:rsidRPr="0078698C" w:rsidRDefault="0066635C" w:rsidP="0066635C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164" w:hanging="218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Consulta al medio</w:t>
            </w:r>
          </w:p>
        </w:tc>
        <w:tc>
          <w:tcPr>
            <w:tcW w:w="992" w:type="dxa"/>
            <w:vAlign w:val="center"/>
          </w:tcPr>
          <w:p w14:paraId="02EF292E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100%</w:t>
            </w:r>
          </w:p>
        </w:tc>
        <w:tc>
          <w:tcPr>
            <w:tcW w:w="1723" w:type="dxa"/>
            <w:vAlign w:val="center"/>
          </w:tcPr>
          <w:p w14:paraId="2C0B6DC1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Finalizado</w:t>
            </w:r>
          </w:p>
          <w:p w14:paraId="4D7E46C1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 xml:space="preserve">Aprobado mediante acuerdo del Consejo Nacional de Supervisión del Sistema Financiero en el artículo 9, del acta de la sesión </w:t>
            </w:r>
            <w:r w:rsidRPr="0078698C">
              <w:rPr>
                <w:rFonts w:ascii="Calibri Light" w:hAnsi="Calibri Light" w:cs="Calibri Light"/>
                <w:sz w:val="18"/>
                <w:szCs w:val="18"/>
              </w:rPr>
              <w:lastRenderedPageBreak/>
              <w:t>1580-2020, celebrada el 8 de junio de 2020. Publicado en el Diario Oficial La Gaceta número 140del 13de junio de 2020.Rige a partir del13de julio de 2020.</w:t>
            </w:r>
          </w:p>
        </w:tc>
      </w:tr>
      <w:tr w:rsidR="0066635C" w:rsidRPr="0078698C" w14:paraId="1F6344CD" w14:textId="77777777" w:rsidTr="00445459">
        <w:trPr>
          <w:trHeight w:val="300"/>
          <w:jc w:val="center"/>
        </w:trPr>
        <w:tc>
          <w:tcPr>
            <w:tcW w:w="1555" w:type="dxa"/>
            <w:vAlign w:val="center"/>
          </w:tcPr>
          <w:p w14:paraId="76CE1C10" w14:textId="77777777" w:rsidR="0066635C" w:rsidRPr="0078698C" w:rsidRDefault="0066635C" w:rsidP="00FC39A8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Proyecto No Estratégico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C17814E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Modificación artículo 103 del Reglamento de Apertura y Funcionamiento</w:t>
            </w:r>
          </w:p>
        </w:tc>
        <w:tc>
          <w:tcPr>
            <w:tcW w:w="1758" w:type="dxa"/>
            <w:vAlign w:val="center"/>
          </w:tcPr>
          <w:p w14:paraId="0CC87D82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Permitir que la libre transferencia de afiliados entre Operadoras de Pensiones pueda realizarse tanto en la Operadora de destino como en la Operadora de Origen</w:t>
            </w:r>
          </w:p>
        </w:tc>
        <w:tc>
          <w:tcPr>
            <w:tcW w:w="698" w:type="dxa"/>
            <w:vAlign w:val="center"/>
          </w:tcPr>
          <w:p w14:paraId="0283947C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2020</w:t>
            </w:r>
          </w:p>
        </w:tc>
        <w:tc>
          <w:tcPr>
            <w:tcW w:w="929" w:type="dxa"/>
            <w:vAlign w:val="center"/>
          </w:tcPr>
          <w:p w14:paraId="0CE40BA0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2020</w:t>
            </w:r>
          </w:p>
        </w:tc>
        <w:tc>
          <w:tcPr>
            <w:tcW w:w="1297" w:type="dxa"/>
            <w:vAlign w:val="center"/>
          </w:tcPr>
          <w:p w14:paraId="239EC3E8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Primer Semestre 2020</w:t>
            </w:r>
          </w:p>
          <w:p w14:paraId="1CCE7065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Consulta al medio</w:t>
            </w:r>
          </w:p>
        </w:tc>
        <w:tc>
          <w:tcPr>
            <w:tcW w:w="992" w:type="dxa"/>
            <w:vAlign w:val="center"/>
          </w:tcPr>
          <w:p w14:paraId="36BA841C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100%</w:t>
            </w:r>
          </w:p>
        </w:tc>
        <w:tc>
          <w:tcPr>
            <w:tcW w:w="1723" w:type="dxa"/>
            <w:vAlign w:val="center"/>
          </w:tcPr>
          <w:p w14:paraId="2C6AE4DA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Finalizado</w:t>
            </w:r>
          </w:p>
          <w:p w14:paraId="1BDA43AF" w14:textId="77777777" w:rsidR="0066635C" w:rsidRPr="0078698C" w:rsidRDefault="0066635C" w:rsidP="000477F8">
            <w:pPr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Cs/>
                <w:sz w:val="18"/>
                <w:szCs w:val="18"/>
              </w:rPr>
              <w:t>Aprobada la modificación por acuerdo del Consejo Nacional de Supervisión del Sistema Financiero, mediante artículo 10, del acta de la sesión 1577-2020, celebrada el 25de mayo del 2020. Publicado en el Diario Oficial “La Gaceta” 127, del 31de mayo del 2020. Rige a partir el 1 de noviembre 2020</w:t>
            </w:r>
          </w:p>
        </w:tc>
      </w:tr>
      <w:tr w:rsidR="0066635C" w:rsidRPr="0078698C" w14:paraId="355AA0F1" w14:textId="77777777" w:rsidTr="009C132A">
        <w:trPr>
          <w:trHeight w:val="300"/>
          <w:jc w:val="center"/>
        </w:trPr>
        <w:tc>
          <w:tcPr>
            <w:tcW w:w="1555" w:type="dxa"/>
            <w:vAlign w:val="center"/>
          </w:tcPr>
          <w:p w14:paraId="3E53371A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Proyecto No</w:t>
            </w:r>
          </w:p>
          <w:p w14:paraId="1975B6FD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F9D9E1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Corrección de Imputaciones</w:t>
            </w:r>
          </w:p>
        </w:tc>
        <w:tc>
          <w:tcPr>
            <w:tcW w:w="1758" w:type="dxa"/>
          </w:tcPr>
          <w:p w14:paraId="33288201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Mejorar la regulación y optimizar los procesos de corrección de imputaciones en la cuenta individual de los trabajadores</w:t>
            </w:r>
          </w:p>
        </w:tc>
        <w:tc>
          <w:tcPr>
            <w:tcW w:w="698" w:type="dxa"/>
            <w:vAlign w:val="center"/>
          </w:tcPr>
          <w:p w14:paraId="34101E1B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2019</w:t>
            </w:r>
          </w:p>
        </w:tc>
        <w:tc>
          <w:tcPr>
            <w:tcW w:w="929" w:type="dxa"/>
            <w:vAlign w:val="center"/>
          </w:tcPr>
          <w:p w14:paraId="695FBF0F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2020</w:t>
            </w:r>
          </w:p>
        </w:tc>
        <w:tc>
          <w:tcPr>
            <w:tcW w:w="1297" w:type="dxa"/>
            <w:vAlign w:val="center"/>
          </w:tcPr>
          <w:p w14:paraId="193186B5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Tercer Trimestre 2020</w:t>
            </w:r>
          </w:p>
          <w:p w14:paraId="1C098295" w14:textId="77777777" w:rsidR="0066635C" w:rsidRPr="0078698C" w:rsidRDefault="0066635C" w:rsidP="00FD1843">
            <w:pPr>
              <w:spacing w:line="240" w:lineRule="auto"/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Consulta al medio</w:t>
            </w:r>
          </w:p>
        </w:tc>
        <w:tc>
          <w:tcPr>
            <w:tcW w:w="992" w:type="dxa"/>
            <w:vAlign w:val="center"/>
          </w:tcPr>
          <w:p w14:paraId="33E343C7" w14:textId="77777777" w:rsidR="0066635C" w:rsidRPr="0078698C" w:rsidRDefault="0066635C" w:rsidP="0066635C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75%</w:t>
            </w:r>
          </w:p>
        </w:tc>
        <w:tc>
          <w:tcPr>
            <w:tcW w:w="1723" w:type="dxa"/>
            <w:vAlign w:val="center"/>
          </w:tcPr>
          <w:p w14:paraId="30AC053B" w14:textId="77777777" w:rsidR="0066635C" w:rsidRPr="0078698C" w:rsidRDefault="0066635C" w:rsidP="0066635C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b/>
                <w:sz w:val="18"/>
                <w:szCs w:val="18"/>
              </w:rPr>
              <w:t>En Ejecución</w:t>
            </w:r>
          </w:p>
          <w:p w14:paraId="1B44B183" w14:textId="49BEAA06" w:rsidR="0066635C" w:rsidRPr="0078698C" w:rsidRDefault="0066635C" w:rsidP="000477F8">
            <w:pPr>
              <w:spacing w:line="240" w:lineRule="auto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78698C">
              <w:rPr>
                <w:rFonts w:ascii="Calibri Light" w:hAnsi="Calibri Light" w:cs="Calibri Light"/>
                <w:sz w:val="18"/>
                <w:szCs w:val="18"/>
              </w:rPr>
              <w:t>Actualmente está en consulta al medio.</w:t>
            </w:r>
          </w:p>
        </w:tc>
      </w:tr>
    </w:tbl>
    <w:p w14:paraId="566905A6" w14:textId="0F4A1AAF" w:rsidR="0014215D" w:rsidRPr="00BF369C" w:rsidRDefault="0014215D" w:rsidP="0014215D">
      <w:pPr>
        <w:rPr>
          <w:rFonts w:ascii="Calibri Light" w:hAnsi="Calibri Light" w:cs="Calibri Light"/>
          <w:sz w:val="18"/>
          <w:lang w:val="es-CR"/>
        </w:rPr>
      </w:pPr>
      <w:r w:rsidRPr="00BF369C">
        <w:rPr>
          <w:rFonts w:ascii="Calibri Light" w:hAnsi="Calibri Light" w:cs="Calibri Light"/>
          <w:sz w:val="18"/>
          <w:lang w:val="es-CR"/>
        </w:rPr>
        <w:t>Fuente: Investigación y Desarrollo</w:t>
      </w:r>
    </w:p>
    <w:p w14:paraId="7D3EF528" w14:textId="77777777" w:rsidR="009554E5" w:rsidRPr="00BF369C" w:rsidRDefault="009554E5" w:rsidP="00ED4553">
      <w:pPr>
        <w:pStyle w:val="Prrafodelista"/>
        <w:numPr>
          <w:ilvl w:val="0"/>
          <w:numId w:val="26"/>
        </w:numPr>
        <w:ind w:left="0"/>
        <w:rPr>
          <w:rFonts w:ascii="Calibri Light" w:hAnsi="Calibri Light" w:cs="Calibri Light"/>
          <w:sz w:val="18"/>
          <w:lang w:val="es-CR"/>
        </w:rPr>
      </w:pPr>
      <w:r w:rsidRPr="00BF369C">
        <w:rPr>
          <w:rFonts w:ascii="Calibri Light" w:hAnsi="Calibri Light" w:cs="Calibri Light"/>
          <w:sz w:val="18"/>
          <w:lang w:val="es-CR"/>
        </w:rPr>
        <w:t xml:space="preserve">Según requerimiento del CONASSIF el porcentaje de avance se mide como el porcentaje a la fecha de las actividades realizadas en entre las planificadas. </w:t>
      </w:r>
    </w:p>
    <w:bookmarkEnd w:id="22"/>
    <w:p w14:paraId="32F0FDC6" w14:textId="292A0F80" w:rsidR="00675237" w:rsidRPr="00BF369C" w:rsidRDefault="00675237" w:rsidP="00225437">
      <w:pPr>
        <w:rPr>
          <w:rFonts w:asciiTheme="minorHAnsi" w:hAnsiTheme="minorHAnsi" w:cstheme="minorHAnsi"/>
          <w:lang w:val="es-CR"/>
        </w:rPr>
      </w:pPr>
    </w:p>
    <w:p w14:paraId="4DA17D5D" w14:textId="00E5A70E" w:rsidR="00853105" w:rsidRPr="00BF369C" w:rsidRDefault="00853105">
      <w:pPr>
        <w:spacing w:line="240" w:lineRule="auto"/>
        <w:jc w:val="left"/>
        <w:rPr>
          <w:rFonts w:asciiTheme="minorHAnsi" w:hAnsiTheme="minorHAnsi" w:cstheme="minorHAnsi"/>
          <w:lang w:val="es-CR"/>
        </w:rPr>
      </w:pPr>
      <w:r w:rsidRPr="00BF369C">
        <w:rPr>
          <w:rFonts w:asciiTheme="minorHAnsi" w:hAnsiTheme="minorHAnsi" w:cstheme="minorHAnsi"/>
          <w:lang w:val="es-CR"/>
        </w:rPr>
        <w:br w:type="page"/>
      </w:r>
    </w:p>
    <w:p w14:paraId="5BA5073E" w14:textId="65C491ED" w:rsidR="00282C71" w:rsidRPr="00BF369C" w:rsidRDefault="001A4D24" w:rsidP="005C0643">
      <w:pPr>
        <w:pStyle w:val="Ttulo1"/>
        <w:numPr>
          <w:ilvl w:val="0"/>
          <w:numId w:val="2"/>
        </w:numPr>
        <w:shd w:val="clear" w:color="auto" w:fill="DBE5F1" w:themeFill="accent1" w:themeFillTint="33"/>
        <w:spacing w:line="288" w:lineRule="auto"/>
        <w:rPr>
          <w:rFonts w:asciiTheme="minorHAnsi" w:hAnsiTheme="minorHAnsi" w:cstheme="minorHAnsi"/>
          <w:sz w:val="28"/>
          <w:szCs w:val="28"/>
          <w:lang w:val="es-CR"/>
        </w:rPr>
      </w:pPr>
      <w:bookmarkStart w:id="23" w:name="_Toc45533005"/>
      <w:r w:rsidRPr="00BF369C">
        <w:rPr>
          <w:rFonts w:asciiTheme="minorHAnsi" w:hAnsiTheme="minorHAnsi" w:cstheme="minorHAnsi"/>
          <w:sz w:val="28"/>
          <w:szCs w:val="28"/>
          <w:lang w:val="es-CR"/>
        </w:rPr>
        <w:lastRenderedPageBreak/>
        <w:t>DESEMPEÑO INSTITUCIONAL Y PROGRAMÁTICO</w:t>
      </w:r>
      <w:r w:rsidR="00282C71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212978" w:rsidRPr="00BF369C">
        <w:rPr>
          <w:rFonts w:asciiTheme="minorHAnsi" w:hAnsiTheme="minorHAnsi" w:cstheme="minorHAnsi"/>
          <w:sz w:val="14"/>
          <w:szCs w:val="28"/>
          <w:lang w:val="es-CR"/>
        </w:rPr>
        <w:t>(4.5.6 b. iv)</w:t>
      </w:r>
      <w:bookmarkEnd w:id="23"/>
    </w:p>
    <w:p w14:paraId="50DE56E8" w14:textId="77777777" w:rsidR="00282C71" w:rsidRPr="00BF369C" w:rsidRDefault="00282C71" w:rsidP="003F7B6F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0218FCB8" w14:textId="3483571C" w:rsidR="00C61E79" w:rsidRPr="00BF369C" w:rsidRDefault="00853105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Al término del </w:t>
      </w:r>
      <w:r w:rsidR="00F00DDC">
        <w:rPr>
          <w:rFonts w:asciiTheme="minorHAnsi" w:hAnsiTheme="minorHAnsi" w:cstheme="minorHAnsi"/>
          <w:sz w:val="24"/>
          <w:szCs w:val="24"/>
          <w:lang w:val="es-CR"/>
        </w:rPr>
        <w:t>primer semestre</w:t>
      </w:r>
      <w:r w:rsidR="00D8636B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se</w:t>
      </w:r>
      <w:r w:rsidR="00C61E7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mostr</w:t>
      </w:r>
      <w:r w:rsidR="00D8636B" w:rsidRPr="00BF369C">
        <w:rPr>
          <w:rFonts w:asciiTheme="minorHAnsi" w:hAnsiTheme="minorHAnsi" w:cstheme="minorHAnsi"/>
          <w:sz w:val="24"/>
          <w:szCs w:val="24"/>
          <w:lang w:val="es-CR"/>
        </w:rPr>
        <w:t>aron</w:t>
      </w:r>
      <w:r w:rsidR="00C61E7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resultados satisfactorios, en eficiencia, eficacia, economía y calidad en el uso de los recursos asignados a</w:t>
      </w:r>
      <w:r w:rsidR="00C140C1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la SUPEN</w:t>
      </w:r>
      <w:r w:rsidR="00C61E79" w:rsidRPr="00BF369C">
        <w:rPr>
          <w:rFonts w:asciiTheme="minorHAnsi" w:hAnsiTheme="minorHAnsi" w:cstheme="minorHAnsi"/>
          <w:sz w:val="24"/>
          <w:szCs w:val="24"/>
          <w:lang w:val="es-CR"/>
        </w:rPr>
        <w:t>. Para el período en estudio, el presupuesto aprobado por la Contraloría General de la República ascendió a ¢</w:t>
      </w:r>
      <w:r w:rsidR="00D8636B" w:rsidRPr="00BF369C">
        <w:rPr>
          <w:rFonts w:asciiTheme="minorHAnsi" w:hAnsiTheme="minorHAnsi" w:cstheme="minorHAnsi"/>
          <w:sz w:val="24"/>
          <w:szCs w:val="24"/>
          <w:lang w:val="es-CR"/>
        </w:rPr>
        <w:t>5.</w:t>
      </w:r>
      <w:r w:rsidR="00600CE8">
        <w:rPr>
          <w:rFonts w:asciiTheme="minorHAnsi" w:hAnsiTheme="minorHAnsi" w:cstheme="minorHAnsi"/>
          <w:sz w:val="24"/>
          <w:szCs w:val="24"/>
          <w:lang w:val="es-CR"/>
        </w:rPr>
        <w:t>645,8</w:t>
      </w:r>
      <w:r w:rsidR="008B05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millones</w:t>
      </w:r>
      <w:r w:rsidR="00C61E7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de los cuales se ejecutaron ¢</w:t>
      </w:r>
      <w:r w:rsidR="00600CE8">
        <w:rPr>
          <w:rFonts w:asciiTheme="minorHAnsi" w:hAnsiTheme="minorHAnsi" w:cstheme="minorHAnsi"/>
          <w:sz w:val="24"/>
          <w:szCs w:val="24"/>
          <w:lang w:val="es-CR"/>
        </w:rPr>
        <w:t>2.093</w:t>
      </w:r>
      <w:r w:rsidR="00762004">
        <w:rPr>
          <w:rFonts w:asciiTheme="minorHAnsi" w:hAnsiTheme="minorHAnsi" w:cstheme="minorHAnsi"/>
          <w:sz w:val="24"/>
          <w:szCs w:val="24"/>
          <w:lang w:val="es-CR"/>
        </w:rPr>
        <w:t>,4</w:t>
      </w:r>
      <w:r w:rsidR="00890425">
        <w:rPr>
          <w:rFonts w:asciiTheme="minorHAnsi" w:hAnsiTheme="minorHAnsi" w:cstheme="minorHAnsi"/>
          <w:sz w:val="24"/>
          <w:szCs w:val="24"/>
          <w:lang w:val="es-CR"/>
        </w:rPr>
        <w:t xml:space="preserve"> millones</w:t>
      </w:r>
      <w:r w:rsidR="00C61E7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dando como resultado una erogación del </w:t>
      </w:r>
      <w:r w:rsidR="00762004">
        <w:rPr>
          <w:rFonts w:asciiTheme="minorHAnsi" w:hAnsiTheme="minorHAnsi" w:cstheme="minorHAnsi"/>
          <w:sz w:val="24"/>
          <w:szCs w:val="24"/>
          <w:lang w:val="es-CR"/>
        </w:rPr>
        <w:t>3</w:t>
      </w:r>
      <w:r w:rsidR="005665B4" w:rsidRPr="00BF369C">
        <w:rPr>
          <w:rFonts w:asciiTheme="minorHAnsi" w:hAnsiTheme="minorHAnsi" w:cstheme="minorHAnsi"/>
          <w:sz w:val="24"/>
          <w:szCs w:val="24"/>
          <w:lang w:val="es-CR"/>
        </w:rPr>
        <w:t>7</w:t>
      </w:r>
      <w:r w:rsidR="00C61E79" w:rsidRPr="00BF369C">
        <w:rPr>
          <w:rFonts w:asciiTheme="minorHAnsi" w:hAnsiTheme="minorHAnsi" w:cstheme="minorHAnsi"/>
          <w:sz w:val="24"/>
          <w:szCs w:val="24"/>
          <w:lang w:val="es-CR"/>
        </w:rPr>
        <w:t>%.</w:t>
      </w:r>
    </w:p>
    <w:p w14:paraId="2FAD92D6" w14:textId="77777777" w:rsidR="00C61E79" w:rsidRPr="00BF369C" w:rsidRDefault="00C61E79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13A3DC70" w14:textId="7BC6164E" w:rsidR="00C61E79" w:rsidRPr="00BF369C" w:rsidRDefault="00C61E79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A nivel de resultados, se destaca que </w:t>
      </w:r>
      <w:r w:rsidR="00CD288D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en general </w:t>
      </w:r>
      <w:r w:rsidR="002F19F7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los indicadores de desempeño </w:t>
      </w:r>
      <w:r w:rsidR="00E202E3" w:rsidRPr="00BF369C">
        <w:rPr>
          <w:rFonts w:asciiTheme="minorHAnsi" w:hAnsiTheme="minorHAnsi" w:cstheme="minorHAnsi"/>
          <w:sz w:val="24"/>
          <w:szCs w:val="24"/>
          <w:lang w:val="es-CR"/>
        </w:rPr>
        <w:t>establecidos alcanzaran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C46483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como resultado </w:t>
      </w:r>
      <w:r w:rsidRPr="00202E13">
        <w:rPr>
          <w:rFonts w:asciiTheme="minorHAnsi" w:hAnsiTheme="minorHAnsi" w:cstheme="minorHAnsi"/>
          <w:sz w:val="24"/>
          <w:szCs w:val="24"/>
          <w:lang w:val="es-CR"/>
        </w:rPr>
        <w:t xml:space="preserve">el </w:t>
      </w:r>
      <w:r w:rsidR="00D5319E" w:rsidRPr="00202E13">
        <w:rPr>
          <w:rFonts w:asciiTheme="minorHAnsi" w:hAnsiTheme="minorHAnsi" w:cstheme="minorHAnsi"/>
          <w:sz w:val="24"/>
          <w:szCs w:val="24"/>
          <w:lang w:val="es-CR"/>
        </w:rPr>
        <w:t>9</w:t>
      </w:r>
      <w:r w:rsidR="00202E13">
        <w:rPr>
          <w:rFonts w:asciiTheme="minorHAnsi" w:hAnsiTheme="minorHAnsi" w:cstheme="minorHAnsi"/>
          <w:sz w:val="24"/>
          <w:szCs w:val="24"/>
          <w:lang w:val="es-CR"/>
        </w:rPr>
        <w:t>0</w:t>
      </w:r>
      <w:r w:rsidRPr="00202E13">
        <w:rPr>
          <w:rFonts w:asciiTheme="minorHAnsi" w:hAnsiTheme="minorHAnsi" w:cstheme="minorHAnsi"/>
          <w:sz w:val="24"/>
          <w:szCs w:val="24"/>
          <w:lang w:val="es-CR"/>
        </w:rPr>
        <w:t>%</w:t>
      </w:r>
      <w:r w:rsidR="00331454" w:rsidRPr="00202E13">
        <w:rPr>
          <w:rFonts w:asciiTheme="minorHAnsi" w:hAnsiTheme="minorHAnsi" w:cstheme="minorHAnsi"/>
          <w:sz w:val="24"/>
          <w:szCs w:val="24"/>
          <w:lang w:val="es-CR"/>
        </w:rPr>
        <w:t xml:space="preserve">, </w:t>
      </w:r>
      <w:r w:rsidRPr="00202E13">
        <w:rPr>
          <w:rFonts w:asciiTheme="minorHAnsi" w:hAnsiTheme="minorHAnsi" w:cstheme="minorHAnsi"/>
          <w:sz w:val="24"/>
          <w:szCs w:val="24"/>
          <w:lang w:val="es-CR"/>
        </w:rPr>
        <w:t>lo cual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denota un alto grado de efectividad durante todo el período. </w:t>
      </w:r>
    </w:p>
    <w:p w14:paraId="2E6538C4" w14:textId="77777777" w:rsidR="00C61E79" w:rsidRPr="00BF369C" w:rsidRDefault="00C61E79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104C7402" w14:textId="116146C9" w:rsidR="00C61E79" w:rsidRPr="00BF369C" w:rsidRDefault="00C61E79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Por tanto, se observa que las metas</w:t>
      </w:r>
      <w:r w:rsidR="009F7755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se </w:t>
      </w:r>
      <w:r w:rsidR="00853105" w:rsidRPr="00BF369C">
        <w:rPr>
          <w:rFonts w:asciiTheme="minorHAnsi" w:hAnsiTheme="minorHAnsi" w:cstheme="minorHAnsi"/>
          <w:sz w:val="24"/>
          <w:szCs w:val="24"/>
          <w:lang w:val="es-CR"/>
        </w:rPr>
        <w:t>cumplieron</w:t>
      </w:r>
      <w:r w:rsidR="009F7755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conforme a lo programado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con resultados de desempeño significativos y con el uso del </w:t>
      </w:r>
      <w:r w:rsidR="00762004">
        <w:rPr>
          <w:rFonts w:asciiTheme="minorHAnsi" w:hAnsiTheme="minorHAnsi" w:cstheme="minorHAnsi"/>
          <w:sz w:val="24"/>
          <w:szCs w:val="24"/>
          <w:lang w:val="es-CR"/>
        </w:rPr>
        <w:t>3</w:t>
      </w:r>
      <w:r w:rsidR="005665B4" w:rsidRPr="00BF369C">
        <w:rPr>
          <w:rFonts w:asciiTheme="minorHAnsi" w:hAnsiTheme="minorHAnsi" w:cstheme="minorHAnsi"/>
          <w:sz w:val="24"/>
          <w:szCs w:val="24"/>
          <w:lang w:val="es-CR"/>
        </w:rPr>
        <w:t>7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% de los recursos presupuestarios asignados. </w:t>
      </w:r>
    </w:p>
    <w:p w14:paraId="0DFE09CC" w14:textId="77777777" w:rsidR="00124F06" w:rsidRPr="00BF369C" w:rsidRDefault="00124F06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600B277F" w14:textId="7B71C4C8" w:rsidR="00C61E79" w:rsidRPr="00BF369C" w:rsidRDefault="00C61E79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Por lo expuesto, </w:t>
      </w:r>
      <w:r w:rsidR="009F7755" w:rsidRPr="00BF369C">
        <w:rPr>
          <w:rFonts w:asciiTheme="minorHAnsi" w:hAnsiTheme="minorHAnsi" w:cstheme="minorHAnsi"/>
          <w:sz w:val="24"/>
          <w:szCs w:val="24"/>
          <w:lang w:val="es-CR"/>
        </w:rPr>
        <w:t>se puede indicar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que la SUPEN mostró un desempeño positivo a nivel de toda la organización, logrando </w:t>
      </w:r>
      <w:r w:rsidR="00495F2D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contribuir </w:t>
      </w:r>
      <w:r w:rsidR="007E1211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institucionalmente </w:t>
      </w:r>
      <w:r w:rsidR="00E74D0A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para </w:t>
      </w:r>
      <w:r w:rsidR="001F18FD" w:rsidRPr="00BF369C">
        <w:rPr>
          <w:rFonts w:asciiTheme="minorHAnsi" w:hAnsiTheme="minorHAnsi" w:cstheme="minorHAnsi"/>
          <w:sz w:val="24"/>
          <w:szCs w:val="24"/>
          <w:lang w:val="es-CR"/>
        </w:rPr>
        <w:t>alcanzar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los objetivos estratégicos y operativos que se trazó para el </w:t>
      </w:r>
      <w:r w:rsidR="00331454" w:rsidRPr="00BF369C">
        <w:rPr>
          <w:rFonts w:asciiTheme="minorHAnsi" w:hAnsiTheme="minorHAnsi" w:cstheme="minorHAnsi"/>
          <w:sz w:val="24"/>
          <w:szCs w:val="24"/>
          <w:lang w:val="es-CR"/>
        </w:rPr>
        <w:t>período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. </w:t>
      </w:r>
    </w:p>
    <w:p w14:paraId="3D78A966" w14:textId="77777777" w:rsidR="00C61E79" w:rsidRPr="00BF369C" w:rsidRDefault="00C61E79" w:rsidP="00C61E79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7F8CA2EE" w14:textId="38CF39C8" w:rsidR="000C48A8" w:rsidRPr="00BF369C" w:rsidRDefault="0020012A" w:rsidP="003F7B6F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En cua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nto a la cantidad de usuarios o personas que se ven beneficiadas por los servicios brindados por la SUPEN, se puede afirmar que </w:t>
      </w:r>
      <w:r w:rsidR="0078459F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producto de las labores </w:t>
      </w:r>
      <w:r w:rsidR="003D73BD">
        <w:rPr>
          <w:rFonts w:asciiTheme="minorHAnsi" w:hAnsiTheme="minorHAnsi" w:cstheme="minorHAnsi"/>
          <w:sz w:val="24"/>
          <w:szCs w:val="24"/>
          <w:lang w:val="es-CR"/>
        </w:rPr>
        <w:t xml:space="preserve">efectuadas </w:t>
      </w:r>
      <w:r w:rsidR="00A451D6" w:rsidRPr="00BF369C">
        <w:rPr>
          <w:rFonts w:asciiTheme="minorHAnsi" w:hAnsiTheme="minorHAnsi" w:cstheme="minorHAnsi"/>
          <w:sz w:val="24"/>
          <w:szCs w:val="24"/>
          <w:lang w:val="es-CR"/>
        </w:rPr>
        <w:t>están favorecida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s todas las personas que participan </w:t>
      </w:r>
      <w:r w:rsidR="00A451D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directa o indirectamente 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del Sistema </w:t>
      </w:r>
      <w:r w:rsidR="000D4357">
        <w:rPr>
          <w:rFonts w:asciiTheme="minorHAnsi" w:hAnsiTheme="minorHAnsi" w:cstheme="minorHAnsi"/>
          <w:sz w:val="24"/>
          <w:szCs w:val="24"/>
          <w:lang w:val="es-CR"/>
        </w:rPr>
        <w:t>Costarricense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de Pensiones. </w:t>
      </w:r>
      <w:r w:rsidR="00CE1A15" w:rsidRPr="00BF369C">
        <w:rPr>
          <w:rFonts w:asciiTheme="minorHAnsi" w:hAnsiTheme="minorHAnsi" w:cstheme="minorHAnsi"/>
          <w:sz w:val="24"/>
          <w:szCs w:val="24"/>
          <w:lang w:val="es-CR"/>
        </w:rPr>
        <w:t>Así las cosas, s</w:t>
      </w:r>
      <w:r w:rsidR="00DC41EC" w:rsidRPr="00BF369C">
        <w:rPr>
          <w:rFonts w:asciiTheme="minorHAnsi" w:hAnsiTheme="minorHAnsi" w:cstheme="minorHAnsi"/>
          <w:sz w:val="24"/>
          <w:szCs w:val="24"/>
          <w:lang w:val="es-CR"/>
        </w:rPr>
        <w:t>e puede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indicar que la SUPEN </w:t>
      </w:r>
      <w:r w:rsidR="000720D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procura 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>ayuda a la</w:t>
      </w:r>
      <w:r w:rsidR="00934192" w:rsidRPr="00BF369C">
        <w:rPr>
          <w:rFonts w:asciiTheme="minorHAnsi" w:hAnsiTheme="minorHAnsi" w:cstheme="minorHAnsi"/>
          <w:sz w:val="24"/>
          <w:szCs w:val="24"/>
          <w:lang w:val="es-CR"/>
        </w:rPr>
        <w:t>s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934192" w:rsidRPr="00BF369C">
        <w:rPr>
          <w:rFonts w:asciiTheme="minorHAnsi" w:hAnsiTheme="minorHAnsi" w:cstheme="minorHAnsi"/>
          <w:sz w:val="24"/>
          <w:szCs w:val="24"/>
          <w:lang w:val="es-CR"/>
        </w:rPr>
        <w:t>personas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mayor</w:t>
      </w:r>
      <w:r w:rsidR="00934192" w:rsidRPr="00BF369C">
        <w:rPr>
          <w:rFonts w:asciiTheme="minorHAnsi" w:hAnsiTheme="minorHAnsi" w:cstheme="minorHAnsi"/>
          <w:sz w:val="24"/>
          <w:szCs w:val="24"/>
          <w:lang w:val="es-CR"/>
        </w:rPr>
        <w:t>es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de 15 años</w:t>
      </w:r>
      <w:r w:rsidR="005E78EA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los 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que representa alrededor de </w:t>
      </w:r>
      <w:r w:rsidR="00987F77">
        <w:rPr>
          <w:rFonts w:asciiTheme="minorHAnsi" w:hAnsiTheme="minorHAnsi" w:cstheme="minorHAnsi"/>
          <w:sz w:val="24"/>
          <w:szCs w:val="24"/>
          <w:lang w:val="es-CR"/>
        </w:rPr>
        <w:t>2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>,</w:t>
      </w:r>
      <w:r w:rsidR="001514BA">
        <w:rPr>
          <w:rFonts w:asciiTheme="minorHAnsi" w:hAnsiTheme="minorHAnsi" w:cstheme="minorHAnsi"/>
          <w:sz w:val="24"/>
          <w:szCs w:val="24"/>
          <w:lang w:val="es-CR"/>
        </w:rPr>
        <w:t>5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millones de </w:t>
      </w:r>
      <w:r w:rsidR="00934192" w:rsidRPr="00BF369C">
        <w:rPr>
          <w:rFonts w:asciiTheme="minorHAnsi" w:hAnsiTheme="minorHAnsi" w:cstheme="minorHAnsi"/>
          <w:sz w:val="24"/>
          <w:szCs w:val="24"/>
          <w:lang w:val="es-CR"/>
        </w:rPr>
        <w:t>individuos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</w:t>
      </w:r>
      <w:r w:rsidR="00E617C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en la que se encuentra </w:t>
      </w:r>
      <w:r w:rsidR="0007073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también </w:t>
      </w:r>
      <w:r w:rsidR="00E617C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la población económicamente activa, </w:t>
      </w:r>
      <w:r w:rsidR="00A451D6" w:rsidRPr="00BF369C">
        <w:rPr>
          <w:rFonts w:asciiTheme="minorHAnsi" w:hAnsiTheme="minorHAnsi" w:cstheme="minorHAnsi"/>
          <w:sz w:val="24"/>
          <w:szCs w:val="24"/>
          <w:lang w:val="es-CR"/>
        </w:rPr>
        <w:t>a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la mayoría de ellos</w:t>
      </w:r>
      <w:r w:rsidR="00600105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la SUPEN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les supervisa la cuenta ind</w:t>
      </w:r>
      <w:r w:rsidR="00331454" w:rsidRPr="00BF369C">
        <w:rPr>
          <w:rFonts w:asciiTheme="minorHAnsi" w:hAnsiTheme="minorHAnsi" w:cstheme="minorHAnsi"/>
          <w:sz w:val="24"/>
          <w:szCs w:val="24"/>
          <w:lang w:val="es-CR"/>
        </w:rPr>
        <w:t>ividual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="004F6EB3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de pensiones 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>y a los otros los motiva</w:t>
      </w:r>
      <w:r w:rsidR="00E617C8" w:rsidRPr="00BF369C">
        <w:rPr>
          <w:rFonts w:asciiTheme="minorHAnsi" w:hAnsiTheme="minorHAnsi" w:cstheme="minorHAnsi"/>
          <w:sz w:val="24"/>
          <w:szCs w:val="24"/>
          <w:lang w:val="es-CR"/>
        </w:rPr>
        <w:t>, a través de</w:t>
      </w:r>
      <w:r w:rsidR="00DC41E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la divulgación de</w:t>
      </w:r>
      <w:r w:rsidR="00E617C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información, 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a entrar </w:t>
      </w:r>
      <w:r w:rsidR="00254116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de forma activa en el </w:t>
      </w:r>
      <w:r w:rsidR="00F40E8C" w:rsidRPr="00BF369C">
        <w:rPr>
          <w:rFonts w:asciiTheme="minorHAnsi" w:hAnsiTheme="minorHAnsi" w:cstheme="minorHAnsi"/>
          <w:sz w:val="24"/>
          <w:szCs w:val="24"/>
          <w:lang w:val="es-CR"/>
        </w:rPr>
        <w:t>S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>istema</w:t>
      </w:r>
      <w:r w:rsidR="0073661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, </w:t>
      </w:r>
      <w:r w:rsidR="00736619" w:rsidRPr="00BF369C">
        <w:rPr>
          <w:rFonts w:asciiTheme="minorHAnsi" w:hAnsiTheme="minorHAnsi" w:cstheme="minorHAnsi"/>
          <w:sz w:val="24"/>
          <w:szCs w:val="24"/>
          <w:lang w:val="es-CR"/>
        </w:rPr>
        <w:lastRenderedPageBreak/>
        <w:t xml:space="preserve">para que tengan al final de </w:t>
      </w:r>
      <w:r w:rsidR="00F40E8C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la </w:t>
      </w:r>
      <w:r w:rsidR="00736619" w:rsidRPr="00BF369C">
        <w:rPr>
          <w:rFonts w:asciiTheme="minorHAnsi" w:hAnsiTheme="minorHAnsi" w:cstheme="minorHAnsi"/>
          <w:sz w:val="24"/>
          <w:szCs w:val="24"/>
          <w:lang w:val="es-CR"/>
        </w:rPr>
        <w:t>edad productiva una pensión digna que les ayude a sobrellevar la vejez</w:t>
      </w:r>
      <w:r w:rsidR="000C48A8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05CE2F4B" w14:textId="53EAD3ED" w:rsidR="008F6A73" w:rsidRPr="00BF369C" w:rsidRDefault="008F6A73">
      <w:pPr>
        <w:spacing w:line="240" w:lineRule="auto"/>
        <w:jc w:val="left"/>
        <w:rPr>
          <w:rFonts w:asciiTheme="minorHAnsi" w:hAnsiTheme="minorHAnsi" w:cstheme="minorHAnsi"/>
          <w:szCs w:val="24"/>
          <w:lang w:val="es-CR"/>
        </w:rPr>
      </w:pPr>
    </w:p>
    <w:p w14:paraId="45221829" w14:textId="74159266" w:rsidR="008F6A73" w:rsidRPr="00BF369C" w:rsidRDefault="00341453" w:rsidP="00E06C41">
      <w:pPr>
        <w:pStyle w:val="Ttulo1"/>
        <w:numPr>
          <w:ilvl w:val="0"/>
          <w:numId w:val="29"/>
        </w:numPr>
        <w:shd w:val="clear" w:color="auto" w:fill="DBE5F1" w:themeFill="accent1" w:themeFillTint="33"/>
        <w:spacing w:line="240" w:lineRule="auto"/>
        <w:rPr>
          <w:rFonts w:asciiTheme="minorHAnsi" w:hAnsiTheme="minorHAnsi" w:cstheme="minorHAnsi"/>
          <w:szCs w:val="28"/>
          <w:lang w:val="es-CR"/>
        </w:rPr>
      </w:pPr>
      <w:bookmarkStart w:id="24" w:name="_Toc45533006"/>
      <w:r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SITUACIÓN </w:t>
      </w:r>
      <w:r w:rsidR="006C512B" w:rsidRPr="00BF369C">
        <w:rPr>
          <w:rFonts w:asciiTheme="minorHAnsi" w:hAnsiTheme="minorHAnsi" w:cstheme="minorHAnsi"/>
          <w:sz w:val="28"/>
          <w:szCs w:val="28"/>
          <w:lang w:val="es-CR"/>
        </w:rPr>
        <w:t>ECONÓMICA-FINANCIERA GLOBAL</w:t>
      </w:r>
      <w:r w:rsidR="00B06A15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Y </w:t>
      </w:r>
      <w:r w:rsidR="007030D7" w:rsidRPr="00BF369C">
        <w:rPr>
          <w:rFonts w:asciiTheme="minorHAnsi" w:hAnsiTheme="minorHAnsi" w:cstheme="minorHAnsi"/>
          <w:sz w:val="28"/>
          <w:szCs w:val="28"/>
          <w:lang w:val="es-CR"/>
        </w:rPr>
        <w:t>ESTADOS FINANCIEROS</w:t>
      </w:r>
      <w:r w:rsidR="006C512B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0F5AC7" w:rsidRPr="00BF369C">
        <w:rPr>
          <w:rFonts w:asciiTheme="minorHAnsi" w:hAnsiTheme="minorHAnsi" w:cstheme="minorHAnsi"/>
          <w:b w:val="0"/>
          <w:sz w:val="16"/>
          <w:szCs w:val="28"/>
          <w:lang w:val="es-CR"/>
        </w:rPr>
        <w:t>(4.5.6 b. v</w:t>
      </w:r>
      <w:r w:rsidR="00D41EEF" w:rsidRPr="00BF369C">
        <w:rPr>
          <w:rFonts w:asciiTheme="minorHAnsi" w:hAnsiTheme="minorHAnsi" w:cstheme="minorHAnsi"/>
          <w:b w:val="0"/>
          <w:sz w:val="16"/>
          <w:szCs w:val="28"/>
          <w:lang w:val="es-CR"/>
        </w:rPr>
        <w:t>)</w:t>
      </w:r>
      <w:bookmarkEnd w:id="24"/>
    </w:p>
    <w:p w14:paraId="3F7C61E8" w14:textId="1B14E986" w:rsidR="008F6A73" w:rsidRPr="00BF369C" w:rsidRDefault="008F6A73" w:rsidP="00225437">
      <w:pPr>
        <w:pStyle w:val="Textoindependiente"/>
        <w:numPr>
          <w:ilvl w:val="0"/>
          <w:numId w:val="0"/>
        </w:numPr>
        <w:rPr>
          <w:rFonts w:asciiTheme="minorHAnsi" w:hAnsiTheme="minorHAnsi" w:cstheme="minorHAnsi"/>
          <w:szCs w:val="24"/>
          <w:lang w:val="es-CR"/>
        </w:rPr>
      </w:pPr>
    </w:p>
    <w:p w14:paraId="28D5984B" w14:textId="749454CA" w:rsidR="009855D4" w:rsidRPr="00BF369C" w:rsidRDefault="000061DA" w:rsidP="000061DA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La SUPEN al ser un Órgano de Desconcentración Máxima adscrito al BCCR, no emite estados financieros, esos documentos se incluyen en el legajo </w:t>
      </w:r>
      <w:r w:rsidR="009A3861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de documentos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que el BCCR </w:t>
      </w:r>
      <w:r w:rsidR="009855D4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remite a través del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>sistema de presupuestos públicos de la Contraloría General de la República</w:t>
      </w:r>
      <w:r w:rsidR="009855D4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1A3D0670" w14:textId="77777777" w:rsidR="009855D4" w:rsidRPr="00BF369C" w:rsidRDefault="009855D4" w:rsidP="000061DA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05CAEAE1" w14:textId="77777777" w:rsidR="00E001F6" w:rsidRPr="00BF369C" w:rsidRDefault="009855D4" w:rsidP="000061DA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Dado lo anterior, </w:t>
      </w:r>
      <w:r w:rsidR="000061DA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no se adjunta </w:t>
      </w:r>
      <w:r w:rsidR="0091678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en este </w:t>
      </w:r>
      <w:r w:rsidR="00D922F0" w:rsidRPr="00BF369C">
        <w:rPr>
          <w:rFonts w:asciiTheme="minorHAnsi" w:hAnsiTheme="minorHAnsi" w:cstheme="minorHAnsi"/>
          <w:sz w:val="24"/>
          <w:szCs w:val="24"/>
          <w:lang w:val="es-CR"/>
        </w:rPr>
        <w:t>informe</w:t>
      </w:r>
      <w:r w:rsidR="00916788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</w:t>
      </w:r>
      <w:r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un análisis de la situación económica-financiera global de la SUPEN respaldada con los </w:t>
      </w:r>
      <w:r w:rsidR="000061DA" w:rsidRPr="00BF369C">
        <w:rPr>
          <w:rFonts w:asciiTheme="minorHAnsi" w:hAnsiTheme="minorHAnsi" w:cstheme="minorHAnsi"/>
          <w:sz w:val="24"/>
          <w:szCs w:val="24"/>
          <w:lang w:val="es-CR"/>
        </w:rPr>
        <w:t>estado</w:t>
      </w:r>
      <w:r w:rsidR="00F873F7" w:rsidRPr="00BF369C">
        <w:rPr>
          <w:rFonts w:asciiTheme="minorHAnsi" w:hAnsiTheme="minorHAnsi" w:cstheme="minorHAnsi"/>
          <w:sz w:val="24"/>
          <w:szCs w:val="24"/>
          <w:lang w:val="es-CR"/>
        </w:rPr>
        <w:t>s</w:t>
      </w:r>
      <w:r w:rsidR="000061DA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 financiero</w:t>
      </w:r>
      <w:r w:rsidR="00F873F7" w:rsidRPr="00BF369C">
        <w:rPr>
          <w:rFonts w:asciiTheme="minorHAnsi" w:hAnsiTheme="minorHAnsi" w:cstheme="minorHAnsi"/>
          <w:sz w:val="24"/>
          <w:szCs w:val="24"/>
          <w:lang w:val="es-CR"/>
        </w:rPr>
        <w:t>s</w:t>
      </w:r>
      <w:r w:rsidR="000061DA" w:rsidRPr="00BF369C">
        <w:rPr>
          <w:rFonts w:asciiTheme="minorHAnsi" w:hAnsiTheme="minorHAnsi" w:cstheme="minorHAnsi"/>
          <w:sz w:val="24"/>
          <w:szCs w:val="24"/>
          <w:lang w:val="es-CR"/>
        </w:rPr>
        <w:t>.</w:t>
      </w:r>
    </w:p>
    <w:p w14:paraId="4F8BACCA" w14:textId="77777777" w:rsidR="00E001F6" w:rsidRPr="00BF369C" w:rsidRDefault="00E001F6" w:rsidP="000061DA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502CA87A" w14:textId="4C7B4D29" w:rsidR="000061DA" w:rsidRPr="00BF369C" w:rsidRDefault="00E001F6" w:rsidP="000061DA">
      <w:pPr>
        <w:spacing w:line="360" w:lineRule="auto"/>
        <w:rPr>
          <w:rFonts w:asciiTheme="minorHAnsi" w:hAnsiTheme="minorHAnsi" w:cstheme="minorHAnsi"/>
          <w:sz w:val="24"/>
          <w:szCs w:val="24"/>
          <w:lang w:val="es-CR"/>
        </w:rPr>
      </w:pPr>
      <w:r w:rsidRPr="00BF369C">
        <w:rPr>
          <w:rFonts w:asciiTheme="minorHAnsi" w:hAnsiTheme="minorHAnsi" w:cstheme="minorHAnsi"/>
          <w:sz w:val="24"/>
          <w:szCs w:val="24"/>
          <w:lang w:val="es-CR"/>
        </w:rPr>
        <w:t>Asimismo, e</w:t>
      </w:r>
      <w:r w:rsidR="00765249" w:rsidRPr="00BF369C">
        <w:rPr>
          <w:rFonts w:asciiTheme="minorHAnsi" w:hAnsiTheme="minorHAnsi" w:cstheme="minorHAnsi"/>
          <w:sz w:val="24"/>
          <w:szCs w:val="24"/>
          <w:lang w:val="es-CR"/>
        </w:rPr>
        <w:t xml:space="preserve">s preciso indicar que por la forma en que está establecido el financiamiento de las erogaciones de la SUPEN </w:t>
      </w:r>
      <w:r w:rsidR="00FD311D" w:rsidRPr="00BF369C">
        <w:rPr>
          <w:rFonts w:asciiTheme="minorHAnsi" w:hAnsiTheme="minorHAnsi" w:cstheme="minorHAnsi"/>
          <w:sz w:val="24"/>
          <w:szCs w:val="24"/>
          <w:lang w:val="es-CR"/>
        </w:rPr>
        <w:t>la situación financiera es</w:t>
      </w:r>
      <w:r w:rsidR="00663617" w:rsidRPr="00BF369C">
        <w:rPr>
          <w:rFonts w:asciiTheme="minorHAnsi" w:hAnsiTheme="minorHAnsi" w:cstheme="minorHAnsi"/>
          <w:sz w:val="24"/>
          <w:szCs w:val="24"/>
          <w:lang w:val="es-CR"/>
        </w:rPr>
        <w:t>tá garantizada por Ley.</w:t>
      </w:r>
    </w:p>
    <w:p w14:paraId="26E21197" w14:textId="77777777" w:rsidR="00E67C18" w:rsidRPr="00BF369C" w:rsidRDefault="00E67C18" w:rsidP="00225437">
      <w:pPr>
        <w:pStyle w:val="Textoindependiente"/>
        <w:numPr>
          <w:ilvl w:val="0"/>
          <w:numId w:val="0"/>
        </w:numPr>
        <w:rPr>
          <w:rFonts w:asciiTheme="minorHAnsi" w:hAnsiTheme="minorHAnsi" w:cstheme="minorHAnsi"/>
          <w:szCs w:val="24"/>
          <w:lang w:val="es-CR"/>
        </w:rPr>
      </w:pPr>
    </w:p>
    <w:p w14:paraId="2DE15031" w14:textId="14DACCDF" w:rsidR="0040500F" w:rsidRPr="00BF369C" w:rsidRDefault="006F27D3" w:rsidP="00053E5B">
      <w:pPr>
        <w:pStyle w:val="Ttulo1"/>
        <w:numPr>
          <w:ilvl w:val="0"/>
          <w:numId w:val="29"/>
        </w:numPr>
        <w:shd w:val="clear" w:color="auto" w:fill="DBE5F1" w:themeFill="accent1" w:themeFillTint="33"/>
        <w:spacing w:line="288" w:lineRule="auto"/>
        <w:ind w:left="284" w:hanging="284"/>
        <w:rPr>
          <w:rFonts w:asciiTheme="minorHAnsi" w:hAnsiTheme="minorHAnsi" w:cstheme="minorHAnsi"/>
          <w:szCs w:val="28"/>
          <w:lang w:val="es-CR"/>
        </w:rPr>
      </w:pPr>
      <w:bookmarkStart w:id="25" w:name="_Toc45533007"/>
      <w:r w:rsidRPr="00BF369C">
        <w:rPr>
          <w:rFonts w:asciiTheme="minorHAnsi" w:hAnsiTheme="minorHAnsi" w:cstheme="minorHAnsi"/>
          <w:sz w:val="28"/>
          <w:szCs w:val="28"/>
          <w:lang w:val="es-CR"/>
        </w:rPr>
        <w:t>MEDIDAS CORRECTIVAS Y ACCIONES PARA LA MEJORA CONTÍNUA</w:t>
      </w:r>
      <w:r w:rsidR="000F5AC7" w:rsidRPr="00BF369C"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0F5AC7" w:rsidRPr="00BF369C">
        <w:rPr>
          <w:rFonts w:asciiTheme="minorHAnsi" w:hAnsiTheme="minorHAnsi" w:cstheme="minorHAnsi"/>
          <w:b w:val="0"/>
          <w:sz w:val="16"/>
          <w:szCs w:val="28"/>
          <w:lang w:val="es-CR"/>
        </w:rPr>
        <w:t>(4.5.6 b. vi)</w:t>
      </w:r>
      <w:bookmarkEnd w:id="25"/>
    </w:p>
    <w:p w14:paraId="739FECA4" w14:textId="72865E63" w:rsidR="0040500F" w:rsidRPr="00BF369C" w:rsidRDefault="0040500F" w:rsidP="00225437">
      <w:pPr>
        <w:pStyle w:val="Textoindependiente"/>
        <w:numPr>
          <w:ilvl w:val="0"/>
          <w:numId w:val="0"/>
        </w:numPr>
        <w:rPr>
          <w:rFonts w:asciiTheme="minorHAnsi" w:hAnsiTheme="minorHAnsi" w:cstheme="minorHAnsi"/>
          <w:szCs w:val="24"/>
          <w:lang w:val="es-CR"/>
        </w:rPr>
      </w:pPr>
    </w:p>
    <w:bookmarkEnd w:id="7"/>
    <w:bookmarkEnd w:id="8"/>
    <w:p w14:paraId="37495207" w14:textId="5801FBD8" w:rsidR="00E75D96" w:rsidRPr="00BF369C" w:rsidRDefault="00E75D96" w:rsidP="00E75D96">
      <w:pPr>
        <w:pStyle w:val="Textoindependien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Cs w:val="24"/>
          <w:lang w:val="es-CR"/>
        </w:rPr>
      </w:pPr>
      <w:r w:rsidRPr="00BF369C">
        <w:rPr>
          <w:rFonts w:asciiTheme="minorHAnsi" w:hAnsiTheme="minorHAnsi" w:cstheme="minorHAnsi"/>
          <w:szCs w:val="24"/>
          <w:lang w:val="es-CR"/>
        </w:rPr>
        <w:t xml:space="preserve">La SUPEN cuenta desde el 2008 con un sistema de gestión de la calidad y actualmente está certificada bajo la Norma ISO 9001:2015. Como parte de ese sistema, se </w:t>
      </w:r>
      <w:r w:rsidR="00C140C1" w:rsidRPr="00BF369C">
        <w:rPr>
          <w:rFonts w:asciiTheme="minorHAnsi" w:hAnsiTheme="minorHAnsi" w:cstheme="minorHAnsi"/>
          <w:szCs w:val="24"/>
          <w:lang w:val="es-CR"/>
        </w:rPr>
        <w:t xml:space="preserve">realizan </w:t>
      </w:r>
      <w:r w:rsidR="00C82C44" w:rsidRPr="00BF369C">
        <w:rPr>
          <w:rFonts w:asciiTheme="minorHAnsi" w:hAnsiTheme="minorHAnsi" w:cstheme="minorHAnsi"/>
          <w:szCs w:val="24"/>
          <w:lang w:val="es-CR"/>
        </w:rPr>
        <w:t>auditorías</w:t>
      </w:r>
      <w:r w:rsidRPr="00BF369C">
        <w:rPr>
          <w:rFonts w:asciiTheme="minorHAnsi" w:hAnsiTheme="minorHAnsi" w:cstheme="minorHAnsi"/>
          <w:szCs w:val="24"/>
          <w:lang w:val="es-CR"/>
        </w:rPr>
        <w:t xml:space="preserve"> </w:t>
      </w:r>
      <w:r w:rsidR="00C82C44" w:rsidRPr="00BF369C">
        <w:rPr>
          <w:rFonts w:asciiTheme="minorHAnsi" w:hAnsiTheme="minorHAnsi" w:cstheme="minorHAnsi"/>
          <w:szCs w:val="24"/>
          <w:lang w:val="es-CR"/>
        </w:rPr>
        <w:t xml:space="preserve">internas </w:t>
      </w:r>
      <w:r w:rsidRPr="00BF369C">
        <w:rPr>
          <w:rFonts w:asciiTheme="minorHAnsi" w:hAnsiTheme="minorHAnsi" w:cstheme="minorHAnsi"/>
          <w:szCs w:val="24"/>
          <w:lang w:val="es-CR"/>
        </w:rPr>
        <w:t>de calidad en procura de ir mejorando los procesos</w:t>
      </w:r>
      <w:r w:rsidR="008626F2">
        <w:rPr>
          <w:rFonts w:asciiTheme="minorHAnsi" w:hAnsiTheme="minorHAnsi" w:cstheme="minorHAnsi"/>
          <w:szCs w:val="24"/>
          <w:lang w:val="es-CR"/>
        </w:rPr>
        <w:t xml:space="preserve">, de igual forma </w:t>
      </w:r>
      <w:r w:rsidR="003F574D">
        <w:rPr>
          <w:rFonts w:asciiTheme="minorHAnsi" w:hAnsiTheme="minorHAnsi" w:cstheme="minorHAnsi"/>
          <w:szCs w:val="24"/>
          <w:lang w:val="es-CR"/>
        </w:rPr>
        <w:t>INTECO cada año hace una revisión del sistema de calidad</w:t>
      </w:r>
      <w:r w:rsidR="00BC68A6">
        <w:rPr>
          <w:rFonts w:asciiTheme="minorHAnsi" w:hAnsiTheme="minorHAnsi" w:cstheme="minorHAnsi"/>
          <w:szCs w:val="24"/>
          <w:lang w:val="es-CR"/>
        </w:rPr>
        <w:t>, para verificar el cumplimiento de</w:t>
      </w:r>
      <w:r w:rsidR="00317AE2">
        <w:rPr>
          <w:rFonts w:asciiTheme="minorHAnsi" w:hAnsiTheme="minorHAnsi" w:cstheme="minorHAnsi"/>
          <w:szCs w:val="24"/>
          <w:lang w:val="es-CR"/>
        </w:rPr>
        <w:t xml:space="preserve"> la Norma</w:t>
      </w:r>
      <w:r w:rsidRPr="00BF369C">
        <w:rPr>
          <w:rFonts w:asciiTheme="minorHAnsi" w:hAnsiTheme="minorHAnsi" w:cstheme="minorHAnsi"/>
          <w:szCs w:val="24"/>
          <w:lang w:val="es-CR"/>
        </w:rPr>
        <w:t>. En línea con lo anterior, seguidamente se presenta un extracto de los resultados.</w:t>
      </w:r>
    </w:p>
    <w:p w14:paraId="12DCA3B9" w14:textId="77777777" w:rsidR="00E75D96" w:rsidRPr="00BF369C" w:rsidRDefault="00E75D96" w:rsidP="00E75D96">
      <w:pPr>
        <w:pStyle w:val="Textoindependien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Cs w:val="24"/>
          <w:lang w:val="es-CR"/>
        </w:rPr>
      </w:pPr>
    </w:p>
    <w:p w14:paraId="3581A721" w14:textId="282FAC26" w:rsidR="00E75D96" w:rsidRPr="00BF369C" w:rsidRDefault="00E75D96" w:rsidP="00E75D96">
      <w:pPr>
        <w:spacing w:line="360" w:lineRule="auto"/>
        <w:rPr>
          <w:rFonts w:asciiTheme="minorHAnsi" w:hAnsiTheme="minorHAnsi" w:cstheme="minorHAnsi"/>
          <w:b/>
          <w:sz w:val="24"/>
          <w:u w:val="single"/>
          <w:lang w:val="es-CR"/>
        </w:rPr>
      </w:pPr>
      <w:r w:rsidRPr="00F11B4E">
        <w:rPr>
          <w:rFonts w:asciiTheme="minorHAnsi" w:hAnsiTheme="minorHAnsi" w:cstheme="minorHAnsi"/>
          <w:b/>
          <w:sz w:val="24"/>
          <w:u w:val="single"/>
          <w:lang w:val="es-CR"/>
        </w:rPr>
        <w:t>Acciones correctivas</w:t>
      </w:r>
      <w:r w:rsidR="00DD009A">
        <w:rPr>
          <w:rFonts w:asciiTheme="minorHAnsi" w:hAnsiTheme="minorHAnsi" w:cstheme="minorHAnsi"/>
          <w:b/>
          <w:sz w:val="24"/>
          <w:u w:val="single"/>
          <w:lang w:val="es-CR"/>
        </w:rPr>
        <w:t xml:space="preserve"> y </w:t>
      </w:r>
      <w:r w:rsidR="00CB3550">
        <w:rPr>
          <w:rFonts w:asciiTheme="minorHAnsi" w:hAnsiTheme="minorHAnsi" w:cstheme="minorHAnsi"/>
          <w:b/>
          <w:sz w:val="24"/>
          <w:u w:val="single"/>
          <w:lang w:val="es-CR"/>
        </w:rPr>
        <w:t>preventivas</w:t>
      </w:r>
      <w:r w:rsidR="00030921">
        <w:rPr>
          <w:rFonts w:asciiTheme="minorHAnsi" w:hAnsiTheme="minorHAnsi" w:cstheme="minorHAnsi"/>
          <w:b/>
          <w:sz w:val="24"/>
          <w:u w:val="single"/>
          <w:lang w:val="es-CR"/>
        </w:rPr>
        <w:t xml:space="preserve"> del sistema de </w:t>
      </w:r>
      <w:r w:rsidR="00D355F8">
        <w:rPr>
          <w:rFonts w:asciiTheme="minorHAnsi" w:hAnsiTheme="minorHAnsi" w:cstheme="minorHAnsi"/>
          <w:b/>
          <w:sz w:val="24"/>
          <w:u w:val="single"/>
          <w:lang w:val="es-CR"/>
        </w:rPr>
        <w:t xml:space="preserve">gestión de </w:t>
      </w:r>
      <w:r w:rsidR="00030921">
        <w:rPr>
          <w:rFonts w:asciiTheme="minorHAnsi" w:hAnsiTheme="minorHAnsi" w:cstheme="minorHAnsi"/>
          <w:b/>
          <w:sz w:val="24"/>
          <w:u w:val="single"/>
          <w:lang w:val="es-CR"/>
        </w:rPr>
        <w:t>calidad</w:t>
      </w:r>
    </w:p>
    <w:p w14:paraId="3F0E5971" w14:textId="77777777" w:rsidR="007F73F6" w:rsidRPr="00BF369C" w:rsidRDefault="007F73F6" w:rsidP="00D22194">
      <w:pPr>
        <w:spacing w:line="360" w:lineRule="auto"/>
        <w:rPr>
          <w:rFonts w:asciiTheme="minorHAnsi" w:hAnsiTheme="minorHAnsi" w:cstheme="minorHAnsi"/>
          <w:sz w:val="24"/>
          <w:highlight w:val="yellow"/>
          <w:lang w:val="es-CR"/>
        </w:rPr>
      </w:pPr>
    </w:p>
    <w:p w14:paraId="5E898F58" w14:textId="79EF8E8A" w:rsidR="00E75D96" w:rsidRPr="00BF369C" w:rsidRDefault="00E75D96" w:rsidP="00D22194">
      <w:pPr>
        <w:spacing w:line="360" w:lineRule="auto"/>
        <w:rPr>
          <w:rFonts w:asciiTheme="minorHAnsi" w:hAnsiTheme="minorHAnsi" w:cstheme="minorHAnsi"/>
          <w:sz w:val="24"/>
          <w:lang w:val="es-CR"/>
        </w:rPr>
      </w:pPr>
      <w:r w:rsidRPr="00BF369C">
        <w:rPr>
          <w:rFonts w:asciiTheme="minorHAnsi" w:hAnsiTheme="minorHAnsi" w:cstheme="minorHAnsi"/>
          <w:sz w:val="24"/>
          <w:lang w:val="es-CR"/>
        </w:rPr>
        <w:t>En lo que respecta a acciones correctivas</w:t>
      </w:r>
      <w:r w:rsidR="00E90861" w:rsidRPr="00BF369C">
        <w:rPr>
          <w:rFonts w:asciiTheme="minorHAnsi" w:hAnsiTheme="minorHAnsi" w:cstheme="minorHAnsi"/>
          <w:sz w:val="24"/>
          <w:lang w:val="es-CR"/>
        </w:rPr>
        <w:t>, se</w:t>
      </w:r>
      <w:r w:rsidRPr="00BF369C">
        <w:rPr>
          <w:rFonts w:asciiTheme="minorHAnsi" w:hAnsiTheme="minorHAnsi" w:cstheme="minorHAnsi"/>
          <w:sz w:val="24"/>
          <w:lang w:val="es-CR"/>
        </w:rPr>
        <w:t xml:space="preserve"> </w:t>
      </w:r>
      <w:r w:rsidR="00D22194" w:rsidRPr="00BF369C">
        <w:rPr>
          <w:rFonts w:asciiTheme="minorHAnsi" w:hAnsiTheme="minorHAnsi" w:cstheme="minorHAnsi"/>
          <w:sz w:val="24"/>
          <w:lang w:val="es-CR"/>
        </w:rPr>
        <w:t>tiene</w:t>
      </w:r>
      <w:r w:rsidRPr="00BF369C">
        <w:rPr>
          <w:rFonts w:asciiTheme="minorHAnsi" w:hAnsiTheme="minorHAnsi" w:cstheme="minorHAnsi"/>
          <w:sz w:val="24"/>
          <w:lang w:val="es-CR"/>
        </w:rPr>
        <w:t xml:space="preserve"> </w:t>
      </w:r>
      <w:r w:rsidR="00E42419">
        <w:rPr>
          <w:rFonts w:asciiTheme="minorHAnsi" w:hAnsiTheme="minorHAnsi" w:cstheme="minorHAnsi"/>
          <w:sz w:val="24"/>
          <w:lang w:val="es-CR"/>
        </w:rPr>
        <w:t>u</w:t>
      </w:r>
      <w:r w:rsidR="00F37C10">
        <w:rPr>
          <w:rFonts w:asciiTheme="minorHAnsi" w:hAnsiTheme="minorHAnsi" w:cstheme="minorHAnsi"/>
          <w:sz w:val="24"/>
          <w:lang w:val="es-CR"/>
        </w:rPr>
        <w:t>n</w:t>
      </w:r>
      <w:r w:rsidRPr="00BF369C">
        <w:rPr>
          <w:rFonts w:asciiTheme="minorHAnsi" w:hAnsiTheme="minorHAnsi" w:cstheme="minorHAnsi"/>
          <w:sz w:val="24"/>
          <w:lang w:val="es-CR"/>
        </w:rPr>
        <w:t xml:space="preserve"> formulario </w:t>
      </w:r>
      <w:r w:rsidR="00D22194" w:rsidRPr="00BF369C">
        <w:rPr>
          <w:rFonts w:asciiTheme="minorHAnsi" w:hAnsiTheme="minorHAnsi" w:cstheme="minorHAnsi"/>
          <w:sz w:val="24"/>
          <w:lang w:val="es-CR"/>
        </w:rPr>
        <w:t>abierto</w:t>
      </w:r>
      <w:r w:rsidRPr="00BF369C">
        <w:rPr>
          <w:rFonts w:asciiTheme="minorHAnsi" w:hAnsiTheme="minorHAnsi" w:cstheme="minorHAnsi"/>
          <w:sz w:val="24"/>
          <w:lang w:val="es-CR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3"/>
      </w:tblGrid>
      <w:tr w:rsidR="009B3592" w14:paraId="5372906E" w14:textId="77777777" w:rsidTr="009B3592">
        <w:tc>
          <w:tcPr>
            <w:tcW w:w="3397" w:type="dxa"/>
            <w:shd w:val="clear" w:color="auto" w:fill="B8CCE4" w:themeFill="accent1" w:themeFillTint="66"/>
          </w:tcPr>
          <w:p w14:paraId="5E36F75F" w14:textId="68D6402C" w:rsidR="009B3592" w:rsidRPr="009B3592" w:rsidRDefault="009B3592" w:rsidP="009B3592">
            <w:pPr>
              <w:spacing w:line="240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Acción </w:t>
            </w:r>
          </w:p>
        </w:tc>
        <w:tc>
          <w:tcPr>
            <w:tcW w:w="5433" w:type="dxa"/>
            <w:shd w:val="clear" w:color="auto" w:fill="B8CCE4" w:themeFill="accent1" w:themeFillTint="66"/>
          </w:tcPr>
          <w:p w14:paraId="7DBCEA39" w14:textId="0B6E9999" w:rsidR="009B3592" w:rsidRPr="00A85F72" w:rsidRDefault="009B3592" w:rsidP="00A85F72">
            <w:pPr>
              <w:spacing w:line="240" w:lineRule="auto"/>
              <w:jc w:val="lef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Detalle</w:t>
            </w:r>
          </w:p>
        </w:tc>
      </w:tr>
      <w:tr w:rsidR="00404C7C" w14:paraId="39171EE1" w14:textId="77777777" w:rsidTr="006A2C94">
        <w:tc>
          <w:tcPr>
            <w:tcW w:w="3397" w:type="dxa"/>
          </w:tcPr>
          <w:p w14:paraId="63AA1E5F" w14:textId="7BF7D9C5" w:rsidR="00404C7C" w:rsidRPr="001E3C7A" w:rsidRDefault="000D03DC" w:rsidP="003F1729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49" w:hanging="425"/>
              <w:rPr>
                <w:rFonts w:cstheme="minorHAnsi"/>
                <w:sz w:val="18"/>
                <w:szCs w:val="16"/>
              </w:rPr>
            </w:pPr>
            <w:r w:rsidRPr="001E3C7A">
              <w:rPr>
                <w:rFonts w:cstheme="minorHAnsi"/>
                <w:sz w:val="18"/>
                <w:szCs w:val="16"/>
              </w:rPr>
              <w:t>Acción correctiva 2018-006 Acuerdos Revisión por la Dirección</w:t>
            </w:r>
          </w:p>
        </w:tc>
        <w:tc>
          <w:tcPr>
            <w:tcW w:w="5433" w:type="dxa"/>
          </w:tcPr>
          <w:p w14:paraId="105C1ED2" w14:textId="7254C629" w:rsidR="00404C7C" w:rsidRDefault="00B44064" w:rsidP="00EA7F38">
            <w:pPr>
              <w:spacing w:line="240" w:lineRule="auto"/>
              <w:rPr>
                <w:rFonts w:asciiTheme="minorHAnsi" w:hAnsiTheme="minorHAnsi" w:cstheme="minorHAnsi"/>
                <w:sz w:val="24"/>
                <w:lang w:val="es-CR"/>
              </w:rPr>
            </w:pPr>
            <w:r>
              <w:rPr>
                <w:rFonts w:cstheme="minorHAnsi"/>
                <w:sz w:val="18"/>
                <w:szCs w:val="16"/>
              </w:rPr>
              <w:t>E</w:t>
            </w:r>
            <w:r w:rsidR="00D17DED">
              <w:rPr>
                <w:rFonts w:cstheme="minorHAnsi"/>
                <w:sz w:val="18"/>
                <w:szCs w:val="16"/>
              </w:rPr>
              <w:t>l</w:t>
            </w:r>
            <w:r w:rsidR="00404C7C" w:rsidRPr="00404C7C">
              <w:rPr>
                <w:rFonts w:cstheme="minorHAnsi"/>
                <w:sz w:val="18"/>
                <w:szCs w:val="16"/>
              </w:rPr>
              <w:t xml:space="preserve"> Reglamento de </w:t>
            </w:r>
            <w:r w:rsidR="00255292">
              <w:rPr>
                <w:rFonts w:cstheme="minorHAnsi"/>
                <w:sz w:val="18"/>
                <w:szCs w:val="16"/>
              </w:rPr>
              <w:t>A</w:t>
            </w:r>
            <w:r w:rsidR="00404C7C" w:rsidRPr="00404C7C">
              <w:rPr>
                <w:rFonts w:cstheme="minorHAnsi"/>
                <w:sz w:val="18"/>
                <w:szCs w:val="16"/>
              </w:rPr>
              <w:t xml:space="preserve">probaciones y Autorizaciones se encuentra listo para ser enviado al CONASSIF para que, de </w:t>
            </w:r>
            <w:r w:rsidR="00637001">
              <w:rPr>
                <w:rFonts w:cstheme="minorHAnsi"/>
                <w:sz w:val="18"/>
                <w:szCs w:val="16"/>
              </w:rPr>
              <w:t>ser</w:t>
            </w:r>
            <w:r w:rsidR="00404C7C" w:rsidRPr="00404C7C">
              <w:rPr>
                <w:rFonts w:cstheme="minorHAnsi"/>
                <w:sz w:val="18"/>
                <w:szCs w:val="16"/>
              </w:rPr>
              <w:t xml:space="preserve"> </w:t>
            </w:r>
            <w:r w:rsidR="00637001">
              <w:rPr>
                <w:rFonts w:cstheme="minorHAnsi"/>
                <w:sz w:val="18"/>
                <w:szCs w:val="16"/>
              </w:rPr>
              <w:t>aprobado por</w:t>
            </w:r>
            <w:r w:rsidR="00404C7C" w:rsidRPr="00404C7C">
              <w:rPr>
                <w:rFonts w:cstheme="minorHAnsi"/>
                <w:sz w:val="18"/>
                <w:szCs w:val="16"/>
              </w:rPr>
              <w:t xml:space="preserve"> ese órgano, sea enviado en consulta al medio.</w:t>
            </w:r>
          </w:p>
        </w:tc>
      </w:tr>
    </w:tbl>
    <w:p w14:paraId="065F7ABC" w14:textId="032CF5A0" w:rsidR="00E43430" w:rsidRDefault="00E43430" w:rsidP="00E75D96">
      <w:pPr>
        <w:spacing w:line="360" w:lineRule="auto"/>
        <w:rPr>
          <w:rFonts w:asciiTheme="minorHAnsi" w:hAnsiTheme="minorHAnsi" w:cstheme="minorHAnsi"/>
          <w:sz w:val="24"/>
          <w:lang w:val="es-CR"/>
        </w:rPr>
      </w:pPr>
    </w:p>
    <w:p w14:paraId="5A428B33" w14:textId="581167A4" w:rsidR="00030921" w:rsidRPr="00BF369C" w:rsidRDefault="000E5591" w:rsidP="00030921">
      <w:pPr>
        <w:spacing w:line="360" w:lineRule="auto"/>
        <w:rPr>
          <w:rFonts w:asciiTheme="minorHAnsi" w:hAnsiTheme="minorHAnsi" w:cstheme="minorHAnsi"/>
          <w:b/>
          <w:sz w:val="24"/>
          <w:u w:val="single"/>
          <w:lang w:val="es-CR"/>
        </w:rPr>
      </w:pPr>
      <w:r>
        <w:rPr>
          <w:rFonts w:asciiTheme="minorHAnsi" w:hAnsiTheme="minorHAnsi" w:cstheme="minorHAnsi"/>
          <w:b/>
          <w:sz w:val="24"/>
          <w:u w:val="single"/>
          <w:lang w:val="es-CR"/>
        </w:rPr>
        <w:lastRenderedPageBreak/>
        <w:t>Estado de atención de las r</w:t>
      </w:r>
      <w:r w:rsidRPr="000E5591">
        <w:rPr>
          <w:rFonts w:asciiTheme="minorHAnsi" w:hAnsiTheme="minorHAnsi" w:cstheme="minorHAnsi"/>
          <w:b/>
          <w:sz w:val="24"/>
          <w:u w:val="single"/>
          <w:lang w:val="es-CR"/>
        </w:rPr>
        <w:t xml:space="preserve">ecomendaciones de la Auditoría Interna </w:t>
      </w:r>
    </w:p>
    <w:p w14:paraId="44E91F9F" w14:textId="77777777" w:rsidR="00F241D8" w:rsidRDefault="00F241D8" w:rsidP="00E75D96">
      <w:pPr>
        <w:spacing w:line="360" w:lineRule="auto"/>
        <w:rPr>
          <w:rFonts w:asciiTheme="minorHAnsi" w:hAnsiTheme="minorHAnsi" w:cstheme="minorHAnsi"/>
          <w:sz w:val="24"/>
          <w:lang w:val="es-CR"/>
        </w:rPr>
      </w:pPr>
    </w:p>
    <w:p w14:paraId="4A5FDA32" w14:textId="3C17FFCC" w:rsidR="00030921" w:rsidRDefault="00E67C18" w:rsidP="00E75D96">
      <w:pPr>
        <w:spacing w:line="360" w:lineRule="auto"/>
        <w:rPr>
          <w:rFonts w:asciiTheme="minorHAnsi" w:hAnsiTheme="minorHAnsi" w:cstheme="minorHAnsi"/>
          <w:sz w:val="24"/>
          <w:lang w:val="es-CR"/>
        </w:rPr>
      </w:pPr>
      <w:r>
        <w:rPr>
          <w:rFonts w:asciiTheme="minorHAnsi" w:hAnsiTheme="minorHAnsi" w:cstheme="minorHAnsi"/>
          <w:sz w:val="24"/>
          <w:lang w:val="es-CR"/>
        </w:rPr>
        <w:t xml:space="preserve">Como </w:t>
      </w:r>
      <w:r w:rsidR="00F241D8">
        <w:rPr>
          <w:rFonts w:asciiTheme="minorHAnsi" w:hAnsiTheme="minorHAnsi" w:cstheme="minorHAnsi"/>
          <w:sz w:val="24"/>
          <w:lang w:val="es-CR"/>
        </w:rPr>
        <w:t>parte de las acciones de la Auditoría Interna del CONASSI</w:t>
      </w:r>
      <w:r w:rsidR="006A08C8">
        <w:rPr>
          <w:rFonts w:asciiTheme="minorHAnsi" w:hAnsiTheme="minorHAnsi" w:cstheme="minorHAnsi"/>
          <w:sz w:val="24"/>
          <w:lang w:val="es-CR"/>
        </w:rPr>
        <w:t xml:space="preserve">F está la revisión </w:t>
      </w:r>
      <w:r w:rsidR="004C562F">
        <w:rPr>
          <w:rFonts w:asciiTheme="minorHAnsi" w:hAnsiTheme="minorHAnsi" w:cstheme="minorHAnsi"/>
          <w:sz w:val="24"/>
          <w:lang w:val="es-CR"/>
        </w:rPr>
        <w:t>integral</w:t>
      </w:r>
      <w:r w:rsidR="00180751">
        <w:rPr>
          <w:rFonts w:asciiTheme="minorHAnsi" w:hAnsiTheme="minorHAnsi" w:cstheme="minorHAnsi"/>
          <w:sz w:val="24"/>
          <w:lang w:val="es-CR"/>
        </w:rPr>
        <w:t xml:space="preserve"> para </w:t>
      </w:r>
      <w:r w:rsidR="00764EE6" w:rsidRPr="00764EE6">
        <w:rPr>
          <w:rFonts w:asciiTheme="minorHAnsi" w:hAnsiTheme="minorHAnsi" w:cstheme="minorHAnsi"/>
          <w:sz w:val="24"/>
          <w:lang w:val="es-CR"/>
        </w:rPr>
        <w:t>ofrecer un aseguramiento independiente sobre la adecuación y la eficacia de controles, procesos y estructuras diseñados para respaldar el buen gobierno de las labores de la superintendencia.</w:t>
      </w:r>
      <w:r w:rsidR="00D44001">
        <w:rPr>
          <w:rFonts w:asciiTheme="minorHAnsi" w:hAnsiTheme="minorHAnsi" w:cstheme="minorHAnsi"/>
          <w:sz w:val="24"/>
          <w:lang w:val="es-CR"/>
        </w:rPr>
        <w:t xml:space="preserve"> Producto de esa revisión </w:t>
      </w:r>
      <w:r w:rsidR="00043966">
        <w:rPr>
          <w:rFonts w:asciiTheme="minorHAnsi" w:hAnsiTheme="minorHAnsi" w:cstheme="minorHAnsi"/>
          <w:sz w:val="24"/>
          <w:lang w:val="es-CR"/>
        </w:rPr>
        <w:t>la Au</w:t>
      </w:r>
      <w:r w:rsidR="009F0E80">
        <w:rPr>
          <w:rFonts w:asciiTheme="minorHAnsi" w:hAnsiTheme="minorHAnsi" w:cstheme="minorHAnsi"/>
          <w:sz w:val="24"/>
          <w:lang w:val="es-CR"/>
        </w:rPr>
        <w:t xml:space="preserve">ditoría </w:t>
      </w:r>
      <w:r w:rsidR="00D44001">
        <w:rPr>
          <w:rFonts w:asciiTheme="minorHAnsi" w:hAnsiTheme="minorHAnsi" w:cstheme="minorHAnsi"/>
          <w:sz w:val="24"/>
          <w:lang w:val="es-CR"/>
        </w:rPr>
        <w:t>emiten recomendaciones</w:t>
      </w:r>
      <w:r w:rsidR="00AA61B6">
        <w:rPr>
          <w:rFonts w:asciiTheme="minorHAnsi" w:hAnsiTheme="minorHAnsi" w:cstheme="minorHAnsi"/>
          <w:sz w:val="24"/>
          <w:lang w:val="es-CR"/>
        </w:rPr>
        <w:t>, para ser atendidas como parte de la mejora</w:t>
      </w:r>
      <w:r w:rsidR="006E7727">
        <w:rPr>
          <w:rFonts w:asciiTheme="minorHAnsi" w:hAnsiTheme="minorHAnsi" w:cstheme="minorHAnsi"/>
          <w:sz w:val="24"/>
          <w:lang w:val="es-CR"/>
        </w:rPr>
        <w:t>, seguidamente se presenta el estado de esas recomendaciones</w:t>
      </w:r>
      <w:r w:rsidR="00AA61B6">
        <w:rPr>
          <w:rFonts w:asciiTheme="minorHAnsi" w:hAnsiTheme="minorHAnsi" w:cstheme="minorHAnsi"/>
          <w:sz w:val="24"/>
          <w:lang w:val="es-CR"/>
        </w:rPr>
        <w:t>.</w:t>
      </w:r>
    </w:p>
    <w:p w14:paraId="57B4AF06" w14:textId="77777777" w:rsidR="00E67C18" w:rsidRDefault="00E67C18" w:rsidP="00E75D96">
      <w:pPr>
        <w:spacing w:line="360" w:lineRule="auto"/>
        <w:rPr>
          <w:rFonts w:asciiTheme="minorHAnsi" w:hAnsiTheme="minorHAnsi" w:cstheme="minorHAnsi"/>
          <w:sz w:val="24"/>
          <w:lang w:val="es-CR"/>
        </w:rPr>
      </w:pPr>
    </w:p>
    <w:p w14:paraId="7CA4E629" w14:textId="7E3F26A9" w:rsidR="00C15CAE" w:rsidRDefault="00C15CAE" w:rsidP="00C15CAE">
      <w:pPr>
        <w:rPr>
          <w:rFonts w:asciiTheme="minorHAnsi" w:hAnsiTheme="minorHAnsi" w:cstheme="minorHAnsi"/>
          <w:sz w:val="24"/>
          <w:lang w:val="es-CR"/>
        </w:rPr>
      </w:pPr>
      <w:r w:rsidRPr="00FC39A8">
        <w:rPr>
          <w:rFonts w:ascii="Calibri" w:hAnsi="Calibri"/>
          <w:sz w:val="24"/>
          <w:szCs w:val="24"/>
          <w:lang w:val="es-CR"/>
        </w:rPr>
        <w:t xml:space="preserve">Cuadro </w:t>
      </w:r>
      <w:r>
        <w:rPr>
          <w:rFonts w:ascii="Calibri" w:hAnsi="Calibri"/>
          <w:sz w:val="24"/>
          <w:szCs w:val="24"/>
          <w:lang w:val="es-CR"/>
        </w:rPr>
        <w:t>8</w:t>
      </w:r>
      <w:r w:rsidRPr="00FC39A8">
        <w:rPr>
          <w:rFonts w:ascii="Calibri" w:hAnsi="Calibri"/>
          <w:sz w:val="24"/>
          <w:szCs w:val="24"/>
          <w:lang w:val="es-CR"/>
        </w:rPr>
        <w:t xml:space="preserve">: </w:t>
      </w:r>
      <w:r w:rsidRPr="00C15CAE">
        <w:rPr>
          <w:rFonts w:asciiTheme="minorHAnsi" w:hAnsiTheme="minorHAnsi" w:cstheme="minorHAnsi"/>
          <w:sz w:val="24"/>
          <w:lang w:val="es-CR"/>
        </w:rPr>
        <w:t>Estado Global de Atención a Recomendaciones de la Auditoría Interna</w:t>
      </w:r>
    </w:p>
    <w:tbl>
      <w:tblPr>
        <w:tblW w:w="70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1564"/>
      </w:tblGrid>
      <w:tr w:rsidR="00D06E81" w:rsidRPr="00D06E81" w14:paraId="75E88885" w14:textId="77777777" w:rsidTr="007805E4">
        <w:trPr>
          <w:trHeight w:val="300"/>
        </w:trPr>
        <w:tc>
          <w:tcPr>
            <w:tcW w:w="3261" w:type="dxa"/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C8F78" w14:textId="77777777" w:rsidR="00030921" w:rsidRPr="00D06E81" w:rsidRDefault="00030921" w:rsidP="007805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es-CR"/>
              </w:rPr>
            </w:pPr>
            <w:r w:rsidRPr="00D06E81">
              <w:rPr>
                <w:b/>
                <w:bCs/>
                <w:sz w:val="18"/>
                <w:szCs w:val="18"/>
                <w:lang w:eastAsia="es-CR"/>
              </w:rPr>
              <w:t>Estado de atención de la recomendación</w:t>
            </w:r>
          </w:p>
        </w:tc>
        <w:tc>
          <w:tcPr>
            <w:tcW w:w="2268" w:type="dxa"/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8F1B8" w14:textId="77777777" w:rsidR="00030921" w:rsidRPr="00D06E81" w:rsidRDefault="00030921" w:rsidP="007805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es-CR"/>
              </w:rPr>
            </w:pPr>
            <w:r w:rsidRPr="00D06E81">
              <w:rPr>
                <w:b/>
                <w:bCs/>
                <w:sz w:val="18"/>
                <w:szCs w:val="18"/>
                <w:lang w:eastAsia="es-CR"/>
              </w:rPr>
              <w:t>Cantidad recomendaciones</w:t>
            </w:r>
          </w:p>
        </w:tc>
        <w:tc>
          <w:tcPr>
            <w:tcW w:w="1564" w:type="dxa"/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DF4E3" w14:textId="77777777" w:rsidR="00030921" w:rsidRPr="00D06E81" w:rsidRDefault="00030921" w:rsidP="007805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es-CR"/>
              </w:rPr>
            </w:pPr>
            <w:r w:rsidRPr="00D06E81">
              <w:rPr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</w:tr>
      <w:tr w:rsidR="00D06E81" w:rsidRPr="00D06E81" w14:paraId="44C32FC4" w14:textId="77777777" w:rsidTr="00540A69">
        <w:trPr>
          <w:trHeight w:val="300"/>
        </w:trPr>
        <w:tc>
          <w:tcPr>
            <w:tcW w:w="32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A5145" w14:textId="77777777" w:rsidR="00030921" w:rsidRPr="00D06E81" w:rsidRDefault="00030921">
            <w:pPr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Comunicada y Aceptada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CC71F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16</w:t>
            </w:r>
          </w:p>
        </w:tc>
        <w:tc>
          <w:tcPr>
            <w:tcW w:w="15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F97E6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18%</w:t>
            </w:r>
          </w:p>
        </w:tc>
      </w:tr>
      <w:tr w:rsidR="00D06E81" w:rsidRPr="00D06E81" w14:paraId="2BEE0BC3" w14:textId="77777777" w:rsidTr="00540A69">
        <w:trPr>
          <w:trHeight w:val="300"/>
        </w:trPr>
        <w:tc>
          <w:tcPr>
            <w:tcW w:w="32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C4A8C" w14:textId="77777777" w:rsidR="00030921" w:rsidRPr="00D06E81" w:rsidRDefault="00030921">
            <w:pPr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Implantada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49641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42</w:t>
            </w:r>
          </w:p>
        </w:tc>
        <w:tc>
          <w:tcPr>
            <w:tcW w:w="15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51AB3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47%</w:t>
            </w:r>
          </w:p>
        </w:tc>
      </w:tr>
      <w:tr w:rsidR="00D06E81" w:rsidRPr="00D06E81" w14:paraId="4CB04CD8" w14:textId="77777777" w:rsidTr="00540A69">
        <w:trPr>
          <w:trHeight w:val="300"/>
        </w:trPr>
        <w:tc>
          <w:tcPr>
            <w:tcW w:w="32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5FD4C" w14:textId="77777777" w:rsidR="00030921" w:rsidRPr="00D06E81" w:rsidRDefault="00030921">
            <w:pPr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No Conforme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33510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4</w:t>
            </w:r>
          </w:p>
        </w:tc>
        <w:tc>
          <w:tcPr>
            <w:tcW w:w="15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7623B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4%</w:t>
            </w:r>
          </w:p>
        </w:tc>
      </w:tr>
      <w:tr w:rsidR="00D06E81" w:rsidRPr="00D06E81" w14:paraId="517C9798" w14:textId="77777777" w:rsidTr="00540A69">
        <w:trPr>
          <w:trHeight w:val="300"/>
        </w:trPr>
        <w:tc>
          <w:tcPr>
            <w:tcW w:w="32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0EB63" w14:textId="77777777" w:rsidR="00030921" w:rsidRPr="00D06E81" w:rsidRDefault="00030921">
            <w:pPr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Vencidas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3048A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28</w:t>
            </w:r>
          </w:p>
        </w:tc>
        <w:tc>
          <w:tcPr>
            <w:tcW w:w="15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1F83A" w14:textId="77777777" w:rsidR="00030921" w:rsidRPr="00D06E81" w:rsidRDefault="00030921">
            <w:pPr>
              <w:jc w:val="center"/>
              <w:rPr>
                <w:sz w:val="18"/>
                <w:szCs w:val="18"/>
                <w:lang w:eastAsia="es-CR"/>
              </w:rPr>
            </w:pPr>
            <w:r w:rsidRPr="00D06E81">
              <w:rPr>
                <w:sz w:val="18"/>
                <w:szCs w:val="18"/>
                <w:lang w:eastAsia="es-CR"/>
              </w:rPr>
              <w:t>31%</w:t>
            </w:r>
          </w:p>
        </w:tc>
      </w:tr>
      <w:tr w:rsidR="00D06E81" w:rsidRPr="00D06E81" w14:paraId="0D620535" w14:textId="77777777" w:rsidTr="00540A69">
        <w:trPr>
          <w:trHeight w:val="300"/>
        </w:trPr>
        <w:tc>
          <w:tcPr>
            <w:tcW w:w="32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089D8" w14:textId="77777777" w:rsidR="00030921" w:rsidRPr="00D06E81" w:rsidRDefault="00030921">
            <w:pPr>
              <w:rPr>
                <w:b/>
                <w:bCs/>
                <w:sz w:val="18"/>
                <w:szCs w:val="18"/>
                <w:lang w:eastAsia="es-CR"/>
              </w:rPr>
            </w:pPr>
            <w:r w:rsidRPr="00D06E81">
              <w:rPr>
                <w:b/>
                <w:bCs/>
                <w:sz w:val="18"/>
                <w:szCs w:val="18"/>
                <w:lang w:eastAsia="es-CR"/>
              </w:rPr>
              <w:t>Total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50553" w14:textId="77777777" w:rsidR="00030921" w:rsidRPr="00D06E81" w:rsidRDefault="00030921">
            <w:pPr>
              <w:jc w:val="center"/>
              <w:rPr>
                <w:b/>
                <w:bCs/>
                <w:sz w:val="18"/>
                <w:szCs w:val="18"/>
                <w:lang w:eastAsia="es-CR"/>
              </w:rPr>
            </w:pPr>
            <w:r w:rsidRPr="00D06E81">
              <w:rPr>
                <w:b/>
                <w:bCs/>
                <w:sz w:val="18"/>
                <w:szCs w:val="18"/>
                <w:lang w:eastAsia="es-CR"/>
              </w:rPr>
              <w:t>90</w:t>
            </w:r>
          </w:p>
        </w:tc>
        <w:tc>
          <w:tcPr>
            <w:tcW w:w="15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A2389" w14:textId="77777777" w:rsidR="00030921" w:rsidRPr="00D06E81" w:rsidRDefault="00030921">
            <w:pPr>
              <w:jc w:val="center"/>
              <w:rPr>
                <w:b/>
                <w:bCs/>
                <w:sz w:val="18"/>
                <w:szCs w:val="18"/>
                <w:lang w:eastAsia="es-CR"/>
              </w:rPr>
            </w:pPr>
            <w:r w:rsidRPr="00D06E81">
              <w:rPr>
                <w:b/>
                <w:bCs/>
                <w:sz w:val="18"/>
                <w:szCs w:val="18"/>
                <w:lang w:eastAsia="es-CR"/>
              </w:rPr>
              <w:t>100%</w:t>
            </w:r>
          </w:p>
        </w:tc>
      </w:tr>
    </w:tbl>
    <w:p w14:paraId="50BAE903" w14:textId="77777777" w:rsidR="002B649C" w:rsidRPr="00030921" w:rsidRDefault="002B649C" w:rsidP="00E75D96">
      <w:pPr>
        <w:spacing w:line="360" w:lineRule="auto"/>
        <w:rPr>
          <w:rFonts w:asciiTheme="minorHAnsi" w:hAnsiTheme="minorHAnsi" w:cstheme="minorHAnsi"/>
          <w:sz w:val="24"/>
        </w:rPr>
      </w:pPr>
    </w:p>
    <w:p w14:paraId="238257E1" w14:textId="77777777" w:rsidR="00E43430" w:rsidRPr="00BF369C" w:rsidRDefault="00E43430" w:rsidP="00E75D96">
      <w:pPr>
        <w:spacing w:line="360" w:lineRule="auto"/>
        <w:rPr>
          <w:rFonts w:asciiTheme="minorHAnsi" w:hAnsiTheme="minorHAnsi" w:cstheme="minorHAnsi"/>
          <w:sz w:val="24"/>
          <w:lang w:val="es-CR"/>
        </w:rPr>
      </w:pPr>
    </w:p>
    <w:p w14:paraId="22F2CC06" w14:textId="77777777" w:rsidR="00E75D96" w:rsidRPr="00BF369C" w:rsidRDefault="00E75D96" w:rsidP="00E75D96">
      <w:pPr>
        <w:spacing w:line="360" w:lineRule="auto"/>
        <w:rPr>
          <w:rFonts w:asciiTheme="minorHAnsi" w:hAnsiTheme="minorHAnsi" w:cstheme="minorHAnsi"/>
          <w:b/>
          <w:sz w:val="24"/>
          <w:u w:val="single"/>
          <w:lang w:val="es-CR"/>
        </w:rPr>
      </w:pPr>
      <w:r w:rsidRPr="00BF369C">
        <w:rPr>
          <w:rFonts w:asciiTheme="minorHAnsi" w:hAnsiTheme="minorHAnsi" w:cstheme="minorHAnsi"/>
          <w:b/>
          <w:sz w:val="24"/>
          <w:u w:val="single"/>
          <w:lang w:val="es-CR"/>
        </w:rPr>
        <w:t>Oportunidades de mejora</w:t>
      </w:r>
    </w:p>
    <w:p w14:paraId="395C2F8A" w14:textId="745C4337" w:rsidR="007E181A" w:rsidRDefault="007E181A" w:rsidP="00E75D96">
      <w:pPr>
        <w:pStyle w:val="Prrafodelista"/>
        <w:spacing w:line="360" w:lineRule="auto"/>
        <w:ind w:left="0"/>
        <w:rPr>
          <w:rFonts w:asciiTheme="minorHAnsi" w:hAnsiTheme="minorHAnsi" w:cstheme="minorHAnsi"/>
          <w:color w:val="000000" w:themeColor="text1"/>
          <w:sz w:val="24"/>
          <w:lang w:val="es-CR"/>
        </w:rPr>
      </w:pPr>
    </w:p>
    <w:p w14:paraId="4431D2DE" w14:textId="2B9D5C83" w:rsidR="00A911B0" w:rsidRPr="00BF369C" w:rsidRDefault="00A911B0" w:rsidP="00A911B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BF369C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Se aprobó </w:t>
      </w:r>
      <w:r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incluir en el presupuesto 2021 la creación de una nueva </w:t>
      </w:r>
      <w:r w:rsidRPr="00BF369C">
        <w:rPr>
          <w:rFonts w:asciiTheme="minorHAnsi" w:hAnsiTheme="minorHAnsi" w:cstheme="minorHAnsi"/>
          <w:color w:val="000000" w:themeColor="text1"/>
          <w:sz w:val="24"/>
          <w:lang w:val="es-CR"/>
        </w:rPr>
        <w:t>página electrónica, procurando mantener las facilidades actuales para el usuario, pero</w:t>
      </w:r>
      <w:r>
        <w:rPr>
          <w:rFonts w:asciiTheme="minorHAnsi" w:hAnsiTheme="minorHAnsi" w:cstheme="minorHAnsi"/>
          <w:color w:val="000000" w:themeColor="text1"/>
          <w:sz w:val="24"/>
          <w:lang w:val="es-CR"/>
        </w:rPr>
        <w:t>,</w:t>
      </w:r>
      <w:r w:rsidRPr="00BF369C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mejorando la plataforma informática y los sistemas de acceso</w:t>
      </w:r>
      <w:r w:rsidR="009D13B1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, </w:t>
      </w:r>
      <w:r w:rsidR="00743646">
        <w:rPr>
          <w:rFonts w:asciiTheme="minorHAnsi" w:hAnsiTheme="minorHAnsi" w:cstheme="minorHAnsi"/>
          <w:color w:val="000000" w:themeColor="text1"/>
          <w:sz w:val="24"/>
          <w:lang w:val="es-CR"/>
        </w:rPr>
        <w:t>para</w:t>
      </w:r>
      <w:r w:rsidR="009D13B1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cumplir con</w:t>
      </w:r>
      <w:r w:rsidR="00743646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lo establecido por</w:t>
      </w:r>
      <w:r w:rsidR="009D13B1">
        <w:rPr>
          <w:rFonts w:asciiTheme="minorHAnsi" w:hAnsiTheme="minorHAnsi" w:cstheme="minorHAnsi"/>
          <w:color w:val="000000" w:themeColor="text1"/>
          <w:sz w:val="24"/>
          <w:lang w:val="es-CR"/>
        </w:rPr>
        <w:t>:</w:t>
      </w:r>
    </w:p>
    <w:p w14:paraId="0F7CBD96" w14:textId="6704B64A" w:rsidR="005E74FE" w:rsidRPr="009D13B1" w:rsidRDefault="00FF7CA8" w:rsidP="009F0E80">
      <w:pPr>
        <w:pStyle w:val="Prrafodelista"/>
        <w:numPr>
          <w:ilvl w:val="0"/>
          <w:numId w:val="36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9D13B1">
        <w:rPr>
          <w:rFonts w:asciiTheme="minorHAnsi" w:hAnsiTheme="minorHAnsi" w:cstheme="minorHAnsi"/>
          <w:color w:val="000000" w:themeColor="text1"/>
          <w:sz w:val="24"/>
          <w:lang w:val="es-CR"/>
        </w:rPr>
        <w:t>Índice de Transparencia del Sector Público Costarricense</w:t>
      </w:r>
      <w:r w:rsidR="005F4C90">
        <w:rPr>
          <w:rFonts w:asciiTheme="minorHAnsi" w:hAnsiTheme="minorHAnsi" w:cstheme="minorHAnsi"/>
          <w:color w:val="000000" w:themeColor="text1"/>
          <w:sz w:val="24"/>
          <w:lang w:val="es-CR"/>
        </w:rPr>
        <w:t>.</w:t>
      </w:r>
    </w:p>
    <w:p w14:paraId="6E93436D" w14:textId="630DB45E" w:rsidR="007C5434" w:rsidRDefault="00E30497" w:rsidP="009F0E80">
      <w:pPr>
        <w:pStyle w:val="Prrafodelista"/>
        <w:numPr>
          <w:ilvl w:val="0"/>
          <w:numId w:val="36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9D13B1">
        <w:rPr>
          <w:rFonts w:asciiTheme="minorHAnsi" w:hAnsiTheme="minorHAnsi" w:cstheme="minorHAnsi"/>
          <w:color w:val="000000" w:themeColor="text1"/>
          <w:sz w:val="24"/>
          <w:lang w:val="es-CR"/>
        </w:rPr>
        <w:t>Directriz N° 051-MTSS-MICITT</w:t>
      </w:r>
      <w:r w:rsidR="00637827" w:rsidRPr="009D13B1">
        <w:rPr>
          <w:rFonts w:asciiTheme="minorHAnsi" w:hAnsiTheme="minorHAnsi" w:cstheme="minorHAnsi"/>
          <w:color w:val="000000" w:themeColor="text1"/>
          <w:sz w:val="24"/>
          <w:lang w:val="es-CR"/>
        </w:rPr>
        <w:t>, relativa con la implementación de sitios web accesibles</w:t>
      </w:r>
      <w:r w:rsidR="007C5434">
        <w:rPr>
          <w:rFonts w:asciiTheme="minorHAnsi" w:hAnsiTheme="minorHAnsi" w:cstheme="minorHAnsi"/>
          <w:color w:val="000000" w:themeColor="text1"/>
          <w:sz w:val="24"/>
          <w:lang w:val="es-CR"/>
        </w:rPr>
        <w:t>.</w:t>
      </w:r>
    </w:p>
    <w:p w14:paraId="621FAEA0" w14:textId="1FCD7136" w:rsidR="00AD68DE" w:rsidRPr="007C5434" w:rsidRDefault="00AD68DE" w:rsidP="009F0E80">
      <w:pPr>
        <w:pStyle w:val="Prrafodelista"/>
        <w:numPr>
          <w:ilvl w:val="0"/>
          <w:numId w:val="36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7C5434">
        <w:rPr>
          <w:rFonts w:asciiTheme="minorHAnsi" w:hAnsiTheme="minorHAnsi" w:cstheme="minorHAnsi"/>
          <w:color w:val="000000" w:themeColor="text1"/>
          <w:sz w:val="24"/>
          <w:lang w:val="es-CR"/>
        </w:rPr>
        <w:t>El derecho a la información que tienen todas las personas,</w:t>
      </w:r>
      <w:r w:rsidR="007C5434" w:rsidRPr="007C5434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</w:t>
      </w:r>
      <w:r w:rsidRPr="007C5434">
        <w:rPr>
          <w:rFonts w:asciiTheme="minorHAnsi" w:hAnsiTheme="minorHAnsi" w:cstheme="minorHAnsi"/>
          <w:color w:val="000000" w:themeColor="text1"/>
          <w:sz w:val="24"/>
          <w:lang w:val="es-CR"/>
        </w:rPr>
        <w:t>independientemente de sus necesidades particulares. Estos derechos son garantizados</w:t>
      </w:r>
      <w:r w:rsidR="007C5434" w:rsidRPr="007C5434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</w:t>
      </w:r>
      <w:r w:rsidRPr="007C5434">
        <w:rPr>
          <w:rFonts w:asciiTheme="minorHAnsi" w:hAnsiTheme="minorHAnsi" w:cstheme="minorHAnsi"/>
          <w:color w:val="000000" w:themeColor="text1"/>
          <w:sz w:val="24"/>
          <w:lang w:val="es-CR"/>
        </w:rPr>
        <w:t>para las personas con discapacidad a través de diferentes leyes, entre las que se destacan:</w:t>
      </w:r>
    </w:p>
    <w:p w14:paraId="33FA03B3" w14:textId="532D1FC8" w:rsidR="00AD68DE" w:rsidRPr="00591F0D" w:rsidRDefault="00AD68DE" w:rsidP="007805E4">
      <w:pPr>
        <w:pStyle w:val="Prrafodelista"/>
        <w:numPr>
          <w:ilvl w:val="1"/>
          <w:numId w:val="37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t>Ley 7600 de Igualdad de Oportunidades para las Personas con Discapacidad (PcD)</w:t>
      </w:r>
      <w:r w:rsidR="00591F0D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</w:t>
      </w:r>
      <w:r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t>y su reglamento.</w:t>
      </w:r>
    </w:p>
    <w:p w14:paraId="7A0DCB10" w14:textId="7C57366F" w:rsidR="00AD68DE" w:rsidRPr="00591F0D" w:rsidRDefault="00AD68DE" w:rsidP="007805E4">
      <w:pPr>
        <w:pStyle w:val="Prrafodelista"/>
        <w:numPr>
          <w:ilvl w:val="1"/>
          <w:numId w:val="37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lastRenderedPageBreak/>
        <w:t>Ley 7948 Ratificación de la Convención Interamericana para la Eliminación de todas</w:t>
      </w:r>
      <w:r w:rsidR="00591F0D"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t xml:space="preserve"> </w:t>
      </w:r>
      <w:r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t>las Formas de Discriminación contra las PcD</w:t>
      </w:r>
      <w:r w:rsidR="00E51D9F">
        <w:rPr>
          <w:rFonts w:asciiTheme="minorHAnsi" w:hAnsiTheme="minorHAnsi" w:cstheme="minorHAnsi"/>
          <w:color w:val="000000" w:themeColor="text1"/>
          <w:sz w:val="24"/>
          <w:lang w:val="es-CR"/>
        </w:rPr>
        <w:t>.</w:t>
      </w:r>
    </w:p>
    <w:p w14:paraId="7E341953" w14:textId="2783404F" w:rsidR="00AD68DE" w:rsidRPr="00591F0D" w:rsidRDefault="00AD68DE" w:rsidP="007805E4">
      <w:pPr>
        <w:pStyle w:val="Prrafodelista"/>
        <w:numPr>
          <w:ilvl w:val="1"/>
          <w:numId w:val="37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t>Ley 8661 Convención de los Derechos de las PcD y su protocolo facultativo</w:t>
      </w:r>
      <w:r w:rsidR="00E51D9F">
        <w:rPr>
          <w:rFonts w:asciiTheme="minorHAnsi" w:hAnsiTheme="minorHAnsi" w:cstheme="minorHAnsi"/>
          <w:color w:val="000000" w:themeColor="text1"/>
          <w:sz w:val="24"/>
          <w:lang w:val="es-CR"/>
        </w:rPr>
        <w:t>.</w:t>
      </w:r>
    </w:p>
    <w:p w14:paraId="4A3D63CC" w14:textId="114CB7FB" w:rsidR="00AD68DE" w:rsidRPr="00591F0D" w:rsidRDefault="00AD68DE" w:rsidP="007805E4">
      <w:pPr>
        <w:pStyle w:val="Prrafodelista"/>
        <w:numPr>
          <w:ilvl w:val="1"/>
          <w:numId w:val="37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  <w:sz w:val="24"/>
          <w:lang w:val="es-CR"/>
        </w:rPr>
      </w:pPr>
      <w:r w:rsidRPr="00591F0D">
        <w:rPr>
          <w:rFonts w:asciiTheme="minorHAnsi" w:hAnsiTheme="minorHAnsi" w:cstheme="minorHAnsi"/>
          <w:color w:val="000000" w:themeColor="text1"/>
          <w:sz w:val="24"/>
          <w:lang w:val="es-CR"/>
        </w:rPr>
        <w:t>Ley 8662 Inclusión y Protección de las PcD en el Sector Público</w:t>
      </w:r>
      <w:r w:rsidR="00E51D9F">
        <w:rPr>
          <w:rFonts w:asciiTheme="minorHAnsi" w:hAnsiTheme="minorHAnsi" w:cstheme="minorHAnsi"/>
          <w:color w:val="000000" w:themeColor="text1"/>
          <w:sz w:val="24"/>
          <w:lang w:val="es-CR"/>
        </w:rPr>
        <w:t>.</w:t>
      </w:r>
    </w:p>
    <w:p w14:paraId="292BD13F" w14:textId="77777777" w:rsidR="00E30497" w:rsidRDefault="00E30497" w:rsidP="00FF7CA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lang w:val="es-CR"/>
        </w:rPr>
      </w:pPr>
    </w:p>
    <w:p w14:paraId="12D53DDE" w14:textId="16645B72" w:rsidR="00B66F4B" w:rsidRPr="00BF369C" w:rsidRDefault="00B66F4B" w:rsidP="003E01E1">
      <w:pPr>
        <w:jc w:val="left"/>
        <w:rPr>
          <w:rFonts w:asciiTheme="minorHAnsi" w:hAnsiTheme="minorHAnsi" w:cstheme="minorHAnsi"/>
          <w:szCs w:val="22"/>
          <w:lang w:val="es-CR"/>
        </w:rPr>
      </w:pPr>
    </w:p>
    <w:p w14:paraId="2314F052" w14:textId="77777777" w:rsidR="003E01E1" w:rsidRPr="00BF369C" w:rsidRDefault="003E01E1" w:rsidP="003E01E1">
      <w:pPr>
        <w:jc w:val="left"/>
        <w:rPr>
          <w:rFonts w:asciiTheme="minorHAnsi" w:hAnsiTheme="minorHAnsi" w:cstheme="minorHAnsi"/>
          <w:szCs w:val="22"/>
          <w:lang w:val="es-CR"/>
        </w:rPr>
        <w:sectPr w:rsidR="003E01E1" w:rsidRPr="00BF369C" w:rsidSect="004243F3">
          <w:headerReference w:type="default" r:id="rId13"/>
          <w:pgSz w:w="12242" w:h="15842" w:code="1"/>
          <w:pgMar w:top="1417" w:right="1701" w:bottom="1417" w:left="1701" w:header="720" w:footer="913" w:gutter="0"/>
          <w:cols w:space="720"/>
          <w:docGrid w:linePitch="299"/>
        </w:sectPr>
      </w:pPr>
    </w:p>
    <w:p w14:paraId="64DC7A6F" w14:textId="77777777" w:rsidR="001470A8" w:rsidRPr="00BF369C" w:rsidRDefault="001470A8" w:rsidP="001470A8">
      <w:pPr>
        <w:rPr>
          <w:rFonts w:asciiTheme="minorHAnsi" w:hAnsiTheme="minorHAnsi" w:cstheme="minorHAnsi"/>
          <w:szCs w:val="22"/>
          <w:lang w:val="es-CR"/>
        </w:rPr>
      </w:pPr>
    </w:p>
    <w:p w14:paraId="6DD5EA33" w14:textId="77777777" w:rsidR="00C140C1" w:rsidRPr="00BF369C" w:rsidRDefault="00C140C1" w:rsidP="001470A8">
      <w:pPr>
        <w:rPr>
          <w:rFonts w:asciiTheme="minorHAnsi" w:hAnsiTheme="minorHAnsi" w:cstheme="minorHAnsi"/>
          <w:sz w:val="36"/>
          <w:szCs w:val="36"/>
          <w:lang w:val="es-CR"/>
        </w:rPr>
      </w:pPr>
    </w:p>
    <w:p w14:paraId="05749987" w14:textId="77777777" w:rsidR="00C140C1" w:rsidRPr="00BF369C" w:rsidRDefault="00C140C1" w:rsidP="001470A8">
      <w:pPr>
        <w:rPr>
          <w:rFonts w:asciiTheme="minorHAnsi" w:hAnsiTheme="minorHAnsi" w:cstheme="minorHAnsi"/>
          <w:sz w:val="36"/>
          <w:szCs w:val="36"/>
          <w:lang w:val="es-CR"/>
        </w:rPr>
      </w:pPr>
    </w:p>
    <w:p w14:paraId="64DC7A7B" w14:textId="081340CD" w:rsidR="00743102" w:rsidRPr="00BF369C" w:rsidRDefault="00D9213B" w:rsidP="00053E5B">
      <w:pPr>
        <w:pStyle w:val="Ttulo1"/>
        <w:numPr>
          <w:ilvl w:val="0"/>
          <w:numId w:val="29"/>
        </w:numPr>
        <w:shd w:val="clear" w:color="auto" w:fill="DBE5F1" w:themeFill="accent1" w:themeFillTint="33"/>
        <w:spacing w:line="288" w:lineRule="auto"/>
        <w:rPr>
          <w:rFonts w:asciiTheme="minorHAnsi" w:hAnsiTheme="minorHAnsi" w:cstheme="minorHAnsi"/>
          <w:sz w:val="28"/>
          <w:szCs w:val="28"/>
          <w:lang w:val="es-CR"/>
        </w:rPr>
      </w:pPr>
      <w:bookmarkStart w:id="26" w:name="_Toc45533008"/>
      <w:r w:rsidRPr="00BF369C">
        <w:rPr>
          <w:rFonts w:asciiTheme="minorHAnsi" w:hAnsiTheme="minorHAnsi" w:cstheme="minorHAnsi"/>
          <w:sz w:val="28"/>
          <w:szCs w:val="28"/>
          <w:lang w:val="es-CR"/>
        </w:rPr>
        <w:t>ANEXOS</w:t>
      </w:r>
      <w:bookmarkEnd w:id="26"/>
    </w:p>
    <w:p w14:paraId="7409A9AA" w14:textId="4B123E69" w:rsidR="00D71120" w:rsidRPr="00BF369C" w:rsidRDefault="00D71120" w:rsidP="0002538E">
      <w:pPr>
        <w:spacing w:line="360" w:lineRule="auto"/>
        <w:jc w:val="left"/>
        <w:rPr>
          <w:lang w:val="es-CR"/>
        </w:rPr>
      </w:pPr>
    </w:p>
    <w:p w14:paraId="15F12B32" w14:textId="77777777" w:rsidR="000C73F5" w:rsidRPr="00BF369C" w:rsidRDefault="000C73F5" w:rsidP="0002538E">
      <w:pPr>
        <w:spacing w:line="360" w:lineRule="auto"/>
        <w:jc w:val="left"/>
        <w:rPr>
          <w:lang w:val="es-CR"/>
        </w:rPr>
      </w:pPr>
    </w:p>
    <w:p w14:paraId="1B40A67E" w14:textId="137687F0" w:rsidR="00310642" w:rsidRDefault="00DF07F5" w:rsidP="00EA6326">
      <w:pPr>
        <w:pStyle w:val="Ttulo2"/>
      </w:pPr>
      <w:bookmarkStart w:id="27" w:name="_Toc45533009"/>
      <w:r w:rsidRPr="00BF369C">
        <w:t>Plan Operativo Institucional (POI)</w:t>
      </w:r>
      <w:bookmarkEnd w:id="27"/>
      <w:r w:rsidRPr="00BF369C">
        <w:t xml:space="preserve"> </w:t>
      </w:r>
    </w:p>
    <w:p w14:paraId="4549C4F3" w14:textId="77777777" w:rsidR="00A0787D" w:rsidRPr="00A0787D" w:rsidRDefault="00A0787D" w:rsidP="00A0787D">
      <w:pPr>
        <w:rPr>
          <w:lang w:val="es-CR"/>
        </w:rPr>
      </w:pPr>
    </w:p>
    <w:p w14:paraId="71B9EAFC" w14:textId="7751D390" w:rsidR="00DF07F5" w:rsidRPr="00BF369C" w:rsidRDefault="00DF07F5" w:rsidP="008652FC">
      <w:pPr>
        <w:ind w:left="284"/>
        <w:rPr>
          <w:lang w:val="es-CR"/>
        </w:rPr>
      </w:pPr>
      <w:r w:rsidRPr="00BF369C">
        <w:rPr>
          <w:lang w:val="es-CR"/>
        </w:rPr>
        <w:t>Vinculación de Objetivos, Metas e Indicadores de Gestión por Instancia</w:t>
      </w:r>
    </w:p>
    <w:p w14:paraId="615B15E8" w14:textId="5573BCCC" w:rsidR="00C34ADD" w:rsidRPr="0070212A" w:rsidRDefault="0005393A" w:rsidP="00E25D61">
      <w:pPr>
        <w:spacing w:line="360" w:lineRule="auto"/>
        <w:ind w:left="284"/>
        <w:jc w:val="left"/>
        <w:rPr>
          <w:rFonts w:asciiTheme="minorHAnsi" w:hAnsiTheme="minorHAnsi" w:cstheme="minorHAnsi"/>
          <w:b/>
          <w:szCs w:val="22"/>
          <w:lang w:val="es-CR"/>
        </w:rPr>
      </w:pPr>
      <w:r>
        <w:rPr>
          <w:rFonts w:asciiTheme="minorHAnsi" w:hAnsiTheme="minorHAnsi" w:cstheme="minorHAnsi"/>
          <w:b/>
          <w:szCs w:val="22"/>
          <w:lang w:val="es-CR"/>
        </w:rPr>
        <w:object w:dxaOrig="1534" w:dyaOrig="991" w14:anchorId="541EC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6pt;height:49.55pt" o:ole="">
            <v:imagedata r:id="rId14" o:title=""/>
          </v:shape>
          <o:OLEObject Type="Embed" ProgID="Excel.Sheet.12" ShapeID="_x0000_i1028" DrawAspect="Icon" ObjectID="_1656343112" r:id="rId15"/>
        </w:object>
      </w:r>
      <w:bookmarkStart w:id="28" w:name="_GoBack"/>
      <w:bookmarkEnd w:id="28"/>
    </w:p>
    <w:p w14:paraId="353C6E87" w14:textId="27BA4AD2" w:rsidR="00C0186C" w:rsidRPr="00BF369C" w:rsidRDefault="00C0186C" w:rsidP="00E25D61">
      <w:pPr>
        <w:spacing w:line="360" w:lineRule="auto"/>
        <w:ind w:left="284"/>
        <w:jc w:val="left"/>
        <w:rPr>
          <w:rFonts w:asciiTheme="minorHAnsi" w:hAnsiTheme="minorHAnsi" w:cstheme="minorHAnsi"/>
          <w:b/>
          <w:szCs w:val="22"/>
          <w:lang w:val="es-CR"/>
        </w:rPr>
      </w:pPr>
    </w:p>
    <w:p w14:paraId="003CB51D" w14:textId="77777777" w:rsidR="00041F1B" w:rsidRPr="00BF369C" w:rsidRDefault="00041F1B" w:rsidP="00E25D61">
      <w:pPr>
        <w:spacing w:line="360" w:lineRule="auto"/>
        <w:ind w:left="284"/>
        <w:jc w:val="left"/>
        <w:rPr>
          <w:rFonts w:asciiTheme="minorHAnsi" w:hAnsiTheme="minorHAnsi" w:cstheme="minorHAnsi"/>
          <w:b/>
          <w:szCs w:val="22"/>
          <w:lang w:val="es-CR"/>
        </w:rPr>
      </w:pPr>
    </w:p>
    <w:p w14:paraId="0478B3B2" w14:textId="357D27B9" w:rsidR="00DF07F5" w:rsidRPr="00BF369C" w:rsidRDefault="00DF07F5" w:rsidP="00EA6326">
      <w:pPr>
        <w:pStyle w:val="Ttulo2"/>
      </w:pPr>
      <w:bookmarkStart w:id="29" w:name="_Toc45533010"/>
      <w:r w:rsidRPr="00BF369C">
        <w:t>MAPI</w:t>
      </w:r>
      <w:bookmarkEnd w:id="29"/>
    </w:p>
    <w:p w14:paraId="7B08F6E9" w14:textId="77777777" w:rsidR="00C34ADD" w:rsidRPr="00BF369C" w:rsidRDefault="00C34ADD" w:rsidP="00C34ADD">
      <w:pPr>
        <w:pStyle w:val="Prrafodelista"/>
        <w:rPr>
          <w:rFonts w:asciiTheme="minorHAnsi" w:hAnsiTheme="minorHAnsi" w:cstheme="minorHAnsi"/>
          <w:b/>
          <w:bCs/>
          <w:szCs w:val="22"/>
          <w:lang w:val="es-CR"/>
        </w:rPr>
      </w:pPr>
    </w:p>
    <w:p w14:paraId="1D69B31C" w14:textId="3F35F183" w:rsidR="00C34ADD" w:rsidRPr="00BF369C" w:rsidRDefault="00490A05" w:rsidP="00C34ADD">
      <w:pPr>
        <w:spacing w:line="240" w:lineRule="auto"/>
        <w:ind w:left="360"/>
        <w:jc w:val="left"/>
        <w:rPr>
          <w:rFonts w:asciiTheme="minorHAnsi" w:hAnsiTheme="minorHAnsi" w:cstheme="minorHAnsi"/>
          <w:b/>
          <w:bCs/>
          <w:szCs w:val="22"/>
          <w:lang w:val="es-CR"/>
        </w:rPr>
      </w:pPr>
      <w:r>
        <w:rPr>
          <w:rFonts w:asciiTheme="minorHAnsi" w:hAnsiTheme="minorHAnsi" w:cstheme="minorHAnsi"/>
          <w:b/>
          <w:bCs/>
          <w:szCs w:val="22"/>
          <w:lang w:val="es-CR"/>
        </w:rPr>
        <w:object w:dxaOrig="1534" w:dyaOrig="991" w14:anchorId="137F1120">
          <v:shape id="_x0000_i1026" type="#_x0000_t75" style="width:76.6pt;height:49.55pt" o:ole="">
            <v:imagedata r:id="rId16" o:title=""/>
          </v:shape>
          <o:OLEObject Type="Embed" ProgID="Excel.Sheet.12" ShapeID="_x0000_i1026" DrawAspect="Icon" ObjectID="_1656343113" r:id="rId17"/>
        </w:object>
      </w:r>
    </w:p>
    <w:p w14:paraId="62AC01B3" w14:textId="77777777" w:rsidR="000F5AC7" w:rsidRPr="00BF369C" w:rsidRDefault="000F5AC7" w:rsidP="0002538E">
      <w:pPr>
        <w:spacing w:line="360" w:lineRule="auto"/>
        <w:jc w:val="left"/>
        <w:rPr>
          <w:lang w:val="es-CR"/>
        </w:rPr>
      </w:pPr>
    </w:p>
    <w:sectPr w:rsidR="000F5AC7" w:rsidRPr="00BF369C" w:rsidSect="0051207A">
      <w:footerReference w:type="default" r:id="rId18"/>
      <w:pgSz w:w="12242" w:h="15842" w:code="1"/>
      <w:pgMar w:top="1417" w:right="1701" w:bottom="1417" w:left="1701" w:header="72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8E1A" w14:textId="77777777" w:rsidR="000E5E4F" w:rsidRDefault="000E5E4F">
      <w:r>
        <w:separator/>
      </w:r>
    </w:p>
  </w:endnote>
  <w:endnote w:type="continuationSeparator" w:id="0">
    <w:p w14:paraId="6EC13B81" w14:textId="77777777" w:rsidR="000E5E4F" w:rsidRDefault="000E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7B3E" w14:textId="15B8BC93" w:rsidR="009E342C" w:rsidRPr="00FB4339" w:rsidRDefault="009E342C">
    <w:pPr>
      <w:pStyle w:val="Piedepgina"/>
      <w:pBdr>
        <w:top w:val="single" w:sz="4" w:space="1" w:color="auto"/>
      </w:pBdr>
      <w:jc w:val="right"/>
      <w:rPr>
        <w:rFonts w:ascii="Bookman Old Style" w:hAnsi="Bookman Old Style"/>
        <w:i/>
        <w:color w:val="0000FF"/>
        <w:sz w:val="18"/>
        <w:szCs w:val="18"/>
      </w:rPr>
    </w:pPr>
    <w:r w:rsidRPr="00FB4339">
      <w:rPr>
        <w:rFonts w:ascii="Bookman Old Style" w:hAnsi="Bookman Old Style"/>
        <w:i/>
        <w:snapToGrid w:val="0"/>
        <w:color w:val="0000FF"/>
        <w:sz w:val="18"/>
        <w:szCs w:val="18"/>
      </w:rPr>
      <w:fldChar w:fldCharType="begin"/>
    </w:r>
    <w:r w:rsidRPr="00FB4339">
      <w:rPr>
        <w:rFonts w:ascii="Bookman Old Style" w:hAnsi="Bookman Old Style"/>
        <w:i/>
        <w:snapToGrid w:val="0"/>
        <w:color w:val="0000FF"/>
        <w:sz w:val="18"/>
        <w:szCs w:val="18"/>
      </w:rPr>
      <w:instrText xml:space="preserve"> PAGE </w:instrText>
    </w:r>
    <w:r w:rsidRPr="00FB4339">
      <w:rPr>
        <w:rFonts w:ascii="Bookman Old Style" w:hAnsi="Bookman Old Style"/>
        <w:i/>
        <w:snapToGrid w:val="0"/>
        <w:color w:val="0000FF"/>
        <w:sz w:val="18"/>
        <w:szCs w:val="18"/>
      </w:rPr>
      <w:fldChar w:fldCharType="separate"/>
    </w:r>
    <w:r>
      <w:rPr>
        <w:rFonts w:ascii="Bookman Old Style" w:hAnsi="Bookman Old Style"/>
        <w:i/>
        <w:noProof/>
        <w:snapToGrid w:val="0"/>
        <w:color w:val="0000FF"/>
        <w:sz w:val="18"/>
        <w:szCs w:val="18"/>
      </w:rPr>
      <w:t>16</w:t>
    </w:r>
    <w:r w:rsidRPr="00FB4339">
      <w:rPr>
        <w:rFonts w:ascii="Bookman Old Style" w:hAnsi="Bookman Old Style"/>
        <w:i/>
        <w:snapToGrid w:val="0"/>
        <w:color w:val="0000FF"/>
        <w:sz w:val="18"/>
        <w:szCs w:val="18"/>
      </w:rPr>
      <w:fldChar w:fldCharType="end"/>
    </w:r>
    <w:r w:rsidRPr="00FB4339">
      <w:rPr>
        <w:rFonts w:ascii="Bookman Old Style" w:hAnsi="Bookman Old Style"/>
        <w:i/>
        <w:snapToGrid w:val="0"/>
        <w:color w:val="0000FF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247136"/>
      <w:docPartObj>
        <w:docPartGallery w:val="Page Numbers (Bottom of Page)"/>
        <w:docPartUnique/>
      </w:docPartObj>
    </w:sdtPr>
    <w:sdtEndPr/>
    <w:sdtContent>
      <w:p w14:paraId="64DC7B43" w14:textId="4A1CD5A7" w:rsidR="009E342C" w:rsidRDefault="009E34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2462">
          <w:rPr>
            <w:rFonts w:ascii="Bookman Old Style" w:hAnsi="Bookman Old Style"/>
            <w:i/>
            <w:noProof/>
            <w:snapToGrid w:val="0"/>
            <w:color w:val="0000FF"/>
            <w:sz w:val="18"/>
            <w:szCs w:val="18"/>
          </w:rPr>
          <w:t>40</w:t>
        </w:r>
        <w:r>
          <w:fldChar w:fldCharType="end"/>
        </w:r>
      </w:p>
    </w:sdtContent>
  </w:sdt>
  <w:p w14:paraId="64DC7B44" w14:textId="77777777" w:rsidR="009E342C" w:rsidRPr="009D44B3" w:rsidRDefault="009E342C" w:rsidP="009D44B3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316C" w14:textId="77777777" w:rsidR="000E5E4F" w:rsidRDefault="000E5E4F">
      <w:r>
        <w:separator/>
      </w:r>
    </w:p>
  </w:footnote>
  <w:footnote w:type="continuationSeparator" w:id="0">
    <w:p w14:paraId="1D76B540" w14:textId="77777777" w:rsidR="000E5E4F" w:rsidRDefault="000E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7B3B" w14:textId="272C2948" w:rsidR="009E342C" w:rsidRPr="004E57DE" w:rsidRDefault="009E342C" w:rsidP="00277BCF">
    <w:pPr>
      <w:pStyle w:val="Encabezado"/>
      <w:tabs>
        <w:tab w:val="clear" w:pos="4252"/>
        <w:tab w:val="clear" w:pos="8504"/>
        <w:tab w:val="right" w:pos="9072"/>
      </w:tabs>
      <w:rPr>
        <w:rFonts w:ascii="Bookman Old Style" w:hAnsi="Bookman Old Style"/>
        <w:b/>
        <w:i/>
        <w:color w:val="000000" w:themeColor="text1"/>
        <w:sz w:val="18"/>
      </w:rPr>
    </w:pPr>
    <w:r>
      <w:rPr>
        <w:b/>
        <w:noProof/>
        <w:sz w:val="32"/>
        <w:lang w:val="es-CR" w:eastAsia="es-CR"/>
      </w:rPr>
      <w:drawing>
        <wp:anchor distT="0" distB="0" distL="114300" distR="114300" simplePos="0" relativeHeight="251658240" behindDoc="1" locked="0" layoutInCell="1" allowOverlap="1" wp14:anchorId="681EBF34" wp14:editId="6C97DC6C">
          <wp:simplePos x="0" y="0"/>
          <wp:positionH relativeFrom="page">
            <wp:posOffset>1163782</wp:posOffset>
          </wp:positionH>
          <wp:positionV relativeFrom="page">
            <wp:posOffset>255319</wp:posOffset>
          </wp:positionV>
          <wp:extent cx="837210" cy="387211"/>
          <wp:effectExtent l="0" t="0" r="1270" b="0"/>
          <wp:wrapThrough wrapText="bothSides">
            <wp:wrapPolygon edited="0">
              <wp:start x="0" y="0"/>
              <wp:lineTo x="0" y="20217"/>
              <wp:lineTo x="21141" y="20217"/>
              <wp:lineTo x="21141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tipo-ent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31" cy="394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i/>
        <w:color w:val="0000FF"/>
        <w:sz w:val="18"/>
      </w:rPr>
      <w:tab/>
    </w:r>
  </w:p>
  <w:p w14:paraId="4141394F" w14:textId="77777777" w:rsidR="009E342C" w:rsidRDefault="009E342C" w:rsidP="00277BCF">
    <w:pPr>
      <w:pStyle w:val="Encabezado"/>
      <w:pBdr>
        <w:bottom w:val="single" w:sz="12" w:space="1" w:color="auto"/>
      </w:pBdr>
      <w:tabs>
        <w:tab w:val="clear" w:pos="4252"/>
        <w:tab w:val="clear" w:pos="8504"/>
        <w:tab w:val="right" w:pos="9072"/>
      </w:tabs>
      <w:rPr>
        <w:rFonts w:ascii="Bookman Old Style" w:hAnsi="Bookman Old Style"/>
        <w:b/>
        <w:i/>
        <w:color w:val="0000FF"/>
        <w:sz w:val="18"/>
      </w:rPr>
    </w:pPr>
  </w:p>
  <w:p w14:paraId="44996B66" w14:textId="77777777" w:rsidR="009E342C" w:rsidRPr="00673A4E" w:rsidRDefault="009E342C" w:rsidP="00277BCF">
    <w:pPr>
      <w:pStyle w:val="Encabezado"/>
      <w:tabs>
        <w:tab w:val="clear" w:pos="4252"/>
        <w:tab w:val="clear" w:pos="8504"/>
        <w:tab w:val="right" w:pos="9072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A681" w14:textId="17178155" w:rsidR="009E342C" w:rsidRPr="00D95385" w:rsidRDefault="009E342C" w:rsidP="00277BCF">
    <w:pPr>
      <w:pStyle w:val="Encabezado"/>
      <w:tabs>
        <w:tab w:val="clear" w:pos="4252"/>
        <w:tab w:val="clear" w:pos="8504"/>
        <w:tab w:val="right" w:pos="9072"/>
      </w:tabs>
      <w:rPr>
        <w:rFonts w:ascii="Bookman Old Style" w:hAnsi="Bookman Old Style"/>
        <w:b/>
        <w:i/>
        <w:color w:val="365F91" w:themeColor="accent1" w:themeShade="BF"/>
        <w:sz w:val="18"/>
      </w:rPr>
    </w:pPr>
    <w:r w:rsidRPr="00D95385">
      <w:rPr>
        <w:noProof/>
        <w:color w:val="365F91" w:themeColor="accent1" w:themeShade="BF"/>
      </w:rPr>
      <w:drawing>
        <wp:anchor distT="0" distB="0" distL="114300" distR="114300" simplePos="0" relativeHeight="251662336" behindDoc="0" locked="0" layoutInCell="1" allowOverlap="1" wp14:anchorId="319F94BC" wp14:editId="4D553227">
          <wp:simplePos x="0" y="0"/>
          <wp:positionH relativeFrom="margin">
            <wp:posOffset>1139190</wp:posOffset>
          </wp:positionH>
          <wp:positionV relativeFrom="paragraph">
            <wp:posOffset>-228600</wp:posOffset>
          </wp:positionV>
          <wp:extent cx="561975" cy="363220"/>
          <wp:effectExtent l="0" t="0" r="952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5385">
      <w:rPr>
        <w:b/>
        <w:noProof/>
        <w:color w:val="365F91" w:themeColor="accent1" w:themeShade="BF"/>
        <w:sz w:val="32"/>
        <w:lang w:val="es-CR" w:eastAsia="es-CR"/>
      </w:rPr>
      <w:drawing>
        <wp:anchor distT="0" distB="0" distL="114300" distR="114300" simplePos="0" relativeHeight="251660288" behindDoc="1" locked="0" layoutInCell="1" allowOverlap="1" wp14:anchorId="1B386EC3" wp14:editId="5EFDF8F1">
          <wp:simplePos x="0" y="0"/>
          <wp:positionH relativeFrom="page">
            <wp:posOffset>1163782</wp:posOffset>
          </wp:positionH>
          <wp:positionV relativeFrom="page">
            <wp:posOffset>255319</wp:posOffset>
          </wp:positionV>
          <wp:extent cx="837210" cy="387211"/>
          <wp:effectExtent l="0" t="0" r="1270" b="0"/>
          <wp:wrapThrough wrapText="bothSides">
            <wp:wrapPolygon edited="0">
              <wp:start x="0" y="0"/>
              <wp:lineTo x="0" y="20217"/>
              <wp:lineTo x="21141" y="20217"/>
              <wp:lineTo x="21141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tipo-entid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31" cy="394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5385">
      <w:rPr>
        <w:rFonts w:ascii="Bookman Old Style" w:hAnsi="Bookman Old Style"/>
        <w:b/>
        <w:i/>
        <w:color w:val="365F91" w:themeColor="accent1" w:themeShade="BF"/>
        <w:sz w:val="18"/>
      </w:rPr>
      <w:tab/>
      <w:t>Informe de Evaluación Presupuestaria 20</w:t>
    </w:r>
    <w:r w:rsidR="001E713A">
      <w:rPr>
        <w:rFonts w:ascii="Bookman Old Style" w:hAnsi="Bookman Old Style"/>
        <w:b/>
        <w:i/>
        <w:color w:val="365F91" w:themeColor="accent1" w:themeShade="BF"/>
        <w:sz w:val="18"/>
      </w:rPr>
      <w:t>20</w:t>
    </w:r>
  </w:p>
  <w:p w14:paraId="091DA3E5" w14:textId="77777777" w:rsidR="009E342C" w:rsidRDefault="009E342C" w:rsidP="00277BCF">
    <w:pPr>
      <w:pStyle w:val="Encabezado"/>
      <w:pBdr>
        <w:bottom w:val="single" w:sz="12" w:space="1" w:color="auto"/>
      </w:pBdr>
      <w:tabs>
        <w:tab w:val="clear" w:pos="4252"/>
        <w:tab w:val="clear" w:pos="8504"/>
        <w:tab w:val="right" w:pos="9072"/>
      </w:tabs>
      <w:rPr>
        <w:rFonts w:ascii="Bookman Old Style" w:hAnsi="Bookman Old Style"/>
        <w:b/>
        <w:i/>
        <w:color w:val="0000FF"/>
        <w:sz w:val="18"/>
      </w:rPr>
    </w:pPr>
  </w:p>
  <w:p w14:paraId="51253393" w14:textId="77777777" w:rsidR="009E342C" w:rsidRPr="00673A4E" w:rsidRDefault="009E342C" w:rsidP="00277BCF">
    <w:pPr>
      <w:pStyle w:val="Encabezado"/>
      <w:tabs>
        <w:tab w:val="clear" w:pos="4252"/>
        <w:tab w:val="clear" w:pos="8504"/>
        <w:tab w:val="right" w:pos="9072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96B"/>
    <w:multiLevelType w:val="hybridMultilevel"/>
    <w:tmpl w:val="B596B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2A5"/>
    <w:multiLevelType w:val="hybridMultilevel"/>
    <w:tmpl w:val="37F87A0C"/>
    <w:lvl w:ilvl="0" w:tplc="14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D31"/>
    <w:multiLevelType w:val="hybridMultilevel"/>
    <w:tmpl w:val="AEB045B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06F"/>
    <w:multiLevelType w:val="multilevel"/>
    <w:tmpl w:val="590205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C87C42"/>
    <w:multiLevelType w:val="hybridMultilevel"/>
    <w:tmpl w:val="872642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1EF7"/>
    <w:multiLevelType w:val="hybridMultilevel"/>
    <w:tmpl w:val="3326C7F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C446C"/>
    <w:multiLevelType w:val="hybridMultilevel"/>
    <w:tmpl w:val="E4287014"/>
    <w:lvl w:ilvl="0" w:tplc="C93EF014">
      <w:start w:val="3"/>
      <w:numFmt w:val="decimal"/>
      <w:lvlText w:val="%1-"/>
      <w:lvlJc w:val="left"/>
      <w:pPr>
        <w:ind w:left="720" w:hanging="360"/>
      </w:pPr>
      <w:rPr>
        <w:rFonts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63BB"/>
    <w:multiLevelType w:val="hybridMultilevel"/>
    <w:tmpl w:val="CAB63C7A"/>
    <w:lvl w:ilvl="0" w:tplc="140A0017">
      <w:start w:val="1"/>
      <w:numFmt w:val="lowerLetter"/>
      <w:lvlText w:val="%1)"/>
      <w:lvlJc w:val="left"/>
      <w:pPr>
        <w:ind w:left="744" w:hanging="360"/>
      </w:pPr>
    </w:lvl>
    <w:lvl w:ilvl="1" w:tplc="140A0019" w:tentative="1">
      <w:start w:val="1"/>
      <w:numFmt w:val="lowerLetter"/>
      <w:lvlText w:val="%2."/>
      <w:lvlJc w:val="left"/>
      <w:pPr>
        <w:ind w:left="1464" w:hanging="360"/>
      </w:pPr>
    </w:lvl>
    <w:lvl w:ilvl="2" w:tplc="140A001B" w:tentative="1">
      <w:start w:val="1"/>
      <w:numFmt w:val="lowerRoman"/>
      <w:lvlText w:val="%3."/>
      <w:lvlJc w:val="right"/>
      <w:pPr>
        <w:ind w:left="2184" w:hanging="180"/>
      </w:pPr>
    </w:lvl>
    <w:lvl w:ilvl="3" w:tplc="140A000F" w:tentative="1">
      <w:start w:val="1"/>
      <w:numFmt w:val="decimal"/>
      <w:lvlText w:val="%4."/>
      <w:lvlJc w:val="left"/>
      <w:pPr>
        <w:ind w:left="2904" w:hanging="360"/>
      </w:pPr>
    </w:lvl>
    <w:lvl w:ilvl="4" w:tplc="140A0019" w:tentative="1">
      <w:start w:val="1"/>
      <w:numFmt w:val="lowerLetter"/>
      <w:lvlText w:val="%5."/>
      <w:lvlJc w:val="left"/>
      <w:pPr>
        <w:ind w:left="3624" w:hanging="360"/>
      </w:pPr>
    </w:lvl>
    <w:lvl w:ilvl="5" w:tplc="140A001B" w:tentative="1">
      <w:start w:val="1"/>
      <w:numFmt w:val="lowerRoman"/>
      <w:lvlText w:val="%6."/>
      <w:lvlJc w:val="right"/>
      <w:pPr>
        <w:ind w:left="4344" w:hanging="180"/>
      </w:pPr>
    </w:lvl>
    <w:lvl w:ilvl="6" w:tplc="140A000F" w:tentative="1">
      <w:start w:val="1"/>
      <w:numFmt w:val="decimal"/>
      <w:lvlText w:val="%7."/>
      <w:lvlJc w:val="left"/>
      <w:pPr>
        <w:ind w:left="5064" w:hanging="360"/>
      </w:pPr>
    </w:lvl>
    <w:lvl w:ilvl="7" w:tplc="140A0019" w:tentative="1">
      <w:start w:val="1"/>
      <w:numFmt w:val="lowerLetter"/>
      <w:lvlText w:val="%8."/>
      <w:lvlJc w:val="left"/>
      <w:pPr>
        <w:ind w:left="5784" w:hanging="360"/>
      </w:pPr>
    </w:lvl>
    <w:lvl w:ilvl="8" w:tplc="1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0F16709E"/>
    <w:multiLevelType w:val="hybridMultilevel"/>
    <w:tmpl w:val="9EE2CDA6"/>
    <w:lvl w:ilvl="0" w:tplc="879C044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206A7"/>
    <w:multiLevelType w:val="hybridMultilevel"/>
    <w:tmpl w:val="C8E4709C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00CCA"/>
    <w:multiLevelType w:val="hybridMultilevel"/>
    <w:tmpl w:val="DC52B5F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B7D34"/>
    <w:multiLevelType w:val="hybridMultilevel"/>
    <w:tmpl w:val="FC90C4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3264F"/>
    <w:multiLevelType w:val="hybridMultilevel"/>
    <w:tmpl w:val="AB8A751C"/>
    <w:lvl w:ilvl="0" w:tplc="7A58E5C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F531A"/>
    <w:multiLevelType w:val="hybridMultilevel"/>
    <w:tmpl w:val="ED66FE46"/>
    <w:lvl w:ilvl="0" w:tplc="868048D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C7F04"/>
    <w:multiLevelType w:val="hybridMultilevel"/>
    <w:tmpl w:val="D30035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41CA"/>
    <w:multiLevelType w:val="hybridMultilevel"/>
    <w:tmpl w:val="66D09B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7F8A"/>
    <w:multiLevelType w:val="hybridMultilevel"/>
    <w:tmpl w:val="42566F8C"/>
    <w:lvl w:ilvl="0" w:tplc="C052B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D3348"/>
    <w:multiLevelType w:val="hybridMultilevel"/>
    <w:tmpl w:val="092673F8"/>
    <w:lvl w:ilvl="0" w:tplc="C052B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F758C"/>
    <w:multiLevelType w:val="hybridMultilevel"/>
    <w:tmpl w:val="1436C876"/>
    <w:lvl w:ilvl="0" w:tplc="C2F24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6924"/>
    <w:multiLevelType w:val="hybridMultilevel"/>
    <w:tmpl w:val="E6D40264"/>
    <w:lvl w:ilvl="0" w:tplc="F5E28A3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616DC"/>
    <w:multiLevelType w:val="hybridMultilevel"/>
    <w:tmpl w:val="CAB63C7A"/>
    <w:lvl w:ilvl="0" w:tplc="140A0017">
      <w:start w:val="1"/>
      <w:numFmt w:val="lowerLetter"/>
      <w:lvlText w:val="%1)"/>
      <w:lvlJc w:val="left"/>
      <w:pPr>
        <w:ind w:left="744" w:hanging="360"/>
      </w:pPr>
    </w:lvl>
    <w:lvl w:ilvl="1" w:tplc="140A0019" w:tentative="1">
      <w:start w:val="1"/>
      <w:numFmt w:val="lowerLetter"/>
      <w:lvlText w:val="%2."/>
      <w:lvlJc w:val="left"/>
      <w:pPr>
        <w:ind w:left="1464" w:hanging="360"/>
      </w:pPr>
    </w:lvl>
    <w:lvl w:ilvl="2" w:tplc="140A001B" w:tentative="1">
      <w:start w:val="1"/>
      <w:numFmt w:val="lowerRoman"/>
      <w:lvlText w:val="%3."/>
      <w:lvlJc w:val="right"/>
      <w:pPr>
        <w:ind w:left="2184" w:hanging="180"/>
      </w:pPr>
    </w:lvl>
    <w:lvl w:ilvl="3" w:tplc="140A000F" w:tentative="1">
      <w:start w:val="1"/>
      <w:numFmt w:val="decimal"/>
      <w:lvlText w:val="%4."/>
      <w:lvlJc w:val="left"/>
      <w:pPr>
        <w:ind w:left="2904" w:hanging="360"/>
      </w:pPr>
    </w:lvl>
    <w:lvl w:ilvl="4" w:tplc="140A0019" w:tentative="1">
      <w:start w:val="1"/>
      <w:numFmt w:val="lowerLetter"/>
      <w:lvlText w:val="%5."/>
      <w:lvlJc w:val="left"/>
      <w:pPr>
        <w:ind w:left="3624" w:hanging="360"/>
      </w:pPr>
    </w:lvl>
    <w:lvl w:ilvl="5" w:tplc="140A001B" w:tentative="1">
      <w:start w:val="1"/>
      <w:numFmt w:val="lowerRoman"/>
      <w:lvlText w:val="%6."/>
      <w:lvlJc w:val="right"/>
      <w:pPr>
        <w:ind w:left="4344" w:hanging="180"/>
      </w:pPr>
    </w:lvl>
    <w:lvl w:ilvl="6" w:tplc="140A000F" w:tentative="1">
      <w:start w:val="1"/>
      <w:numFmt w:val="decimal"/>
      <w:lvlText w:val="%7."/>
      <w:lvlJc w:val="left"/>
      <w:pPr>
        <w:ind w:left="5064" w:hanging="360"/>
      </w:pPr>
    </w:lvl>
    <w:lvl w:ilvl="7" w:tplc="140A0019" w:tentative="1">
      <w:start w:val="1"/>
      <w:numFmt w:val="lowerLetter"/>
      <w:lvlText w:val="%8."/>
      <w:lvlJc w:val="left"/>
      <w:pPr>
        <w:ind w:left="5784" w:hanging="360"/>
      </w:pPr>
    </w:lvl>
    <w:lvl w:ilvl="8" w:tplc="1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5367550B"/>
    <w:multiLevelType w:val="hybridMultilevel"/>
    <w:tmpl w:val="4A502C84"/>
    <w:lvl w:ilvl="0" w:tplc="126073F8">
      <w:numFmt w:val="bullet"/>
      <w:lvlText w:val="-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59B9562B"/>
    <w:multiLevelType w:val="hybridMultilevel"/>
    <w:tmpl w:val="12B4F4EA"/>
    <w:lvl w:ilvl="0" w:tplc="C052B0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1688"/>
    <w:multiLevelType w:val="hybridMultilevel"/>
    <w:tmpl w:val="44B435C0"/>
    <w:lvl w:ilvl="0" w:tplc="C052B0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70BC8"/>
    <w:multiLevelType w:val="hybridMultilevel"/>
    <w:tmpl w:val="709EC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46E2"/>
    <w:multiLevelType w:val="hybridMultilevel"/>
    <w:tmpl w:val="914208C6"/>
    <w:lvl w:ilvl="0" w:tplc="A598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E1F91"/>
    <w:multiLevelType w:val="hybridMultilevel"/>
    <w:tmpl w:val="5B5A1BBC"/>
    <w:lvl w:ilvl="0" w:tplc="C052B00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787C83"/>
    <w:multiLevelType w:val="hybridMultilevel"/>
    <w:tmpl w:val="37A04B5A"/>
    <w:lvl w:ilvl="0" w:tplc="0EC4B838">
      <w:start w:val="1"/>
      <w:numFmt w:val="decimal"/>
      <w:lvlText w:val="(%1)"/>
      <w:lvlJc w:val="left"/>
      <w:pPr>
        <w:ind w:left="1776" w:hanging="360"/>
      </w:pPr>
      <w:rPr>
        <w:rFonts w:hint="default"/>
        <w:vertAlign w:val="superscrip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BCC37A3"/>
    <w:multiLevelType w:val="singleLevel"/>
    <w:tmpl w:val="76E25DE6"/>
    <w:lvl w:ilvl="0">
      <w:start w:val="1"/>
      <w:numFmt w:val="lowerLetter"/>
      <w:pStyle w:val="Textoindependien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9" w15:restartNumberingAfterBreak="0">
    <w:nsid w:val="6E8246E6"/>
    <w:multiLevelType w:val="hybridMultilevel"/>
    <w:tmpl w:val="2DB839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D39C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AE2EA7"/>
    <w:multiLevelType w:val="hybridMultilevel"/>
    <w:tmpl w:val="CB38B2F2"/>
    <w:lvl w:ilvl="0" w:tplc="51303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2541C"/>
    <w:multiLevelType w:val="hybridMultilevel"/>
    <w:tmpl w:val="DADE0420"/>
    <w:lvl w:ilvl="0" w:tplc="14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6389"/>
    <w:multiLevelType w:val="hybridMultilevel"/>
    <w:tmpl w:val="57DE5778"/>
    <w:lvl w:ilvl="0" w:tplc="5BB24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E64E8"/>
    <w:multiLevelType w:val="hybridMultilevel"/>
    <w:tmpl w:val="7E2C0594"/>
    <w:lvl w:ilvl="0" w:tplc="7EB66BDA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Arial"/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C758B"/>
    <w:multiLevelType w:val="hybridMultilevel"/>
    <w:tmpl w:val="44389B2E"/>
    <w:lvl w:ilvl="0" w:tplc="14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7"/>
  </w:num>
  <w:num w:numId="5">
    <w:abstractNumId w:val="26"/>
  </w:num>
  <w:num w:numId="6">
    <w:abstractNumId w:val="23"/>
  </w:num>
  <w:num w:numId="7">
    <w:abstractNumId w:val="22"/>
  </w:num>
  <w:num w:numId="8">
    <w:abstractNumId w:val="25"/>
  </w:num>
  <w:num w:numId="9">
    <w:abstractNumId w:val="6"/>
  </w:num>
  <w:num w:numId="10">
    <w:abstractNumId w:val="15"/>
  </w:num>
  <w:num w:numId="11">
    <w:abstractNumId w:val="0"/>
  </w:num>
  <w:num w:numId="12">
    <w:abstractNumId w:val="24"/>
  </w:num>
  <w:num w:numId="13">
    <w:abstractNumId w:val="5"/>
  </w:num>
  <w:num w:numId="14">
    <w:abstractNumId w:val="2"/>
  </w:num>
  <w:num w:numId="15">
    <w:abstractNumId w:val="29"/>
  </w:num>
  <w:num w:numId="16">
    <w:abstractNumId w:val="33"/>
  </w:num>
  <w:num w:numId="17">
    <w:abstractNumId w:val="21"/>
  </w:num>
  <w:num w:numId="18">
    <w:abstractNumId w:val="1"/>
  </w:num>
  <w:num w:numId="19">
    <w:abstractNumId w:val="32"/>
  </w:num>
  <w:num w:numId="20">
    <w:abstractNumId w:val="35"/>
  </w:num>
  <w:num w:numId="21">
    <w:abstractNumId w:val="4"/>
  </w:num>
  <w:num w:numId="22">
    <w:abstractNumId w:val="11"/>
  </w:num>
  <w:num w:numId="23">
    <w:abstractNumId w:val="18"/>
  </w:num>
  <w:num w:numId="24">
    <w:abstractNumId w:val="13"/>
  </w:num>
  <w:num w:numId="25">
    <w:abstractNumId w:val="27"/>
  </w:num>
  <w:num w:numId="26">
    <w:abstractNumId w:val="14"/>
  </w:num>
  <w:num w:numId="27">
    <w:abstractNumId w:val="19"/>
  </w:num>
  <w:num w:numId="28">
    <w:abstractNumId w:val="34"/>
  </w:num>
  <w:num w:numId="29">
    <w:abstractNumId w:val="3"/>
  </w:num>
  <w:num w:numId="30">
    <w:abstractNumId w:val="31"/>
  </w:num>
  <w:num w:numId="31">
    <w:abstractNumId w:val="12"/>
  </w:num>
  <w:num w:numId="32">
    <w:abstractNumId w:val="8"/>
  </w:num>
  <w:num w:numId="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10"/>
  </w:num>
  <w:num w:numId="3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cecff,#ccf,#f8f4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86"/>
    <w:rsid w:val="000001F8"/>
    <w:rsid w:val="00000E2E"/>
    <w:rsid w:val="000016BA"/>
    <w:rsid w:val="00001A13"/>
    <w:rsid w:val="00003914"/>
    <w:rsid w:val="00003F16"/>
    <w:rsid w:val="000046F9"/>
    <w:rsid w:val="00005508"/>
    <w:rsid w:val="000056A0"/>
    <w:rsid w:val="00005B1A"/>
    <w:rsid w:val="00006025"/>
    <w:rsid w:val="000061DA"/>
    <w:rsid w:val="00006500"/>
    <w:rsid w:val="000078DF"/>
    <w:rsid w:val="000108BA"/>
    <w:rsid w:val="00011178"/>
    <w:rsid w:val="00011649"/>
    <w:rsid w:val="00012551"/>
    <w:rsid w:val="00012761"/>
    <w:rsid w:val="000131F9"/>
    <w:rsid w:val="00013D6E"/>
    <w:rsid w:val="00013D96"/>
    <w:rsid w:val="00013DE6"/>
    <w:rsid w:val="00016238"/>
    <w:rsid w:val="00016241"/>
    <w:rsid w:val="000169D7"/>
    <w:rsid w:val="00016C3A"/>
    <w:rsid w:val="0001779E"/>
    <w:rsid w:val="00017F51"/>
    <w:rsid w:val="00020063"/>
    <w:rsid w:val="000201AA"/>
    <w:rsid w:val="000204E5"/>
    <w:rsid w:val="00020FAF"/>
    <w:rsid w:val="00022DEE"/>
    <w:rsid w:val="0002305B"/>
    <w:rsid w:val="00023095"/>
    <w:rsid w:val="000241CB"/>
    <w:rsid w:val="00024825"/>
    <w:rsid w:val="00024A68"/>
    <w:rsid w:val="0002538E"/>
    <w:rsid w:val="00025DA3"/>
    <w:rsid w:val="00026DC4"/>
    <w:rsid w:val="00026DE1"/>
    <w:rsid w:val="00026ED5"/>
    <w:rsid w:val="0002786F"/>
    <w:rsid w:val="0003077E"/>
    <w:rsid w:val="000307DD"/>
    <w:rsid w:val="00030921"/>
    <w:rsid w:val="00030CC6"/>
    <w:rsid w:val="00031080"/>
    <w:rsid w:val="00031769"/>
    <w:rsid w:val="00031FF9"/>
    <w:rsid w:val="000325CB"/>
    <w:rsid w:val="00032A03"/>
    <w:rsid w:val="00032E5C"/>
    <w:rsid w:val="000338A8"/>
    <w:rsid w:val="00033BDD"/>
    <w:rsid w:val="00034FC1"/>
    <w:rsid w:val="00035897"/>
    <w:rsid w:val="00035B8E"/>
    <w:rsid w:val="00035EDB"/>
    <w:rsid w:val="00036397"/>
    <w:rsid w:val="0003763B"/>
    <w:rsid w:val="00037DC8"/>
    <w:rsid w:val="000400E1"/>
    <w:rsid w:val="00040B82"/>
    <w:rsid w:val="00041483"/>
    <w:rsid w:val="00041B4F"/>
    <w:rsid w:val="00041F1B"/>
    <w:rsid w:val="00042589"/>
    <w:rsid w:val="00042BA9"/>
    <w:rsid w:val="0004307F"/>
    <w:rsid w:val="00043966"/>
    <w:rsid w:val="00043FC3"/>
    <w:rsid w:val="00044510"/>
    <w:rsid w:val="00044ECA"/>
    <w:rsid w:val="000452D4"/>
    <w:rsid w:val="0004531C"/>
    <w:rsid w:val="0004538E"/>
    <w:rsid w:val="000453A0"/>
    <w:rsid w:val="000455C9"/>
    <w:rsid w:val="00045819"/>
    <w:rsid w:val="00045BCD"/>
    <w:rsid w:val="000465E7"/>
    <w:rsid w:val="00046A19"/>
    <w:rsid w:val="00046F3C"/>
    <w:rsid w:val="00047166"/>
    <w:rsid w:val="000477F8"/>
    <w:rsid w:val="00047C9A"/>
    <w:rsid w:val="00050CB7"/>
    <w:rsid w:val="00050F6A"/>
    <w:rsid w:val="00051237"/>
    <w:rsid w:val="00052301"/>
    <w:rsid w:val="0005259E"/>
    <w:rsid w:val="00052AA2"/>
    <w:rsid w:val="0005393A"/>
    <w:rsid w:val="00053E5B"/>
    <w:rsid w:val="000546D7"/>
    <w:rsid w:val="00054F67"/>
    <w:rsid w:val="000554DE"/>
    <w:rsid w:val="00055703"/>
    <w:rsid w:val="00057541"/>
    <w:rsid w:val="000579D8"/>
    <w:rsid w:val="00057D78"/>
    <w:rsid w:val="00057E18"/>
    <w:rsid w:val="000604B6"/>
    <w:rsid w:val="00061034"/>
    <w:rsid w:val="0006164A"/>
    <w:rsid w:val="0006167C"/>
    <w:rsid w:val="000619CF"/>
    <w:rsid w:val="0006216B"/>
    <w:rsid w:val="00062F8C"/>
    <w:rsid w:val="00063183"/>
    <w:rsid w:val="000632C7"/>
    <w:rsid w:val="000632D4"/>
    <w:rsid w:val="00063389"/>
    <w:rsid w:val="00063C1A"/>
    <w:rsid w:val="00063C58"/>
    <w:rsid w:val="000644AD"/>
    <w:rsid w:val="00065574"/>
    <w:rsid w:val="00065C1D"/>
    <w:rsid w:val="00065DC1"/>
    <w:rsid w:val="00065E39"/>
    <w:rsid w:val="00065E49"/>
    <w:rsid w:val="000663B6"/>
    <w:rsid w:val="00066BB9"/>
    <w:rsid w:val="000675D3"/>
    <w:rsid w:val="00067868"/>
    <w:rsid w:val="00067CFA"/>
    <w:rsid w:val="000701C0"/>
    <w:rsid w:val="00070739"/>
    <w:rsid w:val="000707F9"/>
    <w:rsid w:val="00070903"/>
    <w:rsid w:val="000710AB"/>
    <w:rsid w:val="00071150"/>
    <w:rsid w:val="00071FE4"/>
    <w:rsid w:val="000720DC"/>
    <w:rsid w:val="00072EE7"/>
    <w:rsid w:val="00073388"/>
    <w:rsid w:val="00073BF0"/>
    <w:rsid w:val="0007405C"/>
    <w:rsid w:val="00074655"/>
    <w:rsid w:val="00075C68"/>
    <w:rsid w:val="00080C7F"/>
    <w:rsid w:val="00080FC3"/>
    <w:rsid w:val="000810B0"/>
    <w:rsid w:val="0008131F"/>
    <w:rsid w:val="00081CB5"/>
    <w:rsid w:val="000822FA"/>
    <w:rsid w:val="000825BD"/>
    <w:rsid w:val="000828FC"/>
    <w:rsid w:val="00082B0C"/>
    <w:rsid w:val="00082CB5"/>
    <w:rsid w:val="000830A6"/>
    <w:rsid w:val="00083143"/>
    <w:rsid w:val="000835AD"/>
    <w:rsid w:val="000839FD"/>
    <w:rsid w:val="00083A84"/>
    <w:rsid w:val="00084246"/>
    <w:rsid w:val="000844CA"/>
    <w:rsid w:val="00084886"/>
    <w:rsid w:val="000857F9"/>
    <w:rsid w:val="00085C5A"/>
    <w:rsid w:val="00086EB2"/>
    <w:rsid w:val="0008787B"/>
    <w:rsid w:val="00087C72"/>
    <w:rsid w:val="00087C8C"/>
    <w:rsid w:val="00087CE1"/>
    <w:rsid w:val="00090577"/>
    <w:rsid w:val="00093C79"/>
    <w:rsid w:val="00093CA8"/>
    <w:rsid w:val="00093D70"/>
    <w:rsid w:val="00094971"/>
    <w:rsid w:val="00094EE2"/>
    <w:rsid w:val="00097148"/>
    <w:rsid w:val="000A1450"/>
    <w:rsid w:val="000A26B5"/>
    <w:rsid w:val="000A2A3D"/>
    <w:rsid w:val="000A2B51"/>
    <w:rsid w:val="000A3691"/>
    <w:rsid w:val="000A4FBE"/>
    <w:rsid w:val="000A572C"/>
    <w:rsid w:val="000A5B82"/>
    <w:rsid w:val="000A5E7E"/>
    <w:rsid w:val="000A6695"/>
    <w:rsid w:val="000A7383"/>
    <w:rsid w:val="000A73DD"/>
    <w:rsid w:val="000A73F4"/>
    <w:rsid w:val="000A773F"/>
    <w:rsid w:val="000A7A4E"/>
    <w:rsid w:val="000B0245"/>
    <w:rsid w:val="000B0FA0"/>
    <w:rsid w:val="000B21FB"/>
    <w:rsid w:val="000B272E"/>
    <w:rsid w:val="000B2AE8"/>
    <w:rsid w:val="000B2DE9"/>
    <w:rsid w:val="000B3624"/>
    <w:rsid w:val="000B4B2E"/>
    <w:rsid w:val="000B4E0F"/>
    <w:rsid w:val="000B4E56"/>
    <w:rsid w:val="000B59C5"/>
    <w:rsid w:val="000B6598"/>
    <w:rsid w:val="000B68FC"/>
    <w:rsid w:val="000B7126"/>
    <w:rsid w:val="000B7347"/>
    <w:rsid w:val="000B7D5A"/>
    <w:rsid w:val="000C09A6"/>
    <w:rsid w:val="000C0AC4"/>
    <w:rsid w:val="000C0B13"/>
    <w:rsid w:val="000C0BD0"/>
    <w:rsid w:val="000C0BD9"/>
    <w:rsid w:val="000C1848"/>
    <w:rsid w:val="000C2E1F"/>
    <w:rsid w:val="000C30BD"/>
    <w:rsid w:val="000C32FA"/>
    <w:rsid w:val="000C37A0"/>
    <w:rsid w:val="000C437C"/>
    <w:rsid w:val="000C456D"/>
    <w:rsid w:val="000C4765"/>
    <w:rsid w:val="000C48A8"/>
    <w:rsid w:val="000C4D0E"/>
    <w:rsid w:val="000C5E23"/>
    <w:rsid w:val="000C6273"/>
    <w:rsid w:val="000C73F5"/>
    <w:rsid w:val="000C7838"/>
    <w:rsid w:val="000C7A7D"/>
    <w:rsid w:val="000C7AE7"/>
    <w:rsid w:val="000C7BD3"/>
    <w:rsid w:val="000C7FC1"/>
    <w:rsid w:val="000D03DC"/>
    <w:rsid w:val="000D06DF"/>
    <w:rsid w:val="000D0A7E"/>
    <w:rsid w:val="000D0FE1"/>
    <w:rsid w:val="000D22E0"/>
    <w:rsid w:val="000D24E0"/>
    <w:rsid w:val="000D2B02"/>
    <w:rsid w:val="000D3052"/>
    <w:rsid w:val="000D31CF"/>
    <w:rsid w:val="000D32D8"/>
    <w:rsid w:val="000D3368"/>
    <w:rsid w:val="000D3D70"/>
    <w:rsid w:val="000D3E33"/>
    <w:rsid w:val="000D4357"/>
    <w:rsid w:val="000D4770"/>
    <w:rsid w:val="000D50FE"/>
    <w:rsid w:val="000D548C"/>
    <w:rsid w:val="000D5813"/>
    <w:rsid w:val="000D6252"/>
    <w:rsid w:val="000D7639"/>
    <w:rsid w:val="000E08F0"/>
    <w:rsid w:val="000E0EFD"/>
    <w:rsid w:val="000E13F1"/>
    <w:rsid w:val="000E15F2"/>
    <w:rsid w:val="000E1A96"/>
    <w:rsid w:val="000E28BA"/>
    <w:rsid w:val="000E2D56"/>
    <w:rsid w:val="000E3699"/>
    <w:rsid w:val="000E3AB7"/>
    <w:rsid w:val="000E4CB3"/>
    <w:rsid w:val="000E5161"/>
    <w:rsid w:val="000E53A8"/>
    <w:rsid w:val="000E5591"/>
    <w:rsid w:val="000E5CD8"/>
    <w:rsid w:val="000E5E4F"/>
    <w:rsid w:val="000E5FBC"/>
    <w:rsid w:val="000E6950"/>
    <w:rsid w:val="000E6A44"/>
    <w:rsid w:val="000E6C52"/>
    <w:rsid w:val="000E70ED"/>
    <w:rsid w:val="000E7BDD"/>
    <w:rsid w:val="000F0275"/>
    <w:rsid w:val="000F16CD"/>
    <w:rsid w:val="000F39F0"/>
    <w:rsid w:val="000F538F"/>
    <w:rsid w:val="000F5573"/>
    <w:rsid w:val="000F57EC"/>
    <w:rsid w:val="000F5AC7"/>
    <w:rsid w:val="000F5AF5"/>
    <w:rsid w:val="000F6452"/>
    <w:rsid w:val="000F6522"/>
    <w:rsid w:val="000F65D5"/>
    <w:rsid w:val="000F673A"/>
    <w:rsid w:val="000F6B70"/>
    <w:rsid w:val="000F75DF"/>
    <w:rsid w:val="000F7AAD"/>
    <w:rsid w:val="000F7C05"/>
    <w:rsid w:val="00100B83"/>
    <w:rsid w:val="00100D88"/>
    <w:rsid w:val="001013BE"/>
    <w:rsid w:val="0010175E"/>
    <w:rsid w:val="00101D42"/>
    <w:rsid w:val="00102540"/>
    <w:rsid w:val="00102662"/>
    <w:rsid w:val="00103340"/>
    <w:rsid w:val="00103674"/>
    <w:rsid w:val="001038E8"/>
    <w:rsid w:val="00103DC0"/>
    <w:rsid w:val="001042B1"/>
    <w:rsid w:val="00104446"/>
    <w:rsid w:val="00104B71"/>
    <w:rsid w:val="001068FF"/>
    <w:rsid w:val="00106D1C"/>
    <w:rsid w:val="001076EC"/>
    <w:rsid w:val="00107A6D"/>
    <w:rsid w:val="00107DE7"/>
    <w:rsid w:val="001104DC"/>
    <w:rsid w:val="001107E2"/>
    <w:rsid w:val="001117C9"/>
    <w:rsid w:val="00112402"/>
    <w:rsid w:val="00112BE9"/>
    <w:rsid w:val="001164A1"/>
    <w:rsid w:val="00116A44"/>
    <w:rsid w:val="00120984"/>
    <w:rsid w:val="0012121A"/>
    <w:rsid w:val="00121BA8"/>
    <w:rsid w:val="00121D80"/>
    <w:rsid w:val="001221D8"/>
    <w:rsid w:val="001222CD"/>
    <w:rsid w:val="0012260D"/>
    <w:rsid w:val="00122C75"/>
    <w:rsid w:val="00123486"/>
    <w:rsid w:val="0012437A"/>
    <w:rsid w:val="001247FB"/>
    <w:rsid w:val="00124F06"/>
    <w:rsid w:val="0012606A"/>
    <w:rsid w:val="00131DEA"/>
    <w:rsid w:val="001321AD"/>
    <w:rsid w:val="00132299"/>
    <w:rsid w:val="00132D4A"/>
    <w:rsid w:val="00133177"/>
    <w:rsid w:val="00133D2E"/>
    <w:rsid w:val="00133D38"/>
    <w:rsid w:val="00135450"/>
    <w:rsid w:val="00136344"/>
    <w:rsid w:val="001371C4"/>
    <w:rsid w:val="001376F1"/>
    <w:rsid w:val="00137B51"/>
    <w:rsid w:val="00137C36"/>
    <w:rsid w:val="00137C57"/>
    <w:rsid w:val="00140AEC"/>
    <w:rsid w:val="00140FBA"/>
    <w:rsid w:val="0014142B"/>
    <w:rsid w:val="00141596"/>
    <w:rsid w:val="0014215D"/>
    <w:rsid w:val="00142F84"/>
    <w:rsid w:val="00143625"/>
    <w:rsid w:val="001436D7"/>
    <w:rsid w:val="00143CCA"/>
    <w:rsid w:val="0014430F"/>
    <w:rsid w:val="00144539"/>
    <w:rsid w:val="00144A9A"/>
    <w:rsid w:val="001470A8"/>
    <w:rsid w:val="00147221"/>
    <w:rsid w:val="0015037C"/>
    <w:rsid w:val="0015103A"/>
    <w:rsid w:val="001514BA"/>
    <w:rsid w:val="00152216"/>
    <w:rsid w:val="001525F6"/>
    <w:rsid w:val="00152C82"/>
    <w:rsid w:val="001530CE"/>
    <w:rsid w:val="00153463"/>
    <w:rsid w:val="00153918"/>
    <w:rsid w:val="00153E4A"/>
    <w:rsid w:val="00154373"/>
    <w:rsid w:val="001548C8"/>
    <w:rsid w:val="00154EFF"/>
    <w:rsid w:val="00155133"/>
    <w:rsid w:val="0015560A"/>
    <w:rsid w:val="00156C74"/>
    <w:rsid w:val="00156D5D"/>
    <w:rsid w:val="001601F4"/>
    <w:rsid w:val="001604FF"/>
    <w:rsid w:val="00160B8E"/>
    <w:rsid w:val="001615D3"/>
    <w:rsid w:val="001620D8"/>
    <w:rsid w:val="00162816"/>
    <w:rsid w:val="00162A43"/>
    <w:rsid w:val="00162A99"/>
    <w:rsid w:val="00162C76"/>
    <w:rsid w:val="00163587"/>
    <w:rsid w:val="0016451E"/>
    <w:rsid w:val="00165C22"/>
    <w:rsid w:val="00165D77"/>
    <w:rsid w:val="00166123"/>
    <w:rsid w:val="00166563"/>
    <w:rsid w:val="00166620"/>
    <w:rsid w:val="00166A2E"/>
    <w:rsid w:val="00166EF1"/>
    <w:rsid w:val="001673A4"/>
    <w:rsid w:val="001678BF"/>
    <w:rsid w:val="00167AE9"/>
    <w:rsid w:val="00167B15"/>
    <w:rsid w:val="0017077B"/>
    <w:rsid w:val="00170AA0"/>
    <w:rsid w:val="00171956"/>
    <w:rsid w:val="00171AB1"/>
    <w:rsid w:val="0017269B"/>
    <w:rsid w:val="00172D4E"/>
    <w:rsid w:val="00172EF5"/>
    <w:rsid w:val="001736A9"/>
    <w:rsid w:val="00173C36"/>
    <w:rsid w:val="00173F4E"/>
    <w:rsid w:val="00175130"/>
    <w:rsid w:val="001757C4"/>
    <w:rsid w:val="00175B17"/>
    <w:rsid w:val="00175D67"/>
    <w:rsid w:val="00176375"/>
    <w:rsid w:val="00176E40"/>
    <w:rsid w:val="00176E80"/>
    <w:rsid w:val="001770F6"/>
    <w:rsid w:val="0017777E"/>
    <w:rsid w:val="00177CA2"/>
    <w:rsid w:val="00180751"/>
    <w:rsid w:val="001810EF"/>
    <w:rsid w:val="00181803"/>
    <w:rsid w:val="001824AE"/>
    <w:rsid w:val="00182887"/>
    <w:rsid w:val="00183726"/>
    <w:rsid w:val="0018411E"/>
    <w:rsid w:val="00186F96"/>
    <w:rsid w:val="00187132"/>
    <w:rsid w:val="00187264"/>
    <w:rsid w:val="0018733C"/>
    <w:rsid w:val="00187BB6"/>
    <w:rsid w:val="00190BDB"/>
    <w:rsid w:val="00190DEB"/>
    <w:rsid w:val="00191C10"/>
    <w:rsid w:val="00193516"/>
    <w:rsid w:val="00193C9B"/>
    <w:rsid w:val="00195489"/>
    <w:rsid w:val="00195A02"/>
    <w:rsid w:val="001978A9"/>
    <w:rsid w:val="00197BBB"/>
    <w:rsid w:val="00197DCB"/>
    <w:rsid w:val="001A0F7C"/>
    <w:rsid w:val="001A185D"/>
    <w:rsid w:val="001A18F5"/>
    <w:rsid w:val="001A1AF1"/>
    <w:rsid w:val="001A30BE"/>
    <w:rsid w:val="001A3213"/>
    <w:rsid w:val="001A3B07"/>
    <w:rsid w:val="001A3C52"/>
    <w:rsid w:val="001A3F6F"/>
    <w:rsid w:val="001A3FF4"/>
    <w:rsid w:val="001A4D24"/>
    <w:rsid w:val="001A6426"/>
    <w:rsid w:val="001A710C"/>
    <w:rsid w:val="001A79AA"/>
    <w:rsid w:val="001A7E86"/>
    <w:rsid w:val="001A7F97"/>
    <w:rsid w:val="001B05C7"/>
    <w:rsid w:val="001B0A30"/>
    <w:rsid w:val="001B0C89"/>
    <w:rsid w:val="001B1276"/>
    <w:rsid w:val="001B1477"/>
    <w:rsid w:val="001B28F2"/>
    <w:rsid w:val="001B40F7"/>
    <w:rsid w:val="001B4287"/>
    <w:rsid w:val="001B4422"/>
    <w:rsid w:val="001B4CE3"/>
    <w:rsid w:val="001B4D51"/>
    <w:rsid w:val="001B53BA"/>
    <w:rsid w:val="001B5AF3"/>
    <w:rsid w:val="001B6A00"/>
    <w:rsid w:val="001B7AE0"/>
    <w:rsid w:val="001B7BE8"/>
    <w:rsid w:val="001C1A65"/>
    <w:rsid w:val="001C2147"/>
    <w:rsid w:val="001C240D"/>
    <w:rsid w:val="001C2904"/>
    <w:rsid w:val="001C2AD6"/>
    <w:rsid w:val="001C2D44"/>
    <w:rsid w:val="001C36F2"/>
    <w:rsid w:val="001C3783"/>
    <w:rsid w:val="001C47F7"/>
    <w:rsid w:val="001C6F46"/>
    <w:rsid w:val="001C724E"/>
    <w:rsid w:val="001C7548"/>
    <w:rsid w:val="001C7589"/>
    <w:rsid w:val="001C75C2"/>
    <w:rsid w:val="001D0BB3"/>
    <w:rsid w:val="001D14F9"/>
    <w:rsid w:val="001D187A"/>
    <w:rsid w:val="001D1A58"/>
    <w:rsid w:val="001D3B57"/>
    <w:rsid w:val="001D41FA"/>
    <w:rsid w:val="001D48E5"/>
    <w:rsid w:val="001D491D"/>
    <w:rsid w:val="001D6B10"/>
    <w:rsid w:val="001D6B59"/>
    <w:rsid w:val="001D796D"/>
    <w:rsid w:val="001E0814"/>
    <w:rsid w:val="001E0A6E"/>
    <w:rsid w:val="001E1454"/>
    <w:rsid w:val="001E1BE1"/>
    <w:rsid w:val="001E1BF5"/>
    <w:rsid w:val="001E23CE"/>
    <w:rsid w:val="001E2BFE"/>
    <w:rsid w:val="001E2EAC"/>
    <w:rsid w:val="001E3B7F"/>
    <w:rsid w:val="001E3C2E"/>
    <w:rsid w:val="001E3C7A"/>
    <w:rsid w:val="001E4F29"/>
    <w:rsid w:val="001E5FCD"/>
    <w:rsid w:val="001E60E4"/>
    <w:rsid w:val="001E6D7A"/>
    <w:rsid w:val="001E713A"/>
    <w:rsid w:val="001F10A4"/>
    <w:rsid w:val="001F135B"/>
    <w:rsid w:val="001F1843"/>
    <w:rsid w:val="001F18FD"/>
    <w:rsid w:val="001F264F"/>
    <w:rsid w:val="001F4A00"/>
    <w:rsid w:val="001F50E5"/>
    <w:rsid w:val="001F55C2"/>
    <w:rsid w:val="001F6667"/>
    <w:rsid w:val="001F6E4B"/>
    <w:rsid w:val="001F72CF"/>
    <w:rsid w:val="001F769D"/>
    <w:rsid w:val="001F775D"/>
    <w:rsid w:val="001F791E"/>
    <w:rsid w:val="001F7C62"/>
    <w:rsid w:val="0020012A"/>
    <w:rsid w:val="00200231"/>
    <w:rsid w:val="002002F0"/>
    <w:rsid w:val="0020070F"/>
    <w:rsid w:val="00202904"/>
    <w:rsid w:val="00202E13"/>
    <w:rsid w:val="002030C9"/>
    <w:rsid w:val="00203152"/>
    <w:rsid w:val="00203D3E"/>
    <w:rsid w:val="00204364"/>
    <w:rsid w:val="002043B6"/>
    <w:rsid w:val="00205C26"/>
    <w:rsid w:val="002060C2"/>
    <w:rsid w:val="002064DC"/>
    <w:rsid w:val="0020668E"/>
    <w:rsid w:val="002070DE"/>
    <w:rsid w:val="002073FC"/>
    <w:rsid w:val="002103A7"/>
    <w:rsid w:val="00210606"/>
    <w:rsid w:val="00210E34"/>
    <w:rsid w:val="00210ECF"/>
    <w:rsid w:val="0021207C"/>
    <w:rsid w:val="00212978"/>
    <w:rsid w:val="00212CF9"/>
    <w:rsid w:val="00212EC0"/>
    <w:rsid w:val="00214C32"/>
    <w:rsid w:val="00215932"/>
    <w:rsid w:val="002167C0"/>
    <w:rsid w:val="00216C86"/>
    <w:rsid w:val="00217E07"/>
    <w:rsid w:val="00217EFE"/>
    <w:rsid w:val="002206B2"/>
    <w:rsid w:val="00221324"/>
    <w:rsid w:val="002215A3"/>
    <w:rsid w:val="00221CA5"/>
    <w:rsid w:val="00221D1A"/>
    <w:rsid w:val="00221DD0"/>
    <w:rsid w:val="002222F8"/>
    <w:rsid w:val="00222D26"/>
    <w:rsid w:val="00222E4B"/>
    <w:rsid w:val="00222EB0"/>
    <w:rsid w:val="00223535"/>
    <w:rsid w:val="0022396D"/>
    <w:rsid w:val="00224F37"/>
    <w:rsid w:val="00225437"/>
    <w:rsid w:val="0022632E"/>
    <w:rsid w:val="002267AE"/>
    <w:rsid w:val="002271D1"/>
    <w:rsid w:val="002279BA"/>
    <w:rsid w:val="00230160"/>
    <w:rsid w:val="002309AB"/>
    <w:rsid w:val="00231BB0"/>
    <w:rsid w:val="0023212D"/>
    <w:rsid w:val="00233564"/>
    <w:rsid w:val="002340DD"/>
    <w:rsid w:val="002354FB"/>
    <w:rsid w:val="002355D6"/>
    <w:rsid w:val="0023578D"/>
    <w:rsid w:val="002359A2"/>
    <w:rsid w:val="00235AC7"/>
    <w:rsid w:val="00235D14"/>
    <w:rsid w:val="00235FFA"/>
    <w:rsid w:val="002362EB"/>
    <w:rsid w:val="002368CE"/>
    <w:rsid w:val="00236B96"/>
    <w:rsid w:val="002376C9"/>
    <w:rsid w:val="0024021A"/>
    <w:rsid w:val="00240397"/>
    <w:rsid w:val="00240938"/>
    <w:rsid w:val="002409FE"/>
    <w:rsid w:val="00240B0C"/>
    <w:rsid w:val="002414EC"/>
    <w:rsid w:val="0024179D"/>
    <w:rsid w:val="00243399"/>
    <w:rsid w:val="002434B5"/>
    <w:rsid w:val="00244490"/>
    <w:rsid w:val="00244B3A"/>
    <w:rsid w:val="00245141"/>
    <w:rsid w:val="00245589"/>
    <w:rsid w:val="00246B06"/>
    <w:rsid w:val="0025051A"/>
    <w:rsid w:val="00250E5A"/>
    <w:rsid w:val="00250EE1"/>
    <w:rsid w:val="00250F03"/>
    <w:rsid w:val="002513C3"/>
    <w:rsid w:val="00254116"/>
    <w:rsid w:val="00254CAE"/>
    <w:rsid w:val="00254D09"/>
    <w:rsid w:val="00255292"/>
    <w:rsid w:val="0025570E"/>
    <w:rsid w:val="00256570"/>
    <w:rsid w:val="00256948"/>
    <w:rsid w:val="00257C61"/>
    <w:rsid w:val="002605D8"/>
    <w:rsid w:val="002614CE"/>
    <w:rsid w:val="00262091"/>
    <w:rsid w:val="0026243E"/>
    <w:rsid w:val="00262CED"/>
    <w:rsid w:val="00262CF3"/>
    <w:rsid w:val="00263042"/>
    <w:rsid w:val="0026539C"/>
    <w:rsid w:val="002665F3"/>
    <w:rsid w:val="00267883"/>
    <w:rsid w:val="00267B7B"/>
    <w:rsid w:val="00270005"/>
    <w:rsid w:val="00271A63"/>
    <w:rsid w:val="00272FC9"/>
    <w:rsid w:val="00273304"/>
    <w:rsid w:val="002735B4"/>
    <w:rsid w:val="0027699D"/>
    <w:rsid w:val="00276D35"/>
    <w:rsid w:val="002773FB"/>
    <w:rsid w:val="00277BCF"/>
    <w:rsid w:val="00277D51"/>
    <w:rsid w:val="00280490"/>
    <w:rsid w:val="00280893"/>
    <w:rsid w:val="002826E1"/>
    <w:rsid w:val="00282701"/>
    <w:rsid w:val="00282C71"/>
    <w:rsid w:val="00282F78"/>
    <w:rsid w:val="002831B7"/>
    <w:rsid w:val="002831C9"/>
    <w:rsid w:val="00283404"/>
    <w:rsid w:val="0028397E"/>
    <w:rsid w:val="002842C3"/>
    <w:rsid w:val="00285724"/>
    <w:rsid w:val="00287194"/>
    <w:rsid w:val="00290BC2"/>
    <w:rsid w:val="00291D96"/>
    <w:rsid w:val="00292DE9"/>
    <w:rsid w:val="00292E83"/>
    <w:rsid w:val="0029309D"/>
    <w:rsid w:val="0029310F"/>
    <w:rsid w:val="00293493"/>
    <w:rsid w:val="00293537"/>
    <w:rsid w:val="00294D73"/>
    <w:rsid w:val="0029520A"/>
    <w:rsid w:val="002959E6"/>
    <w:rsid w:val="00295A6E"/>
    <w:rsid w:val="002963BE"/>
    <w:rsid w:val="00297DBB"/>
    <w:rsid w:val="002A02FE"/>
    <w:rsid w:val="002A13EC"/>
    <w:rsid w:val="002A13FF"/>
    <w:rsid w:val="002A1F49"/>
    <w:rsid w:val="002A25BA"/>
    <w:rsid w:val="002A2C71"/>
    <w:rsid w:val="002A3896"/>
    <w:rsid w:val="002A3A92"/>
    <w:rsid w:val="002A3C73"/>
    <w:rsid w:val="002A499C"/>
    <w:rsid w:val="002A49C8"/>
    <w:rsid w:val="002A4AD2"/>
    <w:rsid w:val="002A58A5"/>
    <w:rsid w:val="002A59A9"/>
    <w:rsid w:val="002A5C6D"/>
    <w:rsid w:val="002A66C9"/>
    <w:rsid w:val="002A6BFB"/>
    <w:rsid w:val="002A73D7"/>
    <w:rsid w:val="002A7C93"/>
    <w:rsid w:val="002B0820"/>
    <w:rsid w:val="002B09E8"/>
    <w:rsid w:val="002B1BFB"/>
    <w:rsid w:val="002B1EB2"/>
    <w:rsid w:val="002B21AA"/>
    <w:rsid w:val="002B2D01"/>
    <w:rsid w:val="002B3044"/>
    <w:rsid w:val="002B3DCF"/>
    <w:rsid w:val="002B43B7"/>
    <w:rsid w:val="002B4D3A"/>
    <w:rsid w:val="002B4F37"/>
    <w:rsid w:val="002B5548"/>
    <w:rsid w:val="002B5B4B"/>
    <w:rsid w:val="002B649C"/>
    <w:rsid w:val="002B723F"/>
    <w:rsid w:val="002B7375"/>
    <w:rsid w:val="002B7B8B"/>
    <w:rsid w:val="002C0510"/>
    <w:rsid w:val="002C0A12"/>
    <w:rsid w:val="002C0D49"/>
    <w:rsid w:val="002C1511"/>
    <w:rsid w:val="002C189A"/>
    <w:rsid w:val="002C1CB3"/>
    <w:rsid w:val="002C21DC"/>
    <w:rsid w:val="002C22AF"/>
    <w:rsid w:val="002C31AA"/>
    <w:rsid w:val="002C3C60"/>
    <w:rsid w:val="002C3D7E"/>
    <w:rsid w:val="002C3E34"/>
    <w:rsid w:val="002C3FE6"/>
    <w:rsid w:val="002C4445"/>
    <w:rsid w:val="002C4AD5"/>
    <w:rsid w:val="002C57DD"/>
    <w:rsid w:val="002C5891"/>
    <w:rsid w:val="002C5C09"/>
    <w:rsid w:val="002C63FE"/>
    <w:rsid w:val="002C7CE3"/>
    <w:rsid w:val="002D003B"/>
    <w:rsid w:val="002D01EB"/>
    <w:rsid w:val="002D1C20"/>
    <w:rsid w:val="002D237A"/>
    <w:rsid w:val="002D2451"/>
    <w:rsid w:val="002D2E17"/>
    <w:rsid w:val="002D2F2C"/>
    <w:rsid w:val="002D2FCE"/>
    <w:rsid w:val="002D3A55"/>
    <w:rsid w:val="002D3B40"/>
    <w:rsid w:val="002D475F"/>
    <w:rsid w:val="002D4B0D"/>
    <w:rsid w:val="002D507C"/>
    <w:rsid w:val="002D533C"/>
    <w:rsid w:val="002D6368"/>
    <w:rsid w:val="002D63D1"/>
    <w:rsid w:val="002D7627"/>
    <w:rsid w:val="002D76D7"/>
    <w:rsid w:val="002D7942"/>
    <w:rsid w:val="002E1352"/>
    <w:rsid w:val="002E17CE"/>
    <w:rsid w:val="002E1D00"/>
    <w:rsid w:val="002E2745"/>
    <w:rsid w:val="002E2750"/>
    <w:rsid w:val="002E458A"/>
    <w:rsid w:val="002E51E5"/>
    <w:rsid w:val="002E5597"/>
    <w:rsid w:val="002E5A06"/>
    <w:rsid w:val="002E5A38"/>
    <w:rsid w:val="002E5CCE"/>
    <w:rsid w:val="002E6630"/>
    <w:rsid w:val="002E678D"/>
    <w:rsid w:val="002E6F78"/>
    <w:rsid w:val="002F12D2"/>
    <w:rsid w:val="002F1971"/>
    <w:rsid w:val="002F19F7"/>
    <w:rsid w:val="002F1AEE"/>
    <w:rsid w:val="002F1C12"/>
    <w:rsid w:val="002F1FD4"/>
    <w:rsid w:val="002F2009"/>
    <w:rsid w:val="002F23AA"/>
    <w:rsid w:val="002F3010"/>
    <w:rsid w:val="002F4C5F"/>
    <w:rsid w:val="002F5F23"/>
    <w:rsid w:val="002F6197"/>
    <w:rsid w:val="002F6D8F"/>
    <w:rsid w:val="002F706D"/>
    <w:rsid w:val="002F7B18"/>
    <w:rsid w:val="003021E3"/>
    <w:rsid w:val="00302868"/>
    <w:rsid w:val="00303125"/>
    <w:rsid w:val="003032CD"/>
    <w:rsid w:val="00303AC5"/>
    <w:rsid w:val="00304294"/>
    <w:rsid w:val="00304D22"/>
    <w:rsid w:val="00305795"/>
    <w:rsid w:val="00305A40"/>
    <w:rsid w:val="00305B51"/>
    <w:rsid w:val="003063F4"/>
    <w:rsid w:val="00306DCD"/>
    <w:rsid w:val="00307875"/>
    <w:rsid w:val="00307DB1"/>
    <w:rsid w:val="003104B6"/>
    <w:rsid w:val="00310642"/>
    <w:rsid w:val="00310843"/>
    <w:rsid w:val="00310D0E"/>
    <w:rsid w:val="003111BA"/>
    <w:rsid w:val="00312DF3"/>
    <w:rsid w:val="00312FF9"/>
    <w:rsid w:val="00313D03"/>
    <w:rsid w:val="003140E0"/>
    <w:rsid w:val="00315428"/>
    <w:rsid w:val="00315497"/>
    <w:rsid w:val="003156F6"/>
    <w:rsid w:val="00315748"/>
    <w:rsid w:val="003159D6"/>
    <w:rsid w:val="00316942"/>
    <w:rsid w:val="00316A5F"/>
    <w:rsid w:val="0031749C"/>
    <w:rsid w:val="003176E3"/>
    <w:rsid w:val="003177F1"/>
    <w:rsid w:val="00317AE2"/>
    <w:rsid w:val="00317DD6"/>
    <w:rsid w:val="00320023"/>
    <w:rsid w:val="003203F9"/>
    <w:rsid w:val="0032046F"/>
    <w:rsid w:val="00320D67"/>
    <w:rsid w:val="003213E2"/>
    <w:rsid w:val="0032214F"/>
    <w:rsid w:val="0032249A"/>
    <w:rsid w:val="00322B7C"/>
    <w:rsid w:val="00322C1B"/>
    <w:rsid w:val="003231FB"/>
    <w:rsid w:val="00323431"/>
    <w:rsid w:val="003253F9"/>
    <w:rsid w:val="00325C0C"/>
    <w:rsid w:val="00326371"/>
    <w:rsid w:val="003263E5"/>
    <w:rsid w:val="00326C49"/>
    <w:rsid w:val="003270F3"/>
    <w:rsid w:val="003272BE"/>
    <w:rsid w:val="00327CC2"/>
    <w:rsid w:val="00327E82"/>
    <w:rsid w:val="00327E8D"/>
    <w:rsid w:val="0033034E"/>
    <w:rsid w:val="00331454"/>
    <w:rsid w:val="00332358"/>
    <w:rsid w:val="00333D60"/>
    <w:rsid w:val="00333F17"/>
    <w:rsid w:val="00334879"/>
    <w:rsid w:val="0033540B"/>
    <w:rsid w:val="00335C66"/>
    <w:rsid w:val="00335D3D"/>
    <w:rsid w:val="00337121"/>
    <w:rsid w:val="00337C15"/>
    <w:rsid w:val="00340A38"/>
    <w:rsid w:val="00341453"/>
    <w:rsid w:val="00341DD4"/>
    <w:rsid w:val="00342343"/>
    <w:rsid w:val="00342623"/>
    <w:rsid w:val="0034276B"/>
    <w:rsid w:val="0034286C"/>
    <w:rsid w:val="003433F5"/>
    <w:rsid w:val="003438EC"/>
    <w:rsid w:val="00344292"/>
    <w:rsid w:val="00344ACE"/>
    <w:rsid w:val="00344B17"/>
    <w:rsid w:val="0034536B"/>
    <w:rsid w:val="00345B28"/>
    <w:rsid w:val="003464FE"/>
    <w:rsid w:val="00346987"/>
    <w:rsid w:val="0034733B"/>
    <w:rsid w:val="0035029F"/>
    <w:rsid w:val="003509DE"/>
    <w:rsid w:val="00351CF0"/>
    <w:rsid w:val="00351DF1"/>
    <w:rsid w:val="00352011"/>
    <w:rsid w:val="003537D2"/>
    <w:rsid w:val="00353D2D"/>
    <w:rsid w:val="00353ED3"/>
    <w:rsid w:val="00354B43"/>
    <w:rsid w:val="00355594"/>
    <w:rsid w:val="00355E64"/>
    <w:rsid w:val="003566A5"/>
    <w:rsid w:val="00357071"/>
    <w:rsid w:val="003570DD"/>
    <w:rsid w:val="00357597"/>
    <w:rsid w:val="00357C12"/>
    <w:rsid w:val="0036149D"/>
    <w:rsid w:val="003616C1"/>
    <w:rsid w:val="00361B0C"/>
    <w:rsid w:val="00361D70"/>
    <w:rsid w:val="00361DD9"/>
    <w:rsid w:val="00362927"/>
    <w:rsid w:val="0036302F"/>
    <w:rsid w:val="00363313"/>
    <w:rsid w:val="003636D3"/>
    <w:rsid w:val="00363C10"/>
    <w:rsid w:val="0036423A"/>
    <w:rsid w:val="00364C9B"/>
    <w:rsid w:val="003654B8"/>
    <w:rsid w:val="0036655B"/>
    <w:rsid w:val="00366EFA"/>
    <w:rsid w:val="0036778D"/>
    <w:rsid w:val="00370139"/>
    <w:rsid w:val="00371C30"/>
    <w:rsid w:val="00371DC0"/>
    <w:rsid w:val="00372122"/>
    <w:rsid w:val="00372C33"/>
    <w:rsid w:val="00372C99"/>
    <w:rsid w:val="003731EF"/>
    <w:rsid w:val="00373317"/>
    <w:rsid w:val="003744E6"/>
    <w:rsid w:val="00375E42"/>
    <w:rsid w:val="00375FFA"/>
    <w:rsid w:val="00376D20"/>
    <w:rsid w:val="00376E14"/>
    <w:rsid w:val="00377007"/>
    <w:rsid w:val="0037726E"/>
    <w:rsid w:val="0038032E"/>
    <w:rsid w:val="003807C3"/>
    <w:rsid w:val="00380A45"/>
    <w:rsid w:val="00380AFF"/>
    <w:rsid w:val="00380B04"/>
    <w:rsid w:val="003810BC"/>
    <w:rsid w:val="00381B81"/>
    <w:rsid w:val="00381F58"/>
    <w:rsid w:val="003828A9"/>
    <w:rsid w:val="00382B0B"/>
    <w:rsid w:val="00382CB8"/>
    <w:rsid w:val="00382F72"/>
    <w:rsid w:val="003833DF"/>
    <w:rsid w:val="0038440D"/>
    <w:rsid w:val="0038485E"/>
    <w:rsid w:val="00385978"/>
    <w:rsid w:val="00386EEA"/>
    <w:rsid w:val="00387E6A"/>
    <w:rsid w:val="00391324"/>
    <w:rsid w:val="003914AF"/>
    <w:rsid w:val="00391FE5"/>
    <w:rsid w:val="00393223"/>
    <w:rsid w:val="00393306"/>
    <w:rsid w:val="0039345C"/>
    <w:rsid w:val="003935F8"/>
    <w:rsid w:val="00393A0A"/>
    <w:rsid w:val="00393A53"/>
    <w:rsid w:val="00393C53"/>
    <w:rsid w:val="00394349"/>
    <w:rsid w:val="003944BA"/>
    <w:rsid w:val="00394728"/>
    <w:rsid w:val="00394A6A"/>
    <w:rsid w:val="00394D09"/>
    <w:rsid w:val="00394DFD"/>
    <w:rsid w:val="003953BF"/>
    <w:rsid w:val="00396F40"/>
    <w:rsid w:val="003977C0"/>
    <w:rsid w:val="003978E4"/>
    <w:rsid w:val="003A0429"/>
    <w:rsid w:val="003A0BA7"/>
    <w:rsid w:val="003A0E44"/>
    <w:rsid w:val="003A1273"/>
    <w:rsid w:val="003A12F0"/>
    <w:rsid w:val="003A13F8"/>
    <w:rsid w:val="003A24EB"/>
    <w:rsid w:val="003A3571"/>
    <w:rsid w:val="003A37E4"/>
    <w:rsid w:val="003A40B1"/>
    <w:rsid w:val="003A42DE"/>
    <w:rsid w:val="003A4EE7"/>
    <w:rsid w:val="003A540A"/>
    <w:rsid w:val="003A55E8"/>
    <w:rsid w:val="003A578C"/>
    <w:rsid w:val="003A5A89"/>
    <w:rsid w:val="003A5BE7"/>
    <w:rsid w:val="003A68D7"/>
    <w:rsid w:val="003B0E14"/>
    <w:rsid w:val="003B1075"/>
    <w:rsid w:val="003B2883"/>
    <w:rsid w:val="003B2D16"/>
    <w:rsid w:val="003B2EE6"/>
    <w:rsid w:val="003B362E"/>
    <w:rsid w:val="003B3E06"/>
    <w:rsid w:val="003B40B2"/>
    <w:rsid w:val="003B43A0"/>
    <w:rsid w:val="003B4BA0"/>
    <w:rsid w:val="003B5076"/>
    <w:rsid w:val="003B5236"/>
    <w:rsid w:val="003B6324"/>
    <w:rsid w:val="003B6741"/>
    <w:rsid w:val="003B6B70"/>
    <w:rsid w:val="003B7AC7"/>
    <w:rsid w:val="003B7CC5"/>
    <w:rsid w:val="003B7E1B"/>
    <w:rsid w:val="003C0CF7"/>
    <w:rsid w:val="003C11DD"/>
    <w:rsid w:val="003C16F2"/>
    <w:rsid w:val="003C1986"/>
    <w:rsid w:val="003C1BBA"/>
    <w:rsid w:val="003C1FB5"/>
    <w:rsid w:val="003C205F"/>
    <w:rsid w:val="003C2CC9"/>
    <w:rsid w:val="003C3032"/>
    <w:rsid w:val="003C3DA1"/>
    <w:rsid w:val="003C4C5C"/>
    <w:rsid w:val="003C5296"/>
    <w:rsid w:val="003C5335"/>
    <w:rsid w:val="003C533F"/>
    <w:rsid w:val="003C58C3"/>
    <w:rsid w:val="003C5F2C"/>
    <w:rsid w:val="003C660B"/>
    <w:rsid w:val="003C6840"/>
    <w:rsid w:val="003C6B64"/>
    <w:rsid w:val="003C6EA3"/>
    <w:rsid w:val="003C6FEC"/>
    <w:rsid w:val="003C7800"/>
    <w:rsid w:val="003C7A0D"/>
    <w:rsid w:val="003C7C97"/>
    <w:rsid w:val="003D002A"/>
    <w:rsid w:val="003D050D"/>
    <w:rsid w:val="003D1558"/>
    <w:rsid w:val="003D1DCF"/>
    <w:rsid w:val="003D2A91"/>
    <w:rsid w:val="003D30CF"/>
    <w:rsid w:val="003D4CBA"/>
    <w:rsid w:val="003D4E7E"/>
    <w:rsid w:val="003D4E80"/>
    <w:rsid w:val="003D51A1"/>
    <w:rsid w:val="003D5B6E"/>
    <w:rsid w:val="003D5B93"/>
    <w:rsid w:val="003D5CCE"/>
    <w:rsid w:val="003D6A8F"/>
    <w:rsid w:val="003D6E9C"/>
    <w:rsid w:val="003D6EAF"/>
    <w:rsid w:val="003D7081"/>
    <w:rsid w:val="003D73BD"/>
    <w:rsid w:val="003D78C0"/>
    <w:rsid w:val="003E01E1"/>
    <w:rsid w:val="003E0226"/>
    <w:rsid w:val="003E0BCC"/>
    <w:rsid w:val="003E153E"/>
    <w:rsid w:val="003E1AE4"/>
    <w:rsid w:val="003E2664"/>
    <w:rsid w:val="003E4897"/>
    <w:rsid w:val="003E4B52"/>
    <w:rsid w:val="003E5A6E"/>
    <w:rsid w:val="003E6110"/>
    <w:rsid w:val="003E67B6"/>
    <w:rsid w:val="003E6F43"/>
    <w:rsid w:val="003E75EA"/>
    <w:rsid w:val="003F01D0"/>
    <w:rsid w:val="003F0376"/>
    <w:rsid w:val="003F046A"/>
    <w:rsid w:val="003F091A"/>
    <w:rsid w:val="003F1390"/>
    <w:rsid w:val="003F1729"/>
    <w:rsid w:val="003F180C"/>
    <w:rsid w:val="003F2558"/>
    <w:rsid w:val="003F2EE9"/>
    <w:rsid w:val="003F356E"/>
    <w:rsid w:val="003F3E35"/>
    <w:rsid w:val="003F4943"/>
    <w:rsid w:val="003F4F45"/>
    <w:rsid w:val="003F520E"/>
    <w:rsid w:val="003F5288"/>
    <w:rsid w:val="003F574D"/>
    <w:rsid w:val="003F5A13"/>
    <w:rsid w:val="003F5AD7"/>
    <w:rsid w:val="003F6C98"/>
    <w:rsid w:val="003F7190"/>
    <w:rsid w:val="003F7B6F"/>
    <w:rsid w:val="00400407"/>
    <w:rsid w:val="00400CC5"/>
    <w:rsid w:val="00402F1C"/>
    <w:rsid w:val="00402FC4"/>
    <w:rsid w:val="00403423"/>
    <w:rsid w:val="0040424A"/>
    <w:rsid w:val="00404C7C"/>
    <w:rsid w:val="0040500F"/>
    <w:rsid w:val="00405421"/>
    <w:rsid w:val="0040544A"/>
    <w:rsid w:val="0040547F"/>
    <w:rsid w:val="00406024"/>
    <w:rsid w:val="00406492"/>
    <w:rsid w:val="0040798D"/>
    <w:rsid w:val="0041055D"/>
    <w:rsid w:val="00410D26"/>
    <w:rsid w:val="00411165"/>
    <w:rsid w:val="00411F65"/>
    <w:rsid w:val="00413A27"/>
    <w:rsid w:val="004151AA"/>
    <w:rsid w:val="004155A7"/>
    <w:rsid w:val="0041579B"/>
    <w:rsid w:val="0041649A"/>
    <w:rsid w:val="00416A8E"/>
    <w:rsid w:val="00417926"/>
    <w:rsid w:val="00417B59"/>
    <w:rsid w:val="00420213"/>
    <w:rsid w:val="00420D9A"/>
    <w:rsid w:val="0042270B"/>
    <w:rsid w:val="00422B47"/>
    <w:rsid w:val="00422E3B"/>
    <w:rsid w:val="00422F3B"/>
    <w:rsid w:val="00423073"/>
    <w:rsid w:val="00423B31"/>
    <w:rsid w:val="00424155"/>
    <w:rsid w:val="004243F3"/>
    <w:rsid w:val="00424459"/>
    <w:rsid w:val="004259C2"/>
    <w:rsid w:val="00426547"/>
    <w:rsid w:val="00426FAB"/>
    <w:rsid w:val="0042746E"/>
    <w:rsid w:val="0043002A"/>
    <w:rsid w:val="004308ED"/>
    <w:rsid w:val="00431056"/>
    <w:rsid w:val="004314D7"/>
    <w:rsid w:val="004317A0"/>
    <w:rsid w:val="00431CAF"/>
    <w:rsid w:val="00431FEB"/>
    <w:rsid w:val="0043340A"/>
    <w:rsid w:val="0043445F"/>
    <w:rsid w:val="00434CF6"/>
    <w:rsid w:val="00434F22"/>
    <w:rsid w:val="0043566D"/>
    <w:rsid w:val="00436101"/>
    <w:rsid w:val="00436BA7"/>
    <w:rsid w:val="0043703D"/>
    <w:rsid w:val="00437234"/>
    <w:rsid w:val="00437FC1"/>
    <w:rsid w:val="0044027C"/>
    <w:rsid w:val="0044218B"/>
    <w:rsid w:val="00442199"/>
    <w:rsid w:val="00442453"/>
    <w:rsid w:val="0044274F"/>
    <w:rsid w:val="00442995"/>
    <w:rsid w:val="00443608"/>
    <w:rsid w:val="00443CF8"/>
    <w:rsid w:val="004440EF"/>
    <w:rsid w:val="00444547"/>
    <w:rsid w:val="00444B1F"/>
    <w:rsid w:val="00445459"/>
    <w:rsid w:val="00445E86"/>
    <w:rsid w:val="00446305"/>
    <w:rsid w:val="00446418"/>
    <w:rsid w:val="0044666C"/>
    <w:rsid w:val="00446ADB"/>
    <w:rsid w:val="00446D2B"/>
    <w:rsid w:val="00446E8B"/>
    <w:rsid w:val="0044707F"/>
    <w:rsid w:val="0045003F"/>
    <w:rsid w:val="0045097D"/>
    <w:rsid w:val="0045112C"/>
    <w:rsid w:val="00451E05"/>
    <w:rsid w:val="004527D0"/>
    <w:rsid w:val="00452AA5"/>
    <w:rsid w:val="00453104"/>
    <w:rsid w:val="0045327A"/>
    <w:rsid w:val="004540C0"/>
    <w:rsid w:val="00454D54"/>
    <w:rsid w:val="004562A1"/>
    <w:rsid w:val="004572BC"/>
    <w:rsid w:val="004579CC"/>
    <w:rsid w:val="00457FF3"/>
    <w:rsid w:val="0046011A"/>
    <w:rsid w:val="00460AA9"/>
    <w:rsid w:val="00461408"/>
    <w:rsid w:val="0046291D"/>
    <w:rsid w:val="00463954"/>
    <w:rsid w:val="00463B5D"/>
    <w:rsid w:val="00463FD2"/>
    <w:rsid w:val="0046461B"/>
    <w:rsid w:val="0046472A"/>
    <w:rsid w:val="00464ADC"/>
    <w:rsid w:val="00464BF8"/>
    <w:rsid w:val="0046520E"/>
    <w:rsid w:val="00466007"/>
    <w:rsid w:val="0046683F"/>
    <w:rsid w:val="00466E57"/>
    <w:rsid w:val="00467B09"/>
    <w:rsid w:val="00467F53"/>
    <w:rsid w:val="00470399"/>
    <w:rsid w:val="00470410"/>
    <w:rsid w:val="00470E75"/>
    <w:rsid w:val="00471167"/>
    <w:rsid w:val="00471596"/>
    <w:rsid w:val="00472190"/>
    <w:rsid w:val="004726B2"/>
    <w:rsid w:val="0047309B"/>
    <w:rsid w:val="0047341A"/>
    <w:rsid w:val="00473468"/>
    <w:rsid w:val="004734B1"/>
    <w:rsid w:val="0047396E"/>
    <w:rsid w:val="00473A38"/>
    <w:rsid w:val="00473EFF"/>
    <w:rsid w:val="00474D23"/>
    <w:rsid w:val="00475038"/>
    <w:rsid w:val="004752B4"/>
    <w:rsid w:val="00475A8F"/>
    <w:rsid w:val="004779C2"/>
    <w:rsid w:val="00477A04"/>
    <w:rsid w:val="004801D5"/>
    <w:rsid w:val="00480E2B"/>
    <w:rsid w:val="00481636"/>
    <w:rsid w:val="00481EC0"/>
    <w:rsid w:val="0048202A"/>
    <w:rsid w:val="00482619"/>
    <w:rsid w:val="0048311B"/>
    <w:rsid w:val="00483310"/>
    <w:rsid w:val="004843D8"/>
    <w:rsid w:val="004847A5"/>
    <w:rsid w:val="00484F9E"/>
    <w:rsid w:val="00485187"/>
    <w:rsid w:val="00485B22"/>
    <w:rsid w:val="00486541"/>
    <w:rsid w:val="004876B4"/>
    <w:rsid w:val="0048772C"/>
    <w:rsid w:val="00487DF0"/>
    <w:rsid w:val="004901DC"/>
    <w:rsid w:val="004907C4"/>
    <w:rsid w:val="004908C1"/>
    <w:rsid w:val="00490A05"/>
    <w:rsid w:val="00490ADD"/>
    <w:rsid w:val="00490DCC"/>
    <w:rsid w:val="004911BF"/>
    <w:rsid w:val="0049141C"/>
    <w:rsid w:val="00492754"/>
    <w:rsid w:val="0049277E"/>
    <w:rsid w:val="00492DDE"/>
    <w:rsid w:val="00493501"/>
    <w:rsid w:val="00493A55"/>
    <w:rsid w:val="00494B53"/>
    <w:rsid w:val="004957A6"/>
    <w:rsid w:val="00495842"/>
    <w:rsid w:val="00495F2D"/>
    <w:rsid w:val="004965BE"/>
    <w:rsid w:val="00496CAD"/>
    <w:rsid w:val="0049710D"/>
    <w:rsid w:val="004A098C"/>
    <w:rsid w:val="004A09C7"/>
    <w:rsid w:val="004A0B94"/>
    <w:rsid w:val="004A16B6"/>
    <w:rsid w:val="004A2427"/>
    <w:rsid w:val="004A24FF"/>
    <w:rsid w:val="004A2908"/>
    <w:rsid w:val="004A3087"/>
    <w:rsid w:val="004A31BA"/>
    <w:rsid w:val="004A3F86"/>
    <w:rsid w:val="004A4E36"/>
    <w:rsid w:val="004A5DB6"/>
    <w:rsid w:val="004A628F"/>
    <w:rsid w:val="004A6E36"/>
    <w:rsid w:val="004A7E20"/>
    <w:rsid w:val="004B007E"/>
    <w:rsid w:val="004B0133"/>
    <w:rsid w:val="004B059F"/>
    <w:rsid w:val="004B118E"/>
    <w:rsid w:val="004B1247"/>
    <w:rsid w:val="004B13D9"/>
    <w:rsid w:val="004B1F82"/>
    <w:rsid w:val="004B219A"/>
    <w:rsid w:val="004B23D8"/>
    <w:rsid w:val="004B272F"/>
    <w:rsid w:val="004B28ED"/>
    <w:rsid w:val="004B2992"/>
    <w:rsid w:val="004B2A0C"/>
    <w:rsid w:val="004B2ABE"/>
    <w:rsid w:val="004B3F62"/>
    <w:rsid w:val="004B4A61"/>
    <w:rsid w:val="004B4FEA"/>
    <w:rsid w:val="004B558A"/>
    <w:rsid w:val="004B5FF4"/>
    <w:rsid w:val="004B6478"/>
    <w:rsid w:val="004B7111"/>
    <w:rsid w:val="004C0F12"/>
    <w:rsid w:val="004C1906"/>
    <w:rsid w:val="004C1E20"/>
    <w:rsid w:val="004C218A"/>
    <w:rsid w:val="004C2F50"/>
    <w:rsid w:val="004C32D1"/>
    <w:rsid w:val="004C3BF2"/>
    <w:rsid w:val="004C46FA"/>
    <w:rsid w:val="004C4976"/>
    <w:rsid w:val="004C4B32"/>
    <w:rsid w:val="004C5360"/>
    <w:rsid w:val="004C562F"/>
    <w:rsid w:val="004C7037"/>
    <w:rsid w:val="004C7220"/>
    <w:rsid w:val="004C75A8"/>
    <w:rsid w:val="004D0017"/>
    <w:rsid w:val="004D001B"/>
    <w:rsid w:val="004D011A"/>
    <w:rsid w:val="004D01BA"/>
    <w:rsid w:val="004D09AC"/>
    <w:rsid w:val="004D0B48"/>
    <w:rsid w:val="004D182D"/>
    <w:rsid w:val="004D1A65"/>
    <w:rsid w:val="004D1F25"/>
    <w:rsid w:val="004D2E41"/>
    <w:rsid w:val="004D3619"/>
    <w:rsid w:val="004D4063"/>
    <w:rsid w:val="004D468B"/>
    <w:rsid w:val="004D4F91"/>
    <w:rsid w:val="004D67DE"/>
    <w:rsid w:val="004E0A5E"/>
    <w:rsid w:val="004E0CFC"/>
    <w:rsid w:val="004E185F"/>
    <w:rsid w:val="004E23DD"/>
    <w:rsid w:val="004E2A68"/>
    <w:rsid w:val="004E371C"/>
    <w:rsid w:val="004E480B"/>
    <w:rsid w:val="004E57DE"/>
    <w:rsid w:val="004E5AB1"/>
    <w:rsid w:val="004E5F7F"/>
    <w:rsid w:val="004E665D"/>
    <w:rsid w:val="004E71A0"/>
    <w:rsid w:val="004F00CB"/>
    <w:rsid w:val="004F00DD"/>
    <w:rsid w:val="004F05AF"/>
    <w:rsid w:val="004F14E2"/>
    <w:rsid w:val="004F2D47"/>
    <w:rsid w:val="004F2DAA"/>
    <w:rsid w:val="004F4944"/>
    <w:rsid w:val="004F502F"/>
    <w:rsid w:val="004F5F18"/>
    <w:rsid w:val="004F629C"/>
    <w:rsid w:val="004F6933"/>
    <w:rsid w:val="004F6EB3"/>
    <w:rsid w:val="00500765"/>
    <w:rsid w:val="00500953"/>
    <w:rsid w:val="005018FF"/>
    <w:rsid w:val="005023C4"/>
    <w:rsid w:val="00503858"/>
    <w:rsid w:val="005038F9"/>
    <w:rsid w:val="00503D2E"/>
    <w:rsid w:val="00503F7F"/>
    <w:rsid w:val="0050400F"/>
    <w:rsid w:val="00504777"/>
    <w:rsid w:val="00504B14"/>
    <w:rsid w:val="00505061"/>
    <w:rsid w:val="00505EB5"/>
    <w:rsid w:val="005062A0"/>
    <w:rsid w:val="0050757F"/>
    <w:rsid w:val="0050760E"/>
    <w:rsid w:val="00507B8B"/>
    <w:rsid w:val="00510583"/>
    <w:rsid w:val="005107F8"/>
    <w:rsid w:val="00510E33"/>
    <w:rsid w:val="005117EB"/>
    <w:rsid w:val="0051207A"/>
    <w:rsid w:val="0051249A"/>
    <w:rsid w:val="00512D4D"/>
    <w:rsid w:val="005134DA"/>
    <w:rsid w:val="00513F05"/>
    <w:rsid w:val="00514B28"/>
    <w:rsid w:val="0051512E"/>
    <w:rsid w:val="00515B6E"/>
    <w:rsid w:val="00516ACB"/>
    <w:rsid w:val="00517047"/>
    <w:rsid w:val="005173E2"/>
    <w:rsid w:val="00521702"/>
    <w:rsid w:val="00522267"/>
    <w:rsid w:val="00522D12"/>
    <w:rsid w:val="00522E08"/>
    <w:rsid w:val="00523797"/>
    <w:rsid w:val="00523BA0"/>
    <w:rsid w:val="00523C40"/>
    <w:rsid w:val="00524341"/>
    <w:rsid w:val="00524E23"/>
    <w:rsid w:val="00524FAC"/>
    <w:rsid w:val="00526685"/>
    <w:rsid w:val="0052763F"/>
    <w:rsid w:val="00527FF3"/>
    <w:rsid w:val="0053022B"/>
    <w:rsid w:val="005306BE"/>
    <w:rsid w:val="00530CEB"/>
    <w:rsid w:val="0053124A"/>
    <w:rsid w:val="00532DE5"/>
    <w:rsid w:val="0053316D"/>
    <w:rsid w:val="0053373E"/>
    <w:rsid w:val="00534505"/>
    <w:rsid w:val="0053455C"/>
    <w:rsid w:val="00534727"/>
    <w:rsid w:val="00535808"/>
    <w:rsid w:val="00535AC8"/>
    <w:rsid w:val="00536BF1"/>
    <w:rsid w:val="00537B9F"/>
    <w:rsid w:val="00540627"/>
    <w:rsid w:val="00540A69"/>
    <w:rsid w:val="0054139A"/>
    <w:rsid w:val="0054268B"/>
    <w:rsid w:val="00542AE5"/>
    <w:rsid w:val="00543010"/>
    <w:rsid w:val="00543537"/>
    <w:rsid w:val="005438EC"/>
    <w:rsid w:val="005442AE"/>
    <w:rsid w:val="00544561"/>
    <w:rsid w:val="00544CFA"/>
    <w:rsid w:val="00544F06"/>
    <w:rsid w:val="0054517A"/>
    <w:rsid w:val="005451C0"/>
    <w:rsid w:val="0054565E"/>
    <w:rsid w:val="00545800"/>
    <w:rsid w:val="00545915"/>
    <w:rsid w:val="00545E1A"/>
    <w:rsid w:val="0054611F"/>
    <w:rsid w:val="00546D47"/>
    <w:rsid w:val="005472DA"/>
    <w:rsid w:val="00547740"/>
    <w:rsid w:val="00550619"/>
    <w:rsid w:val="00550A67"/>
    <w:rsid w:val="0055109F"/>
    <w:rsid w:val="0055294C"/>
    <w:rsid w:val="0055297C"/>
    <w:rsid w:val="00554313"/>
    <w:rsid w:val="005546F5"/>
    <w:rsid w:val="00554E26"/>
    <w:rsid w:val="005603E5"/>
    <w:rsid w:val="005604E6"/>
    <w:rsid w:val="005612A9"/>
    <w:rsid w:val="0056202A"/>
    <w:rsid w:val="00562D38"/>
    <w:rsid w:val="00563D2D"/>
    <w:rsid w:val="005648B1"/>
    <w:rsid w:val="00565B10"/>
    <w:rsid w:val="00565CD9"/>
    <w:rsid w:val="005665B4"/>
    <w:rsid w:val="0056666D"/>
    <w:rsid w:val="00566764"/>
    <w:rsid w:val="005668A0"/>
    <w:rsid w:val="00567FB6"/>
    <w:rsid w:val="005701FF"/>
    <w:rsid w:val="00570733"/>
    <w:rsid w:val="00570F57"/>
    <w:rsid w:val="0057180D"/>
    <w:rsid w:val="00571940"/>
    <w:rsid w:val="00571DB1"/>
    <w:rsid w:val="00572ADC"/>
    <w:rsid w:val="005732EE"/>
    <w:rsid w:val="00573BB0"/>
    <w:rsid w:val="00573E3A"/>
    <w:rsid w:val="00573EBD"/>
    <w:rsid w:val="00575079"/>
    <w:rsid w:val="0057585F"/>
    <w:rsid w:val="00575E37"/>
    <w:rsid w:val="005760BF"/>
    <w:rsid w:val="00576E65"/>
    <w:rsid w:val="00577095"/>
    <w:rsid w:val="00577E6B"/>
    <w:rsid w:val="00580608"/>
    <w:rsid w:val="00580738"/>
    <w:rsid w:val="005807B0"/>
    <w:rsid w:val="005809C4"/>
    <w:rsid w:val="00580B03"/>
    <w:rsid w:val="005815B2"/>
    <w:rsid w:val="005821FA"/>
    <w:rsid w:val="005827B9"/>
    <w:rsid w:val="00582911"/>
    <w:rsid w:val="005837AE"/>
    <w:rsid w:val="00584609"/>
    <w:rsid w:val="00584DF1"/>
    <w:rsid w:val="00584E00"/>
    <w:rsid w:val="00585102"/>
    <w:rsid w:val="005865A6"/>
    <w:rsid w:val="0058706A"/>
    <w:rsid w:val="0059074F"/>
    <w:rsid w:val="005918F1"/>
    <w:rsid w:val="00591DF9"/>
    <w:rsid w:val="00591EE4"/>
    <w:rsid w:val="00591F0D"/>
    <w:rsid w:val="00592456"/>
    <w:rsid w:val="00592505"/>
    <w:rsid w:val="005929BC"/>
    <w:rsid w:val="00592C69"/>
    <w:rsid w:val="00592DA4"/>
    <w:rsid w:val="00592E88"/>
    <w:rsid w:val="005938EA"/>
    <w:rsid w:val="005949EB"/>
    <w:rsid w:val="00595381"/>
    <w:rsid w:val="005963D8"/>
    <w:rsid w:val="0059684C"/>
    <w:rsid w:val="00596AFD"/>
    <w:rsid w:val="00597823"/>
    <w:rsid w:val="00597C5F"/>
    <w:rsid w:val="005A017A"/>
    <w:rsid w:val="005A0587"/>
    <w:rsid w:val="005A0654"/>
    <w:rsid w:val="005A1AD8"/>
    <w:rsid w:val="005A1ADF"/>
    <w:rsid w:val="005A2000"/>
    <w:rsid w:val="005A2A6E"/>
    <w:rsid w:val="005A2D87"/>
    <w:rsid w:val="005A3764"/>
    <w:rsid w:val="005A3852"/>
    <w:rsid w:val="005A3FAA"/>
    <w:rsid w:val="005A5100"/>
    <w:rsid w:val="005A52CC"/>
    <w:rsid w:val="005A6715"/>
    <w:rsid w:val="005A7200"/>
    <w:rsid w:val="005A7F8D"/>
    <w:rsid w:val="005B01A0"/>
    <w:rsid w:val="005B02D7"/>
    <w:rsid w:val="005B0619"/>
    <w:rsid w:val="005B0A6D"/>
    <w:rsid w:val="005B1222"/>
    <w:rsid w:val="005B16F3"/>
    <w:rsid w:val="005B27E3"/>
    <w:rsid w:val="005B2BB5"/>
    <w:rsid w:val="005B47E5"/>
    <w:rsid w:val="005B4B10"/>
    <w:rsid w:val="005B4F8B"/>
    <w:rsid w:val="005B57C3"/>
    <w:rsid w:val="005B592A"/>
    <w:rsid w:val="005B5AB3"/>
    <w:rsid w:val="005B68FB"/>
    <w:rsid w:val="005B6B51"/>
    <w:rsid w:val="005B704D"/>
    <w:rsid w:val="005B719E"/>
    <w:rsid w:val="005B7F3F"/>
    <w:rsid w:val="005C0643"/>
    <w:rsid w:val="005C0768"/>
    <w:rsid w:val="005C1C93"/>
    <w:rsid w:val="005C2599"/>
    <w:rsid w:val="005C2FB5"/>
    <w:rsid w:val="005C3F6F"/>
    <w:rsid w:val="005C4025"/>
    <w:rsid w:val="005C459B"/>
    <w:rsid w:val="005C45DD"/>
    <w:rsid w:val="005C4C69"/>
    <w:rsid w:val="005C525B"/>
    <w:rsid w:val="005C5619"/>
    <w:rsid w:val="005C5B2E"/>
    <w:rsid w:val="005C5E58"/>
    <w:rsid w:val="005C61FD"/>
    <w:rsid w:val="005C6565"/>
    <w:rsid w:val="005C6DD5"/>
    <w:rsid w:val="005C7423"/>
    <w:rsid w:val="005D020A"/>
    <w:rsid w:val="005D0384"/>
    <w:rsid w:val="005D0629"/>
    <w:rsid w:val="005D0642"/>
    <w:rsid w:val="005D0802"/>
    <w:rsid w:val="005D0A6C"/>
    <w:rsid w:val="005D0C02"/>
    <w:rsid w:val="005D1979"/>
    <w:rsid w:val="005D1B04"/>
    <w:rsid w:val="005D1D02"/>
    <w:rsid w:val="005D24E1"/>
    <w:rsid w:val="005D30D8"/>
    <w:rsid w:val="005D320C"/>
    <w:rsid w:val="005D3643"/>
    <w:rsid w:val="005D3A39"/>
    <w:rsid w:val="005D3E9F"/>
    <w:rsid w:val="005D4543"/>
    <w:rsid w:val="005D4608"/>
    <w:rsid w:val="005D5059"/>
    <w:rsid w:val="005D51B6"/>
    <w:rsid w:val="005D617E"/>
    <w:rsid w:val="005D6296"/>
    <w:rsid w:val="005D685C"/>
    <w:rsid w:val="005D69A5"/>
    <w:rsid w:val="005D7544"/>
    <w:rsid w:val="005D7789"/>
    <w:rsid w:val="005E1B13"/>
    <w:rsid w:val="005E1EA5"/>
    <w:rsid w:val="005E215A"/>
    <w:rsid w:val="005E22C9"/>
    <w:rsid w:val="005E2305"/>
    <w:rsid w:val="005E2503"/>
    <w:rsid w:val="005E254D"/>
    <w:rsid w:val="005E26B2"/>
    <w:rsid w:val="005E2FAA"/>
    <w:rsid w:val="005E39AB"/>
    <w:rsid w:val="005E3AAB"/>
    <w:rsid w:val="005E4365"/>
    <w:rsid w:val="005E4D12"/>
    <w:rsid w:val="005E64B0"/>
    <w:rsid w:val="005E74FE"/>
    <w:rsid w:val="005E78EA"/>
    <w:rsid w:val="005E7C36"/>
    <w:rsid w:val="005E7FC9"/>
    <w:rsid w:val="005F19D1"/>
    <w:rsid w:val="005F2DB3"/>
    <w:rsid w:val="005F3356"/>
    <w:rsid w:val="005F359C"/>
    <w:rsid w:val="005F38BF"/>
    <w:rsid w:val="005F3A8D"/>
    <w:rsid w:val="005F3CFC"/>
    <w:rsid w:val="005F419A"/>
    <w:rsid w:val="005F43B0"/>
    <w:rsid w:val="005F47EC"/>
    <w:rsid w:val="005F4C90"/>
    <w:rsid w:val="005F4FA0"/>
    <w:rsid w:val="005F5617"/>
    <w:rsid w:val="005F61E2"/>
    <w:rsid w:val="005F673B"/>
    <w:rsid w:val="005F788A"/>
    <w:rsid w:val="005F7F3A"/>
    <w:rsid w:val="006000D7"/>
    <w:rsid w:val="00600105"/>
    <w:rsid w:val="006002E4"/>
    <w:rsid w:val="0060085D"/>
    <w:rsid w:val="00600910"/>
    <w:rsid w:val="00600C7C"/>
    <w:rsid w:val="00600CE8"/>
    <w:rsid w:val="00600CF3"/>
    <w:rsid w:val="00600EBC"/>
    <w:rsid w:val="00601B83"/>
    <w:rsid w:val="00602260"/>
    <w:rsid w:val="006023DA"/>
    <w:rsid w:val="00602408"/>
    <w:rsid w:val="00602458"/>
    <w:rsid w:val="006025D8"/>
    <w:rsid w:val="00602678"/>
    <w:rsid w:val="00602C94"/>
    <w:rsid w:val="0060317D"/>
    <w:rsid w:val="006031B1"/>
    <w:rsid w:val="00603471"/>
    <w:rsid w:val="0060440D"/>
    <w:rsid w:val="00604692"/>
    <w:rsid w:val="00604A2E"/>
    <w:rsid w:val="006052F0"/>
    <w:rsid w:val="00605BD1"/>
    <w:rsid w:val="00605EC4"/>
    <w:rsid w:val="00606412"/>
    <w:rsid w:val="00606E88"/>
    <w:rsid w:val="00607083"/>
    <w:rsid w:val="00607141"/>
    <w:rsid w:val="00610693"/>
    <w:rsid w:val="00610B86"/>
    <w:rsid w:val="00611809"/>
    <w:rsid w:val="00611864"/>
    <w:rsid w:val="00611943"/>
    <w:rsid w:val="00611A70"/>
    <w:rsid w:val="00611D8D"/>
    <w:rsid w:val="0061263C"/>
    <w:rsid w:val="00612FB0"/>
    <w:rsid w:val="006150F0"/>
    <w:rsid w:val="00615B1B"/>
    <w:rsid w:val="00615C2E"/>
    <w:rsid w:val="006164CA"/>
    <w:rsid w:val="006175EE"/>
    <w:rsid w:val="006179D9"/>
    <w:rsid w:val="00617EFB"/>
    <w:rsid w:val="00620A6B"/>
    <w:rsid w:val="0062147B"/>
    <w:rsid w:val="00622604"/>
    <w:rsid w:val="00622717"/>
    <w:rsid w:val="00622B7F"/>
    <w:rsid w:val="00623A6F"/>
    <w:rsid w:val="00623CB1"/>
    <w:rsid w:val="00625E42"/>
    <w:rsid w:val="0063042E"/>
    <w:rsid w:val="00630CC3"/>
    <w:rsid w:val="00631054"/>
    <w:rsid w:val="006310F8"/>
    <w:rsid w:val="00631182"/>
    <w:rsid w:val="0063190F"/>
    <w:rsid w:val="006319FE"/>
    <w:rsid w:val="00632360"/>
    <w:rsid w:val="00632654"/>
    <w:rsid w:val="0063319D"/>
    <w:rsid w:val="006334DE"/>
    <w:rsid w:val="00633D0D"/>
    <w:rsid w:val="00633D52"/>
    <w:rsid w:val="00634A8F"/>
    <w:rsid w:val="00634DCF"/>
    <w:rsid w:val="00634F14"/>
    <w:rsid w:val="006355A1"/>
    <w:rsid w:val="00635D23"/>
    <w:rsid w:val="00635EEE"/>
    <w:rsid w:val="0063664A"/>
    <w:rsid w:val="00636671"/>
    <w:rsid w:val="00637001"/>
    <w:rsid w:val="0063740F"/>
    <w:rsid w:val="0063744E"/>
    <w:rsid w:val="00637827"/>
    <w:rsid w:val="006378AB"/>
    <w:rsid w:val="006379C8"/>
    <w:rsid w:val="00641131"/>
    <w:rsid w:val="0064177D"/>
    <w:rsid w:val="00642B01"/>
    <w:rsid w:val="0064414C"/>
    <w:rsid w:val="00644887"/>
    <w:rsid w:val="00644A79"/>
    <w:rsid w:val="00644EC1"/>
    <w:rsid w:val="0064598C"/>
    <w:rsid w:val="006462F8"/>
    <w:rsid w:val="006465CD"/>
    <w:rsid w:val="00646B8F"/>
    <w:rsid w:val="006473E5"/>
    <w:rsid w:val="00650A7B"/>
    <w:rsid w:val="00650B12"/>
    <w:rsid w:val="00650E11"/>
    <w:rsid w:val="006514B5"/>
    <w:rsid w:val="006518F4"/>
    <w:rsid w:val="00652D76"/>
    <w:rsid w:val="006536F8"/>
    <w:rsid w:val="00653A8F"/>
    <w:rsid w:val="00654650"/>
    <w:rsid w:val="006549A0"/>
    <w:rsid w:val="00655AF6"/>
    <w:rsid w:val="00655D0B"/>
    <w:rsid w:val="00655ED6"/>
    <w:rsid w:val="0065600E"/>
    <w:rsid w:val="00657740"/>
    <w:rsid w:val="00657B6A"/>
    <w:rsid w:val="006602D3"/>
    <w:rsid w:val="006611EF"/>
    <w:rsid w:val="00662520"/>
    <w:rsid w:val="00662738"/>
    <w:rsid w:val="00662786"/>
    <w:rsid w:val="0066294D"/>
    <w:rsid w:val="0066347D"/>
    <w:rsid w:val="006635D0"/>
    <w:rsid w:val="00663617"/>
    <w:rsid w:val="00664616"/>
    <w:rsid w:val="00664E4A"/>
    <w:rsid w:val="00665271"/>
    <w:rsid w:val="00665B38"/>
    <w:rsid w:val="00665B92"/>
    <w:rsid w:val="0066635C"/>
    <w:rsid w:val="00666C4A"/>
    <w:rsid w:val="0066789D"/>
    <w:rsid w:val="00670070"/>
    <w:rsid w:val="00670629"/>
    <w:rsid w:val="006706E1"/>
    <w:rsid w:val="0067080D"/>
    <w:rsid w:val="00670A55"/>
    <w:rsid w:val="00670C34"/>
    <w:rsid w:val="00670E17"/>
    <w:rsid w:val="00670F67"/>
    <w:rsid w:val="0067119F"/>
    <w:rsid w:val="006713D7"/>
    <w:rsid w:val="00671C5E"/>
    <w:rsid w:val="00672B30"/>
    <w:rsid w:val="0067396A"/>
    <w:rsid w:val="00673A4E"/>
    <w:rsid w:val="00674BC0"/>
    <w:rsid w:val="00674D08"/>
    <w:rsid w:val="00675237"/>
    <w:rsid w:val="00676507"/>
    <w:rsid w:val="0067653A"/>
    <w:rsid w:val="00676730"/>
    <w:rsid w:val="00677436"/>
    <w:rsid w:val="0068022C"/>
    <w:rsid w:val="00680842"/>
    <w:rsid w:val="0068160C"/>
    <w:rsid w:val="00682FB7"/>
    <w:rsid w:val="00685821"/>
    <w:rsid w:val="00685826"/>
    <w:rsid w:val="006865F9"/>
    <w:rsid w:val="006868A3"/>
    <w:rsid w:val="00686A6E"/>
    <w:rsid w:val="0068750C"/>
    <w:rsid w:val="00687707"/>
    <w:rsid w:val="00687A1E"/>
    <w:rsid w:val="00690695"/>
    <w:rsid w:val="00691D7F"/>
    <w:rsid w:val="0069217B"/>
    <w:rsid w:val="0069219D"/>
    <w:rsid w:val="006923AB"/>
    <w:rsid w:val="00693BFD"/>
    <w:rsid w:val="00693DB8"/>
    <w:rsid w:val="00694A6B"/>
    <w:rsid w:val="006950E5"/>
    <w:rsid w:val="0069654C"/>
    <w:rsid w:val="00696965"/>
    <w:rsid w:val="006A0354"/>
    <w:rsid w:val="006A08C8"/>
    <w:rsid w:val="006A0BFE"/>
    <w:rsid w:val="006A0D86"/>
    <w:rsid w:val="006A1E5D"/>
    <w:rsid w:val="006A25E0"/>
    <w:rsid w:val="006A273C"/>
    <w:rsid w:val="006A2C94"/>
    <w:rsid w:val="006A2E1B"/>
    <w:rsid w:val="006A328A"/>
    <w:rsid w:val="006A41BE"/>
    <w:rsid w:val="006A443C"/>
    <w:rsid w:val="006A4BAD"/>
    <w:rsid w:val="006A5A89"/>
    <w:rsid w:val="006A60E4"/>
    <w:rsid w:val="006A691A"/>
    <w:rsid w:val="006A76C5"/>
    <w:rsid w:val="006B0A3A"/>
    <w:rsid w:val="006B26A8"/>
    <w:rsid w:val="006B2E2E"/>
    <w:rsid w:val="006B2E73"/>
    <w:rsid w:val="006B34A1"/>
    <w:rsid w:val="006B40FC"/>
    <w:rsid w:val="006B4866"/>
    <w:rsid w:val="006B4E53"/>
    <w:rsid w:val="006B51EF"/>
    <w:rsid w:val="006B5534"/>
    <w:rsid w:val="006B5785"/>
    <w:rsid w:val="006B5AC4"/>
    <w:rsid w:val="006B5B8A"/>
    <w:rsid w:val="006B6B5F"/>
    <w:rsid w:val="006B75C8"/>
    <w:rsid w:val="006B7BDE"/>
    <w:rsid w:val="006B7D2D"/>
    <w:rsid w:val="006B7E37"/>
    <w:rsid w:val="006C01E1"/>
    <w:rsid w:val="006C041D"/>
    <w:rsid w:val="006C0B84"/>
    <w:rsid w:val="006C17AD"/>
    <w:rsid w:val="006C196D"/>
    <w:rsid w:val="006C256D"/>
    <w:rsid w:val="006C2790"/>
    <w:rsid w:val="006C29B9"/>
    <w:rsid w:val="006C3DF6"/>
    <w:rsid w:val="006C46A1"/>
    <w:rsid w:val="006C4732"/>
    <w:rsid w:val="006C512B"/>
    <w:rsid w:val="006C51E5"/>
    <w:rsid w:val="006C5B93"/>
    <w:rsid w:val="006C5DF2"/>
    <w:rsid w:val="006C6FB8"/>
    <w:rsid w:val="006C74D0"/>
    <w:rsid w:val="006D0AF9"/>
    <w:rsid w:val="006D213D"/>
    <w:rsid w:val="006D26A3"/>
    <w:rsid w:val="006D2E9D"/>
    <w:rsid w:val="006D36F1"/>
    <w:rsid w:val="006D495F"/>
    <w:rsid w:val="006D60C0"/>
    <w:rsid w:val="006D701E"/>
    <w:rsid w:val="006E10D4"/>
    <w:rsid w:val="006E14A7"/>
    <w:rsid w:val="006E1EEA"/>
    <w:rsid w:val="006E23B4"/>
    <w:rsid w:val="006E2532"/>
    <w:rsid w:val="006E28DC"/>
    <w:rsid w:val="006E3627"/>
    <w:rsid w:val="006E3709"/>
    <w:rsid w:val="006E42F8"/>
    <w:rsid w:val="006E45C8"/>
    <w:rsid w:val="006E4ACD"/>
    <w:rsid w:val="006E52A9"/>
    <w:rsid w:val="006E6133"/>
    <w:rsid w:val="006E630A"/>
    <w:rsid w:val="006E6481"/>
    <w:rsid w:val="006E6848"/>
    <w:rsid w:val="006E6849"/>
    <w:rsid w:val="006E6E2A"/>
    <w:rsid w:val="006E7654"/>
    <w:rsid w:val="006E7727"/>
    <w:rsid w:val="006E7A35"/>
    <w:rsid w:val="006F0620"/>
    <w:rsid w:val="006F08CF"/>
    <w:rsid w:val="006F0F22"/>
    <w:rsid w:val="006F115E"/>
    <w:rsid w:val="006F18D2"/>
    <w:rsid w:val="006F1C54"/>
    <w:rsid w:val="006F1EDD"/>
    <w:rsid w:val="006F259C"/>
    <w:rsid w:val="006F27D3"/>
    <w:rsid w:val="006F295E"/>
    <w:rsid w:val="006F2C11"/>
    <w:rsid w:val="006F2FF4"/>
    <w:rsid w:val="006F3AD9"/>
    <w:rsid w:val="006F4784"/>
    <w:rsid w:val="006F4AB8"/>
    <w:rsid w:val="006F5BD7"/>
    <w:rsid w:val="006F5E5A"/>
    <w:rsid w:val="006F6C6B"/>
    <w:rsid w:val="006F6C82"/>
    <w:rsid w:val="006F712E"/>
    <w:rsid w:val="006F7373"/>
    <w:rsid w:val="006F73BF"/>
    <w:rsid w:val="006F74DA"/>
    <w:rsid w:val="006F7B07"/>
    <w:rsid w:val="00700189"/>
    <w:rsid w:val="00700413"/>
    <w:rsid w:val="00700AC1"/>
    <w:rsid w:val="00701945"/>
    <w:rsid w:val="0070212A"/>
    <w:rsid w:val="00702A8F"/>
    <w:rsid w:val="007030D7"/>
    <w:rsid w:val="00703215"/>
    <w:rsid w:val="0070389C"/>
    <w:rsid w:val="0070390A"/>
    <w:rsid w:val="0070397F"/>
    <w:rsid w:val="00703D9F"/>
    <w:rsid w:val="00704AD7"/>
    <w:rsid w:val="00704EE4"/>
    <w:rsid w:val="0070599C"/>
    <w:rsid w:val="00705AE5"/>
    <w:rsid w:val="00705F26"/>
    <w:rsid w:val="0070629A"/>
    <w:rsid w:val="00706644"/>
    <w:rsid w:val="0070681D"/>
    <w:rsid w:val="00706F83"/>
    <w:rsid w:val="0070720F"/>
    <w:rsid w:val="00707421"/>
    <w:rsid w:val="007078D0"/>
    <w:rsid w:val="007101BE"/>
    <w:rsid w:val="007107E6"/>
    <w:rsid w:val="00710C80"/>
    <w:rsid w:val="00710C97"/>
    <w:rsid w:val="00710D57"/>
    <w:rsid w:val="00710D7D"/>
    <w:rsid w:val="00710EEA"/>
    <w:rsid w:val="0071133D"/>
    <w:rsid w:val="00711493"/>
    <w:rsid w:val="00711D57"/>
    <w:rsid w:val="00712609"/>
    <w:rsid w:val="00712DAC"/>
    <w:rsid w:val="007136E2"/>
    <w:rsid w:val="00714019"/>
    <w:rsid w:val="007153E5"/>
    <w:rsid w:val="007157C6"/>
    <w:rsid w:val="00716A02"/>
    <w:rsid w:val="00716E8B"/>
    <w:rsid w:val="00717C0A"/>
    <w:rsid w:val="00720201"/>
    <w:rsid w:val="00720381"/>
    <w:rsid w:val="00720382"/>
    <w:rsid w:val="0072159B"/>
    <w:rsid w:val="00721A19"/>
    <w:rsid w:val="00721AC1"/>
    <w:rsid w:val="00721E6D"/>
    <w:rsid w:val="007226B5"/>
    <w:rsid w:val="00722736"/>
    <w:rsid w:val="00723032"/>
    <w:rsid w:val="0072400B"/>
    <w:rsid w:val="007259F4"/>
    <w:rsid w:val="00726573"/>
    <w:rsid w:val="007266ED"/>
    <w:rsid w:val="00726C28"/>
    <w:rsid w:val="007270F8"/>
    <w:rsid w:val="00727449"/>
    <w:rsid w:val="00727BAC"/>
    <w:rsid w:val="00727BB7"/>
    <w:rsid w:val="007304F9"/>
    <w:rsid w:val="00730CA6"/>
    <w:rsid w:val="00731174"/>
    <w:rsid w:val="00731A26"/>
    <w:rsid w:val="00731BA2"/>
    <w:rsid w:val="007328C1"/>
    <w:rsid w:val="0073333F"/>
    <w:rsid w:val="00733EA8"/>
    <w:rsid w:val="00734607"/>
    <w:rsid w:val="0073463F"/>
    <w:rsid w:val="007350BE"/>
    <w:rsid w:val="0073579C"/>
    <w:rsid w:val="007362FE"/>
    <w:rsid w:val="0073650C"/>
    <w:rsid w:val="007365E3"/>
    <w:rsid w:val="00736619"/>
    <w:rsid w:val="00736B95"/>
    <w:rsid w:val="00736BFC"/>
    <w:rsid w:val="0073724F"/>
    <w:rsid w:val="00737AD7"/>
    <w:rsid w:val="00740139"/>
    <w:rsid w:val="007418C7"/>
    <w:rsid w:val="00741DF5"/>
    <w:rsid w:val="00743102"/>
    <w:rsid w:val="0074317A"/>
    <w:rsid w:val="00743646"/>
    <w:rsid w:val="00744C1B"/>
    <w:rsid w:val="00746AE5"/>
    <w:rsid w:val="00746B7D"/>
    <w:rsid w:val="0074728C"/>
    <w:rsid w:val="007477BF"/>
    <w:rsid w:val="007502BF"/>
    <w:rsid w:val="00750666"/>
    <w:rsid w:val="007508AF"/>
    <w:rsid w:val="00750B9D"/>
    <w:rsid w:val="00753A12"/>
    <w:rsid w:val="00753EDF"/>
    <w:rsid w:val="00754C24"/>
    <w:rsid w:val="0075553D"/>
    <w:rsid w:val="00755771"/>
    <w:rsid w:val="00755AB2"/>
    <w:rsid w:val="0075610E"/>
    <w:rsid w:val="007567C4"/>
    <w:rsid w:val="0075693F"/>
    <w:rsid w:val="0075736D"/>
    <w:rsid w:val="00762004"/>
    <w:rsid w:val="00762552"/>
    <w:rsid w:val="00763416"/>
    <w:rsid w:val="00764EE6"/>
    <w:rsid w:val="00765249"/>
    <w:rsid w:val="007652AA"/>
    <w:rsid w:val="007652BC"/>
    <w:rsid w:val="00765B96"/>
    <w:rsid w:val="00765DE8"/>
    <w:rsid w:val="007663A3"/>
    <w:rsid w:val="00767DCD"/>
    <w:rsid w:val="00770500"/>
    <w:rsid w:val="00770CEA"/>
    <w:rsid w:val="007711F8"/>
    <w:rsid w:val="0077136D"/>
    <w:rsid w:val="00771668"/>
    <w:rsid w:val="007724E5"/>
    <w:rsid w:val="00773107"/>
    <w:rsid w:val="007739F2"/>
    <w:rsid w:val="00774E98"/>
    <w:rsid w:val="00775309"/>
    <w:rsid w:val="00775534"/>
    <w:rsid w:val="007758FE"/>
    <w:rsid w:val="00775B3F"/>
    <w:rsid w:val="00775DD0"/>
    <w:rsid w:val="00775E02"/>
    <w:rsid w:val="00775FBF"/>
    <w:rsid w:val="00775FFC"/>
    <w:rsid w:val="00776238"/>
    <w:rsid w:val="00776250"/>
    <w:rsid w:val="007805E4"/>
    <w:rsid w:val="007806C1"/>
    <w:rsid w:val="00781C77"/>
    <w:rsid w:val="00782166"/>
    <w:rsid w:val="00783259"/>
    <w:rsid w:val="00784583"/>
    <w:rsid w:val="0078459F"/>
    <w:rsid w:val="00784F3F"/>
    <w:rsid w:val="00785E33"/>
    <w:rsid w:val="00786C20"/>
    <w:rsid w:val="00786E9E"/>
    <w:rsid w:val="00786F40"/>
    <w:rsid w:val="00787962"/>
    <w:rsid w:val="00787995"/>
    <w:rsid w:val="00787AD9"/>
    <w:rsid w:val="00790166"/>
    <w:rsid w:val="0079067F"/>
    <w:rsid w:val="00791032"/>
    <w:rsid w:val="0079291A"/>
    <w:rsid w:val="00792A0F"/>
    <w:rsid w:val="0079312F"/>
    <w:rsid w:val="00793499"/>
    <w:rsid w:val="007935F7"/>
    <w:rsid w:val="007943BD"/>
    <w:rsid w:val="007952B7"/>
    <w:rsid w:val="007955EB"/>
    <w:rsid w:val="0079575A"/>
    <w:rsid w:val="007A1ACF"/>
    <w:rsid w:val="007A2404"/>
    <w:rsid w:val="007A2976"/>
    <w:rsid w:val="007A58EB"/>
    <w:rsid w:val="007A6B52"/>
    <w:rsid w:val="007A6F7B"/>
    <w:rsid w:val="007A74D3"/>
    <w:rsid w:val="007A754C"/>
    <w:rsid w:val="007A75EA"/>
    <w:rsid w:val="007A7F8E"/>
    <w:rsid w:val="007B0492"/>
    <w:rsid w:val="007B0BBD"/>
    <w:rsid w:val="007B0D00"/>
    <w:rsid w:val="007B0E36"/>
    <w:rsid w:val="007B12FD"/>
    <w:rsid w:val="007B29DD"/>
    <w:rsid w:val="007B2D24"/>
    <w:rsid w:val="007B39FF"/>
    <w:rsid w:val="007B3C01"/>
    <w:rsid w:val="007B4177"/>
    <w:rsid w:val="007B44DC"/>
    <w:rsid w:val="007B60B1"/>
    <w:rsid w:val="007B6F18"/>
    <w:rsid w:val="007C0139"/>
    <w:rsid w:val="007C01DF"/>
    <w:rsid w:val="007C0759"/>
    <w:rsid w:val="007C0800"/>
    <w:rsid w:val="007C1CB5"/>
    <w:rsid w:val="007C2142"/>
    <w:rsid w:val="007C2362"/>
    <w:rsid w:val="007C2482"/>
    <w:rsid w:val="007C24EB"/>
    <w:rsid w:val="007C2711"/>
    <w:rsid w:val="007C274A"/>
    <w:rsid w:val="007C4C28"/>
    <w:rsid w:val="007C5434"/>
    <w:rsid w:val="007C55B6"/>
    <w:rsid w:val="007C5F28"/>
    <w:rsid w:val="007C64C3"/>
    <w:rsid w:val="007C6718"/>
    <w:rsid w:val="007C6894"/>
    <w:rsid w:val="007C69CF"/>
    <w:rsid w:val="007C6C1A"/>
    <w:rsid w:val="007C700E"/>
    <w:rsid w:val="007C7E66"/>
    <w:rsid w:val="007D0E97"/>
    <w:rsid w:val="007D11B4"/>
    <w:rsid w:val="007D11B9"/>
    <w:rsid w:val="007D1D6D"/>
    <w:rsid w:val="007D26F3"/>
    <w:rsid w:val="007D3B9E"/>
    <w:rsid w:val="007D3EFF"/>
    <w:rsid w:val="007D4757"/>
    <w:rsid w:val="007D4779"/>
    <w:rsid w:val="007D4AF7"/>
    <w:rsid w:val="007D54E3"/>
    <w:rsid w:val="007D56A9"/>
    <w:rsid w:val="007D65E4"/>
    <w:rsid w:val="007D68AC"/>
    <w:rsid w:val="007D7CCE"/>
    <w:rsid w:val="007D7FE6"/>
    <w:rsid w:val="007E02E1"/>
    <w:rsid w:val="007E053B"/>
    <w:rsid w:val="007E1211"/>
    <w:rsid w:val="007E12C4"/>
    <w:rsid w:val="007E181A"/>
    <w:rsid w:val="007E1B3F"/>
    <w:rsid w:val="007E1FE3"/>
    <w:rsid w:val="007E2189"/>
    <w:rsid w:val="007E2A8F"/>
    <w:rsid w:val="007E2C11"/>
    <w:rsid w:val="007E38A8"/>
    <w:rsid w:val="007E4008"/>
    <w:rsid w:val="007E42FE"/>
    <w:rsid w:val="007E4F46"/>
    <w:rsid w:val="007E5C75"/>
    <w:rsid w:val="007E6720"/>
    <w:rsid w:val="007E705D"/>
    <w:rsid w:val="007E7DE5"/>
    <w:rsid w:val="007E7F77"/>
    <w:rsid w:val="007F0677"/>
    <w:rsid w:val="007F088D"/>
    <w:rsid w:val="007F099D"/>
    <w:rsid w:val="007F1198"/>
    <w:rsid w:val="007F1FA4"/>
    <w:rsid w:val="007F3EFC"/>
    <w:rsid w:val="007F441A"/>
    <w:rsid w:val="007F4B40"/>
    <w:rsid w:val="007F5533"/>
    <w:rsid w:val="007F5D93"/>
    <w:rsid w:val="007F6007"/>
    <w:rsid w:val="007F65A1"/>
    <w:rsid w:val="007F6892"/>
    <w:rsid w:val="007F68D4"/>
    <w:rsid w:val="007F73F6"/>
    <w:rsid w:val="007F76FA"/>
    <w:rsid w:val="007F7D26"/>
    <w:rsid w:val="00800582"/>
    <w:rsid w:val="00800912"/>
    <w:rsid w:val="00800B3C"/>
    <w:rsid w:val="00801CB0"/>
    <w:rsid w:val="008033AB"/>
    <w:rsid w:val="0080353C"/>
    <w:rsid w:val="00804402"/>
    <w:rsid w:val="0080540B"/>
    <w:rsid w:val="00805895"/>
    <w:rsid w:val="008059A0"/>
    <w:rsid w:val="0080618E"/>
    <w:rsid w:val="00806546"/>
    <w:rsid w:val="008074AF"/>
    <w:rsid w:val="008077D9"/>
    <w:rsid w:val="00807F03"/>
    <w:rsid w:val="008100A0"/>
    <w:rsid w:val="0081014F"/>
    <w:rsid w:val="00810A0C"/>
    <w:rsid w:val="008118E0"/>
    <w:rsid w:val="00811EFB"/>
    <w:rsid w:val="00812CA4"/>
    <w:rsid w:val="00812DB2"/>
    <w:rsid w:val="00812F39"/>
    <w:rsid w:val="008131A8"/>
    <w:rsid w:val="0081372F"/>
    <w:rsid w:val="00813844"/>
    <w:rsid w:val="00813971"/>
    <w:rsid w:val="00816BB9"/>
    <w:rsid w:val="0082032B"/>
    <w:rsid w:val="008207DA"/>
    <w:rsid w:val="00822341"/>
    <w:rsid w:val="008235EA"/>
    <w:rsid w:val="008240C5"/>
    <w:rsid w:val="008252BE"/>
    <w:rsid w:val="008262F3"/>
    <w:rsid w:val="008265B4"/>
    <w:rsid w:val="008277C0"/>
    <w:rsid w:val="00827CE1"/>
    <w:rsid w:val="00830494"/>
    <w:rsid w:val="008305B8"/>
    <w:rsid w:val="00833363"/>
    <w:rsid w:val="00833EBD"/>
    <w:rsid w:val="00835195"/>
    <w:rsid w:val="008354FF"/>
    <w:rsid w:val="008355EC"/>
    <w:rsid w:val="00836690"/>
    <w:rsid w:val="008368AA"/>
    <w:rsid w:val="00840C43"/>
    <w:rsid w:val="008411F4"/>
    <w:rsid w:val="00842629"/>
    <w:rsid w:val="00842639"/>
    <w:rsid w:val="008428D6"/>
    <w:rsid w:val="00843B0B"/>
    <w:rsid w:val="00843E3F"/>
    <w:rsid w:val="00843FB3"/>
    <w:rsid w:val="00846A05"/>
    <w:rsid w:val="00846F8F"/>
    <w:rsid w:val="008478B1"/>
    <w:rsid w:val="00847ED8"/>
    <w:rsid w:val="008512B3"/>
    <w:rsid w:val="0085156F"/>
    <w:rsid w:val="008516DC"/>
    <w:rsid w:val="00851853"/>
    <w:rsid w:val="0085226B"/>
    <w:rsid w:val="0085256B"/>
    <w:rsid w:val="00852E9F"/>
    <w:rsid w:val="00853105"/>
    <w:rsid w:val="008543C2"/>
    <w:rsid w:val="00854CD6"/>
    <w:rsid w:val="00854E83"/>
    <w:rsid w:val="0085562E"/>
    <w:rsid w:val="00856798"/>
    <w:rsid w:val="00857DC7"/>
    <w:rsid w:val="00860440"/>
    <w:rsid w:val="00860C6D"/>
    <w:rsid w:val="00861724"/>
    <w:rsid w:val="00861F40"/>
    <w:rsid w:val="0086235A"/>
    <w:rsid w:val="008626F2"/>
    <w:rsid w:val="00863CBC"/>
    <w:rsid w:val="00863E3F"/>
    <w:rsid w:val="00864362"/>
    <w:rsid w:val="00864A57"/>
    <w:rsid w:val="00864ACD"/>
    <w:rsid w:val="00864CF0"/>
    <w:rsid w:val="008652FC"/>
    <w:rsid w:val="0086544A"/>
    <w:rsid w:val="00866555"/>
    <w:rsid w:val="0086676A"/>
    <w:rsid w:val="00866881"/>
    <w:rsid w:val="008668DA"/>
    <w:rsid w:val="00866B7F"/>
    <w:rsid w:val="008671F0"/>
    <w:rsid w:val="008671FA"/>
    <w:rsid w:val="00867601"/>
    <w:rsid w:val="00867830"/>
    <w:rsid w:val="00867D55"/>
    <w:rsid w:val="008703EC"/>
    <w:rsid w:val="0087154F"/>
    <w:rsid w:val="0087187C"/>
    <w:rsid w:val="008728D7"/>
    <w:rsid w:val="00872988"/>
    <w:rsid w:val="00873CE7"/>
    <w:rsid w:val="008742A2"/>
    <w:rsid w:val="00874335"/>
    <w:rsid w:val="00875754"/>
    <w:rsid w:val="0087623F"/>
    <w:rsid w:val="008774D0"/>
    <w:rsid w:val="00880E82"/>
    <w:rsid w:val="00881F2D"/>
    <w:rsid w:val="00881F82"/>
    <w:rsid w:val="008823B6"/>
    <w:rsid w:val="00882B96"/>
    <w:rsid w:val="00882DC0"/>
    <w:rsid w:val="00882F29"/>
    <w:rsid w:val="0088321D"/>
    <w:rsid w:val="0088345D"/>
    <w:rsid w:val="00883681"/>
    <w:rsid w:val="0088493A"/>
    <w:rsid w:val="00884FCD"/>
    <w:rsid w:val="008855A4"/>
    <w:rsid w:val="00885D40"/>
    <w:rsid w:val="00886392"/>
    <w:rsid w:val="00886912"/>
    <w:rsid w:val="0088715E"/>
    <w:rsid w:val="0088728B"/>
    <w:rsid w:val="0088784A"/>
    <w:rsid w:val="00887879"/>
    <w:rsid w:val="00890425"/>
    <w:rsid w:val="00890465"/>
    <w:rsid w:val="00891170"/>
    <w:rsid w:val="0089164B"/>
    <w:rsid w:val="00891A9F"/>
    <w:rsid w:val="00892438"/>
    <w:rsid w:val="0089277F"/>
    <w:rsid w:val="008933F7"/>
    <w:rsid w:val="00893B74"/>
    <w:rsid w:val="00894FBE"/>
    <w:rsid w:val="00895F4F"/>
    <w:rsid w:val="0089674C"/>
    <w:rsid w:val="0089684C"/>
    <w:rsid w:val="00896F69"/>
    <w:rsid w:val="00897351"/>
    <w:rsid w:val="00897952"/>
    <w:rsid w:val="008A04FC"/>
    <w:rsid w:val="008A0AAC"/>
    <w:rsid w:val="008A0CA9"/>
    <w:rsid w:val="008A0E6A"/>
    <w:rsid w:val="008A1975"/>
    <w:rsid w:val="008A260C"/>
    <w:rsid w:val="008A2A31"/>
    <w:rsid w:val="008A2A99"/>
    <w:rsid w:val="008A2E7D"/>
    <w:rsid w:val="008A306D"/>
    <w:rsid w:val="008A3A35"/>
    <w:rsid w:val="008A3DEF"/>
    <w:rsid w:val="008A3F9B"/>
    <w:rsid w:val="008A4EC4"/>
    <w:rsid w:val="008A53B6"/>
    <w:rsid w:val="008A5DD5"/>
    <w:rsid w:val="008A6A2D"/>
    <w:rsid w:val="008B0045"/>
    <w:rsid w:val="008B0058"/>
    <w:rsid w:val="008B05A8"/>
    <w:rsid w:val="008B090C"/>
    <w:rsid w:val="008B225C"/>
    <w:rsid w:val="008B2952"/>
    <w:rsid w:val="008B2FC3"/>
    <w:rsid w:val="008B325F"/>
    <w:rsid w:val="008B3E43"/>
    <w:rsid w:val="008B41C4"/>
    <w:rsid w:val="008B488C"/>
    <w:rsid w:val="008B62A7"/>
    <w:rsid w:val="008B75C8"/>
    <w:rsid w:val="008B7736"/>
    <w:rsid w:val="008C0057"/>
    <w:rsid w:val="008C063B"/>
    <w:rsid w:val="008C129D"/>
    <w:rsid w:val="008C14A9"/>
    <w:rsid w:val="008C177C"/>
    <w:rsid w:val="008C1F0A"/>
    <w:rsid w:val="008C25AB"/>
    <w:rsid w:val="008C26D9"/>
    <w:rsid w:val="008C2786"/>
    <w:rsid w:val="008C27E4"/>
    <w:rsid w:val="008C3061"/>
    <w:rsid w:val="008C3AAB"/>
    <w:rsid w:val="008C41E5"/>
    <w:rsid w:val="008C4205"/>
    <w:rsid w:val="008C451F"/>
    <w:rsid w:val="008C4A83"/>
    <w:rsid w:val="008C4BC1"/>
    <w:rsid w:val="008C504D"/>
    <w:rsid w:val="008C5556"/>
    <w:rsid w:val="008C5634"/>
    <w:rsid w:val="008C5A2C"/>
    <w:rsid w:val="008C6F67"/>
    <w:rsid w:val="008C72C4"/>
    <w:rsid w:val="008C7385"/>
    <w:rsid w:val="008C742F"/>
    <w:rsid w:val="008C7FEB"/>
    <w:rsid w:val="008D0960"/>
    <w:rsid w:val="008D149D"/>
    <w:rsid w:val="008D1B06"/>
    <w:rsid w:val="008D253A"/>
    <w:rsid w:val="008D278B"/>
    <w:rsid w:val="008D2ED1"/>
    <w:rsid w:val="008D2EE4"/>
    <w:rsid w:val="008D2FCE"/>
    <w:rsid w:val="008D317D"/>
    <w:rsid w:val="008D34BC"/>
    <w:rsid w:val="008D43B9"/>
    <w:rsid w:val="008D467A"/>
    <w:rsid w:val="008D68D9"/>
    <w:rsid w:val="008D71F2"/>
    <w:rsid w:val="008D7423"/>
    <w:rsid w:val="008E0069"/>
    <w:rsid w:val="008E0E63"/>
    <w:rsid w:val="008E0E8F"/>
    <w:rsid w:val="008E1D7A"/>
    <w:rsid w:val="008E20B0"/>
    <w:rsid w:val="008E25E3"/>
    <w:rsid w:val="008E262F"/>
    <w:rsid w:val="008E2A16"/>
    <w:rsid w:val="008E4224"/>
    <w:rsid w:val="008E4FFF"/>
    <w:rsid w:val="008E5460"/>
    <w:rsid w:val="008E5A1A"/>
    <w:rsid w:val="008E5C2B"/>
    <w:rsid w:val="008E6C94"/>
    <w:rsid w:val="008E6F15"/>
    <w:rsid w:val="008E733D"/>
    <w:rsid w:val="008E7846"/>
    <w:rsid w:val="008E7A90"/>
    <w:rsid w:val="008E7B3E"/>
    <w:rsid w:val="008E7D3A"/>
    <w:rsid w:val="008F003F"/>
    <w:rsid w:val="008F0108"/>
    <w:rsid w:val="008F0C71"/>
    <w:rsid w:val="008F1212"/>
    <w:rsid w:val="008F18C3"/>
    <w:rsid w:val="008F1CDC"/>
    <w:rsid w:val="008F2327"/>
    <w:rsid w:val="008F368F"/>
    <w:rsid w:val="008F4141"/>
    <w:rsid w:val="008F4AF5"/>
    <w:rsid w:val="008F4B27"/>
    <w:rsid w:val="008F5664"/>
    <w:rsid w:val="008F61E3"/>
    <w:rsid w:val="008F6A73"/>
    <w:rsid w:val="008F6FCC"/>
    <w:rsid w:val="008F70B6"/>
    <w:rsid w:val="008F74E4"/>
    <w:rsid w:val="008F7A7D"/>
    <w:rsid w:val="009009BA"/>
    <w:rsid w:val="00900A3A"/>
    <w:rsid w:val="00900EC5"/>
    <w:rsid w:val="00901965"/>
    <w:rsid w:val="00901BE5"/>
    <w:rsid w:val="00901D9F"/>
    <w:rsid w:val="00902A22"/>
    <w:rsid w:val="00902A90"/>
    <w:rsid w:val="00902B78"/>
    <w:rsid w:val="00902D95"/>
    <w:rsid w:val="0090379D"/>
    <w:rsid w:val="00903E5B"/>
    <w:rsid w:val="00904650"/>
    <w:rsid w:val="00904C23"/>
    <w:rsid w:val="0090560C"/>
    <w:rsid w:val="00905697"/>
    <w:rsid w:val="0090593C"/>
    <w:rsid w:val="00905EE7"/>
    <w:rsid w:val="0090611D"/>
    <w:rsid w:val="00907A44"/>
    <w:rsid w:val="00907A4A"/>
    <w:rsid w:val="00907E68"/>
    <w:rsid w:val="00910405"/>
    <w:rsid w:val="00912C15"/>
    <w:rsid w:val="00913FE2"/>
    <w:rsid w:val="009140D6"/>
    <w:rsid w:val="009140E8"/>
    <w:rsid w:val="009158FD"/>
    <w:rsid w:val="00915B96"/>
    <w:rsid w:val="00915E8E"/>
    <w:rsid w:val="00916788"/>
    <w:rsid w:val="00916C6D"/>
    <w:rsid w:val="00917C26"/>
    <w:rsid w:val="00920553"/>
    <w:rsid w:val="00920ABE"/>
    <w:rsid w:val="009235BD"/>
    <w:rsid w:val="009236E7"/>
    <w:rsid w:val="009241CD"/>
    <w:rsid w:val="00924BA5"/>
    <w:rsid w:val="00925DD6"/>
    <w:rsid w:val="00925F7C"/>
    <w:rsid w:val="00926E11"/>
    <w:rsid w:val="0092791B"/>
    <w:rsid w:val="0093038A"/>
    <w:rsid w:val="00930447"/>
    <w:rsid w:val="00930A91"/>
    <w:rsid w:val="00930FA3"/>
    <w:rsid w:val="00932249"/>
    <w:rsid w:val="00932E31"/>
    <w:rsid w:val="00932E5B"/>
    <w:rsid w:val="00933290"/>
    <w:rsid w:val="009332F0"/>
    <w:rsid w:val="0093398E"/>
    <w:rsid w:val="00933CA4"/>
    <w:rsid w:val="00934192"/>
    <w:rsid w:val="0093473B"/>
    <w:rsid w:val="00934957"/>
    <w:rsid w:val="00934B64"/>
    <w:rsid w:val="00935673"/>
    <w:rsid w:val="00935903"/>
    <w:rsid w:val="00935D25"/>
    <w:rsid w:val="009365C1"/>
    <w:rsid w:val="009368FA"/>
    <w:rsid w:val="0093696F"/>
    <w:rsid w:val="00936C47"/>
    <w:rsid w:val="009374A7"/>
    <w:rsid w:val="009404FF"/>
    <w:rsid w:val="00941396"/>
    <w:rsid w:val="009425C6"/>
    <w:rsid w:val="00942EC3"/>
    <w:rsid w:val="00942ECE"/>
    <w:rsid w:val="0094336B"/>
    <w:rsid w:val="0094389C"/>
    <w:rsid w:val="00943B4B"/>
    <w:rsid w:val="0094680B"/>
    <w:rsid w:val="009468CE"/>
    <w:rsid w:val="00946C9C"/>
    <w:rsid w:val="00946D7E"/>
    <w:rsid w:val="009477D2"/>
    <w:rsid w:val="0095095E"/>
    <w:rsid w:val="00950A9D"/>
    <w:rsid w:val="0095132C"/>
    <w:rsid w:val="0095176A"/>
    <w:rsid w:val="009526B6"/>
    <w:rsid w:val="009531C0"/>
    <w:rsid w:val="009543AE"/>
    <w:rsid w:val="00954C5F"/>
    <w:rsid w:val="009554E5"/>
    <w:rsid w:val="00955962"/>
    <w:rsid w:val="00955C32"/>
    <w:rsid w:val="00955D2D"/>
    <w:rsid w:val="00956194"/>
    <w:rsid w:val="00956C0B"/>
    <w:rsid w:val="00956F89"/>
    <w:rsid w:val="00957680"/>
    <w:rsid w:val="009577A5"/>
    <w:rsid w:val="009579AF"/>
    <w:rsid w:val="009606FD"/>
    <w:rsid w:val="00960A64"/>
    <w:rsid w:val="00960BB1"/>
    <w:rsid w:val="00961A0A"/>
    <w:rsid w:val="00962E1A"/>
    <w:rsid w:val="00963703"/>
    <w:rsid w:val="0096496A"/>
    <w:rsid w:val="00965435"/>
    <w:rsid w:val="0096545F"/>
    <w:rsid w:val="0096567B"/>
    <w:rsid w:val="0096575D"/>
    <w:rsid w:val="00965896"/>
    <w:rsid w:val="00966012"/>
    <w:rsid w:val="00966812"/>
    <w:rsid w:val="00966E92"/>
    <w:rsid w:val="009679CC"/>
    <w:rsid w:val="0097046C"/>
    <w:rsid w:val="009706F6"/>
    <w:rsid w:val="00970BA7"/>
    <w:rsid w:val="00971E46"/>
    <w:rsid w:val="00971FA6"/>
    <w:rsid w:val="0097275B"/>
    <w:rsid w:val="00972D9B"/>
    <w:rsid w:val="0097422F"/>
    <w:rsid w:val="00974911"/>
    <w:rsid w:val="009749B1"/>
    <w:rsid w:val="00976822"/>
    <w:rsid w:val="00976D2C"/>
    <w:rsid w:val="0097705D"/>
    <w:rsid w:val="00980434"/>
    <w:rsid w:val="009805C7"/>
    <w:rsid w:val="009810D5"/>
    <w:rsid w:val="00981270"/>
    <w:rsid w:val="00981F26"/>
    <w:rsid w:val="0098226D"/>
    <w:rsid w:val="00982463"/>
    <w:rsid w:val="009829B8"/>
    <w:rsid w:val="00982F1D"/>
    <w:rsid w:val="00983537"/>
    <w:rsid w:val="00984006"/>
    <w:rsid w:val="00984EDA"/>
    <w:rsid w:val="009851B3"/>
    <w:rsid w:val="009855D4"/>
    <w:rsid w:val="0098567A"/>
    <w:rsid w:val="00986102"/>
    <w:rsid w:val="00986684"/>
    <w:rsid w:val="009867CE"/>
    <w:rsid w:val="00986DF9"/>
    <w:rsid w:val="00987392"/>
    <w:rsid w:val="00987AEB"/>
    <w:rsid w:val="00987F77"/>
    <w:rsid w:val="00990BEE"/>
    <w:rsid w:val="00991AB2"/>
    <w:rsid w:val="0099203B"/>
    <w:rsid w:val="0099246A"/>
    <w:rsid w:val="0099291A"/>
    <w:rsid w:val="0099351D"/>
    <w:rsid w:val="009938D1"/>
    <w:rsid w:val="00993E83"/>
    <w:rsid w:val="00995365"/>
    <w:rsid w:val="009953DA"/>
    <w:rsid w:val="00995535"/>
    <w:rsid w:val="00995781"/>
    <w:rsid w:val="00995D19"/>
    <w:rsid w:val="00995E9A"/>
    <w:rsid w:val="00995FE5"/>
    <w:rsid w:val="00996A0F"/>
    <w:rsid w:val="00996BB7"/>
    <w:rsid w:val="009A00B6"/>
    <w:rsid w:val="009A09BD"/>
    <w:rsid w:val="009A1897"/>
    <w:rsid w:val="009A1D8A"/>
    <w:rsid w:val="009A22E9"/>
    <w:rsid w:val="009A2697"/>
    <w:rsid w:val="009A3861"/>
    <w:rsid w:val="009A3D9A"/>
    <w:rsid w:val="009A4C97"/>
    <w:rsid w:val="009A4ED1"/>
    <w:rsid w:val="009A563F"/>
    <w:rsid w:val="009A5A4C"/>
    <w:rsid w:val="009A65B8"/>
    <w:rsid w:val="009A6B28"/>
    <w:rsid w:val="009A7C07"/>
    <w:rsid w:val="009B0A8C"/>
    <w:rsid w:val="009B1069"/>
    <w:rsid w:val="009B1D03"/>
    <w:rsid w:val="009B27F5"/>
    <w:rsid w:val="009B330B"/>
    <w:rsid w:val="009B3592"/>
    <w:rsid w:val="009B35E1"/>
    <w:rsid w:val="009B459A"/>
    <w:rsid w:val="009B463E"/>
    <w:rsid w:val="009B4C1D"/>
    <w:rsid w:val="009B4D4A"/>
    <w:rsid w:val="009B5247"/>
    <w:rsid w:val="009B58FC"/>
    <w:rsid w:val="009B66B4"/>
    <w:rsid w:val="009B682C"/>
    <w:rsid w:val="009B749A"/>
    <w:rsid w:val="009B74A4"/>
    <w:rsid w:val="009B7870"/>
    <w:rsid w:val="009B7967"/>
    <w:rsid w:val="009B7A99"/>
    <w:rsid w:val="009C0627"/>
    <w:rsid w:val="009C0D71"/>
    <w:rsid w:val="009C132A"/>
    <w:rsid w:val="009C2080"/>
    <w:rsid w:val="009C2816"/>
    <w:rsid w:val="009C4F47"/>
    <w:rsid w:val="009C6E97"/>
    <w:rsid w:val="009C74E3"/>
    <w:rsid w:val="009C7AEF"/>
    <w:rsid w:val="009D0E87"/>
    <w:rsid w:val="009D13B1"/>
    <w:rsid w:val="009D16AC"/>
    <w:rsid w:val="009D322B"/>
    <w:rsid w:val="009D393E"/>
    <w:rsid w:val="009D44B3"/>
    <w:rsid w:val="009D49DE"/>
    <w:rsid w:val="009D4B05"/>
    <w:rsid w:val="009D4BB8"/>
    <w:rsid w:val="009D50FB"/>
    <w:rsid w:val="009D56EE"/>
    <w:rsid w:val="009D5BAA"/>
    <w:rsid w:val="009D5E5D"/>
    <w:rsid w:val="009D6AC5"/>
    <w:rsid w:val="009D6BA0"/>
    <w:rsid w:val="009D731F"/>
    <w:rsid w:val="009D757B"/>
    <w:rsid w:val="009D77EF"/>
    <w:rsid w:val="009E05AF"/>
    <w:rsid w:val="009E07F3"/>
    <w:rsid w:val="009E0E27"/>
    <w:rsid w:val="009E1A4A"/>
    <w:rsid w:val="009E21D1"/>
    <w:rsid w:val="009E21E7"/>
    <w:rsid w:val="009E25F4"/>
    <w:rsid w:val="009E301E"/>
    <w:rsid w:val="009E32AD"/>
    <w:rsid w:val="009E342C"/>
    <w:rsid w:val="009E471E"/>
    <w:rsid w:val="009E53CA"/>
    <w:rsid w:val="009E5857"/>
    <w:rsid w:val="009E5B61"/>
    <w:rsid w:val="009E6B77"/>
    <w:rsid w:val="009F025E"/>
    <w:rsid w:val="009F0723"/>
    <w:rsid w:val="009F0E80"/>
    <w:rsid w:val="009F146D"/>
    <w:rsid w:val="009F160E"/>
    <w:rsid w:val="009F2545"/>
    <w:rsid w:val="009F2FF5"/>
    <w:rsid w:val="009F30AE"/>
    <w:rsid w:val="009F3DFD"/>
    <w:rsid w:val="009F592C"/>
    <w:rsid w:val="009F6843"/>
    <w:rsid w:val="009F7755"/>
    <w:rsid w:val="009F7839"/>
    <w:rsid w:val="009F7D61"/>
    <w:rsid w:val="009F7D78"/>
    <w:rsid w:val="00A007F8"/>
    <w:rsid w:val="00A01CBC"/>
    <w:rsid w:val="00A022FC"/>
    <w:rsid w:val="00A024E7"/>
    <w:rsid w:val="00A02872"/>
    <w:rsid w:val="00A02EB2"/>
    <w:rsid w:val="00A035EF"/>
    <w:rsid w:val="00A0419D"/>
    <w:rsid w:val="00A05648"/>
    <w:rsid w:val="00A05A51"/>
    <w:rsid w:val="00A05B74"/>
    <w:rsid w:val="00A05E78"/>
    <w:rsid w:val="00A0671B"/>
    <w:rsid w:val="00A06D37"/>
    <w:rsid w:val="00A06E82"/>
    <w:rsid w:val="00A0787D"/>
    <w:rsid w:val="00A105F4"/>
    <w:rsid w:val="00A1087A"/>
    <w:rsid w:val="00A11076"/>
    <w:rsid w:val="00A1179D"/>
    <w:rsid w:val="00A119B5"/>
    <w:rsid w:val="00A1217E"/>
    <w:rsid w:val="00A12D9D"/>
    <w:rsid w:val="00A132D0"/>
    <w:rsid w:val="00A1367B"/>
    <w:rsid w:val="00A1423B"/>
    <w:rsid w:val="00A149B1"/>
    <w:rsid w:val="00A14E2A"/>
    <w:rsid w:val="00A14E61"/>
    <w:rsid w:val="00A158D9"/>
    <w:rsid w:val="00A166AD"/>
    <w:rsid w:val="00A16FFA"/>
    <w:rsid w:val="00A1719E"/>
    <w:rsid w:val="00A17336"/>
    <w:rsid w:val="00A17BE7"/>
    <w:rsid w:val="00A17D11"/>
    <w:rsid w:val="00A200F3"/>
    <w:rsid w:val="00A2012C"/>
    <w:rsid w:val="00A21674"/>
    <w:rsid w:val="00A21BD3"/>
    <w:rsid w:val="00A21D03"/>
    <w:rsid w:val="00A21D85"/>
    <w:rsid w:val="00A21E6B"/>
    <w:rsid w:val="00A23A81"/>
    <w:rsid w:val="00A23F3C"/>
    <w:rsid w:val="00A24CD6"/>
    <w:rsid w:val="00A2558F"/>
    <w:rsid w:val="00A2579F"/>
    <w:rsid w:val="00A266D7"/>
    <w:rsid w:val="00A2684C"/>
    <w:rsid w:val="00A27BE1"/>
    <w:rsid w:val="00A30115"/>
    <w:rsid w:val="00A3051C"/>
    <w:rsid w:val="00A30954"/>
    <w:rsid w:val="00A30BB8"/>
    <w:rsid w:val="00A31978"/>
    <w:rsid w:val="00A31FFC"/>
    <w:rsid w:val="00A332DA"/>
    <w:rsid w:val="00A336B9"/>
    <w:rsid w:val="00A33A2E"/>
    <w:rsid w:val="00A33E97"/>
    <w:rsid w:val="00A33FC2"/>
    <w:rsid w:val="00A351D5"/>
    <w:rsid w:val="00A35DD8"/>
    <w:rsid w:val="00A36EB8"/>
    <w:rsid w:val="00A37319"/>
    <w:rsid w:val="00A37EC7"/>
    <w:rsid w:val="00A4042B"/>
    <w:rsid w:val="00A41874"/>
    <w:rsid w:val="00A4199A"/>
    <w:rsid w:val="00A41F99"/>
    <w:rsid w:val="00A42003"/>
    <w:rsid w:val="00A42604"/>
    <w:rsid w:val="00A438BD"/>
    <w:rsid w:val="00A43BCA"/>
    <w:rsid w:val="00A43CA4"/>
    <w:rsid w:val="00A451D6"/>
    <w:rsid w:val="00A454BB"/>
    <w:rsid w:val="00A45DF1"/>
    <w:rsid w:val="00A45E19"/>
    <w:rsid w:val="00A46541"/>
    <w:rsid w:val="00A468AA"/>
    <w:rsid w:val="00A46EBE"/>
    <w:rsid w:val="00A46FB8"/>
    <w:rsid w:val="00A47356"/>
    <w:rsid w:val="00A47BF2"/>
    <w:rsid w:val="00A47F8E"/>
    <w:rsid w:val="00A50419"/>
    <w:rsid w:val="00A50DEF"/>
    <w:rsid w:val="00A52AE6"/>
    <w:rsid w:val="00A53655"/>
    <w:rsid w:val="00A542F4"/>
    <w:rsid w:val="00A545D0"/>
    <w:rsid w:val="00A55891"/>
    <w:rsid w:val="00A559CF"/>
    <w:rsid w:val="00A55E29"/>
    <w:rsid w:val="00A56173"/>
    <w:rsid w:val="00A56923"/>
    <w:rsid w:val="00A5786B"/>
    <w:rsid w:val="00A57C70"/>
    <w:rsid w:val="00A6011C"/>
    <w:rsid w:val="00A6023A"/>
    <w:rsid w:val="00A61435"/>
    <w:rsid w:val="00A6185C"/>
    <w:rsid w:val="00A618BF"/>
    <w:rsid w:val="00A61C30"/>
    <w:rsid w:val="00A624FD"/>
    <w:rsid w:val="00A63448"/>
    <w:rsid w:val="00A64027"/>
    <w:rsid w:val="00A6585E"/>
    <w:rsid w:val="00A66572"/>
    <w:rsid w:val="00A67E1F"/>
    <w:rsid w:val="00A705AE"/>
    <w:rsid w:val="00A707D7"/>
    <w:rsid w:val="00A72D70"/>
    <w:rsid w:val="00A72EB6"/>
    <w:rsid w:val="00A7366D"/>
    <w:rsid w:val="00A73847"/>
    <w:rsid w:val="00A73BDD"/>
    <w:rsid w:val="00A7471F"/>
    <w:rsid w:val="00A749CD"/>
    <w:rsid w:val="00A751CD"/>
    <w:rsid w:val="00A75791"/>
    <w:rsid w:val="00A75F9E"/>
    <w:rsid w:val="00A7628B"/>
    <w:rsid w:val="00A77127"/>
    <w:rsid w:val="00A77544"/>
    <w:rsid w:val="00A775D5"/>
    <w:rsid w:val="00A800D3"/>
    <w:rsid w:val="00A8234C"/>
    <w:rsid w:val="00A8284A"/>
    <w:rsid w:val="00A8299A"/>
    <w:rsid w:val="00A8351C"/>
    <w:rsid w:val="00A83731"/>
    <w:rsid w:val="00A8476F"/>
    <w:rsid w:val="00A8582A"/>
    <w:rsid w:val="00A85F72"/>
    <w:rsid w:val="00A87425"/>
    <w:rsid w:val="00A90AA7"/>
    <w:rsid w:val="00A911B0"/>
    <w:rsid w:val="00A918D9"/>
    <w:rsid w:val="00A91DD1"/>
    <w:rsid w:val="00A92DB1"/>
    <w:rsid w:val="00A93F11"/>
    <w:rsid w:val="00A9524C"/>
    <w:rsid w:val="00A9637F"/>
    <w:rsid w:val="00A96831"/>
    <w:rsid w:val="00A96F98"/>
    <w:rsid w:val="00A97443"/>
    <w:rsid w:val="00A97927"/>
    <w:rsid w:val="00AA18C0"/>
    <w:rsid w:val="00AA31F8"/>
    <w:rsid w:val="00AA38C4"/>
    <w:rsid w:val="00AA3B45"/>
    <w:rsid w:val="00AA4EE6"/>
    <w:rsid w:val="00AA547F"/>
    <w:rsid w:val="00AA5846"/>
    <w:rsid w:val="00AA5D83"/>
    <w:rsid w:val="00AA5F55"/>
    <w:rsid w:val="00AA614A"/>
    <w:rsid w:val="00AA61B6"/>
    <w:rsid w:val="00AA626D"/>
    <w:rsid w:val="00AA705C"/>
    <w:rsid w:val="00AA7CF5"/>
    <w:rsid w:val="00AB075B"/>
    <w:rsid w:val="00AB08B9"/>
    <w:rsid w:val="00AB1671"/>
    <w:rsid w:val="00AB22D4"/>
    <w:rsid w:val="00AB2730"/>
    <w:rsid w:val="00AB2877"/>
    <w:rsid w:val="00AB330C"/>
    <w:rsid w:val="00AB3DC9"/>
    <w:rsid w:val="00AB4AAA"/>
    <w:rsid w:val="00AB4B0C"/>
    <w:rsid w:val="00AB4CB9"/>
    <w:rsid w:val="00AB6B60"/>
    <w:rsid w:val="00AB7533"/>
    <w:rsid w:val="00AB7A33"/>
    <w:rsid w:val="00AC0D0E"/>
    <w:rsid w:val="00AC0F1F"/>
    <w:rsid w:val="00AC2C75"/>
    <w:rsid w:val="00AC2E6B"/>
    <w:rsid w:val="00AC4838"/>
    <w:rsid w:val="00AC4B1A"/>
    <w:rsid w:val="00AC5909"/>
    <w:rsid w:val="00AC6BEA"/>
    <w:rsid w:val="00AC71C3"/>
    <w:rsid w:val="00AC74FA"/>
    <w:rsid w:val="00AC7AB7"/>
    <w:rsid w:val="00AC7DE6"/>
    <w:rsid w:val="00AD0001"/>
    <w:rsid w:val="00AD044D"/>
    <w:rsid w:val="00AD1007"/>
    <w:rsid w:val="00AD1268"/>
    <w:rsid w:val="00AD1408"/>
    <w:rsid w:val="00AD1A2F"/>
    <w:rsid w:val="00AD1FDE"/>
    <w:rsid w:val="00AD34D9"/>
    <w:rsid w:val="00AD3B84"/>
    <w:rsid w:val="00AD406E"/>
    <w:rsid w:val="00AD4B2B"/>
    <w:rsid w:val="00AD563E"/>
    <w:rsid w:val="00AD5874"/>
    <w:rsid w:val="00AD5CAF"/>
    <w:rsid w:val="00AD6529"/>
    <w:rsid w:val="00AD6547"/>
    <w:rsid w:val="00AD68DE"/>
    <w:rsid w:val="00AD696A"/>
    <w:rsid w:val="00AD6B46"/>
    <w:rsid w:val="00AD783D"/>
    <w:rsid w:val="00AD7DB0"/>
    <w:rsid w:val="00AE042F"/>
    <w:rsid w:val="00AE0692"/>
    <w:rsid w:val="00AE0BF0"/>
    <w:rsid w:val="00AE10A5"/>
    <w:rsid w:val="00AE1C3A"/>
    <w:rsid w:val="00AE1D0C"/>
    <w:rsid w:val="00AE1DDF"/>
    <w:rsid w:val="00AE2603"/>
    <w:rsid w:val="00AE440A"/>
    <w:rsid w:val="00AE45BF"/>
    <w:rsid w:val="00AE4F0F"/>
    <w:rsid w:val="00AE558C"/>
    <w:rsid w:val="00AE570B"/>
    <w:rsid w:val="00AE6551"/>
    <w:rsid w:val="00AE68F6"/>
    <w:rsid w:val="00AE6C06"/>
    <w:rsid w:val="00AE7258"/>
    <w:rsid w:val="00AE7D9D"/>
    <w:rsid w:val="00AE7EC4"/>
    <w:rsid w:val="00AE7F85"/>
    <w:rsid w:val="00AF0181"/>
    <w:rsid w:val="00AF03E5"/>
    <w:rsid w:val="00AF06A9"/>
    <w:rsid w:val="00AF0A57"/>
    <w:rsid w:val="00AF0BFD"/>
    <w:rsid w:val="00AF1B87"/>
    <w:rsid w:val="00AF354A"/>
    <w:rsid w:val="00AF47E4"/>
    <w:rsid w:val="00AF5137"/>
    <w:rsid w:val="00AF528D"/>
    <w:rsid w:val="00AF5591"/>
    <w:rsid w:val="00AF64A0"/>
    <w:rsid w:val="00AF67B8"/>
    <w:rsid w:val="00AF6BDC"/>
    <w:rsid w:val="00AF6C7F"/>
    <w:rsid w:val="00B00143"/>
    <w:rsid w:val="00B00810"/>
    <w:rsid w:val="00B01736"/>
    <w:rsid w:val="00B01C13"/>
    <w:rsid w:val="00B01C97"/>
    <w:rsid w:val="00B021F0"/>
    <w:rsid w:val="00B0277D"/>
    <w:rsid w:val="00B028C8"/>
    <w:rsid w:val="00B02949"/>
    <w:rsid w:val="00B032FA"/>
    <w:rsid w:val="00B03392"/>
    <w:rsid w:val="00B0410B"/>
    <w:rsid w:val="00B04146"/>
    <w:rsid w:val="00B0462F"/>
    <w:rsid w:val="00B0491D"/>
    <w:rsid w:val="00B04D21"/>
    <w:rsid w:val="00B05385"/>
    <w:rsid w:val="00B0579E"/>
    <w:rsid w:val="00B05DC4"/>
    <w:rsid w:val="00B05E9E"/>
    <w:rsid w:val="00B060D1"/>
    <w:rsid w:val="00B0640B"/>
    <w:rsid w:val="00B06787"/>
    <w:rsid w:val="00B06A15"/>
    <w:rsid w:val="00B10EC9"/>
    <w:rsid w:val="00B116B6"/>
    <w:rsid w:val="00B123B8"/>
    <w:rsid w:val="00B146E2"/>
    <w:rsid w:val="00B1488A"/>
    <w:rsid w:val="00B148EE"/>
    <w:rsid w:val="00B14A17"/>
    <w:rsid w:val="00B14D64"/>
    <w:rsid w:val="00B15048"/>
    <w:rsid w:val="00B15258"/>
    <w:rsid w:val="00B15893"/>
    <w:rsid w:val="00B15D1C"/>
    <w:rsid w:val="00B15E39"/>
    <w:rsid w:val="00B17B04"/>
    <w:rsid w:val="00B17E7A"/>
    <w:rsid w:val="00B21B31"/>
    <w:rsid w:val="00B2243B"/>
    <w:rsid w:val="00B2278E"/>
    <w:rsid w:val="00B228EC"/>
    <w:rsid w:val="00B2332D"/>
    <w:rsid w:val="00B24475"/>
    <w:rsid w:val="00B2449D"/>
    <w:rsid w:val="00B2479E"/>
    <w:rsid w:val="00B25149"/>
    <w:rsid w:val="00B25309"/>
    <w:rsid w:val="00B25A54"/>
    <w:rsid w:val="00B25D8B"/>
    <w:rsid w:val="00B273E7"/>
    <w:rsid w:val="00B2764F"/>
    <w:rsid w:val="00B276D6"/>
    <w:rsid w:val="00B27740"/>
    <w:rsid w:val="00B2780B"/>
    <w:rsid w:val="00B306DC"/>
    <w:rsid w:val="00B3131D"/>
    <w:rsid w:val="00B31989"/>
    <w:rsid w:val="00B31A9A"/>
    <w:rsid w:val="00B31B8B"/>
    <w:rsid w:val="00B3277F"/>
    <w:rsid w:val="00B329D7"/>
    <w:rsid w:val="00B33CB4"/>
    <w:rsid w:val="00B33FCA"/>
    <w:rsid w:val="00B34570"/>
    <w:rsid w:val="00B3477C"/>
    <w:rsid w:val="00B348CB"/>
    <w:rsid w:val="00B349CB"/>
    <w:rsid w:val="00B35D7A"/>
    <w:rsid w:val="00B35D88"/>
    <w:rsid w:val="00B36718"/>
    <w:rsid w:val="00B36B91"/>
    <w:rsid w:val="00B36EE4"/>
    <w:rsid w:val="00B370E5"/>
    <w:rsid w:val="00B37381"/>
    <w:rsid w:val="00B41163"/>
    <w:rsid w:val="00B42828"/>
    <w:rsid w:val="00B428E8"/>
    <w:rsid w:val="00B42B3D"/>
    <w:rsid w:val="00B42B61"/>
    <w:rsid w:val="00B42D09"/>
    <w:rsid w:val="00B433E0"/>
    <w:rsid w:val="00B44064"/>
    <w:rsid w:val="00B442AF"/>
    <w:rsid w:val="00B44635"/>
    <w:rsid w:val="00B45046"/>
    <w:rsid w:val="00B46099"/>
    <w:rsid w:val="00B469E3"/>
    <w:rsid w:val="00B46ABE"/>
    <w:rsid w:val="00B47240"/>
    <w:rsid w:val="00B51160"/>
    <w:rsid w:val="00B51311"/>
    <w:rsid w:val="00B516D6"/>
    <w:rsid w:val="00B51BE3"/>
    <w:rsid w:val="00B520D5"/>
    <w:rsid w:val="00B52866"/>
    <w:rsid w:val="00B528DA"/>
    <w:rsid w:val="00B53D19"/>
    <w:rsid w:val="00B55351"/>
    <w:rsid w:val="00B554A4"/>
    <w:rsid w:val="00B56606"/>
    <w:rsid w:val="00B57691"/>
    <w:rsid w:val="00B61C95"/>
    <w:rsid w:val="00B61CA0"/>
    <w:rsid w:val="00B62469"/>
    <w:rsid w:val="00B6370A"/>
    <w:rsid w:val="00B63831"/>
    <w:rsid w:val="00B64B35"/>
    <w:rsid w:val="00B65E7A"/>
    <w:rsid w:val="00B66978"/>
    <w:rsid w:val="00B66BD0"/>
    <w:rsid w:val="00B66F4B"/>
    <w:rsid w:val="00B67401"/>
    <w:rsid w:val="00B70347"/>
    <w:rsid w:val="00B7068A"/>
    <w:rsid w:val="00B7105F"/>
    <w:rsid w:val="00B714DB"/>
    <w:rsid w:val="00B72962"/>
    <w:rsid w:val="00B74AB5"/>
    <w:rsid w:val="00B74BFA"/>
    <w:rsid w:val="00B75A18"/>
    <w:rsid w:val="00B76B7D"/>
    <w:rsid w:val="00B7728D"/>
    <w:rsid w:val="00B77CB7"/>
    <w:rsid w:val="00B805CB"/>
    <w:rsid w:val="00B81B05"/>
    <w:rsid w:val="00B81D7C"/>
    <w:rsid w:val="00B821DB"/>
    <w:rsid w:val="00B82B77"/>
    <w:rsid w:val="00B83288"/>
    <w:rsid w:val="00B83694"/>
    <w:rsid w:val="00B83BEB"/>
    <w:rsid w:val="00B83E3B"/>
    <w:rsid w:val="00B8558C"/>
    <w:rsid w:val="00B87200"/>
    <w:rsid w:val="00B879DC"/>
    <w:rsid w:val="00B90085"/>
    <w:rsid w:val="00B906AE"/>
    <w:rsid w:val="00B90B43"/>
    <w:rsid w:val="00B90FE7"/>
    <w:rsid w:val="00B91C3D"/>
    <w:rsid w:val="00B928E6"/>
    <w:rsid w:val="00B9343F"/>
    <w:rsid w:val="00B93662"/>
    <w:rsid w:val="00B945CB"/>
    <w:rsid w:val="00B94C15"/>
    <w:rsid w:val="00B94ED5"/>
    <w:rsid w:val="00B94F47"/>
    <w:rsid w:val="00B95785"/>
    <w:rsid w:val="00B95E1E"/>
    <w:rsid w:val="00B9659F"/>
    <w:rsid w:val="00B97822"/>
    <w:rsid w:val="00B97D8B"/>
    <w:rsid w:val="00BA04F5"/>
    <w:rsid w:val="00BA0A9E"/>
    <w:rsid w:val="00BA107E"/>
    <w:rsid w:val="00BA14C0"/>
    <w:rsid w:val="00BA14EA"/>
    <w:rsid w:val="00BA18FB"/>
    <w:rsid w:val="00BA20F0"/>
    <w:rsid w:val="00BA2E0A"/>
    <w:rsid w:val="00BA35F7"/>
    <w:rsid w:val="00BA4F7F"/>
    <w:rsid w:val="00BA523F"/>
    <w:rsid w:val="00BA6128"/>
    <w:rsid w:val="00BA6811"/>
    <w:rsid w:val="00BA744A"/>
    <w:rsid w:val="00BA7DA7"/>
    <w:rsid w:val="00BB0991"/>
    <w:rsid w:val="00BB0B1C"/>
    <w:rsid w:val="00BB0FB2"/>
    <w:rsid w:val="00BB1FEC"/>
    <w:rsid w:val="00BB22C2"/>
    <w:rsid w:val="00BB2880"/>
    <w:rsid w:val="00BB2A2E"/>
    <w:rsid w:val="00BB2E7F"/>
    <w:rsid w:val="00BB3308"/>
    <w:rsid w:val="00BB3413"/>
    <w:rsid w:val="00BB3FDE"/>
    <w:rsid w:val="00BB44A1"/>
    <w:rsid w:val="00BB48E4"/>
    <w:rsid w:val="00BB4C04"/>
    <w:rsid w:val="00BB4F3A"/>
    <w:rsid w:val="00BB5043"/>
    <w:rsid w:val="00BB523E"/>
    <w:rsid w:val="00BB68BF"/>
    <w:rsid w:val="00BB6E42"/>
    <w:rsid w:val="00BB70F9"/>
    <w:rsid w:val="00BB71FA"/>
    <w:rsid w:val="00BB763D"/>
    <w:rsid w:val="00BB7F75"/>
    <w:rsid w:val="00BC0033"/>
    <w:rsid w:val="00BC04CE"/>
    <w:rsid w:val="00BC0CAC"/>
    <w:rsid w:val="00BC134A"/>
    <w:rsid w:val="00BC2204"/>
    <w:rsid w:val="00BC3D64"/>
    <w:rsid w:val="00BC4BEC"/>
    <w:rsid w:val="00BC4E42"/>
    <w:rsid w:val="00BC4EF6"/>
    <w:rsid w:val="00BC51B6"/>
    <w:rsid w:val="00BC5291"/>
    <w:rsid w:val="00BC58A3"/>
    <w:rsid w:val="00BC5CB5"/>
    <w:rsid w:val="00BC6407"/>
    <w:rsid w:val="00BC68A6"/>
    <w:rsid w:val="00BC6FEE"/>
    <w:rsid w:val="00BC72A6"/>
    <w:rsid w:val="00BC781D"/>
    <w:rsid w:val="00BD06B9"/>
    <w:rsid w:val="00BD1388"/>
    <w:rsid w:val="00BD23C8"/>
    <w:rsid w:val="00BD293E"/>
    <w:rsid w:val="00BD3010"/>
    <w:rsid w:val="00BD3491"/>
    <w:rsid w:val="00BD4157"/>
    <w:rsid w:val="00BD4C14"/>
    <w:rsid w:val="00BD4C62"/>
    <w:rsid w:val="00BD4C7C"/>
    <w:rsid w:val="00BD69B3"/>
    <w:rsid w:val="00BD7612"/>
    <w:rsid w:val="00BE05E4"/>
    <w:rsid w:val="00BE09B4"/>
    <w:rsid w:val="00BE13F2"/>
    <w:rsid w:val="00BE1950"/>
    <w:rsid w:val="00BE27F9"/>
    <w:rsid w:val="00BE2A6F"/>
    <w:rsid w:val="00BE3612"/>
    <w:rsid w:val="00BE3B30"/>
    <w:rsid w:val="00BE5043"/>
    <w:rsid w:val="00BE574C"/>
    <w:rsid w:val="00BE580F"/>
    <w:rsid w:val="00BE64C8"/>
    <w:rsid w:val="00BE6BEF"/>
    <w:rsid w:val="00BE6D2C"/>
    <w:rsid w:val="00BE73DA"/>
    <w:rsid w:val="00BE7A4D"/>
    <w:rsid w:val="00BF02E1"/>
    <w:rsid w:val="00BF0377"/>
    <w:rsid w:val="00BF0B9B"/>
    <w:rsid w:val="00BF1BE7"/>
    <w:rsid w:val="00BF27E2"/>
    <w:rsid w:val="00BF2A6E"/>
    <w:rsid w:val="00BF369C"/>
    <w:rsid w:val="00BF3914"/>
    <w:rsid w:val="00BF3D5E"/>
    <w:rsid w:val="00BF483A"/>
    <w:rsid w:val="00BF4D43"/>
    <w:rsid w:val="00BF5AC1"/>
    <w:rsid w:val="00BF64F3"/>
    <w:rsid w:val="00BF6F5D"/>
    <w:rsid w:val="00C00743"/>
    <w:rsid w:val="00C00B61"/>
    <w:rsid w:val="00C0186C"/>
    <w:rsid w:val="00C01FB2"/>
    <w:rsid w:val="00C03486"/>
    <w:rsid w:val="00C04442"/>
    <w:rsid w:val="00C048BD"/>
    <w:rsid w:val="00C059DF"/>
    <w:rsid w:val="00C05E03"/>
    <w:rsid w:val="00C068A2"/>
    <w:rsid w:val="00C06C3D"/>
    <w:rsid w:val="00C07C36"/>
    <w:rsid w:val="00C07FC6"/>
    <w:rsid w:val="00C10A5C"/>
    <w:rsid w:val="00C11D2E"/>
    <w:rsid w:val="00C12092"/>
    <w:rsid w:val="00C12E84"/>
    <w:rsid w:val="00C137C0"/>
    <w:rsid w:val="00C140C1"/>
    <w:rsid w:val="00C14FE9"/>
    <w:rsid w:val="00C150BA"/>
    <w:rsid w:val="00C15CAE"/>
    <w:rsid w:val="00C160AC"/>
    <w:rsid w:val="00C16709"/>
    <w:rsid w:val="00C16AE2"/>
    <w:rsid w:val="00C17F34"/>
    <w:rsid w:val="00C20696"/>
    <w:rsid w:val="00C2126D"/>
    <w:rsid w:val="00C2150C"/>
    <w:rsid w:val="00C22D84"/>
    <w:rsid w:val="00C2329A"/>
    <w:rsid w:val="00C24A5C"/>
    <w:rsid w:val="00C259F2"/>
    <w:rsid w:val="00C26F4E"/>
    <w:rsid w:val="00C27B3E"/>
    <w:rsid w:val="00C27CBD"/>
    <w:rsid w:val="00C307A2"/>
    <w:rsid w:val="00C312AD"/>
    <w:rsid w:val="00C322FC"/>
    <w:rsid w:val="00C3472C"/>
    <w:rsid w:val="00C34ADD"/>
    <w:rsid w:val="00C34B3B"/>
    <w:rsid w:val="00C35693"/>
    <w:rsid w:val="00C35B52"/>
    <w:rsid w:val="00C3676D"/>
    <w:rsid w:val="00C3703D"/>
    <w:rsid w:val="00C37F58"/>
    <w:rsid w:val="00C37F90"/>
    <w:rsid w:val="00C4146F"/>
    <w:rsid w:val="00C4171E"/>
    <w:rsid w:val="00C43740"/>
    <w:rsid w:val="00C43E73"/>
    <w:rsid w:val="00C44392"/>
    <w:rsid w:val="00C44646"/>
    <w:rsid w:val="00C44782"/>
    <w:rsid w:val="00C44EE5"/>
    <w:rsid w:val="00C454E7"/>
    <w:rsid w:val="00C457F9"/>
    <w:rsid w:val="00C4616E"/>
    <w:rsid w:val="00C46378"/>
    <w:rsid w:val="00C46483"/>
    <w:rsid w:val="00C46DB0"/>
    <w:rsid w:val="00C46DC4"/>
    <w:rsid w:val="00C46F1F"/>
    <w:rsid w:val="00C47780"/>
    <w:rsid w:val="00C4781C"/>
    <w:rsid w:val="00C501AB"/>
    <w:rsid w:val="00C50361"/>
    <w:rsid w:val="00C51165"/>
    <w:rsid w:val="00C52551"/>
    <w:rsid w:val="00C528FE"/>
    <w:rsid w:val="00C53DDE"/>
    <w:rsid w:val="00C53EA5"/>
    <w:rsid w:val="00C546DC"/>
    <w:rsid w:val="00C547B3"/>
    <w:rsid w:val="00C55141"/>
    <w:rsid w:val="00C55A83"/>
    <w:rsid w:val="00C55D7D"/>
    <w:rsid w:val="00C564DE"/>
    <w:rsid w:val="00C5679C"/>
    <w:rsid w:val="00C56A39"/>
    <w:rsid w:val="00C579DD"/>
    <w:rsid w:val="00C60234"/>
    <w:rsid w:val="00C60C64"/>
    <w:rsid w:val="00C611AA"/>
    <w:rsid w:val="00C61749"/>
    <w:rsid w:val="00C61C76"/>
    <w:rsid w:val="00C61E79"/>
    <w:rsid w:val="00C62206"/>
    <w:rsid w:val="00C62A0B"/>
    <w:rsid w:val="00C6310E"/>
    <w:rsid w:val="00C63A9C"/>
    <w:rsid w:val="00C640BE"/>
    <w:rsid w:val="00C64363"/>
    <w:rsid w:val="00C645A3"/>
    <w:rsid w:val="00C64990"/>
    <w:rsid w:val="00C64CF2"/>
    <w:rsid w:val="00C64D73"/>
    <w:rsid w:val="00C656E6"/>
    <w:rsid w:val="00C65AE0"/>
    <w:rsid w:val="00C65C67"/>
    <w:rsid w:val="00C667B7"/>
    <w:rsid w:val="00C668CE"/>
    <w:rsid w:val="00C66B8F"/>
    <w:rsid w:val="00C6703C"/>
    <w:rsid w:val="00C6760E"/>
    <w:rsid w:val="00C67B7F"/>
    <w:rsid w:val="00C70AC1"/>
    <w:rsid w:val="00C712A3"/>
    <w:rsid w:val="00C712B8"/>
    <w:rsid w:val="00C720A1"/>
    <w:rsid w:val="00C72462"/>
    <w:rsid w:val="00C72DFC"/>
    <w:rsid w:val="00C72F91"/>
    <w:rsid w:val="00C73452"/>
    <w:rsid w:val="00C7406B"/>
    <w:rsid w:val="00C74175"/>
    <w:rsid w:val="00C74407"/>
    <w:rsid w:val="00C747F2"/>
    <w:rsid w:val="00C756F7"/>
    <w:rsid w:val="00C759D3"/>
    <w:rsid w:val="00C75B2B"/>
    <w:rsid w:val="00C762DF"/>
    <w:rsid w:val="00C76DE7"/>
    <w:rsid w:val="00C777E9"/>
    <w:rsid w:val="00C80998"/>
    <w:rsid w:val="00C80D31"/>
    <w:rsid w:val="00C80F25"/>
    <w:rsid w:val="00C81385"/>
    <w:rsid w:val="00C81C5A"/>
    <w:rsid w:val="00C81EFF"/>
    <w:rsid w:val="00C82C44"/>
    <w:rsid w:val="00C82E8D"/>
    <w:rsid w:val="00C83EE3"/>
    <w:rsid w:val="00C841C2"/>
    <w:rsid w:val="00C85366"/>
    <w:rsid w:val="00C85C6B"/>
    <w:rsid w:val="00C877F4"/>
    <w:rsid w:val="00C90A97"/>
    <w:rsid w:val="00C9129F"/>
    <w:rsid w:val="00C913CC"/>
    <w:rsid w:val="00C915BF"/>
    <w:rsid w:val="00C9180A"/>
    <w:rsid w:val="00C9238D"/>
    <w:rsid w:val="00C9271F"/>
    <w:rsid w:val="00C92E06"/>
    <w:rsid w:val="00C94504"/>
    <w:rsid w:val="00C94B3D"/>
    <w:rsid w:val="00C94B49"/>
    <w:rsid w:val="00C94B8A"/>
    <w:rsid w:val="00C951B2"/>
    <w:rsid w:val="00C96D1B"/>
    <w:rsid w:val="00CA0F67"/>
    <w:rsid w:val="00CA2419"/>
    <w:rsid w:val="00CA2612"/>
    <w:rsid w:val="00CA2E8C"/>
    <w:rsid w:val="00CA33C2"/>
    <w:rsid w:val="00CA38A5"/>
    <w:rsid w:val="00CA41CA"/>
    <w:rsid w:val="00CA51EF"/>
    <w:rsid w:val="00CA52C3"/>
    <w:rsid w:val="00CA52E8"/>
    <w:rsid w:val="00CA60B7"/>
    <w:rsid w:val="00CA6174"/>
    <w:rsid w:val="00CA673C"/>
    <w:rsid w:val="00CA6850"/>
    <w:rsid w:val="00CA686F"/>
    <w:rsid w:val="00CA69EC"/>
    <w:rsid w:val="00CA7CBE"/>
    <w:rsid w:val="00CB0886"/>
    <w:rsid w:val="00CB091C"/>
    <w:rsid w:val="00CB0F0B"/>
    <w:rsid w:val="00CB116F"/>
    <w:rsid w:val="00CB1189"/>
    <w:rsid w:val="00CB1973"/>
    <w:rsid w:val="00CB19C7"/>
    <w:rsid w:val="00CB21D3"/>
    <w:rsid w:val="00CB295D"/>
    <w:rsid w:val="00CB34D8"/>
    <w:rsid w:val="00CB3550"/>
    <w:rsid w:val="00CB3B00"/>
    <w:rsid w:val="00CB50CD"/>
    <w:rsid w:val="00CB5143"/>
    <w:rsid w:val="00CB5A3C"/>
    <w:rsid w:val="00CB6B4F"/>
    <w:rsid w:val="00CC0A30"/>
    <w:rsid w:val="00CC12D9"/>
    <w:rsid w:val="00CC1DC9"/>
    <w:rsid w:val="00CC1F62"/>
    <w:rsid w:val="00CC2498"/>
    <w:rsid w:val="00CC3157"/>
    <w:rsid w:val="00CC3196"/>
    <w:rsid w:val="00CC4358"/>
    <w:rsid w:val="00CC436E"/>
    <w:rsid w:val="00CC4CAF"/>
    <w:rsid w:val="00CC513E"/>
    <w:rsid w:val="00CC5494"/>
    <w:rsid w:val="00CC5D28"/>
    <w:rsid w:val="00CC6A23"/>
    <w:rsid w:val="00CD092D"/>
    <w:rsid w:val="00CD288D"/>
    <w:rsid w:val="00CD3863"/>
    <w:rsid w:val="00CD389D"/>
    <w:rsid w:val="00CD3B02"/>
    <w:rsid w:val="00CD47B1"/>
    <w:rsid w:val="00CD536C"/>
    <w:rsid w:val="00CD53E9"/>
    <w:rsid w:val="00CD5784"/>
    <w:rsid w:val="00CE0FE0"/>
    <w:rsid w:val="00CE10BA"/>
    <w:rsid w:val="00CE11B8"/>
    <w:rsid w:val="00CE1A15"/>
    <w:rsid w:val="00CE217D"/>
    <w:rsid w:val="00CE267E"/>
    <w:rsid w:val="00CE2686"/>
    <w:rsid w:val="00CE2B96"/>
    <w:rsid w:val="00CE2C73"/>
    <w:rsid w:val="00CE2DA3"/>
    <w:rsid w:val="00CE30EE"/>
    <w:rsid w:val="00CE37AC"/>
    <w:rsid w:val="00CE3819"/>
    <w:rsid w:val="00CE3A07"/>
    <w:rsid w:val="00CE5602"/>
    <w:rsid w:val="00CE567E"/>
    <w:rsid w:val="00CE5FEB"/>
    <w:rsid w:val="00CE681A"/>
    <w:rsid w:val="00CE7260"/>
    <w:rsid w:val="00CE79DF"/>
    <w:rsid w:val="00CE7A94"/>
    <w:rsid w:val="00CF00ED"/>
    <w:rsid w:val="00CF01CB"/>
    <w:rsid w:val="00CF0901"/>
    <w:rsid w:val="00CF21F6"/>
    <w:rsid w:val="00CF25B5"/>
    <w:rsid w:val="00CF2BDF"/>
    <w:rsid w:val="00CF319D"/>
    <w:rsid w:val="00CF3DE4"/>
    <w:rsid w:val="00CF44DA"/>
    <w:rsid w:val="00CF4572"/>
    <w:rsid w:val="00CF4C7F"/>
    <w:rsid w:val="00CF52F9"/>
    <w:rsid w:val="00CF57F6"/>
    <w:rsid w:val="00CF6138"/>
    <w:rsid w:val="00CF6FA4"/>
    <w:rsid w:val="00CF735F"/>
    <w:rsid w:val="00CF7935"/>
    <w:rsid w:val="00CF7E68"/>
    <w:rsid w:val="00CF7E95"/>
    <w:rsid w:val="00D00320"/>
    <w:rsid w:val="00D0032D"/>
    <w:rsid w:val="00D050D4"/>
    <w:rsid w:val="00D05E30"/>
    <w:rsid w:val="00D06740"/>
    <w:rsid w:val="00D06E81"/>
    <w:rsid w:val="00D0719F"/>
    <w:rsid w:val="00D07415"/>
    <w:rsid w:val="00D1001C"/>
    <w:rsid w:val="00D10822"/>
    <w:rsid w:val="00D134FC"/>
    <w:rsid w:val="00D1352C"/>
    <w:rsid w:val="00D13712"/>
    <w:rsid w:val="00D15967"/>
    <w:rsid w:val="00D159DB"/>
    <w:rsid w:val="00D16486"/>
    <w:rsid w:val="00D170BB"/>
    <w:rsid w:val="00D17B74"/>
    <w:rsid w:val="00D17DED"/>
    <w:rsid w:val="00D17EAE"/>
    <w:rsid w:val="00D2102F"/>
    <w:rsid w:val="00D211ED"/>
    <w:rsid w:val="00D216E5"/>
    <w:rsid w:val="00D2212B"/>
    <w:rsid w:val="00D22194"/>
    <w:rsid w:val="00D22A59"/>
    <w:rsid w:val="00D230E2"/>
    <w:rsid w:val="00D231DE"/>
    <w:rsid w:val="00D23F92"/>
    <w:rsid w:val="00D245DB"/>
    <w:rsid w:val="00D2473A"/>
    <w:rsid w:val="00D2547C"/>
    <w:rsid w:val="00D25D2B"/>
    <w:rsid w:val="00D26A07"/>
    <w:rsid w:val="00D27347"/>
    <w:rsid w:val="00D27F82"/>
    <w:rsid w:val="00D301B8"/>
    <w:rsid w:val="00D30B57"/>
    <w:rsid w:val="00D3182A"/>
    <w:rsid w:val="00D31CBE"/>
    <w:rsid w:val="00D31FEE"/>
    <w:rsid w:val="00D34AAC"/>
    <w:rsid w:val="00D355F8"/>
    <w:rsid w:val="00D3592F"/>
    <w:rsid w:val="00D35E56"/>
    <w:rsid w:val="00D35EDE"/>
    <w:rsid w:val="00D368F3"/>
    <w:rsid w:val="00D36B75"/>
    <w:rsid w:val="00D3730E"/>
    <w:rsid w:val="00D3773C"/>
    <w:rsid w:val="00D37FC1"/>
    <w:rsid w:val="00D40066"/>
    <w:rsid w:val="00D40452"/>
    <w:rsid w:val="00D40EE7"/>
    <w:rsid w:val="00D4147B"/>
    <w:rsid w:val="00D4166E"/>
    <w:rsid w:val="00D419DA"/>
    <w:rsid w:val="00D41C22"/>
    <w:rsid w:val="00D41EEF"/>
    <w:rsid w:val="00D434B2"/>
    <w:rsid w:val="00D44001"/>
    <w:rsid w:val="00D44556"/>
    <w:rsid w:val="00D445A4"/>
    <w:rsid w:val="00D44670"/>
    <w:rsid w:val="00D44CE0"/>
    <w:rsid w:val="00D45037"/>
    <w:rsid w:val="00D454D9"/>
    <w:rsid w:val="00D45CBD"/>
    <w:rsid w:val="00D46182"/>
    <w:rsid w:val="00D46196"/>
    <w:rsid w:val="00D46B36"/>
    <w:rsid w:val="00D46EAD"/>
    <w:rsid w:val="00D47086"/>
    <w:rsid w:val="00D472B8"/>
    <w:rsid w:val="00D47971"/>
    <w:rsid w:val="00D47BAD"/>
    <w:rsid w:val="00D51EC7"/>
    <w:rsid w:val="00D5319E"/>
    <w:rsid w:val="00D5423F"/>
    <w:rsid w:val="00D54E1D"/>
    <w:rsid w:val="00D56219"/>
    <w:rsid w:val="00D56AAD"/>
    <w:rsid w:val="00D57519"/>
    <w:rsid w:val="00D57AE0"/>
    <w:rsid w:val="00D600A1"/>
    <w:rsid w:val="00D60D83"/>
    <w:rsid w:val="00D611D1"/>
    <w:rsid w:val="00D61E44"/>
    <w:rsid w:val="00D6229D"/>
    <w:rsid w:val="00D62311"/>
    <w:rsid w:val="00D6408F"/>
    <w:rsid w:val="00D6420B"/>
    <w:rsid w:val="00D64BDF"/>
    <w:rsid w:val="00D668DE"/>
    <w:rsid w:val="00D71120"/>
    <w:rsid w:val="00D714D7"/>
    <w:rsid w:val="00D715FD"/>
    <w:rsid w:val="00D71BFB"/>
    <w:rsid w:val="00D7374B"/>
    <w:rsid w:val="00D738F1"/>
    <w:rsid w:val="00D748D7"/>
    <w:rsid w:val="00D74E1E"/>
    <w:rsid w:val="00D75616"/>
    <w:rsid w:val="00D75871"/>
    <w:rsid w:val="00D76480"/>
    <w:rsid w:val="00D76D8B"/>
    <w:rsid w:val="00D80C85"/>
    <w:rsid w:val="00D811FF"/>
    <w:rsid w:val="00D8272D"/>
    <w:rsid w:val="00D82ED1"/>
    <w:rsid w:val="00D82F63"/>
    <w:rsid w:val="00D83365"/>
    <w:rsid w:val="00D83B22"/>
    <w:rsid w:val="00D83DCC"/>
    <w:rsid w:val="00D83E54"/>
    <w:rsid w:val="00D8411B"/>
    <w:rsid w:val="00D849D9"/>
    <w:rsid w:val="00D850F2"/>
    <w:rsid w:val="00D85711"/>
    <w:rsid w:val="00D8636B"/>
    <w:rsid w:val="00D8648F"/>
    <w:rsid w:val="00D870C6"/>
    <w:rsid w:val="00D87D4C"/>
    <w:rsid w:val="00D87E84"/>
    <w:rsid w:val="00D87F11"/>
    <w:rsid w:val="00D9118B"/>
    <w:rsid w:val="00D91A86"/>
    <w:rsid w:val="00D9213B"/>
    <w:rsid w:val="00D922DB"/>
    <w:rsid w:val="00D922F0"/>
    <w:rsid w:val="00D9314B"/>
    <w:rsid w:val="00D936CC"/>
    <w:rsid w:val="00D9411A"/>
    <w:rsid w:val="00D95385"/>
    <w:rsid w:val="00D953EB"/>
    <w:rsid w:val="00D95892"/>
    <w:rsid w:val="00D96252"/>
    <w:rsid w:val="00D96944"/>
    <w:rsid w:val="00D97C2E"/>
    <w:rsid w:val="00D97FD1"/>
    <w:rsid w:val="00DA06E1"/>
    <w:rsid w:val="00DA0760"/>
    <w:rsid w:val="00DA188D"/>
    <w:rsid w:val="00DA2D7B"/>
    <w:rsid w:val="00DA3890"/>
    <w:rsid w:val="00DA408C"/>
    <w:rsid w:val="00DA4273"/>
    <w:rsid w:val="00DA4290"/>
    <w:rsid w:val="00DA43CC"/>
    <w:rsid w:val="00DA4A1A"/>
    <w:rsid w:val="00DA4F5B"/>
    <w:rsid w:val="00DA5023"/>
    <w:rsid w:val="00DA533C"/>
    <w:rsid w:val="00DA53B9"/>
    <w:rsid w:val="00DA5867"/>
    <w:rsid w:val="00DA5F9A"/>
    <w:rsid w:val="00DA5FE8"/>
    <w:rsid w:val="00DA6A96"/>
    <w:rsid w:val="00DA711A"/>
    <w:rsid w:val="00DA7398"/>
    <w:rsid w:val="00DA7DD4"/>
    <w:rsid w:val="00DB0050"/>
    <w:rsid w:val="00DB0F9D"/>
    <w:rsid w:val="00DB1857"/>
    <w:rsid w:val="00DB1CB1"/>
    <w:rsid w:val="00DB25C4"/>
    <w:rsid w:val="00DB31D4"/>
    <w:rsid w:val="00DB372D"/>
    <w:rsid w:val="00DB3EEA"/>
    <w:rsid w:val="00DB45B4"/>
    <w:rsid w:val="00DB4942"/>
    <w:rsid w:val="00DB4E59"/>
    <w:rsid w:val="00DB58D7"/>
    <w:rsid w:val="00DB5A3F"/>
    <w:rsid w:val="00DB64D3"/>
    <w:rsid w:val="00DC05EB"/>
    <w:rsid w:val="00DC0CAA"/>
    <w:rsid w:val="00DC3467"/>
    <w:rsid w:val="00DC41EC"/>
    <w:rsid w:val="00DC4258"/>
    <w:rsid w:val="00DC4CBF"/>
    <w:rsid w:val="00DC5431"/>
    <w:rsid w:val="00DC6559"/>
    <w:rsid w:val="00DC71D8"/>
    <w:rsid w:val="00DC77BC"/>
    <w:rsid w:val="00DC7E81"/>
    <w:rsid w:val="00DD009A"/>
    <w:rsid w:val="00DD0723"/>
    <w:rsid w:val="00DD0A8B"/>
    <w:rsid w:val="00DD1B67"/>
    <w:rsid w:val="00DD1F02"/>
    <w:rsid w:val="00DD2291"/>
    <w:rsid w:val="00DD2B27"/>
    <w:rsid w:val="00DD2C87"/>
    <w:rsid w:val="00DD3004"/>
    <w:rsid w:val="00DD307D"/>
    <w:rsid w:val="00DD37F9"/>
    <w:rsid w:val="00DD3836"/>
    <w:rsid w:val="00DD4BF3"/>
    <w:rsid w:val="00DD56CF"/>
    <w:rsid w:val="00DD5ABB"/>
    <w:rsid w:val="00DD6028"/>
    <w:rsid w:val="00DD6041"/>
    <w:rsid w:val="00DD6274"/>
    <w:rsid w:val="00DD6B3F"/>
    <w:rsid w:val="00DD6E77"/>
    <w:rsid w:val="00DD732D"/>
    <w:rsid w:val="00DE0359"/>
    <w:rsid w:val="00DE110D"/>
    <w:rsid w:val="00DE1A61"/>
    <w:rsid w:val="00DE26DF"/>
    <w:rsid w:val="00DE2913"/>
    <w:rsid w:val="00DE2936"/>
    <w:rsid w:val="00DE3E57"/>
    <w:rsid w:val="00DE3F92"/>
    <w:rsid w:val="00DE4521"/>
    <w:rsid w:val="00DE463C"/>
    <w:rsid w:val="00DE6267"/>
    <w:rsid w:val="00DE7691"/>
    <w:rsid w:val="00DE7DB4"/>
    <w:rsid w:val="00DE7DF5"/>
    <w:rsid w:val="00DF0735"/>
    <w:rsid w:val="00DF07F5"/>
    <w:rsid w:val="00DF0846"/>
    <w:rsid w:val="00DF0A20"/>
    <w:rsid w:val="00DF1ECA"/>
    <w:rsid w:val="00DF1FC6"/>
    <w:rsid w:val="00DF267A"/>
    <w:rsid w:val="00DF2801"/>
    <w:rsid w:val="00DF2F52"/>
    <w:rsid w:val="00DF31A3"/>
    <w:rsid w:val="00DF3396"/>
    <w:rsid w:val="00DF39D0"/>
    <w:rsid w:val="00DF3CF0"/>
    <w:rsid w:val="00DF4AE7"/>
    <w:rsid w:val="00DF50DF"/>
    <w:rsid w:val="00DF5E49"/>
    <w:rsid w:val="00DF5FFF"/>
    <w:rsid w:val="00DF631F"/>
    <w:rsid w:val="00DF63F0"/>
    <w:rsid w:val="00DF6586"/>
    <w:rsid w:val="00DF7A96"/>
    <w:rsid w:val="00E001F6"/>
    <w:rsid w:val="00E003F9"/>
    <w:rsid w:val="00E005DA"/>
    <w:rsid w:val="00E009A1"/>
    <w:rsid w:val="00E00CF0"/>
    <w:rsid w:val="00E00FAE"/>
    <w:rsid w:val="00E01228"/>
    <w:rsid w:val="00E0126B"/>
    <w:rsid w:val="00E01382"/>
    <w:rsid w:val="00E01668"/>
    <w:rsid w:val="00E01916"/>
    <w:rsid w:val="00E01F01"/>
    <w:rsid w:val="00E02759"/>
    <w:rsid w:val="00E0340A"/>
    <w:rsid w:val="00E03BCC"/>
    <w:rsid w:val="00E042DE"/>
    <w:rsid w:val="00E043CE"/>
    <w:rsid w:val="00E05A41"/>
    <w:rsid w:val="00E06125"/>
    <w:rsid w:val="00E06C41"/>
    <w:rsid w:val="00E1013C"/>
    <w:rsid w:val="00E107F1"/>
    <w:rsid w:val="00E109FF"/>
    <w:rsid w:val="00E1153F"/>
    <w:rsid w:val="00E1201E"/>
    <w:rsid w:val="00E12378"/>
    <w:rsid w:val="00E12D54"/>
    <w:rsid w:val="00E14742"/>
    <w:rsid w:val="00E1480A"/>
    <w:rsid w:val="00E1482D"/>
    <w:rsid w:val="00E14A1F"/>
    <w:rsid w:val="00E16E0E"/>
    <w:rsid w:val="00E17395"/>
    <w:rsid w:val="00E17925"/>
    <w:rsid w:val="00E202E3"/>
    <w:rsid w:val="00E20533"/>
    <w:rsid w:val="00E20866"/>
    <w:rsid w:val="00E20D5C"/>
    <w:rsid w:val="00E20D6C"/>
    <w:rsid w:val="00E20E4C"/>
    <w:rsid w:val="00E20EAC"/>
    <w:rsid w:val="00E21BD7"/>
    <w:rsid w:val="00E23181"/>
    <w:rsid w:val="00E233EE"/>
    <w:rsid w:val="00E23A0D"/>
    <w:rsid w:val="00E24B6A"/>
    <w:rsid w:val="00E24FBB"/>
    <w:rsid w:val="00E25461"/>
    <w:rsid w:val="00E25D61"/>
    <w:rsid w:val="00E26210"/>
    <w:rsid w:val="00E2658B"/>
    <w:rsid w:val="00E26DB4"/>
    <w:rsid w:val="00E278D1"/>
    <w:rsid w:val="00E27C92"/>
    <w:rsid w:val="00E30497"/>
    <w:rsid w:val="00E304BA"/>
    <w:rsid w:val="00E30BAD"/>
    <w:rsid w:val="00E30C54"/>
    <w:rsid w:val="00E31216"/>
    <w:rsid w:val="00E31A4F"/>
    <w:rsid w:val="00E31A9D"/>
    <w:rsid w:val="00E31D16"/>
    <w:rsid w:val="00E32CF3"/>
    <w:rsid w:val="00E33C57"/>
    <w:rsid w:val="00E33EF5"/>
    <w:rsid w:val="00E35656"/>
    <w:rsid w:val="00E357F0"/>
    <w:rsid w:val="00E35D0C"/>
    <w:rsid w:val="00E36244"/>
    <w:rsid w:val="00E370A4"/>
    <w:rsid w:val="00E37E8A"/>
    <w:rsid w:val="00E40B0D"/>
    <w:rsid w:val="00E40F0E"/>
    <w:rsid w:val="00E4177C"/>
    <w:rsid w:val="00E42419"/>
    <w:rsid w:val="00E424E3"/>
    <w:rsid w:val="00E4252C"/>
    <w:rsid w:val="00E4287F"/>
    <w:rsid w:val="00E43430"/>
    <w:rsid w:val="00E44B45"/>
    <w:rsid w:val="00E455F9"/>
    <w:rsid w:val="00E4623D"/>
    <w:rsid w:val="00E46502"/>
    <w:rsid w:val="00E46832"/>
    <w:rsid w:val="00E471F0"/>
    <w:rsid w:val="00E47859"/>
    <w:rsid w:val="00E50795"/>
    <w:rsid w:val="00E50B4B"/>
    <w:rsid w:val="00E50F62"/>
    <w:rsid w:val="00E511CF"/>
    <w:rsid w:val="00E51A80"/>
    <w:rsid w:val="00E51D9F"/>
    <w:rsid w:val="00E51E11"/>
    <w:rsid w:val="00E52C8F"/>
    <w:rsid w:val="00E52FC2"/>
    <w:rsid w:val="00E5309A"/>
    <w:rsid w:val="00E5335E"/>
    <w:rsid w:val="00E53380"/>
    <w:rsid w:val="00E54527"/>
    <w:rsid w:val="00E54EE6"/>
    <w:rsid w:val="00E553FA"/>
    <w:rsid w:val="00E5557C"/>
    <w:rsid w:val="00E5639B"/>
    <w:rsid w:val="00E568E5"/>
    <w:rsid w:val="00E56A8D"/>
    <w:rsid w:val="00E56D44"/>
    <w:rsid w:val="00E56EEF"/>
    <w:rsid w:val="00E5764B"/>
    <w:rsid w:val="00E57C22"/>
    <w:rsid w:val="00E600D0"/>
    <w:rsid w:val="00E605A9"/>
    <w:rsid w:val="00E61527"/>
    <w:rsid w:val="00E616CE"/>
    <w:rsid w:val="00E617C8"/>
    <w:rsid w:val="00E6263A"/>
    <w:rsid w:val="00E62AAC"/>
    <w:rsid w:val="00E63E83"/>
    <w:rsid w:val="00E646D4"/>
    <w:rsid w:val="00E65412"/>
    <w:rsid w:val="00E662C8"/>
    <w:rsid w:val="00E6739E"/>
    <w:rsid w:val="00E67C18"/>
    <w:rsid w:val="00E67DA4"/>
    <w:rsid w:val="00E67DDC"/>
    <w:rsid w:val="00E67FF3"/>
    <w:rsid w:val="00E715E5"/>
    <w:rsid w:val="00E71622"/>
    <w:rsid w:val="00E71DA4"/>
    <w:rsid w:val="00E72429"/>
    <w:rsid w:val="00E72CBD"/>
    <w:rsid w:val="00E73463"/>
    <w:rsid w:val="00E73875"/>
    <w:rsid w:val="00E73A3D"/>
    <w:rsid w:val="00E74D0A"/>
    <w:rsid w:val="00E75898"/>
    <w:rsid w:val="00E75D96"/>
    <w:rsid w:val="00E75F11"/>
    <w:rsid w:val="00E76881"/>
    <w:rsid w:val="00E76FE1"/>
    <w:rsid w:val="00E77394"/>
    <w:rsid w:val="00E77665"/>
    <w:rsid w:val="00E779C5"/>
    <w:rsid w:val="00E77B15"/>
    <w:rsid w:val="00E77EE6"/>
    <w:rsid w:val="00E807B4"/>
    <w:rsid w:val="00E807F8"/>
    <w:rsid w:val="00E80C7A"/>
    <w:rsid w:val="00E8131C"/>
    <w:rsid w:val="00E819EB"/>
    <w:rsid w:val="00E8417F"/>
    <w:rsid w:val="00E8464F"/>
    <w:rsid w:val="00E856B5"/>
    <w:rsid w:val="00E857A2"/>
    <w:rsid w:val="00E8581C"/>
    <w:rsid w:val="00E85B37"/>
    <w:rsid w:val="00E866C1"/>
    <w:rsid w:val="00E86965"/>
    <w:rsid w:val="00E86E32"/>
    <w:rsid w:val="00E86E48"/>
    <w:rsid w:val="00E874EB"/>
    <w:rsid w:val="00E877B6"/>
    <w:rsid w:val="00E87A2D"/>
    <w:rsid w:val="00E90754"/>
    <w:rsid w:val="00E90861"/>
    <w:rsid w:val="00E909B4"/>
    <w:rsid w:val="00E90AAD"/>
    <w:rsid w:val="00E9164E"/>
    <w:rsid w:val="00E92077"/>
    <w:rsid w:val="00E920AD"/>
    <w:rsid w:val="00E9257F"/>
    <w:rsid w:val="00E925C8"/>
    <w:rsid w:val="00E932DE"/>
    <w:rsid w:val="00E935CF"/>
    <w:rsid w:val="00E9409D"/>
    <w:rsid w:val="00E949A5"/>
    <w:rsid w:val="00E95531"/>
    <w:rsid w:val="00E955C8"/>
    <w:rsid w:val="00E95DE2"/>
    <w:rsid w:val="00E96A51"/>
    <w:rsid w:val="00E96AEC"/>
    <w:rsid w:val="00E97025"/>
    <w:rsid w:val="00E97338"/>
    <w:rsid w:val="00E977A7"/>
    <w:rsid w:val="00E97CC3"/>
    <w:rsid w:val="00EA07FD"/>
    <w:rsid w:val="00EA13A7"/>
    <w:rsid w:val="00EA1620"/>
    <w:rsid w:val="00EA4742"/>
    <w:rsid w:val="00EA4E25"/>
    <w:rsid w:val="00EA5733"/>
    <w:rsid w:val="00EA61D6"/>
    <w:rsid w:val="00EA6326"/>
    <w:rsid w:val="00EA68A4"/>
    <w:rsid w:val="00EA7F38"/>
    <w:rsid w:val="00EB00F5"/>
    <w:rsid w:val="00EB0304"/>
    <w:rsid w:val="00EB0439"/>
    <w:rsid w:val="00EB0A0C"/>
    <w:rsid w:val="00EB0E14"/>
    <w:rsid w:val="00EB1211"/>
    <w:rsid w:val="00EB1450"/>
    <w:rsid w:val="00EB1B90"/>
    <w:rsid w:val="00EB1E74"/>
    <w:rsid w:val="00EB2286"/>
    <w:rsid w:val="00EB25B3"/>
    <w:rsid w:val="00EB35F4"/>
    <w:rsid w:val="00EB3CFB"/>
    <w:rsid w:val="00EB408E"/>
    <w:rsid w:val="00EB4D2E"/>
    <w:rsid w:val="00EB4F02"/>
    <w:rsid w:val="00EB5A2C"/>
    <w:rsid w:val="00EB5A48"/>
    <w:rsid w:val="00EB721E"/>
    <w:rsid w:val="00EC0CAB"/>
    <w:rsid w:val="00EC11A2"/>
    <w:rsid w:val="00EC131E"/>
    <w:rsid w:val="00EC142B"/>
    <w:rsid w:val="00EC185D"/>
    <w:rsid w:val="00EC1C35"/>
    <w:rsid w:val="00EC2654"/>
    <w:rsid w:val="00EC39AA"/>
    <w:rsid w:val="00EC5007"/>
    <w:rsid w:val="00EC5BFF"/>
    <w:rsid w:val="00EC6F01"/>
    <w:rsid w:val="00ED0088"/>
    <w:rsid w:val="00ED05E5"/>
    <w:rsid w:val="00ED1619"/>
    <w:rsid w:val="00ED30F9"/>
    <w:rsid w:val="00ED37DC"/>
    <w:rsid w:val="00ED3F7A"/>
    <w:rsid w:val="00ED4553"/>
    <w:rsid w:val="00ED4B90"/>
    <w:rsid w:val="00ED576E"/>
    <w:rsid w:val="00ED63DF"/>
    <w:rsid w:val="00ED64C1"/>
    <w:rsid w:val="00ED6577"/>
    <w:rsid w:val="00ED6E1E"/>
    <w:rsid w:val="00ED75FC"/>
    <w:rsid w:val="00ED7B7E"/>
    <w:rsid w:val="00EE08E9"/>
    <w:rsid w:val="00EE0906"/>
    <w:rsid w:val="00EE0954"/>
    <w:rsid w:val="00EE0B7B"/>
    <w:rsid w:val="00EE1033"/>
    <w:rsid w:val="00EE2ACA"/>
    <w:rsid w:val="00EE37A7"/>
    <w:rsid w:val="00EE3816"/>
    <w:rsid w:val="00EE53E3"/>
    <w:rsid w:val="00EE546C"/>
    <w:rsid w:val="00EE57D9"/>
    <w:rsid w:val="00EE5AE4"/>
    <w:rsid w:val="00EE5E60"/>
    <w:rsid w:val="00EE7193"/>
    <w:rsid w:val="00EF0565"/>
    <w:rsid w:val="00EF1FF7"/>
    <w:rsid w:val="00EF2793"/>
    <w:rsid w:val="00EF3C54"/>
    <w:rsid w:val="00EF48C4"/>
    <w:rsid w:val="00EF5079"/>
    <w:rsid w:val="00EF538F"/>
    <w:rsid w:val="00EF53BA"/>
    <w:rsid w:val="00EF553A"/>
    <w:rsid w:val="00EF5698"/>
    <w:rsid w:val="00EF588D"/>
    <w:rsid w:val="00EF59F5"/>
    <w:rsid w:val="00EF60F2"/>
    <w:rsid w:val="00EF6390"/>
    <w:rsid w:val="00F001D5"/>
    <w:rsid w:val="00F00DDC"/>
    <w:rsid w:val="00F0147D"/>
    <w:rsid w:val="00F017D8"/>
    <w:rsid w:val="00F02F02"/>
    <w:rsid w:val="00F05D3A"/>
    <w:rsid w:val="00F06520"/>
    <w:rsid w:val="00F06B3B"/>
    <w:rsid w:val="00F1037D"/>
    <w:rsid w:val="00F10908"/>
    <w:rsid w:val="00F10E26"/>
    <w:rsid w:val="00F1117F"/>
    <w:rsid w:val="00F11B4E"/>
    <w:rsid w:val="00F11E85"/>
    <w:rsid w:val="00F142D8"/>
    <w:rsid w:val="00F14474"/>
    <w:rsid w:val="00F14968"/>
    <w:rsid w:val="00F14AEF"/>
    <w:rsid w:val="00F14DAC"/>
    <w:rsid w:val="00F15035"/>
    <w:rsid w:val="00F154C4"/>
    <w:rsid w:val="00F155DA"/>
    <w:rsid w:val="00F161B2"/>
    <w:rsid w:val="00F171D7"/>
    <w:rsid w:val="00F17F73"/>
    <w:rsid w:val="00F210C4"/>
    <w:rsid w:val="00F211FF"/>
    <w:rsid w:val="00F218DC"/>
    <w:rsid w:val="00F21D5E"/>
    <w:rsid w:val="00F22815"/>
    <w:rsid w:val="00F2332F"/>
    <w:rsid w:val="00F23C75"/>
    <w:rsid w:val="00F24090"/>
    <w:rsid w:val="00F241D8"/>
    <w:rsid w:val="00F243DE"/>
    <w:rsid w:val="00F2459C"/>
    <w:rsid w:val="00F2524F"/>
    <w:rsid w:val="00F25D99"/>
    <w:rsid w:val="00F25E7E"/>
    <w:rsid w:val="00F26D12"/>
    <w:rsid w:val="00F27111"/>
    <w:rsid w:val="00F275B5"/>
    <w:rsid w:val="00F27B0C"/>
    <w:rsid w:val="00F27C33"/>
    <w:rsid w:val="00F30E70"/>
    <w:rsid w:val="00F3134E"/>
    <w:rsid w:val="00F317BC"/>
    <w:rsid w:val="00F317C3"/>
    <w:rsid w:val="00F31DE2"/>
    <w:rsid w:val="00F33AC3"/>
    <w:rsid w:val="00F33B37"/>
    <w:rsid w:val="00F33CC7"/>
    <w:rsid w:val="00F34321"/>
    <w:rsid w:val="00F34713"/>
    <w:rsid w:val="00F3535F"/>
    <w:rsid w:val="00F35404"/>
    <w:rsid w:val="00F359BF"/>
    <w:rsid w:val="00F360C6"/>
    <w:rsid w:val="00F3664A"/>
    <w:rsid w:val="00F37C10"/>
    <w:rsid w:val="00F402D7"/>
    <w:rsid w:val="00F40E8C"/>
    <w:rsid w:val="00F414A0"/>
    <w:rsid w:val="00F421A2"/>
    <w:rsid w:val="00F426FC"/>
    <w:rsid w:val="00F42CA8"/>
    <w:rsid w:val="00F42DC4"/>
    <w:rsid w:val="00F42EB9"/>
    <w:rsid w:val="00F437F0"/>
    <w:rsid w:val="00F43E42"/>
    <w:rsid w:val="00F43FB7"/>
    <w:rsid w:val="00F4456F"/>
    <w:rsid w:val="00F448A0"/>
    <w:rsid w:val="00F44B6B"/>
    <w:rsid w:val="00F44D36"/>
    <w:rsid w:val="00F46B28"/>
    <w:rsid w:val="00F5044D"/>
    <w:rsid w:val="00F51E22"/>
    <w:rsid w:val="00F527F2"/>
    <w:rsid w:val="00F52C82"/>
    <w:rsid w:val="00F53A43"/>
    <w:rsid w:val="00F53DF5"/>
    <w:rsid w:val="00F551A6"/>
    <w:rsid w:val="00F55FDD"/>
    <w:rsid w:val="00F564ED"/>
    <w:rsid w:val="00F570C2"/>
    <w:rsid w:val="00F600E2"/>
    <w:rsid w:val="00F60302"/>
    <w:rsid w:val="00F6030A"/>
    <w:rsid w:val="00F6037E"/>
    <w:rsid w:val="00F606F7"/>
    <w:rsid w:val="00F60CCC"/>
    <w:rsid w:val="00F60F4D"/>
    <w:rsid w:val="00F612EA"/>
    <w:rsid w:val="00F61A4A"/>
    <w:rsid w:val="00F61F24"/>
    <w:rsid w:val="00F62128"/>
    <w:rsid w:val="00F6290A"/>
    <w:rsid w:val="00F629F3"/>
    <w:rsid w:val="00F63402"/>
    <w:rsid w:val="00F63426"/>
    <w:rsid w:val="00F63D66"/>
    <w:rsid w:val="00F64660"/>
    <w:rsid w:val="00F65180"/>
    <w:rsid w:val="00F654B4"/>
    <w:rsid w:val="00F659BB"/>
    <w:rsid w:val="00F6644D"/>
    <w:rsid w:val="00F6687C"/>
    <w:rsid w:val="00F668FA"/>
    <w:rsid w:val="00F677C0"/>
    <w:rsid w:val="00F677FB"/>
    <w:rsid w:val="00F67A77"/>
    <w:rsid w:val="00F67D59"/>
    <w:rsid w:val="00F710B4"/>
    <w:rsid w:val="00F71F13"/>
    <w:rsid w:val="00F72E19"/>
    <w:rsid w:val="00F72FD4"/>
    <w:rsid w:val="00F7306B"/>
    <w:rsid w:val="00F7361B"/>
    <w:rsid w:val="00F736DC"/>
    <w:rsid w:val="00F737D4"/>
    <w:rsid w:val="00F73B54"/>
    <w:rsid w:val="00F7513F"/>
    <w:rsid w:val="00F75787"/>
    <w:rsid w:val="00F8006E"/>
    <w:rsid w:val="00F8068E"/>
    <w:rsid w:val="00F8101C"/>
    <w:rsid w:val="00F81647"/>
    <w:rsid w:val="00F81A7B"/>
    <w:rsid w:val="00F81C70"/>
    <w:rsid w:val="00F820C2"/>
    <w:rsid w:val="00F832BA"/>
    <w:rsid w:val="00F83FE2"/>
    <w:rsid w:val="00F847EB"/>
    <w:rsid w:val="00F84A3E"/>
    <w:rsid w:val="00F84E0F"/>
    <w:rsid w:val="00F854C2"/>
    <w:rsid w:val="00F85837"/>
    <w:rsid w:val="00F85A8A"/>
    <w:rsid w:val="00F85F08"/>
    <w:rsid w:val="00F86B1D"/>
    <w:rsid w:val="00F873F7"/>
    <w:rsid w:val="00F87892"/>
    <w:rsid w:val="00F90923"/>
    <w:rsid w:val="00F913F8"/>
    <w:rsid w:val="00F9144E"/>
    <w:rsid w:val="00F92053"/>
    <w:rsid w:val="00F92B95"/>
    <w:rsid w:val="00F9417A"/>
    <w:rsid w:val="00F94C38"/>
    <w:rsid w:val="00F95151"/>
    <w:rsid w:val="00F953E5"/>
    <w:rsid w:val="00F9713E"/>
    <w:rsid w:val="00F97CF9"/>
    <w:rsid w:val="00FA132B"/>
    <w:rsid w:val="00FA1E14"/>
    <w:rsid w:val="00FA21E7"/>
    <w:rsid w:val="00FA402A"/>
    <w:rsid w:val="00FA41E8"/>
    <w:rsid w:val="00FA42EC"/>
    <w:rsid w:val="00FA4BA1"/>
    <w:rsid w:val="00FA58CF"/>
    <w:rsid w:val="00FA5C59"/>
    <w:rsid w:val="00FA64B9"/>
    <w:rsid w:val="00FA68A6"/>
    <w:rsid w:val="00FA7483"/>
    <w:rsid w:val="00FA7585"/>
    <w:rsid w:val="00FA7D6C"/>
    <w:rsid w:val="00FB0B2B"/>
    <w:rsid w:val="00FB0B5B"/>
    <w:rsid w:val="00FB0DF1"/>
    <w:rsid w:val="00FB1190"/>
    <w:rsid w:val="00FB1553"/>
    <w:rsid w:val="00FB1E84"/>
    <w:rsid w:val="00FB2033"/>
    <w:rsid w:val="00FB302F"/>
    <w:rsid w:val="00FB3696"/>
    <w:rsid w:val="00FB3985"/>
    <w:rsid w:val="00FB4339"/>
    <w:rsid w:val="00FB4BC5"/>
    <w:rsid w:val="00FB4C2D"/>
    <w:rsid w:val="00FB5A1E"/>
    <w:rsid w:val="00FB5CB1"/>
    <w:rsid w:val="00FB5F68"/>
    <w:rsid w:val="00FB62CF"/>
    <w:rsid w:val="00FB7E0A"/>
    <w:rsid w:val="00FC00BD"/>
    <w:rsid w:val="00FC01DD"/>
    <w:rsid w:val="00FC0311"/>
    <w:rsid w:val="00FC0CD7"/>
    <w:rsid w:val="00FC12A0"/>
    <w:rsid w:val="00FC1A30"/>
    <w:rsid w:val="00FC1C17"/>
    <w:rsid w:val="00FC2845"/>
    <w:rsid w:val="00FC2A8C"/>
    <w:rsid w:val="00FC2D72"/>
    <w:rsid w:val="00FC391C"/>
    <w:rsid w:val="00FC39A8"/>
    <w:rsid w:val="00FC4290"/>
    <w:rsid w:val="00FC493D"/>
    <w:rsid w:val="00FC50DA"/>
    <w:rsid w:val="00FC5A8A"/>
    <w:rsid w:val="00FC5D9D"/>
    <w:rsid w:val="00FC63E4"/>
    <w:rsid w:val="00FC63FE"/>
    <w:rsid w:val="00FC73B3"/>
    <w:rsid w:val="00FD0A22"/>
    <w:rsid w:val="00FD1843"/>
    <w:rsid w:val="00FD18A9"/>
    <w:rsid w:val="00FD19C0"/>
    <w:rsid w:val="00FD2265"/>
    <w:rsid w:val="00FD2714"/>
    <w:rsid w:val="00FD311D"/>
    <w:rsid w:val="00FD32CF"/>
    <w:rsid w:val="00FD379D"/>
    <w:rsid w:val="00FD3840"/>
    <w:rsid w:val="00FD577A"/>
    <w:rsid w:val="00FD5ACE"/>
    <w:rsid w:val="00FD6977"/>
    <w:rsid w:val="00FD70CF"/>
    <w:rsid w:val="00FD711C"/>
    <w:rsid w:val="00FD71DA"/>
    <w:rsid w:val="00FD72C5"/>
    <w:rsid w:val="00FD7A3A"/>
    <w:rsid w:val="00FE193E"/>
    <w:rsid w:val="00FE239C"/>
    <w:rsid w:val="00FE27E0"/>
    <w:rsid w:val="00FE2CA6"/>
    <w:rsid w:val="00FE3245"/>
    <w:rsid w:val="00FE3315"/>
    <w:rsid w:val="00FE35AA"/>
    <w:rsid w:val="00FE376F"/>
    <w:rsid w:val="00FE41C5"/>
    <w:rsid w:val="00FE4E05"/>
    <w:rsid w:val="00FE5486"/>
    <w:rsid w:val="00FE553A"/>
    <w:rsid w:val="00FE63F3"/>
    <w:rsid w:val="00FE6BF7"/>
    <w:rsid w:val="00FE6F2D"/>
    <w:rsid w:val="00FE79AF"/>
    <w:rsid w:val="00FE7CD0"/>
    <w:rsid w:val="00FF0954"/>
    <w:rsid w:val="00FF0CF3"/>
    <w:rsid w:val="00FF0D37"/>
    <w:rsid w:val="00FF38A2"/>
    <w:rsid w:val="00FF4F57"/>
    <w:rsid w:val="00FF50B4"/>
    <w:rsid w:val="00FF548A"/>
    <w:rsid w:val="00FF5B6D"/>
    <w:rsid w:val="00FF5BE1"/>
    <w:rsid w:val="00FF5F50"/>
    <w:rsid w:val="00FF6148"/>
    <w:rsid w:val="00FF620B"/>
    <w:rsid w:val="00FF6F35"/>
    <w:rsid w:val="00FF750E"/>
    <w:rsid w:val="00FF7648"/>
    <w:rsid w:val="00FF7CA8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cecff,#ccf,#f8f4ed"/>
    </o:shapedefaults>
    <o:shapelayout v:ext="edit">
      <o:idmap v:ext="edit" data="1"/>
    </o:shapelayout>
  </w:shapeDefaults>
  <w:decimalSymbol w:val="."/>
  <w:listSeparator w:val=";"/>
  <w14:docId w14:val="64DC727F"/>
  <w15:docId w15:val="{ED4B8D29-027F-41C0-B90D-7CE80FA5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5133"/>
    <w:pPr>
      <w:spacing w:line="312" w:lineRule="auto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AB4B0C"/>
    <w:pPr>
      <w:keepNext/>
      <w:pBdr>
        <w:bottom w:val="single" w:sz="6" w:space="1" w:color="auto"/>
      </w:pBdr>
      <w:shd w:val="pct10" w:color="auto" w:fill="auto"/>
      <w:outlineLvl w:val="0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autoRedefine/>
    <w:qFormat/>
    <w:rsid w:val="00EA6326"/>
    <w:pPr>
      <w:keepNext/>
      <w:spacing w:after="60" w:line="276" w:lineRule="auto"/>
      <w:ind w:left="284"/>
      <w:outlineLvl w:val="1"/>
    </w:pPr>
    <w:rPr>
      <w:rFonts w:asciiTheme="minorHAnsi" w:hAnsiTheme="minorHAnsi" w:cstheme="minorHAnsi"/>
      <w:b/>
      <w:bCs/>
      <w:sz w:val="24"/>
      <w:szCs w:val="22"/>
      <w:lang w:val="es-CR"/>
    </w:rPr>
  </w:style>
  <w:style w:type="paragraph" w:styleId="Ttulo3">
    <w:name w:val="heading 3"/>
    <w:basedOn w:val="Normal"/>
    <w:next w:val="Normal"/>
    <w:autoRedefine/>
    <w:qFormat/>
    <w:rsid w:val="003F356E"/>
    <w:pPr>
      <w:keepNext/>
      <w:spacing w:line="276" w:lineRule="auto"/>
      <w:ind w:left="993" w:hanging="993"/>
      <w:jc w:val="left"/>
      <w:outlineLvl w:val="2"/>
    </w:pPr>
    <w:rPr>
      <w:rFonts w:asciiTheme="minorHAnsi" w:hAnsiTheme="minorHAnsi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AB4B0C"/>
    <w:pPr>
      <w:keepNext/>
      <w:outlineLvl w:val="3"/>
    </w:pPr>
    <w:rPr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qFormat/>
    <w:rsid w:val="00AB4B0C"/>
    <w:pPr>
      <w:keepNext/>
      <w:outlineLvl w:val="4"/>
    </w:pPr>
    <w:rPr>
      <w:b/>
      <w:snapToGrid w:val="0"/>
      <w:color w:val="000000"/>
      <w:sz w:val="16"/>
    </w:rPr>
  </w:style>
  <w:style w:type="paragraph" w:styleId="Ttulo6">
    <w:name w:val="heading 6"/>
    <w:basedOn w:val="Normal"/>
    <w:next w:val="Normal"/>
    <w:qFormat/>
    <w:rsid w:val="00AB4B0C"/>
    <w:pPr>
      <w:keepNext/>
      <w:jc w:val="center"/>
      <w:outlineLvl w:val="5"/>
    </w:pPr>
    <w:rPr>
      <w:b/>
      <w:snapToGrid w:val="0"/>
      <w:color w:val="000080"/>
      <w:sz w:val="16"/>
      <w:u w:val="single"/>
    </w:rPr>
  </w:style>
  <w:style w:type="paragraph" w:styleId="Ttulo7">
    <w:name w:val="heading 7"/>
    <w:basedOn w:val="Normal"/>
    <w:next w:val="Normal"/>
    <w:qFormat/>
    <w:rsid w:val="00AB4B0C"/>
    <w:pPr>
      <w:keepNext/>
      <w:jc w:val="center"/>
      <w:outlineLvl w:val="6"/>
    </w:pPr>
    <w:rPr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rsid w:val="00AB4B0C"/>
    <w:pPr>
      <w:keepNext/>
      <w:outlineLvl w:val="7"/>
    </w:pPr>
    <w:rPr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qFormat/>
    <w:rsid w:val="00AB4B0C"/>
    <w:pPr>
      <w:keepNext/>
      <w:jc w:val="center"/>
      <w:outlineLvl w:val="8"/>
    </w:pPr>
    <w:rPr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autoRedefine/>
    <w:qFormat/>
    <w:rsid w:val="00AB4B0C"/>
    <w:pPr>
      <w:pBdr>
        <w:bottom w:val="single" w:sz="6" w:space="1" w:color="auto"/>
      </w:pBdr>
      <w:shd w:val="pct10" w:color="auto" w:fill="auto"/>
      <w:jc w:val="left"/>
    </w:pPr>
    <w:rPr>
      <w:b/>
      <w:sz w:val="24"/>
    </w:rPr>
  </w:style>
  <w:style w:type="paragraph" w:styleId="Textoindependiente">
    <w:name w:val="Body Text"/>
    <w:basedOn w:val="Normal"/>
    <w:link w:val="TextoindependienteCar"/>
    <w:rsid w:val="00AB4B0C"/>
    <w:pPr>
      <w:numPr>
        <w:numId w:val="1"/>
      </w:numPr>
    </w:pPr>
    <w:rPr>
      <w:sz w:val="24"/>
    </w:rPr>
  </w:style>
  <w:style w:type="paragraph" w:styleId="Mapadeldocumento">
    <w:name w:val="Document Map"/>
    <w:basedOn w:val="Normal"/>
    <w:semiHidden/>
    <w:rsid w:val="00AB4B0C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link w:val="Textoindependiente2Car"/>
    <w:rsid w:val="00AB4B0C"/>
  </w:style>
  <w:style w:type="character" w:customStyle="1" w:styleId="Textoindependiente2Car">
    <w:name w:val="Texto independiente 2 Car"/>
    <w:basedOn w:val="Fuentedeprrafopredeter"/>
    <w:link w:val="Textoindependiente2"/>
    <w:rsid w:val="00D47BAD"/>
    <w:rPr>
      <w:rFonts w:ascii="Arial" w:hAnsi="Arial"/>
      <w:sz w:val="22"/>
      <w:lang w:val="es-ES" w:eastAsia="es-ES"/>
    </w:rPr>
  </w:style>
  <w:style w:type="paragraph" w:styleId="Textoindependiente3">
    <w:name w:val="Body Text 3"/>
    <w:basedOn w:val="Normal"/>
    <w:rsid w:val="00AB4B0C"/>
  </w:style>
  <w:style w:type="paragraph" w:styleId="Encabezado">
    <w:name w:val="header"/>
    <w:basedOn w:val="Normal"/>
    <w:link w:val="EncabezadoCar"/>
    <w:rsid w:val="00AB4B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B4B0C"/>
    <w:pPr>
      <w:tabs>
        <w:tab w:val="center" w:pos="4252"/>
        <w:tab w:val="right" w:pos="8504"/>
      </w:tabs>
    </w:pPr>
  </w:style>
  <w:style w:type="paragraph" w:customStyle="1" w:styleId="xl29">
    <w:name w:val="xl29"/>
    <w:basedOn w:val="Normal"/>
    <w:rsid w:val="00AB4B0C"/>
    <w:pPr>
      <w:spacing w:before="100" w:after="100" w:line="240" w:lineRule="auto"/>
      <w:jc w:val="left"/>
    </w:pPr>
    <w:rPr>
      <w:rFonts w:eastAsia="Arial Unicode MS"/>
      <w:b/>
      <w:sz w:val="24"/>
    </w:rPr>
  </w:style>
  <w:style w:type="paragraph" w:customStyle="1" w:styleId="Textosinformato1">
    <w:name w:val="Texto sin formato1"/>
    <w:basedOn w:val="Normal"/>
    <w:rsid w:val="00AB4B0C"/>
    <w:pPr>
      <w:spacing w:line="240" w:lineRule="auto"/>
      <w:jc w:val="left"/>
    </w:pPr>
    <w:rPr>
      <w:rFonts w:ascii="Courier New" w:hAnsi="Courier New"/>
      <w:sz w:val="20"/>
    </w:rPr>
  </w:style>
  <w:style w:type="paragraph" w:styleId="Textonotapie">
    <w:name w:val="footnote text"/>
    <w:basedOn w:val="Normal"/>
    <w:link w:val="TextonotapieCar"/>
    <w:semiHidden/>
    <w:rsid w:val="00AB4B0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53918"/>
    <w:rPr>
      <w:lang w:val="es-ES" w:eastAsia="es-ES"/>
    </w:rPr>
  </w:style>
  <w:style w:type="character" w:styleId="Refdenotaalpie">
    <w:name w:val="footnote reference"/>
    <w:basedOn w:val="Fuentedeprrafopredeter"/>
    <w:semiHidden/>
    <w:rsid w:val="00AB4B0C"/>
    <w:rPr>
      <w:vertAlign w:val="superscript"/>
    </w:rPr>
  </w:style>
  <w:style w:type="paragraph" w:styleId="ndice1">
    <w:name w:val="index 1"/>
    <w:basedOn w:val="Normal"/>
    <w:next w:val="Normal"/>
    <w:autoRedefine/>
    <w:semiHidden/>
    <w:rsid w:val="00AB4B0C"/>
    <w:pPr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AB4B0C"/>
    <w:pPr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AB4B0C"/>
    <w:pPr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AB4B0C"/>
    <w:pPr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AB4B0C"/>
    <w:pPr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AB4B0C"/>
    <w:pPr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AB4B0C"/>
    <w:pPr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AB4B0C"/>
    <w:pPr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AB4B0C"/>
    <w:pPr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AB4B0C"/>
    <w:pPr>
      <w:spacing w:before="120" w:after="120"/>
      <w:jc w:val="left"/>
    </w:pPr>
    <w:rPr>
      <w:rFonts w:ascii="Times New Roman" w:hAnsi="Times New Roman"/>
      <w:b/>
      <w:i/>
      <w:sz w:val="20"/>
    </w:rPr>
  </w:style>
  <w:style w:type="paragraph" w:styleId="TDC1">
    <w:name w:val="toc 1"/>
    <w:basedOn w:val="Normal"/>
    <w:next w:val="Normal"/>
    <w:autoRedefine/>
    <w:uiPriority w:val="39"/>
    <w:rsid w:val="000C456D"/>
    <w:pPr>
      <w:tabs>
        <w:tab w:val="left" w:pos="426"/>
        <w:tab w:val="right" w:leader="dot" w:pos="8830"/>
      </w:tabs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rsid w:val="00AB4B0C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rsid w:val="00D07415"/>
    <w:pPr>
      <w:tabs>
        <w:tab w:val="right" w:leader="dot" w:pos="8830"/>
      </w:tabs>
      <w:ind w:left="426"/>
      <w:jc w:val="left"/>
    </w:pPr>
    <w:rPr>
      <w:rFonts w:ascii="Times New Roman" w:hAnsi="Times New Roman"/>
      <w:i/>
      <w:iCs/>
      <w:noProof/>
      <w:sz w:val="20"/>
    </w:rPr>
  </w:style>
  <w:style w:type="paragraph" w:styleId="TDC4">
    <w:name w:val="toc 4"/>
    <w:basedOn w:val="Normal"/>
    <w:next w:val="Normal"/>
    <w:autoRedefine/>
    <w:semiHidden/>
    <w:rsid w:val="00AB4B0C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AB4B0C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AB4B0C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AB4B0C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AB4B0C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AB4B0C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Sangradetextonormal">
    <w:name w:val="Body Text Indent"/>
    <w:basedOn w:val="Normal"/>
    <w:rsid w:val="00AB4B0C"/>
    <w:pPr>
      <w:ind w:left="360"/>
    </w:pPr>
  </w:style>
  <w:style w:type="character" w:styleId="Nmerodepgina">
    <w:name w:val="page number"/>
    <w:basedOn w:val="Fuentedeprrafopredeter"/>
    <w:rsid w:val="00D76D8B"/>
  </w:style>
  <w:style w:type="paragraph" w:customStyle="1" w:styleId="1">
    <w:name w:val="1"/>
    <w:basedOn w:val="Normal"/>
    <w:next w:val="Sangradetextonormal"/>
    <w:rsid w:val="00A8582A"/>
    <w:pPr>
      <w:spacing w:line="240" w:lineRule="auto"/>
      <w:ind w:firstLine="708"/>
    </w:pPr>
    <w:rPr>
      <w:rFonts w:ascii="Times New Roman" w:hAnsi="Times New Roman"/>
      <w:sz w:val="24"/>
      <w:lang w:val="es-ES_tradnl"/>
    </w:rPr>
  </w:style>
  <w:style w:type="character" w:customStyle="1" w:styleId="EstiloCorreo50">
    <w:name w:val="EstiloCorreo50"/>
    <w:basedOn w:val="Fuentedeprrafopredeter"/>
    <w:semiHidden/>
    <w:rsid w:val="008131A8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F677FB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D0088"/>
    <w:rPr>
      <w:color w:val="0000FF"/>
      <w:u w:val="single"/>
    </w:rPr>
  </w:style>
  <w:style w:type="character" w:styleId="Hipervnculovisitado">
    <w:name w:val="FollowedHyperlink"/>
    <w:basedOn w:val="Fuentedeprrafopredeter"/>
    <w:rsid w:val="00ED0088"/>
    <w:rPr>
      <w:color w:val="800080"/>
      <w:u w:val="single"/>
    </w:rPr>
  </w:style>
  <w:style w:type="paragraph" w:customStyle="1" w:styleId="font0">
    <w:name w:val="font0"/>
    <w:basedOn w:val="Normal"/>
    <w:rsid w:val="00ED0088"/>
    <w:pPr>
      <w:spacing w:before="100" w:beforeAutospacing="1" w:after="100" w:afterAutospacing="1" w:line="240" w:lineRule="auto"/>
      <w:jc w:val="left"/>
    </w:pPr>
    <w:rPr>
      <w:rFonts w:cs="Arial"/>
      <w:sz w:val="20"/>
      <w:lang w:val="es-MX" w:eastAsia="es-MX"/>
    </w:rPr>
  </w:style>
  <w:style w:type="paragraph" w:customStyle="1" w:styleId="font5">
    <w:name w:val="font5"/>
    <w:basedOn w:val="Normal"/>
    <w:rsid w:val="00ED0088"/>
    <w:pPr>
      <w:spacing w:before="100" w:beforeAutospacing="1" w:after="100" w:afterAutospacing="1" w:line="240" w:lineRule="auto"/>
      <w:jc w:val="left"/>
    </w:pPr>
    <w:rPr>
      <w:rFonts w:cs="Arial"/>
      <w:b/>
      <w:bCs/>
      <w:sz w:val="20"/>
      <w:lang w:val="es-MX" w:eastAsia="es-MX"/>
    </w:rPr>
  </w:style>
  <w:style w:type="paragraph" w:customStyle="1" w:styleId="font6">
    <w:name w:val="font6"/>
    <w:basedOn w:val="Normal"/>
    <w:rsid w:val="00ED0088"/>
    <w:pPr>
      <w:spacing w:before="100" w:beforeAutospacing="1" w:after="100" w:afterAutospacing="1" w:line="240" w:lineRule="auto"/>
      <w:jc w:val="left"/>
    </w:pPr>
    <w:rPr>
      <w:rFonts w:cs="Arial"/>
      <w:b/>
      <w:bCs/>
      <w:sz w:val="18"/>
      <w:szCs w:val="18"/>
      <w:lang w:val="es-MX" w:eastAsia="es-MX"/>
    </w:rPr>
  </w:style>
  <w:style w:type="paragraph" w:customStyle="1" w:styleId="font7">
    <w:name w:val="font7"/>
    <w:basedOn w:val="Normal"/>
    <w:rsid w:val="00ED0088"/>
    <w:pPr>
      <w:spacing w:before="100" w:beforeAutospacing="1" w:after="100" w:afterAutospacing="1" w:line="240" w:lineRule="auto"/>
      <w:jc w:val="left"/>
    </w:pPr>
    <w:rPr>
      <w:rFonts w:cs="Arial"/>
      <w:b/>
      <w:bCs/>
      <w:color w:val="0000FF"/>
      <w:sz w:val="20"/>
      <w:lang w:val="es-MX" w:eastAsia="es-MX"/>
    </w:rPr>
  </w:style>
  <w:style w:type="paragraph" w:customStyle="1" w:styleId="font8">
    <w:name w:val="font8"/>
    <w:basedOn w:val="Normal"/>
    <w:rsid w:val="00ED0088"/>
    <w:pPr>
      <w:spacing w:before="100" w:beforeAutospacing="1" w:after="100" w:afterAutospacing="1" w:line="240" w:lineRule="auto"/>
      <w:jc w:val="left"/>
    </w:pPr>
    <w:rPr>
      <w:rFonts w:cs="Arial"/>
      <w:color w:val="0000FF"/>
      <w:sz w:val="20"/>
      <w:lang w:val="es-MX" w:eastAsia="es-MX"/>
    </w:rPr>
  </w:style>
  <w:style w:type="paragraph" w:customStyle="1" w:styleId="font9">
    <w:name w:val="font9"/>
    <w:basedOn w:val="Normal"/>
    <w:rsid w:val="00ED008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6"/>
      <w:szCs w:val="16"/>
      <w:lang w:val="es-MX" w:eastAsia="es-MX"/>
    </w:rPr>
  </w:style>
  <w:style w:type="paragraph" w:customStyle="1" w:styleId="font10">
    <w:name w:val="font10"/>
    <w:basedOn w:val="Normal"/>
    <w:rsid w:val="00ED008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6"/>
      <w:szCs w:val="16"/>
      <w:lang w:val="es-MX" w:eastAsia="es-MX"/>
    </w:rPr>
  </w:style>
  <w:style w:type="paragraph" w:customStyle="1" w:styleId="xl24">
    <w:name w:val="xl2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25">
    <w:name w:val="xl2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26">
    <w:name w:val="xl2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27">
    <w:name w:val="xl2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28">
    <w:name w:val="xl2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8"/>
      <w:szCs w:val="18"/>
      <w:lang w:val="es-MX" w:eastAsia="es-MX"/>
    </w:rPr>
  </w:style>
  <w:style w:type="paragraph" w:customStyle="1" w:styleId="xl30">
    <w:name w:val="xl3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  <w:lang w:val="es-MX" w:eastAsia="es-MX"/>
    </w:rPr>
  </w:style>
  <w:style w:type="paragraph" w:customStyle="1" w:styleId="xl31">
    <w:name w:val="xl3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32">
    <w:name w:val="xl3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33">
    <w:name w:val="xl3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34">
    <w:name w:val="xl3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  <w:lang w:val="es-MX" w:eastAsia="es-MX"/>
    </w:rPr>
  </w:style>
  <w:style w:type="paragraph" w:customStyle="1" w:styleId="xl35">
    <w:name w:val="xl3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36">
    <w:name w:val="xl3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37">
    <w:name w:val="xl3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38">
    <w:name w:val="xl3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39">
    <w:name w:val="xl3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val="es-MX" w:eastAsia="es-MX"/>
    </w:rPr>
  </w:style>
  <w:style w:type="paragraph" w:customStyle="1" w:styleId="xl40">
    <w:name w:val="xl4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b/>
      <w:bCs/>
      <w:sz w:val="14"/>
      <w:szCs w:val="14"/>
      <w:lang w:val="es-MX" w:eastAsia="es-MX"/>
    </w:rPr>
  </w:style>
  <w:style w:type="paragraph" w:customStyle="1" w:styleId="xl41">
    <w:name w:val="xl4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val="es-MX" w:eastAsia="es-MX"/>
    </w:rPr>
  </w:style>
  <w:style w:type="paragraph" w:customStyle="1" w:styleId="xl42">
    <w:name w:val="xl4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43">
    <w:name w:val="xl4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44">
    <w:name w:val="xl4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45">
    <w:name w:val="xl4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24"/>
      <w:szCs w:val="24"/>
      <w:lang w:val="es-MX" w:eastAsia="es-MX"/>
    </w:rPr>
  </w:style>
  <w:style w:type="paragraph" w:customStyle="1" w:styleId="xl46">
    <w:name w:val="xl46"/>
    <w:basedOn w:val="Normal"/>
    <w:rsid w:val="00ED00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47">
    <w:name w:val="xl4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48">
    <w:name w:val="xl4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Narrow" w:hAnsi="Arial Narrow"/>
      <w:sz w:val="24"/>
      <w:szCs w:val="24"/>
      <w:lang w:val="es-MX" w:eastAsia="es-MX"/>
    </w:rPr>
  </w:style>
  <w:style w:type="paragraph" w:customStyle="1" w:styleId="xl49">
    <w:name w:val="xl4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top"/>
    </w:pPr>
    <w:rPr>
      <w:rFonts w:cs="Arial"/>
      <w:b/>
      <w:bCs/>
      <w:sz w:val="16"/>
      <w:szCs w:val="16"/>
      <w:lang w:val="es-MX" w:eastAsia="es-MX"/>
    </w:rPr>
  </w:style>
  <w:style w:type="paragraph" w:customStyle="1" w:styleId="xl50">
    <w:name w:val="xl5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51">
    <w:name w:val="xl5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52">
    <w:name w:val="xl5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53">
    <w:name w:val="xl5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8"/>
      <w:szCs w:val="18"/>
      <w:lang w:val="es-MX" w:eastAsia="es-MX"/>
    </w:rPr>
  </w:style>
  <w:style w:type="paragraph" w:customStyle="1" w:styleId="xl54">
    <w:name w:val="xl5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55">
    <w:name w:val="xl5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56">
    <w:name w:val="xl5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57">
    <w:name w:val="xl5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58">
    <w:name w:val="xl5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59">
    <w:name w:val="xl5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60">
    <w:name w:val="xl6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61">
    <w:name w:val="xl6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62">
    <w:name w:val="xl6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63">
    <w:name w:val="xl6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64">
    <w:name w:val="xl6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cs="Arial"/>
      <w:sz w:val="16"/>
      <w:szCs w:val="16"/>
      <w:lang w:val="es-MX" w:eastAsia="es-MX"/>
    </w:rPr>
  </w:style>
  <w:style w:type="paragraph" w:customStyle="1" w:styleId="xl65">
    <w:name w:val="xl6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Arial"/>
      <w:sz w:val="16"/>
      <w:szCs w:val="16"/>
      <w:lang w:val="es-MX" w:eastAsia="es-MX"/>
    </w:rPr>
  </w:style>
  <w:style w:type="paragraph" w:customStyle="1" w:styleId="xl66">
    <w:name w:val="xl6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cs="Arial"/>
      <w:sz w:val="14"/>
      <w:szCs w:val="14"/>
      <w:lang w:val="es-MX" w:eastAsia="es-MX"/>
    </w:rPr>
  </w:style>
  <w:style w:type="paragraph" w:customStyle="1" w:styleId="xl67">
    <w:name w:val="xl6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68">
    <w:name w:val="xl6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69">
    <w:name w:val="xl6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70">
    <w:name w:val="xl7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71">
    <w:name w:val="xl7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72">
    <w:name w:val="xl7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73">
    <w:name w:val="xl7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74">
    <w:name w:val="xl7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b/>
      <w:bCs/>
      <w:sz w:val="24"/>
      <w:szCs w:val="24"/>
      <w:u w:val="single"/>
      <w:lang w:val="es-MX" w:eastAsia="es-MX"/>
    </w:rPr>
  </w:style>
  <w:style w:type="paragraph" w:customStyle="1" w:styleId="xl75">
    <w:name w:val="xl7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76">
    <w:name w:val="xl7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77">
    <w:name w:val="xl7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78">
    <w:name w:val="xl7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79">
    <w:name w:val="xl7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s-MX" w:eastAsia="es-MX"/>
    </w:rPr>
  </w:style>
  <w:style w:type="paragraph" w:customStyle="1" w:styleId="xl80">
    <w:name w:val="xl8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1">
    <w:name w:val="xl8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2">
    <w:name w:val="xl8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3">
    <w:name w:val="xl8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4">
    <w:name w:val="xl8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5">
    <w:name w:val="xl8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6">
    <w:name w:val="xl8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7">
    <w:name w:val="xl8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8">
    <w:name w:val="xl8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89">
    <w:name w:val="xl8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90">
    <w:name w:val="xl9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  <w:lang w:val="es-MX" w:eastAsia="es-MX"/>
    </w:rPr>
  </w:style>
  <w:style w:type="paragraph" w:customStyle="1" w:styleId="xl91">
    <w:name w:val="xl9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93">
    <w:name w:val="xl9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94">
    <w:name w:val="xl9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95">
    <w:name w:val="xl9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96">
    <w:name w:val="xl9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97">
    <w:name w:val="xl9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98">
    <w:name w:val="xl9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99">
    <w:name w:val="xl9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00">
    <w:name w:val="xl10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01">
    <w:name w:val="xl10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02">
    <w:name w:val="xl10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103">
    <w:name w:val="xl10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104">
    <w:name w:val="xl10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05">
    <w:name w:val="xl10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06">
    <w:name w:val="xl10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07">
    <w:name w:val="xl10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08">
    <w:name w:val="xl10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09">
    <w:name w:val="xl10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11">
    <w:name w:val="xl11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12">
    <w:name w:val="xl11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13">
    <w:name w:val="xl11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14">
    <w:name w:val="xl11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115">
    <w:name w:val="xl11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116">
    <w:name w:val="xl11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17">
    <w:name w:val="xl11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18">
    <w:name w:val="xl11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119">
    <w:name w:val="xl11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120">
    <w:name w:val="xl12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121">
    <w:name w:val="xl12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122">
    <w:name w:val="xl12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sz w:val="16"/>
      <w:szCs w:val="16"/>
      <w:lang w:val="es-MX" w:eastAsia="es-MX"/>
    </w:rPr>
  </w:style>
  <w:style w:type="paragraph" w:customStyle="1" w:styleId="xl123">
    <w:name w:val="xl12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sz w:val="24"/>
      <w:szCs w:val="24"/>
      <w:lang w:val="es-MX" w:eastAsia="es-MX"/>
    </w:rPr>
  </w:style>
  <w:style w:type="paragraph" w:customStyle="1" w:styleId="xl124">
    <w:name w:val="xl12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top"/>
    </w:pPr>
    <w:rPr>
      <w:rFonts w:cs="Arial"/>
      <w:sz w:val="16"/>
      <w:szCs w:val="16"/>
      <w:lang w:val="es-MX" w:eastAsia="es-MX"/>
    </w:rPr>
  </w:style>
  <w:style w:type="paragraph" w:customStyle="1" w:styleId="xl125">
    <w:name w:val="xl12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sz w:val="14"/>
      <w:szCs w:val="14"/>
      <w:lang w:val="es-MX" w:eastAsia="es-MX"/>
    </w:rPr>
  </w:style>
  <w:style w:type="paragraph" w:customStyle="1" w:styleId="xl126">
    <w:name w:val="xl12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127">
    <w:name w:val="xl12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val="es-MX" w:eastAsia="es-MX"/>
    </w:rPr>
  </w:style>
  <w:style w:type="paragraph" w:customStyle="1" w:styleId="xl128">
    <w:name w:val="xl12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29">
    <w:name w:val="xl12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30">
    <w:name w:val="xl13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31">
    <w:name w:val="xl13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32">
    <w:name w:val="xl132"/>
    <w:basedOn w:val="Normal"/>
    <w:rsid w:val="00ED00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33">
    <w:name w:val="xl13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134">
    <w:name w:val="xl134"/>
    <w:basedOn w:val="Normal"/>
    <w:rsid w:val="00ED00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35">
    <w:name w:val="xl13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36">
    <w:name w:val="xl13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</w:pPr>
    <w:rPr>
      <w:rFonts w:cs="Arial"/>
      <w:sz w:val="18"/>
      <w:szCs w:val="18"/>
      <w:lang w:val="es-MX" w:eastAsia="es-MX"/>
    </w:rPr>
  </w:style>
  <w:style w:type="paragraph" w:customStyle="1" w:styleId="xl137">
    <w:name w:val="xl13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38">
    <w:name w:val="xl13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39">
    <w:name w:val="xl13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40">
    <w:name w:val="xl14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41">
    <w:name w:val="xl14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42">
    <w:name w:val="xl14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143">
    <w:name w:val="xl14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44">
    <w:name w:val="xl14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145">
    <w:name w:val="xl14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46">
    <w:name w:val="xl14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147">
    <w:name w:val="xl14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48">
    <w:name w:val="xl14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49">
    <w:name w:val="xl14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50">
    <w:name w:val="xl15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51">
    <w:name w:val="xl15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52">
    <w:name w:val="xl15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cs="Arial"/>
      <w:sz w:val="18"/>
      <w:szCs w:val="18"/>
      <w:lang w:val="es-MX" w:eastAsia="es-MX"/>
    </w:rPr>
  </w:style>
  <w:style w:type="paragraph" w:customStyle="1" w:styleId="xl153">
    <w:name w:val="xl153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textAlignment w:val="top"/>
    </w:pPr>
    <w:rPr>
      <w:rFonts w:cs="Arial"/>
      <w:sz w:val="18"/>
      <w:szCs w:val="18"/>
      <w:lang w:val="es-MX" w:eastAsia="es-MX"/>
    </w:rPr>
  </w:style>
  <w:style w:type="paragraph" w:customStyle="1" w:styleId="xl154">
    <w:name w:val="xl154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55">
    <w:name w:val="xl155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56">
    <w:name w:val="xl156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57">
    <w:name w:val="xl157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58">
    <w:name w:val="xl158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  <w:lang w:val="es-MX" w:eastAsia="es-MX"/>
    </w:rPr>
  </w:style>
  <w:style w:type="paragraph" w:customStyle="1" w:styleId="xl159">
    <w:name w:val="xl159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s-MX" w:eastAsia="es-MX"/>
    </w:rPr>
  </w:style>
  <w:style w:type="paragraph" w:customStyle="1" w:styleId="xl160">
    <w:name w:val="xl160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color w:val="0000FF"/>
      <w:sz w:val="18"/>
      <w:szCs w:val="18"/>
      <w:lang w:val="es-MX" w:eastAsia="es-MX"/>
    </w:rPr>
  </w:style>
  <w:style w:type="paragraph" w:customStyle="1" w:styleId="xl161">
    <w:name w:val="xl161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l162">
    <w:name w:val="xl162"/>
    <w:basedOn w:val="Normal"/>
    <w:rsid w:val="00ED0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4"/>
      <w:szCs w:val="24"/>
      <w:u w:val="single"/>
      <w:lang w:val="es-MX" w:eastAsia="es-MX"/>
    </w:rPr>
  </w:style>
  <w:style w:type="paragraph" w:styleId="Textodeglobo">
    <w:name w:val="Balloon Text"/>
    <w:basedOn w:val="Normal"/>
    <w:semiHidden/>
    <w:rsid w:val="00691D7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615D3"/>
    <w:rPr>
      <w:sz w:val="16"/>
      <w:szCs w:val="16"/>
    </w:rPr>
  </w:style>
  <w:style w:type="paragraph" w:styleId="Textocomentario">
    <w:name w:val="annotation text"/>
    <w:basedOn w:val="Normal"/>
    <w:semiHidden/>
    <w:rsid w:val="001615D3"/>
    <w:pPr>
      <w:spacing w:line="240" w:lineRule="auto"/>
      <w:jc w:val="left"/>
    </w:pPr>
    <w:rPr>
      <w:rFonts w:ascii="Times New Roman" w:hAnsi="Times New Roman"/>
      <w:sz w:val="20"/>
      <w:lang w:val="es-ES_tradnl"/>
    </w:rPr>
  </w:style>
  <w:style w:type="paragraph" w:styleId="Sangra2detindependiente">
    <w:name w:val="Body Text Indent 2"/>
    <w:basedOn w:val="Normal"/>
    <w:rsid w:val="00D8648F"/>
    <w:pPr>
      <w:spacing w:after="120" w:line="480" w:lineRule="auto"/>
      <w:ind w:left="283"/>
    </w:pPr>
  </w:style>
  <w:style w:type="paragraph" w:styleId="Asuntodelcomentario">
    <w:name w:val="annotation subject"/>
    <w:basedOn w:val="Textocomentario"/>
    <w:next w:val="Textocomentario"/>
    <w:semiHidden/>
    <w:rsid w:val="0055297C"/>
    <w:pPr>
      <w:spacing w:line="312" w:lineRule="auto"/>
      <w:jc w:val="both"/>
    </w:pPr>
    <w:rPr>
      <w:rFonts w:ascii="Arial" w:hAnsi="Arial"/>
      <w:b/>
      <w:bCs/>
      <w:lang w:val="es-ES"/>
    </w:rPr>
  </w:style>
  <w:style w:type="paragraph" w:customStyle="1" w:styleId="Car1">
    <w:name w:val="Car1"/>
    <w:basedOn w:val="Normal"/>
    <w:rsid w:val="003A13F8"/>
    <w:pPr>
      <w:spacing w:after="160" w:line="240" w:lineRule="exact"/>
      <w:jc w:val="left"/>
    </w:pPr>
    <w:rPr>
      <w:rFonts w:eastAsia="MS Mincho"/>
      <w:sz w:val="20"/>
      <w:lang w:eastAsia="en-US"/>
    </w:rPr>
  </w:style>
  <w:style w:type="paragraph" w:customStyle="1" w:styleId="CharChar">
    <w:name w:val="Char Char"/>
    <w:basedOn w:val="Normal"/>
    <w:rsid w:val="003A13F8"/>
    <w:pPr>
      <w:spacing w:after="160" w:line="240" w:lineRule="exact"/>
      <w:jc w:val="left"/>
    </w:pPr>
    <w:rPr>
      <w:sz w:val="20"/>
      <w:lang w:eastAsia="en-US"/>
    </w:rPr>
  </w:style>
  <w:style w:type="paragraph" w:styleId="Prrafodelista">
    <w:name w:val="List Paragraph"/>
    <w:basedOn w:val="Normal"/>
    <w:uiPriority w:val="34"/>
    <w:qFormat/>
    <w:rsid w:val="005347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50BE"/>
    <w:rPr>
      <w:b/>
      <w:bCs/>
      <w:i/>
      <w:iCs/>
      <w:color w:val="4F81BD" w:themeColor="accent1"/>
    </w:rPr>
  </w:style>
  <w:style w:type="paragraph" w:customStyle="1" w:styleId="Titulo">
    <w:name w:val="Titulo"/>
    <w:basedOn w:val="Ttulo1"/>
    <w:autoRedefine/>
    <w:rsid w:val="00153918"/>
    <w:pPr>
      <w:widowControl w:val="0"/>
      <w:pBdr>
        <w:bottom w:val="none" w:sz="0" w:space="0" w:color="auto"/>
      </w:pBdr>
      <w:shd w:val="clear" w:color="auto" w:fill="auto"/>
      <w:tabs>
        <w:tab w:val="left" w:pos="-123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218" w:lineRule="auto"/>
      <w:jc w:val="left"/>
      <w:textAlignment w:val="baseline"/>
    </w:pPr>
    <w:rPr>
      <w:rFonts w:ascii="Times New Roman" w:hAnsi="Times New Roman" w:cs="Arial"/>
      <w:b w:val="0"/>
      <w:bCs/>
      <w:caps/>
      <w:color w:val="000000"/>
      <w:sz w:val="22"/>
      <w:szCs w:val="22"/>
      <w:lang w:val="es-CR" w:eastAsia="en-US"/>
      <w14:shadow w14:blurRad="0" w14:dist="0" w14:dir="0" w14:sx="0" w14:sy="0" w14:kx="0" w14:ky="0" w14:algn="none">
        <w14:srgbClr w14:val="000000"/>
      </w14:shadow>
    </w:rPr>
  </w:style>
  <w:style w:type="table" w:styleId="Tablaelegante">
    <w:name w:val="Table Elegant"/>
    <w:basedOn w:val="Tablanormal"/>
    <w:rsid w:val="001539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n">
    <w:name w:val="Revision"/>
    <w:hidden/>
    <w:uiPriority w:val="99"/>
    <w:semiHidden/>
    <w:rsid w:val="00E932DE"/>
    <w:rPr>
      <w:rFonts w:ascii="Arial" w:hAnsi="Arial"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A408C"/>
    <w:rPr>
      <w:rFonts w:ascii="Arial" w:hAnsi="Arial"/>
      <w:sz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4E5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55E64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C17A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02759"/>
    <w:rPr>
      <w:rFonts w:asciiTheme="minorHAnsi" w:eastAsiaTheme="minorHAnsi" w:hAnsiTheme="minorHAnsi" w:cstheme="minorBidi"/>
      <w:sz w:val="22"/>
      <w:szCs w:val="22"/>
      <w:lang w:val="es-ES"/>
    </w:rPr>
  </w:style>
  <w:style w:type="table" w:styleId="Tablaconcuadrcula1clara-nfasis1">
    <w:name w:val="Grid Table 1 Light Accent 1"/>
    <w:basedOn w:val="Tablanormal"/>
    <w:uiPriority w:val="46"/>
    <w:rsid w:val="0061069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AC85DD42F584AAA79AD9EC690780F" ma:contentTypeVersion="9" ma:contentTypeDescription="Crear nuevo documento." ma:contentTypeScope="" ma:versionID="95a0450158af8688ff5ec9c1ac32452f">
  <xsd:schema xmlns:xsd="http://www.w3.org/2001/XMLSchema" xmlns:xs="http://www.w3.org/2001/XMLSchema" xmlns:p="http://schemas.microsoft.com/office/2006/metadata/properties" xmlns:ns2="b51096eb-2b44-4db2-9326-d9b246fe4742" xmlns:ns3="2dffdedf-7653-4c02-a0b9-cd082875d17a" targetNamespace="http://schemas.microsoft.com/office/2006/metadata/properties" ma:root="true" ma:fieldsID="f55647c1a7e52c66c63e8d74322e6013" ns2:_="" ns3:_="">
    <xsd:import namespace="b51096eb-2b44-4db2-9326-d9b246fe4742"/>
    <xsd:import namespace="2dffdedf-7653-4c02-a0b9-cd082875d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96eb-2b44-4db2-9326-d9b246fe4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fdedf-7653-4c02-a0b9-cd082875d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C6FE-61C2-4CD3-A86B-92B670D0E40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d473624-898d-45c1-9f2f-d8e776dc9725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e142e62d-f4b1-4a71-b622-57f775f2bca3"/>
  </ds:schemaRefs>
</ds:datastoreItem>
</file>

<file path=customXml/itemProps2.xml><?xml version="1.0" encoding="utf-8"?>
<ds:datastoreItem xmlns:ds="http://schemas.openxmlformats.org/officeDocument/2006/customXml" ds:itemID="{BD937AEB-23C5-424A-AD3D-54E90ABC9F6D}"/>
</file>

<file path=customXml/itemProps3.xml><?xml version="1.0" encoding="utf-8"?>
<ds:datastoreItem xmlns:ds="http://schemas.openxmlformats.org/officeDocument/2006/customXml" ds:itemID="{C1F45459-0C01-4F19-B2A4-1632488C6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F8999-EF59-4EE9-B0CA-D95F38BA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18</Pages>
  <Words>3222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SUPEN Informe EVALUACIÓN  2019 Primer.docx</vt:lpstr>
    </vt:vector>
  </TitlesOfParts>
  <Company>sugef</Company>
  <LinksUpToDate>false</LinksUpToDate>
  <CharactersWithSpaces>23162</CharactersWithSpaces>
  <SharedDoc>false</SharedDoc>
  <HLinks>
    <vt:vector size="108" baseType="variant"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_Toc188264530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_Toc188264529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_Toc188264528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_Toc188264527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_Toc188264526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_Toc188264525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_Toc188264524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_Toc188264523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_Toc188264522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_Toc188264521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_Toc188264520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_Toc188264519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_Toc188264518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_Toc188264517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_Toc188264516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_Toc188264515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_Toc188264514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_Toc188264513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SUPEN Informe EVALUACIÓN  2019 Primer.docx</dc:title>
  <dc:subject/>
  <dc:creator>sugef</dc:creator>
  <cp:keywords/>
  <dc:description/>
  <cp:lastModifiedBy>ARIAS GONZALEZ JOSE EZEQUIEL</cp:lastModifiedBy>
  <cp:revision>193</cp:revision>
  <cp:lastPrinted>2017-10-17T16:01:00Z</cp:lastPrinted>
  <dcterms:created xsi:type="dcterms:W3CDTF">2020-07-06T13:37:00Z</dcterms:created>
  <dcterms:modified xsi:type="dcterms:W3CDTF">2020-07-16T00:32:00Z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0x010100333AC85DD42F584AAA79AD9EC690780F</vt:lpwstr>
  </property>
</Properties>
</file>